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14E6" w14:textId="196A0DCD" w:rsidR="002166FE" w:rsidRPr="002166FE" w:rsidRDefault="002166FE" w:rsidP="002166FE">
      <w:pPr>
        <w:rPr>
          <w:bCs/>
          <w:lang w:val="pt-BR"/>
        </w:rPr>
      </w:pPr>
      <w:r w:rsidRPr="002166FE">
        <w:rPr>
          <w:bCs/>
          <w:lang w:val="pt-BR"/>
        </w:rPr>
        <w:fldChar w:fldCharType="begin"/>
      </w:r>
      <w:r w:rsidRPr="002166FE">
        <w:rPr>
          <w:bCs/>
          <w:lang w:val="pt-BR"/>
        </w:rPr>
        <w:instrText xml:space="preserve"> HYPERLINK "https://doi.org/</w:instrText>
      </w:r>
      <w:r w:rsidRPr="002166FE">
        <w:rPr>
          <w:bCs/>
          <w:lang w:val="pt-BR"/>
        </w:rPr>
        <w:instrText>10.30849/ripijp.v56i1.1587</w:instrText>
      </w:r>
      <w:r w:rsidRPr="002166FE">
        <w:rPr>
          <w:bCs/>
          <w:lang w:val="pt-BR"/>
        </w:rPr>
        <w:instrText xml:space="preserve">" </w:instrText>
      </w:r>
      <w:r w:rsidRPr="002166FE">
        <w:rPr>
          <w:bCs/>
          <w:lang w:val="pt-BR"/>
        </w:rPr>
        <w:fldChar w:fldCharType="separate"/>
      </w:r>
      <w:r w:rsidRPr="002166FE">
        <w:rPr>
          <w:rStyle w:val="Hipervnculo"/>
          <w:bCs/>
          <w:lang w:val="pt-BR"/>
        </w:rPr>
        <w:t>https://doi.org/</w:t>
      </w:r>
      <w:r w:rsidRPr="002166FE">
        <w:rPr>
          <w:rStyle w:val="Hipervnculo"/>
          <w:bCs/>
          <w:lang w:val="pt-BR"/>
        </w:rPr>
        <w:t>10.30849/ripijp.v56i1.1587</w:t>
      </w:r>
      <w:r w:rsidRPr="002166FE">
        <w:rPr>
          <w:bCs/>
          <w:lang w:val="pt-BR"/>
        </w:rPr>
        <w:fldChar w:fldCharType="end"/>
      </w:r>
    </w:p>
    <w:p w14:paraId="297D9A1C" w14:textId="78C7CBB3" w:rsidR="002166FE" w:rsidRPr="002166FE" w:rsidRDefault="002166FE" w:rsidP="002166FE">
      <w:pPr>
        <w:rPr>
          <w:bCs/>
          <w:lang w:val="pt-BR"/>
        </w:rPr>
      </w:pPr>
      <w:proofErr w:type="spellStart"/>
      <w:r>
        <w:rPr>
          <w:bCs/>
          <w:lang w:val="pt-BR"/>
        </w:rPr>
        <w:t>Paginación</w:t>
      </w:r>
      <w:proofErr w:type="spellEnd"/>
      <w:r>
        <w:rPr>
          <w:bCs/>
          <w:lang w:val="pt-BR"/>
        </w:rPr>
        <w:t xml:space="preserve"> electrónica: e1587</w:t>
      </w:r>
    </w:p>
    <w:p w14:paraId="00000001" w14:textId="5E52F01B" w:rsidR="00E05D2A" w:rsidRDefault="007D47DC">
      <w:pPr>
        <w:jc w:val="center"/>
        <w:rPr>
          <w:b/>
          <w:sz w:val="36"/>
          <w:szCs w:val="36"/>
          <w:lang w:val="en-US"/>
        </w:rPr>
      </w:pPr>
      <w:r w:rsidRPr="00EF7014">
        <w:rPr>
          <w:b/>
          <w:sz w:val="36"/>
          <w:szCs w:val="36"/>
          <w:lang w:val="en-US"/>
        </w:rPr>
        <w:t>Effect of the differential discount value on the purchase prediction: an approach from associative learning</w:t>
      </w:r>
    </w:p>
    <w:p w14:paraId="3D501F2D" w14:textId="45C8CFCC" w:rsidR="00CB0C02" w:rsidRDefault="00CB0C02" w:rsidP="00CB0C02">
      <w:pPr>
        <w:rPr>
          <w:b/>
          <w:sz w:val="36"/>
          <w:szCs w:val="36"/>
          <w:lang w:val="en-US"/>
        </w:rPr>
      </w:pPr>
    </w:p>
    <w:p w14:paraId="64B24EE0" w14:textId="4284754C" w:rsidR="00CB0C02" w:rsidRPr="00D33181" w:rsidRDefault="00CC0874" w:rsidP="00CB0C02">
      <w:pPr>
        <w:rPr>
          <w:iCs/>
          <w:sz w:val="28"/>
          <w:szCs w:val="28"/>
        </w:rPr>
      </w:pPr>
      <w:r w:rsidRPr="00D33181">
        <w:rPr>
          <w:iCs/>
          <w:sz w:val="28"/>
          <w:szCs w:val="28"/>
        </w:rPr>
        <w:t>Liliana Yamile</w:t>
      </w:r>
      <w:r w:rsidR="00CB0C02" w:rsidRPr="00D33181">
        <w:rPr>
          <w:iCs/>
          <w:sz w:val="28"/>
          <w:szCs w:val="28"/>
        </w:rPr>
        <w:t xml:space="preserve"> </w:t>
      </w:r>
      <w:r w:rsidR="00D92757" w:rsidRPr="00D33181">
        <w:rPr>
          <w:iCs/>
          <w:sz w:val="28"/>
          <w:szCs w:val="28"/>
        </w:rPr>
        <w:t>Rodríguez</w:t>
      </w:r>
      <w:r w:rsidR="00713D35" w:rsidRPr="00D33181">
        <w:rPr>
          <w:iCs/>
          <w:sz w:val="28"/>
          <w:szCs w:val="28"/>
        </w:rPr>
        <w:t>-</w:t>
      </w:r>
      <w:r w:rsidR="00D92757" w:rsidRPr="00D33181">
        <w:rPr>
          <w:iCs/>
          <w:sz w:val="28"/>
          <w:szCs w:val="28"/>
        </w:rPr>
        <w:t>González</w:t>
      </w:r>
    </w:p>
    <w:p w14:paraId="5D38AAB4" w14:textId="0A0B25E6" w:rsidR="00CC0874" w:rsidRPr="00D33181" w:rsidRDefault="007F3B31" w:rsidP="00CB0C02">
      <w:pPr>
        <w:rPr>
          <w:iCs/>
          <w:sz w:val="28"/>
          <w:szCs w:val="28"/>
          <w:lang w:val="es-AR"/>
        </w:rPr>
      </w:pPr>
      <w:hyperlink r:id="rId7" w:history="1">
        <w:r w:rsidR="00CC0874" w:rsidRPr="00D33181">
          <w:rPr>
            <w:rStyle w:val="Hipervnculo"/>
            <w:iCs/>
            <w:sz w:val="28"/>
            <w:szCs w:val="28"/>
            <w:lang w:val="es-AR"/>
          </w:rPr>
          <w:t>https://orcid.org/0000-0002-2770-3078</w:t>
        </w:r>
      </w:hyperlink>
    </w:p>
    <w:p w14:paraId="7849A858" w14:textId="39ABC64F" w:rsidR="00CC0874" w:rsidRDefault="00CC0874" w:rsidP="00CB0C02">
      <w:pPr>
        <w:rPr>
          <w:i/>
          <w:sz w:val="28"/>
          <w:szCs w:val="28"/>
          <w:lang w:val="es-AR"/>
        </w:rPr>
      </w:pPr>
      <w:r w:rsidRPr="00CC0874">
        <w:rPr>
          <w:i/>
          <w:sz w:val="28"/>
          <w:szCs w:val="28"/>
          <w:lang w:val="es-AR"/>
        </w:rPr>
        <w:t>Fundación Universitaria Konrad Lorenz, Bogotá, Colombia.</w:t>
      </w:r>
    </w:p>
    <w:p w14:paraId="0DE39314" w14:textId="77777777" w:rsidR="00CC0874" w:rsidRDefault="00CC0874" w:rsidP="00CB0C02">
      <w:pPr>
        <w:rPr>
          <w:i/>
          <w:sz w:val="28"/>
          <w:szCs w:val="28"/>
          <w:lang w:val="es-AR"/>
        </w:rPr>
      </w:pPr>
    </w:p>
    <w:p w14:paraId="2B18B382" w14:textId="1D02375E" w:rsidR="00CB0C02" w:rsidRPr="00D33181" w:rsidRDefault="00D33181" w:rsidP="00CB0C02">
      <w:pPr>
        <w:rPr>
          <w:iCs/>
          <w:sz w:val="28"/>
          <w:szCs w:val="28"/>
          <w:lang w:val="es-AR"/>
        </w:rPr>
      </w:pPr>
      <w:r w:rsidRPr="00D33181">
        <w:rPr>
          <w:iCs/>
          <w:sz w:val="28"/>
          <w:szCs w:val="28"/>
          <w:lang w:val="es-AR"/>
        </w:rPr>
        <w:t xml:space="preserve">José Alejandro </w:t>
      </w:r>
      <w:proofErr w:type="spellStart"/>
      <w:r w:rsidRPr="00D33181">
        <w:rPr>
          <w:iCs/>
          <w:sz w:val="28"/>
          <w:szCs w:val="28"/>
          <w:lang w:val="es-AR"/>
        </w:rPr>
        <w:t>Aristizábal</w:t>
      </w:r>
      <w:proofErr w:type="spellEnd"/>
    </w:p>
    <w:p w14:paraId="5C789FF4" w14:textId="3F83BF0C" w:rsidR="00CC0874" w:rsidRPr="00D33181" w:rsidRDefault="007F3B31" w:rsidP="00CB0C02">
      <w:pPr>
        <w:rPr>
          <w:iCs/>
          <w:sz w:val="28"/>
          <w:szCs w:val="28"/>
          <w:lang w:val="es-AR"/>
        </w:rPr>
      </w:pPr>
      <w:hyperlink r:id="rId8" w:history="1">
        <w:r w:rsidR="00CC0874" w:rsidRPr="00D33181">
          <w:rPr>
            <w:rStyle w:val="Hipervnculo"/>
            <w:iCs/>
            <w:sz w:val="28"/>
            <w:szCs w:val="28"/>
            <w:lang w:val="es-AR"/>
          </w:rPr>
          <w:t>https://orcid.org/0000-0001-9590-5221</w:t>
        </w:r>
      </w:hyperlink>
    </w:p>
    <w:p w14:paraId="3FEBF649" w14:textId="77777777" w:rsidR="00CC0874" w:rsidRDefault="00CC0874" w:rsidP="00CC0874">
      <w:pPr>
        <w:rPr>
          <w:i/>
          <w:sz w:val="28"/>
          <w:szCs w:val="28"/>
          <w:lang w:val="es-AR"/>
        </w:rPr>
      </w:pPr>
      <w:r w:rsidRPr="00CC0874">
        <w:rPr>
          <w:i/>
          <w:sz w:val="28"/>
          <w:szCs w:val="28"/>
          <w:lang w:val="es-AR"/>
        </w:rPr>
        <w:t>Fundación Universitaria Konrad Lorenz, Bogotá, Colombia.</w:t>
      </w:r>
    </w:p>
    <w:p w14:paraId="66144BE6" w14:textId="77777777" w:rsidR="00CC0874" w:rsidRDefault="00CC0874" w:rsidP="00CB0C02">
      <w:pPr>
        <w:rPr>
          <w:i/>
          <w:sz w:val="28"/>
          <w:szCs w:val="28"/>
          <w:lang w:val="es-AR"/>
        </w:rPr>
      </w:pPr>
    </w:p>
    <w:p w14:paraId="43D8A5C4" w14:textId="101F6BE9" w:rsidR="00CB0C02" w:rsidRPr="00D33181" w:rsidRDefault="00CC0874" w:rsidP="00CB0C02">
      <w:pPr>
        <w:rPr>
          <w:iCs/>
          <w:sz w:val="28"/>
          <w:szCs w:val="28"/>
          <w:lang w:val="es-AR"/>
        </w:rPr>
      </w:pPr>
      <w:proofErr w:type="spellStart"/>
      <w:r w:rsidRPr="00D33181">
        <w:rPr>
          <w:iCs/>
          <w:sz w:val="28"/>
          <w:szCs w:val="28"/>
          <w:lang w:val="es-AR"/>
        </w:rPr>
        <w:t>Juli</w:t>
      </w:r>
      <w:r w:rsidR="00656A1D" w:rsidRPr="00D33181">
        <w:rPr>
          <w:iCs/>
          <w:sz w:val="28"/>
          <w:szCs w:val="28"/>
          <w:lang w:val="es-AR"/>
        </w:rPr>
        <w:t>a</w:t>
      </w:r>
      <w:r w:rsidRPr="00D33181">
        <w:rPr>
          <w:iCs/>
          <w:sz w:val="28"/>
          <w:szCs w:val="28"/>
          <w:lang w:val="es-AR"/>
        </w:rPr>
        <w:t>n</w:t>
      </w:r>
      <w:proofErr w:type="spellEnd"/>
      <w:r w:rsidR="00CB0C02" w:rsidRPr="00D33181">
        <w:rPr>
          <w:iCs/>
          <w:sz w:val="28"/>
          <w:szCs w:val="28"/>
          <w:lang w:val="es-AR"/>
        </w:rPr>
        <w:t xml:space="preserve"> </w:t>
      </w:r>
      <w:r w:rsidRPr="00D33181">
        <w:rPr>
          <w:iCs/>
          <w:sz w:val="28"/>
          <w:szCs w:val="28"/>
          <w:lang w:val="es-AR"/>
        </w:rPr>
        <w:t>Tejada</w:t>
      </w:r>
    </w:p>
    <w:p w14:paraId="6913294D" w14:textId="7DAD4891" w:rsidR="00CC0874" w:rsidRPr="00D33181" w:rsidRDefault="007F3B31" w:rsidP="00CB0C02">
      <w:pPr>
        <w:rPr>
          <w:iCs/>
          <w:sz w:val="28"/>
          <w:szCs w:val="28"/>
          <w:lang w:val="es-AR"/>
        </w:rPr>
      </w:pPr>
      <w:hyperlink r:id="rId9" w:history="1">
        <w:r w:rsidR="00CC0874" w:rsidRPr="00D33181">
          <w:rPr>
            <w:rStyle w:val="Hipervnculo"/>
            <w:iCs/>
            <w:sz w:val="28"/>
            <w:szCs w:val="28"/>
            <w:lang w:val="es-AR"/>
          </w:rPr>
          <w:t>https://orcid.org/0000-0003-0275-3578</w:t>
        </w:r>
      </w:hyperlink>
    </w:p>
    <w:p w14:paraId="7100A6F9" w14:textId="72E274CB" w:rsidR="00CC0874" w:rsidRPr="00CC0874" w:rsidRDefault="00CC0874" w:rsidP="00CB0C02">
      <w:pPr>
        <w:rPr>
          <w:i/>
          <w:sz w:val="28"/>
          <w:szCs w:val="28"/>
          <w:lang w:val="pt-BR"/>
        </w:rPr>
      </w:pPr>
      <w:r w:rsidRPr="00CC0874">
        <w:rPr>
          <w:i/>
          <w:sz w:val="28"/>
          <w:szCs w:val="28"/>
          <w:lang w:val="pt-BR"/>
        </w:rPr>
        <w:t>Universidade Federal de Sergipe, São Cristóvão, Brasil.</w:t>
      </w:r>
    </w:p>
    <w:p w14:paraId="5FE6E1A4" w14:textId="376B477D" w:rsidR="00CB0C02" w:rsidRPr="00CC0874" w:rsidRDefault="00CB0C02" w:rsidP="00CB0C02">
      <w:pPr>
        <w:rPr>
          <w:i/>
          <w:sz w:val="28"/>
          <w:szCs w:val="28"/>
          <w:lang w:val="pt-BR"/>
        </w:rPr>
      </w:pPr>
    </w:p>
    <w:p w14:paraId="743C1639" w14:textId="77777777" w:rsidR="00CB0C02" w:rsidRPr="00CC0874" w:rsidRDefault="00CB0C02" w:rsidP="00CB0C02">
      <w:pPr>
        <w:rPr>
          <w:iCs/>
          <w:sz w:val="28"/>
          <w:szCs w:val="28"/>
          <w:lang w:val="pt-BR"/>
        </w:rPr>
      </w:pPr>
      <w:r w:rsidRPr="00CC0874">
        <w:rPr>
          <w:iCs/>
          <w:sz w:val="28"/>
          <w:szCs w:val="28"/>
          <w:lang w:val="pt-BR"/>
        </w:rPr>
        <w:t>Notas de autor:</w:t>
      </w:r>
    </w:p>
    <w:p w14:paraId="402D8011" w14:textId="77777777" w:rsidR="00CB0C02" w:rsidRPr="00CC0874" w:rsidRDefault="00CB0C02" w:rsidP="00CB0C02">
      <w:pPr>
        <w:spacing w:before="240"/>
        <w:jc w:val="both"/>
        <w:rPr>
          <w:lang w:val="pt-BR"/>
        </w:rPr>
      </w:pPr>
    </w:p>
    <w:p w14:paraId="2C96F3A7" w14:textId="5CE1D86C" w:rsidR="00CB0C02" w:rsidRPr="0006546D" w:rsidRDefault="00CB0C02" w:rsidP="00CB0C02">
      <w:pPr>
        <w:pStyle w:val="Prrafodelista"/>
        <w:numPr>
          <w:ilvl w:val="0"/>
          <w:numId w:val="1"/>
        </w:numPr>
        <w:rPr>
          <w:lang w:val="en-US"/>
        </w:rPr>
      </w:pPr>
      <w:r w:rsidRPr="0006546D">
        <w:rPr>
          <w:lang w:val="en-US"/>
        </w:rPr>
        <w:t xml:space="preserve">Correspondence about this article should be addressed to </w:t>
      </w:r>
      <w:r w:rsidR="00D92757" w:rsidRPr="00D92757">
        <w:rPr>
          <w:lang w:val="en-US"/>
        </w:rPr>
        <w:t xml:space="preserve">Liliana </w:t>
      </w:r>
      <w:proofErr w:type="spellStart"/>
      <w:r w:rsidR="00D92757" w:rsidRPr="00D92757">
        <w:rPr>
          <w:lang w:val="en-US"/>
        </w:rPr>
        <w:t>Yamile</w:t>
      </w:r>
      <w:proofErr w:type="spellEnd"/>
      <w:r w:rsidR="00D92757" w:rsidRPr="00D92757">
        <w:rPr>
          <w:lang w:val="en-US"/>
        </w:rPr>
        <w:t xml:space="preserve"> Rodríguez González</w:t>
      </w:r>
      <w:r w:rsidRPr="0006546D">
        <w:rPr>
          <w:lang w:val="en-US"/>
        </w:rPr>
        <w:t xml:space="preserve">: </w:t>
      </w:r>
      <w:hyperlink r:id="rId10" w:history="1">
        <w:r w:rsidRPr="00150D47">
          <w:rPr>
            <w:rStyle w:val="Hipervnculo"/>
            <w:lang w:val="en-US"/>
          </w:rPr>
          <w:t>lilianay.rodriguezg@konradlorenz.edu.co</w:t>
        </w:r>
      </w:hyperlink>
      <w:r>
        <w:rPr>
          <w:lang w:val="en-US"/>
        </w:rPr>
        <w:t xml:space="preserve"> </w:t>
      </w:r>
    </w:p>
    <w:p w14:paraId="360E2197" w14:textId="77777777" w:rsidR="00CB0C02" w:rsidRPr="0006546D" w:rsidRDefault="00CB0C02" w:rsidP="00CB0C02">
      <w:pPr>
        <w:pStyle w:val="Prrafodelista"/>
        <w:numPr>
          <w:ilvl w:val="0"/>
          <w:numId w:val="1"/>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572B621D" w14:textId="77777777" w:rsidR="00CB0C02" w:rsidRPr="0006546D" w:rsidRDefault="00CB0C02" w:rsidP="00CB0C02">
      <w:pPr>
        <w:pStyle w:val="Prrafodelista"/>
        <w:rPr>
          <w:lang w:val="en-US"/>
        </w:rPr>
      </w:pPr>
    </w:p>
    <w:p w14:paraId="365FDE95" w14:textId="77777777" w:rsidR="00CB0C02" w:rsidRPr="0006546D" w:rsidRDefault="00CB0C02" w:rsidP="00CB0C02">
      <w:pPr>
        <w:pStyle w:val="Prrafodelista"/>
        <w:shd w:val="clear" w:color="auto" w:fill="FFFFFF"/>
        <w:jc w:val="right"/>
        <w:rPr>
          <w:i/>
          <w:iCs/>
          <w:sz w:val="20"/>
          <w:szCs w:val="20"/>
          <w:lang w:val="en-US"/>
        </w:rPr>
      </w:pPr>
      <w:r w:rsidRPr="0006546D">
        <w:rPr>
          <w:i/>
          <w:iCs/>
          <w:sz w:val="20"/>
          <w:szCs w:val="20"/>
          <w:lang w:val="en-US"/>
        </w:rPr>
        <w:t>Received:</w:t>
      </w:r>
      <w:r w:rsidRPr="00656A1D">
        <w:rPr>
          <w:lang w:val="en-US"/>
        </w:rPr>
        <w:t xml:space="preserve"> </w:t>
      </w:r>
      <w:r w:rsidRPr="0006546D">
        <w:rPr>
          <w:i/>
          <w:iCs/>
          <w:sz w:val="20"/>
          <w:szCs w:val="20"/>
          <w:lang w:val="en-US"/>
        </w:rPr>
        <w:t>2021-01-27</w:t>
      </w:r>
    </w:p>
    <w:p w14:paraId="16EAD120" w14:textId="77777777" w:rsidR="00CB0C02" w:rsidRPr="0006546D" w:rsidRDefault="00CB0C02" w:rsidP="00CB0C02">
      <w:pPr>
        <w:pStyle w:val="Prrafodelista"/>
        <w:shd w:val="clear" w:color="auto" w:fill="FFFFFF"/>
        <w:jc w:val="right"/>
        <w:rPr>
          <w:i/>
          <w:iCs/>
          <w:sz w:val="20"/>
          <w:szCs w:val="20"/>
          <w:lang w:val="en-US"/>
        </w:rPr>
      </w:pPr>
      <w:r w:rsidRPr="0006546D">
        <w:rPr>
          <w:i/>
          <w:iCs/>
          <w:sz w:val="20"/>
          <w:szCs w:val="20"/>
          <w:lang w:val="en-US"/>
        </w:rPr>
        <w:t>Accepted:</w:t>
      </w:r>
      <w:r w:rsidRPr="00656A1D">
        <w:rPr>
          <w:lang w:val="en-US"/>
        </w:rPr>
        <w:t xml:space="preserve"> </w:t>
      </w:r>
      <w:r w:rsidRPr="0006546D">
        <w:rPr>
          <w:i/>
          <w:iCs/>
          <w:sz w:val="20"/>
          <w:szCs w:val="20"/>
          <w:lang w:val="en-US"/>
        </w:rPr>
        <w:t>2022-03-19</w:t>
      </w:r>
    </w:p>
    <w:p w14:paraId="29A26A5E" w14:textId="77777777" w:rsidR="00CB0C02" w:rsidRPr="00656A1D" w:rsidRDefault="00CB0C02" w:rsidP="00CB0C02">
      <w:pPr>
        <w:rPr>
          <w:i/>
          <w:sz w:val="28"/>
          <w:szCs w:val="28"/>
          <w:lang w:val="en-US"/>
        </w:rPr>
      </w:pPr>
    </w:p>
    <w:p w14:paraId="00000002" w14:textId="77777777" w:rsidR="00E05D2A" w:rsidRPr="00EF7014" w:rsidRDefault="007D47DC">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26775170" wp14:editId="4A7BEF1F">
                <wp:simplePos x="0" y="0"/>
                <wp:positionH relativeFrom="column">
                  <wp:posOffset>1</wp:posOffset>
                </wp:positionH>
                <wp:positionV relativeFrom="paragraph">
                  <wp:posOffset>55896</wp:posOffset>
                </wp:positionV>
                <wp:extent cx="6172200" cy="25400"/>
                <wp:effectExtent l="0" t="0" r="0" b="0"/>
                <wp:wrapNone/>
                <wp:docPr id="16" name="Conector recto de flecha 16"/>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172200" cy="25400"/>
                        </a:xfrm>
                        <a:prstGeom prst="rect"/>
                        <a:ln/>
                      </pic:spPr>
                    </pic:pic>
                  </a:graphicData>
                </a:graphic>
              </wp:anchor>
            </w:drawing>
          </mc:Fallback>
        </mc:AlternateContent>
      </w:r>
    </w:p>
    <w:p w14:paraId="00000003" w14:textId="77777777" w:rsidR="00E05D2A" w:rsidRPr="00EF7014" w:rsidRDefault="00E05D2A">
      <w:pPr>
        <w:rPr>
          <w:b/>
          <w:sz w:val="20"/>
          <w:szCs w:val="20"/>
          <w:lang w:val="en-US"/>
        </w:rPr>
      </w:pPr>
    </w:p>
    <w:p w14:paraId="00000004" w14:textId="77777777" w:rsidR="00E05D2A" w:rsidRPr="00EF7014" w:rsidRDefault="007D47DC">
      <w:pPr>
        <w:pBdr>
          <w:top w:val="nil"/>
          <w:left w:val="nil"/>
          <w:bottom w:val="nil"/>
          <w:right w:val="nil"/>
          <w:between w:val="nil"/>
        </w:pBdr>
        <w:spacing w:after="120"/>
        <w:jc w:val="center"/>
        <w:rPr>
          <w:b/>
          <w:smallCaps/>
          <w:color w:val="000000"/>
          <w:sz w:val="20"/>
          <w:szCs w:val="20"/>
          <w:lang w:val="en-US"/>
        </w:rPr>
      </w:pPr>
      <w:r w:rsidRPr="00EF7014">
        <w:rPr>
          <w:b/>
          <w:smallCaps/>
          <w:color w:val="000000"/>
          <w:sz w:val="20"/>
          <w:szCs w:val="20"/>
          <w:lang w:val="en-US"/>
        </w:rPr>
        <w:t>Abstract</w:t>
      </w:r>
    </w:p>
    <w:p w14:paraId="00000005" w14:textId="6A81A8CB" w:rsidR="00E05D2A" w:rsidRPr="00EF7014" w:rsidRDefault="007D47DC">
      <w:pPr>
        <w:rPr>
          <w:sz w:val="20"/>
          <w:szCs w:val="20"/>
          <w:lang w:val="en-US"/>
        </w:rPr>
      </w:pPr>
      <w:r w:rsidRPr="00EF7014">
        <w:rPr>
          <w:sz w:val="20"/>
          <w:szCs w:val="20"/>
          <w:lang w:val="en-US"/>
        </w:rPr>
        <w:t>Through a trial-based learning task, participants were trained to make a predictive purchase judgment by observing a cue (product) in a context (store) followed by an outcome (discount). Cue X was associated with different outcomes (partial reinforcement) during the trials (discounts of 50%, 30%, 0%), while cue Z was associated with the same result (continuous reinforcement) during the trials (discount of 30%); both cues were trained in the same context (shop A). Cue Y was associated with the absence of result (no discount) in a different context (store B). The test of the three cues X, Y, Z was performed in the context of training and in the different but familiar context to the task (stores A and B). Context change significantly reduced the judgments of the X and Z cues but showed no changes in the Y cue. The findings are discussed from the perspective of the Attentional Theory of Contextual Processing to explain that the effect of context change does occur due to the salience of the context and the ambiguity in the meaning of the cues, but its scope includes both the continuously reinforced cue and the partially reinforced cue.</w:t>
      </w:r>
      <w:r w:rsidR="00C666D4">
        <w:rPr>
          <w:sz w:val="20"/>
          <w:szCs w:val="20"/>
          <w:lang w:val="en-US"/>
        </w:rPr>
        <w:t xml:space="preserve"> </w:t>
      </w:r>
      <w:r w:rsidR="00C666D4" w:rsidRPr="00C666D4">
        <w:rPr>
          <w:sz w:val="20"/>
          <w:szCs w:val="20"/>
          <w:lang w:val="en-US"/>
        </w:rPr>
        <w:t xml:space="preserve">These results have practical implications </w:t>
      </w:r>
      <w:r w:rsidR="0075564E" w:rsidRPr="00C666D4">
        <w:rPr>
          <w:sz w:val="20"/>
          <w:szCs w:val="20"/>
          <w:lang w:val="en-US"/>
        </w:rPr>
        <w:t>in</w:t>
      </w:r>
      <w:r w:rsidR="00C666D4" w:rsidRPr="00C666D4">
        <w:rPr>
          <w:sz w:val="20"/>
          <w:szCs w:val="20"/>
          <w:lang w:val="en-US"/>
        </w:rPr>
        <w:t xml:space="preserve"> marketing and consumer psychology for the adoption of discount strategies that can be used in online and offline environments.</w:t>
      </w:r>
    </w:p>
    <w:p w14:paraId="00000006" w14:textId="77777777" w:rsidR="00E05D2A" w:rsidRPr="00EF7014" w:rsidRDefault="00E05D2A">
      <w:pPr>
        <w:rPr>
          <w:sz w:val="20"/>
          <w:szCs w:val="20"/>
          <w:lang w:val="en-US"/>
        </w:rPr>
      </w:pPr>
    </w:p>
    <w:p w14:paraId="00000007" w14:textId="77777777" w:rsidR="00E05D2A" w:rsidRPr="00EF7014" w:rsidRDefault="007D47DC">
      <w:pPr>
        <w:rPr>
          <w:b/>
          <w:sz w:val="20"/>
          <w:szCs w:val="20"/>
          <w:lang w:val="en-US"/>
        </w:rPr>
      </w:pPr>
      <w:r w:rsidRPr="00EF7014">
        <w:rPr>
          <w:b/>
          <w:sz w:val="20"/>
          <w:szCs w:val="20"/>
          <w:lang w:val="en-US"/>
        </w:rPr>
        <w:t>Keywords</w:t>
      </w:r>
    </w:p>
    <w:p w14:paraId="00000008" w14:textId="77777777" w:rsidR="00E05D2A" w:rsidRPr="00EF7014" w:rsidRDefault="007D47DC">
      <w:pPr>
        <w:rPr>
          <w:sz w:val="20"/>
          <w:szCs w:val="20"/>
          <w:lang w:val="en-US"/>
        </w:rPr>
      </w:pPr>
      <w:r w:rsidRPr="00EF7014">
        <w:rPr>
          <w:sz w:val="20"/>
          <w:szCs w:val="20"/>
          <w:lang w:val="en-US"/>
        </w:rPr>
        <w:t>Associative learning; context; differential discount value; consumer behavior</w:t>
      </w:r>
    </w:p>
    <w:p w14:paraId="00000009" w14:textId="77777777" w:rsidR="00E05D2A" w:rsidRPr="00EF7014" w:rsidRDefault="00E05D2A">
      <w:pPr>
        <w:rPr>
          <w:sz w:val="20"/>
          <w:szCs w:val="20"/>
          <w:lang w:val="en-US"/>
        </w:rPr>
      </w:pPr>
    </w:p>
    <w:p w14:paraId="0000000A" w14:textId="77777777" w:rsidR="00E05D2A" w:rsidRPr="00EF7014" w:rsidRDefault="00E05D2A">
      <w:pPr>
        <w:rPr>
          <w:sz w:val="20"/>
          <w:szCs w:val="20"/>
          <w:lang w:val="en-US"/>
        </w:rPr>
      </w:pPr>
    </w:p>
    <w:p w14:paraId="0000000B" w14:textId="77777777" w:rsidR="00E05D2A" w:rsidRDefault="007D47DC">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0C" w14:textId="4D4C10B8" w:rsidR="00E05D2A" w:rsidRDefault="007D47DC">
      <w:pPr>
        <w:rPr>
          <w:sz w:val="20"/>
          <w:szCs w:val="20"/>
        </w:rPr>
      </w:pPr>
      <w:r>
        <w:rPr>
          <w:sz w:val="20"/>
          <w:szCs w:val="20"/>
        </w:rPr>
        <w:lastRenderedPageBreak/>
        <w:t xml:space="preserve">Mediante una tarea de aprendizaje por ensayos se entrenó a los participantes para que emitieran un juicio predictivo de compra al observar una clave (producto) en un contexto (tienda) seguido de un resultado (descuento). La clave X fue asociada a diferentes resultados (refuerzo parcial) durante los ensayos (descuentos de 50%, 30%, 0%), mientras que la clave Z fue asociada al mismo resultado (refuerzo continuo) durante los ensayos (descuento de 30%); ambas claves fueron entrenadas en el mismo contexto (tienda A). La clave Y fue asociada a la ausencia de resultado (sin descuento) en un contexto diferente (tienda B). La prueba de las tres claves X, Y, Z se realizó en el contexto de entrenamiento y en el contexto diferente pero familiar a la tarea (tiendas A y B). El cambio de contexto redujo significativamente los juicios de las claves X y Z, pero no mostró cambios en la clave Y. Se discuten los hallazgos desde la perspectiva de la Teoría Atencional de Procesamiento Contextual para explicar que el efecto de cambio de contexto sí ocurre por la </w:t>
      </w:r>
      <w:proofErr w:type="spellStart"/>
      <w:r>
        <w:rPr>
          <w:sz w:val="20"/>
          <w:szCs w:val="20"/>
        </w:rPr>
        <w:t>saliencia</w:t>
      </w:r>
      <w:proofErr w:type="spellEnd"/>
      <w:r>
        <w:rPr>
          <w:sz w:val="20"/>
          <w:szCs w:val="20"/>
        </w:rPr>
        <w:t xml:space="preserve"> del contexto y la ambigüedad en el significado de las claves, pero su alcance incluye tanto a la clave reforzada continuamente como la reforzada parcialmente.</w:t>
      </w:r>
      <w:r w:rsidR="000A214E">
        <w:rPr>
          <w:sz w:val="20"/>
          <w:szCs w:val="20"/>
        </w:rPr>
        <w:t xml:space="preserve"> Estos resultados tienen implicaciones prácticas </w:t>
      </w:r>
      <w:r w:rsidR="001E62B5">
        <w:rPr>
          <w:sz w:val="20"/>
          <w:szCs w:val="20"/>
        </w:rPr>
        <w:t>en</w:t>
      </w:r>
      <w:r w:rsidR="000A214E">
        <w:rPr>
          <w:sz w:val="20"/>
          <w:szCs w:val="20"/>
        </w:rPr>
        <w:t xml:space="preserve"> marketing y psicología del consumidor </w:t>
      </w:r>
      <w:r w:rsidR="001E62B5">
        <w:rPr>
          <w:sz w:val="20"/>
          <w:szCs w:val="20"/>
        </w:rPr>
        <w:t>para</w:t>
      </w:r>
      <w:r w:rsidR="000A214E">
        <w:rPr>
          <w:sz w:val="20"/>
          <w:szCs w:val="20"/>
        </w:rPr>
        <w:t xml:space="preserve"> la adopción de estrategias de descuento que pueden ser utilizadas en entornos online y offline.</w:t>
      </w:r>
    </w:p>
    <w:p w14:paraId="0000000D" w14:textId="77777777" w:rsidR="00E05D2A" w:rsidRDefault="00E05D2A">
      <w:pPr>
        <w:rPr>
          <w:sz w:val="20"/>
          <w:szCs w:val="20"/>
        </w:rPr>
      </w:pPr>
    </w:p>
    <w:p w14:paraId="0000000E" w14:textId="77777777" w:rsidR="00E05D2A" w:rsidRDefault="007D47DC">
      <w:pPr>
        <w:rPr>
          <w:b/>
          <w:sz w:val="20"/>
          <w:szCs w:val="20"/>
        </w:rPr>
      </w:pPr>
      <w:r>
        <w:rPr>
          <w:b/>
          <w:sz w:val="20"/>
          <w:szCs w:val="20"/>
        </w:rPr>
        <w:t>Palabras clave</w:t>
      </w:r>
    </w:p>
    <w:p w14:paraId="0000000F" w14:textId="77777777" w:rsidR="00E05D2A" w:rsidRDefault="007D47DC">
      <w:pPr>
        <w:rPr>
          <w:sz w:val="20"/>
          <w:szCs w:val="20"/>
        </w:rPr>
      </w:pPr>
      <w:r>
        <w:rPr>
          <w:sz w:val="20"/>
          <w:szCs w:val="20"/>
        </w:rPr>
        <w:t>Aprendizaje asociativo; contexto; valor diferencial de descuento; comportamiento del consumidor</w:t>
      </w:r>
    </w:p>
    <w:p w14:paraId="00000010" w14:textId="77777777" w:rsidR="00E05D2A" w:rsidRDefault="007D47DC">
      <w:pPr>
        <w:rPr>
          <w:sz w:val="20"/>
          <w:szCs w:val="20"/>
        </w:rPr>
      </w:pPr>
      <w:r>
        <w:rPr>
          <w:noProof/>
        </w:rPr>
        <w:drawing>
          <wp:anchor distT="0" distB="0" distL="114300" distR="114300" simplePos="0" relativeHeight="251659264" behindDoc="0" locked="0" layoutInCell="1" hidden="0" allowOverlap="1" wp14:anchorId="0F9147A7" wp14:editId="5376831F">
            <wp:simplePos x="0" y="0"/>
            <wp:positionH relativeFrom="column">
              <wp:posOffset>5400675</wp:posOffset>
            </wp:positionH>
            <wp:positionV relativeFrom="paragraph">
              <wp:posOffset>0</wp:posOffset>
            </wp:positionV>
            <wp:extent cx="396000" cy="25920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96000" cy="259200"/>
                    </a:xfrm>
                    <a:prstGeom prst="rect">
                      <a:avLst/>
                    </a:prstGeom>
                    <a:ln/>
                  </pic:spPr>
                </pic:pic>
              </a:graphicData>
            </a:graphic>
          </wp:anchor>
        </w:drawing>
      </w:r>
    </w:p>
    <w:p w14:paraId="00000011" w14:textId="77777777" w:rsidR="00E05D2A" w:rsidRDefault="00E05D2A">
      <w:pPr>
        <w:rPr>
          <w:b/>
        </w:rPr>
      </w:pPr>
    </w:p>
    <w:p w14:paraId="00000012" w14:textId="77777777" w:rsidR="00E05D2A" w:rsidRDefault="007D47DC">
      <w:pPr>
        <w:pBdr>
          <w:top w:val="nil"/>
          <w:left w:val="nil"/>
          <w:bottom w:val="nil"/>
          <w:right w:val="nil"/>
          <w:between w:val="nil"/>
        </w:pBdr>
        <w:spacing w:line="360" w:lineRule="auto"/>
        <w:jc w:val="center"/>
        <w:rPr>
          <w:color w:val="000000"/>
        </w:rPr>
      </w:pPr>
      <w:r>
        <w:br w:type="page"/>
      </w:r>
      <w:r>
        <w:rPr>
          <w:color w:val="000000"/>
        </w:rPr>
        <w:lastRenderedPageBreak/>
        <w:t>Efecto del valor diferencial de descuento en la predicción de compra: una aproximación desde el aprendizaje asociativo</w:t>
      </w:r>
    </w:p>
    <w:p w14:paraId="771F71C7" w14:textId="77777777" w:rsidR="00245E26" w:rsidRDefault="00245E26">
      <w:pPr>
        <w:pBdr>
          <w:top w:val="nil"/>
          <w:left w:val="nil"/>
          <w:bottom w:val="nil"/>
          <w:right w:val="nil"/>
          <w:between w:val="nil"/>
        </w:pBdr>
        <w:jc w:val="center"/>
        <w:rPr>
          <w:b/>
          <w:color w:val="000000"/>
        </w:rPr>
      </w:pPr>
    </w:p>
    <w:p w14:paraId="00000013" w14:textId="1B0A59B0" w:rsidR="00E05D2A" w:rsidRDefault="007D47DC" w:rsidP="00245E26">
      <w:pPr>
        <w:pBdr>
          <w:top w:val="nil"/>
          <w:left w:val="nil"/>
          <w:bottom w:val="nil"/>
          <w:right w:val="nil"/>
          <w:between w:val="nil"/>
        </w:pBdr>
        <w:spacing w:before="240"/>
        <w:jc w:val="center"/>
        <w:rPr>
          <w:b/>
          <w:color w:val="000000"/>
        </w:rPr>
      </w:pPr>
      <w:r>
        <w:rPr>
          <w:b/>
          <w:color w:val="000000"/>
        </w:rPr>
        <w:t>Introducción</w:t>
      </w:r>
    </w:p>
    <w:p w14:paraId="00000014" w14:textId="77777777" w:rsidR="00E05D2A" w:rsidRDefault="007D47DC" w:rsidP="00245E26">
      <w:pPr>
        <w:pBdr>
          <w:top w:val="nil"/>
          <w:left w:val="nil"/>
          <w:bottom w:val="nil"/>
          <w:right w:val="nil"/>
          <w:between w:val="nil"/>
        </w:pBdr>
        <w:spacing w:before="240" w:line="360" w:lineRule="auto"/>
        <w:ind w:firstLine="708"/>
        <w:rPr>
          <w:color w:val="000000"/>
        </w:rPr>
      </w:pPr>
      <w:r>
        <w:rPr>
          <w:color w:val="000000"/>
        </w:rPr>
        <w:t xml:space="preserve">Cuando un consumidor decide comprar un producto, la información que le permite tomar la decisión a menudo depende del recuerdo de experiencias en donde ha asociado atributos de ese producto, como la marca, los ingredientes o componentes, el empaque, e incluso, la tienda en donde puede encontrarlo, con los resultados de la decisión de compra; estos recuerdos son alimentados con cada nueva experiencia similar, por tanto, las asociaciones entre atributos o características del producto pueden cambiar con el tiempo (Van </w:t>
      </w:r>
      <w:proofErr w:type="spellStart"/>
      <w:r>
        <w:rPr>
          <w:color w:val="000000"/>
        </w:rPr>
        <w:t>Osselaer</w:t>
      </w:r>
      <w:proofErr w:type="spellEnd"/>
      <w:r>
        <w:rPr>
          <w:color w:val="000000"/>
        </w:rPr>
        <w:t xml:space="preserve">, 2008). Toda la información presente en el momento de la compra tiene el potencial de influir en la decisión del consumidor; por ejemplo, la proyección del desempeño del producto, su calidad, durabilidad, promoción de venta, o la satisfacción generada de su uso; sin embargo, dependiendo de la atención prestada por el consumidor a la información presente en cada situación específica, se pueden configuran nuevas asociaciones, modificar las anteriores, hacerlas disponibles para futuras situaciones en las que se requieran, e incluso, permitir la predicción de compra (Allen &amp; </w:t>
      </w:r>
      <w:proofErr w:type="spellStart"/>
      <w:r>
        <w:rPr>
          <w:color w:val="000000"/>
        </w:rPr>
        <w:t>Shimp</w:t>
      </w:r>
      <w:proofErr w:type="spellEnd"/>
      <w:r>
        <w:rPr>
          <w:color w:val="000000"/>
        </w:rPr>
        <w:t xml:space="preserve">, 1990; </w:t>
      </w:r>
      <w:proofErr w:type="spellStart"/>
      <w:r>
        <w:rPr>
          <w:color w:val="000000"/>
        </w:rPr>
        <w:t>Turley</w:t>
      </w:r>
      <w:proofErr w:type="spellEnd"/>
      <w:r>
        <w:rPr>
          <w:color w:val="000000"/>
        </w:rPr>
        <w:t xml:space="preserve"> &amp; </w:t>
      </w:r>
      <w:proofErr w:type="spellStart"/>
      <w:r>
        <w:rPr>
          <w:color w:val="000000"/>
        </w:rPr>
        <w:t>Milliman</w:t>
      </w:r>
      <w:proofErr w:type="spellEnd"/>
      <w:r>
        <w:rPr>
          <w:color w:val="000000"/>
        </w:rPr>
        <w:t xml:space="preserve">, 2000; Van </w:t>
      </w:r>
      <w:proofErr w:type="spellStart"/>
      <w:r>
        <w:rPr>
          <w:color w:val="000000"/>
        </w:rPr>
        <w:t>Osselaer</w:t>
      </w:r>
      <w:proofErr w:type="spellEnd"/>
      <w:r>
        <w:rPr>
          <w:color w:val="000000"/>
        </w:rPr>
        <w:t>, 2008).</w:t>
      </w:r>
    </w:p>
    <w:p w14:paraId="00000015" w14:textId="5F98530A" w:rsidR="00E05D2A" w:rsidRDefault="007D47DC">
      <w:pPr>
        <w:pBdr>
          <w:top w:val="nil"/>
          <w:left w:val="nil"/>
          <w:bottom w:val="nil"/>
          <w:right w:val="nil"/>
          <w:between w:val="nil"/>
        </w:pBdr>
        <w:spacing w:line="360" w:lineRule="auto"/>
        <w:ind w:firstLine="708"/>
        <w:rPr>
          <w:color w:val="000000"/>
        </w:rPr>
      </w:pPr>
      <w:r>
        <w:rPr>
          <w:color w:val="000000"/>
        </w:rPr>
        <w:t xml:space="preserve">Este análisis de una situación de consumo frecuente tiene su base en el condicionamiento clásico o </w:t>
      </w:r>
      <w:proofErr w:type="spellStart"/>
      <w:r>
        <w:rPr>
          <w:color w:val="000000"/>
        </w:rPr>
        <w:t>Pavloviano</w:t>
      </w:r>
      <w:proofErr w:type="spellEnd"/>
      <w:r>
        <w:rPr>
          <w:color w:val="000000"/>
        </w:rPr>
        <w:t xml:space="preserve"> (</w:t>
      </w:r>
      <w:proofErr w:type="spellStart"/>
      <w:r>
        <w:rPr>
          <w:color w:val="000000"/>
        </w:rPr>
        <w:t>Pavlov</w:t>
      </w:r>
      <w:proofErr w:type="spellEnd"/>
      <w:r>
        <w:rPr>
          <w:color w:val="000000"/>
        </w:rPr>
        <w:t>, 1927), que explica cómo una campana (estímulo neutro) que es presentada de forma constante junto a un estímulo biológicamente relevante como la comida (estímulo incondicionado)</w:t>
      </w:r>
      <w:r w:rsidR="00140C21">
        <w:rPr>
          <w:color w:val="000000"/>
        </w:rPr>
        <w:t>,</w:t>
      </w:r>
      <w:r>
        <w:rPr>
          <w:color w:val="000000"/>
        </w:rPr>
        <w:t xml:space="preserve"> puede llegar a provocar en un perro la respuesta específica de salivación; cuando esto ocurre, la campana se convierte en un estímulo condicionado que ha adquirido propiedades del estímulo incondicionado y por ello, genera la misma respuesta de salivación que el perro mostraba inicialmente sólo en presencia de la comida. Hacia el final del siglo XX la interpretación de esta perspectiva, centrada en la explicación de las relaciones estímulo-respuesta y estímulo-estímulo, fue vista desde una postura más cognitiva para comprender la </w:t>
      </w:r>
      <w:proofErr w:type="spellStart"/>
      <w:r>
        <w:rPr>
          <w:color w:val="000000"/>
        </w:rPr>
        <w:t>asociabilidad</w:t>
      </w:r>
      <w:proofErr w:type="spellEnd"/>
      <w:r>
        <w:rPr>
          <w:color w:val="000000"/>
        </w:rPr>
        <w:t xml:space="preserve"> existente entre estímulos (claves) que predicen la aparición de resultados con algún valor motivacional (</w:t>
      </w:r>
      <w:proofErr w:type="spellStart"/>
      <w:r>
        <w:rPr>
          <w:color w:val="000000"/>
        </w:rPr>
        <w:t>Rescorla</w:t>
      </w:r>
      <w:proofErr w:type="spellEnd"/>
      <w:r>
        <w:rPr>
          <w:color w:val="000000"/>
        </w:rPr>
        <w:t>, 1988). De esta manera, el cambio en la interpretación implicó que el perro aprendía a predecir la aparición de un resultado (estímulo incondicionado: la comida) al percibir una clave (estímulo condicionado: la campana) que no estaba inicialmente relacionada; entonces, en lugar de establecer la relación entre c</w:t>
      </w:r>
      <w:r w:rsidR="00140C21">
        <w:rPr>
          <w:color w:val="000000"/>
        </w:rPr>
        <w:t>lav</w:t>
      </w:r>
      <w:r>
        <w:rPr>
          <w:color w:val="000000"/>
        </w:rPr>
        <w:t xml:space="preserve">e (campana) y resultado (comida), se le enseña al perro que la </w:t>
      </w:r>
      <w:r>
        <w:rPr>
          <w:color w:val="000000"/>
        </w:rPr>
        <w:lastRenderedPageBreak/>
        <w:t xml:space="preserve">campana predice la aparición de la comida, haciendo que la respuesta de salivación sea una conducta de anticipación a la aparición de la comida. En el contexto del consumidor, esto implica que asociar el nombre de una marca (clave) con una buena experiencia de consumo (resultado), podría producir evaluaciones más positivas hacia la marca, no porque la marca haya adquirido una asociación positiva, sino porque el nombre de la marca predice una buena experiencia de consumo (Van </w:t>
      </w:r>
      <w:proofErr w:type="spellStart"/>
      <w:r>
        <w:rPr>
          <w:color w:val="000000"/>
        </w:rPr>
        <w:t>Osselaer</w:t>
      </w:r>
      <w:proofErr w:type="spellEnd"/>
      <w:r>
        <w:rPr>
          <w:color w:val="000000"/>
        </w:rPr>
        <w:t>, 2008). Esto también se puede evidenciar cuando se asocia un producto (clave) con un descuento promocional (resultado); se puede incrementar la probabilidad de compra del producto no porque el producto sea mejor valorado por el aprendizaje de la asociación producto-descuento, sino porque el producto predice la aparición de un beneficio económico (la representación de la reducción en la cantidad de dinero que se debe pagar por adquirir el producto) (</w:t>
      </w:r>
      <w:proofErr w:type="spellStart"/>
      <w:r>
        <w:rPr>
          <w:color w:val="000000"/>
        </w:rPr>
        <w:t>Alimpic</w:t>
      </w:r>
      <w:proofErr w:type="spellEnd"/>
      <w:r>
        <w:rPr>
          <w:color w:val="000000"/>
        </w:rPr>
        <w:t xml:space="preserve">, 2014; </w:t>
      </w:r>
      <w:proofErr w:type="spellStart"/>
      <w:r>
        <w:rPr>
          <w:color w:val="000000"/>
        </w:rPr>
        <w:t>Nusair</w:t>
      </w:r>
      <w:proofErr w:type="spellEnd"/>
      <w:r>
        <w:rPr>
          <w:color w:val="000000"/>
        </w:rPr>
        <w:t xml:space="preserve"> et al., 2010). </w:t>
      </w:r>
    </w:p>
    <w:p w14:paraId="00000016" w14:textId="78C9D0C7" w:rsidR="00E05D2A" w:rsidRDefault="007D47DC">
      <w:pPr>
        <w:pBdr>
          <w:top w:val="nil"/>
          <w:left w:val="nil"/>
          <w:bottom w:val="nil"/>
          <w:right w:val="nil"/>
          <w:between w:val="nil"/>
        </w:pBdr>
        <w:spacing w:line="360" w:lineRule="auto"/>
        <w:ind w:firstLine="708"/>
        <w:rPr>
          <w:color w:val="000000"/>
        </w:rPr>
      </w:pPr>
      <w:r>
        <w:rPr>
          <w:color w:val="000000"/>
        </w:rPr>
        <w:t>Esta orientación del aprendizaje asociativo, visto como el proceso de predicción de resultados a partir de la asociación clave</w:t>
      </w:r>
      <w:r w:rsidR="00140C21">
        <w:rPr>
          <w:color w:val="000000"/>
        </w:rPr>
        <w:t>-</w:t>
      </w:r>
      <w:r>
        <w:rPr>
          <w:color w:val="000000"/>
        </w:rPr>
        <w:t xml:space="preserve">resultado, ha sido abordado por varios modelos teóricos que vinculan, entre otros elementos, el valor adaptativo de las asociaciones en la predicción del resultado (Le </w:t>
      </w:r>
      <w:proofErr w:type="spellStart"/>
      <w:r>
        <w:rPr>
          <w:color w:val="000000"/>
        </w:rPr>
        <w:t>Pelley</w:t>
      </w:r>
      <w:proofErr w:type="spellEnd"/>
      <w:r>
        <w:rPr>
          <w:color w:val="000000"/>
        </w:rPr>
        <w:t xml:space="preserve"> et al., 2011, 2016; Van </w:t>
      </w:r>
      <w:proofErr w:type="spellStart"/>
      <w:r>
        <w:rPr>
          <w:color w:val="000000"/>
        </w:rPr>
        <w:t>Osselaer</w:t>
      </w:r>
      <w:proofErr w:type="spellEnd"/>
      <w:r>
        <w:rPr>
          <w:color w:val="000000"/>
        </w:rPr>
        <w:t>, 2008). Desde la psicología del consumidor</w:t>
      </w:r>
      <w:r w:rsidR="00140C21">
        <w:rPr>
          <w:color w:val="000000"/>
        </w:rPr>
        <w:t>,</w:t>
      </w:r>
      <w:r>
        <w:rPr>
          <w:color w:val="000000"/>
        </w:rPr>
        <w:t xml:space="preserve"> las explicaciones que ha servido de base para comprender este tipo de aprendizaje provienen principalmente de las propuestas de </w:t>
      </w:r>
      <w:proofErr w:type="spellStart"/>
      <w:r>
        <w:rPr>
          <w:color w:val="000000"/>
        </w:rPr>
        <w:t>Rescorla</w:t>
      </w:r>
      <w:proofErr w:type="spellEnd"/>
      <w:r>
        <w:rPr>
          <w:color w:val="000000"/>
        </w:rPr>
        <w:t xml:space="preserve"> y Wagner (1972) y de </w:t>
      </w:r>
      <w:proofErr w:type="spellStart"/>
      <w:r w:rsidRPr="00B15A01">
        <w:rPr>
          <w:color w:val="000000"/>
        </w:rPr>
        <w:t>Pearce</w:t>
      </w:r>
      <w:proofErr w:type="spellEnd"/>
      <w:r w:rsidRPr="00B15A01">
        <w:rPr>
          <w:color w:val="000000"/>
        </w:rPr>
        <w:t xml:space="preserve"> (1994, 2002).</w:t>
      </w:r>
      <w:r>
        <w:rPr>
          <w:color w:val="000000"/>
        </w:rPr>
        <w:t xml:space="preserve"> El modelo </w:t>
      </w:r>
      <w:proofErr w:type="spellStart"/>
      <w:r>
        <w:rPr>
          <w:color w:val="000000"/>
        </w:rPr>
        <w:t>Rescorla</w:t>
      </w:r>
      <w:proofErr w:type="spellEnd"/>
      <w:r>
        <w:rPr>
          <w:color w:val="000000"/>
        </w:rPr>
        <w:t>-Wagner (1972) o modelo elemental, propone que los seres humanos y los animales crean asociaciones a partir de una o más señales de un resultado</w:t>
      </w:r>
      <w:r w:rsidR="00140C21">
        <w:rPr>
          <w:color w:val="000000"/>
        </w:rPr>
        <w:t>,</w:t>
      </w:r>
      <w:r>
        <w:rPr>
          <w:color w:val="000000"/>
        </w:rPr>
        <w:t xml:space="preserve"> y que las adaptaciones de estas asociaciones en cada experiencia dependen de la diferencia entre las predicciones del resultado y el resultado real</w:t>
      </w:r>
      <w:r w:rsidR="00140C21">
        <w:rPr>
          <w:color w:val="000000"/>
        </w:rPr>
        <w:t>,</w:t>
      </w:r>
      <w:r>
        <w:rPr>
          <w:color w:val="000000"/>
        </w:rPr>
        <w:t xml:space="preserve"> por lo que el aprendizaje asociativo está orientado a reducir el error de predicción. Este modelo se considera elemental porque asume que las claves se descomponen en sus elementos constitutivos y que sólo estos elementos están representados en la memoria; de acuerdo con esta perspectiva, el consumidor hace predicciones sobre los resultados de su consumo en función de la información que recibe sobre claves como marcas, precios, ingredientes, o cualquier otra característica de búsqueda; luego, esas predicciones se utilizan para orientar la </w:t>
      </w:r>
      <w:r w:rsidR="00AF7A04">
        <w:rPr>
          <w:color w:val="000000"/>
        </w:rPr>
        <w:t>asociación</w:t>
      </w:r>
      <w:r>
        <w:rPr>
          <w:color w:val="000000"/>
        </w:rPr>
        <w:t xml:space="preserve"> de productos con los niveles esperados y que le resulten más atractivos (Van </w:t>
      </w:r>
      <w:proofErr w:type="spellStart"/>
      <w:r>
        <w:rPr>
          <w:color w:val="000000"/>
        </w:rPr>
        <w:t>Osselaer</w:t>
      </w:r>
      <w:proofErr w:type="spellEnd"/>
      <w:r>
        <w:rPr>
          <w:color w:val="000000"/>
        </w:rPr>
        <w:t>, 2008).</w:t>
      </w:r>
    </w:p>
    <w:p w14:paraId="00000017"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Sin embargo, las asociaciones también pueden formarse al aprender que el valor de un atributo depende del nivel de otro atributo; por ejemplo, el consumidor puede aprender que un producto tiene un precio más alto porque es de mejor calidad, o que el producto es de mejor calidad porque incluye un ingrediente específico en sus componentes. Para explicar esto, el modelo </w:t>
      </w:r>
      <w:proofErr w:type="spellStart"/>
      <w:r>
        <w:rPr>
          <w:color w:val="000000"/>
        </w:rPr>
        <w:t>configuracional</w:t>
      </w:r>
      <w:proofErr w:type="spellEnd"/>
      <w:r>
        <w:rPr>
          <w:color w:val="000000"/>
        </w:rPr>
        <w:t xml:space="preserve"> propuesto por </w:t>
      </w:r>
      <w:proofErr w:type="spellStart"/>
      <w:r>
        <w:rPr>
          <w:color w:val="000000"/>
        </w:rPr>
        <w:t>Pearce</w:t>
      </w:r>
      <w:proofErr w:type="spellEnd"/>
      <w:r>
        <w:rPr>
          <w:color w:val="000000"/>
        </w:rPr>
        <w:t xml:space="preserve"> (1994, 2002) establece que las claves (individuales o en conjunto), son representadas como una configuración en la memoria, de tal </w:t>
      </w:r>
      <w:r>
        <w:rPr>
          <w:color w:val="000000"/>
        </w:rPr>
        <w:lastRenderedPageBreak/>
        <w:t>manera que un producto puede ser aprendido por el consumidor como la representación del empaque, el nombre de la marca o la calidad, cada una por separado (varias configuraciones), o puede aprenderlo como el conjunto de todos esos atributos (una configuración). Desde esta perspectiva, el aprendizaje es producto de la suma de asociaciones clave-resultado específicas (</w:t>
      </w:r>
      <w:proofErr w:type="spellStart"/>
      <w:r>
        <w:rPr>
          <w:color w:val="000000"/>
        </w:rPr>
        <w:t>e.g</w:t>
      </w:r>
      <w:proofErr w:type="spellEnd"/>
      <w:r>
        <w:rPr>
          <w:color w:val="000000"/>
        </w:rPr>
        <w:t>., producto-empaque, producto-marca, producto-calidad) y las asociaciones generalizadas por la asociación clave-resultados (</w:t>
      </w:r>
      <w:proofErr w:type="spellStart"/>
      <w:r>
        <w:rPr>
          <w:color w:val="000000"/>
        </w:rPr>
        <w:t>e.g</w:t>
      </w:r>
      <w:proofErr w:type="spellEnd"/>
      <w:r>
        <w:rPr>
          <w:color w:val="000000"/>
        </w:rPr>
        <w:t>., producto-empaque, marca, calidad). La forma en que se crean estas configuraciones se explica por la existencia de dos procesos separados, con representaciones separadas en la memoria y caracterizados por diferentes grados de generalización para explicar el aprendizaje asociativo humano (</w:t>
      </w:r>
      <w:r w:rsidRPr="000009B4">
        <w:rPr>
          <w:color w:val="000000"/>
        </w:rPr>
        <w:t xml:space="preserve">Van </w:t>
      </w:r>
      <w:proofErr w:type="spellStart"/>
      <w:r w:rsidRPr="000009B4">
        <w:rPr>
          <w:color w:val="000000"/>
        </w:rPr>
        <w:t>Osselaer</w:t>
      </w:r>
      <w:proofErr w:type="spellEnd"/>
      <w:r w:rsidRPr="000009B4">
        <w:rPr>
          <w:color w:val="000000"/>
        </w:rPr>
        <w:t xml:space="preserve"> &amp; </w:t>
      </w:r>
      <w:proofErr w:type="spellStart"/>
      <w:r w:rsidRPr="000009B4">
        <w:rPr>
          <w:color w:val="000000"/>
        </w:rPr>
        <w:t>Janiszewski</w:t>
      </w:r>
      <w:proofErr w:type="spellEnd"/>
      <w:r w:rsidRPr="000009B4">
        <w:rPr>
          <w:color w:val="000000"/>
        </w:rPr>
        <w:t>, 2001</w:t>
      </w:r>
      <w:r>
        <w:rPr>
          <w:color w:val="000000"/>
        </w:rPr>
        <w:t xml:space="preserve">; </w:t>
      </w:r>
      <w:r w:rsidRPr="00432DBF">
        <w:rPr>
          <w:color w:val="000000"/>
        </w:rPr>
        <w:t xml:space="preserve">Van </w:t>
      </w:r>
      <w:proofErr w:type="spellStart"/>
      <w:r w:rsidRPr="00432DBF">
        <w:rPr>
          <w:color w:val="000000"/>
        </w:rPr>
        <w:t>Osselaer</w:t>
      </w:r>
      <w:proofErr w:type="spellEnd"/>
      <w:r w:rsidRPr="00432DBF">
        <w:rPr>
          <w:color w:val="000000"/>
        </w:rPr>
        <w:t xml:space="preserve"> et al., 2004</w:t>
      </w:r>
      <w:r>
        <w:rPr>
          <w:color w:val="000000"/>
        </w:rPr>
        <w:t xml:space="preserve">). </w:t>
      </w:r>
    </w:p>
    <w:p w14:paraId="00000018" w14:textId="77777777" w:rsidR="00E05D2A" w:rsidRDefault="007D47DC">
      <w:pPr>
        <w:pBdr>
          <w:top w:val="nil"/>
          <w:left w:val="nil"/>
          <w:bottom w:val="nil"/>
          <w:right w:val="nil"/>
          <w:between w:val="nil"/>
        </w:pBdr>
        <w:spacing w:line="360" w:lineRule="auto"/>
        <w:ind w:firstLine="708"/>
        <w:rPr>
          <w:color w:val="000000"/>
        </w:rPr>
      </w:pPr>
      <w:r>
        <w:rPr>
          <w:color w:val="000000"/>
        </w:rPr>
        <w:t>El primer proceso es consistente con el modelo de memoria asociativa humana (HAM por sus siglas en inglés) (</w:t>
      </w:r>
      <w:r w:rsidRPr="00A12238">
        <w:rPr>
          <w:color w:val="000000"/>
        </w:rPr>
        <w:t xml:space="preserve">Anderson &amp; </w:t>
      </w:r>
      <w:proofErr w:type="spellStart"/>
      <w:r w:rsidRPr="00A12238">
        <w:rPr>
          <w:color w:val="000000"/>
        </w:rPr>
        <w:t>Bower</w:t>
      </w:r>
      <w:proofErr w:type="spellEnd"/>
      <w:r w:rsidRPr="00A12238">
        <w:rPr>
          <w:color w:val="000000"/>
        </w:rPr>
        <w:t>, 1974</w:t>
      </w:r>
      <w:r>
        <w:rPr>
          <w:color w:val="000000"/>
        </w:rPr>
        <w:t xml:space="preserve">) que explica que se pueden predecir resultados a partir de las asociaciones hechas de forma relativamente desenfocada sobre los múltiples atributos de la clave para poder recuperarlos posteriormente (Van </w:t>
      </w:r>
      <w:proofErr w:type="spellStart"/>
      <w:r>
        <w:rPr>
          <w:color w:val="000000"/>
        </w:rPr>
        <w:t>Osselaer</w:t>
      </w:r>
      <w:proofErr w:type="spellEnd"/>
      <w:r>
        <w:rPr>
          <w:color w:val="000000"/>
        </w:rPr>
        <w:t>, 2008). Según este proceso, un consumidor aprende la relación clave-resultado de forma independiente; por ejemplo, la relación precio-cantidad o cantidad-duración. El segundo proceso, más adaptativo, se centra en el resultado como foco de predicción durante el aprendizaje; de esta manera, las asociaciones clave-resultado sólo se modifican en la medida que el resultado esperado no coincida con el resultado experimentado, haciendo que los atributos compitan para predecir los resultados y, por tanto, las asociaciones clave-resultado se desarrollen de manera interdependiente (</w:t>
      </w:r>
      <w:proofErr w:type="spellStart"/>
      <w:r>
        <w:rPr>
          <w:color w:val="000000"/>
        </w:rPr>
        <w:t>e.g</w:t>
      </w:r>
      <w:proofErr w:type="spellEnd"/>
      <w:r>
        <w:rPr>
          <w:color w:val="000000"/>
        </w:rPr>
        <w:t xml:space="preserve">., cantidad-precio, duración) (Van </w:t>
      </w:r>
      <w:proofErr w:type="spellStart"/>
      <w:r>
        <w:rPr>
          <w:color w:val="000000"/>
        </w:rPr>
        <w:t>Osselaer</w:t>
      </w:r>
      <w:proofErr w:type="spellEnd"/>
      <w:r>
        <w:rPr>
          <w:color w:val="000000"/>
        </w:rPr>
        <w:t xml:space="preserve"> &amp; </w:t>
      </w:r>
      <w:proofErr w:type="spellStart"/>
      <w:r>
        <w:rPr>
          <w:color w:val="000000"/>
        </w:rPr>
        <w:t>Janiszewski</w:t>
      </w:r>
      <w:proofErr w:type="spellEnd"/>
      <w:r>
        <w:rPr>
          <w:color w:val="000000"/>
        </w:rPr>
        <w:t>, 2001). Cuando el consumidor está motivado a aprender a predecir un resultado (</w:t>
      </w:r>
      <w:proofErr w:type="spellStart"/>
      <w:r>
        <w:rPr>
          <w:color w:val="000000"/>
        </w:rPr>
        <w:t>e.g</w:t>
      </w:r>
      <w:proofErr w:type="spellEnd"/>
      <w:r>
        <w:rPr>
          <w:color w:val="000000"/>
        </w:rPr>
        <w:t xml:space="preserve">., por la satisfacción que le genera la compra de un producto), es más probable encontrar aprendizaje adaptativo, mientras que en situaciones con menor valor motivacional es probable encontrar aprendizaje HAM (Van </w:t>
      </w:r>
      <w:proofErr w:type="spellStart"/>
      <w:r>
        <w:rPr>
          <w:color w:val="000000"/>
        </w:rPr>
        <w:t>Osselaer</w:t>
      </w:r>
      <w:proofErr w:type="spellEnd"/>
      <w:r>
        <w:rPr>
          <w:color w:val="000000"/>
        </w:rPr>
        <w:t xml:space="preserve"> &amp; </w:t>
      </w:r>
      <w:proofErr w:type="spellStart"/>
      <w:r>
        <w:rPr>
          <w:color w:val="000000"/>
        </w:rPr>
        <w:t>Janiszewski</w:t>
      </w:r>
      <w:proofErr w:type="spellEnd"/>
      <w:r>
        <w:rPr>
          <w:color w:val="000000"/>
        </w:rPr>
        <w:t xml:space="preserve">, 2001; Van </w:t>
      </w:r>
      <w:proofErr w:type="spellStart"/>
      <w:r>
        <w:rPr>
          <w:color w:val="000000"/>
        </w:rPr>
        <w:t>Osselaer</w:t>
      </w:r>
      <w:proofErr w:type="spellEnd"/>
      <w:r>
        <w:rPr>
          <w:color w:val="000000"/>
        </w:rPr>
        <w:t xml:space="preserve">, 2008; Van </w:t>
      </w:r>
      <w:proofErr w:type="spellStart"/>
      <w:r>
        <w:rPr>
          <w:color w:val="000000"/>
        </w:rPr>
        <w:t>Osselaer</w:t>
      </w:r>
      <w:proofErr w:type="spellEnd"/>
      <w:r>
        <w:rPr>
          <w:color w:val="000000"/>
        </w:rPr>
        <w:t xml:space="preserve"> et al., 2004). </w:t>
      </w:r>
    </w:p>
    <w:p w14:paraId="00000019" w14:textId="3C250A1D" w:rsidR="00E05D2A" w:rsidRDefault="007D47DC">
      <w:pPr>
        <w:pBdr>
          <w:top w:val="nil"/>
          <w:left w:val="nil"/>
          <w:bottom w:val="nil"/>
          <w:right w:val="nil"/>
          <w:between w:val="nil"/>
        </w:pBdr>
        <w:spacing w:line="360" w:lineRule="auto"/>
        <w:ind w:firstLine="708"/>
        <w:rPr>
          <w:color w:val="000000"/>
        </w:rPr>
      </w:pPr>
      <w:r>
        <w:rPr>
          <w:color w:val="000000"/>
        </w:rPr>
        <w:t>Aunque estos modelos muestran una explicación plausible del aprendizaje del consumidor, se debe tener en cuenta que, en la vida cotidiana, las personas se exponen a situaciones en las que la predicción de las asociaciones clave-resultado ocurre en un escenario estimular de trasfondo, al que se ha denominado tradicionalmente contexto. El estudio de las condiciones y de los mecanismos a través de los que el contexto controla la ejecución de los organismos ha atraído la atención de un grupo numeroso de investigadores del ámbito del aprendizaje asociativo (</w:t>
      </w:r>
      <w:proofErr w:type="spellStart"/>
      <w:r w:rsidR="001E7B3F">
        <w:rPr>
          <w:color w:val="000000"/>
        </w:rPr>
        <w:t>e.g</w:t>
      </w:r>
      <w:proofErr w:type="spellEnd"/>
      <w:r w:rsidR="001E7B3F">
        <w:rPr>
          <w:color w:val="000000"/>
        </w:rPr>
        <w:t>.</w:t>
      </w:r>
      <w:r>
        <w:rPr>
          <w:color w:val="000000"/>
        </w:rPr>
        <w:t xml:space="preserve">, </w:t>
      </w:r>
      <w:proofErr w:type="spellStart"/>
      <w:r>
        <w:rPr>
          <w:color w:val="000000"/>
        </w:rPr>
        <w:t>Bouton</w:t>
      </w:r>
      <w:proofErr w:type="spellEnd"/>
      <w:r>
        <w:rPr>
          <w:color w:val="000000"/>
        </w:rPr>
        <w:t xml:space="preserve">, 1993; </w:t>
      </w:r>
      <w:proofErr w:type="spellStart"/>
      <w:r w:rsidRPr="002D6510">
        <w:rPr>
          <w:color w:val="000000"/>
        </w:rPr>
        <w:t>Bouton</w:t>
      </w:r>
      <w:proofErr w:type="spellEnd"/>
      <w:r w:rsidRPr="002D6510">
        <w:rPr>
          <w:color w:val="000000"/>
        </w:rPr>
        <w:t xml:space="preserve"> et al., 1999</w:t>
      </w:r>
      <w:r>
        <w:rPr>
          <w:color w:val="000000"/>
        </w:rPr>
        <w:t xml:space="preserve">; </w:t>
      </w:r>
      <w:proofErr w:type="spellStart"/>
      <w:r w:rsidRPr="003C3F18">
        <w:rPr>
          <w:color w:val="000000"/>
        </w:rPr>
        <w:t>Riccio</w:t>
      </w:r>
      <w:proofErr w:type="spellEnd"/>
      <w:r w:rsidRPr="003C3F18">
        <w:rPr>
          <w:color w:val="000000"/>
        </w:rPr>
        <w:t xml:space="preserve"> et al., 1984</w:t>
      </w:r>
      <w:r>
        <w:rPr>
          <w:color w:val="000000"/>
        </w:rPr>
        <w:t xml:space="preserve">; </w:t>
      </w:r>
      <w:proofErr w:type="spellStart"/>
      <w:r w:rsidRPr="00D65257">
        <w:rPr>
          <w:color w:val="000000"/>
        </w:rPr>
        <w:t>Spear</w:t>
      </w:r>
      <w:proofErr w:type="spellEnd"/>
      <w:r w:rsidRPr="00D65257">
        <w:rPr>
          <w:color w:val="000000"/>
        </w:rPr>
        <w:t xml:space="preserve"> &amp; </w:t>
      </w:r>
      <w:proofErr w:type="spellStart"/>
      <w:r w:rsidRPr="00D65257">
        <w:rPr>
          <w:color w:val="000000"/>
        </w:rPr>
        <w:t>Riccio</w:t>
      </w:r>
      <w:proofErr w:type="spellEnd"/>
      <w:r w:rsidRPr="00D65257">
        <w:rPr>
          <w:color w:val="000000"/>
        </w:rPr>
        <w:t>, 1994).</w:t>
      </w:r>
      <w:r>
        <w:rPr>
          <w:color w:val="000000"/>
        </w:rPr>
        <w:t xml:space="preserve"> La definición más generalizada del aprendizaje es la que define el contexto </w:t>
      </w:r>
      <w:r>
        <w:rPr>
          <w:color w:val="000000"/>
        </w:rPr>
        <w:lastRenderedPageBreak/>
        <w:t xml:space="preserve">como </w:t>
      </w:r>
      <w:r>
        <w:rPr>
          <w:i/>
          <w:color w:val="000000"/>
        </w:rPr>
        <w:t>todo aquello que nos rodea</w:t>
      </w:r>
      <w:r>
        <w:rPr>
          <w:color w:val="000000"/>
        </w:rPr>
        <w:t xml:space="preserve"> (Smith, 2007). Si bien, esta definición es general y explícita, también es ambigua e imprecisa, y </w:t>
      </w:r>
      <w:r w:rsidR="00572DC7">
        <w:rPr>
          <w:color w:val="000000"/>
        </w:rPr>
        <w:t>el</w:t>
      </w:r>
      <w:r>
        <w:rPr>
          <w:color w:val="000000"/>
        </w:rPr>
        <w:t xml:space="preserve"> esfuerzo por unificar la variedad de formas de representación del contexto que esta definición permite, dentro del campo del aprendizaje asociativo y la psicología del consumidor se ha convertido en un tema de interés </w:t>
      </w:r>
      <w:r w:rsidRPr="00D65257">
        <w:rPr>
          <w:color w:val="000000"/>
        </w:rPr>
        <w:t>(</w:t>
      </w:r>
      <w:proofErr w:type="spellStart"/>
      <w:r w:rsidRPr="00D65257">
        <w:rPr>
          <w:color w:val="000000"/>
        </w:rPr>
        <w:t>Mesquita</w:t>
      </w:r>
      <w:proofErr w:type="spellEnd"/>
      <w:r w:rsidRPr="00D65257">
        <w:rPr>
          <w:color w:val="000000"/>
        </w:rPr>
        <w:t xml:space="preserve"> et al., 2010).</w:t>
      </w:r>
      <w:r>
        <w:rPr>
          <w:color w:val="000000"/>
        </w:rPr>
        <w:t xml:space="preserve"> Desde el punto de vista del aprendizaje asociativo y del consumo, se asume que el contexto incluye los estímulos externos e internos proporcionados por la situación experimental que rodean a las claves sobre las cuales el organismo tiene que realizar un aprendizaje (Rosas et al., 2006). Los eventos externos se definen como estímulos físicos; por ejemplo, el aparato o la habitación donde tiene lugar el aprendizaje (</w:t>
      </w:r>
      <w:proofErr w:type="spellStart"/>
      <w:r>
        <w:rPr>
          <w:color w:val="000000"/>
        </w:rPr>
        <w:t>e.g</w:t>
      </w:r>
      <w:proofErr w:type="spellEnd"/>
      <w:r>
        <w:rPr>
          <w:color w:val="000000"/>
        </w:rPr>
        <w:t xml:space="preserve">., </w:t>
      </w:r>
      <w:proofErr w:type="spellStart"/>
      <w:r>
        <w:rPr>
          <w:color w:val="000000"/>
        </w:rPr>
        <w:t>Bouton</w:t>
      </w:r>
      <w:proofErr w:type="spellEnd"/>
      <w:r>
        <w:rPr>
          <w:color w:val="000000"/>
        </w:rPr>
        <w:t>, 1993), o el lugar para comer y la elección de alimentos (</w:t>
      </w:r>
      <w:proofErr w:type="spellStart"/>
      <w:r>
        <w:rPr>
          <w:color w:val="000000"/>
        </w:rPr>
        <w:t>e.g</w:t>
      </w:r>
      <w:proofErr w:type="spellEnd"/>
      <w:r>
        <w:rPr>
          <w:color w:val="000000"/>
        </w:rPr>
        <w:t xml:space="preserve">., </w:t>
      </w:r>
      <w:r w:rsidR="005E1301" w:rsidRPr="003D3098">
        <w:rPr>
          <w:color w:val="000000"/>
        </w:rPr>
        <w:t>King</w:t>
      </w:r>
      <w:r w:rsidRPr="003D3098">
        <w:rPr>
          <w:color w:val="000000"/>
        </w:rPr>
        <w:t xml:space="preserve"> et al., 2004</w:t>
      </w:r>
      <w:r>
        <w:rPr>
          <w:color w:val="000000"/>
        </w:rPr>
        <w:t>). Entre los eventos internos se incluyen los estímulos cognitivos (representaciones internas) tales como imágenes de tiendas (</w:t>
      </w:r>
      <w:proofErr w:type="spellStart"/>
      <w:r>
        <w:rPr>
          <w:color w:val="000000"/>
        </w:rPr>
        <w:t>e.g</w:t>
      </w:r>
      <w:proofErr w:type="spellEnd"/>
      <w:r>
        <w:rPr>
          <w:color w:val="000000"/>
        </w:rPr>
        <w:t xml:space="preserve">., </w:t>
      </w:r>
      <w:proofErr w:type="spellStart"/>
      <w:r w:rsidRPr="00DA1F1D">
        <w:rPr>
          <w:color w:val="000000"/>
        </w:rPr>
        <w:t>Berkowitz</w:t>
      </w:r>
      <w:proofErr w:type="spellEnd"/>
      <w:r w:rsidRPr="00DA1F1D">
        <w:rPr>
          <w:color w:val="000000"/>
        </w:rPr>
        <w:t xml:space="preserve"> &amp; </w:t>
      </w:r>
      <w:proofErr w:type="spellStart"/>
      <w:r w:rsidRPr="00DA1F1D">
        <w:rPr>
          <w:color w:val="000000"/>
        </w:rPr>
        <w:t>Walton</w:t>
      </w:r>
      <w:proofErr w:type="spellEnd"/>
      <w:r w:rsidRPr="00DA1F1D">
        <w:rPr>
          <w:color w:val="000000"/>
        </w:rPr>
        <w:t>, 1980</w:t>
      </w:r>
      <w:r>
        <w:rPr>
          <w:color w:val="000000"/>
        </w:rPr>
        <w:t xml:space="preserve">; </w:t>
      </w:r>
      <w:proofErr w:type="spellStart"/>
      <w:r w:rsidRPr="00E70310">
        <w:rPr>
          <w:color w:val="000000"/>
        </w:rPr>
        <w:t>Yoon</w:t>
      </w:r>
      <w:proofErr w:type="spellEnd"/>
      <w:r w:rsidRPr="00E70310">
        <w:rPr>
          <w:color w:val="000000"/>
        </w:rPr>
        <w:t xml:space="preserve"> et al., 2014</w:t>
      </w:r>
      <w:r>
        <w:rPr>
          <w:color w:val="000000"/>
        </w:rPr>
        <w:t>), nombres de la marca (</w:t>
      </w:r>
      <w:proofErr w:type="spellStart"/>
      <w:r>
        <w:rPr>
          <w:color w:val="000000"/>
        </w:rPr>
        <w:t>e.g</w:t>
      </w:r>
      <w:proofErr w:type="spellEnd"/>
      <w:r>
        <w:rPr>
          <w:color w:val="000000"/>
        </w:rPr>
        <w:t xml:space="preserve">.,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1993), imágenes de marcas desconocidas o conocidas (</w:t>
      </w:r>
      <w:proofErr w:type="spellStart"/>
      <w:r>
        <w:rPr>
          <w:color w:val="000000"/>
        </w:rPr>
        <w:t>e.g</w:t>
      </w:r>
      <w:proofErr w:type="spellEnd"/>
      <w:r>
        <w:rPr>
          <w:color w:val="000000"/>
        </w:rPr>
        <w:t xml:space="preserve">., </w:t>
      </w:r>
      <w:proofErr w:type="spellStart"/>
      <w:r>
        <w:rPr>
          <w:color w:val="000000"/>
        </w:rPr>
        <w:t>Shimp</w:t>
      </w:r>
      <w:proofErr w:type="spellEnd"/>
      <w:r>
        <w:rPr>
          <w:color w:val="000000"/>
        </w:rPr>
        <w:t>,</w:t>
      </w:r>
      <w:r w:rsidR="00EE2320">
        <w:rPr>
          <w:color w:val="000000"/>
        </w:rPr>
        <w:t xml:space="preserve"> </w:t>
      </w:r>
      <w:r>
        <w:rPr>
          <w:color w:val="000000"/>
        </w:rPr>
        <w:t>1991), imágenes de restaurantes ficticios (</w:t>
      </w:r>
      <w:proofErr w:type="spellStart"/>
      <w:r>
        <w:rPr>
          <w:color w:val="000000"/>
        </w:rPr>
        <w:t>e.g</w:t>
      </w:r>
      <w:proofErr w:type="spellEnd"/>
      <w:r>
        <w:rPr>
          <w:color w:val="000000"/>
        </w:rPr>
        <w:t>., Rosas &amp; Callejas-Aguilera, 2006), y, por supuesto, los estímulos emocionales como los estados de ánimo (</w:t>
      </w:r>
      <w:proofErr w:type="spellStart"/>
      <w:r>
        <w:rPr>
          <w:color w:val="000000"/>
        </w:rPr>
        <w:t>e.g</w:t>
      </w:r>
      <w:proofErr w:type="spellEnd"/>
      <w:r>
        <w:rPr>
          <w:color w:val="000000"/>
        </w:rPr>
        <w:t xml:space="preserve">., </w:t>
      </w:r>
      <w:proofErr w:type="spellStart"/>
      <w:r>
        <w:rPr>
          <w:color w:val="000000"/>
        </w:rPr>
        <w:t>Eich</w:t>
      </w:r>
      <w:proofErr w:type="spellEnd"/>
      <w:r>
        <w:rPr>
          <w:color w:val="000000"/>
        </w:rPr>
        <w:t>, 1995).</w:t>
      </w:r>
    </w:p>
    <w:p w14:paraId="0000001A" w14:textId="2C54A199" w:rsidR="00E05D2A" w:rsidRDefault="007D47DC">
      <w:pPr>
        <w:pBdr>
          <w:top w:val="nil"/>
          <w:left w:val="nil"/>
          <w:bottom w:val="nil"/>
          <w:right w:val="nil"/>
          <w:between w:val="nil"/>
        </w:pBdr>
        <w:spacing w:line="360" w:lineRule="auto"/>
        <w:ind w:firstLine="708"/>
        <w:rPr>
          <w:color w:val="000000"/>
        </w:rPr>
      </w:pPr>
      <w:r>
        <w:rPr>
          <w:color w:val="000000"/>
        </w:rPr>
        <w:t>Teniendo en cuenta el interés en el estudio del contexto, en las últimas décadas han surgido diferentes modelos teóricos que tratan de explicar cómo el contexto afecta el aprendizaje, como es el caso de la Teoría de la Recuperación de la Información – TRI (</w:t>
      </w:r>
      <w:proofErr w:type="spellStart"/>
      <w:r>
        <w:rPr>
          <w:color w:val="000000"/>
        </w:rPr>
        <w:t>Bouton</w:t>
      </w:r>
      <w:proofErr w:type="spellEnd"/>
      <w:r>
        <w:rPr>
          <w:color w:val="000000"/>
        </w:rPr>
        <w:t>, 1993, 1994)</w:t>
      </w:r>
      <w:r>
        <w:t xml:space="preserve"> y la hipótesis de comparador en consumidor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w:t>
      </w:r>
      <w:r>
        <w:t xml:space="preserve">. </w:t>
      </w:r>
      <w:r>
        <w:rPr>
          <w:color w:val="000000"/>
        </w:rPr>
        <w:t xml:space="preserve"> De acuerdo con la TRI </w:t>
      </w:r>
      <w:r>
        <w:t>propuesta</w:t>
      </w:r>
      <w:r>
        <w:rPr>
          <w:color w:val="000000"/>
        </w:rPr>
        <w:t xml:space="preserve"> por </w:t>
      </w:r>
      <w:proofErr w:type="spellStart"/>
      <w:r>
        <w:rPr>
          <w:color w:val="000000"/>
        </w:rPr>
        <w:t>Bouton</w:t>
      </w:r>
      <w:proofErr w:type="spellEnd"/>
      <w:r>
        <w:rPr>
          <w:color w:val="000000"/>
        </w:rPr>
        <w:t xml:space="preserve"> (1993), la principal función del contexto es la de resolver la situación de ambigüedad en el significado de las claves. La ambigüedad se explica principalmente desde el lenguaje como aspecto fundamental de este, y se asocia al significado que tiene una palabra según el contexto en el que se utilice; el ejemplo clásico con el que </w:t>
      </w:r>
      <w:proofErr w:type="spellStart"/>
      <w:r>
        <w:rPr>
          <w:color w:val="000000"/>
        </w:rPr>
        <w:t>Bouton</w:t>
      </w:r>
      <w:proofErr w:type="spellEnd"/>
      <w:r>
        <w:rPr>
          <w:color w:val="000000"/>
        </w:rPr>
        <w:t xml:space="preserve"> (1997) explica la ambigüedad, se relaciona con lo que significa la palabra </w:t>
      </w:r>
      <w:r>
        <w:rPr>
          <w:i/>
          <w:color w:val="000000"/>
        </w:rPr>
        <w:t xml:space="preserve">fuego </w:t>
      </w:r>
      <w:r>
        <w:rPr>
          <w:color w:val="000000"/>
        </w:rPr>
        <w:t xml:space="preserve">si alguien la grita en una sala de cine o en un incendio. La reacción depende del contexto, siendo éste el encargado de resolver la ambigüedad en el significado de la palabra. Para explicar esta función </w:t>
      </w:r>
      <w:r w:rsidR="005010E4">
        <w:rPr>
          <w:color w:val="000000"/>
        </w:rPr>
        <w:t xml:space="preserve">en </w:t>
      </w:r>
      <w:r>
        <w:rPr>
          <w:color w:val="000000"/>
        </w:rPr>
        <w:t>el aprendizaje, tomaremos el ejemplo de uno de los fenómenos más estudiados, el efecto de renovación ABA (las letras representan el contexto donde ocurre el aprendizaje, la extinción y la prueba, respectivamente); en una situación de aprendizaje, se asocia primero una clave (X) con un determinado resultado (O1) (X-O1) donde los estímulos de trasfondo (</w:t>
      </w:r>
      <w:proofErr w:type="spellStart"/>
      <w:r>
        <w:rPr>
          <w:color w:val="000000"/>
        </w:rPr>
        <w:t>e.g</w:t>
      </w:r>
      <w:proofErr w:type="spellEnd"/>
      <w:r>
        <w:rPr>
          <w:color w:val="000000"/>
        </w:rPr>
        <w:t>., contexto A) que rodean a esta asociación se ignoran durante el aprendizaje. Sin embargo, cuando el significado de la clave cambia o se vuelve ambigua; por ejemplo, cuando la misma clave se presenta en un contexto diferente al de la adquisición (</w:t>
      </w:r>
      <w:proofErr w:type="spellStart"/>
      <w:r>
        <w:rPr>
          <w:color w:val="000000"/>
        </w:rPr>
        <w:t>e.g</w:t>
      </w:r>
      <w:proofErr w:type="spellEnd"/>
      <w:r>
        <w:rPr>
          <w:color w:val="000000"/>
        </w:rPr>
        <w:t xml:space="preserve">., contexto B) en ausencia del resultado (X–noO1, situación de extinción), o con un resultado diferente (X–O2, </w:t>
      </w:r>
      <w:r>
        <w:rPr>
          <w:color w:val="000000"/>
        </w:rPr>
        <w:lastRenderedPageBreak/>
        <w:t>X–O3</w:t>
      </w:r>
      <w:r w:rsidR="00154CEF">
        <w:rPr>
          <w:color w:val="000000"/>
        </w:rPr>
        <w:t>, diferentes valores del resultado</w:t>
      </w:r>
      <w:r>
        <w:rPr>
          <w:color w:val="000000"/>
        </w:rPr>
        <w:t xml:space="preserve">), el aprendizaje de esta nueva asociación es codificada junto al contexto donde se ha adquirido esta información; en otras palabras, el contexto no se ignora. El resultado habitual encontrado es una recuperación de </w:t>
      </w:r>
      <w:r w:rsidR="00D44C9E">
        <w:rPr>
          <w:color w:val="000000"/>
        </w:rPr>
        <w:t xml:space="preserve">la </w:t>
      </w:r>
      <w:r>
        <w:rPr>
          <w:color w:val="000000"/>
        </w:rPr>
        <w:t>respuesta aprendida en primer lugar por la relación X-O1, cuando la fase de prueba transcurre en el contexto A, en comparación a cuando la prueba se realiza en el contexto de extinción (contexto B); esto hace que la recuperación de la respuesta o información sea dependiente del contexto (</w:t>
      </w:r>
      <w:proofErr w:type="spellStart"/>
      <w:r w:rsidRPr="007E7FA3">
        <w:rPr>
          <w:color w:val="000000"/>
        </w:rPr>
        <w:t>Bouton</w:t>
      </w:r>
      <w:proofErr w:type="spellEnd"/>
      <w:r w:rsidRPr="007E7FA3">
        <w:rPr>
          <w:color w:val="000000"/>
        </w:rPr>
        <w:t xml:space="preserve"> &amp; Bolles, 1979).</w:t>
      </w:r>
      <w:r>
        <w:rPr>
          <w:color w:val="000000"/>
        </w:rPr>
        <w:t xml:space="preserve"> De acuerdo con esto, la recuperación de la información (respuesta) dependerá de s</w:t>
      </w:r>
      <w:r w:rsidR="005010E4">
        <w:rPr>
          <w:color w:val="000000"/>
        </w:rPr>
        <w:t>i</w:t>
      </w:r>
      <w:r>
        <w:rPr>
          <w:color w:val="000000"/>
        </w:rPr>
        <w:t xml:space="preserve"> la prueba se lleva a cabo en el mismo contexto de adquisición (contexto A) o donde apareció la ambigüedad de la información (contexto B); entonces, la información se vuelve dependiente del contexto y es lo que se conoce como el efecto de cambio de contexto (</w:t>
      </w:r>
      <w:proofErr w:type="spellStart"/>
      <w:r>
        <w:rPr>
          <w:color w:val="000000"/>
        </w:rPr>
        <w:t>Bouton</w:t>
      </w:r>
      <w:proofErr w:type="spellEnd"/>
      <w:r>
        <w:rPr>
          <w:color w:val="000000"/>
        </w:rPr>
        <w:t xml:space="preserve">, 1997; Nelson, 2002, 2009). </w:t>
      </w:r>
    </w:p>
    <w:p w14:paraId="0000001B" w14:textId="4FDF730D" w:rsidR="00E05D2A" w:rsidRDefault="007D47DC">
      <w:pPr>
        <w:pBdr>
          <w:top w:val="nil"/>
          <w:left w:val="nil"/>
          <w:bottom w:val="nil"/>
          <w:right w:val="nil"/>
          <w:between w:val="nil"/>
        </w:pBdr>
        <w:spacing w:line="360" w:lineRule="auto"/>
        <w:ind w:firstLine="708"/>
        <w:rPr>
          <w:color w:val="000000"/>
        </w:rPr>
      </w:pPr>
      <w:r>
        <w:t xml:space="preserve">En un intento de explicar estos resultados, </w:t>
      </w:r>
      <w:proofErr w:type="spellStart"/>
      <w:r>
        <w:rPr>
          <w:color w:val="000000"/>
        </w:rPr>
        <w:t>Bouton</w:t>
      </w:r>
      <w:proofErr w:type="spellEnd"/>
      <w:r>
        <w:rPr>
          <w:color w:val="000000"/>
        </w:rPr>
        <w:t xml:space="preserve"> (1997) </w:t>
      </w:r>
      <w:r>
        <w:t>propone</w:t>
      </w:r>
      <w:r>
        <w:rPr>
          <w:color w:val="000000"/>
        </w:rPr>
        <w:t xml:space="preserve"> que la dependencia contextual ocurre sólo con la información adquirida en segundo lugar; es decir, con la información contradictoria que se aprende por extinción (X-noO1) o por diferentes valores del resultado (X-O2, X-O3), debido a que genera la ambigüedad en el significado de la clave. Sin embargo, diversos estudios sobre la dependencia contextual han mostrado resultados contradictorios a la propuesta de la TRI (</w:t>
      </w:r>
      <w:proofErr w:type="spellStart"/>
      <w:r>
        <w:rPr>
          <w:color w:val="000000"/>
        </w:rPr>
        <w:t>Bouton</w:t>
      </w:r>
      <w:proofErr w:type="spellEnd"/>
      <w:r>
        <w:rPr>
          <w:color w:val="000000"/>
        </w:rPr>
        <w:t>, 1993, 1994, 1997), sugiriendo que el contexto también desempeña un papel cuando la información no es ambigua, observándose la aparición del efecto de cambio de contexto en ausencia de la ambigüedad producida por la extinción o por diferentes valores del resultado (</w:t>
      </w:r>
      <w:proofErr w:type="spellStart"/>
      <w:r>
        <w:rPr>
          <w:color w:val="000000"/>
        </w:rPr>
        <w:t>e.g</w:t>
      </w:r>
      <w:proofErr w:type="spellEnd"/>
      <w:r>
        <w:rPr>
          <w:color w:val="000000"/>
        </w:rPr>
        <w:t>., León et al., 2010</w:t>
      </w:r>
      <w:r w:rsidR="00FB3355">
        <w:rPr>
          <w:color w:val="000000"/>
        </w:rPr>
        <w:t>a</w:t>
      </w:r>
      <w:r>
        <w:rPr>
          <w:color w:val="000000"/>
        </w:rPr>
        <w:t xml:space="preserve">; </w:t>
      </w:r>
      <w:proofErr w:type="spellStart"/>
      <w:r w:rsidRPr="005179FA">
        <w:rPr>
          <w:color w:val="000000"/>
        </w:rPr>
        <w:t>Lucke</w:t>
      </w:r>
      <w:proofErr w:type="spellEnd"/>
      <w:r w:rsidRPr="005179FA">
        <w:rPr>
          <w:color w:val="000000"/>
        </w:rPr>
        <w:t xml:space="preserve"> et al., 2013</w:t>
      </w:r>
      <w:r>
        <w:rPr>
          <w:color w:val="000000"/>
        </w:rPr>
        <w:t>; Rosas et al., 2006; Rosas &amp; Callejas-Aguilera, 2006).</w:t>
      </w:r>
    </w:p>
    <w:p w14:paraId="0000001C" w14:textId="03649920" w:rsidR="00E05D2A" w:rsidRDefault="007D47DC">
      <w:pPr>
        <w:pBdr>
          <w:top w:val="nil"/>
          <w:left w:val="nil"/>
          <w:bottom w:val="nil"/>
          <w:right w:val="nil"/>
          <w:between w:val="nil"/>
        </w:pBdr>
        <w:spacing w:line="360" w:lineRule="auto"/>
        <w:ind w:firstLine="708"/>
        <w:rPr>
          <w:color w:val="000000"/>
        </w:rPr>
      </w:pPr>
      <w:r>
        <w:rPr>
          <w:color w:val="000000"/>
        </w:rPr>
        <w:t xml:space="preserve">En el ámbito del estudio del consumidor también se ha observado el efecto del contexto en el aprendizaje; por ejemplo, </w:t>
      </w:r>
      <w:proofErr w:type="spellStart"/>
      <w:r>
        <w:rPr>
          <w:color w:val="000000"/>
        </w:rPr>
        <w:t>Janiszewski</w:t>
      </w:r>
      <w:proofErr w:type="spellEnd"/>
      <w:r>
        <w:rPr>
          <w:color w:val="000000"/>
        </w:rPr>
        <w:t xml:space="preserve"> y </w:t>
      </w:r>
      <w:proofErr w:type="spellStart"/>
      <w:r>
        <w:rPr>
          <w:color w:val="000000"/>
        </w:rPr>
        <w:t>Warlop</w:t>
      </w:r>
      <w:proofErr w:type="spellEnd"/>
      <w:r>
        <w:rPr>
          <w:color w:val="000000"/>
        </w:rPr>
        <w:t xml:space="preserve"> (1993)</w:t>
      </w:r>
      <w:sdt>
        <w:sdtPr>
          <w:tag w:val="goog_rdk_0"/>
          <w:id w:val="-872227803"/>
        </w:sdtPr>
        <w:sdtEndPr/>
        <w:sdtContent/>
      </w:sdt>
      <w:r>
        <w:rPr>
          <w:color w:val="000000"/>
        </w:rPr>
        <w:t xml:space="preserve"> encontraron que, al </w:t>
      </w:r>
      <w:r w:rsidR="00B42464">
        <w:rPr>
          <w:color w:val="000000"/>
        </w:rPr>
        <w:t>asociar una</w:t>
      </w:r>
      <w:r>
        <w:rPr>
          <w:color w:val="000000"/>
        </w:rPr>
        <w:t xml:space="preserve"> marca de refresco (clave) con </w:t>
      </w:r>
      <w:r w:rsidR="00B42464">
        <w:rPr>
          <w:color w:val="000000"/>
        </w:rPr>
        <w:t xml:space="preserve">diferentes </w:t>
      </w:r>
      <w:r>
        <w:rPr>
          <w:color w:val="000000"/>
        </w:rPr>
        <w:t>escenas de personas divirtiéndose (resultado)</w:t>
      </w:r>
      <w:r w:rsidR="00E4030F">
        <w:rPr>
          <w:color w:val="000000"/>
        </w:rPr>
        <w:t xml:space="preserve"> en un comercial</w:t>
      </w:r>
      <w:r>
        <w:rPr>
          <w:color w:val="000000"/>
        </w:rPr>
        <w:t xml:space="preserve">, las personas </w:t>
      </w:r>
      <w:r w:rsidR="00E4030F">
        <w:rPr>
          <w:color w:val="000000"/>
        </w:rPr>
        <w:t xml:space="preserve">prestaban más atención </w:t>
      </w:r>
      <w:r>
        <w:rPr>
          <w:color w:val="000000"/>
        </w:rPr>
        <w:t xml:space="preserve">a la marca </w:t>
      </w:r>
      <w:r w:rsidR="00E4030F">
        <w:rPr>
          <w:color w:val="000000"/>
        </w:rPr>
        <w:t xml:space="preserve">de refresco al observarla </w:t>
      </w:r>
      <w:r>
        <w:rPr>
          <w:color w:val="000000"/>
        </w:rPr>
        <w:t xml:space="preserve">en una exhibición de producto, en comparación con </w:t>
      </w:r>
      <w:r w:rsidR="00E4030F">
        <w:rPr>
          <w:color w:val="000000"/>
        </w:rPr>
        <w:t xml:space="preserve">quienes observaron </w:t>
      </w:r>
      <w:r>
        <w:rPr>
          <w:color w:val="000000"/>
        </w:rPr>
        <w:t xml:space="preserve">la misma escena asociada a la marca </w:t>
      </w:r>
      <w:r w:rsidR="00E4030F">
        <w:rPr>
          <w:color w:val="000000"/>
        </w:rPr>
        <w:t xml:space="preserve">de refresco </w:t>
      </w:r>
      <w:r>
        <w:rPr>
          <w:color w:val="000000"/>
        </w:rPr>
        <w:t>durante todo el comercial. Al parecer, este resultado es consecuencia de que el participante</w:t>
      </w:r>
      <w:r w:rsidR="00D72B45">
        <w:rPr>
          <w:color w:val="000000"/>
        </w:rPr>
        <w:t xml:space="preserve"> obtuvo</w:t>
      </w:r>
      <w:r>
        <w:rPr>
          <w:color w:val="000000"/>
        </w:rPr>
        <w:t xml:space="preserve"> más información sobre su </w:t>
      </w:r>
      <w:r>
        <w:rPr>
          <w:i/>
          <w:color w:val="000000"/>
        </w:rPr>
        <w:t>hipótesis</w:t>
      </w:r>
      <w:r>
        <w:rPr>
          <w:color w:val="000000"/>
        </w:rPr>
        <w:t xml:space="preserve"> de asociación en un contexto nuevo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1993). Esta explicación del aprendizaje asociativo desde la psicología del consumidor se conoce como modelo de aprendizaje experiencial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xml:space="preserve">, 1989) el cual adopta el principio del modelo </w:t>
      </w:r>
      <w:proofErr w:type="spellStart"/>
      <w:r>
        <w:rPr>
          <w:color w:val="000000"/>
        </w:rPr>
        <w:t>Rescorla</w:t>
      </w:r>
      <w:proofErr w:type="spellEnd"/>
      <w:r>
        <w:rPr>
          <w:color w:val="000000"/>
        </w:rPr>
        <w:t xml:space="preserve">-Wagner (1972) para plantear la situación de aprendizaje desde la perspectiva de la experiencia o expectativa. Según el modelo, se asume que el consumidor adquiere la información del entorno para crear expectativas y que, una vez creadas, se pueden contrastar a manera de </w:t>
      </w:r>
      <w:r>
        <w:rPr>
          <w:color w:val="000000"/>
        </w:rPr>
        <w:lastRenderedPageBreak/>
        <w:t xml:space="preserve">hipótesis; es decir, los consumidores aprenden al participar de un proceso de prueba de hipótesis. En este proceso, que se alimenta de las experiencias similares en el pasado, la información recibida previamente u obtenida por el boca-oído se contrasta y se compara con la información nueva; por tanto, el consumidor pasa por cuatro etapas básicas: primero, genera la hipótesis; segundo, se expone a la evidencia; tercero, codifica la evidencia; y cuarto, integra la evidencia y creencias anteriores. </w:t>
      </w:r>
    </w:p>
    <w:p w14:paraId="434782C7" w14:textId="7B3A0FAE" w:rsidR="00D72B45" w:rsidRDefault="007D47DC">
      <w:pPr>
        <w:pBdr>
          <w:top w:val="nil"/>
          <w:left w:val="nil"/>
          <w:bottom w:val="nil"/>
          <w:right w:val="nil"/>
          <w:between w:val="nil"/>
        </w:pBdr>
        <w:spacing w:line="360" w:lineRule="auto"/>
        <w:ind w:firstLine="708"/>
      </w:pPr>
      <w:r>
        <w:rPr>
          <w:color w:val="000000"/>
        </w:rPr>
        <w:t xml:space="preserve">Sin embargo, estas explicaciones se </w:t>
      </w:r>
      <w:r>
        <w:t>centran</w:t>
      </w:r>
      <w:r>
        <w:rPr>
          <w:color w:val="000000"/>
        </w:rPr>
        <w:t xml:space="preserve"> en </w:t>
      </w:r>
      <w:r>
        <w:t xml:space="preserve">la </w:t>
      </w:r>
      <w:r>
        <w:rPr>
          <w:color w:val="000000"/>
        </w:rPr>
        <w:t>respuesta del aprendizaje (la</w:t>
      </w:r>
      <w:r>
        <w:t xml:space="preserve"> respuesta del participante durante la tarea),</w:t>
      </w:r>
      <w:r>
        <w:rPr>
          <w:color w:val="000000"/>
        </w:rPr>
        <w:t xml:space="preserve"> </w:t>
      </w:r>
      <w:r>
        <w:t>de allí que</w:t>
      </w:r>
      <w:r>
        <w:rPr>
          <w:color w:val="000000"/>
        </w:rPr>
        <w:t xml:space="preserve"> el </w:t>
      </w:r>
      <w:r>
        <w:t>aprendizaje</w:t>
      </w:r>
      <w:r>
        <w:rPr>
          <w:color w:val="000000"/>
        </w:rPr>
        <w:t xml:space="preserve"> pued</w:t>
      </w:r>
      <w:r>
        <w:t>a</w:t>
      </w:r>
      <w:r>
        <w:rPr>
          <w:color w:val="000000"/>
        </w:rPr>
        <w:t xml:space="preserve"> verse afectado por factores como la motivación (</w:t>
      </w:r>
      <w:proofErr w:type="spellStart"/>
      <w:r>
        <w:rPr>
          <w:color w:val="000000"/>
        </w:rPr>
        <w:t>Hoyer</w:t>
      </w:r>
      <w:proofErr w:type="spellEnd"/>
      <w:r>
        <w:rPr>
          <w:color w:val="000000"/>
        </w:rPr>
        <w:t xml:space="preserve"> et al., 2013), la familiaridad o capacidad previa (</w:t>
      </w:r>
      <w:proofErr w:type="spellStart"/>
      <w:r>
        <w:rPr>
          <w:color w:val="000000"/>
        </w:rPr>
        <w:t>Brucks</w:t>
      </w:r>
      <w:proofErr w:type="spellEnd"/>
      <w:r>
        <w:rPr>
          <w:color w:val="000000"/>
        </w:rPr>
        <w:t>, 1985), la ambigüedad del entorno de información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 y los sesgos de procesamiento (</w:t>
      </w:r>
      <w:proofErr w:type="spellStart"/>
      <w:r w:rsidRPr="00F96125">
        <w:rPr>
          <w:color w:val="000000"/>
        </w:rPr>
        <w:t>Hoyer</w:t>
      </w:r>
      <w:proofErr w:type="spellEnd"/>
      <w:r w:rsidRPr="00F96125">
        <w:rPr>
          <w:color w:val="000000"/>
        </w:rPr>
        <w:t xml:space="preserve"> et al., 2013</w:t>
      </w:r>
      <w:r>
        <w:rPr>
          <w:color w:val="000000"/>
        </w:rPr>
        <w:t>)</w:t>
      </w:r>
      <w:r>
        <w:t xml:space="preserve">. </w:t>
      </w:r>
      <w:r w:rsidR="00D72B45">
        <w:t xml:space="preserve">La explicación de las relaciones </w:t>
      </w:r>
      <w:r w:rsidR="00D72B45">
        <w:rPr>
          <w:color w:val="000000"/>
        </w:rPr>
        <w:t>entre una clave (</w:t>
      </w:r>
      <w:proofErr w:type="spellStart"/>
      <w:r w:rsidR="00D72B45">
        <w:rPr>
          <w:color w:val="000000"/>
        </w:rPr>
        <w:t>e.g</w:t>
      </w:r>
      <w:proofErr w:type="spellEnd"/>
      <w:r w:rsidR="00D72B45">
        <w:rPr>
          <w:color w:val="000000"/>
        </w:rPr>
        <w:t>., marca de refresco) y diferentes valores del resultado (</w:t>
      </w:r>
      <w:proofErr w:type="spellStart"/>
      <w:r w:rsidR="00D72B45">
        <w:rPr>
          <w:color w:val="000000"/>
        </w:rPr>
        <w:t>e.g</w:t>
      </w:r>
      <w:proofErr w:type="spellEnd"/>
      <w:r w:rsidR="00D72B45">
        <w:rPr>
          <w:color w:val="000000"/>
        </w:rPr>
        <w:t>., imágenes diferentes de personas divirtiéndose) se conoce como procedimiento de refuerzo parcial</w:t>
      </w:r>
      <w:r w:rsidR="00A32B3F">
        <w:rPr>
          <w:color w:val="000000"/>
        </w:rPr>
        <w:t xml:space="preserve"> (RP)</w:t>
      </w:r>
      <w:r w:rsidR="00D72B45">
        <w:rPr>
          <w:color w:val="000000"/>
        </w:rPr>
        <w:t xml:space="preserve"> y, se explicaría más </w:t>
      </w:r>
      <w:r w:rsidR="00A32B3F">
        <w:rPr>
          <w:color w:val="000000"/>
        </w:rPr>
        <w:t>a</w:t>
      </w:r>
      <w:r w:rsidR="00D72B45">
        <w:rPr>
          <w:color w:val="000000"/>
        </w:rPr>
        <w:t>delante, que contribuye principalmente a hacer más saliente el contexto (Abad et al., 2009)</w:t>
      </w:r>
      <w:r w:rsidR="00FB1066">
        <w:rPr>
          <w:color w:val="000000"/>
        </w:rPr>
        <w:t xml:space="preserve">; sin embargo, estas aproximaciones no explican </w:t>
      </w:r>
      <w:r w:rsidR="00FB1066">
        <w:t>cómo se adquiere</w:t>
      </w:r>
      <w:r w:rsidR="00FB1066">
        <w:rPr>
          <w:color w:val="000000"/>
        </w:rPr>
        <w:t xml:space="preserve"> la asociación ni el papel de la atención </w:t>
      </w:r>
      <w:r w:rsidR="00FB1066">
        <w:t>respecto a</w:t>
      </w:r>
      <w:r w:rsidR="00FB1066">
        <w:rPr>
          <w:color w:val="000000"/>
        </w:rPr>
        <w:t>l contexto</w:t>
      </w:r>
      <w:r w:rsidR="00D72B45">
        <w:rPr>
          <w:color w:val="000000"/>
        </w:rPr>
        <w:t>.</w:t>
      </w:r>
      <w:r w:rsidR="00D72B45">
        <w:t xml:space="preserve"> </w:t>
      </w:r>
    </w:p>
    <w:p w14:paraId="0000001E" w14:textId="38AB1A2B" w:rsidR="00E05D2A" w:rsidRDefault="007D47DC">
      <w:pPr>
        <w:pBdr>
          <w:top w:val="nil"/>
          <w:left w:val="nil"/>
          <w:bottom w:val="nil"/>
          <w:right w:val="nil"/>
          <w:between w:val="nil"/>
        </w:pBdr>
        <w:spacing w:line="360" w:lineRule="auto"/>
        <w:ind w:firstLine="708"/>
        <w:rPr>
          <w:color w:val="000000"/>
        </w:rPr>
      </w:pPr>
      <w:r>
        <w:t xml:space="preserve">De acuerdo con lo anterior, </w:t>
      </w:r>
      <w:r>
        <w:rPr>
          <w:color w:val="000000"/>
        </w:rPr>
        <w:t xml:space="preserve">Rosas et al. </w:t>
      </w:r>
      <w:r w:rsidR="00544072">
        <w:rPr>
          <w:color w:val="000000"/>
        </w:rPr>
        <w:t>(</w:t>
      </w:r>
      <w:r>
        <w:rPr>
          <w:color w:val="000000"/>
        </w:rPr>
        <w:t>2006</w:t>
      </w:r>
      <w:r w:rsidR="00544072">
        <w:rPr>
          <w:color w:val="000000"/>
        </w:rPr>
        <w:t>)</w:t>
      </w:r>
      <w:r>
        <w:rPr>
          <w:color w:val="000000"/>
        </w:rPr>
        <w:t xml:space="preserve">, </w:t>
      </w:r>
      <w:r>
        <w:t>proponen</w:t>
      </w:r>
      <w:r>
        <w:rPr>
          <w:color w:val="000000"/>
        </w:rPr>
        <w:t xml:space="preserve"> una teoría </w:t>
      </w:r>
      <w:r w:rsidR="00A43236">
        <w:rPr>
          <w:color w:val="000000"/>
        </w:rPr>
        <w:t xml:space="preserve">que </w:t>
      </w:r>
      <w:r>
        <w:rPr>
          <w:color w:val="000000"/>
        </w:rPr>
        <w:t>integra</w:t>
      </w:r>
      <w:r w:rsidR="00A43236">
        <w:rPr>
          <w:color w:val="000000"/>
        </w:rPr>
        <w:t xml:space="preserve"> y extiende</w:t>
      </w:r>
      <w:r>
        <w:rPr>
          <w:color w:val="000000"/>
        </w:rPr>
        <w:t xml:space="preserve"> los resultados propuestos por </w:t>
      </w:r>
      <w:proofErr w:type="spellStart"/>
      <w:r>
        <w:rPr>
          <w:color w:val="000000"/>
        </w:rPr>
        <w:t>Bouton</w:t>
      </w:r>
      <w:proofErr w:type="spellEnd"/>
      <w:r>
        <w:rPr>
          <w:color w:val="000000"/>
        </w:rPr>
        <w:t xml:space="preserve"> (1993, 1994, 1997)</w:t>
      </w:r>
      <w:r w:rsidR="00A43236">
        <w:rPr>
          <w:color w:val="000000"/>
        </w:rPr>
        <w:t>,</w:t>
      </w:r>
      <w:r>
        <w:t xml:space="preserve"> denominada</w:t>
      </w:r>
      <w:r>
        <w:rPr>
          <w:color w:val="000000"/>
        </w:rPr>
        <w:t xml:space="preserve"> Teoría Atencional del Procesamiento Contextual – TAPC</w:t>
      </w:r>
      <w:r>
        <w:t xml:space="preserve">. Esta teoría asume que </w:t>
      </w:r>
      <w:r>
        <w:rPr>
          <w:color w:val="000000"/>
        </w:rPr>
        <w:t xml:space="preserve">los efectos del cambio de contexto son el resultado de un proceso por el cual la ambigüedad lleva a los participantes a prestar atención a los contextos. </w:t>
      </w:r>
      <w:r>
        <w:t xml:space="preserve">En este sentido, </w:t>
      </w:r>
      <w:r>
        <w:rPr>
          <w:color w:val="000000"/>
        </w:rPr>
        <w:t xml:space="preserve">TAPC </w:t>
      </w:r>
      <w:r>
        <w:t xml:space="preserve">sugiere </w:t>
      </w:r>
      <w:r>
        <w:rPr>
          <w:color w:val="000000"/>
        </w:rPr>
        <w:t>que el factor principal que determina la dependencia del contexto es la atención que se presta en el momento de la adquisición y la prueba. Aunque el papel de la atención como elemento explicativo del aprendizaje asociativo ya se había evidenciado (</w:t>
      </w:r>
      <w:proofErr w:type="spellStart"/>
      <w:r>
        <w:rPr>
          <w:color w:val="000000"/>
        </w:rPr>
        <w:t>Mackintosh</w:t>
      </w:r>
      <w:proofErr w:type="spellEnd"/>
      <w:r>
        <w:rPr>
          <w:color w:val="000000"/>
        </w:rPr>
        <w:t xml:space="preserve">, 1975; </w:t>
      </w:r>
      <w:proofErr w:type="spellStart"/>
      <w:r>
        <w:rPr>
          <w:color w:val="000000"/>
        </w:rPr>
        <w:t>Pearce</w:t>
      </w:r>
      <w:proofErr w:type="spellEnd"/>
      <w:r>
        <w:rPr>
          <w:color w:val="000000"/>
        </w:rPr>
        <w:t xml:space="preserve"> &amp; Hall, 1980), su inclusión y adaptación para la TAPC (Rosas et al., 2006) permite explicar, a diferencia de la propuesta de </w:t>
      </w:r>
      <w:proofErr w:type="spellStart"/>
      <w:r>
        <w:rPr>
          <w:color w:val="000000"/>
        </w:rPr>
        <w:t>Bouton</w:t>
      </w:r>
      <w:proofErr w:type="spellEnd"/>
      <w:r>
        <w:rPr>
          <w:color w:val="000000"/>
        </w:rPr>
        <w:t xml:space="preserve"> (1997), que, una vez que el contexto es codificado, toda la información que se aprenda en él, y no </w:t>
      </w:r>
      <w:r>
        <w:t>solo</w:t>
      </w:r>
      <w:r>
        <w:rPr>
          <w:color w:val="000000"/>
        </w:rPr>
        <w:t xml:space="preserve"> la información ambigua, se convertirá en dependiente del contexto, sin importar que se trate de información aprendida en primer o en segundo lugar, </w:t>
      </w:r>
      <w:proofErr w:type="spellStart"/>
      <w:r>
        <w:rPr>
          <w:color w:val="000000"/>
        </w:rPr>
        <w:t>excitatoria</w:t>
      </w:r>
      <w:proofErr w:type="spellEnd"/>
      <w:r>
        <w:rPr>
          <w:color w:val="000000"/>
        </w:rPr>
        <w:t xml:space="preserve"> o inhibitoria.</w:t>
      </w:r>
    </w:p>
    <w:p w14:paraId="0000001F" w14:textId="1BBA2FB8" w:rsidR="00E05D2A" w:rsidRDefault="007D47DC">
      <w:pPr>
        <w:pBdr>
          <w:top w:val="nil"/>
          <w:left w:val="nil"/>
          <w:bottom w:val="nil"/>
          <w:right w:val="nil"/>
          <w:between w:val="nil"/>
        </w:pBdr>
        <w:spacing w:line="360" w:lineRule="auto"/>
        <w:ind w:firstLine="708"/>
        <w:rPr>
          <w:color w:val="000000"/>
        </w:rPr>
      </w:pPr>
      <w:r>
        <w:rPr>
          <w:color w:val="000000"/>
        </w:rPr>
        <w:t>Siguiendo este razonamiento, el efecto de cambio de contexto no depende de las características de la información, sino de las características de la situación, la cual llevará a los participantes a prestar o no atención al contexto mientras se aprende la información (</w:t>
      </w:r>
      <w:proofErr w:type="spellStart"/>
      <w:r w:rsidR="00073288">
        <w:rPr>
          <w:color w:val="000000"/>
        </w:rPr>
        <w:t>Aristizabal</w:t>
      </w:r>
      <w:proofErr w:type="spellEnd"/>
      <w:r>
        <w:rPr>
          <w:color w:val="000000"/>
        </w:rPr>
        <w:t xml:space="preserve"> et al., 2016, 2017; </w:t>
      </w:r>
      <w:proofErr w:type="spellStart"/>
      <w:r>
        <w:rPr>
          <w:color w:val="000000"/>
        </w:rPr>
        <w:t>Bouton</w:t>
      </w:r>
      <w:proofErr w:type="spellEnd"/>
      <w:r>
        <w:rPr>
          <w:color w:val="000000"/>
        </w:rPr>
        <w:t xml:space="preserve">, 1997; </w:t>
      </w:r>
      <w:proofErr w:type="spellStart"/>
      <w:r>
        <w:rPr>
          <w:color w:val="000000"/>
        </w:rPr>
        <w:t>Jiang</w:t>
      </w:r>
      <w:proofErr w:type="spellEnd"/>
      <w:r>
        <w:rPr>
          <w:color w:val="000000"/>
        </w:rPr>
        <w:t xml:space="preserve"> &amp; </w:t>
      </w:r>
      <w:proofErr w:type="spellStart"/>
      <w:r>
        <w:rPr>
          <w:color w:val="000000"/>
        </w:rPr>
        <w:t>Leung</w:t>
      </w:r>
      <w:proofErr w:type="spellEnd"/>
      <w:r>
        <w:rPr>
          <w:color w:val="000000"/>
        </w:rPr>
        <w:t xml:space="preserve">, 2005; </w:t>
      </w:r>
      <w:proofErr w:type="spellStart"/>
      <w:r>
        <w:rPr>
          <w:color w:val="000000"/>
        </w:rPr>
        <w:t>Larrauri</w:t>
      </w:r>
      <w:proofErr w:type="spellEnd"/>
      <w:r>
        <w:rPr>
          <w:color w:val="000000"/>
        </w:rPr>
        <w:t xml:space="preserve"> &amp; </w:t>
      </w:r>
      <w:proofErr w:type="spellStart"/>
      <w:r>
        <w:rPr>
          <w:color w:val="000000"/>
        </w:rPr>
        <w:t>Schmajuk</w:t>
      </w:r>
      <w:proofErr w:type="spellEnd"/>
      <w:r>
        <w:rPr>
          <w:color w:val="000000"/>
        </w:rPr>
        <w:t xml:space="preserve">, 2008). Esta teoría considera dos factores moduladores de la atención al contexto; en primer </w:t>
      </w:r>
      <w:r>
        <w:rPr>
          <w:color w:val="000000"/>
        </w:rPr>
        <w:lastRenderedPageBreak/>
        <w:t xml:space="preserve">lugar, la relevancia subjetiva del contexto determinada por su valor informativo (León et al., 2008, 2010a, 2010b; León et al., 2011; </w:t>
      </w:r>
      <w:proofErr w:type="spellStart"/>
      <w:r>
        <w:rPr>
          <w:color w:val="000000"/>
        </w:rPr>
        <w:t>Lucke</w:t>
      </w:r>
      <w:proofErr w:type="spellEnd"/>
      <w:r>
        <w:rPr>
          <w:color w:val="000000"/>
        </w:rPr>
        <w:t xml:space="preserve"> et al., 2014; </w:t>
      </w:r>
      <w:proofErr w:type="spellStart"/>
      <w:r>
        <w:rPr>
          <w:color w:val="000000"/>
        </w:rPr>
        <w:t>Uengoer</w:t>
      </w:r>
      <w:proofErr w:type="spellEnd"/>
      <w:r>
        <w:rPr>
          <w:color w:val="000000"/>
        </w:rPr>
        <w:t xml:space="preserve"> et al., 2018), las instrucciones dadas a los participantes humanos (Callejas-Aguilera et al., 2019) y la </w:t>
      </w:r>
      <w:proofErr w:type="spellStart"/>
      <w:r>
        <w:rPr>
          <w:color w:val="000000"/>
        </w:rPr>
        <w:t>saliencia</w:t>
      </w:r>
      <w:proofErr w:type="spellEnd"/>
      <w:r>
        <w:rPr>
          <w:color w:val="000000"/>
        </w:rPr>
        <w:t xml:space="preserve"> del contexto respecto a las claves (Abad et al., 2009). En segundo lugar, la ambigüedad de la situación de aprendizaje</w:t>
      </w:r>
      <w:r w:rsidR="0020612B">
        <w:rPr>
          <w:color w:val="000000"/>
        </w:rPr>
        <w:t>,</w:t>
      </w:r>
      <w:r>
        <w:rPr>
          <w:color w:val="000000"/>
        </w:rPr>
        <w:t xml:space="preserve"> que se asume que es alta al inicio del entrenamiento cuando aún no es clara la relación </w:t>
      </w:r>
      <w:proofErr w:type="spellStart"/>
      <w:r>
        <w:rPr>
          <w:color w:val="000000"/>
        </w:rPr>
        <w:t>predictora</w:t>
      </w:r>
      <w:proofErr w:type="spellEnd"/>
      <w:r>
        <w:rPr>
          <w:color w:val="000000"/>
        </w:rPr>
        <w:t xml:space="preserve"> entre claves y resultados (León et al., 2011), o cuando se expone a información contradictoria (Bernal-Gamboa et al., 2015; Callejas-Aguilera &amp; Rosas, 2010; Nelson et al., 2013; Rosas &amp; Callejas-Aguilera, 2006, 2007; Rosas et al., 2006).</w:t>
      </w:r>
    </w:p>
    <w:p w14:paraId="00000020" w14:textId="6FA96FF9" w:rsidR="00E05D2A" w:rsidRPr="00027C1F" w:rsidRDefault="007D47DC" w:rsidP="00027C1F">
      <w:pPr>
        <w:pBdr>
          <w:top w:val="nil"/>
          <w:left w:val="nil"/>
          <w:bottom w:val="nil"/>
          <w:right w:val="nil"/>
          <w:between w:val="nil"/>
        </w:pBdr>
        <w:spacing w:line="360" w:lineRule="auto"/>
        <w:ind w:firstLine="708"/>
      </w:pPr>
      <w:r>
        <w:t xml:space="preserve">En situaciones cotidianas de consumo una persona puede asociar un producto (clave) a diferentes atributos o características del producto (resultados), mediante un procedimiento similar al usado en la exposición del comercial en el estudio de </w:t>
      </w:r>
      <w:proofErr w:type="spellStart"/>
      <w:r>
        <w:t>Janiszewski</w:t>
      </w:r>
      <w:proofErr w:type="spellEnd"/>
      <w:r>
        <w:t xml:space="preserve"> y </w:t>
      </w:r>
      <w:proofErr w:type="spellStart"/>
      <w:r>
        <w:t>Warlop</w:t>
      </w:r>
      <w:proofErr w:type="spellEnd"/>
      <w:r>
        <w:t xml:space="preserve"> (1993). La TAPC</w:t>
      </w:r>
      <w:r>
        <w:rPr>
          <w:color w:val="000000"/>
        </w:rPr>
        <w:t xml:space="preserve"> incluye este procedimiento como un determinante de la atención al contexto haciéndolo más saliente (Abad et al., 2009). En una tarea de aprendizaje predictivo en humanos, Abad et al (2009) </w:t>
      </w:r>
      <w:r w:rsidR="00AB04DF">
        <w:rPr>
          <w:color w:val="000000"/>
        </w:rPr>
        <w:t xml:space="preserve">entrenaron a los participantes para que </w:t>
      </w:r>
      <w:r>
        <w:rPr>
          <w:color w:val="000000"/>
        </w:rPr>
        <w:t>pred</w:t>
      </w:r>
      <w:r w:rsidR="00AB04DF">
        <w:rPr>
          <w:color w:val="000000"/>
        </w:rPr>
        <w:t>ijeran</w:t>
      </w:r>
      <w:r>
        <w:rPr>
          <w:color w:val="000000"/>
        </w:rPr>
        <w:t xml:space="preserve"> un malestar estomacal (resultado) ante la presencia de varios alimentos (claves)</w:t>
      </w:r>
      <w:r w:rsidR="00D164CA">
        <w:t>.</w:t>
      </w:r>
      <w:r w:rsidR="00AB04DF">
        <w:t xml:space="preserve"> </w:t>
      </w:r>
      <w:r w:rsidR="00D164CA">
        <w:t>L</w:t>
      </w:r>
      <w:r w:rsidR="00AB04DF">
        <w:t xml:space="preserve">a clave P </w:t>
      </w:r>
      <w:r w:rsidR="00AB04DF">
        <w:rPr>
          <w:color w:val="000000"/>
        </w:rPr>
        <w:t>fue seguida por el resultado de manera aleatoria en la mitad de los ensayos en los que se presentó; es decir, la mitad de los ensayos este alimento se asoció con el malestar estomacal, y la otra mitad no (</w:t>
      </w:r>
      <w:r w:rsidR="005C3A6B">
        <w:rPr>
          <w:color w:val="000000"/>
        </w:rPr>
        <w:t xml:space="preserve">procedimiento de </w:t>
      </w:r>
      <w:r w:rsidR="00AB04DF">
        <w:rPr>
          <w:color w:val="000000"/>
        </w:rPr>
        <w:t>RP)</w:t>
      </w:r>
      <w:r w:rsidR="008146EC">
        <w:rPr>
          <w:color w:val="000000"/>
        </w:rPr>
        <w:t>,</w:t>
      </w:r>
      <w:r w:rsidR="00AB04DF">
        <w:rPr>
          <w:color w:val="000000"/>
        </w:rPr>
        <w:t xml:space="preserve"> mientras que la clave C </w:t>
      </w:r>
      <w:r w:rsidR="00580108">
        <w:rPr>
          <w:color w:val="000000"/>
        </w:rPr>
        <w:t xml:space="preserve">fue seguida en </w:t>
      </w:r>
      <w:r w:rsidR="00AB04DF">
        <w:rPr>
          <w:color w:val="000000"/>
        </w:rPr>
        <w:t xml:space="preserve">todos los ensayos </w:t>
      </w:r>
      <w:r w:rsidR="00580108">
        <w:rPr>
          <w:color w:val="000000"/>
        </w:rPr>
        <w:t>por</w:t>
      </w:r>
      <w:r w:rsidR="00AB04DF">
        <w:rPr>
          <w:color w:val="000000"/>
        </w:rPr>
        <w:t xml:space="preserve"> el malestar estomacal</w:t>
      </w:r>
      <w:r w:rsidR="00F538FB">
        <w:rPr>
          <w:color w:val="000000"/>
        </w:rPr>
        <w:t xml:space="preserve">, lo que correspondería a un </w:t>
      </w:r>
      <w:r w:rsidR="0020612B">
        <w:rPr>
          <w:color w:val="000000"/>
        </w:rPr>
        <w:t xml:space="preserve">procedimiento de </w:t>
      </w:r>
      <w:r w:rsidR="00F538FB">
        <w:rPr>
          <w:color w:val="000000"/>
        </w:rPr>
        <w:t>refuerzo continuo</w:t>
      </w:r>
      <w:r w:rsidR="00580108">
        <w:rPr>
          <w:color w:val="000000"/>
        </w:rPr>
        <w:t xml:space="preserve"> (RC</w:t>
      </w:r>
      <w:r w:rsidR="00AB04DF">
        <w:rPr>
          <w:color w:val="000000"/>
        </w:rPr>
        <w:t>)</w:t>
      </w:r>
      <w:r w:rsidR="00F538FB">
        <w:rPr>
          <w:color w:val="000000"/>
        </w:rPr>
        <w:t>.</w:t>
      </w:r>
      <w:r w:rsidR="00027C1F">
        <w:t xml:space="preserve"> </w:t>
      </w:r>
      <w:r>
        <w:rPr>
          <w:color w:val="000000"/>
        </w:rPr>
        <w:t xml:space="preserve">Sus hallazgos mostraron que </w:t>
      </w:r>
      <w:r w:rsidR="008146EC">
        <w:rPr>
          <w:color w:val="000000"/>
        </w:rPr>
        <w:t xml:space="preserve">en </w:t>
      </w:r>
      <w:r>
        <w:rPr>
          <w:color w:val="000000"/>
        </w:rPr>
        <w:t xml:space="preserve">los juicios predictivos para </w:t>
      </w:r>
      <w:r w:rsidR="00D164CA">
        <w:rPr>
          <w:color w:val="000000"/>
        </w:rPr>
        <w:t>l</w:t>
      </w:r>
      <w:r>
        <w:rPr>
          <w:color w:val="000000"/>
        </w:rPr>
        <w:t xml:space="preserve">a clave </w:t>
      </w:r>
      <w:r w:rsidR="008146EC">
        <w:rPr>
          <w:color w:val="000000"/>
        </w:rPr>
        <w:t>bajo RC</w:t>
      </w:r>
      <w:r>
        <w:rPr>
          <w:color w:val="000000"/>
        </w:rPr>
        <w:t xml:space="preserve"> en el mismo contexto en el que otra clave </w:t>
      </w:r>
      <w:r w:rsidR="008146EC">
        <w:rPr>
          <w:color w:val="000000"/>
        </w:rPr>
        <w:t>estuvo bajo RP</w:t>
      </w:r>
      <w:r>
        <w:rPr>
          <w:color w:val="000000"/>
        </w:rPr>
        <w:t xml:space="preserve">, </w:t>
      </w:r>
      <w:r w:rsidR="00D164CA">
        <w:t>se present</w:t>
      </w:r>
      <w:r w:rsidR="008146EC">
        <w:t>ó</w:t>
      </w:r>
      <w:r w:rsidR="00D164CA">
        <w:t xml:space="preserve"> el</w:t>
      </w:r>
      <w:r>
        <w:t xml:space="preserve"> efecto</w:t>
      </w:r>
      <w:r w:rsidR="002D2399">
        <w:t xml:space="preserve"> de</w:t>
      </w:r>
      <w:r>
        <w:t xml:space="preserve"> </w:t>
      </w:r>
      <w:r>
        <w:rPr>
          <w:color w:val="000000"/>
        </w:rPr>
        <w:t xml:space="preserve">cambio de contexto, mientras que </w:t>
      </w:r>
      <w:r w:rsidR="008146EC">
        <w:rPr>
          <w:color w:val="000000"/>
        </w:rPr>
        <w:t xml:space="preserve">en </w:t>
      </w:r>
      <w:r>
        <w:rPr>
          <w:color w:val="000000"/>
        </w:rPr>
        <w:t xml:space="preserve">los juicios para la clave </w:t>
      </w:r>
      <w:r w:rsidR="00C548FA">
        <w:rPr>
          <w:color w:val="000000"/>
        </w:rPr>
        <w:t>reforzada mediante</w:t>
      </w:r>
      <w:r w:rsidR="008146EC">
        <w:rPr>
          <w:color w:val="000000"/>
        </w:rPr>
        <w:t xml:space="preserve"> RP</w:t>
      </w:r>
      <w:r>
        <w:rPr>
          <w:color w:val="000000"/>
        </w:rPr>
        <w:t xml:space="preserve"> </w:t>
      </w:r>
      <w:r w:rsidR="00395683">
        <w:t xml:space="preserve">no </w:t>
      </w:r>
      <w:r w:rsidR="008146EC">
        <w:t xml:space="preserve">se </w:t>
      </w:r>
      <w:r w:rsidR="00395683">
        <w:t>present</w:t>
      </w:r>
      <w:r w:rsidR="008146EC">
        <w:t>ó</w:t>
      </w:r>
      <w:r w:rsidR="00395683">
        <w:t xml:space="preserve"> el</w:t>
      </w:r>
      <w:r>
        <w:t xml:space="preserve"> efecto</w:t>
      </w:r>
      <w:r>
        <w:rPr>
          <w:color w:val="000000"/>
        </w:rPr>
        <w:t>; esto sugiere que, durante el</w:t>
      </w:r>
      <w:r w:rsidR="002D2399">
        <w:rPr>
          <w:color w:val="000000"/>
        </w:rPr>
        <w:t xml:space="preserve"> RC</w:t>
      </w:r>
      <w:r>
        <w:rPr>
          <w:color w:val="000000"/>
        </w:rPr>
        <w:t>, la información adqui</w:t>
      </w:r>
      <w:r w:rsidR="00C548FA">
        <w:rPr>
          <w:color w:val="000000"/>
        </w:rPr>
        <w:t>rió</w:t>
      </w:r>
      <w:r>
        <w:rPr>
          <w:color w:val="000000"/>
        </w:rPr>
        <w:t xml:space="preserve"> una mayor dependencia del contexto</w:t>
      </w:r>
      <w:r w:rsidR="00D164CA">
        <w:rPr>
          <w:color w:val="000000"/>
        </w:rPr>
        <w:t xml:space="preserve"> </w:t>
      </w:r>
      <w:r w:rsidRPr="00D164CA">
        <w:rPr>
          <w:color w:val="000000"/>
        </w:rPr>
        <w:t>(Callejas-Aguilera &amp; Rosas, 2010).</w:t>
      </w:r>
      <w:r w:rsidR="0039240F">
        <w:rPr>
          <w:color w:val="000000"/>
        </w:rPr>
        <w:t xml:space="preserve"> Este procedimiento también ha sido utilizado en otros estudios aplicados a la publicidad; por ejemplo, usando música (que tradicionalmente ha sido utilizada en anuncios publicitarios</w:t>
      </w:r>
      <w:r w:rsidR="0039240F" w:rsidRPr="00C57BB8">
        <w:rPr>
          <w:color w:val="000000"/>
        </w:rPr>
        <w:t>) (</w:t>
      </w:r>
      <w:proofErr w:type="spellStart"/>
      <w:r w:rsidR="0039240F" w:rsidRPr="00C57BB8">
        <w:rPr>
          <w:color w:val="000000"/>
        </w:rPr>
        <w:t>Bierley</w:t>
      </w:r>
      <w:proofErr w:type="spellEnd"/>
      <w:r w:rsidR="0039240F" w:rsidRPr="00C57BB8">
        <w:rPr>
          <w:color w:val="000000"/>
        </w:rPr>
        <w:t xml:space="preserve"> et al., 1985</w:t>
      </w:r>
      <w:r w:rsidR="0039240F">
        <w:rPr>
          <w:color w:val="000000"/>
        </w:rPr>
        <w:t>) y se ha identificado que existen diferentes formas de generar una condición de RP</w:t>
      </w:r>
      <w:r w:rsidR="00476390">
        <w:rPr>
          <w:color w:val="000000"/>
        </w:rPr>
        <w:t xml:space="preserve"> (Alvarado et al., 2013)</w:t>
      </w:r>
      <w:r w:rsidR="0039240F">
        <w:rPr>
          <w:color w:val="000000"/>
        </w:rPr>
        <w:t>; por ejemplo, igualando los reforzadores o el número de intentos (</w:t>
      </w:r>
      <w:proofErr w:type="spellStart"/>
      <w:r w:rsidR="0039240F" w:rsidRPr="00D20593">
        <w:rPr>
          <w:color w:val="000000"/>
        </w:rPr>
        <w:t>Schachtman</w:t>
      </w:r>
      <w:proofErr w:type="spellEnd"/>
      <w:r w:rsidR="0039240F" w:rsidRPr="00D20593">
        <w:rPr>
          <w:color w:val="000000"/>
        </w:rPr>
        <w:t xml:space="preserve"> et al., 2011),</w:t>
      </w:r>
      <w:r w:rsidR="0039240F">
        <w:rPr>
          <w:color w:val="000000"/>
        </w:rPr>
        <w:t xml:space="preserve"> siendo decisión del investigador elegir cuál opción resulta más efectiva para manipular en sus estudios. </w:t>
      </w:r>
    </w:p>
    <w:p w14:paraId="00000024" w14:textId="5239A528" w:rsidR="00E05D2A" w:rsidRDefault="007D47DC">
      <w:pPr>
        <w:pBdr>
          <w:top w:val="nil"/>
          <w:left w:val="nil"/>
          <w:bottom w:val="nil"/>
          <w:right w:val="nil"/>
          <w:between w:val="nil"/>
        </w:pBdr>
        <w:spacing w:line="360" w:lineRule="auto"/>
        <w:ind w:firstLine="708"/>
      </w:pPr>
      <w:r>
        <w:t xml:space="preserve">Cabe destacar que estos </w:t>
      </w:r>
      <w:r w:rsidR="00F96420">
        <w:t>hallazgos</w:t>
      </w:r>
      <w:r>
        <w:t xml:space="preserve"> fueron e</w:t>
      </w:r>
      <w:r w:rsidR="00F96420">
        <w:t>vidente</w:t>
      </w:r>
      <w:r>
        <w:t>s sin la manipulación de los valores de los resultados (</w:t>
      </w:r>
      <w:r w:rsidR="00F96420">
        <w:t xml:space="preserve">sólo la </w:t>
      </w:r>
      <w:r>
        <w:t xml:space="preserve">presencia o ausencia de </w:t>
      </w:r>
      <w:r w:rsidR="0039240F">
        <w:t>resultado</w:t>
      </w:r>
      <w:r w:rsidRPr="00983A9B">
        <w:t>)</w:t>
      </w:r>
      <w:r w:rsidR="00F96420" w:rsidRPr="00983A9B">
        <w:t xml:space="preserve">; por </w:t>
      </w:r>
      <w:r w:rsidRPr="00983A9B">
        <w:t>tanto, la inclusión de diferentes valores de</w:t>
      </w:r>
      <w:r w:rsidR="00F96420" w:rsidRPr="00983A9B">
        <w:t>l</w:t>
      </w:r>
      <w:r w:rsidRPr="00983A9B">
        <w:t xml:space="preserve"> resultado en un procedimiento de RP podría brindar información </w:t>
      </w:r>
      <w:r w:rsidR="00F96420" w:rsidRPr="00983A9B">
        <w:t xml:space="preserve">adicional sobre </w:t>
      </w:r>
      <w:r w:rsidRPr="00983A9B">
        <w:t>c</w:t>
      </w:r>
      <w:r w:rsidR="00F96420" w:rsidRPr="00983A9B">
        <w:t>ó</w:t>
      </w:r>
      <w:r w:rsidRPr="00983A9B">
        <w:t>mo se presenta el efecto de cambio de contexto en una situación de aprendizaje. Est</w:t>
      </w:r>
      <w:r w:rsidR="00F96420" w:rsidRPr="00983A9B">
        <w:t xml:space="preserve">a propuesta se ampara en </w:t>
      </w:r>
      <w:r w:rsidRPr="00983A9B">
        <w:t xml:space="preserve">diversas investigaciones </w:t>
      </w:r>
      <w:r w:rsidR="00983A9B" w:rsidRPr="00983A9B">
        <w:t>sobre</w:t>
      </w:r>
      <w:r w:rsidRPr="00983A9B">
        <w:t xml:space="preserve"> aprendizaje </w:t>
      </w:r>
      <w:r w:rsidRPr="00983A9B">
        <w:lastRenderedPageBreak/>
        <w:t>predict</w:t>
      </w:r>
      <w:r w:rsidR="00F96420" w:rsidRPr="00983A9B">
        <w:t xml:space="preserve">ivo </w:t>
      </w:r>
      <w:r w:rsidRPr="00983A9B">
        <w:t>humano</w:t>
      </w:r>
      <w:r w:rsidR="00F96420" w:rsidRPr="00983A9B">
        <w:t xml:space="preserve"> que </w:t>
      </w:r>
      <w:r w:rsidRPr="00983A9B">
        <w:t>reportan que</w:t>
      </w:r>
      <w:r w:rsidR="005C3A6B">
        <w:t>,</w:t>
      </w:r>
      <w:r w:rsidRPr="00983A9B">
        <w:t xml:space="preserve"> cuando los valores de los resultados son altos</w:t>
      </w:r>
      <w:r w:rsidR="00983A9B" w:rsidRPr="00983A9B">
        <w:t xml:space="preserve"> (</w:t>
      </w:r>
      <w:r w:rsidR="00C643E1">
        <w:t xml:space="preserve">relación </w:t>
      </w:r>
      <w:r w:rsidR="00983A9B" w:rsidRPr="00983A9B">
        <w:t>clave-resultado de valor alto</w:t>
      </w:r>
      <w:r w:rsidR="00C643E1">
        <w:t xml:space="preserve"> o de mayor incentivo</w:t>
      </w:r>
      <w:r w:rsidR="00983A9B" w:rsidRPr="00983A9B">
        <w:t>)</w:t>
      </w:r>
      <w:r w:rsidRPr="00983A9B">
        <w:t>, los participantes</w:t>
      </w:r>
      <w:r w:rsidR="00983A9B" w:rsidRPr="00983A9B">
        <w:t xml:space="preserve"> aprenden más rápidamente la relación clave-resultado</w:t>
      </w:r>
      <w:r w:rsidRPr="00983A9B">
        <w:t>, en comparaci</w:t>
      </w:r>
      <w:r w:rsidR="00983A9B" w:rsidRPr="00983A9B">
        <w:t>ó</w:t>
      </w:r>
      <w:r w:rsidRPr="00983A9B">
        <w:t xml:space="preserve">n con </w:t>
      </w:r>
      <w:r w:rsidR="00983A9B" w:rsidRPr="00983A9B">
        <w:t xml:space="preserve">los </w:t>
      </w:r>
      <w:r w:rsidRPr="00983A9B">
        <w:t>valor</w:t>
      </w:r>
      <w:r w:rsidR="00983A9B" w:rsidRPr="00983A9B">
        <w:t>es</w:t>
      </w:r>
      <w:r w:rsidRPr="00983A9B">
        <w:t xml:space="preserve"> bajo</w:t>
      </w:r>
      <w:r w:rsidR="00983A9B" w:rsidRPr="00983A9B">
        <w:t>s</w:t>
      </w:r>
      <w:r w:rsidRPr="00983A9B">
        <w:t xml:space="preserve"> (</w:t>
      </w:r>
      <w:r w:rsidR="00C643E1">
        <w:t xml:space="preserve">relación </w:t>
      </w:r>
      <w:r w:rsidR="00983A9B" w:rsidRPr="00983A9B">
        <w:t>clave-resultado de valor bajo</w:t>
      </w:r>
      <w:r w:rsidR="00C643E1">
        <w:t xml:space="preserve"> o de menor incentivo</w:t>
      </w:r>
      <w:r w:rsidRPr="00983A9B">
        <w:t xml:space="preserve">) </w:t>
      </w:r>
      <w:r w:rsidR="00983A9B" w:rsidRPr="00983A9B">
        <w:t>(</w:t>
      </w:r>
      <w:r w:rsidRPr="00983A9B">
        <w:t>Le</w:t>
      </w:r>
      <w:r>
        <w:t xml:space="preserve"> </w:t>
      </w:r>
      <w:proofErr w:type="spellStart"/>
      <w:r>
        <w:t>Pelley</w:t>
      </w:r>
      <w:proofErr w:type="spellEnd"/>
      <w:r>
        <w:t xml:space="preserve"> et al., 2013). </w:t>
      </w:r>
    </w:p>
    <w:p w14:paraId="1CDF1C8D" w14:textId="7F099B5C" w:rsidR="00DF3E09" w:rsidRDefault="004647F4" w:rsidP="00DF3E09">
      <w:pPr>
        <w:pBdr>
          <w:top w:val="nil"/>
          <w:left w:val="nil"/>
          <w:bottom w:val="nil"/>
          <w:right w:val="nil"/>
          <w:between w:val="nil"/>
        </w:pBdr>
        <w:spacing w:line="360" w:lineRule="auto"/>
        <w:ind w:firstLine="720"/>
      </w:pPr>
      <w:r>
        <w:rPr>
          <w:color w:val="000000"/>
        </w:rPr>
        <w:t xml:space="preserve">Teniendo en cuenta lo anterior, en una situación de compra el consumidor puede atender a múltiples atributos del producto </w:t>
      </w:r>
      <w:r w:rsidR="00293449">
        <w:rPr>
          <w:color w:val="000000"/>
        </w:rPr>
        <w:t>asociándolos</w:t>
      </w:r>
      <w:r>
        <w:rPr>
          <w:color w:val="000000"/>
        </w:rPr>
        <w:t xml:space="preserve"> con el resultado esperado; uno de </w:t>
      </w:r>
      <w:r w:rsidR="000E49C5">
        <w:rPr>
          <w:color w:val="000000"/>
        </w:rPr>
        <w:t xml:space="preserve">los atributos más estudiados </w:t>
      </w:r>
      <w:r>
        <w:rPr>
          <w:color w:val="000000"/>
        </w:rPr>
        <w:t>es la estrategia promocional, específicamente, la aplicación de un descuento sobre el precio del producto (</w:t>
      </w:r>
      <w:proofErr w:type="spellStart"/>
      <w:r>
        <w:rPr>
          <w:color w:val="000000"/>
        </w:rPr>
        <w:t>Alimpic</w:t>
      </w:r>
      <w:proofErr w:type="spellEnd"/>
      <w:r>
        <w:rPr>
          <w:color w:val="000000"/>
        </w:rPr>
        <w:t xml:space="preserve">, 2014; </w:t>
      </w:r>
      <w:proofErr w:type="spellStart"/>
      <w:r>
        <w:rPr>
          <w:color w:val="000000"/>
        </w:rPr>
        <w:t>Nusair</w:t>
      </w:r>
      <w:proofErr w:type="spellEnd"/>
      <w:r>
        <w:rPr>
          <w:color w:val="000000"/>
        </w:rPr>
        <w:t xml:space="preserve"> et al., 2010)</w:t>
      </w:r>
      <w:r w:rsidR="000E49C5">
        <w:rPr>
          <w:color w:val="000000"/>
        </w:rPr>
        <w:t xml:space="preserve">, </w:t>
      </w:r>
      <w:r w:rsidR="0039301F">
        <w:rPr>
          <w:color w:val="000000"/>
        </w:rPr>
        <w:t xml:space="preserve">donde </w:t>
      </w:r>
      <w:r w:rsidR="000E49C5">
        <w:rPr>
          <w:color w:val="000000"/>
        </w:rPr>
        <w:t>las características relacionadas con la forma de presentación de esta estrategia promocional como valor absoluto (precio), o como valor relativo (porcentaje), han mostrado diferencias en la intención de compra (</w:t>
      </w:r>
      <w:proofErr w:type="spellStart"/>
      <w:r w:rsidR="000E49C5">
        <w:rPr>
          <w:color w:val="000000"/>
        </w:rPr>
        <w:t>Sinha</w:t>
      </w:r>
      <w:proofErr w:type="spellEnd"/>
      <w:r w:rsidR="000E49C5">
        <w:rPr>
          <w:color w:val="000000"/>
        </w:rPr>
        <w:t xml:space="preserve"> &amp; Smith, 2000).</w:t>
      </w:r>
      <w:r w:rsidR="000E49C5">
        <w:t xml:space="preserve"> </w:t>
      </w:r>
      <w:r w:rsidR="00EC2CD9">
        <w:rPr>
          <w:color w:val="000000"/>
        </w:rPr>
        <w:t>Si un</w:t>
      </w:r>
      <w:r>
        <w:rPr>
          <w:color w:val="000000"/>
        </w:rPr>
        <w:t xml:space="preserve"> consumidor </w:t>
      </w:r>
      <w:r w:rsidR="00EC2CD9">
        <w:rPr>
          <w:color w:val="000000"/>
        </w:rPr>
        <w:t>es</w:t>
      </w:r>
      <w:r>
        <w:rPr>
          <w:color w:val="000000"/>
        </w:rPr>
        <w:t xml:space="preserve"> exp</w:t>
      </w:r>
      <w:r w:rsidR="00EC2CD9">
        <w:rPr>
          <w:color w:val="000000"/>
        </w:rPr>
        <w:t>uesto</w:t>
      </w:r>
      <w:r>
        <w:rPr>
          <w:color w:val="000000"/>
        </w:rPr>
        <w:t xml:space="preserve"> a un</w:t>
      </w:r>
      <w:r w:rsidR="00293449">
        <w:rPr>
          <w:color w:val="000000"/>
        </w:rPr>
        <w:t>a clave</w:t>
      </w:r>
      <w:r>
        <w:rPr>
          <w:color w:val="000000"/>
        </w:rPr>
        <w:t xml:space="preserve"> </w:t>
      </w:r>
      <w:r w:rsidR="00293449">
        <w:rPr>
          <w:color w:val="000000"/>
        </w:rPr>
        <w:t>(</w:t>
      </w:r>
      <w:r>
        <w:rPr>
          <w:color w:val="000000"/>
        </w:rPr>
        <w:t>producto</w:t>
      </w:r>
      <w:r w:rsidR="00293449">
        <w:rPr>
          <w:color w:val="000000"/>
        </w:rPr>
        <w:t>)</w:t>
      </w:r>
      <w:r>
        <w:rPr>
          <w:color w:val="000000"/>
        </w:rPr>
        <w:t xml:space="preserve"> que puede tener diferentes </w:t>
      </w:r>
      <w:r w:rsidR="00293449">
        <w:rPr>
          <w:color w:val="000000"/>
        </w:rPr>
        <w:t>resultados</w:t>
      </w:r>
      <w:r>
        <w:rPr>
          <w:color w:val="000000"/>
        </w:rPr>
        <w:t xml:space="preserve"> (valores diferenciales de descuento – VDD)</w:t>
      </w:r>
      <w:r w:rsidR="00293449">
        <w:rPr>
          <w:color w:val="000000"/>
        </w:rPr>
        <w:t xml:space="preserve"> o el mismo resultado (valor </w:t>
      </w:r>
      <w:r w:rsidR="00966D44">
        <w:rPr>
          <w:color w:val="000000"/>
        </w:rPr>
        <w:t xml:space="preserve">fijo </w:t>
      </w:r>
      <w:r w:rsidR="00293449">
        <w:rPr>
          <w:color w:val="000000"/>
        </w:rPr>
        <w:t>de descuento</w:t>
      </w:r>
      <w:r w:rsidR="009655F0">
        <w:rPr>
          <w:color w:val="000000"/>
        </w:rPr>
        <w:t xml:space="preserve"> - V</w:t>
      </w:r>
      <w:r w:rsidR="00966D44">
        <w:rPr>
          <w:color w:val="000000"/>
        </w:rPr>
        <w:t>F</w:t>
      </w:r>
      <w:r w:rsidR="009655F0">
        <w:rPr>
          <w:color w:val="000000"/>
        </w:rPr>
        <w:t>D</w:t>
      </w:r>
      <w:r w:rsidR="00293449">
        <w:rPr>
          <w:color w:val="000000"/>
        </w:rPr>
        <w:t xml:space="preserve">), esta situación </w:t>
      </w:r>
      <w:r w:rsidR="00EC2CD9">
        <w:rPr>
          <w:color w:val="000000"/>
        </w:rPr>
        <w:t>permitiría</w:t>
      </w:r>
      <w:r w:rsidR="00DF3E09">
        <w:rPr>
          <w:color w:val="000000"/>
        </w:rPr>
        <w:t xml:space="preserve"> reflejar que la presentación </w:t>
      </w:r>
      <w:r w:rsidR="00DF3E09" w:rsidRPr="00E02A0D">
        <w:rPr>
          <w:color w:val="000000"/>
        </w:rPr>
        <w:t xml:space="preserve">de </w:t>
      </w:r>
      <w:r w:rsidR="00DF3E09" w:rsidRPr="00E02A0D">
        <w:t xml:space="preserve">VDD </w:t>
      </w:r>
      <w:r w:rsidR="00DF3E09" w:rsidRPr="00E02A0D">
        <w:rPr>
          <w:color w:val="000000"/>
        </w:rPr>
        <w:t>asociados</w:t>
      </w:r>
      <w:r w:rsidR="00DF3E09">
        <w:rPr>
          <w:color w:val="000000"/>
        </w:rPr>
        <w:t xml:space="preserve"> a un mismo producto es una condición de refuerzo parcial con la capacidad </w:t>
      </w:r>
      <w:r w:rsidR="00DF3E09">
        <w:t>de aumentar</w:t>
      </w:r>
      <w:r w:rsidR="00DF3E09">
        <w:rPr>
          <w:color w:val="000000"/>
        </w:rPr>
        <w:t xml:space="preserve"> la atención prestada al contexto haciéndolo más saliente</w:t>
      </w:r>
      <w:r w:rsidR="00EC2CD9">
        <w:t xml:space="preserve"> e impactando a las claves reforzadas mediante RC y RP y no sólo a una de ellas, </w:t>
      </w:r>
      <w:r w:rsidR="00DF3E09">
        <w:t xml:space="preserve">contrario a los resultados reportados por </w:t>
      </w:r>
      <w:r w:rsidR="00DF3E09">
        <w:rPr>
          <w:color w:val="000000"/>
        </w:rPr>
        <w:t xml:space="preserve">Abad et al </w:t>
      </w:r>
      <w:r w:rsidR="00EC2CD9">
        <w:rPr>
          <w:color w:val="000000"/>
        </w:rPr>
        <w:t>(</w:t>
      </w:r>
      <w:r w:rsidR="00DF3E09">
        <w:rPr>
          <w:color w:val="000000"/>
        </w:rPr>
        <w:t>2009)</w:t>
      </w:r>
      <w:r w:rsidR="00EC2CD9">
        <w:rPr>
          <w:color w:val="000000"/>
        </w:rPr>
        <w:t>.</w:t>
      </w:r>
      <w:r w:rsidR="00DF3E09">
        <w:t xml:space="preserve"> </w:t>
      </w:r>
    </w:p>
    <w:p w14:paraId="4C9E58C5" w14:textId="7E921655" w:rsidR="005A207A" w:rsidRDefault="00B220EF" w:rsidP="00DF3E09">
      <w:pPr>
        <w:pBdr>
          <w:top w:val="nil"/>
          <w:left w:val="nil"/>
          <w:bottom w:val="nil"/>
          <w:right w:val="nil"/>
          <w:between w:val="nil"/>
        </w:pBdr>
        <w:spacing w:line="360" w:lineRule="auto"/>
        <w:ind w:firstLine="720"/>
      </w:pPr>
      <w:r>
        <w:t xml:space="preserve">El </w:t>
      </w:r>
      <w:r w:rsidRPr="00B220EF">
        <w:t>objetivo</w:t>
      </w:r>
      <w:r>
        <w:t xml:space="preserve"> de este estudio </w:t>
      </w:r>
      <w:r w:rsidRPr="00B220EF">
        <w:t xml:space="preserve">fue </w:t>
      </w:r>
      <w:r w:rsidR="009655F0">
        <w:t xml:space="preserve">probar </w:t>
      </w:r>
      <w:r w:rsidR="009655F0" w:rsidRPr="00B220EF">
        <w:t>el efecto de cambio de contexto producto de la ambigüedad en el significado de las claves propuesto por la TAPC (Rosas et al., 2006)</w:t>
      </w:r>
      <w:r w:rsidR="009655F0">
        <w:t>,</w:t>
      </w:r>
      <w:r w:rsidR="00B523D9">
        <w:t xml:space="preserve"> </w:t>
      </w:r>
      <w:r w:rsidR="00B523D9" w:rsidRPr="00B220EF">
        <w:t>en una situación simulada de compra</w:t>
      </w:r>
      <w:r w:rsidR="00B523D9">
        <w:t xml:space="preserve">, </w:t>
      </w:r>
      <w:r w:rsidR="009655F0">
        <w:t xml:space="preserve">utilizando </w:t>
      </w:r>
      <w:r w:rsidR="00B523D9">
        <w:t xml:space="preserve">el procedimiento de RP como estrategia para </w:t>
      </w:r>
      <w:r w:rsidR="0039301F">
        <w:t>producir</w:t>
      </w:r>
      <w:r w:rsidR="00B523D9" w:rsidRPr="00B220EF">
        <w:t xml:space="preserve"> la </w:t>
      </w:r>
      <w:proofErr w:type="spellStart"/>
      <w:r w:rsidR="00B523D9" w:rsidRPr="00B220EF">
        <w:t>saliencia</w:t>
      </w:r>
      <w:proofErr w:type="spellEnd"/>
      <w:r w:rsidR="00B523D9" w:rsidRPr="00B220EF">
        <w:t xml:space="preserve"> del contexto</w:t>
      </w:r>
      <w:r w:rsidR="00B523D9">
        <w:t xml:space="preserve"> </w:t>
      </w:r>
      <w:r w:rsidR="00B523D9" w:rsidRPr="00B220EF">
        <w:t>(Abad et al., 2009)</w:t>
      </w:r>
      <w:r w:rsidR="00B523D9">
        <w:t xml:space="preserve">. </w:t>
      </w:r>
      <w:r w:rsidR="0039301F">
        <w:t>Sin embargo, a diferencia de los estudios de Abad et al (2009) nuestro estudio propone un procedimiento de refuerzo parcial en el que no sólo se incluye la presencia (valor de descuento) – ausencia (sin descuento)</w:t>
      </w:r>
      <w:r w:rsidR="002151AD">
        <w:t xml:space="preserve"> del resultado, sino que añade a la tarea diferentes valores del resultado (valores diferenciales de descuento) asociados a la misma clave. En el caso del estudio de Abad et al (2009) el resultado asociado al refuerzo parcial incluía la presencia o ausencia de un malestar estomacal; sin embargo, esta presentación no permite evaluar el efecto de cambio de contexto cuando los valores diferenciales del resultado cambian dentro de una tarea de aprendizaje predictivo humano. </w:t>
      </w:r>
    </w:p>
    <w:p w14:paraId="4595F16E" w14:textId="62CAAC5F" w:rsidR="00B220EF" w:rsidRDefault="005A207A" w:rsidP="00DF3E09">
      <w:pPr>
        <w:pBdr>
          <w:top w:val="nil"/>
          <w:left w:val="nil"/>
          <w:bottom w:val="nil"/>
          <w:right w:val="nil"/>
          <w:between w:val="nil"/>
        </w:pBdr>
        <w:spacing w:line="360" w:lineRule="auto"/>
        <w:ind w:firstLine="720"/>
      </w:pPr>
      <w:r>
        <w:t>Esta modificación en la s</w:t>
      </w:r>
      <w:r w:rsidR="002151AD" w:rsidRPr="002151AD">
        <w:t xml:space="preserve">ituación </w:t>
      </w:r>
      <w:r>
        <w:t xml:space="preserve">experimental </w:t>
      </w:r>
      <w:r w:rsidR="002151AD" w:rsidRPr="002151AD">
        <w:t>podría explicar c</w:t>
      </w:r>
      <w:r>
        <w:t>ó</w:t>
      </w:r>
      <w:r w:rsidR="002151AD" w:rsidRPr="002151AD">
        <w:t xml:space="preserve">mo se aumenta la </w:t>
      </w:r>
      <w:proofErr w:type="spellStart"/>
      <w:r w:rsidR="002151AD" w:rsidRPr="002151AD">
        <w:t>saliencia</w:t>
      </w:r>
      <w:proofErr w:type="spellEnd"/>
      <w:r w:rsidR="002151AD" w:rsidRPr="002151AD">
        <w:t xml:space="preserve"> del contexto</w:t>
      </w:r>
      <w:r>
        <w:t xml:space="preserve"> teniendo en cuenta </w:t>
      </w:r>
      <w:r w:rsidR="002151AD" w:rsidRPr="002151AD">
        <w:t>que una experiencia repetida de predicción de</w:t>
      </w:r>
      <w:r>
        <w:t xml:space="preserve"> </w:t>
      </w:r>
      <w:r w:rsidR="002151AD" w:rsidRPr="002151AD">
        <w:t>diferentes valores de resultado</w:t>
      </w:r>
      <w:r w:rsidR="008C711D">
        <w:t xml:space="preserve"> asociados a una clave</w:t>
      </w:r>
      <w:r w:rsidR="002151AD" w:rsidRPr="002151AD">
        <w:t xml:space="preserve"> (bajo un procedimiento </w:t>
      </w:r>
      <w:r>
        <w:t xml:space="preserve">de </w:t>
      </w:r>
      <w:r w:rsidR="002151AD" w:rsidRPr="002151AD">
        <w:t>RP)</w:t>
      </w:r>
      <w:r>
        <w:t>,</w:t>
      </w:r>
      <w:r w:rsidR="002151AD" w:rsidRPr="002151AD">
        <w:t xml:space="preserve"> puede reducir selectivamente la eficacia predictiva </w:t>
      </w:r>
      <w:r>
        <w:t xml:space="preserve">del </w:t>
      </w:r>
      <w:r w:rsidR="002151AD" w:rsidRPr="002151AD">
        <w:t>resultado (estrategia promocional), haciendo que el contexto</w:t>
      </w:r>
      <w:r>
        <w:t xml:space="preserve"> </w:t>
      </w:r>
      <w:r w:rsidR="002151AD" w:rsidRPr="002151AD">
        <w:t>aumente su eficacia predictiva</w:t>
      </w:r>
      <w:r w:rsidR="00294934">
        <w:t>,</w:t>
      </w:r>
      <w:r w:rsidR="002151AD" w:rsidRPr="002151AD">
        <w:t xml:space="preserve"> </w:t>
      </w:r>
      <w:r>
        <w:t>al volverse más</w:t>
      </w:r>
      <w:r w:rsidR="002151AD" w:rsidRPr="002151AD">
        <w:t xml:space="preserve"> relevante en una situación de </w:t>
      </w:r>
      <w:r w:rsidR="002151AD" w:rsidRPr="002151AD">
        <w:lastRenderedPageBreak/>
        <w:t>intenci</w:t>
      </w:r>
      <w:r>
        <w:t>ó</w:t>
      </w:r>
      <w:r w:rsidR="002151AD" w:rsidRPr="002151AD">
        <w:t>n de compra.</w:t>
      </w:r>
      <w:r w:rsidR="009D046C">
        <w:t xml:space="preserve"> </w:t>
      </w:r>
      <w:r w:rsidR="00B220EF" w:rsidRPr="00B220EF">
        <w:t xml:space="preserve">Para esto, </w:t>
      </w:r>
      <w:r w:rsidR="00B523D9">
        <w:t xml:space="preserve">se </w:t>
      </w:r>
      <w:r w:rsidR="008D1F28">
        <w:t>diseñó</w:t>
      </w:r>
      <w:r w:rsidR="00B220EF" w:rsidRPr="00B220EF">
        <w:t xml:space="preserve"> una tarea de aprendizaje predictivo en donde los participantes fueron entrenados para asociar </w:t>
      </w:r>
      <w:r w:rsidR="00903BA2">
        <w:t xml:space="preserve">un </w:t>
      </w:r>
      <w:r w:rsidR="00B220EF" w:rsidRPr="00B220EF">
        <w:t>producto (clave</w:t>
      </w:r>
      <w:r w:rsidR="00903BA2">
        <w:t xml:space="preserve"> X</w:t>
      </w:r>
      <w:r w:rsidR="00B220EF" w:rsidRPr="00B220EF">
        <w:t>) con diferentes valores de descuento</w:t>
      </w:r>
      <w:r w:rsidR="00B523D9">
        <w:t xml:space="preserve"> mediante RP</w:t>
      </w:r>
      <w:r w:rsidR="00B220EF" w:rsidRPr="00B220EF">
        <w:t xml:space="preserve"> (resultado - </w:t>
      </w:r>
      <w:r w:rsidR="00B523D9">
        <w:t>VDD</w:t>
      </w:r>
      <w:r w:rsidR="00B220EF" w:rsidRPr="00B220EF">
        <w:t>)</w:t>
      </w:r>
      <w:r w:rsidR="008D1F28">
        <w:t xml:space="preserve"> y </w:t>
      </w:r>
      <w:r w:rsidR="00903BA2">
        <w:t xml:space="preserve">otro producto (clave Z) </w:t>
      </w:r>
      <w:r w:rsidR="00B220EF" w:rsidRPr="00B220EF">
        <w:t>con el mismo valor de descuento</w:t>
      </w:r>
      <w:r w:rsidR="00B523D9">
        <w:t xml:space="preserve"> mediante RC</w:t>
      </w:r>
      <w:r w:rsidR="00B220EF" w:rsidRPr="00B220EF">
        <w:t xml:space="preserve"> (resultado – </w:t>
      </w:r>
      <w:r w:rsidR="00B523D9">
        <w:t>V</w:t>
      </w:r>
      <w:r w:rsidR="00294934">
        <w:t>F</w:t>
      </w:r>
      <w:r w:rsidR="00B523D9">
        <w:t>D</w:t>
      </w:r>
      <w:r w:rsidR="00B220EF" w:rsidRPr="00B220EF">
        <w:t>)</w:t>
      </w:r>
      <w:r w:rsidR="00903BA2">
        <w:t>, ambos</w:t>
      </w:r>
      <w:r w:rsidR="008D1F28">
        <w:t xml:space="preserve"> en una misma tienda (contexto A), y un</w:t>
      </w:r>
      <w:r w:rsidR="006446F3">
        <w:t xml:space="preserve"> tercer</w:t>
      </w:r>
      <w:r w:rsidR="008D1F28">
        <w:t xml:space="preserve"> producto (clave</w:t>
      </w:r>
      <w:r w:rsidR="00903BA2">
        <w:t xml:space="preserve"> Y</w:t>
      </w:r>
      <w:r w:rsidR="008D1F28">
        <w:t>)</w:t>
      </w:r>
      <w:r w:rsidR="00B220EF" w:rsidRPr="00B220EF">
        <w:t xml:space="preserve"> sin </w:t>
      </w:r>
      <w:r w:rsidR="001751B9">
        <w:t>refuerzo</w:t>
      </w:r>
      <w:r w:rsidR="00B220EF" w:rsidRPr="00B220EF">
        <w:t xml:space="preserve"> (resultado – </w:t>
      </w:r>
      <w:r w:rsidR="00B523D9">
        <w:t>sin descuento</w:t>
      </w:r>
      <w:r w:rsidR="00B220EF" w:rsidRPr="00B220EF">
        <w:t>) en</w:t>
      </w:r>
      <w:r w:rsidR="008D1F28">
        <w:t xml:space="preserve"> una tienda diferente (contexto B)</w:t>
      </w:r>
      <w:r w:rsidR="00D53607">
        <w:t xml:space="preserve">, para identificar si el efecto de cambio de contexto se presenta al recuperar la información de las </w:t>
      </w:r>
      <w:r w:rsidR="006446F3">
        <w:t xml:space="preserve">tres </w:t>
      </w:r>
      <w:r w:rsidR="00D53607">
        <w:t>claves entrenadas bajo est</w:t>
      </w:r>
      <w:r>
        <w:t>e</w:t>
      </w:r>
      <w:r w:rsidR="00D53607">
        <w:t xml:space="preserve"> procedimient</w:t>
      </w:r>
      <w:r>
        <w:t>o</w:t>
      </w:r>
      <w:r w:rsidR="00D53607">
        <w:t>.</w:t>
      </w:r>
    </w:p>
    <w:p w14:paraId="125ED52B" w14:textId="77777777" w:rsidR="001D6448" w:rsidRDefault="001D6448">
      <w:pPr>
        <w:pBdr>
          <w:top w:val="nil"/>
          <w:left w:val="nil"/>
          <w:bottom w:val="nil"/>
          <w:right w:val="nil"/>
          <w:between w:val="nil"/>
        </w:pBdr>
        <w:jc w:val="center"/>
        <w:rPr>
          <w:b/>
          <w:color w:val="000000"/>
        </w:rPr>
      </w:pPr>
    </w:p>
    <w:p w14:paraId="0000002E" w14:textId="7DC53A69" w:rsidR="00E05D2A" w:rsidRDefault="007D47DC" w:rsidP="002B5F97">
      <w:pPr>
        <w:pBdr>
          <w:top w:val="nil"/>
          <w:left w:val="nil"/>
          <w:bottom w:val="nil"/>
          <w:right w:val="nil"/>
          <w:between w:val="nil"/>
        </w:pBdr>
        <w:spacing w:before="240"/>
        <w:jc w:val="center"/>
        <w:rPr>
          <w:b/>
          <w:color w:val="000000"/>
        </w:rPr>
      </w:pPr>
      <w:r>
        <w:rPr>
          <w:b/>
          <w:color w:val="000000"/>
        </w:rPr>
        <w:t>Método</w:t>
      </w:r>
    </w:p>
    <w:p w14:paraId="0000002F" w14:textId="77777777" w:rsidR="00E05D2A" w:rsidRDefault="007D47DC" w:rsidP="002B5F97">
      <w:pPr>
        <w:pBdr>
          <w:top w:val="nil"/>
          <w:left w:val="nil"/>
          <w:bottom w:val="nil"/>
          <w:right w:val="nil"/>
          <w:between w:val="nil"/>
        </w:pBdr>
        <w:spacing w:before="240" w:line="360" w:lineRule="auto"/>
        <w:rPr>
          <w:b/>
          <w:i/>
          <w:color w:val="000000"/>
        </w:rPr>
      </w:pPr>
      <w:r>
        <w:rPr>
          <w:b/>
          <w:i/>
          <w:color w:val="000000"/>
        </w:rPr>
        <w:t>Participantes</w:t>
      </w:r>
    </w:p>
    <w:p w14:paraId="00000030" w14:textId="77777777" w:rsidR="00E05D2A" w:rsidRDefault="007D47DC">
      <w:pPr>
        <w:pBdr>
          <w:top w:val="nil"/>
          <w:left w:val="nil"/>
          <w:bottom w:val="nil"/>
          <w:right w:val="nil"/>
          <w:between w:val="nil"/>
        </w:pBdr>
        <w:spacing w:line="360" w:lineRule="auto"/>
        <w:ind w:firstLine="708"/>
        <w:rPr>
          <w:color w:val="000000"/>
        </w:rPr>
      </w:pPr>
      <w:r>
        <w:rPr>
          <w:color w:val="000000"/>
        </w:rPr>
        <w:t>La muestra estuvo conformada por 36 personas (61% mujeres) de Bogotá, Colombia, con edad promedio de 22.7 años. La participación de las personas en el experimento contó con el aval del Comité de Ética de la Institución de Educación Superior correspondiente. Cada participante dio su consentimiento informado antes de comenzar el experimento y fue recompensado con $15.000 COP al finalizar la tarea experimental. Se calculó el tamaño de la muestra a partir del análisis de potencia con G*</w:t>
      </w:r>
      <w:proofErr w:type="spellStart"/>
      <w:r>
        <w:rPr>
          <w:color w:val="000000"/>
        </w:rPr>
        <w:t>Power</w:t>
      </w:r>
      <w:proofErr w:type="spellEnd"/>
      <w:r>
        <w:rPr>
          <w:color w:val="000000"/>
        </w:rPr>
        <w:t xml:space="preserve"> 3 (Faul et al., 2007) teniendo en cuenta tres parámetros: a) tamaño del efecto = 0.25 (equivalente a η2 = 0.06) que corresponde a un tamaño del efecto medio (Cohen, 1988); b) nivel de significancia &lt; 0.05; y c) potencia = 0.99.</w:t>
      </w:r>
    </w:p>
    <w:p w14:paraId="00000031" w14:textId="55B97B90" w:rsidR="00E05D2A" w:rsidRDefault="007D47DC">
      <w:pPr>
        <w:pBdr>
          <w:top w:val="nil"/>
          <w:left w:val="nil"/>
          <w:bottom w:val="nil"/>
          <w:right w:val="nil"/>
          <w:between w:val="nil"/>
        </w:pBdr>
        <w:spacing w:line="360" w:lineRule="auto"/>
        <w:ind w:firstLine="708"/>
        <w:rPr>
          <w:color w:val="000000"/>
        </w:rPr>
      </w:pPr>
      <w:r>
        <w:rPr>
          <w:color w:val="000000"/>
        </w:rPr>
        <w:t xml:space="preserve">Estas estimaciones se apoyaron adicionalmente en estudios previos de aprendizaje predictivo con diseños </w:t>
      </w:r>
      <w:proofErr w:type="spellStart"/>
      <w:r>
        <w:rPr>
          <w:color w:val="000000"/>
        </w:rPr>
        <w:t>intrasujeto</w:t>
      </w:r>
      <w:proofErr w:type="spellEnd"/>
      <w:r>
        <w:rPr>
          <w:color w:val="000000"/>
        </w:rPr>
        <w:t xml:space="preserve"> que han mostrado que, incluso una muestra inferior a la presentada es adecuada para identificar los efectos principales de cambio de contexto (</w:t>
      </w:r>
      <w:proofErr w:type="spellStart"/>
      <w:r w:rsidR="00073288">
        <w:rPr>
          <w:color w:val="000000"/>
        </w:rPr>
        <w:t>Aristizabal</w:t>
      </w:r>
      <w:proofErr w:type="spellEnd"/>
      <w:r>
        <w:rPr>
          <w:color w:val="000000"/>
        </w:rPr>
        <w:t xml:space="preserve"> et al., 2016, 2017; León et al., 2011; </w:t>
      </w:r>
      <w:proofErr w:type="spellStart"/>
      <w:r>
        <w:rPr>
          <w:color w:val="000000"/>
        </w:rPr>
        <w:t>Ogallar</w:t>
      </w:r>
      <w:proofErr w:type="spellEnd"/>
      <w:r>
        <w:rPr>
          <w:color w:val="000000"/>
        </w:rPr>
        <w:t xml:space="preserve"> et al., 2019; Pearson &amp; Le </w:t>
      </w:r>
      <w:proofErr w:type="spellStart"/>
      <w:r>
        <w:rPr>
          <w:color w:val="000000"/>
        </w:rPr>
        <w:t>Pelley</w:t>
      </w:r>
      <w:proofErr w:type="spellEnd"/>
      <w:r>
        <w:rPr>
          <w:color w:val="000000"/>
        </w:rPr>
        <w:t xml:space="preserve">, 2020; Rosas &amp; Callejas-Aguilera, 2006). </w:t>
      </w:r>
    </w:p>
    <w:p w14:paraId="00000032" w14:textId="77777777" w:rsidR="00E05D2A" w:rsidRDefault="007D47DC">
      <w:pPr>
        <w:pBdr>
          <w:top w:val="nil"/>
          <w:left w:val="nil"/>
          <w:bottom w:val="nil"/>
          <w:right w:val="nil"/>
          <w:between w:val="nil"/>
        </w:pBdr>
        <w:spacing w:line="360" w:lineRule="auto"/>
        <w:ind w:firstLine="708"/>
        <w:rPr>
          <w:color w:val="000000"/>
        </w:rPr>
      </w:pPr>
      <w:r>
        <w:rPr>
          <w:color w:val="000000"/>
        </w:rPr>
        <w:t>El análisis final se hizo con 35 participantes, debido a que fue necesario excluir un registro (hombre de 20 años) al detectar un error en el registro de la información suministrada durante su participación en el experimento.</w:t>
      </w:r>
    </w:p>
    <w:p w14:paraId="54425B4F" w14:textId="77777777" w:rsidR="00B00D88" w:rsidRDefault="00B00D88">
      <w:pPr>
        <w:pBdr>
          <w:top w:val="nil"/>
          <w:left w:val="nil"/>
          <w:bottom w:val="nil"/>
          <w:right w:val="nil"/>
          <w:between w:val="nil"/>
        </w:pBdr>
        <w:spacing w:line="360" w:lineRule="auto"/>
        <w:rPr>
          <w:b/>
          <w:i/>
          <w:color w:val="000000"/>
        </w:rPr>
      </w:pPr>
    </w:p>
    <w:p w14:paraId="00000033" w14:textId="466CBAAD" w:rsidR="00E05D2A" w:rsidRDefault="007D47DC">
      <w:pPr>
        <w:pBdr>
          <w:top w:val="nil"/>
          <w:left w:val="nil"/>
          <w:bottom w:val="nil"/>
          <w:right w:val="nil"/>
          <w:between w:val="nil"/>
        </w:pBdr>
        <w:spacing w:line="360" w:lineRule="auto"/>
        <w:rPr>
          <w:b/>
          <w:i/>
          <w:color w:val="000000"/>
        </w:rPr>
      </w:pPr>
      <w:r>
        <w:rPr>
          <w:b/>
          <w:i/>
          <w:color w:val="000000"/>
        </w:rPr>
        <w:t>Diseño</w:t>
      </w:r>
    </w:p>
    <w:p w14:paraId="00000034" w14:textId="78218958" w:rsidR="00E05D2A" w:rsidRDefault="007D47DC">
      <w:pPr>
        <w:pBdr>
          <w:top w:val="nil"/>
          <w:left w:val="nil"/>
          <w:bottom w:val="nil"/>
          <w:right w:val="nil"/>
          <w:between w:val="nil"/>
        </w:pBdr>
        <w:spacing w:line="360" w:lineRule="auto"/>
        <w:ind w:firstLine="708"/>
        <w:rPr>
          <w:color w:val="000000"/>
        </w:rPr>
      </w:pPr>
      <w:r>
        <w:rPr>
          <w:color w:val="000000"/>
        </w:rPr>
        <w:t xml:space="preserve">Se </w:t>
      </w:r>
      <w:r w:rsidR="00F161F0">
        <w:rPr>
          <w:color w:val="000000"/>
        </w:rPr>
        <w:t>creó un</w:t>
      </w:r>
      <w:r>
        <w:rPr>
          <w:color w:val="000000"/>
        </w:rPr>
        <w:t xml:space="preserve"> diseño experimental de medidas repetidas </w:t>
      </w:r>
      <w:proofErr w:type="spellStart"/>
      <w:r>
        <w:rPr>
          <w:color w:val="000000"/>
        </w:rPr>
        <w:t>intrasujeto</w:t>
      </w:r>
      <w:proofErr w:type="spellEnd"/>
      <w:r>
        <w:rPr>
          <w:color w:val="000000"/>
        </w:rPr>
        <w:t xml:space="preserve"> </w:t>
      </w:r>
      <w:r w:rsidR="00F161F0">
        <w:rPr>
          <w:color w:val="000000"/>
        </w:rPr>
        <w:t>en donde</w:t>
      </w:r>
      <w:r>
        <w:rPr>
          <w:color w:val="000000"/>
        </w:rPr>
        <w:t xml:space="preserve"> los participantes fueron expuestos a una clave reforzada parcialmente (producto asociado a </w:t>
      </w:r>
      <w:r w:rsidR="00A6418F">
        <w:rPr>
          <w:color w:val="000000"/>
        </w:rPr>
        <w:t xml:space="preserve">diferentes valores de </w:t>
      </w:r>
      <w:r>
        <w:rPr>
          <w:color w:val="000000"/>
        </w:rPr>
        <w:t>descuento - producto X), una clave reforzada con</w:t>
      </w:r>
      <w:r w:rsidR="00A6418F">
        <w:rPr>
          <w:color w:val="000000"/>
        </w:rPr>
        <w:t>tinua</w:t>
      </w:r>
      <w:r>
        <w:rPr>
          <w:color w:val="000000"/>
        </w:rPr>
        <w:t xml:space="preserve">mente (producto asociado a descuento </w:t>
      </w:r>
      <w:r w:rsidR="00A6418F">
        <w:rPr>
          <w:color w:val="000000"/>
        </w:rPr>
        <w:t>fijo</w:t>
      </w:r>
      <w:r>
        <w:rPr>
          <w:color w:val="000000"/>
        </w:rPr>
        <w:t xml:space="preserve"> - producto Z) y una clave sin refuerzo (producto sin descuento - producto Y) en dos tiendas diferentes (contextos A y B), para </w:t>
      </w:r>
      <w:proofErr w:type="spellStart"/>
      <w:r>
        <w:rPr>
          <w:color w:val="000000"/>
        </w:rPr>
        <w:t>probabilizar</w:t>
      </w:r>
      <w:proofErr w:type="spellEnd"/>
      <w:r>
        <w:rPr>
          <w:color w:val="000000"/>
        </w:rPr>
        <w:t xml:space="preserve"> la compra de estos </w:t>
      </w:r>
      <w:r>
        <w:rPr>
          <w:color w:val="000000"/>
        </w:rPr>
        <w:lastRenderedPageBreak/>
        <w:t>productos en el mismo contexto de entrenamiento y en un contexto diferente (ver diseño experimental en la tabla 1).</w:t>
      </w:r>
    </w:p>
    <w:p w14:paraId="00000035" w14:textId="77777777" w:rsidR="00E05D2A" w:rsidRDefault="00E05D2A">
      <w:pPr>
        <w:pBdr>
          <w:top w:val="nil"/>
          <w:left w:val="nil"/>
          <w:bottom w:val="nil"/>
          <w:right w:val="nil"/>
          <w:between w:val="nil"/>
        </w:pBdr>
        <w:spacing w:line="360" w:lineRule="auto"/>
        <w:rPr>
          <w:b/>
          <w:color w:val="000000"/>
        </w:rPr>
      </w:pPr>
    </w:p>
    <w:p w14:paraId="00000036" w14:textId="77777777" w:rsidR="00E05D2A" w:rsidRDefault="007D47DC">
      <w:pPr>
        <w:pBdr>
          <w:top w:val="nil"/>
          <w:left w:val="nil"/>
          <w:bottom w:val="nil"/>
          <w:right w:val="nil"/>
          <w:between w:val="nil"/>
        </w:pBdr>
        <w:spacing w:line="360" w:lineRule="auto"/>
        <w:rPr>
          <w:i/>
          <w:color w:val="00000A"/>
        </w:rPr>
      </w:pPr>
      <w:r>
        <w:rPr>
          <w:b/>
          <w:color w:val="000000"/>
        </w:rPr>
        <w:t>Tabla 1</w:t>
      </w:r>
      <w:r>
        <w:rPr>
          <w:rFonts w:ascii="Arimo" w:eastAsia="Arimo" w:hAnsi="Arimo" w:cs="Arimo"/>
          <w:color w:val="00000A"/>
        </w:rPr>
        <w:br/>
      </w:r>
      <w:r>
        <w:rPr>
          <w:i/>
          <w:color w:val="00000A"/>
        </w:rPr>
        <w:t xml:space="preserve">Diseño Experimental de Medidas Repetidas </w:t>
      </w:r>
      <w:proofErr w:type="spellStart"/>
      <w:r>
        <w:rPr>
          <w:i/>
          <w:color w:val="00000A"/>
        </w:rPr>
        <w:t>Intrasujeto</w:t>
      </w:r>
      <w:proofErr w:type="spellEnd"/>
    </w:p>
    <w:p w14:paraId="00000037" w14:textId="77777777" w:rsidR="00E05D2A" w:rsidRDefault="00E05D2A">
      <w:pPr>
        <w:pBdr>
          <w:top w:val="nil"/>
          <w:left w:val="nil"/>
          <w:bottom w:val="nil"/>
          <w:right w:val="nil"/>
          <w:between w:val="nil"/>
        </w:pBdr>
        <w:spacing w:line="360" w:lineRule="auto"/>
        <w:rPr>
          <w:i/>
          <w:color w:val="00000A"/>
        </w:rPr>
      </w:pPr>
    </w:p>
    <w:tbl>
      <w:tblPr>
        <w:tblStyle w:val="a"/>
        <w:tblW w:w="9021" w:type="dxa"/>
        <w:jc w:val="center"/>
        <w:tblInd w:w="0" w:type="dxa"/>
        <w:tblLayout w:type="fixed"/>
        <w:tblLook w:val="0400" w:firstRow="0" w:lastRow="0" w:firstColumn="0" w:lastColumn="0" w:noHBand="0" w:noVBand="1"/>
      </w:tblPr>
      <w:tblGrid>
        <w:gridCol w:w="992"/>
        <w:gridCol w:w="190"/>
        <w:gridCol w:w="1259"/>
        <w:gridCol w:w="190"/>
        <w:gridCol w:w="863"/>
        <w:gridCol w:w="190"/>
        <w:gridCol w:w="1819"/>
        <w:gridCol w:w="176"/>
        <w:gridCol w:w="190"/>
        <w:gridCol w:w="1621"/>
        <w:gridCol w:w="88"/>
        <w:gridCol w:w="108"/>
        <w:gridCol w:w="82"/>
        <w:gridCol w:w="1193"/>
        <w:gridCol w:w="7"/>
        <w:gridCol w:w="53"/>
      </w:tblGrid>
      <w:tr w:rsidR="00E05D2A" w14:paraId="477ED5E8" w14:textId="77777777" w:rsidTr="00A37C93">
        <w:trPr>
          <w:gridAfter w:val="1"/>
          <w:wAfter w:w="50" w:type="dxa"/>
          <w:trHeight w:val="361"/>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38" w14:textId="77777777" w:rsidR="00E05D2A" w:rsidRDefault="007D47DC">
            <w:pPr>
              <w:jc w:val="center"/>
              <w:rPr>
                <w:color w:val="000000"/>
                <w:sz w:val="20"/>
                <w:szCs w:val="20"/>
              </w:rPr>
            </w:pPr>
            <w:r>
              <w:rPr>
                <w:color w:val="000000"/>
                <w:sz w:val="20"/>
                <w:szCs w:val="20"/>
              </w:rPr>
              <w:t>Diseño Experimental</w:t>
            </w:r>
          </w:p>
        </w:tc>
      </w:tr>
      <w:tr w:rsidR="00E05D2A" w14:paraId="67E106D6" w14:textId="77777777" w:rsidTr="00A37C93">
        <w:trPr>
          <w:gridAfter w:val="1"/>
          <w:wAfter w:w="50" w:type="dxa"/>
          <w:trHeight w:val="361"/>
          <w:jc w:val="center"/>
        </w:trPr>
        <w:tc>
          <w:tcPr>
            <w:tcW w:w="5681" w:type="dxa"/>
            <w:gridSpan w:val="8"/>
            <w:tcBorders>
              <w:top w:val="nil"/>
              <w:left w:val="nil"/>
              <w:bottom w:val="single" w:sz="4" w:space="0" w:color="000000"/>
              <w:right w:val="nil"/>
            </w:tcBorders>
            <w:shd w:val="clear" w:color="auto" w:fill="auto"/>
            <w:vAlign w:val="center"/>
          </w:tcPr>
          <w:p w14:paraId="00000047" w14:textId="77777777" w:rsidR="00E05D2A" w:rsidRDefault="007D47DC">
            <w:pPr>
              <w:jc w:val="center"/>
              <w:rPr>
                <w:color w:val="000000"/>
                <w:sz w:val="20"/>
                <w:szCs w:val="20"/>
              </w:rPr>
            </w:pPr>
            <w:r>
              <w:rPr>
                <w:color w:val="000000"/>
                <w:sz w:val="20"/>
                <w:szCs w:val="20"/>
              </w:rPr>
              <w:t>Fase de Entrenamiento</w:t>
            </w:r>
          </w:p>
        </w:tc>
        <w:tc>
          <w:tcPr>
            <w:tcW w:w="190" w:type="dxa"/>
            <w:tcBorders>
              <w:top w:val="nil"/>
              <w:left w:val="nil"/>
              <w:bottom w:val="single" w:sz="4" w:space="0" w:color="000000"/>
              <w:right w:val="nil"/>
            </w:tcBorders>
            <w:shd w:val="clear" w:color="auto" w:fill="auto"/>
            <w:vAlign w:val="center"/>
          </w:tcPr>
          <w:p w14:paraId="0000004F" w14:textId="77777777" w:rsidR="00E05D2A" w:rsidRDefault="007D47DC">
            <w:pPr>
              <w:rPr>
                <w:color w:val="000000"/>
                <w:sz w:val="20"/>
                <w:szCs w:val="20"/>
              </w:rPr>
            </w:pPr>
            <w:r>
              <w:rPr>
                <w:color w:val="000000"/>
                <w:sz w:val="20"/>
                <w:szCs w:val="20"/>
              </w:rPr>
              <w:t> </w:t>
            </w:r>
          </w:p>
        </w:tc>
        <w:tc>
          <w:tcPr>
            <w:tcW w:w="3100" w:type="dxa"/>
            <w:gridSpan w:val="6"/>
            <w:tcBorders>
              <w:top w:val="nil"/>
              <w:left w:val="nil"/>
              <w:bottom w:val="single" w:sz="4" w:space="0" w:color="000000"/>
              <w:right w:val="nil"/>
            </w:tcBorders>
            <w:shd w:val="clear" w:color="auto" w:fill="auto"/>
            <w:vAlign w:val="center"/>
          </w:tcPr>
          <w:p w14:paraId="00000050" w14:textId="77777777" w:rsidR="00E05D2A" w:rsidRDefault="007D47DC">
            <w:pPr>
              <w:jc w:val="center"/>
              <w:rPr>
                <w:color w:val="000000"/>
                <w:sz w:val="20"/>
                <w:szCs w:val="20"/>
              </w:rPr>
            </w:pPr>
            <w:r>
              <w:rPr>
                <w:color w:val="000000"/>
                <w:sz w:val="20"/>
                <w:szCs w:val="20"/>
              </w:rPr>
              <w:t>Fase de Prueba</w:t>
            </w:r>
          </w:p>
        </w:tc>
      </w:tr>
      <w:tr w:rsidR="00E05D2A" w14:paraId="3ED02C9D" w14:textId="77777777" w:rsidTr="00A37C93">
        <w:trPr>
          <w:gridAfter w:val="2"/>
          <w:wAfter w:w="60" w:type="dxa"/>
          <w:trHeight w:val="267"/>
          <w:jc w:val="center"/>
        </w:trPr>
        <w:tc>
          <w:tcPr>
            <w:tcW w:w="993" w:type="dxa"/>
            <w:tcBorders>
              <w:top w:val="nil"/>
              <w:left w:val="nil"/>
              <w:bottom w:val="nil"/>
              <w:right w:val="nil"/>
            </w:tcBorders>
            <w:shd w:val="clear" w:color="auto" w:fill="auto"/>
            <w:vAlign w:val="bottom"/>
          </w:tcPr>
          <w:p w14:paraId="00000056"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bottom"/>
          </w:tcPr>
          <w:p w14:paraId="00000057" w14:textId="77777777" w:rsidR="00E05D2A" w:rsidRDefault="00E05D2A">
            <w:pPr>
              <w:rPr>
                <w:sz w:val="20"/>
                <w:szCs w:val="20"/>
              </w:rPr>
            </w:pPr>
          </w:p>
        </w:tc>
        <w:tc>
          <w:tcPr>
            <w:tcW w:w="1259" w:type="dxa"/>
            <w:tcBorders>
              <w:top w:val="nil"/>
              <w:left w:val="nil"/>
              <w:bottom w:val="nil"/>
              <w:right w:val="nil"/>
            </w:tcBorders>
            <w:shd w:val="clear" w:color="auto" w:fill="auto"/>
            <w:vAlign w:val="bottom"/>
          </w:tcPr>
          <w:p w14:paraId="00000058"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9" w14:textId="77777777" w:rsidR="00E05D2A" w:rsidRDefault="00E05D2A">
            <w:pPr>
              <w:rPr>
                <w:sz w:val="20"/>
                <w:szCs w:val="20"/>
              </w:rPr>
            </w:pPr>
          </w:p>
        </w:tc>
        <w:tc>
          <w:tcPr>
            <w:tcW w:w="863" w:type="dxa"/>
            <w:tcBorders>
              <w:top w:val="nil"/>
              <w:left w:val="nil"/>
              <w:bottom w:val="nil"/>
              <w:right w:val="nil"/>
            </w:tcBorders>
            <w:shd w:val="clear" w:color="auto" w:fill="auto"/>
            <w:vAlign w:val="bottom"/>
          </w:tcPr>
          <w:p w14:paraId="0000005A"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B"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bottom"/>
          </w:tcPr>
          <w:p w14:paraId="0000005C" w14:textId="77777777" w:rsidR="00E05D2A" w:rsidRDefault="00E05D2A">
            <w:pPr>
              <w:rPr>
                <w:sz w:val="20"/>
                <w:szCs w:val="20"/>
              </w:rPr>
            </w:pPr>
          </w:p>
        </w:tc>
        <w:tc>
          <w:tcPr>
            <w:tcW w:w="190" w:type="dxa"/>
            <w:tcBorders>
              <w:top w:val="nil"/>
              <w:left w:val="nil"/>
              <w:bottom w:val="nil"/>
              <w:right w:val="nil"/>
            </w:tcBorders>
            <w:shd w:val="clear" w:color="auto" w:fill="auto"/>
            <w:vAlign w:val="bottom"/>
          </w:tcPr>
          <w:p w14:paraId="0000005E" w14:textId="77777777" w:rsidR="00E05D2A" w:rsidRDefault="00E05D2A">
            <w:pPr>
              <w:rPr>
                <w:sz w:val="20"/>
                <w:szCs w:val="20"/>
              </w:rPr>
            </w:pPr>
          </w:p>
        </w:tc>
        <w:tc>
          <w:tcPr>
            <w:tcW w:w="1622" w:type="dxa"/>
            <w:tcBorders>
              <w:top w:val="nil"/>
              <w:left w:val="nil"/>
              <w:bottom w:val="nil"/>
              <w:right w:val="nil"/>
            </w:tcBorders>
            <w:shd w:val="clear" w:color="auto" w:fill="auto"/>
            <w:vAlign w:val="bottom"/>
          </w:tcPr>
          <w:p w14:paraId="0000005F"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bottom"/>
          </w:tcPr>
          <w:p w14:paraId="00000060" w14:textId="77777777" w:rsidR="00E05D2A" w:rsidRDefault="00E05D2A">
            <w:pPr>
              <w:rPr>
                <w:sz w:val="20"/>
                <w:szCs w:val="20"/>
              </w:rPr>
            </w:pPr>
          </w:p>
        </w:tc>
        <w:tc>
          <w:tcPr>
            <w:tcW w:w="1275" w:type="dxa"/>
            <w:gridSpan w:val="2"/>
            <w:tcBorders>
              <w:top w:val="nil"/>
              <w:left w:val="nil"/>
              <w:bottom w:val="nil"/>
              <w:right w:val="nil"/>
            </w:tcBorders>
            <w:shd w:val="clear" w:color="auto" w:fill="auto"/>
            <w:vAlign w:val="bottom"/>
          </w:tcPr>
          <w:p w14:paraId="00000062" w14:textId="77777777" w:rsidR="00E05D2A" w:rsidRDefault="00E05D2A">
            <w:pPr>
              <w:rPr>
                <w:sz w:val="20"/>
                <w:szCs w:val="20"/>
              </w:rPr>
            </w:pPr>
          </w:p>
        </w:tc>
      </w:tr>
      <w:tr w:rsidR="00E05D2A" w14:paraId="534C59F3"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64" w14:textId="2E7529FA" w:rsidR="00E05D2A" w:rsidRDefault="00A37C93" w:rsidP="00A37C93">
            <w:pPr>
              <w:rPr>
                <w:color w:val="000000"/>
                <w:sz w:val="20"/>
                <w:szCs w:val="20"/>
              </w:rPr>
            </w:pPr>
            <w:r>
              <w:rPr>
                <w:color w:val="000000"/>
                <w:sz w:val="20"/>
                <w:szCs w:val="20"/>
              </w:rPr>
              <w:t xml:space="preserve">          </w:t>
            </w:r>
            <w:r w:rsidR="007D47DC">
              <w:rPr>
                <w:color w:val="000000"/>
                <w:sz w:val="20"/>
                <w:szCs w:val="20"/>
              </w:rPr>
              <w:t>A: (12) X</w:t>
            </w:r>
            <w:r w:rsidR="007D47DC">
              <w:rPr>
                <w:color w:val="000000"/>
                <w:sz w:val="20"/>
                <w:szCs w:val="20"/>
                <w:vertAlign w:val="superscript"/>
              </w:rPr>
              <w:t>50%</w:t>
            </w:r>
            <w:r w:rsidR="007D47DC">
              <w:rPr>
                <w:color w:val="000000"/>
                <w:sz w:val="20"/>
                <w:szCs w:val="20"/>
              </w:rPr>
              <w:t>, (12) X</w:t>
            </w:r>
            <w:r w:rsidR="007D47DC">
              <w:rPr>
                <w:color w:val="000000"/>
                <w:sz w:val="20"/>
                <w:szCs w:val="20"/>
                <w:vertAlign w:val="superscript"/>
              </w:rPr>
              <w:t>30%</w:t>
            </w:r>
            <w:r w:rsidR="007D47DC">
              <w:rPr>
                <w:color w:val="000000"/>
                <w:sz w:val="20"/>
                <w:szCs w:val="20"/>
              </w:rPr>
              <w:t>, (12) X</w:t>
            </w:r>
            <w:r w:rsidR="007D47DC">
              <w:rPr>
                <w:color w:val="000000"/>
                <w:sz w:val="20"/>
                <w:szCs w:val="20"/>
                <w:vertAlign w:val="superscript"/>
              </w:rPr>
              <w:t>0%</w:t>
            </w:r>
            <w:r w:rsidR="007D47DC">
              <w:rPr>
                <w:color w:val="000000"/>
                <w:sz w:val="20"/>
                <w:szCs w:val="20"/>
              </w:rPr>
              <w:t>, (12) F1</w:t>
            </w:r>
            <w:r w:rsidR="007D47DC">
              <w:rPr>
                <w:color w:val="000000"/>
                <w:sz w:val="20"/>
                <w:szCs w:val="20"/>
                <w:vertAlign w:val="superscript"/>
              </w:rPr>
              <w:t>0%</w:t>
            </w:r>
            <w:r w:rsidR="007D47DC">
              <w:rPr>
                <w:color w:val="000000"/>
                <w:sz w:val="20"/>
                <w:szCs w:val="20"/>
              </w:rPr>
              <w:t>, (12) Z</w:t>
            </w:r>
            <w:r w:rsidR="007D47DC">
              <w:rPr>
                <w:color w:val="000000"/>
                <w:sz w:val="20"/>
                <w:szCs w:val="20"/>
                <w:vertAlign w:val="superscript"/>
              </w:rPr>
              <w:t>30%</w:t>
            </w:r>
          </w:p>
        </w:tc>
        <w:tc>
          <w:tcPr>
            <w:tcW w:w="190" w:type="dxa"/>
            <w:tcBorders>
              <w:top w:val="nil"/>
              <w:left w:val="nil"/>
              <w:bottom w:val="nil"/>
              <w:right w:val="nil"/>
            </w:tcBorders>
            <w:shd w:val="clear" w:color="auto" w:fill="auto"/>
            <w:vAlign w:val="center"/>
          </w:tcPr>
          <w:p w14:paraId="0000006C" w14:textId="77777777" w:rsidR="00E05D2A" w:rsidRDefault="00E05D2A">
            <w:pPr>
              <w:jc w:val="center"/>
              <w:rPr>
                <w:color w:val="000000"/>
                <w:sz w:val="20"/>
                <w:szCs w:val="20"/>
              </w:rPr>
            </w:pPr>
          </w:p>
        </w:tc>
        <w:tc>
          <w:tcPr>
            <w:tcW w:w="3100" w:type="dxa"/>
            <w:gridSpan w:val="6"/>
            <w:tcBorders>
              <w:top w:val="nil"/>
              <w:left w:val="nil"/>
              <w:bottom w:val="nil"/>
              <w:right w:val="nil"/>
            </w:tcBorders>
            <w:shd w:val="clear" w:color="auto" w:fill="auto"/>
            <w:vAlign w:val="center"/>
          </w:tcPr>
          <w:p w14:paraId="0000006D" w14:textId="77777777" w:rsidR="00E05D2A" w:rsidRDefault="007D47DC">
            <w:pPr>
              <w:jc w:val="center"/>
              <w:rPr>
                <w:color w:val="000000"/>
                <w:sz w:val="20"/>
                <w:szCs w:val="20"/>
              </w:rPr>
            </w:pPr>
            <w:r>
              <w:rPr>
                <w:color w:val="000000"/>
                <w:sz w:val="20"/>
                <w:szCs w:val="20"/>
              </w:rPr>
              <w:t>A: X, Y, Z</w:t>
            </w:r>
          </w:p>
        </w:tc>
      </w:tr>
      <w:tr w:rsidR="00E05D2A" w14:paraId="3323B417" w14:textId="77777777" w:rsidTr="00A37C93">
        <w:trPr>
          <w:gridAfter w:val="1"/>
          <w:wAfter w:w="50" w:type="dxa"/>
          <w:trHeight w:val="441"/>
          <w:jc w:val="center"/>
        </w:trPr>
        <w:tc>
          <w:tcPr>
            <w:tcW w:w="5681" w:type="dxa"/>
            <w:gridSpan w:val="8"/>
            <w:tcBorders>
              <w:top w:val="nil"/>
              <w:left w:val="nil"/>
              <w:bottom w:val="nil"/>
              <w:right w:val="nil"/>
            </w:tcBorders>
            <w:shd w:val="clear" w:color="auto" w:fill="auto"/>
            <w:vAlign w:val="center"/>
          </w:tcPr>
          <w:p w14:paraId="00000073" w14:textId="77777777" w:rsidR="00E05D2A" w:rsidRDefault="007D47DC">
            <w:pPr>
              <w:rPr>
                <w:color w:val="000000"/>
                <w:sz w:val="20"/>
                <w:szCs w:val="20"/>
              </w:rPr>
            </w:pPr>
            <w:r>
              <w:rPr>
                <w:color w:val="000000"/>
                <w:sz w:val="20"/>
                <w:szCs w:val="20"/>
              </w:rPr>
              <w:t xml:space="preserve">          B: (12) Y</w:t>
            </w:r>
            <w:r>
              <w:rPr>
                <w:color w:val="000000"/>
                <w:sz w:val="20"/>
                <w:szCs w:val="20"/>
                <w:vertAlign w:val="superscript"/>
              </w:rPr>
              <w:t>0%</w:t>
            </w:r>
            <w:r>
              <w:rPr>
                <w:color w:val="000000"/>
                <w:sz w:val="20"/>
                <w:szCs w:val="20"/>
              </w:rPr>
              <w:t>, (12) F2</w:t>
            </w:r>
            <w:r>
              <w:rPr>
                <w:color w:val="000000"/>
                <w:sz w:val="20"/>
                <w:szCs w:val="20"/>
                <w:vertAlign w:val="superscript"/>
              </w:rPr>
              <w:t>0%</w:t>
            </w:r>
          </w:p>
        </w:tc>
        <w:tc>
          <w:tcPr>
            <w:tcW w:w="190" w:type="dxa"/>
            <w:tcBorders>
              <w:top w:val="nil"/>
              <w:left w:val="nil"/>
              <w:bottom w:val="nil"/>
              <w:right w:val="nil"/>
            </w:tcBorders>
            <w:shd w:val="clear" w:color="auto" w:fill="auto"/>
            <w:vAlign w:val="center"/>
          </w:tcPr>
          <w:p w14:paraId="0000007B" w14:textId="77777777" w:rsidR="00E05D2A" w:rsidRDefault="00E05D2A">
            <w:pPr>
              <w:rPr>
                <w:color w:val="000000"/>
                <w:sz w:val="20"/>
                <w:szCs w:val="20"/>
              </w:rPr>
            </w:pPr>
          </w:p>
        </w:tc>
        <w:tc>
          <w:tcPr>
            <w:tcW w:w="3100" w:type="dxa"/>
            <w:gridSpan w:val="6"/>
            <w:tcBorders>
              <w:top w:val="nil"/>
              <w:left w:val="nil"/>
              <w:bottom w:val="nil"/>
              <w:right w:val="nil"/>
            </w:tcBorders>
            <w:shd w:val="clear" w:color="auto" w:fill="auto"/>
            <w:vAlign w:val="center"/>
          </w:tcPr>
          <w:p w14:paraId="0000007C" w14:textId="77777777" w:rsidR="00E05D2A" w:rsidRDefault="007D47DC">
            <w:pPr>
              <w:jc w:val="center"/>
              <w:rPr>
                <w:color w:val="000000"/>
                <w:sz w:val="20"/>
                <w:szCs w:val="20"/>
              </w:rPr>
            </w:pPr>
            <w:r>
              <w:rPr>
                <w:color w:val="000000"/>
                <w:sz w:val="20"/>
                <w:szCs w:val="20"/>
              </w:rPr>
              <w:t>B: X, Y, Z</w:t>
            </w:r>
          </w:p>
        </w:tc>
      </w:tr>
      <w:tr w:rsidR="00E05D2A" w14:paraId="7BC0B702" w14:textId="77777777" w:rsidTr="00A37C93">
        <w:trPr>
          <w:gridAfter w:val="2"/>
          <w:wAfter w:w="60" w:type="dxa"/>
          <w:trHeight w:val="267"/>
          <w:jc w:val="center"/>
        </w:trPr>
        <w:tc>
          <w:tcPr>
            <w:tcW w:w="993" w:type="dxa"/>
            <w:tcBorders>
              <w:top w:val="nil"/>
              <w:left w:val="nil"/>
              <w:bottom w:val="nil"/>
              <w:right w:val="nil"/>
            </w:tcBorders>
            <w:shd w:val="clear" w:color="auto" w:fill="auto"/>
            <w:vAlign w:val="center"/>
          </w:tcPr>
          <w:p w14:paraId="00000082"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83" w14:textId="77777777" w:rsidR="00E05D2A" w:rsidRDefault="00E05D2A">
            <w:pPr>
              <w:rPr>
                <w:sz w:val="20"/>
                <w:szCs w:val="20"/>
              </w:rPr>
            </w:pPr>
          </w:p>
        </w:tc>
        <w:tc>
          <w:tcPr>
            <w:tcW w:w="1259" w:type="dxa"/>
            <w:tcBorders>
              <w:top w:val="nil"/>
              <w:left w:val="nil"/>
              <w:bottom w:val="nil"/>
              <w:right w:val="nil"/>
            </w:tcBorders>
            <w:shd w:val="clear" w:color="auto" w:fill="auto"/>
            <w:vAlign w:val="center"/>
          </w:tcPr>
          <w:p w14:paraId="00000084"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5"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86"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7" w14:textId="77777777" w:rsidR="00E05D2A" w:rsidRDefault="00E05D2A">
            <w:pPr>
              <w:rPr>
                <w:sz w:val="20"/>
                <w:szCs w:val="20"/>
              </w:rPr>
            </w:pPr>
          </w:p>
        </w:tc>
        <w:tc>
          <w:tcPr>
            <w:tcW w:w="1993" w:type="dxa"/>
            <w:gridSpan w:val="2"/>
            <w:tcBorders>
              <w:top w:val="nil"/>
              <w:left w:val="nil"/>
              <w:bottom w:val="nil"/>
              <w:right w:val="nil"/>
            </w:tcBorders>
            <w:shd w:val="clear" w:color="auto" w:fill="auto"/>
            <w:vAlign w:val="center"/>
          </w:tcPr>
          <w:p w14:paraId="00000088" w14:textId="77777777" w:rsidR="00E05D2A" w:rsidRDefault="00E05D2A">
            <w:pPr>
              <w:rPr>
                <w:sz w:val="20"/>
                <w:szCs w:val="20"/>
              </w:rPr>
            </w:pPr>
          </w:p>
        </w:tc>
        <w:tc>
          <w:tcPr>
            <w:tcW w:w="190" w:type="dxa"/>
            <w:tcBorders>
              <w:top w:val="nil"/>
              <w:left w:val="nil"/>
              <w:bottom w:val="nil"/>
              <w:right w:val="nil"/>
            </w:tcBorders>
            <w:shd w:val="clear" w:color="auto" w:fill="auto"/>
            <w:vAlign w:val="center"/>
          </w:tcPr>
          <w:p w14:paraId="0000008A" w14:textId="77777777" w:rsidR="00E05D2A" w:rsidRDefault="00E05D2A">
            <w:pPr>
              <w:rPr>
                <w:sz w:val="20"/>
                <w:szCs w:val="20"/>
              </w:rPr>
            </w:pPr>
          </w:p>
        </w:tc>
        <w:tc>
          <w:tcPr>
            <w:tcW w:w="1622" w:type="dxa"/>
            <w:tcBorders>
              <w:top w:val="nil"/>
              <w:left w:val="nil"/>
              <w:bottom w:val="nil"/>
              <w:right w:val="nil"/>
            </w:tcBorders>
            <w:shd w:val="clear" w:color="auto" w:fill="auto"/>
            <w:vAlign w:val="center"/>
          </w:tcPr>
          <w:p w14:paraId="0000008B" w14:textId="77777777" w:rsidR="00E05D2A" w:rsidRDefault="00E05D2A">
            <w:pPr>
              <w:rPr>
                <w:sz w:val="20"/>
                <w:szCs w:val="20"/>
              </w:rPr>
            </w:pPr>
          </w:p>
        </w:tc>
        <w:tc>
          <w:tcPr>
            <w:tcW w:w="196" w:type="dxa"/>
            <w:gridSpan w:val="2"/>
            <w:tcBorders>
              <w:top w:val="nil"/>
              <w:left w:val="nil"/>
              <w:bottom w:val="nil"/>
              <w:right w:val="nil"/>
            </w:tcBorders>
            <w:shd w:val="clear" w:color="auto" w:fill="auto"/>
            <w:vAlign w:val="center"/>
          </w:tcPr>
          <w:p w14:paraId="0000008C"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8E" w14:textId="77777777" w:rsidR="00E05D2A" w:rsidRDefault="00E05D2A">
            <w:pPr>
              <w:jc w:val="center"/>
              <w:rPr>
                <w:sz w:val="20"/>
                <w:szCs w:val="20"/>
              </w:rPr>
            </w:pPr>
          </w:p>
        </w:tc>
      </w:tr>
      <w:tr w:rsidR="00E05D2A" w14:paraId="2B39D412" w14:textId="77777777" w:rsidTr="00A37C93">
        <w:trPr>
          <w:gridAfter w:val="1"/>
          <w:wAfter w:w="50" w:type="dxa"/>
          <w:trHeight w:val="347"/>
          <w:jc w:val="center"/>
        </w:trPr>
        <w:tc>
          <w:tcPr>
            <w:tcW w:w="8971" w:type="dxa"/>
            <w:gridSpan w:val="15"/>
            <w:tcBorders>
              <w:top w:val="single" w:sz="4" w:space="0" w:color="000000"/>
              <w:left w:val="nil"/>
              <w:bottom w:val="single" w:sz="4" w:space="0" w:color="000000"/>
              <w:right w:val="nil"/>
            </w:tcBorders>
            <w:shd w:val="clear" w:color="auto" w:fill="auto"/>
            <w:vAlign w:val="center"/>
          </w:tcPr>
          <w:p w14:paraId="00000090" w14:textId="77777777" w:rsidR="00E05D2A" w:rsidRDefault="007D47DC">
            <w:pPr>
              <w:jc w:val="center"/>
              <w:rPr>
                <w:color w:val="000000"/>
                <w:sz w:val="20"/>
                <w:szCs w:val="20"/>
              </w:rPr>
            </w:pPr>
            <w:proofErr w:type="spellStart"/>
            <w:r>
              <w:rPr>
                <w:color w:val="000000"/>
                <w:sz w:val="20"/>
                <w:szCs w:val="20"/>
              </w:rPr>
              <w:t>Operacionalización</w:t>
            </w:r>
            <w:proofErr w:type="spellEnd"/>
            <w:r>
              <w:rPr>
                <w:color w:val="000000"/>
                <w:sz w:val="20"/>
                <w:szCs w:val="20"/>
              </w:rPr>
              <w:t xml:space="preserve"> del Diseño</w:t>
            </w:r>
          </w:p>
        </w:tc>
      </w:tr>
      <w:tr w:rsidR="00E05D2A" w14:paraId="64897241" w14:textId="77777777" w:rsidTr="00A37C93">
        <w:trPr>
          <w:trHeight w:val="494"/>
          <w:jc w:val="center"/>
        </w:trPr>
        <w:tc>
          <w:tcPr>
            <w:tcW w:w="993" w:type="dxa"/>
            <w:tcBorders>
              <w:top w:val="nil"/>
              <w:left w:val="nil"/>
              <w:bottom w:val="single" w:sz="4" w:space="0" w:color="000000"/>
              <w:right w:val="nil"/>
            </w:tcBorders>
            <w:shd w:val="clear" w:color="auto" w:fill="auto"/>
            <w:vAlign w:val="center"/>
          </w:tcPr>
          <w:p w14:paraId="0000009F" w14:textId="77777777" w:rsidR="00E05D2A" w:rsidRDefault="007D47DC">
            <w:pPr>
              <w:jc w:val="center"/>
              <w:rPr>
                <w:color w:val="000000"/>
                <w:sz w:val="20"/>
                <w:szCs w:val="20"/>
              </w:rPr>
            </w:pPr>
            <w:r>
              <w:rPr>
                <w:color w:val="000000"/>
                <w:sz w:val="20"/>
                <w:szCs w:val="20"/>
              </w:rPr>
              <w:t>Contexto</w:t>
            </w:r>
          </w:p>
        </w:tc>
        <w:tc>
          <w:tcPr>
            <w:tcW w:w="190" w:type="dxa"/>
            <w:tcBorders>
              <w:top w:val="nil"/>
              <w:left w:val="nil"/>
              <w:bottom w:val="single" w:sz="4" w:space="0" w:color="000000"/>
              <w:right w:val="nil"/>
            </w:tcBorders>
            <w:shd w:val="clear" w:color="auto" w:fill="auto"/>
            <w:vAlign w:val="center"/>
          </w:tcPr>
          <w:p w14:paraId="000000A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A1" w14:textId="77777777" w:rsidR="00E05D2A" w:rsidRDefault="007D47DC">
            <w:pPr>
              <w:jc w:val="center"/>
              <w:rPr>
                <w:color w:val="000000"/>
                <w:sz w:val="20"/>
                <w:szCs w:val="20"/>
              </w:rPr>
            </w:pPr>
            <w:r>
              <w:rPr>
                <w:color w:val="000000"/>
                <w:sz w:val="20"/>
                <w:szCs w:val="20"/>
              </w:rPr>
              <w:t>Nombre del Contexto</w:t>
            </w:r>
          </w:p>
        </w:tc>
        <w:tc>
          <w:tcPr>
            <w:tcW w:w="190" w:type="dxa"/>
            <w:tcBorders>
              <w:top w:val="nil"/>
              <w:left w:val="nil"/>
              <w:bottom w:val="single" w:sz="4" w:space="0" w:color="000000"/>
              <w:right w:val="nil"/>
            </w:tcBorders>
            <w:shd w:val="clear" w:color="auto" w:fill="auto"/>
            <w:vAlign w:val="center"/>
          </w:tcPr>
          <w:p w14:paraId="000000A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A3" w14:textId="77777777" w:rsidR="00E05D2A" w:rsidRDefault="007D47DC">
            <w:pPr>
              <w:jc w:val="center"/>
              <w:rPr>
                <w:color w:val="000000"/>
                <w:sz w:val="20"/>
                <w:szCs w:val="20"/>
              </w:rPr>
            </w:pPr>
            <w:r>
              <w:rPr>
                <w:color w:val="000000"/>
                <w:sz w:val="20"/>
                <w:szCs w:val="20"/>
              </w:rPr>
              <w:t>Producto</w:t>
            </w:r>
          </w:p>
        </w:tc>
        <w:tc>
          <w:tcPr>
            <w:tcW w:w="190" w:type="dxa"/>
            <w:tcBorders>
              <w:top w:val="nil"/>
              <w:left w:val="nil"/>
              <w:bottom w:val="single" w:sz="4" w:space="0" w:color="000000"/>
              <w:right w:val="nil"/>
            </w:tcBorders>
            <w:shd w:val="clear" w:color="auto" w:fill="auto"/>
            <w:vAlign w:val="center"/>
          </w:tcPr>
          <w:p w14:paraId="000000A4" w14:textId="77777777" w:rsidR="00E05D2A" w:rsidRDefault="007D47DC">
            <w:pPr>
              <w:jc w:val="center"/>
              <w:rPr>
                <w:color w:val="000000"/>
                <w:sz w:val="20"/>
                <w:szCs w:val="20"/>
              </w:rPr>
            </w:pPr>
            <w:r>
              <w:rPr>
                <w:color w:val="000000"/>
                <w:sz w:val="20"/>
                <w:szCs w:val="20"/>
              </w:rPr>
              <w:t> </w:t>
            </w:r>
          </w:p>
        </w:tc>
        <w:tc>
          <w:tcPr>
            <w:tcW w:w="1820" w:type="dxa"/>
            <w:tcBorders>
              <w:top w:val="nil"/>
              <w:left w:val="nil"/>
              <w:bottom w:val="single" w:sz="4" w:space="0" w:color="000000"/>
              <w:right w:val="nil"/>
            </w:tcBorders>
            <w:shd w:val="clear" w:color="auto" w:fill="auto"/>
            <w:vAlign w:val="center"/>
          </w:tcPr>
          <w:p w14:paraId="000000A5" w14:textId="77777777" w:rsidR="00E05D2A" w:rsidRDefault="007D47DC">
            <w:pPr>
              <w:ind w:right="208"/>
              <w:jc w:val="center"/>
              <w:rPr>
                <w:color w:val="000000"/>
                <w:sz w:val="20"/>
                <w:szCs w:val="20"/>
              </w:rPr>
            </w:pPr>
            <w:r>
              <w:rPr>
                <w:color w:val="000000"/>
                <w:sz w:val="20"/>
                <w:szCs w:val="20"/>
              </w:rPr>
              <w:t>Nombre del Producto</w:t>
            </w:r>
          </w:p>
        </w:tc>
        <w:tc>
          <w:tcPr>
            <w:tcW w:w="173" w:type="dxa"/>
            <w:tcBorders>
              <w:top w:val="nil"/>
              <w:left w:val="nil"/>
              <w:bottom w:val="single" w:sz="4" w:space="0" w:color="000000"/>
              <w:right w:val="nil"/>
            </w:tcBorders>
            <w:shd w:val="clear" w:color="auto" w:fill="auto"/>
            <w:vAlign w:val="center"/>
          </w:tcPr>
          <w:p w14:paraId="000000A6" w14:textId="77777777" w:rsidR="00E05D2A" w:rsidRDefault="007D47DC">
            <w:pPr>
              <w:ind w:left="-255"/>
              <w:jc w:val="center"/>
              <w:rPr>
                <w:color w:val="000000"/>
                <w:sz w:val="20"/>
                <w:szCs w:val="20"/>
              </w:rPr>
            </w:pPr>
            <w:r>
              <w:rPr>
                <w:color w:val="000000"/>
                <w:sz w:val="20"/>
                <w:szCs w:val="20"/>
              </w:rPr>
              <w:t> </w:t>
            </w:r>
          </w:p>
        </w:tc>
        <w:tc>
          <w:tcPr>
            <w:tcW w:w="1900" w:type="dxa"/>
            <w:gridSpan w:val="3"/>
            <w:tcBorders>
              <w:top w:val="nil"/>
              <w:left w:val="nil"/>
              <w:bottom w:val="single" w:sz="4" w:space="0" w:color="000000"/>
              <w:right w:val="nil"/>
            </w:tcBorders>
            <w:shd w:val="clear" w:color="auto" w:fill="auto"/>
            <w:vAlign w:val="center"/>
          </w:tcPr>
          <w:p w14:paraId="000000A7" w14:textId="77777777" w:rsidR="00E05D2A" w:rsidRDefault="007D47DC">
            <w:pPr>
              <w:ind w:right="490"/>
              <w:jc w:val="center"/>
              <w:rPr>
                <w:color w:val="000000"/>
                <w:sz w:val="20"/>
                <w:szCs w:val="20"/>
              </w:rPr>
            </w:pPr>
            <w:r>
              <w:rPr>
                <w:color w:val="000000"/>
                <w:sz w:val="20"/>
                <w:szCs w:val="20"/>
              </w:rPr>
              <w:t>Descuento</w:t>
            </w:r>
          </w:p>
        </w:tc>
        <w:tc>
          <w:tcPr>
            <w:tcW w:w="190" w:type="dxa"/>
            <w:gridSpan w:val="2"/>
            <w:tcBorders>
              <w:top w:val="nil"/>
              <w:left w:val="nil"/>
              <w:bottom w:val="single" w:sz="4" w:space="0" w:color="000000"/>
              <w:right w:val="nil"/>
            </w:tcBorders>
            <w:shd w:val="clear" w:color="auto" w:fill="auto"/>
            <w:vAlign w:val="center"/>
          </w:tcPr>
          <w:p w14:paraId="000000AA" w14:textId="77777777" w:rsidR="00E05D2A" w:rsidRDefault="007D47DC">
            <w:pPr>
              <w:jc w:val="center"/>
              <w:rPr>
                <w:color w:val="000000"/>
                <w:sz w:val="20"/>
                <w:szCs w:val="20"/>
              </w:rPr>
            </w:pPr>
            <w:r>
              <w:rPr>
                <w:color w:val="000000"/>
                <w:sz w:val="20"/>
                <w:szCs w:val="20"/>
              </w:rPr>
              <w:t> </w:t>
            </w:r>
          </w:p>
        </w:tc>
        <w:tc>
          <w:tcPr>
            <w:tcW w:w="1253" w:type="dxa"/>
            <w:gridSpan w:val="3"/>
            <w:tcBorders>
              <w:top w:val="nil"/>
              <w:left w:val="nil"/>
              <w:bottom w:val="single" w:sz="4" w:space="0" w:color="000000"/>
              <w:right w:val="nil"/>
            </w:tcBorders>
            <w:shd w:val="clear" w:color="auto" w:fill="auto"/>
            <w:vAlign w:val="center"/>
          </w:tcPr>
          <w:p w14:paraId="000000AC" w14:textId="77777777" w:rsidR="00E05D2A" w:rsidRDefault="007D47DC">
            <w:pPr>
              <w:ind w:left="-73" w:firstLine="25"/>
              <w:jc w:val="center"/>
              <w:rPr>
                <w:color w:val="000000"/>
                <w:sz w:val="20"/>
                <w:szCs w:val="20"/>
              </w:rPr>
            </w:pPr>
            <w:r>
              <w:rPr>
                <w:color w:val="000000"/>
                <w:sz w:val="20"/>
                <w:szCs w:val="20"/>
              </w:rPr>
              <w:t>Porcentaje de Descuento</w:t>
            </w:r>
          </w:p>
        </w:tc>
      </w:tr>
      <w:tr w:rsidR="00E05D2A" w14:paraId="07F11EE7"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AF"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B0"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B1"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2"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B3"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4"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B5"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B7"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B8"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B9"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0BB" w14:textId="77777777" w:rsidR="00E05D2A" w:rsidRDefault="00E05D2A">
            <w:pPr>
              <w:jc w:val="center"/>
              <w:rPr>
                <w:sz w:val="20"/>
                <w:szCs w:val="20"/>
              </w:rPr>
            </w:pPr>
          </w:p>
        </w:tc>
      </w:tr>
      <w:tr w:rsidR="00E05D2A" w14:paraId="483B3DFD"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0BD" w14:textId="77777777" w:rsidR="00E05D2A" w:rsidRDefault="007D47DC">
            <w:pPr>
              <w:jc w:val="center"/>
              <w:rPr>
                <w:color w:val="000000"/>
                <w:sz w:val="20"/>
                <w:szCs w:val="20"/>
              </w:rPr>
            </w:pPr>
            <w:r>
              <w:rPr>
                <w:color w:val="000000"/>
                <w:sz w:val="20"/>
                <w:szCs w:val="20"/>
              </w:rPr>
              <w:t>A</w:t>
            </w:r>
          </w:p>
        </w:tc>
        <w:tc>
          <w:tcPr>
            <w:tcW w:w="190" w:type="dxa"/>
            <w:tcBorders>
              <w:top w:val="nil"/>
              <w:left w:val="nil"/>
              <w:bottom w:val="nil"/>
              <w:right w:val="nil"/>
            </w:tcBorders>
            <w:shd w:val="clear" w:color="auto" w:fill="auto"/>
            <w:vAlign w:val="center"/>
          </w:tcPr>
          <w:p w14:paraId="000000BE"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0BF" w14:textId="77777777" w:rsidR="00E05D2A" w:rsidRDefault="007D47DC">
            <w:pPr>
              <w:jc w:val="center"/>
              <w:rPr>
                <w:color w:val="000000"/>
                <w:sz w:val="20"/>
                <w:szCs w:val="20"/>
              </w:rPr>
            </w:pPr>
            <w:proofErr w:type="spellStart"/>
            <w:r>
              <w:rPr>
                <w:color w:val="000000"/>
                <w:sz w:val="20"/>
                <w:szCs w:val="20"/>
              </w:rPr>
              <w:t>Mercadona</w:t>
            </w:r>
            <w:proofErr w:type="spellEnd"/>
            <w:r>
              <w:rPr>
                <w:color w:val="000000"/>
                <w:sz w:val="20"/>
                <w:szCs w:val="20"/>
              </w:rPr>
              <w:t xml:space="preserve"> </w:t>
            </w:r>
            <w:r>
              <w:rPr>
                <w:color w:val="000000"/>
                <w:sz w:val="20"/>
                <w:szCs w:val="20"/>
              </w:rPr>
              <w:br/>
              <w:t xml:space="preserve">o  </w:t>
            </w:r>
            <w:r>
              <w:rPr>
                <w:color w:val="000000"/>
                <w:sz w:val="20"/>
                <w:szCs w:val="20"/>
              </w:rPr>
              <w:br/>
              <w:t>Día</w:t>
            </w:r>
          </w:p>
        </w:tc>
        <w:tc>
          <w:tcPr>
            <w:tcW w:w="190" w:type="dxa"/>
            <w:tcBorders>
              <w:top w:val="nil"/>
              <w:left w:val="nil"/>
              <w:bottom w:val="nil"/>
              <w:right w:val="nil"/>
            </w:tcBorders>
            <w:shd w:val="clear" w:color="auto" w:fill="auto"/>
            <w:vAlign w:val="center"/>
          </w:tcPr>
          <w:p w14:paraId="000000C0"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0C1" w14:textId="77777777" w:rsidR="00E05D2A" w:rsidRDefault="007D47DC">
            <w:pPr>
              <w:jc w:val="center"/>
              <w:rPr>
                <w:color w:val="000000"/>
                <w:sz w:val="20"/>
                <w:szCs w:val="20"/>
              </w:rPr>
            </w:pPr>
            <w:r>
              <w:rPr>
                <w:color w:val="000000"/>
                <w:sz w:val="20"/>
                <w:szCs w:val="20"/>
              </w:rPr>
              <w:t>X</w:t>
            </w:r>
          </w:p>
        </w:tc>
        <w:tc>
          <w:tcPr>
            <w:tcW w:w="190" w:type="dxa"/>
            <w:tcBorders>
              <w:top w:val="nil"/>
              <w:left w:val="nil"/>
              <w:bottom w:val="nil"/>
              <w:right w:val="nil"/>
            </w:tcBorders>
            <w:shd w:val="clear" w:color="auto" w:fill="auto"/>
            <w:vAlign w:val="center"/>
          </w:tcPr>
          <w:p w14:paraId="000000C2"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C3" w14:textId="77777777" w:rsidR="00E05D2A" w:rsidRDefault="007D47DC">
            <w:pPr>
              <w:rPr>
                <w:color w:val="000000"/>
                <w:sz w:val="20"/>
                <w:szCs w:val="20"/>
              </w:rPr>
            </w:pPr>
            <w:r>
              <w:rPr>
                <w:color w:val="000000"/>
                <w:sz w:val="20"/>
                <w:szCs w:val="20"/>
              </w:rPr>
              <w:t>Café o cereal</w:t>
            </w:r>
          </w:p>
        </w:tc>
        <w:tc>
          <w:tcPr>
            <w:tcW w:w="190" w:type="dxa"/>
            <w:tcBorders>
              <w:top w:val="nil"/>
              <w:left w:val="nil"/>
              <w:bottom w:val="nil"/>
              <w:right w:val="nil"/>
            </w:tcBorders>
            <w:shd w:val="clear" w:color="auto" w:fill="auto"/>
            <w:vAlign w:val="center"/>
          </w:tcPr>
          <w:p w14:paraId="000000C5"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C6" w14:textId="77777777" w:rsidR="00E05D2A" w:rsidRDefault="007D47DC">
            <w:pPr>
              <w:rPr>
                <w:color w:val="000000"/>
                <w:sz w:val="20"/>
                <w:szCs w:val="20"/>
              </w:rPr>
            </w:pPr>
            <w:r>
              <w:rPr>
                <w:color w:val="000000"/>
                <w:sz w:val="20"/>
                <w:szCs w:val="20"/>
              </w:rPr>
              <w:t>Valor diferencial de descuento</w:t>
            </w:r>
          </w:p>
        </w:tc>
        <w:tc>
          <w:tcPr>
            <w:tcW w:w="196" w:type="dxa"/>
            <w:gridSpan w:val="2"/>
            <w:tcBorders>
              <w:top w:val="nil"/>
              <w:left w:val="nil"/>
              <w:bottom w:val="nil"/>
              <w:right w:val="nil"/>
            </w:tcBorders>
            <w:shd w:val="clear" w:color="auto" w:fill="auto"/>
            <w:vAlign w:val="center"/>
          </w:tcPr>
          <w:p w14:paraId="000000C7"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C9" w14:textId="77777777" w:rsidR="00E05D2A" w:rsidRDefault="007D47DC">
            <w:pPr>
              <w:ind w:right="-156"/>
              <w:rPr>
                <w:color w:val="000000"/>
                <w:sz w:val="20"/>
                <w:szCs w:val="20"/>
              </w:rPr>
            </w:pPr>
            <w:r>
              <w:rPr>
                <w:color w:val="000000"/>
                <w:sz w:val="20"/>
                <w:szCs w:val="20"/>
              </w:rPr>
              <w:t>50%, 30%, 0%</w:t>
            </w:r>
          </w:p>
        </w:tc>
      </w:tr>
      <w:tr w:rsidR="00E05D2A" w14:paraId="23C5E3FC"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C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C"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CD"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CE"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CF" w14:textId="77777777" w:rsidR="00E05D2A" w:rsidRDefault="007D47DC">
            <w:pPr>
              <w:jc w:val="center"/>
              <w:rPr>
                <w:color w:val="000000"/>
                <w:sz w:val="20"/>
                <w:szCs w:val="20"/>
              </w:rPr>
            </w:pPr>
            <w:r>
              <w:rPr>
                <w:color w:val="000000"/>
                <w:sz w:val="20"/>
                <w:szCs w:val="20"/>
              </w:rPr>
              <w:t>F1</w:t>
            </w:r>
          </w:p>
        </w:tc>
        <w:tc>
          <w:tcPr>
            <w:tcW w:w="190" w:type="dxa"/>
            <w:tcBorders>
              <w:top w:val="nil"/>
              <w:left w:val="nil"/>
              <w:bottom w:val="nil"/>
              <w:right w:val="nil"/>
            </w:tcBorders>
            <w:shd w:val="clear" w:color="auto" w:fill="auto"/>
            <w:vAlign w:val="center"/>
          </w:tcPr>
          <w:p w14:paraId="000000D0"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1" w14:textId="77777777" w:rsidR="00E05D2A" w:rsidRDefault="007D47DC">
            <w:pPr>
              <w:rPr>
                <w:color w:val="000000"/>
                <w:sz w:val="20"/>
                <w:szCs w:val="20"/>
              </w:rPr>
            </w:pPr>
            <w:r>
              <w:rPr>
                <w:color w:val="000000"/>
                <w:sz w:val="20"/>
                <w:szCs w:val="20"/>
              </w:rPr>
              <w:t>Salsa de tomate</w:t>
            </w:r>
          </w:p>
        </w:tc>
        <w:tc>
          <w:tcPr>
            <w:tcW w:w="190" w:type="dxa"/>
            <w:tcBorders>
              <w:top w:val="nil"/>
              <w:left w:val="nil"/>
              <w:bottom w:val="nil"/>
              <w:right w:val="nil"/>
            </w:tcBorders>
            <w:shd w:val="clear" w:color="auto" w:fill="auto"/>
            <w:vAlign w:val="center"/>
          </w:tcPr>
          <w:p w14:paraId="000000D3"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D4"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0D5"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D7" w14:textId="77777777" w:rsidR="00E05D2A" w:rsidRDefault="007D47DC">
            <w:pPr>
              <w:rPr>
                <w:color w:val="000000"/>
                <w:sz w:val="20"/>
                <w:szCs w:val="20"/>
              </w:rPr>
            </w:pPr>
            <w:r>
              <w:rPr>
                <w:color w:val="000000"/>
                <w:sz w:val="20"/>
                <w:szCs w:val="20"/>
              </w:rPr>
              <w:t>0%</w:t>
            </w:r>
          </w:p>
        </w:tc>
      </w:tr>
      <w:tr w:rsidR="00E05D2A" w14:paraId="79C8028D"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0D9"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A"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0DB"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0DC"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0DD" w14:textId="77777777" w:rsidR="00E05D2A" w:rsidRDefault="007D47DC">
            <w:pPr>
              <w:jc w:val="center"/>
              <w:rPr>
                <w:color w:val="000000"/>
                <w:sz w:val="20"/>
                <w:szCs w:val="20"/>
              </w:rPr>
            </w:pPr>
            <w:r>
              <w:rPr>
                <w:color w:val="000000"/>
                <w:sz w:val="20"/>
                <w:szCs w:val="20"/>
              </w:rPr>
              <w:t>Z</w:t>
            </w:r>
          </w:p>
        </w:tc>
        <w:tc>
          <w:tcPr>
            <w:tcW w:w="190" w:type="dxa"/>
            <w:tcBorders>
              <w:top w:val="nil"/>
              <w:left w:val="nil"/>
              <w:bottom w:val="nil"/>
              <w:right w:val="nil"/>
            </w:tcBorders>
            <w:shd w:val="clear" w:color="auto" w:fill="auto"/>
            <w:vAlign w:val="center"/>
          </w:tcPr>
          <w:p w14:paraId="000000DE"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0DF" w14:textId="77777777" w:rsidR="00E05D2A" w:rsidRDefault="007D47DC">
            <w:pPr>
              <w:rPr>
                <w:color w:val="000000"/>
                <w:sz w:val="20"/>
                <w:szCs w:val="20"/>
              </w:rPr>
            </w:pPr>
            <w:r>
              <w:rPr>
                <w:color w:val="000000"/>
                <w:sz w:val="20"/>
                <w:szCs w:val="20"/>
              </w:rPr>
              <w:t>Margarina o galletas</w:t>
            </w:r>
          </w:p>
        </w:tc>
        <w:tc>
          <w:tcPr>
            <w:tcW w:w="190" w:type="dxa"/>
            <w:tcBorders>
              <w:top w:val="nil"/>
              <w:left w:val="nil"/>
              <w:bottom w:val="nil"/>
              <w:right w:val="nil"/>
            </w:tcBorders>
            <w:shd w:val="clear" w:color="auto" w:fill="auto"/>
            <w:vAlign w:val="center"/>
          </w:tcPr>
          <w:p w14:paraId="000000E1"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0E2" w14:textId="74667771" w:rsidR="00E05D2A" w:rsidRDefault="00A37C93">
            <w:pPr>
              <w:rPr>
                <w:color w:val="000000"/>
                <w:sz w:val="20"/>
                <w:szCs w:val="20"/>
              </w:rPr>
            </w:pPr>
            <w:r>
              <w:rPr>
                <w:color w:val="000000"/>
                <w:sz w:val="20"/>
                <w:szCs w:val="20"/>
              </w:rPr>
              <w:t xml:space="preserve">Valor </w:t>
            </w:r>
            <w:r w:rsidR="00745A2F">
              <w:rPr>
                <w:color w:val="000000"/>
                <w:sz w:val="20"/>
                <w:szCs w:val="20"/>
              </w:rPr>
              <w:t xml:space="preserve">fijo </w:t>
            </w:r>
            <w:r>
              <w:rPr>
                <w:color w:val="000000"/>
                <w:sz w:val="20"/>
                <w:szCs w:val="20"/>
              </w:rPr>
              <w:t>de descuento</w:t>
            </w:r>
          </w:p>
        </w:tc>
        <w:tc>
          <w:tcPr>
            <w:tcW w:w="196" w:type="dxa"/>
            <w:gridSpan w:val="2"/>
            <w:tcBorders>
              <w:top w:val="nil"/>
              <w:left w:val="nil"/>
              <w:bottom w:val="nil"/>
              <w:right w:val="nil"/>
            </w:tcBorders>
            <w:shd w:val="clear" w:color="auto" w:fill="auto"/>
            <w:vAlign w:val="center"/>
          </w:tcPr>
          <w:p w14:paraId="000000E3"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0E5" w14:textId="77777777" w:rsidR="00E05D2A" w:rsidRDefault="007D47DC">
            <w:pPr>
              <w:rPr>
                <w:color w:val="000000"/>
                <w:sz w:val="20"/>
                <w:szCs w:val="20"/>
              </w:rPr>
            </w:pPr>
            <w:r>
              <w:rPr>
                <w:color w:val="000000"/>
                <w:sz w:val="20"/>
                <w:szCs w:val="20"/>
              </w:rPr>
              <w:t>30%</w:t>
            </w:r>
          </w:p>
        </w:tc>
      </w:tr>
      <w:tr w:rsidR="00E05D2A" w14:paraId="0916CA6B"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0E7"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8"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0E9"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A"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0EB"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C"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0ED"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0EF"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0F0"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0F1"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0F3" w14:textId="77777777" w:rsidR="00E05D2A" w:rsidRDefault="007D47DC">
            <w:pPr>
              <w:jc w:val="center"/>
              <w:rPr>
                <w:color w:val="000000"/>
                <w:sz w:val="20"/>
                <w:szCs w:val="20"/>
              </w:rPr>
            </w:pPr>
            <w:r>
              <w:rPr>
                <w:color w:val="000000"/>
                <w:sz w:val="20"/>
                <w:szCs w:val="20"/>
              </w:rPr>
              <w:t> </w:t>
            </w:r>
          </w:p>
        </w:tc>
      </w:tr>
      <w:tr w:rsidR="00E05D2A" w14:paraId="4A6033A0" w14:textId="77777777" w:rsidTr="00A37C93">
        <w:trPr>
          <w:gridAfter w:val="2"/>
          <w:wAfter w:w="60" w:type="dxa"/>
          <w:trHeight w:val="294"/>
          <w:jc w:val="center"/>
        </w:trPr>
        <w:tc>
          <w:tcPr>
            <w:tcW w:w="993" w:type="dxa"/>
            <w:tcBorders>
              <w:top w:val="nil"/>
              <w:left w:val="nil"/>
              <w:bottom w:val="nil"/>
              <w:right w:val="nil"/>
            </w:tcBorders>
            <w:shd w:val="clear" w:color="auto" w:fill="auto"/>
            <w:vAlign w:val="center"/>
          </w:tcPr>
          <w:p w14:paraId="000000F5" w14:textId="77777777" w:rsidR="00E05D2A" w:rsidRDefault="00E05D2A">
            <w:pPr>
              <w:jc w:val="center"/>
              <w:rPr>
                <w:color w:val="000000"/>
                <w:sz w:val="20"/>
                <w:szCs w:val="20"/>
              </w:rPr>
            </w:pPr>
          </w:p>
        </w:tc>
        <w:tc>
          <w:tcPr>
            <w:tcW w:w="190" w:type="dxa"/>
            <w:tcBorders>
              <w:top w:val="nil"/>
              <w:left w:val="nil"/>
              <w:bottom w:val="nil"/>
              <w:right w:val="nil"/>
            </w:tcBorders>
            <w:shd w:val="clear" w:color="auto" w:fill="auto"/>
            <w:vAlign w:val="center"/>
          </w:tcPr>
          <w:p w14:paraId="000000F6" w14:textId="77777777" w:rsidR="00E05D2A" w:rsidRDefault="00E05D2A">
            <w:pPr>
              <w:jc w:val="center"/>
              <w:rPr>
                <w:sz w:val="20"/>
                <w:szCs w:val="20"/>
              </w:rPr>
            </w:pPr>
          </w:p>
        </w:tc>
        <w:tc>
          <w:tcPr>
            <w:tcW w:w="1259" w:type="dxa"/>
            <w:tcBorders>
              <w:top w:val="nil"/>
              <w:left w:val="nil"/>
              <w:bottom w:val="nil"/>
              <w:right w:val="nil"/>
            </w:tcBorders>
            <w:shd w:val="clear" w:color="auto" w:fill="auto"/>
            <w:vAlign w:val="center"/>
          </w:tcPr>
          <w:p w14:paraId="000000F7"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8" w14:textId="77777777" w:rsidR="00E05D2A" w:rsidRDefault="00E05D2A">
            <w:pPr>
              <w:jc w:val="center"/>
              <w:rPr>
                <w:sz w:val="20"/>
                <w:szCs w:val="20"/>
              </w:rPr>
            </w:pPr>
          </w:p>
        </w:tc>
        <w:tc>
          <w:tcPr>
            <w:tcW w:w="863" w:type="dxa"/>
            <w:tcBorders>
              <w:top w:val="nil"/>
              <w:left w:val="nil"/>
              <w:bottom w:val="nil"/>
              <w:right w:val="nil"/>
            </w:tcBorders>
            <w:shd w:val="clear" w:color="auto" w:fill="auto"/>
            <w:vAlign w:val="center"/>
          </w:tcPr>
          <w:p w14:paraId="000000F9"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A" w14:textId="77777777" w:rsidR="00E05D2A" w:rsidRDefault="00E05D2A">
            <w:pPr>
              <w:jc w:val="center"/>
              <w:rPr>
                <w:sz w:val="20"/>
                <w:szCs w:val="20"/>
              </w:rPr>
            </w:pPr>
          </w:p>
        </w:tc>
        <w:tc>
          <w:tcPr>
            <w:tcW w:w="1993" w:type="dxa"/>
            <w:gridSpan w:val="2"/>
            <w:tcBorders>
              <w:top w:val="nil"/>
              <w:left w:val="nil"/>
              <w:bottom w:val="nil"/>
              <w:right w:val="nil"/>
            </w:tcBorders>
            <w:shd w:val="clear" w:color="auto" w:fill="auto"/>
            <w:vAlign w:val="center"/>
          </w:tcPr>
          <w:p w14:paraId="000000FB" w14:textId="77777777" w:rsidR="00E05D2A" w:rsidRDefault="00E05D2A">
            <w:pPr>
              <w:jc w:val="center"/>
              <w:rPr>
                <w:sz w:val="20"/>
                <w:szCs w:val="20"/>
              </w:rPr>
            </w:pPr>
          </w:p>
        </w:tc>
        <w:tc>
          <w:tcPr>
            <w:tcW w:w="190" w:type="dxa"/>
            <w:tcBorders>
              <w:top w:val="nil"/>
              <w:left w:val="nil"/>
              <w:bottom w:val="nil"/>
              <w:right w:val="nil"/>
            </w:tcBorders>
            <w:shd w:val="clear" w:color="auto" w:fill="auto"/>
            <w:vAlign w:val="center"/>
          </w:tcPr>
          <w:p w14:paraId="000000FD" w14:textId="77777777" w:rsidR="00E05D2A" w:rsidRDefault="00E05D2A">
            <w:pPr>
              <w:jc w:val="center"/>
              <w:rPr>
                <w:sz w:val="20"/>
                <w:szCs w:val="20"/>
              </w:rPr>
            </w:pPr>
          </w:p>
        </w:tc>
        <w:tc>
          <w:tcPr>
            <w:tcW w:w="1622" w:type="dxa"/>
            <w:tcBorders>
              <w:top w:val="nil"/>
              <w:left w:val="nil"/>
              <w:bottom w:val="nil"/>
              <w:right w:val="nil"/>
            </w:tcBorders>
            <w:shd w:val="clear" w:color="auto" w:fill="auto"/>
            <w:vAlign w:val="center"/>
          </w:tcPr>
          <w:p w14:paraId="000000FE" w14:textId="77777777" w:rsidR="00E05D2A" w:rsidRDefault="00E05D2A">
            <w:pPr>
              <w:jc w:val="center"/>
              <w:rPr>
                <w:sz w:val="20"/>
                <w:szCs w:val="20"/>
              </w:rPr>
            </w:pPr>
          </w:p>
        </w:tc>
        <w:tc>
          <w:tcPr>
            <w:tcW w:w="196" w:type="dxa"/>
            <w:gridSpan w:val="2"/>
            <w:tcBorders>
              <w:top w:val="nil"/>
              <w:left w:val="nil"/>
              <w:bottom w:val="nil"/>
              <w:right w:val="nil"/>
            </w:tcBorders>
            <w:shd w:val="clear" w:color="auto" w:fill="auto"/>
            <w:vAlign w:val="center"/>
          </w:tcPr>
          <w:p w14:paraId="000000FF" w14:textId="77777777" w:rsidR="00E05D2A" w:rsidRDefault="00E05D2A">
            <w:pPr>
              <w:jc w:val="center"/>
              <w:rPr>
                <w:sz w:val="20"/>
                <w:szCs w:val="20"/>
              </w:rPr>
            </w:pPr>
          </w:p>
        </w:tc>
        <w:tc>
          <w:tcPr>
            <w:tcW w:w="1275" w:type="dxa"/>
            <w:gridSpan w:val="2"/>
            <w:tcBorders>
              <w:top w:val="nil"/>
              <w:left w:val="nil"/>
              <w:bottom w:val="nil"/>
              <w:right w:val="nil"/>
            </w:tcBorders>
            <w:shd w:val="clear" w:color="auto" w:fill="auto"/>
            <w:vAlign w:val="center"/>
          </w:tcPr>
          <w:p w14:paraId="00000101" w14:textId="77777777" w:rsidR="00E05D2A" w:rsidRDefault="00E05D2A">
            <w:pPr>
              <w:jc w:val="center"/>
              <w:rPr>
                <w:sz w:val="20"/>
                <w:szCs w:val="20"/>
              </w:rPr>
            </w:pPr>
          </w:p>
        </w:tc>
      </w:tr>
      <w:tr w:rsidR="00E05D2A" w14:paraId="67A96946" w14:textId="77777777" w:rsidTr="00A37C93">
        <w:trPr>
          <w:gridAfter w:val="2"/>
          <w:wAfter w:w="60" w:type="dxa"/>
          <w:trHeight w:val="415"/>
          <w:jc w:val="center"/>
        </w:trPr>
        <w:tc>
          <w:tcPr>
            <w:tcW w:w="993" w:type="dxa"/>
            <w:vMerge w:val="restart"/>
            <w:tcBorders>
              <w:top w:val="nil"/>
              <w:left w:val="nil"/>
              <w:bottom w:val="nil"/>
              <w:right w:val="nil"/>
            </w:tcBorders>
            <w:shd w:val="clear" w:color="auto" w:fill="auto"/>
            <w:vAlign w:val="center"/>
          </w:tcPr>
          <w:p w14:paraId="00000103" w14:textId="77777777" w:rsidR="00E05D2A" w:rsidRDefault="007D47DC">
            <w:pPr>
              <w:jc w:val="center"/>
              <w:rPr>
                <w:color w:val="000000"/>
                <w:sz w:val="20"/>
                <w:szCs w:val="20"/>
              </w:rPr>
            </w:pPr>
            <w:r>
              <w:rPr>
                <w:color w:val="000000"/>
                <w:sz w:val="20"/>
                <w:szCs w:val="20"/>
              </w:rPr>
              <w:t>B</w:t>
            </w:r>
          </w:p>
        </w:tc>
        <w:tc>
          <w:tcPr>
            <w:tcW w:w="190" w:type="dxa"/>
            <w:tcBorders>
              <w:top w:val="nil"/>
              <w:left w:val="nil"/>
              <w:bottom w:val="nil"/>
              <w:right w:val="nil"/>
            </w:tcBorders>
            <w:shd w:val="clear" w:color="auto" w:fill="auto"/>
            <w:vAlign w:val="center"/>
          </w:tcPr>
          <w:p w14:paraId="00000104" w14:textId="77777777" w:rsidR="00E05D2A" w:rsidRDefault="00E05D2A">
            <w:pPr>
              <w:jc w:val="center"/>
              <w:rPr>
                <w:color w:val="000000"/>
                <w:sz w:val="20"/>
                <w:szCs w:val="20"/>
              </w:rPr>
            </w:pPr>
          </w:p>
        </w:tc>
        <w:tc>
          <w:tcPr>
            <w:tcW w:w="1259" w:type="dxa"/>
            <w:vMerge w:val="restart"/>
            <w:tcBorders>
              <w:top w:val="nil"/>
              <w:left w:val="nil"/>
              <w:bottom w:val="nil"/>
              <w:right w:val="nil"/>
            </w:tcBorders>
            <w:shd w:val="clear" w:color="auto" w:fill="auto"/>
            <w:vAlign w:val="center"/>
          </w:tcPr>
          <w:p w14:paraId="00000105" w14:textId="77777777" w:rsidR="00E05D2A" w:rsidRDefault="007D47DC">
            <w:pPr>
              <w:jc w:val="center"/>
              <w:rPr>
                <w:color w:val="000000"/>
                <w:sz w:val="20"/>
                <w:szCs w:val="20"/>
              </w:rPr>
            </w:pPr>
            <w:r>
              <w:rPr>
                <w:color w:val="000000"/>
                <w:sz w:val="20"/>
                <w:szCs w:val="20"/>
              </w:rPr>
              <w:t>Día</w:t>
            </w:r>
            <w:r>
              <w:rPr>
                <w:color w:val="000000"/>
                <w:sz w:val="20"/>
                <w:szCs w:val="20"/>
              </w:rPr>
              <w:br/>
              <w:t>o</w:t>
            </w:r>
            <w:r>
              <w:rPr>
                <w:color w:val="000000"/>
                <w:sz w:val="20"/>
                <w:szCs w:val="20"/>
              </w:rPr>
              <w:br/>
            </w:r>
            <w:proofErr w:type="spellStart"/>
            <w:r>
              <w:rPr>
                <w:color w:val="000000"/>
                <w:sz w:val="20"/>
                <w:szCs w:val="20"/>
              </w:rPr>
              <w:t>Mercadona</w:t>
            </w:r>
            <w:proofErr w:type="spellEnd"/>
          </w:p>
        </w:tc>
        <w:tc>
          <w:tcPr>
            <w:tcW w:w="190" w:type="dxa"/>
            <w:tcBorders>
              <w:top w:val="nil"/>
              <w:left w:val="nil"/>
              <w:bottom w:val="nil"/>
              <w:right w:val="nil"/>
            </w:tcBorders>
            <w:shd w:val="clear" w:color="auto" w:fill="auto"/>
            <w:vAlign w:val="center"/>
          </w:tcPr>
          <w:p w14:paraId="00000106" w14:textId="77777777" w:rsidR="00E05D2A" w:rsidRDefault="00E05D2A">
            <w:pPr>
              <w:jc w:val="center"/>
              <w:rPr>
                <w:color w:val="000000"/>
                <w:sz w:val="20"/>
                <w:szCs w:val="20"/>
              </w:rPr>
            </w:pPr>
          </w:p>
        </w:tc>
        <w:tc>
          <w:tcPr>
            <w:tcW w:w="863" w:type="dxa"/>
            <w:tcBorders>
              <w:top w:val="nil"/>
              <w:left w:val="nil"/>
              <w:bottom w:val="nil"/>
              <w:right w:val="nil"/>
            </w:tcBorders>
            <w:shd w:val="clear" w:color="auto" w:fill="auto"/>
            <w:vAlign w:val="center"/>
          </w:tcPr>
          <w:p w14:paraId="00000107" w14:textId="77777777" w:rsidR="00E05D2A" w:rsidRDefault="007D47DC">
            <w:pPr>
              <w:jc w:val="center"/>
              <w:rPr>
                <w:color w:val="000000"/>
                <w:sz w:val="20"/>
                <w:szCs w:val="20"/>
              </w:rPr>
            </w:pPr>
            <w:r>
              <w:rPr>
                <w:color w:val="000000"/>
                <w:sz w:val="20"/>
                <w:szCs w:val="20"/>
              </w:rPr>
              <w:t>Y</w:t>
            </w:r>
          </w:p>
        </w:tc>
        <w:tc>
          <w:tcPr>
            <w:tcW w:w="190" w:type="dxa"/>
            <w:tcBorders>
              <w:top w:val="nil"/>
              <w:left w:val="nil"/>
              <w:bottom w:val="nil"/>
              <w:right w:val="nil"/>
            </w:tcBorders>
            <w:shd w:val="clear" w:color="auto" w:fill="auto"/>
            <w:vAlign w:val="center"/>
          </w:tcPr>
          <w:p w14:paraId="00000108"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09" w14:textId="77777777" w:rsidR="00E05D2A" w:rsidRDefault="007D47DC">
            <w:pPr>
              <w:rPr>
                <w:color w:val="000000"/>
                <w:sz w:val="20"/>
                <w:szCs w:val="20"/>
              </w:rPr>
            </w:pPr>
            <w:r>
              <w:rPr>
                <w:color w:val="000000"/>
                <w:sz w:val="20"/>
                <w:szCs w:val="20"/>
              </w:rPr>
              <w:t>Cereal o café</w:t>
            </w:r>
          </w:p>
        </w:tc>
        <w:tc>
          <w:tcPr>
            <w:tcW w:w="190" w:type="dxa"/>
            <w:tcBorders>
              <w:top w:val="nil"/>
              <w:left w:val="nil"/>
              <w:bottom w:val="nil"/>
              <w:right w:val="nil"/>
            </w:tcBorders>
            <w:shd w:val="clear" w:color="auto" w:fill="auto"/>
            <w:vAlign w:val="center"/>
          </w:tcPr>
          <w:p w14:paraId="0000010B"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0C"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0D"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0F" w14:textId="77777777" w:rsidR="00E05D2A" w:rsidRDefault="007D47DC">
            <w:pPr>
              <w:rPr>
                <w:color w:val="000000"/>
                <w:sz w:val="20"/>
                <w:szCs w:val="20"/>
              </w:rPr>
            </w:pPr>
            <w:r>
              <w:rPr>
                <w:color w:val="000000"/>
                <w:sz w:val="20"/>
                <w:szCs w:val="20"/>
              </w:rPr>
              <w:t>0%</w:t>
            </w:r>
          </w:p>
        </w:tc>
      </w:tr>
      <w:tr w:rsidR="00E05D2A" w14:paraId="69388EB3" w14:textId="77777777" w:rsidTr="00A37C93">
        <w:trPr>
          <w:gridAfter w:val="2"/>
          <w:wAfter w:w="60" w:type="dxa"/>
          <w:trHeight w:val="415"/>
          <w:jc w:val="center"/>
        </w:trPr>
        <w:tc>
          <w:tcPr>
            <w:tcW w:w="993" w:type="dxa"/>
            <w:vMerge/>
            <w:tcBorders>
              <w:top w:val="nil"/>
              <w:left w:val="nil"/>
              <w:bottom w:val="nil"/>
              <w:right w:val="nil"/>
            </w:tcBorders>
            <w:shd w:val="clear" w:color="auto" w:fill="auto"/>
            <w:vAlign w:val="center"/>
          </w:tcPr>
          <w:p w14:paraId="00000111"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2" w14:textId="77777777" w:rsidR="00E05D2A" w:rsidRDefault="00E05D2A">
            <w:pPr>
              <w:rPr>
                <w:color w:val="000000"/>
                <w:sz w:val="20"/>
                <w:szCs w:val="20"/>
              </w:rPr>
            </w:pPr>
          </w:p>
        </w:tc>
        <w:tc>
          <w:tcPr>
            <w:tcW w:w="1259" w:type="dxa"/>
            <w:vMerge/>
            <w:tcBorders>
              <w:top w:val="nil"/>
              <w:left w:val="nil"/>
              <w:bottom w:val="nil"/>
              <w:right w:val="nil"/>
            </w:tcBorders>
            <w:shd w:val="clear" w:color="auto" w:fill="auto"/>
            <w:vAlign w:val="center"/>
          </w:tcPr>
          <w:p w14:paraId="00000113" w14:textId="77777777" w:rsidR="00E05D2A" w:rsidRDefault="00E05D2A">
            <w:pPr>
              <w:widowControl w:val="0"/>
              <w:pBdr>
                <w:top w:val="nil"/>
                <w:left w:val="nil"/>
                <w:bottom w:val="nil"/>
                <w:right w:val="nil"/>
                <w:between w:val="nil"/>
              </w:pBdr>
              <w:spacing w:line="276" w:lineRule="auto"/>
              <w:rPr>
                <w:color w:val="000000"/>
                <w:sz w:val="20"/>
                <w:szCs w:val="20"/>
              </w:rPr>
            </w:pPr>
          </w:p>
        </w:tc>
        <w:tc>
          <w:tcPr>
            <w:tcW w:w="190" w:type="dxa"/>
            <w:tcBorders>
              <w:top w:val="nil"/>
              <w:left w:val="nil"/>
              <w:bottom w:val="nil"/>
              <w:right w:val="nil"/>
            </w:tcBorders>
            <w:shd w:val="clear" w:color="auto" w:fill="auto"/>
            <w:vAlign w:val="center"/>
          </w:tcPr>
          <w:p w14:paraId="00000114" w14:textId="77777777" w:rsidR="00E05D2A" w:rsidRDefault="00E05D2A">
            <w:pPr>
              <w:rPr>
                <w:sz w:val="20"/>
                <w:szCs w:val="20"/>
              </w:rPr>
            </w:pPr>
          </w:p>
        </w:tc>
        <w:tc>
          <w:tcPr>
            <w:tcW w:w="863" w:type="dxa"/>
            <w:tcBorders>
              <w:top w:val="nil"/>
              <w:left w:val="nil"/>
              <w:bottom w:val="nil"/>
              <w:right w:val="nil"/>
            </w:tcBorders>
            <w:shd w:val="clear" w:color="auto" w:fill="auto"/>
            <w:vAlign w:val="center"/>
          </w:tcPr>
          <w:p w14:paraId="00000115" w14:textId="77777777" w:rsidR="00E05D2A" w:rsidRDefault="007D47DC">
            <w:pPr>
              <w:jc w:val="center"/>
              <w:rPr>
                <w:color w:val="000000"/>
                <w:sz w:val="20"/>
                <w:szCs w:val="20"/>
              </w:rPr>
            </w:pPr>
            <w:r>
              <w:rPr>
                <w:color w:val="000000"/>
                <w:sz w:val="20"/>
                <w:szCs w:val="20"/>
              </w:rPr>
              <w:t>F2</w:t>
            </w:r>
          </w:p>
        </w:tc>
        <w:tc>
          <w:tcPr>
            <w:tcW w:w="190" w:type="dxa"/>
            <w:tcBorders>
              <w:top w:val="nil"/>
              <w:left w:val="nil"/>
              <w:bottom w:val="nil"/>
              <w:right w:val="nil"/>
            </w:tcBorders>
            <w:shd w:val="clear" w:color="auto" w:fill="auto"/>
            <w:vAlign w:val="center"/>
          </w:tcPr>
          <w:p w14:paraId="00000116" w14:textId="77777777" w:rsidR="00E05D2A" w:rsidRDefault="00E05D2A">
            <w:pPr>
              <w:jc w:val="center"/>
              <w:rPr>
                <w:color w:val="000000"/>
                <w:sz w:val="20"/>
                <w:szCs w:val="20"/>
              </w:rPr>
            </w:pPr>
          </w:p>
        </w:tc>
        <w:tc>
          <w:tcPr>
            <w:tcW w:w="1993" w:type="dxa"/>
            <w:gridSpan w:val="2"/>
            <w:tcBorders>
              <w:top w:val="nil"/>
              <w:left w:val="nil"/>
              <w:bottom w:val="nil"/>
              <w:right w:val="nil"/>
            </w:tcBorders>
            <w:shd w:val="clear" w:color="auto" w:fill="auto"/>
            <w:vAlign w:val="center"/>
          </w:tcPr>
          <w:p w14:paraId="00000117" w14:textId="77777777" w:rsidR="00E05D2A" w:rsidRDefault="007D47DC">
            <w:pPr>
              <w:rPr>
                <w:color w:val="000000"/>
                <w:sz w:val="20"/>
                <w:szCs w:val="20"/>
              </w:rPr>
            </w:pPr>
            <w:r>
              <w:rPr>
                <w:color w:val="000000"/>
                <w:sz w:val="20"/>
                <w:szCs w:val="20"/>
              </w:rPr>
              <w:t>Azúcar</w:t>
            </w:r>
          </w:p>
        </w:tc>
        <w:tc>
          <w:tcPr>
            <w:tcW w:w="190" w:type="dxa"/>
            <w:tcBorders>
              <w:top w:val="nil"/>
              <w:left w:val="nil"/>
              <w:bottom w:val="nil"/>
              <w:right w:val="nil"/>
            </w:tcBorders>
            <w:shd w:val="clear" w:color="auto" w:fill="auto"/>
            <w:vAlign w:val="center"/>
          </w:tcPr>
          <w:p w14:paraId="00000119" w14:textId="77777777" w:rsidR="00E05D2A" w:rsidRDefault="00E05D2A">
            <w:pPr>
              <w:rPr>
                <w:color w:val="000000"/>
                <w:sz w:val="20"/>
                <w:szCs w:val="20"/>
              </w:rPr>
            </w:pPr>
          </w:p>
        </w:tc>
        <w:tc>
          <w:tcPr>
            <w:tcW w:w="1622" w:type="dxa"/>
            <w:tcBorders>
              <w:top w:val="nil"/>
              <w:left w:val="nil"/>
              <w:bottom w:val="nil"/>
              <w:right w:val="nil"/>
            </w:tcBorders>
            <w:shd w:val="clear" w:color="auto" w:fill="auto"/>
            <w:vAlign w:val="center"/>
          </w:tcPr>
          <w:p w14:paraId="0000011A" w14:textId="77777777" w:rsidR="00E05D2A" w:rsidRDefault="007D47DC">
            <w:pPr>
              <w:rPr>
                <w:color w:val="000000"/>
                <w:sz w:val="20"/>
                <w:szCs w:val="20"/>
              </w:rPr>
            </w:pPr>
            <w:r>
              <w:rPr>
                <w:color w:val="000000"/>
                <w:sz w:val="20"/>
                <w:szCs w:val="20"/>
              </w:rPr>
              <w:t>Sin descuento</w:t>
            </w:r>
          </w:p>
        </w:tc>
        <w:tc>
          <w:tcPr>
            <w:tcW w:w="196" w:type="dxa"/>
            <w:gridSpan w:val="2"/>
            <w:tcBorders>
              <w:top w:val="nil"/>
              <w:left w:val="nil"/>
              <w:bottom w:val="nil"/>
              <w:right w:val="nil"/>
            </w:tcBorders>
            <w:shd w:val="clear" w:color="auto" w:fill="auto"/>
            <w:vAlign w:val="center"/>
          </w:tcPr>
          <w:p w14:paraId="0000011B" w14:textId="77777777" w:rsidR="00E05D2A" w:rsidRDefault="00E05D2A">
            <w:pPr>
              <w:rPr>
                <w:color w:val="000000"/>
                <w:sz w:val="20"/>
                <w:szCs w:val="20"/>
              </w:rPr>
            </w:pPr>
          </w:p>
        </w:tc>
        <w:tc>
          <w:tcPr>
            <w:tcW w:w="1275" w:type="dxa"/>
            <w:gridSpan w:val="2"/>
            <w:tcBorders>
              <w:top w:val="nil"/>
              <w:left w:val="nil"/>
              <w:bottom w:val="nil"/>
              <w:right w:val="nil"/>
            </w:tcBorders>
            <w:shd w:val="clear" w:color="auto" w:fill="auto"/>
            <w:vAlign w:val="center"/>
          </w:tcPr>
          <w:p w14:paraId="0000011D" w14:textId="77777777" w:rsidR="00E05D2A" w:rsidRDefault="007D47DC">
            <w:pPr>
              <w:rPr>
                <w:color w:val="000000"/>
                <w:sz w:val="20"/>
                <w:szCs w:val="20"/>
              </w:rPr>
            </w:pPr>
            <w:r>
              <w:rPr>
                <w:color w:val="000000"/>
                <w:sz w:val="20"/>
                <w:szCs w:val="20"/>
              </w:rPr>
              <w:t>0%</w:t>
            </w:r>
          </w:p>
        </w:tc>
      </w:tr>
      <w:tr w:rsidR="00E05D2A" w14:paraId="39C754ED" w14:textId="77777777" w:rsidTr="00A37C93">
        <w:trPr>
          <w:gridAfter w:val="2"/>
          <w:wAfter w:w="60" w:type="dxa"/>
          <w:trHeight w:val="294"/>
          <w:jc w:val="center"/>
        </w:trPr>
        <w:tc>
          <w:tcPr>
            <w:tcW w:w="993" w:type="dxa"/>
            <w:tcBorders>
              <w:top w:val="nil"/>
              <w:left w:val="nil"/>
              <w:bottom w:val="single" w:sz="4" w:space="0" w:color="000000"/>
              <w:right w:val="nil"/>
            </w:tcBorders>
            <w:shd w:val="clear" w:color="auto" w:fill="auto"/>
            <w:vAlign w:val="center"/>
          </w:tcPr>
          <w:p w14:paraId="0000011F"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0" w14:textId="77777777" w:rsidR="00E05D2A" w:rsidRDefault="007D47DC">
            <w:pPr>
              <w:jc w:val="center"/>
              <w:rPr>
                <w:color w:val="000000"/>
                <w:sz w:val="20"/>
                <w:szCs w:val="20"/>
              </w:rPr>
            </w:pPr>
            <w:r>
              <w:rPr>
                <w:color w:val="000000"/>
                <w:sz w:val="20"/>
                <w:szCs w:val="20"/>
              </w:rPr>
              <w:t> </w:t>
            </w:r>
          </w:p>
        </w:tc>
        <w:tc>
          <w:tcPr>
            <w:tcW w:w="1259" w:type="dxa"/>
            <w:tcBorders>
              <w:top w:val="nil"/>
              <w:left w:val="nil"/>
              <w:bottom w:val="single" w:sz="4" w:space="0" w:color="000000"/>
              <w:right w:val="nil"/>
            </w:tcBorders>
            <w:shd w:val="clear" w:color="auto" w:fill="auto"/>
            <w:vAlign w:val="center"/>
          </w:tcPr>
          <w:p w14:paraId="00000121"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2" w14:textId="77777777" w:rsidR="00E05D2A" w:rsidRDefault="007D47DC">
            <w:pPr>
              <w:jc w:val="center"/>
              <w:rPr>
                <w:color w:val="000000"/>
                <w:sz w:val="20"/>
                <w:szCs w:val="20"/>
              </w:rPr>
            </w:pPr>
            <w:r>
              <w:rPr>
                <w:color w:val="000000"/>
                <w:sz w:val="20"/>
                <w:szCs w:val="20"/>
              </w:rPr>
              <w:t> </w:t>
            </w:r>
          </w:p>
        </w:tc>
        <w:tc>
          <w:tcPr>
            <w:tcW w:w="863" w:type="dxa"/>
            <w:tcBorders>
              <w:top w:val="nil"/>
              <w:left w:val="nil"/>
              <w:bottom w:val="single" w:sz="4" w:space="0" w:color="000000"/>
              <w:right w:val="nil"/>
            </w:tcBorders>
            <w:shd w:val="clear" w:color="auto" w:fill="auto"/>
            <w:vAlign w:val="center"/>
          </w:tcPr>
          <w:p w14:paraId="00000123"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4" w14:textId="77777777" w:rsidR="00E05D2A" w:rsidRDefault="007D47DC">
            <w:pPr>
              <w:jc w:val="center"/>
              <w:rPr>
                <w:color w:val="000000"/>
                <w:sz w:val="20"/>
                <w:szCs w:val="20"/>
              </w:rPr>
            </w:pPr>
            <w:r>
              <w:rPr>
                <w:color w:val="000000"/>
                <w:sz w:val="20"/>
                <w:szCs w:val="20"/>
              </w:rPr>
              <w:t> </w:t>
            </w:r>
          </w:p>
        </w:tc>
        <w:tc>
          <w:tcPr>
            <w:tcW w:w="1993" w:type="dxa"/>
            <w:gridSpan w:val="2"/>
            <w:tcBorders>
              <w:top w:val="nil"/>
              <w:left w:val="nil"/>
              <w:bottom w:val="single" w:sz="4" w:space="0" w:color="000000"/>
              <w:right w:val="nil"/>
            </w:tcBorders>
            <w:shd w:val="clear" w:color="auto" w:fill="auto"/>
            <w:vAlign w:val="center"/>
          </w:tcPr>
          <w:p w14:paraId="00000125" w14:textId="77777777" w:rsidR="00E05D2A" w:rsidRDefault="007D47DC">
            <w:pPr>
              <w:jc w:val="center"/>
              <w:rPr>
                <w:color w:val="000000"/>
                <w:sz w:val="20"/>
                <w:szCs w:val="20"/>
              </w:rPr>
            </w:pPr>
            <w:r>
              <w:rPr>
                <w:color w:val="000000"/>
                <w:sz w:val="20"/>
                <w:szCs w:val="20"/>
              </w:rPr>
              <w:t> </w:t>
            </w:r>
          </w:p>
        </w:tc>
        <w:tc>
          <w:tcPr>
            <w:tcW w:w="190" w:type="dxa"/>
            <w:tcBorders>
              <w:top w:val="nil"/>
              <w:left w:val="nil"/>
              <w:bottom w:val="single" w:sz="4" w:space="0" w:color="000000"/>
              <w:right w:val="nil"/>
            </w:tcBorders>
            <w:shd w:val="clear" w:color="auto" w:fill="auto"/>
            <w:vAlign w:val="center"/>
          </w:tcPr>
          <w:p w14:paraId="00000127" w14:textId="77777777" w:rsidR="00E05D2A" w:rsidRDefault="007D47DC">
            <w:pPr>
              <w:jc w:val="center"/>
              <w:rPr>
                <w:color w:val="000000"/>
                <w:sz w:val="20"/>
                <w:szCs w:val="20"/>
              </w:rPr>
            </w:pPr>
            <w:r>
              <w:rPr>
                <w:color w:val="000000"/>
                <w:sz w:val="20"/>
                <w:szCs w:val="20"/>
              </w:rPr>
              <w:t> </w:t>
            </w:r>
          </w:p>
        </w:tc>
        <w:tc>
          <w:tcPr>
            <w:tcW w:w="1622" w:type="dxa"/>
            <w:tcBorders>
              <w:top w:val="nil"/>
              <w:left w:val="nil"/>
              <w:bottom w:val="single" w:sz="4" w:space="0" w:color="000000"/>
              <w:right w:val="nil"/>
            </w:tcBorders>
            <w:shd w:val="clear" w:color="auto" w:fill="auto"/>
            <w:vAlign w:val="center"/>
          </w:tcPr>
          <w:p w14:paraId="00000128" w14:textId="77777777" w:rsidR="00E05D2A" w:rsidRDefault="007D47DC">
            <w:pPr>
              <w:jc w:val="center"/>
              <w:rPr>
                <w:color w:val="000000"/>
                <w:sz w:val="20"/>
                <w:szCs w:val="20"/>
              </w:rPr>
            </w:pPr>
            <w:r>
              <w:rPr>
                <w:color w:val="000000"/>
                <w:sz w:val="20"/>
                <w:szCs w:val="20"/>
              </w:rPr>
              <w:t> </w:t>
            </w:r>
          </w:p>
        </w:tc>
        <w:tc>
          <w:tcPr>
            <w:tcW w:w="196" w:type="dxa"/>
            <w:gridSpan w:val="2"/>
            <w:tcBorders>
              <w:top w:val="nil"/>
              <w:left w:val="nil"/>
              <w:bottom w:val="single" w:sz="4" w:space="0" w:color="000000"/>
              <w:right w:val="nil"/>
            </w:tcBorders>
            <w:shd w:val="clear" w:color="auto" w:fill="auto"/>
            <w:vAlign w:val="center"/>
          </w:tcPr>
          <w:p w14:paraId="00000129" w14:textId="77777777" w:rsidR="00E05D2A" w:rsidRDefault="007D47DC">
            <w:pPr>
              <w:jc w:val="center"/>
              <w:rPr>
                <w:color w:val="000000"/>
                <w:sz w:val="20"/>
                <w:szCs w:val="20"/>
              </w:rPr>
            </w:pPr>
            <w:r>
              <w:rPr>
                <w:color w:val="000000"/>
                <w:sz w:val="20"/>
                <w:szCs w:val="20"/>
              </w:rPr>
              <w:t> </w:t>
            </w:r>
          </w:p>
        </w:tc>
        <w:tc>
          <w:tcPr>
            <w:tcW w:w="1275" w:type="dxa"/>
            <w:gridSpan w:val="2"/>
            <w:tcBorders>
              <w:top w:val="nil"/>
              <w:left w:val="nil"/>
              <w:bottom w:val="single" w:sz="4" w:space="0" w:color="000000"/>
              <w:right w:val="nil"/>
            </w:tcBorders>
            <w:shd w:val="clear" w:color="auto" w:fill="auto"/>
            <w:vAlign w:val="center"/>
          </w:tcPr>
          <w:p w14:paraId="0000012B" w14:textId="77777777" w:rsidR="00E05D2A" w:rsidRDefault="007D47DC">
            <w:pPr>
              <w:jc w:val="center"/>
              <w:rPr>
                <w:color w:val="000000"/>
                <w:sz w:val="20"/>
                <w:szCs w:val="20"/>
              </w:rPr>
            </w:pPr>
            <w:r>
              <w:rPr>
                <w:color w:val="000000"/>
                <w:sz w:val="20"/>
                <w:szCs w:val="20"/>
              </w:rPr>
              <w:t> </w:t>
            </w:r>
          </w:p>
        </w:tc>
      </w:tr>
    </w:tbl>
    <w:p w14:paraId="0000012D" w14:textId="77777777" w:rsidR="00E05D2A" w:rsidRDefault="00E05D2A">
      <w:pPr>
        <w:pBdr>
          <w:top w:val="nil"/>
          <w:left w:val="nil"/>
          <w:bottom w:val="nil"/>
          <w:right w:val="nil"/>
          <w:between w:val="nil"/>
        </w:pBdr>
        <w:spacing w:line="360" w:lineRule="auto"/>
        <w:rPr>
          <w:i/>
          <w:color w:val="000000"/>
          <w:sz w:val="20"/>
          <w:szCs w:val="20"/>
        </w:rPr>
      </w:pPr>
    </w:p>
    <w:p w14:paraId="0000012E" w14:textId="6439EE8A" w:rsidR="00E05D2A" w:rsidRDefault="007D47DC">
      <w:pPr>
        <w:pBdr>
          <w:top w:val="nil"/>
          <w:left w:val="nil"/>
          <w:bottom w:val="nil"/>
          <w:right w:val="nil"/>
          <w:between w:val="nil"/>
        </w:pBdr>
        <w:spacing w:line="360" w:lineRule="auto"/>
        <w:rPr>
          <w:color w:val="000000"/>
          <w:sz w:val="20"/>
          <w:szCs w:val="20"/>
        </w:rPr>
      </w:pPr>
      <w:r>
        <w:rPr>
          <w:i/>
          <w:color w:val="000000"/>
          <w:sz w:val="20"/>
          <w:szCs w:val="20"/>
        </w:rPr>
        <w:t>Nota.</w:t>
      </w:r>
      <w:r>
        <w:rPr>
          <w:color w:val="000000"/>
          <w:sz w:val="20"/>
          <w:szCs w:val="20"/>
        </w:rPr>
        <w:t xml:space="preserve"> A y B: dos contextos físicamente diferentes pero relacionados (supermercado y </w:t>
      </w:r>
      <w:proofErr w:type="spellStart"/>
      <w:r>
        <w:rPr>
          <w:i/>
          <w:color w:val="000000"/>
          <w:sz w:val="20"/>
          <w:szCs w:val="20"/>
        </w:rPr>
        <w:t>hard</w:t>
      </w:r>
      <w:proofErr w:type="spellEnd"/>
      <w:r>
        <w:rPr>
          <w:i/>
          <w:color w:val="000000"/>
          <w:sz w:val="20"/>
          <w:szCs w:val="20"/>
        </w:rPr>
        <w:t xml:space="preserve"> </w:t>
      </w:r>
      <w:proofErr w:type="spellStart"/>
      <w:r>
        <w:rPr>
          <w:i/>
          <w:color w:val="000000"/>
          <w:sz w:val="20"/>
          <w:szCs w:val="20"/>
        </w:rPr>
        <w:t>discount</w:t>
      </w:r>
      <w:proofErr w:type="spellEnd"/>
      <w:r>
        <w:rPr>
          <w:color w:val="000000"/>
          <w:sz w:val="20"/>
          <w:szCs w:val="20"/>
        </w:rPr>
        <w:t>), contrabalanceados entre participantes. Los productos clave fueron: X, Y (café en polvo, caja de cereal) y Z (margarina en barra, paquete de galletas) que también fueron contrabalanceados entre participantes. F1 y F2: productos de control (salsa de tomate y azúcar, respectivamente). El número entre paréntesis antes de cada letra en el diseño, indica el número de repeticiones de ese producto en el contexto de entrenamiento que fue presentado a cada participante. Para el caso del producto con valor diferencial de descuento (X), se aplicó refuerzo parcial durante la fase de entrenamiento presentándolo 36 veces (12 veces con cada descuento: 50%, 30%, 0%); en el caso del producto</w:t>
      </w:r>
      <w:r w:rsidR="00634CC2">
        <w:rPr>
          <w:color w:val="000000"/>
          <w:sz w:val="20"/>
          <w:szCs w:val="20"/>
        </w:rPr>
        <w:t xml:space="preserve"> con valor fijo de descuento</w:t>
      </w:r>
      <w:r>
        <w:rPr>
          <w:color w:val="000000"/>
          <w:sz w:val="20"/>
          <w:szCs w:val="20"/>
        </w:rPr>
        <w:t xml:space="preserve"> </w:t>
      </w:r>
      <w:r w:rsidR="00634CC2">
        <w:rPr>
          <w:color w:val="000000"/>
          <w:sz w:val="20"/>
          <w:szCs w:val="20"/>
        </w:rPr>
        <w:t>(</w:t>
      </w:r>
      <w:r>
        <w:rPr>
          <w:color w:val="000000"/>
          <w:sz w:val="20"/>
          <w:szCs w:val="20"/>
        </w:rPr>
        <w:t>Z</w:t>
      </w:r>
      <w:r w:rsidR="00634CC2">
        <w:rPr>
          <w:color w:val="000000"/>
          <w:sz w:val="20"/>
          <w:szCs w:val="20"/>
        </w:rPr>
        <w:t>)</w:t>
      </w:r>
      <w:r>
        <w:rPr>
          <w:color w:val="000000"/>
          <w:sz w:val="20"/>
          <w:szCs w:val="20"/>
        </w:rPr>
        <w:t>, se aplicó refuerzo continuo al presentarlo durante la fase de entrenamiento 12 veces asociado siempre al 30% de descuento. La mitad de los participantes fueron expuestos a los productos en los contextos siguiendo el orden de bloques de presentación ABBAAB, y la otra mitad el orden de bloques de presentación BAABBA. En la fase de prueba, los tres productos clave fueron presentados en el mismo contexto de aprendizaje y en el contexto diferente, una vez cada uno, sin información de descuento asociado.</w:t>
      </w:r>
    </w:p>
    <w:p w14:paraId="646D91E9" w14:textId="77777777" w:rsidR="00EE0951" w:rsidRDefault="00EE0951">
      <w:pPr>
        <w:pBdr>
          <w:top w:val="nil"/>
          <w:left w:val="nil"/>
          <w:bottom w:val="nil"/>
          <w:right w:val="nil"/>
          <w:between w:val="nil"/>
        </w:pBdr>
        <w:spacing w:line="360" w:lineRule="auto"/>
        <w:rPr>
          <w:b/>
          <w:i/>
          <w:color w:val="000000"/>
        </w:rPr>
      </w:pPr>
    </w:p>
    <w:p w14:paraId="0000012F" w14:textId="2490DCA6" w:rsidR="00E05D2A" w:rsidRDefault="007D47DC">
      <w:pPr>
        <w:pBdr>
          <w:top w:val="nil"/>
          <w:left w:val="nil"/>
          <w:bottom w:val="nil"/>
          <w:right w:val="nil"/>
          <w:between w:val="nil"/>
        </w:pBdr>
        <w:spacing w:line="360" w:lineRule="auto"/>
        <w:rPr>
          <w:b/>
          <w:i/>
          <w:color w:val="000000"/>
        </w:rPr>
      </w:pPr>
      <w:r>
        <w:rPr>
          <w:b/>
          <w:i/>
          <w:color w:val="000000"/>
        </w:rPr>
        <w:lastRenderedPageBreak/>
        <w:t xml:space="preserve">Materiales y aparatos </w:t>
      </w:r>
    </w:p>
    <w:p w14:paraId="00000130" w14:textId="77777777" w:rsidR="00E05D2A" w:rsidRDefault="007D47DC">
      <w:pPr>
        <w:pBdr>
          <w:top w:val="nil"/>
          <w:left w:val="nil"/>
          <w:bottom w:val="nil"/>
          <w:right w:val="nil"/>
          <w:between w:val="nil"/>
        </w:pBdr>
        <w:spacing w:line="360" w:lineRule="auto"/>
        <w:rPr>
          <w:i/>
          <w:color w:val="000000"/>
        </w:rPr>
      </w:pPr>
      <w:r>
        <w:rPr>
          <w:i/>
          <w:color w:val="000000"/>
        </w:rPr>
        <w:t>Salas</w:t>
      </w:r>
    </w:p>
    <w:p w14:paraId="00000131"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Los participantes realizaron la tarea en una sala equipada con un PC conectado a una pantalla de 22’’ con resolución de 1920 x 1080 pixeles para la presentación del experimento. En esta sala las condiciones de luz y temperatura se mantuvieron estándar para todos los participantes. Otra sala estaba equipada con un ordenador para el registro de las respuestas conductuales. Para programar, conducir y registrar las respuestas del experimento se utilizó el software E-Prime 2.0 versión profesional (Taylor &amp; </w:t>
      </w:r>
      <w:proofErr w:type="spellStart"/>
      <w:r>
        <w:rPr>
          <w:color w:val="000000"/>
        </w:rPr>
        <w:t>Marsh</w:t>
      </w:r>
      <w:proofErr w:type="spellEnd"/>
      <w:r>
        <w:rPr>
          <w:color w:val="000000"/>
        </w:rPr>
        <w:t>, 2017).</w:t>
      </w:r>
    </w:p>
    <w:p w14:paraId="00000132" w14:textId="77777777" w:rsidR="00E05D2A" w:rsidRDefault="00E05D2A">
      <w:pPr>
        <w:pBdr>
          <w:top w:val="nil"/>
          <w:left w:val="nil"/>
          <w:bottom w:val="nil"/>
          <w:right w:val="nil"/>
          <w:between w:val="nil"/>
        </w:pBdr>
        <w:spacing w:line="360" w:lineRule="auto"/>
        <w:rPr>
          <w:i/>
          <w:color w:val="000000"/>
        </w:rPr>
      </w:pPr>
    </w:p>
    <w:p w14:paraId="00000133" w14:textId="77777777" w:rsidR="00E05D2A" w:rsidRDefault="007D47DC">
      <w:pPr>
        <w:pBdr>
          <w:top w:val="nil"/>
          <w:left w:val="nil"/>
          <w:bottom w:val="nil"/>
          <w:right w:val="nil"/>
          <w:between w:val="nil"/>
        </w:pBdr>
        <w:spacing w:line="360" w:lineRule="auto"/>
        <w:rPr>
          <w:i/>
          <w:color w:val="000000"/>
        </w:rPr>
      </w:pPr>
      <w:r>
        <w:rPr>
          <w:i/>
          <w:color w:val="000000"/>
        </w:rPr>
        <w:t>Estímulos</w:t>
      </w:r>
    </w:p>
    <w:p w14:paraId="00000134"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Como estímulos se utilizaron 6 imágenes de productos alimenticios pertenecientes a la canasta familiar colombiana (café, azúcar, cereal, mantequilla, salsa de tomate y galletas). Como descuento se crearon 3 imágenes compuestas por una etiqueta con una cantidad escrita en porcentaje (50%, 30%, 0%) que representaría el descuento asociado a cada producto. Como contextos se utilizaron 2 imágenes de tiendas en donde podrían encontrarse los productos seleccionados (contexto A y contexto B). Todas las imágenes fueron composiciones hechas entre los contextos y los productos según correspondía con el diseño experimental, mediante el software Adobe Photoshop CC </w:t>
      </w:r>
      <w:proofErr w:type="spellStart"/>
      <w:r>
        <w:rPr>
          <w:color w:val="000000"/>
        </w:rPr>
        <w:t>Latest</w:t>
      </w:r>
      <w:proofErr w:type="spellEnd"/>
      <w:r>
        <w:rPr>
          <w:color w:val="000000"/>
        </w:rPr>
        <w:t xml:space="preserve"> (ver figura 1).</w:t>
      </w:r>
    </w:p>
    <w:p w14:paraId="00000135" w14:textId="45C1C305" w:rsidR="00E05D2A" w:rsidRDefault="007D47DC">
      <w:pPr>
        <w:pBdr>
          <w:top w:val="nil"/>
          <w:left w:val="nil"/>
          <w:bottom w:val="nil"/>
          <w:right w:val="nil"/>
          <w:between w:val="nil"/>
        </w:pBdr>
        <w:spacing w:line="360" w:lineRule="auto"/>
        <w:ind w:firstLine="708"/>
        <w:rPr>
          <w:color w:val="000000"/>
        </w:rPr>
      </w:pPr>
      <w:r>
        <w:rPr>
          <w:color w:val="000000"/>
        </w:rPr>
        <w:t xml:space="preserve">Cada ensayo comenzaba con el nombre aleatorio de un cliente hasta que el participante pulsaba en el botón de continuar. A continuación, aparecía la pantalla de presentación del producto en un contexto durante 3000 ms. Transcurrido el tiempo de presentación, se procedía con la emisión del juicio predictivo de compra cuando aparecía la escala en el que se le indicaba al participante en un escrito “Haz </w:t>
      </w:r>
      <w:proofErr w:type="spellStart"/>
      <w:r>
        <w:rPr>
          <w:color w:val="000000"/>
        </w:rPr>
        <w:t>click</w:t>
      </w:r>
      <w:proofErr w:type="spellEnd"/>
      <w:r>
        <w:rPr>
          <w:color w:val="000000"/>
        </w:rPr>
        <w:t xml:space="preserve"> con el ratón sobre la escala para indicar la probabilidad de que el cliente compre el producto”</w:t>
      </w:r>
      <w:r>
        <w:rPr>
          <w:i/>
          <w:color w:val="000000"/>
        </w:rPr>
        <w:t xml:space="preserve">. </w:t>
      </w:r>
      <w:r>
        <w:rPr>
          <w:color w:val="000000"/>
        </w:rPr>
        <w:t>Debajo de esta frase aparecía una escala de 0 a 100, compuesta por 21 botones de color verde. Cada botón contenía un número de la escala a intervalos de 5 puntos. En la parte superior de la escala, y de manera equidistante, aparecían cuatro etiquetas:</w:t>
      </w:r>
      <w:r>
        <w:rPr>
          <w:i/>
          <w:color w:val="000000"/>
        </w:rPr>
        <w:t xml:space="preserve"> nada, poco, bastante, </w:t>
      </w:r>
      <w:r>
        <w:rPr>
          <w:color w:val="000000"/>
        </w:rPr>
        <w:t xml:space="preserve">y </w:t>
      </w:r>
      <w:r>
        <w:rPr>
          <w:i/>
          <w:color w:val="000000"/>
        </w:rPr>
        <w:t xml:space="preserve">mucho, </w:t>
      </w:r>
      <w:r>
        <w:rPr>
          <w:color w:val="000000"/>
        </w:rPr>
        <w:t xml:space="preserve">escritas en color negro. La escala correspondió a la adaptación de la utilizada por </w:t>
      </w:r>
      <w:proofErr w:type="spellStart"/>
      <w:r>
        <w:rPr>
          <w:color w:val="000000"/>
        </w:rPr>
        <w:t>A</w:t>
      </w:r>
      <w:r w:rsidR="00073288">
        <w:rPr>
          <w:color w:val="000000"/>
        </w:rPr>
        <w:t>ristizabal</w:t>
      </w:r>
      <w:proofErr w:type="spellEnd"/>
      <w:r>
        <w:rPr>
          <w:color w:val="000000"/>
        </w:rPr>
        <w:t>, et al. (2017);</w:t>
      </w:r>
      <w:r w:rsidR="00E173D5">
        <w:rPr>
          <w:color w:val="000000"/>
        </w:rPr>
        <w:t xml:space="preserve"> </w:t>
      </w:r>
      <w:r>
        <w:rPr>
          <w:color w:val="000000"/>
        </w:rPr>
        <w:t xml:space="preserve">Balea et al. (2020); León et al. (2011) y </w:t>
      </w:r>
      <w:proofErr w:type="spellStart"/>
      <w:r>
        <w:rPr>
          <w:color w:val="000000"/>
        </w:rPr>
        <w:t>Ogallar</w:t>
      </w:r>
      <w:proofErr w:type="spellEnd"/>
      <w:r>
        <w:rPr>
          <w:color w:val="000000"/>
        </w:rPr>
        <w:t xml:space="preserve"> et al. (2019). Una vez el participante respondía, aparecía el resultado (descuento) con una duración de 3000 ms.</w:t>
      </w:r>
    </w:p>
    <w:p w14:paraId="00000136" w14:textId="77777777" w:rsidR="00E05D2A" w:rsidRDefault="007D47DC">
      <w:pPr>
        <w:pBdr>
          <w:top w:val="nil"/>
          <w:left w:val="nil"/>
          <w:bottom w:val="nil"/>
          <w:right w:val="nil"/>
          <w:between w:val="nil"/>
        </w:pBdr>
        <w:spacing w:before="240" w:line="360" w:lineRule="auto"/>
        <w:rPr>
          <w:b/>
          <w:i/>
          <w:color w:val="000000"/>
        </w:rPr>
      </w:pPr>
      <w:r>
        <w:rPr>
          <w:b/>
          <w:i/>
          <w:color w:val="000000"/>
        </w:rPr>
        <w:t>Procedimiento</w:t>
      </w:r>
    </w:p>
    <w:p w14:paraId="00000137" w14:textId="77777777" w:rsidR="00E05D2A" w:rsidRDefault="007D47DC">
      <w:pPr>
        <w:pBdr>
          <w:top w:val="nil"/>
          <w:left w:val="nil"/>
          <w:bottom w:val="nil"/>
          <w:right w:val="nil"/>
          <w:between w:val="nil"/>
        </w:pBdr>
        <w:spacing w:line="360" w:lineRule="auto"/>
        <w:ind w:firstLine="708"/>
        <w:rPr>
          <w:color w:val="000000"/>
        </w:rPr>
      </w:pPr>
      <w:r>
        <w:rPr>
          <w:color w:val="000000"/>
        </w:rPr>
        <w:lastRenderedPageBreak/>
        <w:t>Una vez que los participantes llegaban al laboratorio, hacían la lectura y firma del consentimiento informado. Después, cada participante fue conducido a la sala experimental individual para ubicarlo frente a la pantalla.</w:t>
      </w:r>
    </w:p>
    <w:p w14:paraId="2856993C" w14:textId="77777777" w:rsidR="00B00D88" w:rsidRDefault="00B00D88">
      <w:pPr>
        <w:pBdr>
          <w:top w:val="nil"/>
          <w:left w:val="nil"/>
          <w:bottom w:val="nil"/>
          <w:right w:val="nil"/>
          <w:between w:val="nil"/>
        </w:pBdr>
        <w:spacing w:line="360" w:lineRule="auto"/>
        <w:rPr>
          <w:i/>
          <w:color w:val="000000"/>
        </w:rPr>
      </w:pPr>
    </w:p>
    <w:p w14:paraId="00000139" w14:textId="10B5C516" w:rsidR="00E05D2A" w:rsidRDefault="007D47DC">
      <w:pPr>
        <w:pBdr>
          <w:top w:val="nil"/>
          <w:left w:val="nil"/>
          <w:bottom w:val="nil"/>
          <w:right w:val="nil"/>
          <w:between w:val="nil"/>
        </w:pBdr>
        <w:spacing w:line="360" w:lineRule="auto"/>
        <w:rPr>
          <w:i/>
          <w:color w:val="000000"/>
        </w:rPr>
      </w:pPr>
      <w:r>
        <w:rPr>
          <w:i/>
          <w:color w:val="000000"/>
        </w:rPr>
        <w:t>Instrucciones</w:t>
      </w:r>
    </w:p>
    <w:p w14:paraId="0000013A"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Se le pidió al participante que leyera las instrucciones que aparecían en la pantalla del ordenador. Para pasar de una pantalla a la siguiente se dispuso en la parte inferior de la pantalla un botón con la etiqueta </w:t>
      </w:r>
      <w:r>
        <w:rPr>
          <w:i/>
          <w:color w:val="000000"/>
        </w:rPr>
        <w:t>continuar</w:t>
      </w:r>
      <w:r>
        <w:rPr>
          <w:color w:val="000000"/>
        </w:rPr>
        <w:t xml:space="preserve">. El participante debía hacer </w:t>
      </w:r>
      <w:proofErr w:type="spellStart"/>
      <w:r>
        <w:rPr>
          <w:color w:val="000000"/>
        </w:rPr>
        <w:t>click</w:t>
      </w:r>
      <w:proofErr w:type="spellEnd"/>
      <w:r>
        <w:rPr>
          <w:color w:val="000000"/>
        </w:rPr>
        <w:t xml:space="preserve"> sobre ese botón para pasar a la siguiente pantalla. Dentro de las instrucciones se le indicó al participante que su tarea consistía en ayudar a identificar qué tan probable era que un cliente (ficticio) comprara un producto al visualizarlo en una tienda específica y asociado a un descuento; por esta razón, la primera pantalla de cada ensayo mostraba un nombre aleatorizado de un cliente. </w:t>
      </w:r>
    </w:p>
    <w:p w14:paraId="0000013B" w14:textId="77777777" w:rsidR="00E05D2A" w:rsidRDefault="00E05D2A">
      <w:pPr>
        <w:pBdr>
          <w:top w:val="nil"/>
          <w:left w:val="nil"/>
          <w:bottom w:val="nil"/>
          <w:right w:val="nil"/>
          <w:between w:val="nil"/>
        </w:pBdr>
        <w:spacing w:line="360" w:lineRule="auto"/>
        <w:rPr>
          <w:i/>
          <w:color w:val="000000"/>
        </w:rPr>
      </w:pPr>
    </w:p>
    <w:p w14:paraId="0000013C" w14:textId="1D416E23" w:rsidR="00E05D2A" w:rsidRDefault="007D47DC">
      <w:pPr>
        <w:pBdr>
          <w:top w:val="nil"/>
          <w:left w:val="nil"/>
          <w:bottom w:val="nil"/>
          <w:right w:val="nil"/>
          <w:between w:val="nil"/>
        </w:pBdr>
        <w:spacing w:line="360" w:lineRule="auto"/>
        <w:rPr>
          <w:i/>
          <w:color w:val="000000"/>
        </w:rPr>
      </w:pPr>
      <w:r>
        <w:rPr>
          <w:i/>
          <w:color w:val="000000"/>
        </w:rPr>
        <w:t>Entrenamiento</w:t>
      </w:r>
    </w:p>
    <w:p w14:paraId="0000013D" w14:textId="594FF10B" w:rsidR="00E05D2A" w:rsidRDefault="007D47DC">
      <w:pPr>
        <w:pBdr>
          <w:top w:val="nil"/>
          <w:left w:val="nil"/>
          <w:bottom w:val="nil"/>
          <w:right w:val="nil"/>
          <w:between w:val="nil"/>
        </w:pBdr>
        <w:spacing w:line="360" w:lineRule="auto"/>
        <w:ind w:firstLine="708"/>
        <w:rPr>
          <w:color w:val="000000"/>
        </w:rPr>
      </w:pPr>
      <w:r>
        <w:rPr>
          <w:color w:val="000000"/>
        </w:rPr>
        <w:t xml:space="preserve">El participante inició la tarea experimental en dos fases; la primera, de entrenamiento, incluía la presentación de un ejemplo de la secuencia que se presentaría, pero con contextos y productos diferentes a los establecidos para el experimento. El objetivo era que el participante se familiarizara con la secuencia de imágenes y los momentos en los que debía registrar su juicio predictivo de compra. Posteriormente, se presentó la secuencia de ensayos en donde el participante observó 12 veces aleatorizadas cada producto en una tienda específica. Los 12 ensayos fueron divididos en 3 bloques de 4 ensayos </w:t>
      </w:r>
      <w:r w:rsidR="00F873BD">
        <w:rPr>
          <w:color w:val="000000"/>
        </w:rPr>
        <w:t xml:space="preserve">cada uno, de tal manera que la mitad de los participantes iniciaron el entrenamiento en el contexto A siguiendo el orden </w:t>
      </w:r>
      <w:r>
        <w:rPr>
          <w:color w:val="000000"/>
        </w:rPr>
        <w:t xml:space="preserve">ABBAAB y la otra mitad </w:t>
      </w:r>
      <w:r w:rsidR="00F873BD">
        <w:rPr>
          <w:color w:val="000000"/>
        </w:rPr>
        <w:t>iniciaron el entrenamiento en el contexto B siguiendo</w:t>
      </w:r>
      <w:r>
        <w:rPr>
          <w:color w:val="000000"/>
        </w:rPr>
        <w:t xml:space="preserve"> el orden BAABBA</w:t>
      </w:r>
      <w:r w:rsidR="00FC2E20">
        <w:rPr>
          <w:color w:val="000000"/>
        </w:rPr>
        <w:t xml:space="preserve"> (Moreno-Fernández et al., 2012)</w:t>
      </w:r>
      <w:r>
        <w:rPr>
          <w:color w:val="000000"/>
        </w:rPr>
        <w:t xml:space="preserve">. </w:t>
      </w:r>
      <w:r w:rsidR="00F873BD">
        <w:rPr>
          <w:color w:val="000000"/>
        </w:rPr>
        <w:t xml:space="preserve">Los contextos, productos y orden de presentación de los ensayos en cada bloque fueron contrabalanceados entre los participantes. </w:t>
      </w:r>
      <w:r>
        <w:rPr>
          <w:color w:val="000000"/>
        </w:rPr>
        <w:t>En cada ensayo se asoció el descuento correspondiente al producto, de acuerdo con el diseño experimental (ver tabla 1). Un ejemplo de la secuencia del entrenamiento se puede observar en la figura 1.</w:t>
      </w:r>
    </w:p>
    <w:p w14:paraId="0000013E" w14:textId="77777777" w:rsidR="00E05D2A" w:rsidRDefault="00E05D2A">
      <w:pPr>
        <w:pBdr>
          <w:top w:val="nil"/>
          <w:left w:val="nil"/>
          <w:bottom w:val="nil"/>
          <w:right w:val="nil"/>
          <w:between w:val="nil"/>
        </w:pBdr>
        <w:spacing w:line="360" w:lineRule="auto"/>
        <w:rPr>
          <w:i/>
          <w:color w:val="000000"/>
        </w:rPr>
      </w:pPr>
    </w:p>
    <w:p w14:paraId="0000013F" w14:textId="77777777" w:rsidR="00E05D2A" w:rsidRDefault="007D47DC">
      <w:pPr>
        <w:pBdr>
          <w:top w:val="nil"/>
          <w:left w:val="nil"/>
          <w:bottom w:val="nil"/>
          <w:right w:val="nil"/>
          <w:between w:val="nil"/>
        </w:pBdr>
        <w:spacing w:line="360" w:lineRule="auto"/>
        <w:rPr>
          <w:i/>
          <w:color w:val="000000"/>
        </w:rPr>
      </w:pPr>
      <w:r>
        <w:rPr>
          <w:i/>
          <w:color w:val="000000"/>
        </w:rPr>
        <w:t>Prueba</w:t>
      </w:r>
    </w:p>
    <w:p w14:paraId="00000140"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En la segunda fase, de prueba, se continuaron los ensayos de forma idéntica al entrenamiento, excepto porque no se presentó el resultado posterior al juicio predictivo de compra. Este cambio se informó a los participantes para que no fuera sorpresiva la falta de información. Se presentaron las claves X, Y </w:t>
      </w:r>
      <w:proofErr w:type="spellStart"/>
      <w:r>
        <w:rPr>
          <w:color w:val="000000"/>
        </w:rPr>
        <w:t>y</w:t>
      </w:r>
      <w:proofErr w:type="spellEnd"/>
      <w:r>
        <w:rPr>
          <w:color w:val="000000"/>
        </w:rPr>
        <w:t xml:space="preserve"> Z una vez en el mismo contexto en el que se </w:t>
      </w:r>
      <w:r>
        <w:rPr>
          <w:color w:val="000000"/>
        </w:rPr>
        <w:lastRenderedPageBreak/>
        <w:t>entrenó la asociación (contexto de aprendizaje) y una vez en el otro contexto que resultaba familiar (contexto diferente). Esta presentación fue contrabalanceada entre participantes.</w:t>
      </w:r>
    </w:p>
    <w:p w14:paraId="00000141" w14:textId="77777777" w:rsidR="00E05D2A" w:rsidRDefault="007D47DC">
      <w:pPr>
        <w:pBdr>
          <w:top w:val="nil"/>
          <w:left w:val="nil"/>
          <w:bottom w:val="nil"/>
          <w:right w:val="nil"/>
          <w:between w:val="nil"/>
        </w:pBdr>
        <w:spacing w:line="360" w:lineRule="auto"/>
        <w:ind w:firstLine="708"/>
        <w:rPr>
          <w:color w:val="000000"/>
        </w:rPr>
      </w:pPr>
      <w:r>
        <w:rPr>
          <w:color w:val="000000"/>
        </w:rPr>
        <w:t>Finalmente, se agradeció por la participación y se entregó el incentivo económico acordado. Este procedimiento se aplicó de la misma manera a todos los participantes, teniendo una duración promedio de 20 minutos.</w:t>
      </w:r>
    </w:p>
    <w:p w14:paraId="00000142" w14:textId="77777777" w:rsidR="00E05D2A" w:rsidRDefault="00E05D2A">
      <w:pPr>
        <w:pBdr>
          <w:top w:val="nil"/>
          <w:left w:val="nil"/>
          <w:bottom w:val="nil"/>
          <w:right w:val="nil"/>
          <w:between w:val="nil"/>
        </w:pBdr>
        <w:spacing w:line="360" w:lineRule="auto"/>
        <w:ind w:firstLine="708"/>
        <w:rPr>
          <w:color w:val="000000"/>
        </w:rPr>
      </w:pPr>
    </w:p>
    <w:p w14:paraId="00000143" w14:textId="77777777" w:rsidR="00E05D2A" w:rsidRDefault="007D47DC">
      <w:pPr>
        <w:pBdr>
          <w:top w:val="nil"/>
          <w:left w:val="nil"/>
          <w:bottom w:val="nil"/>
          <w:right w:val="nil"/>
          <w:between w:val="nil"/>
        </w:pBdr>
        <w:spacing w:line="360" w:lineRule="auto"/>
        <w:rPr>
          <w:b/>
          <w:color w:val="000000"/>
        </w:rPr>
      </w:pPr>
      <w:r>
        <w:rPr>
          <w:b/>
          <w:color w:val="000000"/>
        </w:rPr>
        <w:t>Figura 1</w:t>
      </w:r>
    </w:p>
    <w:p w14:paraId="00000144" w14:textId="77777777" w:rsidR="00E05D2A" w:rsidRDefault="007D47DC">
      <w:pPr>
        <w:pBdr>
          <w:top w:val="nil"/>
          <w:left w:val="nil"/>
          <w:bottom w:val="nil"/>
          <w:right w:val="nil"/>
          <w:between w:val="nil"/>
        </w:pBdr>
        <w:spacing w:line="360" w:lineRule="auto"/>
        <w:rPr>
          <w:i/>
          <w:color w:val="000000"/>
        </w:rPr>
      </w:pPr>
      <w:r>
        <w:rPr>
          <w:i/>
          <w:color w:val="000000"/>
        </w:rPr>
        <w:t>Ejemplo de una Secuencia de Ensayo en la Fase de Entrenamiento</w:t>
      </w:r>
    </w:p>
    <w:p w14:paraId="00000145" w14:textId="77777777" w:rsidR="00E05D2A" w:rsidRDefault="00E05D2A">
      <w:pPr>
        <w:pBdr>
          <w:top w:val="nil"/>
          <w:left w:val="nil"/>
          <w:bottom w:val="nil"/>
          <w:right w:val="nil"/>
          <w:between w:val="nil"/>
        </w:pBdr>
        <w:spacing w:line="360" w:lineRule="auto"/>
        <w:rPr>
          <w:color w:val="000000"/>
        </w:rPr>
      </w:pPr>
    </w:p>
    <w:p w14:paraId="00000146" w14:textId="77777777" w:rsidR="00E05D2A" w:rsidRDefault="007D47DC">
      <w:pPr>
        <w:pBdr>
          <w:top w:val="nil"/>
          <w:left w:val="nil"/>
          <w:bottom w:val="nil"/>
          <w:right w:val="nil"/>
          <w:between w:val="nil"/>
        </w:pBdr>
        <w:spacing w:line="360" w:lineRule="auto"/>
        <w:jc w:val="center"/>
        <w:rPr>
          <w:color w:val="000000"/>
        </w:rPr>
      </w:pPr>
      <w:r>
        <w:rPr>
          <w:noProof/>
          <w:color w:val="000000"/>
        </w:rPr>
        <w:drawing>
          <wp:inline distT="0" distB="0" distL="0" distR="0" wp14:anchorId="0491119C" wp14:editId="4C5D3CE0">
            <wp:extent cx="5026777" cy="315440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026777" cy="3154400"/>
                    </a:xfrm>
                    <a:prstGeom prst="rect">
                      <a:avLst/>
                    </a:prstGeom>
                    <a:ln/>
                  </pic:spPr>
                </pic:pic>
              </a:graphicData>
            </a:graphic>
          </wp:inline>
        </w:drawing>
      </w:r>
    </w:p>
    <w:p w14:paraId="00000147" w14:textId="77777777" w:rsidR="00E05D2A" w:rsidRDefault="00E05D2A">
      <w:pPr>
        <w:spacing w:line="360" w:lineRule="auto"/>
        <w:rPr>
          <w:i/>
          <w:sz w:val="20"/>
          <w:szCs w:val="20"/>
        </w:rPr>
      </w:pPr>
    </w:p>
    <w:p w14:paraId="00000148" w14:textId="77777777" w:rsidR="00E05D2A" w:rsidRDefault="007D47DC">
      <w:pPr>
        <w:spacing w:line="360" w:lineRule="auto"/>
        <w:rPr>
          <w:sz w:val="20"/>
          <w:szCs w:val="20"/>
        </w:rPr>
      </w:pPr>
      <w:r>
        <w:rPr>
          <w:i/>
          <w:sz w:val="20"/>
          <w:szCs w:val="20"/>
        </w:rPr>
        <w:t xml:space="preserve">Nota. </w:t>
      </w:r>
      <w:r>
        <w:rPr>
          <w:sz w:val="20"/>
          <w:szCs w:val="20"/>
        </w:rPr>
        <w:t>Cada ensayo del entrenamiento incluyó la presentación de 4 pantallas: nombre de un cliente (1), producto en el contexto (2), escala de juicio predictivo de compra (3) y el valor de descuento (4). Para la fase de prueba, se excluyó la última pantalla (4) que contenía la información sobre el descuento. Debajo de cada pantalla se indica la duración de presentación al participante. El contexto presentado en la pantalla 2 de esta figura es una imagen de referencia (</w:t>
      </w:r>
      <w:hyperlink r:id="rId14">
        <w:r>
          <w:rPr>
            <w:color w:val="000000"/>
            <w:sz w:val="20"/>
            <w:szCs w:val="20"/>
            <w:u w:val="single"/>
          </w:rPr>
          <w:t>https://es.m.wikipedia.org/wiki/Archivo:Casa_santiveri_tienda.jpg</w:t>
        </w:r>
      </w:hyperlink>
      <w:r>
        <w:rPr>
          <w:sz w:val="20"/>
          <w:szCs w:val="20"/>
        </w:rPr>
        <w:t>).</w:t>
      </w:r>
    </w:p>
    <w:p w14:paraId="7A7F984E" w14:textId="77777777" w:rsidR="00C840D2" w:rsidRDefault="00C840D2">
      <w:pPr>
        <w:pBdr>
          <w:top w:val="nil"/>
          <w:left w:val="nil"/>
          <w:bottom w:val="nil"/>
          <w:right w:val="nil"/>
          <w:between w:val="nil"/>
        </w:pBdr>
        <w:spacing w:line="360" w:lineRule="auto"/>
        <w:rPr>
          <w:b/>
          <w:i/>
          <w:color w:val="000000"/>
        </w:rPr>
      </w:pPr>
    </w:p>
    <w:p w14:paraId="00000149" w14:textId="6BF393F2" w:rsidR="00E05D2A" w:rsidRDefault="007D47DC">
      <w:pPr>
        <w:pBdr>
          <w:top w:val="nil"/>
          <w:left w:val="nil"/>
          <w:bottom w:val="nil"/>
          <w:right w:val="nil"/>
          <w:between w:val="nil"/>
        </w:pBdr>
        <w:spacing w:line="360" w:lineRule="auto"/>
        <w:rPr>
          <w:b/>
          <w:i/>
          <w:color w:val="000000"/>
        </w:rPr>
      </w:pPr>
      <w:r>
        <w:rPr>
          <w:b/>
          <w:i/>
          <w:color w:val="000000"/>
        </w:rPr>
        <w:t>Análisis de datos</w:t>
      </w:r>
    </w:p>
    <w:p w14:paraId="0000014A" w14:textId="2C6B5E82" w:rsidR="00E05D2A" w:rsidRDefault="007D47DC">
      <w:pPr>
        <w:pBdr>
          <w:top w:val="nil"/>
          <w:left w:val="nil"/>
          <w:bottom w:val="nil"/>
          <w:right w:val="nil"/>
          <w:between w:val="nil"/>
        </w:pBdr>
        <w:spacing w:line="360" w:lineRule="auto"/>
        <w:ind w:firstLine="708"/>
        <w:rPr>
          <w:color w:val="000000"/>
        </w:rPr>
      </w:pPr>
      <w:r>
        <w:rPr>
          <w:color w:val="000000"/>
        </w:rPr>
        <w:t xml:space="preserve">Se solicitó a los participantes que indicaran la probabilidad de compra de un producto al anticipar el descuento que este tendría al encontrarse en una tienda (su juicio predictivo de compra) durante todos los ensayos en el entrenamiento y la prueba, y se estableció el nivel de significancia de 0.05 para todas las pruebas estadísticas reportadas. Se realizó análisis de varianza (ANOVA) de medidas repetidas tomando como factores los valores medios de los </w:t>
      </w:r>
      <w:r>
        <w:rPr>
          <w:color w:val="000000"/>
        </w:rPr>
        <w:lastRenderedPageBreak/>
        <w:t xml:space="preserve">juicios predictivos de compra durante los 12 ensayos de la fase de entrenamiento para cada producto clave (X, Y </w:t>
      </w:r>
      <w:proofErr w:type="spellStart"/>
      <w:r>
        <w:rPr>
          <w:color w:val="000000"/>
        </w:rPr>
        <w:t>y</w:t>
      </w:r>
      <w:proofErr w:type="spellEnd"/>
      <w:r>
        <w:rPr>
          <w:color w:val="000000"/>
        </w:rPr>
        <w:t xml:space="preserve"> Z). Para la fase de prueba se analizaron los valores medios de los juicios predictivos de compra en los productos clave (X, Y </w:t>
      </w:r>
      <w:proofErr w:type="spellStart"/>
      <w:r>
        <w:rPr>
          <w:color w:val="000000"/>
        </w:rPr>
        <w:t>y</w:t>
      </w:r>
      <w:proofErr w:type="spellEnd"/>
      <w:r>
        <w:rPr>
          <w:color w:val="000000"/>
        </w:rPr>
        <w:t xml:space="preserve"> Z) presentados en el contexto en el que fueron entrenados (contexto de aprendizaje) y en un contexto diferente, aunque familiar (contexto diferente). Para los análisis de datos se utilizó el software </w:t>
      </w:r>
      <w:proofErr w:type="spellStart"/>
      <w:r>
        <w:rPr>
          <w:color w:val="000000"/>
        </w:rPr>
        <w:t>Jamovi</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Jamovi</w:t>
      </w:r>
      <w:proofErr w:type="spellEnd"/>
      <w:r>
        <w:rPr>
          <w:color w:val="000000"/>
        </w:rPr>
        <w:t xml:space="preserve"> Project, 2021).</w:t>
      </w:r>
    </w:p>
    <w:p w14:paraId="0000014B" w14:textId="77777777" w:rsidR="00E05D2A" w:rsidRDefault="007D47DC" w:rsidP="00B00D88">
      <w:pPr>
        <w:pBdr>
          <w:top w:val="nil"/>
          <w:left w:val="nil"/>
          <w:bottom w:val="nil"/>
          <w:right w:val="nil"/>
          <w:between w:val="nil"/>
        </w:pBdr>
        <w:spacing w:before="240" w:line="360" w:lineRule="auto"/>
        <w:jc w:val="center"/>
        <w:rPr>
          <w:b/>
          <w:color w:val="000000"/>
        </w:rPr>
      </w:pPr>
      <w:r>
        <w:rPr>
          <w:b/>
          <w:color w:val="000000"/>
        </w:rPr>
        <w:t>Resultados</w:t>
      </w:r>
    </w:p>
    <w:p w14:paraId="0000014C" w14:textId="77777777" w:rsidR="00E05D2A" w:rsidRDefault="007D47DC" w:rsidP="00B00D88">
      <w:pPr>
        <w:pBdr>
          <w:top w:val="nil"/>
          <w:left w:val="nil"/>
          <w:bottom w:val="nil"/>
          <w:right w:val="nil"/>
          <w:between w:val="nil"/>
        </w:pBdr>
        <w:spacing w:before="240" w:line="360" w:lineRule="auto"/>
        <w:ind w:firstLine="708"/>
        <w:rPr>
          <w:color w:val="000000"/>
        </w:rPr>
      </w:pPr>
      <w:r>
        <w:rPr>
          <w:color w:val="000000"/>
        </w:rPr>
        <w:t xml:space="preserve">Para el análisis del juicio predictivo de compra, que permite evidenciar la </w:t>
      </w:r>
      <w:proofErr w:type="spellStart"/>
      <w:r>
        <w:rPr>
          <w:color w:val="000000"/>
        </w:rPr>
        <w:t>asociabilidad</w:t>
      </w:r>
      <w:proofErr w:type="spellEnd"/>
      <w:r>
        <w:rPr>
          <w:color w:val="000000"/>
        </w:rPr>
        <w:t xml:space="preserve"> de los productos, contextos y descuentos, se tuvo en cuenta la selección del valor en la escala que cada participante hizo durante los ensayos de entrenamiento y en la prueba. En la figura 2 se puede observar la media del juicio predictivo de compra para los productos X, Y </w:t>
      </w:r>
      <w:proofErr w:type="spellStart"/>
      <w:r>
        <w:rPr>
          <w:color w:val="000000"/>
        </w:rPr>
        <w:t>y</w:t>
      </w:r>
      <w:proofErr w:type="spellEnd"/>
      <w:r>
        <w:rPr>
          <w:color w:val="000000"/>
        </w:rPr>
        <w:t xml:space="preserve"> Z durante los ensayos de entrenamiento.</w:t>
      </w:r>
    </w:p>
    <w:p w14:paraId="0000014D" w14:textId="77777777" w:rsidR="00E05D2A" w:rsidRDefault="007D47DC">
      <w:pPr>
        <w:pBdr>
          <w:top w:val="nil"/>
          <w:left w:val="nil"/>
          <w:bottom w:val="nil"/>
          <w:right w:val="nil"/>
          <w:between w:val="nil"/>
        </w:pBdr>
        <w:spacing w:line="360" w:lineRule="auto"/>
        <w:ind w:firstLine="708"/>
        <w:rPr>
          <w:color w:val="000000"/>
        </w:rPr>
      </w:pPr>
      <w:r>
        <w:rPr>
          <w:color w:val="000000"/>
        </w:rPr>
        <w:t>El ANOVA de 3 (productos X, Y, Z) x 12 (ensayos) mostró efecto significativo para la interacción producto x ensayo [F (22, 748) = 1.69; MSE = 364; η2 = 0.047; p = 0.025]. Análisis posteriores en búsqueda de interacciones específicas entre los productos en cada ensayo fueron significativos para el ensayo 1 [F (2, 68) = 6.03; MSE = 1271; η2 = 0.151; p = 0.004], cuyos análisis post hoc indicaron que la principal diferencia en este ensayo fue entre el producto Y (sin descuento) y el producto Z (con valor continuo de descuento) [</w:t>
      </w:r>
      <w:proofErr w:type="spellStart"/>
      <w:r>
        <w:rPr>
          <w:color w:val="000000"/>
        </w:rPr>
        <w:t>T</w:t>
      </w:r>
      <w:r>
        <w:rPr>
          <w:color w:val="000000"/>
          <w:sz w:val="16"/>
          <w:szCs w:val="16"/>
        </w:rPr>
        <w:t>Bonferroni</w:t>
      </w:r>
      <w:proofErr w:type="spellEnd"/>
      <w:r>
        <w:rPr>
          <w:color w:val="000000"/>
        </w:rPr>
        <w:t xml:space="preserve"> (68.0) = 3.42; p = 0.003].</w:t>
      </w:r>
    </w:p>
    <w:p w14:paraId="0000014E" w14:textId="77777777" w:rsidR="00E05D2A" w:rsidRDefault="00E05D2A">
      <w:pPr>
        <w:pBdr>
          <w:top w:val="nil"/>
          <w:left w:val="nil"/>
          <w:bottom w:val="nil"/>
          <w:right w:val="nil"/>
          <w:between w:val="nil"/>
        </w:pBdr>
        <w:spacing w:line="360" w:lineRule="auto"/>
        <w:ind w:firstLine="708"/>
        <w:rPr>
          <w:color w:val="000000"/>
        </w:rPr>
      </w:pPr>
    </w:p>
    <w:p w14:paraId="0000014F" w14:textId="77777777" w:rsidR="00E05D2A" w:rsidRDefault="007D47DC">
      <w:pPr>
        <w:pBdr>
          <w:top w:val="nil"/>
          <w:left w:val="nil"/>
          <w:bottom w:val="nil"/>
          <w:right w:val="nil"/>
          <w:between w:val="nil"/>
        </w:pBdr>
        <w:spacing w:line="360" w:lineRule="auto"/>
        <w:rPr>
          <w:b/>
          <w:color w:val="000000"/>
        </w:rPr>
      </w:pPr>
      <w:r>
        <w:rPr>
          <w:b/>
          <w:color w:val="000000"/>
        </w:rPr>
        <w:t>Figura 2</w:t>
      </w:r>
    </w:p>
    <w:p w14:paraId="00000150" w14:textId="77777777" w:rsidR="00E05D2A" w:rsidRDefault="007D47DC">
      <w:pPr>
        <w:pBdr>
          <w:top w:val="nil"/>
          <w:left w:val="nil"/>
          <w:bottom w:val="nil"/>
          <w:right w:val="nil"/>
          <w:between w:val="nil"/>
        </w:pBdr>
        <w:spacing w:line="360" w:lineRule="auto"/>
        <w:rPr>
          <w:i/>
          <w:color w:val="000000"/>
        </w:rPr>
      </w:pPr>
      <w:r>
        <w:rPr>
          <w:i/>
          <w:color w:val="000000"/>
        </w:rPr>
        <w:t>Juicio Predictivo durante el Entrenamiento para los Productos Clave</w:t>
      </w:r>
    </w:p>
    <w:p w14:paraId="00000151" w14:textId="77777777" w:rsidR="00E05D2A" w:rsidRDefault="007D47DC">
      <w:pPr>
        <w:pBdr>
          <w:top w:val="nil"/>
          <w:left w:val="nil"/>
          <w:bottom w:val="nil"/>
          <w:right w:val="nil"/>
          <w:between w:val="nil"/>
        </w:pBdr>
        <w:spacing w:line="360" w:lineRule="auto"/>
        <w:jc w:val="center"/>
        <w:rPr>
          <w:color w:val="000000"/>
        </w:rPr>
      </w:pPr>
      <w:r>
        <w:rPr>
          <w:noProof/>
          <w:color w:val="000000"/>
        </w:rPr>
        <w:lastRenderedPageBreak/>
        <w:drawing>
          <wp:inline distT="0" distB="0" distL="0" distR="0" wp14:anchorId="2FF547D9" wp14:editId="6FD22DF0">
            <wp:extent cx="4986020" cy="319087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mc:AlternateContent>
          <mc:Choice Requires="wps">
            <w:drawing>
              <wp:anchor distT="0" distB="0" distL="114300" distR="114300" simplePos="0" relativeHeight="251660288" behindDoc="0" locked="0" layoutInCell="1" hidden="0" allowOverlap="1" wp14:anchorId="6D3955C8" wp14:editId="4B9CD4C3">
                <wp:simplePos x="0" y="0"/>
                <wp:positionH relativeFrom="column">
                  <wp:posOffset>1092200</wp:posOffset>
                </wp:positionH>
                <wp:positionV relativeFrom="paragraph">
                  <wp:posOffset>1028700</wp:posOffset>
                </wp:positionV>
                <wp:extent cx="190500" cy="581025"/>
                <wp:effectExtent l="0" t="0" r="0" b="0"/>
                <wp:wrapNone/>
                <wp:docPr id="21" name="Rectángulo 21"/>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5013F7DE"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6D3955C8" id="Rectángulo 21" o:spid="_x0000_s1026" style="position:absolute;left:0;text-align:left;margin-left:86pt;margin-top:81pt;width:1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" filled="f" strokecolor="black [3200]">
                <v:stroke startarrowwidth="narrow" startarrowlength="short" endarrowwidth="narrow" endarrowlength="short" joinstyle="round"/>
                <v:textbox inset="2.53958mm,2.53958mm,2.53958mm,2.53958mm">
                  <w:txbxContent>
                    <w:p w14:paraId="5013F7DE"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5A9B2776" wp14:editId="0D45C5EB">
                <wp:simplePos x="0" y="0"/>
                <wp:positionH relativeFrom="column">
                  <wp:posOffset>2501900</wp:posOffset>
                </wp:positionH>
                <wp:positionV relativeFrom="paragraph">
                  <wp:posOffset>1092200</wp:posOffset>
                </wp:positionV>
                <wp:extent cx="190500" cy="581025"/>
                <wp:effectExtent l="0" t="0" r="0" b="0"/>
                <wp:wrapNone/>
                <wp:docPr id="17" name="Rectángulo 17"/>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3BACF616"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5A9B2776" id="Rectángulo 17" o:spid="_x0000_s1027" style="position:absolute;left:0;text-align:left;margin-left:197pt;margin-top:86pt;width:1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" filled="f" strokecolor="black [3200]">
                <v:stroke startarrowwidth="narrow" startarrowlength="short" endarrowwidth="narrow" endarrowlength="short" joinstyle="round"/>
                <v:textbox inset="2.53958mm,2.53958mm,2.53958mm,2.53958mm">
                  <w:txbxContent>
                    <w:p w14:paraId="3BACF616" w14:textId="77777777" w:rsidR="00E05D2A" w:rsidRDefault="00E05D2A">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48C67900" wp14:editId="011CCA6C">
                <wp:simplePos x="0" y="0"/>
                <wp:positionH relativeFrom="column">
                  <wp:posOffset>3898900</wp:posOffset>
                </wp:positionH>
                <wp:positionV relativeFrom="paragraph">
                  <wp:posOffset>1066800</wp:posOffset>
                </wp:positionV>
                <wp:extent cx="190500" cy="581025"/>
                <wp:effectExtent l="0" t="0" r="0" b="0"/>
                <wp:wrapNone/>
                <wp:docPr id="20" name="Rectángulo 20"/>
                <wp:cNvGraphicFramePr/>
                <a:graphic xmlns:a="http://schemas.openxmlformats.org/drawingml/2006/main">
                  <a:graphicData uri="http://schemas.microsoft.com/office/word/2010/wordprocessingShape">
                    <wps:wsp>
                      <wps:cNvSpPr/>
                      <wps:spPr>
                        <a:xfrm>
                          <a:off x="5255513" y="3494250"/>
                          <a:ext cx="180975" cy="571500"/>
                        </a:xfrm>
                        <a:prstGeom prst="rect">
                          <a:avLst/>
                        </a:prstGeom>
                        <a:noFill/>
                        <a:ln w="9525" cap="flat" cmpd="sng">
                          <a:solidFill>
                            <a:schemeClr val="dk1"/>
                          </a:solidFill>
                          <a:prstDash val="solid"/>
                          <a:round/>
                          <a:headEnd type="none" w="sm" len="sm"/>
                          <a:tailEnd type="none" w="sm" len="sm"/>
                        </a:ln>
                      </wps:spPr>
                      <wps:txbx>
                        <w:txbxContent>
                          <w:p w14:paraId="00FD3C73" w14:textId="77777777" w:rsidR="00E05D2A" w:rsidRDefault="00E05D2A">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48C67900" id="Rectángulo 20" o:spid="_x0000_s1028" style="position:absolute;left:0;text-align:left;margin-left:307pt;margin-top:84pt;width:1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" filled="f" strokecolor="black [3200]">
                <v:stroke startarrowwidth="narrow" startarrowlength="short" endarrowwidth="narrow" endarrowlength="short" joinstyle="round"/>
                <v:textbox inset="2.53958mm,2.53958mm,2.53958mm,2.53958mm">
                  <w:txbxContent>
                    <w:p w14:paraId="00FD3C73" w14:textId="77777777" w:rsidR="00E05D2A" w:rsidRDefault="00E05D2A">
                      <w:pPr>
                        <w:textDirection w:val="btLr"/>
                      </w:pPr>
                    </w:p>
                  </w:txbxContent>
                </v:textbox>
              </v:rect>
            </w:pict>
          </mc:Fallback>
        </mc:AlternateContent>
      </w:r>
    </w:p>
    <w:p w14:paraId="00000152" w14:textId="60FA9B83" w:rsidR="00E05D2A" w:rsidRDefault="007D47DC">
      <w:pPr>
        <w:spacing w:line="360" w:lineRule="auto"/>
        <w:rPr>
          <w:sz w:val="20"/>
          <w:szCs w:val="20"/>
        </w:rPr>
      </w:pPr>
      <w:r>
        <w:rPr>
          <w:i/>
          <w:sz w:val="20"/>
          <w:szCs w:val="20"/>
        </w:rPr>
        <w:t xml:space="preserve">Nota. </w:t>
      </w:r>
      <w:r>
        <w:rPr>
          <w:sz w:val="20"/>
          <w:szCs w:val="20"/>
        </w:rPr>
        <w:t>El producto X fue presentado con valores diferenciales de descuento (50%, 30%, 0%), el producto Y fue presentado sin descuento y el producto Z fue presentado con descuento con</w:t>
      </w:r>
      <w:r w:rsidR="000C20E8">
        <w:rPr>
          <w:sz w:val="20"/>
          <w:szCs w:val="20"/>
        </w:rPr>
        <w:t>tinuo</w:t>
      </w:r>
      <w:r>
        <w:rPr>
          <w:sz w:val="20"/>
          <w:szCs w:val="20"/>
        </w:rPr>
        <w:t xml:space="preserve"> (30%). Se señalan con cuadros los ensayos en los que se evidenció alguna diferencia significativa en la interacción producto x ensayo. </w:t>
      </w:r>
      <w:r>
        <w:rPr>
          <w:b/>
          <w:sz w:val="20"/>
          <w:szCs w:val="20"/>
        </w:rPr>
        <w:t>*</w:t>
      </w:r>
      <w:r>
        <w:rPr>
          <w:sz w:val="20"/>
          <w:szCs w:val="20"/>
        </w:rPr>
        <w:t>: p &lt; 0.05.</w:t>
      </w:r>
    </w:p>
    <w:p w14:paraId="00000153" w14:textId="77777777" w:rsidR="00E05D2A" w:rsidRDefault="00E05D2A">
      <w:pPr>
        <w:pBdr>
          <w:top w:val="nil"/>
          <w:left w:val="nil"/>
          <w:bottom w:val="nil"/>
          <w:right w:val="nil"/>
          <w:between w:val="nil"/>
        </w:pBdr>
        <w:spacing w:line="360" w:lineRule="auto"/>
        <w:ind w:firstLine="708"/>
        <w:rPr>
          <w:color w:val="000000"/>
        </w:rPr>
      </w:pPr>
    </w:p>
    <w:p w14:paraId="00000154" w14:textId="77777777" w:rsidR="00E05D2A" w:rsidRDefault="007D47DC">
      <w:pPr>
        <w:pBdr>
          <w:top w:val="nil"/>
          <w:left w:val="nil"/>
          <w:bottom w:val="nil"/>
          <w:right w:val="nil"/>
          <w:between w:val="nil"/>
        </w:pBdr>
        <w:spacing w:line="360" w:lineRule="auto"/>
        <w:ind w:firstLine="708"/>
        <w:rPr>
          <w:color w:val="000000"/>
        </w:rPr>
      </w:pPr>
      <w:r>
        <w:rPr>
          <w:color w:val="000000"/>
        </w:rPr>
        <w:t>El efecto también fue significativo para el ensayo 5 [F (2, 68) = 3.34; MSE = 1036; η2 = 0.090; p = 0.041], manteniendo la principal diferencia entre los productos Y (sin descuento) y Z (con descuento continuo) [</w:t>
      </w:r>
      <w:proofErr w:type="spellStart"/>
      <w:r>
        <w:rPr>
          <w:color w:val="000000"/>
        </w:rPr>
        <w:t>T</w:t>
      </w:r>
      <w:r>
        <w:rPr>
          <w:color w:val="000000"/>
          <w:sz w:val="16"/>
          <w:szCs w:val="16"/>
        </w:rPr>
        <w:t>Bonferroni</w:t>
      </w:r>
      <w:proofErr w:type="spellEnd"/>
      <w:r>
        <w:rPr>
          <w:color w:val="000000"/>
        </w:rPr>
        <w:t xml:space="preserve"> (68.0) = -2.58; p = 0.036]; y para el ensayo 9 [F (2, 68) = 3.16; MSE = 1195; η2 = 0.085; p = 0.049], con principal diferencia entre el producto X (con valor diferencial de descuento) y el producto Y (sin descuento) [</w:t>
      </w:r>
      <w:proofErr w:type="spellStart"/>
      <w:r>
        <w:rPr>
          <w:color w:val="000000"/>
        </w:rPr>
        <w:t>T</w:t>
      </w:r>
      <w:r>
        <w:rPr>
          <w:color w:val="000000"/>
          <w:sz w:val="16"/>
          <w:szCs w:val="16"/>
        </w:rPr>
        <w:t>Bonferroni</w:t>
      </w:r>
      <w:proofErr w:type="spellEnd"/>
      <w:r>
        <w:rPr>
          <w:color w:val="000000"/>
        </w:rPr>
        <w:t xml:space="preserve"> (68.0) = 2.51; p = 0.043]. </w:t>
      </w:r>
    </w:p>
    <w:p w14:paraId="00000155"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En la figura 3 se muestra el juicio emitido por los participantes en la fase de prueba, cuando se presentaron los productos X, Y </w:t>
      </w:r>
      <w:proofErr w:type="spellStart"/>
      <w:r>
        <w:rPr>
          <w:color w:val="000000"/>
        </w:rPr>
        <w:t>y</w:t>
      </w:r>
      <w:proofErr w:type="spellEnd"/>
      <w:r>
        <w:rPr>
          <w:color w:val="000000"/>
        </w:rPr>
        <w:t xml:space="preserve"> Z en el mismo contexto en el que se entrenaron (contexto de aprendizaje) y en el contexto alternativo, pero igualmente familiar (contexto diferente). El ANOVA de 3 (productos X, Y </w:t>
      </w:r>
      <w:proofErr w:type="spellStart"/>
      <w:r>
        <w:rPr>
          <w:color w:val="000000"/>
        </w:rPr>
        <w:t>y</w:t>
      </w:r>
      <w:proofErr w:type="spellEnd"/>
      <w:r>
        <w:rPr>
          <w:color w:val="000000"/>
        </w:rPr>
        <w:t xml:space="preserve"> Z) x 2 (contexto igual y diferente) mostró efecto principal de contexto [F (1, 34) = 8.65; MSE = 2400; η2 = 0.203; p = 0.006], y de la interacción producto x contexto [F (2, 68) = 3.24; MSE = 1213; η2 = 0.087; p = 0.045].</w:t>
      </w:r>
    </w:p>
    <w:p w14:paraId="00000156" w14:textId="77777777" w:rsidR="00E05D2A" w:rsidRDefault="007D47DC">
      <w:pPr>
        <w:pBdr>
          <w:top w:val="nil"/>
          <w:left w:val="nil"/>
          <w:bottom w:val="nil"/>
          <w:right w:val="nil"/>
          <w:between w:val="nil"/>
        </w:pBdr>
        <w:spacing w:line="360" w:lineRule="auto"/>
        <w:ind w:firstLine="708"/>
        <w:rPr>
          <w:color w:val="000000"/>
        </w:rPr>
      </w:pPr>
      <w:r>
        <w:rPr>
          <w:color w:val="000000"/>
        </w:rPr>
        <w:t xml:space="preserve">Análisis posteriores para explorar la interacción de cada producto clave en los dos contextos de prueba mostraron diferencias significativas para el producto X (entrenado con valor diferencial de descuento) [F (1, 34) = 7.16; MSE = 3156; η2 = 0.174; p = 0.011] y para el producto Z (entrenado con valor de descuento continuo) [F (1, 34) = 4.66; MSE = 1556; η2 </w:t>
      </w:r>
      <w:r>
        <w:rPr>
          <w:color w:val="000000"/>
        </w:rPr>
        <w:lastRenderedPageBreak/>
        <w:t>= 0.121; p = 0.038]. En el producto Y (sin descuento) no hubo diferencias entre los dos contextos.</w:t>
      </w:r>
    </w:p>
    <w:p w14:paraId="00000157" w14:textId="77777777" w:rsidR="00E05D2A" w:rsidRDefault="007D47DC">
      <w:pPr>
        <w:pBdr>
          <w:top w:val="nil"/>
          <w:left w:val="nil"/>
          <w:bottom w:val="nil"/>
          <w:right w:val="nil"/>
          <w:between w:val="nil"/>
        </w:pBdr>
        <w:spacing w:line="360" w:lineRule="auto"/>
        <w:ind w:firstLine="708"/>
        <w:rPr>
          <w:color w:val="000000"/>
        </w:rPr>
      </w:pPr>
      <w:r>
        <w:rPr>
          <w:color w:val="000000"/>
        </w:rPr>
        <w:t>Al comparar los productos cuando fueron presentados en el mismo contexto en el que fueron entrenados; es decir, el contexto de aprendizaje, se encontraron diferencias significativas [F (2, 68) = 4.30; MSE = 2294; η2 = 0.112; p = 0.017]; sin embargo, los análisis post hoc identificaron que las diferencias se encuentran específicamente entre el producto X (entrenado con valor diferencial de descuento) y el producto Y (entrenado sin descuento) [</w:t>
      </w:r>
      <w:proofErr w:type="spellStart"/>
      <w:r>
        <w:rPr>
          <w:color w:val="000000"/>
        </w:rPr>
        <w:t>T</w:t>
      </w:r>
      <w:r>
        <w:rPr>
          <w:color w:val="000000"/>
          <w:sz w:val="16"/>
          <w:szCs w:val="16"/>
        </w:rPr>
        <w:t>Bonferroni</w:t>
      </w:r>
      <w:proofErr w:type="spellEnd"/>
      <w:r>
        <w:rPr>
          <w:color w:val="000000"/>
        </w:rPr>
        <w:t xml:space="preserve"> (68.0) = 2.690; p = 0.027]. Las comparaciones de los productos en el contexto diferente no fueron significativas.</w:t>
      </w:r>
    </w:p>
    <w:p w14:paraId="00000158" w14:textId="77777777" w:rsidR="00E05D2A" w:rsidRDefault="00E05D2A">
      <w:pPr>
        <w:pBdr>
          <w:top w:val="nil"/>
          <w:left w:val="nil"/>
          <w:bottom w:val="nil"/>
          <w:right w:val="nil"/>
          <w:between w:val="nil"/>
        </w:pBdr>
        <w:spacing w:line="360" w:lineRule="auto"/>
        <w:rPr>
          <w:b/>
          <w:color w:val="000000"/>
        </w:rPr>
      </w:pPr>
    </w:p>
    <w:p w14:paraId="00000159" w14:textId="77777777" w:rsidR="00E05D2A" w:rsidRDefault="007D47DC">
      <w:pPr>
        <w:pBdr>
          <w:top w:val="nil"/>
          <w:left w:val="nil"/>
          <w:bottom w:val="nil"/>
          <w:right w:val="nil"/>
          <w:between w:val="nil"/>
        </w:pBdr>
        <w:spacing w:line="360" w:lineRule="auto"/>
        <w:rPr>
          <w:b/>
          <w:color w:val="000000"/>
        </w:rPr>
      </w:pPr>
      <w:r>
        <w:rPr>
          <w:b/>
          <w:color w:val="000000"/>
        </w:rPr>
        <w:t>Figura 3</w:t>
      </w:r>
    </w:p>
    <w:p w14:paraId="0000015A" w14:textId="77777777" w:rsidR="00E05D2A" w:rsidRDefault="007D47DC">
      <w:pPr>
        <w:pBdr>
          <w:top w:val="nil"/>
          <w:left w:val="nil"/>
          <w:bottom w:val="nil"/>
          <w:right w:val="nil"/>
          <w:between w:val="nil"/>
        </w:pBdr>
        <w:spacing w:line="360" w:lineRule="auto"/>
        <w:rPr>
          <w:i/>
          <w:color w:val="000000"/>
        </w:rPr>
      </w:pPr>
      <w:r>
        <w:rPr>
          <w:i/>
          <w:color w:val="000000"/>
        </w:rPr>
        <w:t>Juicio Predictivo durante la Prueba para los Productos Clave</w:t>
      </w:r>
    </w:p>
    <w:p w14:paraId="0000015B" w14:textId="4BC62004" w:rsidR="00E05D2A" w:rsidRDefault="00152537">
      <w:pPr>
        <w:pBdr>
          <w:top w:val="nil"/>
          <w:left w:val="nil"/>
          <w:bottom w:val="nil"/>
          <w:right w:val="nil"/>
          <w:between w:val="nil"/>
        </w:pBdr>
        <w:spacing w:line="360" w:lineRule="auto"/>
        <w:jc w:val="center"/>
        <w:rPr>
          <w:color w:val="000000"/>
        </w:rPr>
      </w:pPr>
      <w:r w:rsidRPr="00152537">
        <w:rPr>
          <w:noProof/>
          <w:color w:val="000000"/>
        </w:rPr>
        <mc:AlternateContent>
          <mc:Choice Requires="wps">
            <w:drawing>
              <wp:anchor distT="0" distB="0" distL="114300" distR="114300" simplePos="0" relativeHeight="251664384" behindDoc="0" locked="0" layoutInCell="1" allowOverlap="1" wp14:anchorId="3A3381DB" wp14:editId="343271B9">
                <wp:simplePos x="0" y="0"/>
                <wp:positionH relativeFrom="column">
                  <wp:posOffset>1704975</wp:posOffset>
                </wp:positionH>
                <wp:positionV relativeFrom="paragraph">
                  <wp:posOffset>775335</wp:posOffset>
                </wp:positionV>
                <wp:extent cx="55880" cy="409575"/>
                <wp:effectExtent l="0" t="5398" r="14923" b="14922"/>
                <wp:wrapNone/>
                <wp:docPr id="12" name="Cerrar corchete 12"/>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04FE3BB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errar corchete 12" o:spid="_x0000_s1026" type="#_x0000_t86" style="position:absolute;margin-left:134.25pt;margin-top:61.05pt;width:4.4pt;height:32.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" adj="246" strokecolor="black [3204]" strokeweight=".5pt">
                <v:stroke joinstyle="miter"/>
              </v:shape>
            </w:pict>
          </mc:Fallback>
        </mc:AlternateContent>
      </w:r>
      <w:r w:rsidRPr="00152537">
        <w:rPr>
          <w:noProof/>
          <w:color w:val="000000"/>
        </w:rPr>
        <mc:AlternateContent>
          <mc:Choice Requires="wps">
            <w:drawing>
              <wp:anchor distT="0" distB="0" distL="114300" distR="114300" simplePos="0" relativeHeight="251665408" behindDoc="0" locked="0" layoutInCell="1" allowOverlap="1" wp14:anchorId="37B75A44" wp14:editId="41F3773F">
                <wp:simplePos x="0" y="0"/>
                <wp:positionH relativeFrom="column">
                  <wp:posOffset>4472624</wp:posOffset>
                </wp:positionH>
                <wp:positionV relativeFrom="paragraph">
                  <wp:posOffset>784541</wp:posOffset>
                </wp:positionV>
                <wp:extent cx="55880" cy="409575"/>
                <wp:effectExtent l="0" t="5398" r="14923" b="14922"/>
                <wp:wrapNone/>
                <wp:docPr id="13" name="Cerrar corchete 13"/>
                <wp:cNvGraphicFramePr/>
                <a:graphic xmlns:a="http://schemas.openxmlformats.org/drawingml/2006/main">
                  <a:graphicData uri="http://schemas.microsoft.com/office/word/2010/wordprocessingShape">
                    <wps:wsp>
                      <wps:cNvSpPr/>
                      <wps:spPr>
                        <a:xfrm rot="16200000">
                          <a:off x="0" y="0"/>
                          <a:ext cx="55880" cy="4095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18E2B3E9" id="Cerrar corchete 13" o:spid="_x0000_s1026" type="#_x0000_t86" style="position:absolute;margin-left:352.2pt;margin-top:61.75pt;width:4.4pt;height:32.25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" adj="246" strokecolor="black [3204]" strokeweight=".5pt">
                <v:stroke joinstyle="miter"/>
              </v:shape>
            </w:pict>
          </mc:Fallback>
        </mc:AlternateContent>
      </w:r>
      <w:r w:rsidR="007D47DC">
        <w:rPr>
          <w:noProof/>
          <w:color w:val="000000"/>
          <w:highlight w:val="black"/>
        </w:rPr>
        <w:drawing>
          <wp:inline distT="0" distB="0" distL="0" distR="0" wp14:anchorId="488E4768" wp14:editId="0F6D63CE">
            <wp:extent cx="4895850" cy="300037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00015C" w14:textId="77777777" w:rsidR="00E05D2A" w:rsidRDefault="007D47DC">
      <w:pPr>
        <w:spacing w:line="360" w:lineRule="auto"/>
        <w:rPr>
          <w:sz w:val="20"/>
          <w:szCs w:val="20"/>
        </w:rPr>
      </w:pPr>
      <w:r>
        <w:rPr>
          <w:i/>
          <w:sz w:val="20"/>
          <w:szCs w:val="20"/>
        </w:rPr>
        <w:t xml:space="preserve">Nota. </w:t>
      </w:r>
      <w:r>
        <w:rPr>
          <w:sz w:val="20"/>
          <w:szCs w:val="20"/>
        </w:rPr>
        <w:t xml:space="preserve">Los productos clave X, Y </w:t>
      </w:r>
      <w:proofErr w:type="spellStart"/>
      <w:r>
        <w:rPr>
          <w:sz w:val="20"/>
          <w:szCs w:val="20"/>
        </w:rPr>
        <w:t>y</w:t>
      </w:r>
      <w:proofErr w:type="spellEnd"/>
      <w:r>
        <w:rPr>
          <w:sz w:val="20"/>
          <w:szCs w:val="20"/>
        </w:rPr>
        <w:t xml:space="preserve"> Z fueron presentados una vez en el mismo contexto en el que fueron entrenados y una vez en un contexto diferente pero familiar. Después de emitir el juicio predictivo no se presentó información sobre descuento para ninguno de los tres productos. </w:t>
      </w:r>
      <w:r>
        <w:rPr>
          <w:b/>
          <w:sz w:val="20"/>
          <w:szCs w:val="20"/>
        </w:rPr>
        <w:t>*</w:t>
      </w:r>
      <w:r>
        <w:rPr>
          <w:sz w:val="20"/>
          <w:szCs w:val="20"/>
        </w:rPr>
        <w:t>: p &lt; 0.05.</w:t>
      </w:r>
    </w:p>
    <w:p w14:paraId="00000160" w14:textId="77777777" w:rsidR="00E05D2A" w:rsidRDefault="00E05D2A">
      <w:pPr>
        <w:pBdr>
          <w:top w:val="nil"/>
          <w:left w:val="nil"/>
          <w:bottom w:val="nil"/>
          <w:right w:val="nil"/>
          <w:between w:val="nil"/>
        </w:pBdr>
        <w:spacing w:line="360" w:lineRule="auto"/>
        <w:jc w:val="center"/>
        <w:rPr>
          <w:b/>
        </w:rPr>
      </w:pPr>
    </w:p>
    <w:p w14:paraId="00000162" w14:textId="42ABDE00" w:rsidR="00E05D2A" w:rsidRDefault="007D47DC" w:rsidP="00897D86">
      <w:pPr>
        <w:pBdr>
          <w:top w:val="nil"/>
          <w:left w:val="nil"/>
          <w:bottom w:val="nil"/>
          <w:right w:val="nil"/>
          <w:between w:val="nil"/>
        </w:pBdr>
        <w:spacing w:before="240" w:line="360" w:lineRule="auto"/>
        <w:jc w:val="center"/>
        <w:rPr>
          <w:b/>
          <w:color w:val="000000"/>
        </w:rPr>
      </w:pPr>
      <w:r>
        <w:rPr>
          <w:b/>
          <w:color w:val="000000"/>
        </w:rPr>
        <w:t>Discusión</w:t>
      </w:r>
    </w:p>
    <w:p w14:paraId="00000163" w14:textId="6AD5B2D6" w:rsidR="00E05D2A" w:rsidRPr="006D5C19" w:rsidRDefault="006D5C19" w:rsidP="00897D86">
      <w:pPr>
        <w:pBdr>
          <w:top w:val="nil"/>
          <w:left w:val="nil"/>
          <w:bottom w:val="nil"/>
          <w:right w:val="nil"/>
          <w:between w:val="nil"/>
        </w:pBdr>
        <w:spacing w:before="240" w:line="360" w:lineRule="auto"/>
        <w:rPr>
          <w:color w:val="000000"/>
        </w:rPr>
      </w:pPr>
      <w:r w:rsidRPr="006D5C19">
        <w:rPr>
          <w:color w:val="000000"/>
        </w:rPr>
        <w:tab/>
      </w:r>
      <w:r w:rsidR="00DC4C14">
        <w:rPr>
          <w:color w:val="000000"/>
        </w:rPr>
        <w:t>Se probó la aparición del efecto de cambio de contexto propuesto por la TAPC (Rosas et al., 2006) en una situación simulada de compra, utilizando</w:t>
      </w:r>
      <w:r w:rsidR="00C840D2">
        <w:rPr>
          <w:color w:val="000000"/>
        </w:rPr>
        <w:t xml:space="preserve"> un procedimiento de refuerzo parcial asociando diferentes productos (claves) a diferentes valores de descuento</w:t>
      </w:r>
      <w:r w:rsidR="00DC4C14">
        <w:rPr>
          <w:color w:val="000000"/>
        </w:rPr>
        <w:t xml:space="preserve"> </w:t>
      </w:r>
      <w:r w:rsidR="00C840D2">
        <w:rPr>
          <w:color w:val="000000"/>
        </w:rPr>
        <w:t>(resultados)</w:t>
      </w:r>
      <w:r w:rsidR="00DC4C14">
        <w:rPr>
          <w:color w:val="000000"/>
        </w:rPr>
        <w:t>.</w:t>
      </w:r>
      <w:r w:rsidR="00C840D2">
        <w:rPr>
          <w:color w:val="000000"/>
        </w:rPr>
        <w:t xml:space="preserve"> </w:t>
      </w:r>
    </w:p>
    <w:p w14:paraId="00000164" w14:textId="7CD8982E" w:rsidR="00E05D2A" w:rsidRDefault="007D47DC">
      <w:pPr>
        <w:pBdr>
          <w:top w:val="nil"/>
          <w:left w:val="nil"/>
          <w:bottom w:val="nil"/>
          <w:right w:val="nil"/>
          <w:between w:val="nil"/>
        </w:pBdr>
        <w:spacing w:line="360" w:lineRule="auto"/>
        <w:ind w:firstLine="708"/>
        <w:rPr>
          <w:color w:val="000000"/>
        </w:rPr>
      </w:pPr>
      <w:r>
        <w:lastRenderedPageBreak/>
        <w:t>Los resulta</w:t>
      </w:r>
      <w:r w:rsidR="00C3204B">
        <w:t>do</w:t>
      </w:r>
      <w:r>
        <w:t xml:space="preserve">s </w:t>
      </w:r>
      <w:r>
        <w:rPr>
          <w:color w:val="000000"/>
        </w:rPr>
        <w:t xml:space="preserve">muestran que al cambiar el contexto en el que se adquiere la asociación inicial (producto-descuento), la predicción de compra decrece significativamente en la clave que fue entrenada con </w:t>
      </w:r>
      <w:r w:rsidR="00C3204B">
        <w:rPr>
          <w:color w:val="000000"/>
        </w:rPr>
        <w:t>VDD</w:t>
      </w:r>
      <w:r>
        <w:rPr>
          <w:color w:val="000000"/>
        </w:rPr>
        <w:t xml:space="preserve"> (producto X reforzado parcialmente con descuentos de 50%, 30%, 0%) y en la clave entrenada con </w:t>
      </w:r>
      <w:r w:rsidR="00C3204B">
        <w:rPr>
          <w:color w:val="000000"/>
        </w:rPr>
        <w:t>V</w:t>
      </w:r>
      <w:r w:rsidR="00745A2F">
        <w:rPr>
          <w:color w:val="000000"/>
        </w:rPr>
        <w:t>F</w:t>
      </w:r>
      <w:r w:rsidR="00C3204B">
        <w:rPr>
          <w:color w:val="000000"/>
        </w:rPr>
        <w:t>D</w:t>
      </w:r>
      <w:r>
        <w:rPr>
          <w:color w:val="000000"/>
        </w:rPr>
        <w:t xml:space="preserve"> (producto Z reforzado continuamente con descuento de 30%) (figura 3), evidenciando el efecto de cambio de contexto propuesto por la TAPC (Rosas et al., 2006).</w:t>
      </w:r>
      <w:r w:rsidR="002A70B7">
        <w:rPr>
          <w:color w:val="000000"/>
        </w:rPr>
        <w:t xml:space="preserve"> E</w:t>
      </w:r>
      <w:r w:rsidRPr="00C3204B">
        <w:rPr>
          <w:color w:val="000000"/>
        </w:rPr>
        <w:t>stos resultados confirman</w:t>
      </w:r>
      <w:r w:rsidR="00C3204B" w:rsidRPr="00C3204B">
        <w:rPr>
          <w:color w:val="000000"/>
        </w:rPr>
        <w:t xml:space="preserve"> parcialmente</w:t>
      </w:r>
      <w:r w:rsidRPr="00C3204B">
        <w:rPr>
          <w:color w:val="000000"/>
        </w:rPr>
        <w:t xml:space="preserve"> los hallazgos de Abad et al (2009), Rosas y Callejas-Aguilera (2006) y </w:t>
      </w:r>
      <w:proofErr w:type="spellStart"/>
      <w:r w:rsidRPr="00C3204B">
        <w:rPr>
          <w:color w:val="000000"/>
        </w:rPr>
        <w:t>Ogallar</w:t>
      </w:r>
      <w:proofErr w:type="spellEnd"/>
      <w:r w:rsidRPr="00C3204B">
        <w:rPr>
          <w:color w:val="000000"/>
        </w:rPr>
        <w:t xml:space="preserve"> et al (2019) al</w:t>
      </w:r>
      <w:r>
        <w:rPr>
          <w:color w:val="000000"/>
        </w:rPr>
        <w:t xml:space="preserve"> encontrar que, cuando una clave reforzada </w:t>
      </w:r>
      <w:r w:rsidR="00763D35">
        <w:rPr>
          <w:color w:val="000000"/>
        </w:rPr>
        <w:t xml:space="preserve">mediante RC </w:t>
      </w:r>
      <w:r>
        <w:rPr>
          <w:color w:val="000000"/>
        </w:rPr>
        <w:t xml:space="preserve">se entrena en el mismo contexto en el que otra clave ha sido reforzada </w:t>
      </w:r>
      <w:r w:rsidR="00763D35">
        <w:rPr>
          <w:color w:val="000000"/>
        </w:rPr>
        <w:t>mediante RP</w:t>
      </w:r>
      <w:r>
        <w:rPr>
          <w:color w:val="000000"/>
        </w:rPr>
        <w:t xml:space="preserve">, </w:t>
      </w:r>
      <w:r w:rsidR="00763D35">
        <w:rPr>
          <w:color w:val="000000"/>
        </w:rPr>
        <w:t>este procedimiento</w:t>
      </w:r>
      <w:r>
        <w:rPr>
          <w:color w:val="000000"/>
        </w:rPr>
        <w:t xml:space="preserve"> hace que el contexto sea más saliente, </w:t>
      </w:r>
      <w:r w:rsidR="008D7546">
        <w:rPr>
          <w:color w:val="000000"/>
        </w:rPr>
        <w:t xml:space="preserve">y </w:t>
      </w:r>
      <w:r>
        <w:rPr>
          <w:color w:val="000000"/>
        </w:rPr>
        <w:t>por tanto, la información de la clave reforzada continuamente se vuelve dependiente del contexto; para</w:t>
      </w:r>
      <w:r w:rsidR="002A70B7">
        <w:rPr>
          <w:color w:val="000000"/>
        </w:rPr>
        <w:t xml:space="preserve"> el caso de este estudio</w:t>
      </w:r>
      <w:r>
        <w:rPr>
          <w:color w:val="000000"/>
        </w:rPr>
        <w:t xml:space="preserve">, el producto Z. </w:t>
      </w:r>
      <w:r w:rsidR="002A70B7">
        <w:rPr>
          <w:color w:val="000000"/>
        </w:rPr>
        <w:t>Sin embargo</w:t>
      </w:r>
      <w:r>
        <w:rPr>
          <w:color w:val="000000"/>
        </w:rPr>
        <w:t xml:space="preserve">, </w:t>
      </w:r>
      <w:r w:rsidR="002A70B7">
        <w:rPr>
          <w:color w:val="000000"/>
        </w:rPr>
        <w:t xml:space="preserve">los resultados muestran que el cambio de contexto también afectó los juicios predictivos de la clave que fue reforzada </w:t>
      </w:r>
      <w:r w:rsidR="00F410C7">
        <w:rPr>
          <w:color w:val="000000"/>
        </w:rPr>
        <w:t>mediante RP</w:t>
      </w:r>
      <w:r w:rsidR="002A70B7">
        <w:rPr>
          <w:color w:val="000000"/>
        </w:rPr>
        <w:t xml:space="preserve"> (producto X) (figura 3); es decir, se encontró el efecto de cambio de contexto tanto en la clave reforzada mediante RC (producto Z) como en la clave reforzada mediante RP (producto X), lo que</w:t>
      </w:r>
      <w:r>
        <w:rPr>
          <w:color w:val="000000"/>
        </w:rPr>
        <w:t xml:space="preserve"> </w:t>
      </w:r>
      <w:r w:rsidR="006D5C19">
        <w:rPr>
          <w:color w:val="000000"/>
        </w:rPr>
        <w:t>extiende</w:t>
      </w:r>
      <w:r>
        <w:rPr>
          <w:color w:val="000000"/>
        </w:rPr>
        <w:t xml:space="preserve"> la propuesta de los mismos autores cuando afirman que este efecto no ocurre en la clave reforzada parcialmente (Abad et al., 2009; Rosas &amp; Callejas-Aguilera, 2006; </w:t>
      </w:r>
      <w:proofErr w:type="spellStart"/>
      <w:r>
        <w:rPr>
          <w:color w:val="000000"/>
        </w:rPr>
        <w:t>Ogallar</w:t>
      </w:r>
      <w:proofErr w:type="spellEnd"/>
      <w:r>
        <w:rPr>
          <w:color w:val="000000"/>
        </w:rPr>
        <w:t xml:space="preserve"> et al., 2019).</w:t>
      </w:r>
    </w:p>
    <w:p w14:paraId="2DCC3105" w14:textId="70A5AADF" w:rsidR="00212C9D" w:rsidRDefault="00212C9D" w:rsidP="00212C9D">
      <w:pPr>
        <w:pBdr>
          <w:top w:val="nil"/>
          <w:left w:val="nil"/>
          <w:bottom w:val="nil"/>
          <w:right w:val="nil"/>
          <w:between w:val="nil"/>
        </w:pBdr>
        <w:spacing w:line="360" w:lineRule="auto"/>
        <w:ind w:firstLine="708"/>
        <w:rPr>
          <w:color w:val="000000"/>
        </w:rPr>
      </w:pPr>
      <w:r>
        <w:rPr>
          <w:color w:val="000000"/>
        </w:rPr>
        <w:t xml:space="preserve">Estos resultados podrían ser debido a que, al exponer a los participantes durante el entrenamiento a los dos contextos, pero cada uno asociado a productos diferentes (productos X y Z en el contexto A y producto Y en el contexto B), se observa que la atención al contexto y a los productos afecta el juicio predictivo de compra casi de forma equitativa durante los ensayos (ver figura 2); no obstante, el consumidor muestra cierta selectividad por diferenciar los productos en sus contextos, como es el caso de la diferencias significativas encontradas en el ensayo 1 y 5 entre los productos Y (producto sin descuento en el contexto B) y Z (producto con descuento continuo en el contexto A), y en el ensayo 9 entre los productos X (producto con diferentes valores de descuento en el contexto A) y </w:t>
      </w:r>
      <w:proofErr w:type="spellStart"/>
      <w:r>
        <w:rPr>
          <w:color w:val="000000"/>
        </w:rPr>
        <w:t>Y</w:t>
      </w:r>
      <w:proofErr w:type="spellEnd"/>
      <w:r>
        <w:rPr>
          <w:color w:val="000000"/>
        </w:rPr>
        <w:t xml:space="preserve"> (producto sin descuento en el contexto B). Nótese que hay cierta periodicidad en estas diferencias (cada 4 ensayos) y que las tres diferencias incluyen un producto de cada contexto de la tarea (A y B); esto puede ser explicado </w:t>
      </w:r>
      <w:r w:rsidR="00EC290F">
        <w:rPr>
          <w:color w:val="000000"/>
        </w:rPr>
        <w:t xml:space="preserve">por el orden de presentación de los bloques de ensayos; como las 12 repeticiones de cada relación producto-descuento fueron divididas en tres bloques de cuatro ensayos cada uno, esto quiere decir que el primer ensayo de cada bloque </w:t>
      </w:r>
      <w:r w:rsidR="00624C87">
        <w:rPr>
          <w:color w:val="000000"/>
        </w:rPr>
        <w:t>correspondería a los ensayos</w:t>
      </w:r>
      <w:r w:rsidR="00EC290F">
        <w:rPr>
          <w:color w:val="000000"/>
        </w:rPr>
        <w:t xml:space="preserve"> 1, 5 y 9, justo los tres ensayos en los que se encontraron diferencias significativas</w:t>
      </w:r>
      <w:r>
        <w:rPr>
          <w:color w:val="000000"/>
        </w:rPr>
        <w:t>.</w:t>
      </w:r>
      <w:r w:rsidR="00EC290F">
        <w:rPr>
          <w:color w:val="000000"/>
        </w:rPr>
        <w:t xml:space="preserve"> Como el orden de presentación fue contrabalanceado; es decir, la mitad de los participantes inició el entrenamiento en el contexto A (orden de </w:t>
      </w:r>
      <w:r w:rsidR="00A74161">
        <w:rPr>
          <w:color w:val="000000"/>
        </w:rPr>
        <w:t>presentación de los bloques</w:t>
      </w:r>
      <w:r w:rsidR="00EC290F">
        <w:rPr>
          <w:color w:val="000000"/>
        </w:rPr>
        <w:t xml:space="preserve"> ABBAAB) y la otra </w:t>
      </w:r>
      <w:r w:rsidR="00EC290F">
        <w:rPr>
          <w:color w:val="000000"/>
        </w:rPr>
        <w:lastRenderedPageBreak/>
        <w:t xml:space="preserve">mitad inició </w:t>
      </w:r>
      <w:r w:rsidR="00A74161">
        <w:rPr>
          <w:color w:val="000000"/>
        </w:rPr>
        <w:t>el</w:t>
      </w:r>
      <w:r w:rsidR="00EC290F">
        <w:rPr>
          <w:color w:val="000000"/>
        </w:rPr>
        <w:t xml:space="preserve"> entrenamiento en el contexto B (orden </w:t>
      </w:r>
      <w:r w:rsidR="00A74161">
        <w:rPr>
          <w:color w:val="000000"/>
        </w:rPr>
        <w:t>de presentación de los bloques BAABBA)</w:t>
      </w:r>
      <w:r w:rsidR="00572951">
        <w:rPr>
          <w:color w:val="000000"/>
        </w:rPr>
        <w:t xml:space="preserve"> (Moreno-Fernández et al., 2012)</w:t>
      </w:r>
      <w:r w:rsidR="00A74161">
        <w:rPr>
          <w:color w:val="000000"/>
        </w:rPr>
        <w:t xml:space="preserve">, encontrar estas diferencias muestra validez del orden de presentación de las claves </w:t>
      </w:r>
      <w:r w:rsidR="002A07B5">
        <w:rPr>
          <w:color w:val="000000"/>
        </w:rPr>
        <w:t>y la</w:t>
      </w:r>
      <w:r w:rsidR="00A74161">
        <w:rPr>
          <w:color w:val="000000"/>
        </w:rPr>
        <w:t xml:space="preserve"> sensibilidad de los participantes al </w:t>
      </w:r>
      <w:r w:rsidR="00624C87">
        <w:rPr>
          <w:color w:val="000000"/>
        </w:rPr>
        <w:t>cambio de bloque</w:t>
      </w:r>
      <w:r w:rsidR="00A74161">
        <w:rPr>
          <w:color w:val="000000"/>
        </w:rPr>
        <w:t xml:space="preserve"> de presentación.</w:t>
      </w:r>
    </w:p>
    <w:p w14:paraId="5ED73EB3" w14:textId="4DC2B3F1" w:rsidR="00D94221" w:rsidRDefault="00D94221" w:rsidP="00D94221">
      <w:pPr>
        <w:pBdr>
          <w:top w:val="nil"/>
          <w:left w:val="nil"/>
          <w:bottom w:val="nil"/>
          <w:right w:val="nil"/>
          <w:between w:val="nil"/>
        </w:pBdr>
        <w:spacing w:line="360" w:lineRule="auto"/>
        <w:ind w:firstLine="708"/>
        <w:rPr>
          <w:color w:val="000000"/>
        </w:rPr>
      </w:pPr>
      <w:r>
        <w:rPr>
          <w:color w:val="000000"/>
        </w:rPr>
        <w:t xml:space="preserve">Por otro lado, la ausencia del efecto de cambio de contexto en el producto que nunca tuvo descuento (Y) podría explicarse con la falta de </w:t>
      </w:r>
      <w:proofErr w:type="spellStart"/>
      <w:r>
        <w:rPr>
          <w:color w:val="000000"/>
        </w:rPr>
        <w:t>saliencia</w:t>
      </w:r>
      <w:proofErr w:type="spellEnd"/>
      <w:r>
        <w:rPr>
          <w:color w:val="000000"/>
        </w:rPr>
        <w:t xml:space="preserve"> del contexto (Abad et al., 2009); como en el contexto B siempre fueron presentados productos que no tenían descuento, el contexto no tuvo la </w:t>
      </w:r>
      <w:proofErr w:type="spellStart"/>
      <w:r>
        <w:rPr>
          <w:color w:val="000000"/>
        </w:rPr>
        <w:t>saliencia</w:t>
      </w:r>
      <w:proofErr w:type="spellEnd"/>
      <w:r>
        <w:rPr>
          <w:color w:val="000000"/>
        </w:rPr>
        <w:t xml:space="preserve"> suficiente para que fuera atendido por el consumidor, y por esto, el cambio de contexto no afectó la recuperación de la información aprendida. Esto confirmaría el papel del RP como elemento que aporta a la determinación de la relevancia que el consumidor le otorga al contexto en situaciones de aprendizaje (Abad et al., 2009; Rosas et al., 2006) y permitiría considerar la explicación del supuesto de que, ante resultados variables, el consumidor puede generar </w:t>
      </w:r>
      <w:sdt>
        <w:sdtPr>
          <w:tag w:val="goog_rdk_20"/>
          <w:id w:val="44723438"/>
        </w:sdtPr>
        <w:sdtEndPr/>
        <w:sdtContent/>
      </w:sdt>
      <w:r>
        <w:rPr>
          <w:color w:val="000000"/>
        </w:rPr>
        <w:t xml:space="preserve">un estado de frustración que actuaría como parte del contexto, y se encargaría de atraer su atención hacia ese contexto, bien por la variabilidad en sí misma, o bien por el recuerdo de dicha variabilidad (Abad et al., 2009; </w:t>
      </w:r>
      <w:proofErr w:type="spellStart"/>
      <w:r w:rsidRPr="00D20593">
        <w:rPr>
          <w:color w:val="000000"/>
        </w:rPr>
        <w:t>Amsel</w:t>
      </w:r>
      <w:proofErr w:type="spellEnd"/>
      <w:r w:rsidRPr="00D20593">
        <w:rPr>
          <w:color w:val="000000"/>
        </w:rPr>
        <w:t xml:space="preserve">, </w:t>
      </w:r>
      <w:r w:rsidRPr="00A16108">
        <w:rPr>
          <w:color w:val="000000"/>
        </w:rPr>
        <w:t>1958, 1992</w:t>
      </w:r>
      <w:r>
        <w:rPr>
          <w:color w:val="000000"/>
        </w:rPr>
        <w:t xml:space="preserve">; </w:t>
      </w:r>
      <w:proofErr w:type="spellStart"/>
      <w:r w:rsidRPr="00014C5D">
        <w:rPr>
          <w:color w:val="000000"/>
        </w:rPr>
        <w:t>Bouton</w:t>
      </w:r>
      <w:proofErr w:type="spellEnd"/>
      <w:r w:rsidRPr="00014C5D">
        <w:rPr>
          <w:color w:val="000000"/>
        </w:rPr>
        <w:t xml:space="preserve"> &amp; </w:t>
      </w:r>
      <w:proofErr w:type="spellStart"/>
      <w:r w:rsidRPr="00014C5D">
        <w:rPr>
          <w:color w:val="000000"/>
        </w:rPr>
        <w:t>Sunsay</w:t>
      </w:r>
      <w:proofErr w:type="spellEnd"/>
      <w:r w:rsidRPr="00014C5D">
        <w:rPr>
          <w:color w:val="000000"/>
        </w:rPr>
        <w:t>, 2001</w:t>
      </w:r>
      <w:r>
        <w:rPr>
          <w:color w:val="000000"/>
        </w:rPr>
        <w:t xml:space="preserve">; </w:t>
      </w:r>
      <w:proofErr w:type="spellStart"/>
      <w:r w:rsidRPr="00762730">
        <w:rPr>
          <w:color w:val="000000"/>
        </w:rPr>
        <w:t>Capaldi</w:t>
      </w:r>
      <w:proofErr w:type="spellEnd"/>
      <w:r w:rsidRPr="00762730">
        <w:rPr>
          <w:color w:val="000000"/>
        </w:rPr>
        <w:t>, 1967, 1994).</w:t>
      </w:r>
      <w:r>
        <w:rPr>
          <w:color w:val="000000"/>
        </w:rPr>
        <w:t xml:space="preserve"> </w:t>
      </w:r>
    </w:p>
    <w:p w14:paraId="00000165" w14:textId="77777777" w:rsidR="00E05D2A" w:rsidRDefault="007D47DC">
      <w:pPr>
        <w:pBdr>
          <w:top w:val="nil"/>
          <w:left w:val="nil"/>
          <w:bottom w:val="nil"/>
          <w:right w:val="nil"/>
          <w:between w:val="nil"/>
        </w:pBdr>
        <w:spacing w:line="360" w:lineRule="auto"/>
        <w:ind w:firstLine="708"/>
        <w:rPr>
          <w:color w:val="000000"/>
        </w:rPr>
      </w:pPr>
      <w:r>
        <w:rPr>
          <w:color w:val="000000"/>
        </w:rPr>
        <w:t>De esta manera, cuando un consumidor aprende que un producto puede tener descuentos variables en una tienda específica (caso del producto X asociado a diferentes valores de descuento en la tienda A), existe la probabilidad de que compre el producto allí, pero si encuentra el mismo producto en otra tienda, aunque le resulte familiar (producto X en la tienda B), la probabilidad de compra disminuye como efecto de la atención que la nueva tienda (contexto diferente - B) requiere para procesar la información y vincularla al aprendizaje previo (producto X en el contexto A). El mismo efecto ocurre con el producto que siempre tiene el mismo valor de descuento y que fue asociado al mismo contexto (caso del producto Z en la tienda A). De otro lado, cuando el consumidor aprende que en una tienda específica encuentra un producto que nunca tiene descuento (caso del producto Y en la tienda B), la probabilidad de compra de este producto es menor (aunque no necesariamente baja), y esta probabilidad de compra no se afecta de manera importante cuando el producto es visto en una tienda diferente (producto Y en la tienda A) (ver figura 3).</w:t>
      </w:r>
    </w:p>
    <w:p w14:paraId="00000168" w14:textId="62565B32" w:rsidR="00E05D2A" w:rsidRDefault="00ED7506">
      <w:pPr>
        <w:pBdr>
          <w:top w:val="nil"/>
          <w:left w:val="nil"/>
          <w:bottom w:val="nil"/>
          <w:right w:val="nil"/>
          <w:between w:val="nil"/>
        </w:pBdr>
        <w:spacing w:line="360" w:lineRule="auto"/>
        <w:ind w:firstLine="708"/>
        <w:rPr>
          <w:color w:val="000000"/>
        </w:rPr>
      </w:pPr>
      <w:r>
        <w:rPr>
          <w:color w:val="000000"/>
        </w:rPr>
        <w:t xml:space="preserve">Por tanto, </w:t>
      </w:r>
      <w:r w:rsidR="007D47DC">
        <w:rPr>
          <w:color w:val="000000"/>
        </w:rPr>
        <w:t xml:space="preserve">la </w:t>
      </w:r>
      <w:proofErr w:type="spellStart"/>
      <w:r w:rsidR="007D47DC">
        <w:rPr>
          <w:color w:val="000000"/>
        </w:rPr>
        <w:t>saliencia</w:t>
      </w:r>
      <w:proofErr w:type="spellEnd"/>
      <w:r w:rsidR="007D47DC">
        <w:rPr>
          <w:color w:val="000000"/>
        </w:rPr>
        <w:t xml:space="preserve"> del contexto</w:t>
      </w:r>
      <w:r>
        <w:rPr>
          <w:color w:val="000000"/>
        </w:rPr>
        <w:t xml:space="preserve"> puede ser explicada debido a que </w:t>
      </w:r>
      <w:r w:rsidR="007D47DC">
        <w:rPr>
          <w:color w:val="000000"/>
        </w:rPr>
        <w:t>el consumidor</w:t>
      </w:r>
      <w:r>
        <w:rPr>
          <w:color w:val="000000"/>
        </w:rPr>
        <w:t xml:space="preserve"> aprende más rápidamente la asociación contexto-producto</w:t>
      </w:r>
      <w:r w:rsidR="00796CF8">
        <w:rPr>
          <w:color w:val="000000"/>
        </w:rPr>
        <w:t xml:space="preserve"> </w:t>
      </w:r>
      <w:r w:rsidR="007D47DC">
        <w:rPr>
          <w:color w:val="000000"/>
        </w:rPr>
        <w:t xml:space="preserve">al encontrar diferencias entre los contextos, </w:t>
      </w:r>
      <w:r w:rsidR="00796CF8">
        <w:rPr>
          <w:color w:val="000000"/>
        </w:rPr>
        <w:t>donde</w:t>
      </w:r>
      <w:r w:rsidR="007D47DC">
        <w:rPr>
          <w:color w:val="000000"/>
        </w:rPr>
        <w:t xml:space="preserve"> uno resultaba más sobresaliente (contexto A) al incluir productos que tenían descuentos (productos X y Z) en comparación con otro (contexto B) donde los productos nunca tenían descuento (producto Y). A medida que adquiere experiencia, el consumidor </w:t>
      </w:r>
      <w:r w:rsidR="007D47DC">
        <w:rPr>
          <w:color w:val="000000"/>
        </w:rPr>
        <w:lastRenderedPageBreak/>
        <w:t>puede identificar que en el contexto donde hay descuentos, hay más de un producto y uno de ellos tiene diferentes valores de descuento (producto X – reforzado parcialmente)</w:t>
      </w:r>
      <w:r w:rsidR="00796CF8">
        <w:rPr>
          <w:color w:val="000000"/>
        </w:rPr>
        <w:t xml:space="preserve">; por tanto, al </w:t>
      </w:r>
      <w:r w:rsidR="007D47DC">
        <w:rPr>
          <w:color w:val="000000"/>
        </w:rPr>
        <w:t xml:space="preserve">aprender las asociaciones de cada producto con un resultado, el consumidor atiende más al contexto donde requiere procesar más asociaciones (contexto A – X50%, X30%, X0%, Z30%) en comparación con otros contextos (contexto B – Y0%). </w:t>
      </w:r>
      <w:r w:rsidR="00796CF8">
        <w:rPr>
          <w:color w:val="000000"/>
        </w:rPr>
        <w:t>De esta manera, h</w:t>
      </w:r>
      <w:r w:rsidR="007D47DC">
        <w:rPr>
          <w:color w:val="000000"/>
        </w:rPr>
        <w:t xml:space="preserve">acia el final del entrenamiento el consumidor </w:t>
      </w:r>
      <w:r w:rsidR="00796CF8">
        <w:rPr>
          <w:color w:val="000000"/>
        </w:rPr>
        <w:t xml:space="preserve">aprende más rápidamente la asociación contexto-resultado con </w:t>
      </w:r>
      <w:r w:rsidR="007D47DC">
        <w:rPr>
          <w:color w:val="000000"/>
        </w:rPr>
        <w:t>el producto que puede ofrecer parcialmente un descuento del 50% (producto X en el contexto A); por esto, toda la información aprendida en el contexto A se convirtió en dependiente del contexto y se afectó su juicio predictivo al tratar de recuperar la información en un contexto diferente, generando una situación de ambigüedad al exponer información contradictoria (productos X y Z en el contexto B) (</w:t>
      </w:r>
      <w:proofErr w:type="spellStart"/>
      <w:r w:rsidR="007D47DC">
        <w:rPr>
          <w:color w:val="000000"/>
        </w:rPr>
        <w:t>A</w:t>
      </w:r>
      <w:r w:rsidR="00073288">
        <w:rPr>
          <w:color w:val="000000"/>
        </w:rPr>
        <w:t>ristizabal</w:t>
      </w:r>
      <w:proofErr w:type="spellEnd"/>
      <w:r w:rsidR="007D47DC">
        <w:rPr>
          <w:color w:val="000000"/>
        </w:rPr>
        <w:t xml:space="preserve"> et al., 2016, 2017; Bernal-Gamboa et al., 2015; </w:t>
      </w:r>
      <w:proofErr w:type="spellStart"/>
      <w:r w:rsidR="007D47DC">
        <w:rPr>
          <w:color w:val="000000"/>
        </w:rPr>
        <w:t>Bouton</w:t>
      </w:r>
      <w:proofErr w:type="spellEnd"/>
      <w:r w:rsidR="007D47DC">
        <w:rPr>
          <w:color w:val="000000"/>
        </w:rPr>
        <w:t>, 1997; Callejas-Aguilera &amp; Rosas, 2010; Nelson et al., 2013; Rosas &amp; Callejas-Aguilera, 2006, 2007; Rosas et al., 2006).</w:t>
      </w:r>
    </w:p>
    <w:p w14:paraId="00000169" w14:textId="53EB8BD5" w:rsidR="00E05D2A" w:rsidRDefault="003075E7">
      <w:pPr>
        <w:pBdr>
          <w:top w:val="nil"/>
          <w:left w:val="nil"/>
          <w:bottom w:val="nil"/>
          <w:right w:val="nil"/>
          <w:between w:val="nil"/>
        </w:pBdr>
        <w:spacing w:line="360" w:lineRule="auto"/>
        <w:ind w:firstLine="708"/>
        <w:rPr>
          <w:color w:val="000000"/>
        </w:rPr>
      </w:pPr>
      <w:r w:rsidRPr="003075E7">
        <w:rPr>
          <w:color w:val="000000"/>
        </w:rPr>
        <w:t>De acuerdo con lo anterior</w:t>
      </w:r>
      <w:r>
        <w:rPr>
          <w:color w:val="000000"/>
        </w:rPr>
        <w:t>,</w:t>
      </w:r>
      <w:r w:rsidRPr="003075E7">
        <w:rPr>
          <w:color w:val="000000"/>
        </w:rPr>
        <w:t xml:space="preserve"> uno de los factores que aumenta la </w:t>
      </w:r>
      <w:proofErr w:type="spellStart"/>
      <w:r w:rsidRPr="003075E7">
        <w:rPr>
          <w:color w:val="000000"/>
        </w:rPr>
        <w:t>saliencia</w:t>
      </w:r>
      <w:proofErr w:type="spellEnd"/>
      <w:r w:rsidRPr="003075E7">
        <w:rPr>
          <w:color w:val="000000"/>
        </w:rPr>
        <w:t xml:space="preserve"> del contexto</w:t>
      </w:r>
      <w:r>
        <w:rPr>
          <w:color w:val="000000"/>
        </w:rPr>
        <w:t xml:space="preserve"> </w:t>
      </w:r>
      <w:r w:rsidRPr="003075E7">
        <w:rPr>
          <w:color w:val="000000"/>
        </w:rPr>
        <w:t>es el valor diferencial del resultado (</w:t>
      </w:r>
      <w:r>
        <w:rPr>
          <w:color w:val="000000"/>
        </w:rPr>
        <w:t xml:space="preserve">diferentes valores de </w:t>
      </w:r>
      <w:r w:rsidRPr="003075E7">
        <w:rPr>
          <w:color w:val="000000"/>
        </w:rPr>
        <w:t>descuento)</w:t>
      </w:r>
      <w:r>
        <w:rPr>
          <w:color w:val="000000"/>
        </w:rPr>
        <w:t>;</w:t>
      </w:r>
      <w:r w:rsidRPr="003075E7">
        <w:rPr>
          <w:color w:val="000000"/>
        </w:rPr>
        <w:t xml:space="preserve"> los resultados </w:t>
      </w:r>
      <w:r w:rsidR="007D47DC">
        <w:rPr>
          <w:color w:val="000000"/>
        </w:rPr>
        <w:t>permiten considerar el papel de la promoción de venta tipo descuento como efectiva en la generación de expectativas en el consumidor</w:t>
      </w:r>
      <w:r>
        <w:rPr>
          <w:color w:val="000000"/>
        </w:rPr>
        <w:t xml:space="preserve"> hacia el contexto donde se presenta el producto</w:t>
      </w:r>
      <w:r w:rsidR="007D47DC">
        <w:rPr>
          <w:color w:val="000000"/>
        </w:rPr>
        <w:t xml:space="preserve"> (</w:t>
      </w:r>
      <w:proofErr w:type="spellStart"/>
      <w:r w:rsidR="007D47DC">
        <w:rPr>
          <w:color w:val="000000"/>
        </w:rPr>
        <w:t>Alimpic</w:t>
      </w:r>
      <w:proofErr w:type="spellEnd"/>
      <w:r w:rsidR="007D47DC">
        <w:rPr>
          <w:color w:val="000000"/>
        </w:rPr>
        <w:t xml:space="preserve">, 2014; </w:t>
      </w:r>
      <w:proofErr w:type="spellStart"/>
      <w:r w:rsidR="007D47DC">
        <w:rPr>
          <w:color w:val="000000"/>
        </w:rPr>
        <w:t>Hoch</w:t>
      </w:r>
      <w:proofErr w:type="spellEnd"/>
      <w:r w:rsidR="007D47DC">
        <w:rPr>
          <w:color w:val="000000"/>
        </w:rPr>
        <w:t xml:space="preserve"> &amp; </w:t>
      </w:r>
      <w:proofErr w:type="spellStart"/>
      <w:r w:rsidR="007D47DC">
        <w:rPr>
          <w:color w:val="000000"/>
        </w:rPr>
        <w:t>Deighton</w:t>
      </w:r>
      <w:proofErr w:type="spellEnd"/>
      <w:r w:rsidR="007D47DC">
        <w:rPr>
          <w:color w:val="000000"/>
        </w:rPr>
        <w:t xml:space="preserve">, 1989); de tal manera que, el vincular un producto a la ausencia de descuento, podría facilitar el procesamiento de la información en el consumidor al no generarle expectativas; </w:t>
      </w:r>
      <w:r w:rsidR="00B009ED">
        <w:rPr>
          <w:color w:val="000000"/>
        </w:rPr>
        <w:t>así,</w:t>
      </w:r>
      <w:r w:rsidR="007D47DC">
        <w:rPr>
          <w:color w:val="000000"/>
        </w:rPr>
        <w:t xml:space="preserve"> cambiar el contexto de este producto (encontrarlo en una tienda diferente) no implica cambios atencionales importantes por lo que la probabilidad de compra se mantiene. Ahora bien, como estrategia promocional de venta, desde la perspectiva del estudio de la atención que el consumidor presta a las diferentes fuentes de información (claves, resultados, contextos), </w:t>
      </w:r>
      <w:r w:rsidR="006D5C19">
        <w:rPr>
          <w:color w:val="000000"/>
        </w:rPr>
        <w:t>los</w:t>
      </w:r>
      <w:r w:rsidR="007D47DC">
        <w:rPr>
          <w:color w:val="000000"/>
        </w:rPr>
        <w:t xml:space="preserve"> resultados muestran que alternar los valores de descuento podría ser vista como una buena estrategia para incrementar la visibilidad de la tienda y </w:t>
      </w:r>
      <w:proofErr w:type="spellStart"/>
      <w:r w:rsidR="007D47DC">
        <w:rPr>
          <w:color w:val="000000"/>
        </w:rPr>
        <w:t>probabilizar</w:t>
      </w:r>
      <w:proofErr w:type="spellEnd"/>
      <w:r w:rsidR="007D47DC">
        <w:rPr>
          <w:color w:val="000000"/>
        </w:rPr>
        <w:t xml:space="preserve"> la compra; pues la expectativa generada en el consumidor de encontrar descuentos en ese punto de venta particular, disminuye la probabilidad de comprar en puntos de venta diferentes. </w:t>
      </w:r>
      <w:r w:rsidR="00B76469" w:rsidRPr="00B76469">
        <w:rPr>
          <w:color w:val="000000"/>
        </w:rPr>
        <w:t>Sin embargo, también</w:t>
      </w:r>
      <w:r w:rsidR="00B76469">
        <w:rPr>
          <w:color w:val="000000"/>
        </w:rPr>
        <w:t xml:space="preserve"> se</w:t>
      </w:r>
      <w:r w:rsidR="00B76469" w:rsidRPr="00B76469">
        <w:rPr>
          <w:color w:val="000000"/>
        </w:rPr>
        <w:t xml:space="preserve"> produce de forma simultánea una devaluación de la eficacia predictiva del descuento </w:t>
      </w:r>
      <w:r w:rsidR="005A75C1" w:rsidRPr="00B76469">
        <w:rPr>
          <w:color w:val="000000"/>
        </w:rPr>
        <w:t>en relación con el</w:t>
      </w:r>
      <w:r w:rsidR="00B76469" w:rsidRPr="00B76469">
        <w:rPr>
          <w:color w:val="000000"/>
        </w:rPr>
        <w:t xml:space="preserve"> producto, </w:t>
      </w:r>
      <w:r w:rsidR="00B76469">
        <w:rPr>
          <w:color w:val="000000"/>
        </w:rPr>
        <w:t xml:space="preserve">donde el consumidor </w:t>
      </w:r>
      <w:r w:rsidR="00B76469" w:rsidRPr="00B76469">
        <w:rPr>
          <w:color w:val="000000"/>
        </w:rPr>
        <w:t>aument</w:t>
      </w:r>
      <w:r w:rsidR="00B76469">
        <w:rPr>
          <w:color w:val="000000"/>
        </w:rPr>
        <w:t>a</w:t>
      </w:r>
      <w:r w:rsidR="00B76469" w:rsidRPr="00B76469">
        <w:rPr>
          <w:color w:val="000000"/>
        </w:rPr>
        <w:t xml:space="preserve"> la </w:t>
      </w:r>
      <w:proofErr w:type="spellStart"/>
      <w:r w:rsidR="00B76469" w:rsidRPr="00B76469">
        <w:rPr>
          <w:color w:val="000000"/>
        </w:rPr>
        <w:t>saliencia</w:t>
      </w:r>
      <w:proofErr w:type="spellEnd"/>
      <w:r w:rsidR="00B76469" w:rsidRPr="00B76469">
        <w:rPr>
          <w:color w:val="000000"/>
        </w:rPr>
        <w:t xml:space="preserve"> </w:t>
      </w:r>
      <w:r w:rsidR="00B76469">
        <w:rPr>
          <w:color w:val="000000"/>
        </w:rPr>
        <w:t>de</w:t>
      </w:r>
      <w:r w:rsidR="00B76469" w:rsidRPr="00B76469">
        <w:rPr>
          <w:color w:val="000000"/>
        </w:rPr>
        <w:t xml:space="preserve"> la</w:t>
      </w:r>
      <w:r w:rsidR="00B76469">
        <w:rPr>
          <w:color w:val="000000"/>
        </w:rPr>
        <w:t xml:space="preserve"> </w:t>
      </w:r>
      <w:r w:rsidR="00B76469" w:rsidRPr="00B76469">
        <w:rPr>
          <w:color w:val="000000"/>
        </w:rPr>
        <w:t>relaci</w:t>
      </w:r>
      <w:r w:rsidR="00B76469">
        <w:rPr>
          <w:color w:val="000000"/>
        </w:rPr>
        <w:t>ó</w:t>
      </w:r>
      <w:r w:rsidR="00B76469" w:rsidRPr="00B76469">
        <w:rPr>
          <w:color w:val="000000"/>
        </w:rPr>
        <w:t xml:space="preserve">n predictiva </w:t>
      </w:r>
      <w:r w:rsidR="007E6E28">
        <w:rPr>
          <w:color w:val="000000"/>
        </w:rPr>
        <w:t xml:space="preserve">entre </w:t>
      </w:r>
      <w:r w:rsidR="00B76469" w:rsidRPr="00B76469">
        <w:rPr>
          <w:color w:val="000000"/>
        </w:rPr>
        <w:t>contexto-producto</w:t>
      </w:r>
      <w:r w:rsidR="00B76469">
        <w:rPr>
          <w:color w:val="000000"/>
        </w:rPr>
        <w:t>, y vuelve</w:t>
      </w:r>
      <w:r w:rsidR="00B76469" w:rsidRPr="00B76469">
        <w:rPr>
          <w:color w:val="000000"/>
        </w:rPr>
        <w:t xml:space="preserve"> irrelevante la relación producto-descuento</w:t>
      </w:r>
      <w:r w:rsidR="00B76469">
        <w:rPr>
          <w:color w:val="000000"/>
        </w:rPr>
        <w:t xml:space="preserve"> (</w:t>
      </w:r>
      <w:proofErr w:type="spellStart"/>
      <w:r w:rsidR="00702566" w:rsidRPr="00702566">
        <w:rPr>
          <w:color w:val="000000"/>
        </w:rPr>
        <w:t>Griffiths</w:t>
      </w:r>
      <w:proofErr w:type="spellEnd"/>
      <w:r w:rsidR="00702566" w:rsidRPr="00702566">
        <w:rPr>
          <w:color w:val="000000"/>
        </w:rPr>
        <w:t xml:space="preserve"> &amp; </w:t>
      </w:r>
      <w:proofErr w:type="spellStart"/>
      <w:r w:rsidR="00702566" w:rsidRPr="00702566">
        <w:rPr>
          <w:color w:val="000000"/>
        </w:rPr>
        <w:t>Thorwart</w:t>
      </w:r>
      <w:proofErr w:type="spellEnd"/>
      <w:r w:rsidR="00702566" w:rsidRPr="00702566">
        <w:rPr>
          <w:color w:val="000000"/>
        </w:rPr>
        <w:t>,</w:t>
      </w:r>
      <w:r w:rsidR="005A75C1">
        <w:rPr>
          <w:color w:val="000000"/>
        </w:rPr>
        <w:t xml:space="preserve"> </w:t>
      </w:r>
      <w:r w:rsidR="00702566" w:rsidRPr="00702566">
        <w:rPr>
          <w:color w:val="000000"/>
        </w:rPr>
        <w:t>2017)</w:t>
      </w:r>
      <w:r w:rsidR="005A75C1">
        <w:rPr>
          <w:color w:val="000000"/>
        </w:rPr>
        <w:t>.</w:t>
      </w:r>
      <w:r w:rsidR="00E558BC">
        <w:rPr>
          <w:color w:val="000000"/>
        </w:rPr>
        <w:t xml:space="preserve"> </w:t>
      </w:r>
      <w:r w:rsidR="007D47DC">
        <w:rPr>
          <w:color w:val="000000"/>
        </w:rPr>
        <w:t xml:space="preserve">Por </w:t>
      </w:r>
      <w:r w:rsidR="00E558BC">
        <w:rPr>
          <w:color w:val="000000"/>
        </w:rPr>
        <w:t>otro lado</w:t>
      </w:r>
      <w:r w:rsidR="007D47DC">
        <w:rPr>
          <w:color w:val="000000"/>
        </w:rPr>
        <w:t xml:space="preserve">, la no presentación de descuento puede generar en el consumidor un aprendizaje específico del producto </w:t>
      </w:r>
      <w:r w:rsidR="00CA146D">
        <w:rPr>
          <w:color w:val="000000"/>
        </w:rPr>
        <w:t xml:space="preserve">al fijarse en las características del producto </w:t>
      </w:r>
      <w:r w:rsidR="007D47DC">
        <w:rPr>
          <w:color w:val="000000"/>
        </w:rPr>
        <w:t xml:space="preserve">y, desde la perspectiva del descuento, no se brindaría información que </w:t>
      </w:r>
      <w:r w:rsidR="00CA146D">
        <w:rPr>
          <w:color w:val="000000"/>
        </w:rPr>
        <w:t>volviera</w:t>
      </w:r>
      <w:r w:rsidR="007D47DC">
        <w:rPr>
          <w:color w:val="000000"/>
        </w:rPr>
        <w:t xml:space="preserve"> más saliente la tienda, haciendo que la valoración de los </w:t>
      </w:r>
      <w:r w:rsidR="007D47DC">
        <w:rPr>
          <w:color w:val="000000"/>
        </w:rPr>
        <w:lastRenderedPageBreak/>
        <w:t xml:space="preserve">consumidores sobre este contexto sea más neutral; en otras palabras, el valor diferencial de descuento facilita </w:t>
      </w:r>
      <w:r w:rsidR="006D5C19">
        <w:rPr>
          <w:color w:val="000000"/>
        </w:rPr>
        <w:t>el aprendizaje</w:t>
      </w:r>
      <w:r w:rsidR="007D47DC">
        <w:rPr>
          <w:color w:val="000000"/>
        </w:rPr>
        <w:t xml:space="preserve"> de las asociaciones con productos y tiendas (Le </w:t>
      </w:r>
      <w:proofErr w:type="spellStart"/>
      <w:r w:rsidR="007D47DC">
        <w:rPr>
          <w:color w:val="000000"/>
        </w:rPr>
        <w:t>Pelley</w:t>
      </w:r>
      <w:proofErr w:type="spellEnd"/>
      <w:r w:rsidR="007D47DC">
        <w:rPr>
          <w:color w:val="000000"/>
        </w:rPr>
        <w:t xml:space="preserve"> et al., 2013).</w:t>
      </w:r>
    </w:p>
    <w:p w14:paraId="0000016A" w14:textId="6232BB3B" w:rsidR="00E05D2A" w:rsidRDefault="007275EA">
      <w:pPr>
        <w:pBdr>
          <w:top w:val="nil"/>
          <w:left w:val="nil"/>
          <w:bottom w:val="nil"/>
          <w:right w:val="nil"/>
          <w:between w:val="nil"/>
        </w:pBdr>
        <w:spacing w:line="360" w:lineRule="auto"/>
        <w:ind w:firstLine="708"/>
        <w:rPr>
          <w:color w:val="000000"/>
        </w:rPr>
      </w:pPr>
      <w:r w:rsidRPr="007275EA">
        <w:rPr>
          <w:color w:val="000000"/>
        </w:rPr>
        <w:t xml:space="preserve">Desde la perspectiva del marketing y </w:t>
      </w:r>
      <w:r>
        <w:rPr>
          <w:color w:val="000000"/>
        </w:rPr>
        <w:t xml:space="preserve">la </w:t>
      </w:r>
      <w:r w:rsidRPr="007275EA">
        <w:rPr>
          <w:color w:val="000000"/>
        </w:rPr>
        <w:t>psicología del consumidor</w:t>
      </w:r>
      <w:r>
        <w:rPr>
          <w:color w:val="000000"/>
        </w:rPr>
        <w:t>,</w:t>
      </w:r>
      <w:r w:rsidRPr="007275EA">
        <w:rPr>
          <w:color w:val="000000"/>
        </w:rPr>
        <w:t xml:space="preserve"> estos hallazgos</w:t>
      </w:r>
      <w:r>
        <w:rPr>
          <w:color w:val="000000"/>
        </w:rPr>
        <w:t xml:space="preserve"> </w:t>
      </w:r>
      <w:r w:rsidRPr="007275EA">
        <w:rPr>
          <w:color w:val="000000"/>
        </w:rPr>
        <w:t>sobre el uso de diferentes productos relacionados con dif</w:t>
      </w:r>
      <w:r>
        <w:rPr>
          <w:color w:val="000000"/>
        </w:rPr>
        <w:t>erentes</w:t>
      </w:r>
      <w:r w:rsidRPr="007275EA">
        <w:rPr>
          <w:color w:val="000000"/>
        </w:rPr>
        <w:t xml:space="preserve"> valores de descuento en un</w:t>
      </w:r>
      <w:r>
        <w:rPr>
          <w:color w:val="000000"/>
        </w:rPr>
        <w:t xml:space="preserve"> </w:t>
      </w:r>
      <w:r w:rsidRPr="007275EA">
        <w:rPr>
          <w:color w:val="000000"/>
        </w:rPr>
        <w:t>punto de venta, proporciona</w:t>
      </w:r>
      <w:r>
        <w:rPr>
          <w:color w:val="000000"/>
        </w:rPr>
        <w:t>n</w:t>
      </w:r>
      <w:r w:rsidRPr="007275EA">
        <w:rPr>
          <w:color w:val="000000"/>
        </w:rPr>
        <w:t xml:space="preserve"> informaci</w:t>
      </w:r>
      <w:r>
        <w:rPr>
          <w:color w:val="000000"/>
        </w:rPr>
        <w:t>ó</w:t>
      </w:r>
      <w:r w:rsidRPr="007275EA">
        <w:rPr>
          <w:color w:val="000000"/>
        </w:rPr>
        <w:t>n acerca de c</w:t>
      </w:r>
      <w:r>
        <w:rPr>
          <w:color w:val="000000"/>
        </w:rPr>
        <w:t>ó</w:t>
      </w:r>
      <w:r w:rsidRPr="007275EA">
        <w:rPr>
          <w:color w:val="000000"/>
        </w:rPr>
        <w:t xml:space="preserve">mo </w:t>
      </w:r>
      <w:r>
        <w:rPr>
          <w:color w:val="000000"/>
        </w:rPr>
        <w:t xml:space="preserve">el </w:t>
      </w:r>
      <w:r w:rsidR="007D47DC">
        <w:rPr>
          <w:color w:val="000000"/>
        </w:rPr>
        <w:t xml:space="preserve">consumidor selecciona los elementos que le facilitan el procesamiento de la información para aprender </w:t>
      </w:r>
      <w:r>
        <w:rPr>
          <w:color w:val="000000"/>
        </w:rPr>
        <w:t xml:space="preserve">a predecir </w:t>
      </w:r>
      <w:r w:rsidR="007D47DC">
        <w:rPr>
          <w:color w:val="000000"/>
        </w:rPr>
        <w:t>asociaciones, y dentro de los elementos que compiten por esa atención están las claves (</w:t>
      </w:r>
      <w:proofErr w:type="spellStart"/>
      <w:r w:rsidR="007D47DC">
        <w:rPr>
          <w:color w:val="000000"/>
        </w:rPr>
        <w:t>e.g</w:t>
      </w:r>
      <w:proofErr w:type="spellEnd"/>
      <w:r w:rsidR="007D47DC">
        <w:rPr>
          <w:color w:val="000000"/>
        </w:rPr>
        <w:t>., los productos), los resultados (</w:t>
      </w:r>
      <w:proofErr w:type="spellStart"/>
      <w:r w:rsidR="007D47DC">
        <w:rPr>
          <w:color w:val="000000"/>
        </w:rPr>
        <w:t>e.g</w:t>
      </w:r>
      <w:proofErr w:type="spellEnd"/>
      <w:r w:rsidR="007D47DC">
        <w:rPr>
          <w:color w:val="000000"/>
        </w:rPr>
        <w:t>., valores de descuento), los contextos (</w:t>
      </w:r>
      <w:proofErr w:type="spellStart"/>
      <w:r w:rsidR="007D47DC">
        <w:rPr>
          <w:color w:val="000000"/>
        </w:rPr>
        <w:t>e.g</w:t>
      </w:r>
      <w:proofErr w:type="spellEnd"/>
      <w:r w:rsidR="007D47DC">
        <w:rPr>
          <w:color w:val="000000"/>
        </w:rPr>
        <w:t xml:space="preserve">., las tiendas), entre otros. Es importante considerar toda la información que se presenta al consumidor, </w:t>
      </w:r>
      <w:r w:rsidR="007E6E28">
        <w:rPr>
          <w:color w:val="000000"/>
        </w:rPr>
        <w:t>teniendo en cuenta que</w:t>
      </w:r>
      <w:r w:rsidR="007D47DC">
        <w:rPr>
          <w:color w:val="000000"/>
        </w:rPr>
        <w:t xml:space="preserve"> esta información tiene el potencial de ser procesada atencionalmente y, además, de orientar la decisión en un escenario de consumo siendo almacenada como parte de la experiencia del consumidor.</w:t>
      </w:r>
    </w:p>
    <w:p w14:paraId="0000016B" w14:textId="41DD396D" w:rsidR="00E05D2A" w:rsidRDefault="007D47DC">
      <w:pPr>
        <w:pBdr>
          <w:top w:val="nil"/>
          <w:left w:val="nil"/>
          <w:bottom w:val="nil"/>
          <w:right w:val="nil"/>
          <w:between w:val="nil"/>
        </w:pBdr>
        <w:spacing w:line="360" w:lineRule="auto"/>
        <w:ind w:firstLine="708"/>
        <w:rPr>
          <w:color w:val="000000"/>
        </w:rPr>
      </w:pPr>
      <w:r>
        <w:rPr>
          <w:color w:val="000000"/>
        </w:rPr>
        <w:t xml:space="preserve">De otro lado, en </w:t>
      </w:r>
      <w:r w:rsidR="006D5C19">
        <w:rPr>
          <w:color w:val="000000"/>
        </w:rPr>
        <w:t>esto</w:t>
      </w:r>
      <w:r>
        <w:rPr>
          <w:color w:val="000000"/>
        </w:rPr>
        <w:t xml:space="preserve">s hallazgos se puede evidenciar que las tiendas de presentación de los productos hacen parte de la información que es procesada por el consumidor como contexto, y también participa en el procesamiento atencional (Le </w:t>
      </w:r>
      <w:proofErr w:type="spellStart"/>
      <w:r>
        <w:rPr>
          <w:color w:val="000000"/>
        </w:rPr>
        <w:t>Pelley</w:t>
      </w:r>
      <w:proofErr w:type="spellEnd"/>
      <w:r>
        <w:rPr>
          <w:color w:val="000000"/>
        </w:rPr>
        <w:t xml:space="preserve"> et al., 2016, 2013; Rosas et al., 2006). Con la exposición repetida a situaciones de compra en condiciones similares, el consumidor adquiere experiencia y aprende en qué tienda puede encontrar productos con descuentos específicos; e incluso, a </w:t>
      </w:r>
      <w:proofErr w:type="spellStart"/>
      <w:r>
        <w:rPr>
          <w:color w:val="000000"/>
        </w:rPr>
        <w:t>probabilizar</w:t>
      </w:r>
      <w:proofErr w:type="spellEnd"/>
      <w:r>
        <w:rPr>
          <w:color w:val="000000"/>
        </w:rPr>
        <w:t xml:space="preserve"> en qué circunstancias contextuales (día de la semana, horario, época del año) compraría el producto. La atención del consumidor se puede dividir entre aquellas claves que son mejores </w:t>
      </w:r>
      <w:proofErr w:type="spellStart"/>
      <w:r>
        <w:rPr>
          <w:color w:val="000000"/>
        </w:rPr>
        <w:t>predictoras</w:t>
      </w:r>
      <w:proofErr w:type="spellEnd"/>
      <w:r>
        <w:rPr>
          <w:color w:val="000000"/>
        </w:rPr>
        <w:t xml:space="preserve"> de resultados (</w:t>
      </w:r>
      <w:proofErr w:type="spellStart"/>
      <w:r>
        <w:rPr>
          <w:color w:val="000000"/>
        </w:rPr>
        <w:t>Mackintosh</w:t>
      </w:r>
      <w:proofErr w:type="spellEnd"/>
      <w:r>
        <w:rPr>
          <w:color w:val="000000"/>
        </w:rPr>
        <w:t>, 1975) y aquellas que ofrecen información que, aunque irrelevante, le resulte más familiar y se le facilite reconocer (</w:t>
      </w:r>
      <w:proofErr w:type="spellStart"/>
      <w:r>
        <w:rPr>
          <w:color w:val="000000"/>
        </w:rPr>
        <w:t>Pearce</w:t>
      </w:r>
      <w:proofErr w:type="spellEnd"/>
      <w:r>
        <w:rPr>
          <w:color w:val="000000"/>
        </w:rPr>
        <w:t xml:space="preserve"> &amp; Hall, 1980). Esta información podría ser de interés para las empresas al momento de establecer o modificar sus estrategias promocionales de venta teniendo en cuenta lo que le han enseñado a su consumidor (la experiencia que le han brindado) y lo que esperan entregar como valor agregado (novedad).  </w:t>
      </w:r>
    </w:p>
    <w:p w14:paraId="0000016C" w14:textId="7FF41D7C" w:rsidR="00E05D2A" w:rsidRDefault="007D47DC">
      <w:pPr>
        <w:pBdr>
          <w:top w:val="nil"/>
          <w:left w:val="nil"/>
          <w:bottom w:val="nil"/>
          <w:right w:val="nil"/>
          <w:between w:val="nil"/>
        </w:pBdr>
        <w:spacing w:line="360" w:lineRule="auto"/>
        <w:ind w:firstLine="708"/>
        <w:rPr>
          <w:color w:val="000000"/>
        </w:rPr>
      </w:pPr>
      <w:r>
        <w:rPr>
          <w:color w:val="000000"/>
        </w:rPr>
        <w:t>Finalmente, aunque el estudio del aprendizaje asociativo en el consumidor aún se encuentra en una etapa temprana que promete desarrollos importantes (</w:t>
      </w:r>
      <w:proofErr w:type="spellStart"/>
      <w:r>
        <w:rPr>
          <w:color w:val="000000"/>
        </w:rPr>
        <w:t>Sozuer</w:t>
      </w:r>
      <w:proofErr w:type="spellEnd"/>
      <w:r>
        <w:rPr>
          <w:color w:val="000000"/>
        </w:rPr>
        <w:t xml:space="preserve"> et al., 2020), existen aproximaciones interesantes que muestran la implicación de procesos como el aprendizaje y la memoria en la decisión del consumidor (</w:t>
      </w:r>
      <w:proofErr w:type="spellStart"/>
      <w:r>
        <w:rPr>
          <w:color w:val="000000"/>
        </w:rPr>
        <w:t>Kruschke</w:t>
      </w:r>
      <w:proofErr w:type="spellEnd"/>
      <w:r>
        <w:rPr>
          <w:color w:val="000000"/>
        </w:rPr>
        <w:t xml:space="preserve"> &amp; </w:t>
      </w:r>
      <w:proofErr w:type="spellStart"/>
      <w:r>
        <w:rPr>
          <w:color w:val="000000"/>
        </w:rPr>
        <w:t>Hullinger</w:t>
      </w:r>
      <w:proofErr w:type="spellEnd"/>
      <w:r>
        <w:rPr>
          <w:color w:val="000000"/>
        </w:rPr>
        <w:t xml:space="preserve">, 2010; Van </w:t>
      </w:r>
      <w:proofErr w:type="spellStart"/>
      <w:r>
        <w:rPr>
          <w:color w:val="000000"/>
        </w:rPr>
        <w:t>Osselaer</w:t>
      </w:r>
      <w:proofErr w:type="spellEnd"/>
      <w:r>
        <w:rPr>
          <w:color w:val="000000"/>
        </w:rPr>
        <w:t>, 2008), el papel de la motivación en la generación de expectativas (</w:t>
      </w:r>
      <w:proofErr w:type="spellStart"/>
      <w:r>
        <w:rPr>
          <w:color w:val="000000"/>
        </w:rPr>
        <w:t>Hoch</w:t>
      </w:r>
      <w:proofErr w:type="spellEnd"/>
      <w:r>
        <w:rPr>
          <w:color w:val="000000"/>
        </w:rPr>
        <w:t xml:space="preserve"> &amp; </w:t>
      </w:r>
      <w:proofErr w:type="spellStart"/>
      <w:r>
        <w:rPr>
          <w:color w:val="000000"/>
        </w:rPr>
        <w:t>Deighton</w:t>
      </w:r>
      <w:proofErr w:type="spellEnd"/>
      <w:r>
        <w:rPr>
          <w:color w:val="000000"/>
        </w:rPr>
        <w:t>, 1989), la atención que se presta a las etiquetas de los productos (</w:t>
      </w:r>
      <w:proofErr w:type="spellStart"/>
      <w:r>
        <w:rPr>
          <w:color w:val="000000"/>
        </w:rPr>
        <w:t>Peschel</w:t>
      </w:r>
      <w:proofErr w:type="spellEnd"/>
      <w:r>
        <w:rPr>
          <w:color w:val="000000"/>
        </w:rPr>
        <w:t xml:space="preserve"> et al., 2018),</w:t>
      </w:r>
      <w:r w:rsidR="00852F59">
        <w:rPr>
          <w:color w:val="000000"/>
        </w:rPr>
        <w:t xml:space="preserve"> o</w:t>
      </w:r>
      <w:r>
        <w:rPr>
          <w:color w:val="000000"/>
        </w:rPr>
        <w:t xml:space="preserve"> la aplicabilidad del condicionamiento en su dimensión evaluativa en publicidad (</w:t>
      </w:r>
      <w:proofErr w:type="spellStart"/>
      <w:r>
        <w:rPr>
          <w:color w:val="000000"/>
        </w:rPr>
        <w:t>Bierley</w:t>
      </w:r>
      <w:proofErr w:type="spellEnd"/>
      <w:r>
        <w:rPr>
          <w:color w:val="000000"/>
        </w:rPr>
        <w:t xml:space="preserve"> et al., 1985;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xml:space="preserve">, 1993; </w:t>
      </w:r>
      <w:proofErr w:type="spellStart"/>
      <w:r>
        <w:rPr>
          <w:color w:val="000000"/>
        </w:rPr>
        <w:t>Shimp</w:t>
      </w:r>
      <w:proofErr w:type="spellEnd"/>
      <w:r>
        <w:rPr>
          <w:color w:val="000000"/>
        </w:rPr>
        <w:t xml:space="preserve">, 1991) que podrían ponerse a </w:t>
      </w:r>
      <w:r>
        <w:rPr>
          <w:color w:val="000000"/>
        </w:rPr>
        <w:lastRenderedPageBreak/>
        <w:t>prueba en escenarios de consumo similares, considerando diferentes formas de refuerzo parcial (</w:t>
      </w:r>
      <w:proofErr w:type="spellStart"/>
      <w:r>
        <w:rPr>
          <w:color w:val="000000"/>
        </w:rPr>
        <w:t>Schachtman</w:t>
      </w:r>
      <w:proofErr w:type="spellEnd"/>
      <w:r>
        <w:rPr>
          <w:color w:val="000000"/>
        </w:rPr>
        <w:t xml:space="preserve"> et al., 2011), e incluso, la dificultad de la tarea en el proceso de aprendizaje que ha sido estudiada desde otras perspectivas aplicadas (Souza et al., 2015). </w:t>
      </w:r>
    </w:p>
    <w:p w14:paraId="0000016D" w14:textId="51F2B126" w:rsidR="00E05D2A" w:rsidRDefault="007D47DC">
      <w:pPr>
        <w:pBdr>
          <w:top w:val="nil"/>
          <w:left w:val="nil"/>
          <w:bottom w:val="nil"/>
          <w:right w:val="nil"/>
          <w:between w:val="nil"/>
        </w:pBdr>
        <w:spacing w:line="360" w:lineRule="auto"/>
        <w:ind w:firstLine="708"/>
        <w:rPr>
          <w:color w:val="000000"/>
        </w:rPr>
      </w:pPr>
      <w:r>
        <w:rPr>
          <w:color w:val="000000"/>
        </w:rPr>
        <w:t xml:space="preserve">Resultaría interesante continuar la aproximación entre los procesos de la psicología básica y el marketing como ejes de una nueva perspectiva de estudio del comportamiento del consumidor que puede proveerse de otras técnicas de obtención de información que apoyen los hallazgos; por ejemplo, desde las neurociencias aplicadas en donde se ha incursionado con medidas de </w:t>
      </w:r>
      <w:r w:rsidR="00852F59">
        <w:rPr>
          <w:color w:val="000000"/>
        </w:rPr>
        <w:t xml:space="preserve">movimiento ocular o </w:t>
      </w:r>
      <w:proofErr w:type="spellStart"/>
      <w:r w:rsidR="00852F59">
        <w:rPr>
          <w:color w:val="000000"/>
        </w:rPr>
        <w:t>eyetracking</w:t>
      </w:r>
      <w:proofErr w:type="spellEnd"/>
      <w:r>
        <w:rPr>
          <w:color w:val="000000"/>
        </w:rPr>
        <w:t xml:space="preserve"> (</w:t>
      </w:r>
      <w:proofErr w:type="spellStart"/>
      <w:r>
        <w:rPr>
          <w:color w:val="000000"/>
        </w:rPr>
        <w:t>A</w:t>
      </w:r>
      <w:r w:rsidR="00073288">
        <w:rPr>
          <w:color w:val="000000"/>
        </w:rPr>
        <w:t>ristizabal</w:t>
      </w:r>
      <w:proofErr w:type="spellEnd"/>
      <w:r>
        <w:rPr>
          <w:color w:val="000000"/>
        </w:rPr>
        <w:t xml:space="preserve"> et al., 2016; </w:t>
      </w:r>
      <w:proofErr w:type="spellStart"/>
      <w:r>
        <w:rPr>
          <w:color w:val="000000"/>
        </w:rPr>
        <w:t>Janiszewski</w:t>
      </w:r>
      <w:proofErr w:type="spellEnd"/>
      <w:r>
        <w:rPr>
          <w:color w:val="000000"/>
        </w:rPr>
        <w:t xml:space="preserve"> &amp; </w:t>
      </w:r>
      <w:proofErr w:type="spellStart"/>
      <w:r>
        <w:rPr>
          <w:color w:val="000000"/>
        </w:rPr>
        <w:t>Warlop</w:t>
      </w:r>
      <w:proofErr w:type="spellEnd"/>
      <w:r>
        <w:rPr>
          <w:color w:val="000000"/>
        </w:rPr>
        <w:t xml:space="preserve">, 1993; Le </w:t>
      </w:r>
      <w:proofErr w:type="spellStart"/>
      <w:r>
        <w:rPr>
          <w:color w:val="000000"/>
        </w:rPr>
        <w:t>Pelley</w:t>
      </w:r>
      <w:proofErr w:type="spellEnd"/>
      <w:r>
        <w:rPr>
          <w:color w:val="000000"/>
        </w:rPr>
        <w:t xml:space="preserve"> et al., 2011; </w:t>
      </w:r>
      <w:proofErr w:type="spellStart"/>
      <w:r>
        <w:rPr>
          <w:color w:val="000000"/>
        </w:rPr>
        <w:t>Wills</w:t>
      </w:r>
      <w:proofErr w:type="spellEnd"/>
      <w:r>
        <w:rPr>
          <w:color w:val="000000"/>
        </w:rPr>
        <w:t xml:space="preserve"> et al., 2007), electroencefalograma (García-Madariaga et al., 2019) y considerar su aplicación en escenarios digitales para el estudio del consumo online. </w:t>
      </w:r>
    </w:p>
    <w:p w14:paraId="791CBDA5" w14:textId="77777777" w:rsidR="006E175C" w:rsidRDefault="006E175C">
      <w:pPr>
        <w:pBdr>
          <w:top w:val="nil"/>
          <w:left w:val="nil"/>
          <w:bottom w:val="nil"/>
          <w:right w:val="nil"/>
          <w:between w:val="nil"/>
        </w:pBdr>
        <w:jc w:val="center"/>
        <w:rPr>
          <w:b/>
          <w:color w:val="000000"/>
        </w:rPr>
      </w:pPr>
    </w:p>
    <w:p w14:paraId="6090F5D0" w14:textId="77777777" w:rsidR="006E175C" w:rsidRDefault="006E175C">
      <w:pPr>
        <w:pBdr>
          <w:top w:val="nil"/>
          <w:left w:val="nil"/>
          <w:bottom w:val="nil"/>
          <w:right w:val="nil"/>
          <w:between w:val="nil"/>
        </w:pBdr>
        <w:jc w:val="center"/>
        <w:rPr>
          <w:b/>
          <w:color w:val="000000"/>
        </w:rPr>
      </w:pPr>
    </w:p>
    <w:p w14:paraId="251C087F" w14:textId="77777777" w:rsidR="006E175C" w:rsidRDefault="006E175C">
      <w:pPr>
        <w:pBdr>
          <w:top w:val="nil"/>
          <w:left w:val="nil"/>
          <w:bottom w:val="nil"/>
          <w:right w:val="nil"/>
          <w:between w:val="nil"/>
        </w:pBdr>
        <w:jc w:val="center"/>
        <w:rPr>
          <w:b/>
          <w:color w:val="000000"/>
        </w:rPr>
      </w:pPr>
    </w:p>
    <w:p w14:paraId="7B45CDF3" w14:textId="77777777" w:rsidR="006E175C" w:rsidRDefault="006E175C">
      <w:pPr>
        <w:pBdr>
          <w:top w:val="nil"/>
          <w:left w:val="nil"/>
          <w:bottom w:val="nil"/>
          <w:right w:val="nil"/>
          <w:between w:val="nil"/>
        </w:pBdr>
        <w:jc w:val="center"/>
        <w:rPr>
          <w:b/>
          <w:color w:val="000000"/>
        </w:rPr>
      </w:pPr>
    </w:p>
    <w:p w14:paraId="16ADDABE" w14:textId="77777777" w:rsidR="006E175C" w:rsidRDefault="006E175C">
      <w:pPr>
        <w:pBdr>
          <w:top w:val="nil"/>
          <w:left w:val="nil"/>
          <w:bottom w:val="nil"/>
          <w:right w:val="nil"/>
          <w:between w:val="nil"/>
        </w:pBdr>
        <w:jc w:val="center"/>
        <w:rPr>
          <w:b/>
          <w:color w:val="000000"/>
        </w:rPr>
      </w:pPr>
    </w:p>
    <w:p w14:paraId="6445C3B6" w14:textId="77777777" w:rsidR="006E175C" w:rsidRDefault="006E175C">
      <w:pPr>
        <w:pBdr>
          <w:top w:val="nil"/>
          <w:left w:val="nil"/>
          <w:bottom w:val="nil"/>
          <w:right w:val="nil"/>
          <w:between w:val="nil"/>
        </w:pBdr>
        <w:jc w:val="center"/>
        <w:rPr>
          <w:b/>
          <w:color w:val="000000"/>
        </w:rPr>
      </w:pPr>
    </w:p>
    <w:p w14:paraId="2B8E07F4" w14:textId="77777777" w:rsidR="006E175C" w:rsidRDefault="006E175C">
      <w:pPr>
        <w:pBdr>
          <w:top w:val="nil"/>
          <w:left w:val="nil"/>
          <w:bottom w:val="nil"/>
          <w:right w:val="nil"/>
          <w:between w:val="nil"/>
        </w:pBdr>
        <w:jc w:val="center"/>
        <w:rPr>
          <w:b/>
          <w:color w:val="000000"/>
        </w:rPr>
      </w:pPr>
    </w:p>
    <w:p w14:paraId="17D968BB" w14:textId="77777777" w:rsidR="006E175C" w:rsidRDefault="006E175C">
      <w:pPr>
        <w:pBdr>
          <w:top w:val="nil"/>
          <w:left w:val="nil"/>
          <w:bottom w:val="nil"/>
          <w:right w:val="nil"/>
          <w:between w:val="nil"/>
        </w:pBdr>
        <w:jc w:val="center"/>
        <w:rPr>
          <w:b/>
          <w:color w:val="000000"/>
        </w:rPr>
      </w:pPr>
    </w:p>
    <w:p w14:paraId="587C5A72" w14:textId="77777777" w:rsidR="006E175C" w:rsidRDefault="006E175C">
      <w:pPr>
        <w:pBdr>
          <w:top w:val="nil"/>
          <w:left w:val="nil"/>
          <w:bottom w:val="nil"/>
          <w:right w:val="nil"/>
          <w:between w:val="nil"/>
        </w:pBdr>
        <w:jc w:val="center"/>
        <w:rPr>
          <w:b/>
          <w:color w:val="000000"/>
        </w:rPr>
      </w:pPr>
    </w:p>
    <w:p w14:paraId="5822A2A4" w14:textId="77777777" w:rsidR="006E175C" w:rsidRDefault="006E175C">
      <w:pPr>
        <w:pBdr>
          <w:top w:val="nil"/>
          <w:left w:val="nil"/>
          <w:bottom w:val="nil"/>
          <w:right w:val="nil"/>
          <w:between w:val="nil"/>
        </w:pBdr>
        <w:jc w:val="center"/>
        <w:rPr>
          <w:b/>
          <w:color w:val="000000"/>
        </w:rPr>
      </w:pPr>
    </w:p>
    <w:p w14:paraId="2AF90B29" w14:textId="77777777" w:rsidR="006E175C" w:rsidRDefault="006E175C">
      <w:pPr>
        <w:pBdr>
          <w:top w:val="nil"/>
          <w:left w:val="nil"/>
          <w:bottom w:val="nil"/>
          <w:right w:val="nil"/>
          <w:between w:val="nil"/>
        </w:pBdr>
        <w:jc w:val="center"/>
        <w:rPr>
          <w:b/>
          <w:color w:val="000000"/>
        </w:rPr>
      </w:pPr>
    </w:p>
    <w:p w14:paraId="50AF6BC7" w14:textId="77777777" w:rsidR="006F4FAC" w:rsidRDefault="006F4FAC">
      <w:pPr>
        <w:pBdr>
          <w:top w:val="nil"/>
          <w:left w:val="nil"/>
          <w:bottom w:val="nil"/>
          <w:right w:val="nil"/>
          <w:between w:val="nil"/>
        </w:pBdr>
        <w:jc w:val="center"/>
        <w:rPr>
          <w:b/>
          <w:color w:val="000000"/>
        </w:rPr>
      </w:pPr>
    </w:p>
    <w:p w14:paraId="7FD46905" w14:textId="77777777" w:rsidR="006F4FAC" w:rsidRDefault="006F4FAC">
      <w:pPr>
        <w:pBdr>
          <w:top w:val="nil"/>
          <w:left w:val="nil"/>
          <w:bottom w:val="nil"/>
          <w:right w:val="nil"/>
          <w:between w:val="nil"/>
        </w:pBdr>
        <w:jc w:val="center"/>
        <w:rPr>
          <w:b/>
          <w:color w:val="000000"/>
        </w:rPr>
      </w:pPr>
    </w:p>
    <w:p w14:paraId="7FCC4314" w14:textId="77777777" w:rsidR="006F4FAC" w:rsidRDefault="006F4FAC">
      <w:pPr>
        <w:pBdr>
          <w:top w:val="nil"/>
          <w:left w:val="nil"/>
          <w:bottom w:val="nil"/>
          <w:right w:val="nil"/>
          <w:between w:val="nil"/>
        </w:pBdr>
        <w:jc w:val="center"/>
        <w:rPr>
          <w:b/>
          <w:color w:val="000000"/>
        </w:rPr>
      </w:pPr>
    </w:p>
    <w:p w14:paraId="78128661" w14:textId="77777777" w:rsidR="009E0666" w:rsidRDefault="009E0666" w:rsidP="00897D86">
      <w:pPr>
        <w:pBdr>
          <w:top w:val="nil"/>
          <w:left w:val="nil"/>
          <w:bottom w:val="nil"/>
          <w:right w:val="nil"/>
          <w:between w:val="nil"/>
        </w:pBdr>
        <w:spacing w:before="240"/>
        <w:jc w:val="center"/>
        <w:rPr>
          <w:b/>
          <w:color w:val="000000"/>
        </w:rPr>
      </w:pPr>
    </w:p>
    <w:p w14:paraId="771BE54F" w14:textId="77777777" w:rsidR="009E0666" w:rsidRDefault="009E0666" w:rsidP="00897D86">
      <w:pPr>
        <w:pBdr>
          <w:top w:val="nil"/>
          <w:left w:val="nil"/>
          <w:bottom w:val="nil"/>
          <w:right w:val="nil"/>
          <w:between w:val="nil"/>
        </w:pBdr>
        <w:spacing w:before="240"/>
        <w:jc w:val="center"/>
        <w:rPr>
          <w:b/>
          <w:color w:val="000000"/>
        </w:rPr>
      </w:pPr>
    </w:p>
    <w:p w14:paraId="1C106DBC" w14:textId="77777777" w:rsidR="009E0666" w:rsidRDefault="009E0666" w:rsidP="00897D86">
      <w:pPr>
        <w:pBdr>
          <w:top w:val="nil"/>
          <w:left w:val="nil"/>
          <w:bottom w:val="nil"/>
          <w:right w:val="nil"/>
          <w:between w:val="nil"/>
        </w:pBdr>
        <w:spacing w:before="240"/>
        <w:jc w:val="center"/>
        <w:rPr>
          <w:b/>
          <w:color w:val="000000"/>
        </w:rPr>
      </w:pPr>
    </w:p>
    <w:p w14:paraId="08F19948" w14:textId="77777777" w:rsidR="009E0666" w:rsidRDefault="009E0666" w:rsidP="00897D86">
      <w:pPr>
        <w:pBdr>
          <w:top w:val="nil"/>
          <w:left w:val="nil"/>
          <w:bottom w:val="nil"/>
          <w:right w:val="nil"/>
          <w:between w:val="nil"/>
        </w:pBdr>
        <w:spacing w:before="240"/>
        <w:jc w:val="center"/>
        <w:rPr>
          <w:b/>
          <w:color w:val="000000"/>
        </w:rPr>
      </w:pPr>
    </w:p>
    <w:p w14:paraId="7C8AE3DF" w14:textId="77777777" w:rsidR="009E0666" w:rsidRDefault="009E0666" w:rsidP="00897D86">
      <w:pPr>
        <w:pBdr>
          <w:top w:val="nil"/>
          <w:left w:val="nil"/>
          <w:bottom w:val="nil"/>
          <w:right w:val="nil"/>
          <w:between w:val="nil"/>
        </w:pBdr>
        <w:spacing w:before="240"/>
        <w:jc w:val="center"/>
        <w:rPr>
          <w:b/>
          <w:color w:val="000000"/>
        </w:rPr>
      </w:pPr>
    </w:p>
    <w:p w14:paraId="0BC268F9" w14:textId="77777777" w:rsidR="009E0666" w:rsidRDefault="009E0666" w:rsidP="00897D86">
      <w:pPr>
        <w:pBdr>
          <w:top w:val="nil"/>
          <w:left w:val="nil"/>
          <w:bottom w:val="nil"/>
          <w:right w:val="nil"/>
          <w:between w:val="nil"/>
        </w:pBdr>
        <w:spacing w:before="240"/>
        <w:jc w:val="center"/>
        <w:rPr>
          <w:b/>
          <w:color w:val="000000"/>
        </w:rPr>
      </w:pPr>
    </w:p>
    <w:p w14:paraId="449DD176" w14:textId="77777777" w:rsidR="009E0666" w:rsidRDefault="009E0666" w:rsidP="00897D86">
      <w:pPr>
        <w:pBdr>
          <w:top w:val="nil"/>
          <w:left w:val="nil"/>
          <w:bottom w:val="nil"/>
          <w:right w:val="nil"/>
          <w:between w:val="nil"/>
        </w:pBdr>
        <w:spacing w:before="240"/>
        <w:jc w:val="center"/>
        <w:rPr>
          <w:b/>
          <w:color w:val="000000"/>
        </w:rPr>
      </w:pPr>
    </w:p>
    <w:p w14:paraId="4DBCC869" w14:textId="77777777" w:rsidR="009E0666" w:rsidRDefault="009E0666" w:rsidP="00897D86">
      <w:pPr>
        <w:pBdr>
          <w:top w:val="nil"/>
          <w:left w:val="nil"/>
          <w:bottom w:val="nil"/>
          <w:right w:val="nil"/>
          <w:between w:val="nil"/>
        </w:pBdr>
        <w:spacing w:before="240"/>
        <w:jc w:val="center"/>
        <w:rPr>
          <w:b/>
          <w:color w:val="000000"/>
        </w:rPr>
      </w:pPr>
    </w:p>
    <w:p w14:paraId="5503ADAA" w14:textId="77777777" w:rsidR="009E0666" w:rsidRDefault="009E0666" w:rsidP="00897D86">
      <w:pPr>
        <w:pBdr>
          <w:top w:val="nil"/>
          <w:left w:val="nil"/>
          <w:bottom w:val="nil"/>
          <w:right w:val="nil"/>
          <w:between w:val="nil"/>
        </w:pBdr>
        <w:spacing w:before="240"/>
        <w:jc w:val="center"/>
        <w:rPr>
          <w:b/>
          <w:color w:val="000000"/>
        </w:rPr>
      </w:pPr>
    </w:p>
    <w:p w14:paraId="335C6B7A" w14:textId="77777777" w:rsidR="009E0666" w:rsidRDefault="009E0666" w:rsidP="00897D86">
      <w:pPr>
        <w:pBdr>
          <w:top w:val="nil"/>
          <w:left w:val="nil"/>
          <w:bottom w:val="nil"/>
          <w:right w:val="nil"/>
          <w:between w:val="nil"/>
        </w:pBdr>
        <w:spacing w:before="240"/>
        <w:jc w:val="center"/>
        <w:rPr>
          <w:b/>
          <w:color w:val="000000"/>
        </w:rPr>
      </w:pPr>
    </w:p>
    <w:p w14:paraId="0000016E" w14:textId="7B93FCA9" w:rsidR="00E05D2A" w:rsidRPr="00D33181" w:rsidRDefault="007D47DC" w:rsidP="00897D86">
      <w:pPr>
        <w:pBdr>
          <w:top w:val="nil"/>
          <w:left w:val="nil"/>
          <w:bottom w:val="nil"/>
          <w:right w:val="nil"/>
          <w:between w:val="nil"/>
        </w:pBdr>
        <w:spacing w:before="240"/>
        <w:jc w:val="center"/>
        <w:rPr>
          <w:b/>
          <w:color w:val="000000"/>
          <w:lang w:val="en-US"/>
        </w:rPr>
      </w:pPr>
      <w:proofErr w:type="spellStart"/>
      <w:r w:rsidRPr="00D33181">
        <w:rPr>
          <w:b/>
          <w:color w:val="000000"/>
          <w:lang w:val="en-US"/>
        </w:rPr>
        <w:lastRenderedPageBreak/>
        <w:t>Referencias</w:t>
      </w:r>
      <w:proofErr w:type="spellEnd"/>
    </w:p>
    <w:p w14:paraId="0000016F" w14:textId="77777777" w:rsidR="00E05D2A" w:rsidRPr="005C7EC8" w:rsidRDefault="007D47DC" w:rsidP="00897D86">
      <w:pPr>
        <w:spacing w:before="240"/>
        <w:ind w:left="720" w:hanging="720"/>
        <w:rPr>
          <w:lang w:val="en-US"/>
        </w:rPr>
      </w:pPr>
      <w:r w:rsidRPr="00D33181">
        <w:rPr>
          <w:lang w:val="en-US"/>
        </w:rPr>
        <w:t xml:space="preserve">Abad, M. J., Ramos-Alvarez, M. M., &amp; Rosas, J. M. (2009). </w:t>
      </w:r>
      <w:r w:rsidRPr="005C7EC8">
        <w:rPr>
          <w:lang w:val="en-US"/>
        </w:rPr>
        <w:t xml:space="preserve">Partial reinforcement and context switch effects in human predictive learning. </w:t>
      </w:r>
      <w:r w:rsidRPr="005C7EC8">
        <w:rPr>
          <w:i/>
          <w:lang w:val="en-US"/>
        </w:rPr>
        <w:t>Quarterly journal of experimental psychology</w:t>
      </w:r>
      <w:r w:rsidRPr="005C7EC8">
        <w:rPr>
          <w:lang w:val="en-US"/>
        </w:rPr>
        <w:t xml:space="preserve">, </w:t>
      </w:r>
      <w:r w:rsidRPr="005C7EC8">
        <w:rPr>
          <w:i/>
          <w:lang w:val="en-US"/>
        </w:rPr>
        <w:t>62</w:t>
      </w:r>
      <w:r w:rsidRPr="005C7EC8">
        <w:rPr>
          <w:lang w:val="en-US"/>
        </w:rPr>
        <w:t xml:space="preserve">(1), 174-188. </w:t>
      </w:r>
      <w:hyperlink r:id="rId17">
        <w:r w:rsidRPr="005C7EC8">
          <w:rPr>
            <w:color w:val="0000FF"/>
            <w:u w:val="single"/>
            <w:lang w:val="en-US"/>
          </w:rPr>
          <w:t>https://doi.org/10.1080%2F17470210701855561</w:t>
        </w:r>
      </w:hyperlink>
    </w:p>
    <w:p w14:paraId="00000170" w14:textId="77777777" w:rsidR="00E05D2A" w:rsidRPr="005C7EC8" w:rsidRDefault="007D47DC">
      <w:pPr>
        <w:ind w:left="720" w:hanging="720"/>
        <w:rPr>
          <w:lang w:val="en-US"/>
        </w:rPr>
      </w:pPr>
      <w:proofErr w:type="spellStart"/>
      <w:r w:rsidRPr="005C7EC8">
        <w:rPr>
          <w:lang w:val="en-US"/>
        </w:rPr>
        <w:t>Alimpic</w:t>
      </w:r>
      <w:proofErr w:type="spellEnd"/>
      <w:r w:rsidRPr="005C7EC8">
        <w:rPr>
          <w:lang w:val="en-US"/>
        </w:rPr>
        <w:t xml:space="preserve">, S. (2014). The effectiveness of sales promotion tools: customers' perspective. </w:t>
      </w:r>
      <w:r w:rsidRPr="005C7EC8">
        <w:rPr>
          <w:i/>
          <w:lang w:val="en-US"/>
        </w:rPr>
        <w:t>Actual Problems of Economics</w:t>
      </w:r>
      <w:r w:rsidRPr="005C7EC8">
        <w:rPr>
          <w:lang w:val="en-US"/>
        </w:rPr>
        <w:t xml:space="preserve">, </w:t>
      </w:r>
      <w:r w:rsidRPr="005C7EC8">
        <w:rPr>
          <w:i/>
          <w:lang w:val="en-US"/>
        </w:rPr>
        <w:t>12</w:t>
      </w:r>
      <w:r w:rsidRPr="005C7EC8">
        <w:rPr>
          <w:lang w:val="en-US"/>
        </w:rPr>
        <w:t xml:space="preserve">(162), 142-151. </w:t>
      </w:r>
    </w:p>
    <w:p w14:paraId="00000171" w14:textId="77777777" w:rsidR="00E05D2A" w:rsidRPr="006D1B59" w:rsidRDefault="007D47DC">
      <w:pPr>
        <w:ind w:left="720" w:hanging="720"/>
      </w:pPr>
      <w:r w:rsidRPr="005C7EC8">
        <w:rPr>
          <w:lang w:val="en-US"/>
        </w:rPr>
        <w:t xml:space="preserve">Allen, C. T., &amp; </w:t>
      </w:r>
      <w:proofErr w:type="spellStart"/>
      <w:r w:rsidRPr="005C7EC8">
        <w:rPr>
          <w:lang w:val="en-US"/>
        </w:rPr>
        <w:t>Shimp</w:t>
      </w:r>
      <w:proofErr w:type="spellEnd"/>
      <w:r w:rsidRPr="005C7EC8">
        <w:rPr>
          <w:lang w:val="en-US"/>
        </w:rPr>
        <w:t xml:space="preserve">, T. A. (1990). On using classical conditioning methods for researching the impact of ad-evoked feelings. In B. G. </w:t>
      </w:r>
      <w:proofErr w:type="spellStart"/>
      <w:r w:rsidRPr="005C7EC8">
        <w:rPr>
          <w:lang w:val="en-US"/>
        </w:rPr>
        <w:t>Englis</w:t>
      </w:r>
      <w:proofErr w:type="spellEnd"/>
      <w:r w:rsidRPr="005C7EC8">
        <w:rPr>
          <w:lang w:val="en-US"/>
        </w:rPr>
        <w:t xml:space="preserve"> (Ed.), </w:t>
      </w:r>
      <w:r w:rsidRPr="005C7EC8">
        <w:rPr>
          <w:i/>
          <w:lang w:val="en-US"/>
        </w:rPr>
        <w:t>Emotion in advertising: Theoretical and practical explorations</w:t>
      </w:r>
      <w:r w:rsidRPr="005C7EC8">
        <w:rPr>
          <w:lang w:val="en-US"/>
        </w:rPr>
        <w:t xml:space="preserve"> (pp. 19-34). </w:t>
      </w:r>
      <w:proofErr w:type="spellStart"/>
      <w:r w:rsidRPr="006D1B59">
        <w:t>Praeger</w:t>
      </w:r>
      <w:proofErr w:type="spellEnd"/>
      <w:r w:rsidRPr="006D1B59">
        <w:t>.</w:t>
      </w:r>
    </w:p>
    <w:p w14:paraId="3BA29367" w14:textId="3A3ACD31" w:rsidR="002E3A45" w:rsidRPr="006D1B59" w:rsidRDefault="002E3A45">
      <w:pPr>
        <w:ind w:left="720" w:hanging="720"/>
        <w:rPr>
          <w:lang w:val="en-US"/>
        </w:rPr>
      </w:pPr>
      <w:r w:rsidRPr="002E3A45">
        <w:t xml:space="preserve">Alvarado, A., Vila, J. &amp; López-Romero, L. (2013). El efecto del reforzamiento parcial en la extinción del aprendizaje predictivo: una evaluación del modo de respuesta, </w:t>
      </w:r>
      <w:r w:rsidRPr="002E3A45">
        <w:rPr>
          <w:i/>
          <w:iCs/>
        </w:rPr>
        <w:t>Avances en Psicología Latinoamericana, 31</w:t>
      </w:r>
      <w:r w:rsidRPr="002E3A45">
        <w:t>(3), 453-466</w:t>
      </w:r>
      <w:r>
        <w:t xml:space="preserve">. </w:t>
      </w:r>
      <w:hyperlink r:id="rId18" w:history="1">
        <w:r w:rsidRPr="006D1B59">
          <w:rPr>
            <w:rStyle w:val="Hipervnculo"/>
            <w:lang w:val="en-US"/>
          </w:rPr>
          <w:t>https://www.redalyc.org/pdf/799/79929186001.pdf</w:t>
        </w:r>
      </w:hyperlink>
      <w:r w:rsidRPr="006D1B59">
        <w:rPr>
          <w:lang w:val="en-US"/>
        </w:rPr>
        <w:t xml:space="preserve"> </w:t>
      </w:r>
    </w:p>
    <w:p w14:paraId="211AA438" w14:textId="25B2137E" w:rsidR="00D20593" w:rsidRPr="005C7EC8" w:rsidRDefault="00D20593">
      <w:pPr>
        <w:ind w:left="720" w:hanging="720"/>
        <w:rPr>
          <w:lang w:val="en-US"/>
        </w:rPr>
      </w:pPr>
      <w:proofErr w:type="spellStart"/>
      <w:r w:rsidRPr="005C7EC8">
        <w:rPr>
          <w:lang w:val="en-US"/>
        </w:rPr>
        <w:t>Amsel</w:t>
      </w:r>
      <w:proofErr w:type="spellEnd"/>
      <w:r w:rsidRPr="005C7EC8">
        <w:rPr>
          <w:lang w:val="en-US"/>
        </w:rPr>
        <w:t xml:space="preserve">, A. (1958). The role of frustrative </w:t>
      </w:r>
      <w:proofErr w:type="spellStart"/>
      <w:r w:rsidRPr="005C7EC8">
        <w:rPr>
          <w:lang w:val="en-US"/>
        </w:rPr>
        <w:t>nonreward</w:t>
      </w:r>
      <w:proofErr w:type="spellEnd"/>
      <w:r w:rsidRPr="005C7EC8">
        <w:rPr>
          <w:lang w:val="en-US"/>
        </w:rPr>
        <w:t xml:space="preserve"> in noncontinuous reward situations. </w:t>
      </w:r>
      <w:r w:rsidRPr="005C7EC8">
        <w:rPr>
          <w:i/>
          <w:iCs/>
          <w:lang w:val="en-US"/>
        </w:rPr>
        <w:t>Psychological Bulletin, 55</w:t>
      </w:r>
      <w:r w:rsidRPr="005C7EC8">
        <w:rPr>
          <w:lang w:val="en-US"/>
        </w:rPr>
        <w:t xml:space="preserve">(2), 102–119. </w:t>
      </w:r>
      <w:hyperlink r:id="rId19" w:history="1">
        <w:r w:rsidRPr="005C7EC8">
          <w:rPr>
            <w:rStyle w:val="Hipervnculo"/>
            <w:lang w:val="en-US"/>
          </w:rPr>
          <w:t>https://doi.org/10.1037/h0043125</w:t>
        </w:r>
      </w:hyperlink>
    </w:p>
    <w:p w14:paraId="2632799D" w14:textId="73CABC31" w:rsidR="00D20593" w:rsidRPr="005C7EC8" w:rsidRDefault="00D20593">
      <w:pPr>
        <w:ind w:left="720" w:hanging="720"/>
        <w:rPr>
          <w:lang w:val="en-US"/>
        </w:rPr>
      </w:pPr>
      <w:proofErr w:type="spellStart"/>
      <w:r w:rsidRPr="005C7EC8">
        <w:rPr>
          <w:lang w:val="en-US"/>
        </w:rPr>
        <w:t>Amsel</w:t>
      </w:r>
      <w:proofErr w:type="spellEnd"/>
      <w:r w:rsidRPr="005C7EC8">
        <w:rPr>
          <w:lang w:val="en-US"/>
        </w:rPr>
        <w:t xml:space="preserve">, A. (1992). Frustration theory: Many years later. </w:t>
      </w:r>
      <w:r w:rsidRPr="005C7EC8">
        <w:rPr>
          <w:i/>
          <w:iCs/>
          <w:lang w:val="en-US"/>
        </w:rPr>
        <w:t>Psychological Bulletin, 112</w:t>
      </w:r>
      <w:r w:rsidRPr="005C7EC8">
        <w:rPr>
          <w:lang w:val="en-US"/>
        </w:rPr>
        <w:t xml:space="preserve">(3), 396–399. </w:t>
      </w:r>
      <w:hyperlink r:id="rId20" w:history="1">
        <w:r w:rsidRPr="005C7EC8">
          <w:rPr>
            <w:rStyle w:val="Hipervnculo"/>
            <w:lang w:val="en-US"/>
          </w:rPr>
          <w:t>https://doi.org/10.1037/0033-2909.112.3.396</w:t>
        </w:r>
      </w:hyperlink>
    </w:p>
    <w:p w14:paraId="6306A6A4" w14:textId="263A5097" w:rsidR="00432DBF" w:rsidRPr="005C7EC8" w:rsidRDefault="00432DBF">
      <w:pPr>
        <w:ind w:left="720" w:hanging="720"/>
      </w:pPr>
      <w:r w:rsidRPr="005C7EC8">
        <w:rPr>
          <w:lang w:val="en-US"/>
        </w:rPr>
        <w:t xml:space="preserve">Anderson, J. R., &amp; Bower, G. H. (1974). A propositional theory of recognition memory. </w:t>
      </w:r>
      <w:proofErr w:type="spellStart"/>
      <w:r w:rsidRPr="005C7EC8">
        <w:rPr>
          <w:i/>
          <w:iCs/>
        </w:rPr>
        <w:t>Memory</w:t>
      </w:r>
      <w:proofErr w:type="spellEnd"/>
      <w:r w:rsidRPr="005C7EC8">
        <w:rPr>
          <w:i/>
          <w:iCs/>
        </w:rPr>
        <w:t xml:space="preserve"> &amp; </w:t>
      </w:r>
      <w:proofErr w:type="spellStart"/>
      <w:r w:rsidRPr="005C7EC8">
        <w:rPr>
          <w:i/>
          <w:iCs/>
        </w:rPr>
        <w:t>Cognition</w:t>
      </w:r>
      <w:proofErr w:type="spellEnd"/>
      <w:r w:rsidRPr="005C7EC8">
        <w:rPr>
          <w:i/>
          <w:iCs/>
        </w:rPr>
        <w:t>, 2</w:t>
      </w:r>
      <w:r w:rsidRPr="005C7EC8">
        <w:t>(3), 406-412.</w:t>
      </w:r>
      <w:r w:rsidR="00283D3B" w:rsidRPr="005C7EC8">
        <w:t xml:space="preserve"> </w:t>
      </w:r>
      <w:hyperlink r:id="rId21" w:history="1">
        <w:r w:rsidR="00283D3B" w:rsidRPr="005C7EC8">
          <w:rPr>
            <w:rStyle w:val="Hipervnculo"/>
          </w:rPr>
          <w:t>https://doi.org/10.3758/BF03196896</w:t>
        </w:r>
      </w:hyperlink>
      <w:r w:rsidR="00283D3B" w:rsidRPr="005C7EC8">
        <w:t xml:space="preserve"> </w:t>
      </w:r>
    </w:p>
    <w:p w14:paraId="73747C42" w14:textId="6B15D6B4" w:rsidR="00E12DAA" w:rsidRPr="00D33181" w:rsidRDefault="00E12DAA">
      <w:pPr>
        <w:ind w:left="720" w:hanging="720"/>
        <w:rPr>
          <w:lang w:val="en-US"/>
        </w:rPr>
      </w:pPr>
      <w:proofErr w:type="spellStart"/>
      <w:r w:rsidRPr="00E12DAA">
        <w:t>Aristizabal</w:t>
      </w:r>
      <w:proofErr w:type="spellEnd"/>
      <w:r w:rsidRPr="00E12DAA">
        <w:t xml:space="preserve">, J. A., Ramos-Álvarez, M. M., Callejas-Aguilera, J. E., &amp; Rosas, J. M. (2016). </w:t>
      </w:r>
      <w:r w:rsidRPr="00E12DAA">
        <w:rPr>
          <w:lang w:val="en-US"/>
        </w:rPr>
        <w:t xml:space="preserve">Attention to irrelevant contexts decreases as training increases: Evidence from eye-fixations in a human predictive learning task. </w:t>
      </w:r>
      <w:proofErr w:type="spellStart"/>
      <w:r w:rsidRPr="00D33181">
        <w:rPr>
          <w:i/>
          <w:iCs/>
          <w:lang w:val="en-US"/>
        </w:rPr>
        <w:t>Behavioural</w:t>
      </w:r>
      <w:proofErr w:type="spellEnd"/>
      <w:r w:rsidRPr="00D33181">
        <w:rPr>
          <w:i/>
          <w:iCs/>
          <w:lang w:val="en-US"/>
        </w:rPr>
        <w:t xml:space="preserve"> Processes, 124</w:t>
      </w:r>
      <w:r w:rsidRPr="00D33181">
        <w:rPr>
          <w:lang w:val="en-US"/>
        </w:rPr>
        <w:t>, 66-73.</w:t>
      </w:r>
      <w:r w:rsidR="00E47317" w:rsidRPr="00D33181">
        <w:rPr>
          <w:lang w:val="en-US"/>
        </w:rPr>
        <w:t xml:space="preserve"> </w:t>
      </w:r>
      <w:hyperlink r:id="rId22" w:history="1">
        <w:r w:rsidR="00E47317" w:rsidRPr="00D33181">
          <w:rPr>
            <w:rStyle w:val="Hipervnculo"/>
            <w:lang w:val="en-US"/>
          </w:rPr>
          <w:t>https://doi.org/10.1016/j.beproc.2015.12.008</w:t>
        </w:r>
      </w:hyperlink>
      <w:r w:rsidR="00E47317" w:rsidRPr="00D33181">
        <w:rPr>
          <w:lang w:val="en-US"/>
        </w:rPr>
        <w:t xml:space="preserve"> </w:t>
      </w:r>
    </w:p>
    <w:p w14:paraId="01B0867B" w14:textId="3CD84655" w:rsidR="00BB1CA1" w:rsidRPr="00D33181" w:rsidRDefault="00BB1CA1">
      <w:pPr>
        <w:ind w:left="720" w:hanging="720"/>
        <w:rPr>
          <w:lang w:val="en-US"/>
        </w:rPr>
      </w:pPr>
      <w:proofErr w:type="spellStart"/>
      <w:r w:rsidRPr="00D33181">
        <w:rPr>
          <w:lang w:val="en-US"/>
        </w:rPr>
        <w:t>Aristizabal</w:t>
      </w:r>
      <w:proofErr w:type="spellEnd"/>
      <w:r w:rsidRPr="00D33181">
        <w:rPr>
          <w:lang w:val="en-US"/>
        </w:rPr>
        <w:t>, J. A., Ramos-</w:t>
      </w:r>
      <w:r w:rsidR="00E47317" w:rsidRPr="00D33181">
        <w:rPr>
          <w:lang w:val="en-US"/>
        </w:rPr>
        <w:t>Á</w:t>
      </w:r>
      <w:r w:rsidRPr="00D33181">
        <w:rPr>
          <w:lang w:val="en-US"/>
        </w:rPr>
        <w:t xml:space="preserve">lvarez, M. M., </w:t>
      </w:r>
      <w:proofErr w:type="spellStart"/>
      <w:r w:rsidRPr="00D33181">
        <w:rPr>
          <w:lang w:val="en-US"/>
        </w:rPr>
        <w:t>Callejas</w:t>
      </w:r>
      <w:proofErr w:type="spellEnd"/>
      <w:r w:rsidRPr="00D33181">
        <w:rPr>
          <w:lang w:val="en-US"/>
        </w:rPr>
        <w:t xml:space="preserve">-Aguilera, J. E., &amp; Rosas, J. M. (2017). </w:t>
      </w:r>
      <w:r w:rsidRPr="00BB1CA1">
        <w:rPr>
          <w:lang w:val="en-US"/>
        </w:rPr>
        <w:t xml:space="preserve">Testing a cue outside the training context increases attention to the contexts and impairs performance in human predictive learning. </w:t>
      </w:r>
      <w:proofErr w:type="spellStart"/>
      <w:r w:rsidRPr="00D33181">
        <w:rPr>
          <w:i/>
          <w:iCs/>
          <w:lang w:val="en-US"/>
        </w:rPr>
        <w:t>Behavioural</w:t>
      </w:r>
      <w:proofErr w:type="spellEnd"/>
      <w:r w:rsidRPr="00D33181">
        <w:rPr>
          <w:i/>
          <w:iCs/>
          <w:lang w:val="en-US"/>
        </w:rPr>
        <w:t xml:space="preserve"> Processes, 145</w:t>
      </w:r>
      <w:r w:rsidRPr="00D33181">
        <w:rPr>
          <w:lang w:val="en-US"/>
        </w:rPr>
        <w:t xml:space="preserve">, 31-36. </w:t>
      </w:r>
      <w:hyperlink r:id="rId23" w:history="1">
        <w:r w:rsidRPr="00D33181">
          <w:rPr>
            <w:rStyle w:val="Hipervnculo"/>
            <w:lang w:val="en-US"/>
          </w:rPr>
          <w:t>https://doi.org/10.1016/j.beproc.2017.10.001</w:t>
        </w:r>
      </w:hyperlink>
      <w:r w:rsidRPr="00D33181">
        <w:rPr>
          <w:lang w:val="en-US"/>
        </w:rPr>
        <w:t xml:space="preserve"> </w:t>
      </w:r>
    </w:p>
    <w:p w14:paraId="00000175" w14:textId="77777777" w:rsidR="00E05D2A" w:rsidRPr="005C7EC8" w:rsidRDefault="007D47DC">
      <w:pPr>
        <w:ind w:left="720" w:hanging="720"/>
        <w:rPr>
          <w:lang w:val="en-US"/>
        </w:rPr>
      </w:pPr>
      <w:proofErr w:type="spellStart"/>
      <w:r w:rsidRPr="00D33181">
        <w:rPr>
          <w:lang w:val="en-US"/>
        </w:rPr>
        <w:t>Balea</w:t>
      </w:r>
      <w:proofErr w:type="spellEnd"/>
      <w:r w:rsidRPr="00D33181">
        <w:rPr>
          <w:lang w:val="en-US"/>
        </w:rPr>
        <w:t xml:space="preserve">, P., Nelson, J. B., </w:t>
      </w:r>
      <w:proofErr w:type="spellStart"/>
      <w:r w:rsidRPr="00D33181">
        <w:rPr>
          <w:lang w:val="en-US"/>
        </w:rPr>
        <w:t>Ogallar</w:t>
      </w:r>
      <w:proofErr w:type="spellEnd"/>
      <w:r w:rsidRPr="00D33181">
        <w:rPr>
          <w:lang w:val="en-US"/>
        </w:rPr>
        <w:t xml:space="preserve">, P. M., Lamoureux, J. A., </w:t>
      </w:r>
      <w:proofErr w:type="spellStart"/>
      <w:r w:rsidRPr="00D33181">
        <w:rPr>
          <w:lang w:val="en-US"/>
        </w:rPr>
        <w:t>Aranzubia-Olasolo</w:t>
      </w:r>
      <w:proofErr w:type="spellEnd"/>
      <w:r w:rsidRPr="00D33181">
        <w:rPr>
          <w:lang w:val="en-US"/>
        </w:rPr>
        <w:t xml:space="preserve">, M., &amp; </w:t>
      </w:r>
      <w:proofErr w:type="spellStart"/>
      <w:r w:rsidRPr="00D33181">
        <w:rPr>
          <w:lang w:val="en-US"/>
        </w:rPr>
        <w:t>Sanjuan</w:t>
      </w:r>
      <w:proofErr w:type="spellEnd"/>
      <w:r w:rsidRPr="00D33181">
        <w:rPr>
          <w:lang w:val="en-US"/>
        </w:rPr>
        <w:t xml:space="preserve">, M. D. C. (2020). </w:t>
      </w:r>
      <w:r w:rsidRPr="005C7EC8">
        <w:rPr>
          <w:lang w:val="en-US"/>
        </w:rPr>
        <w:t xml:space="preserve">Extinction contexts fail to transfer control: Implications for conditioned inhibition and occasion-setting accounts of renewal. </w:t>
      </w:r>
      <w:r w:rsidRPr="005C7EC8">
        <w:rPr>
          <w:i/>
          <w:lang w:val="en-US"/>
        </w:rPr>
        <w:t>Journal of Experimental Psychology: Animal Learning and Cognition, 46</w:t>
      </w:r>
      <w:r w:rsidRPr="005C7EC8">
        <w:rPr>
          <w:lang w:val="en-US"/>
        </w:rPr>
        <w:t xml:space="preserve">(4), 422-442. </w:t>
      </w:r>
      <w:hyperlink r:id="rId24">
        <w:r w:rsidRPr="005C7EC8">
          <w:rPr>
            <w:color w:val="0000FF"/>
            <w:u w:val="single"/>
            <w:lang w:val="en-US"/>
          </w:rPr>
          <w:t>https://doi.org/10.1037/xan0000273</w:t>
        </w:r>
      </w:hyperlink>
    </w:p>
    <w:p w14:paraId="2A2E8E13" w14:textId="3F7EF624" w:rsidR="003D3098" w:rsidRPr="000A214E" w:rsidRDefault="003D3098">
      <w:pPr>
        <w:ind w:left="720" w:hanging="720"/>
        <w:rPr>
          <w:lang w:val="en-US"/>
        </w:rPr>
      </w:pPr>
      <w:r w:rsidRPr="005C7EC8">
        <w:rPr>
          <w:lang w:val="en-US"/>
        </w:rPr>
        <w:t xml:space="preserve">Berkowitz, E. N., &amp; Walton, J. R. (1980). Contextual influences on consumer price responses: an experimental analysis. </w:t>
      </w:r>
      <w:r w:rsidRPr="000A214E">
        <w:rPr>
          <w:i/>
          <w:iCs/>
          <w:lang w:val="en-US"/>
        </w:rPr>
        <w:t>Journal of Marketing Research, 17</w:t>
      </w:r>
      <w:r w:rsidRPr="000A214E">
        <w:rPr>
          <w:lang w:val="en-US"/>
        </w:rPr>
        <w:t xml:space="preserve">(3), 349-358. </w:t>
      </w:r>
      <w:hyperlink r:id="rId25" w:history="1">
        <w:r w:rsidRPr="000A214E">
          <w:rPr>
            <w:rStyle w:val="Hipervnculo"/>
            <w:lang w:val="en-US"/>
          </w:rPr>
          <w:t>https://doi.org/10.1177/002224378001700308</w:t>
        </w:r>
      </w:hyperlink>
      <w:r w:rsidRPr="000A214E">
        <w:rPr>
          <w:lang w:val="en-US"/>
        </w:rPr>
        <w:t xml:space="preserve"> </w:t>
      </w:r>
    </w:p>
    <w:p w14:paraId="00000176" w14:textId="34332C12" w:rsidR="00E05D2A" w:rsidRPr="005C7EC8" w:rsidRDefault="007D47DC">
      <w:pPr>
        <w:ind w:left="720" w:hanging="720"/>
        <w:rPr>
          <w:lang w:val="en-US"/>
        </w:rPr>
      </w:pPr>
      <w:r w:rsidRPr="000A214E">
        <w:rPr>
          <w:lang w:val="en-US"/>
        </w:rPr>
        <w:t>Bernal-</w:t>
      </w:r>
      <w:proofErr w:type="spellStart"/>
      <w:r w:rsidRPr="000A214E">
        <w:rPr>
          <w:lang w:val="en-US"/>
        </w:rPr>
        <w:t>Gamboa</w:t>
      </w:r>
      <w:proofErr w:type="spellEnd"/>
      <w:r w:rsidRPr="000A214E">
        <w:rPr>
          <w:lang w:val="en-US"/>
        </w:rPr>
        <w:t xml:space="preserve">, R., Nieto, J., &amp; Rosas, J. M. (2015). </w:t>
      </w:r>
      <w:r w:rsidRPr="005C7EC8">
        <w:rPr>
          <w:lang w:val="en-US"/>
        </w:rPr>
        <w:t xml:space="preserve">Context specificity of taste aversion is boosted by pre-exposure and conditioning with a different taste. </w:t>
      </w:r>
      <w:proofErr w:type="spellStart"/>
      <w:r w:rsidRPr="005C7EC8">
        <w:rPr>
          <w:i/>
          <w:lang w:val="en-US"/>
        </w:rPr>
        <w:t>Behavioural</w:t>
      </w:r>
      <w:proofErr w:type="spellEnd"/>
      <w:r w:rsidRPr="005C7EC8">
        <w:rPr>
          <w:i/>
          <w:lang w:val="en-US"/>
        </w:rPr>
        <w:t xml:space="preserve"> Processes, 120</w:t>
      </w:r>
      <w:r w:rsidRPr="005C7EC8">
        <w:rPr>
          <w:lang w:val="en-US"/>
        </w:rPr>
        <w:t xml:space="preserve">, 111–115. </w:t>
      </w:r>
      <w:hyperlink r:id="rId26">
        <w:r w:rsidRPr="005C7EC8">
          <w:rPr>
            <w:color w:val="0000FF"/>
            <w:u w:val="single"/>
            <w:lang w:val="en-US"/>
          </w:rPr>
          <w:t>https://doi.org/10.1016/j.beproc.2015.09.008</w:t>
        </w:r>
      </w:hyperlink>
      <w:r w:rsidRPr="005C7EC8">
        <w:rPr>
          <w:lang w:val="en-US"/>
        </w:rPr>
        <w:t xml:space="preserve"> </w:t>
      </w:r>
    </w:p>
    <w:p w14:paraId="7918CE56" w14:textId="20F22687" w:rsidR="00F96125" w:rsidRPr="005C7EC8" w:rsidRDefault="00F96125">
      <w:pPr>
        <w:ind w:left="720" w:hanging="720"/>
        <w:rPr>
          <w:lang w:val="en-US"/>
        </w:rPr>
      </w:pPr>
      <w:proofErr w:type="spellStart"/>
      <w:r w:rsidRPr="005C7EC8">
        <w:rPr>
          <w:lang w:val="en-US"/>
        </w:rPr>
        <w:t>Bierley</w:t>
      </w:r>
      <w:proofErr w:type="spellEnd"/>
      <w:r w:rsidRPr="005C7EC8">
        <w:rPr>
          <w:lang w:val="en-US"/>
        </w:rPr>
        <w:t xml:space="preserve">, C., McSweeney, F. K., &amp; </w:t>
      </w:r>
      <w:proofErr w:type="spellStart"/>
      <w:r w:rsidRPr="005C7EC8">
        <w:rPr>
          <w:lang w:val="en-US"/>
        </w:rPr>
        <w:t>Vannieuwkerk</w:t>
      </w:r>
      <w:proofErr w:type="spellEnd"/>
      <w:r w:rsidRPr="005C7EC8">
        <w:rPr>
          <w:lang w:val="en-US"/>
        </w:rPr>
        <w:t>, R. (1985). Classical conditioning of preferences for stimuli</w:t>
      </w:r>
      <w:r w:rsidRPr="006D1B59">
        <w:rPr>
          <w:i/>
          <w:iCs/>
          <w:lang w:val="en-US"/>
        </w:rPr>
        <w:t>. Journal of Consumer Research, 12</w:t>
      </w:r>
      <w:r w:rsidRPr="005C7EC8">
        <w:rPr>
          <w:lang w:val="en-US"/>
        </w:rPr>
        <w:t xml:space="preserve">(3), 316-323. </w:t>
      </w:r>
      <w:hyperlink r:id="rId27" w:history="1">
        <w:r w:rsidRPr="005C7EC8">
          <w:rPr>
            <w:rStyle w:val="Hipervnculo"/>
            <w:lang w:val="en-US"/>
          </w:rPr>
          <w:t>https://doi.org/10.1086/208518</w:t>
        </w:r>
      </w:hyperlink>
      <w:r w:rsidRPr="005C7EC8">
        <w:rPr>
          <w:lang w:val="en-US"/>
        </w:rPr>
        <w:t xml:space="preserve"> </w:t>
      </w:r>
    </w:p>
    <w:p w14:paraId="00000178" w14:textId="3DB58E17" w:rsidR="00E05D2A" w:rsidRPr="005C7EC8" w:rsidRDefault="007D47DC">
      <w:pPr>
        <w:ind w:left="720" w:hanging="720"/>
        <w:rPr>
          <w:lang w:val="en-US"/>
        </w:rPr>
      </w:pPr>
      <w:r w:rsidRPr="005C7EC8">
        <w:rPr>
          <w:lang w:val="en-US"/>
        </w:rPr>
        <w:t xml:space="preserve">Bouton, M. E. (1993). Context, time, and memory retrieval in the interference paradigms of Pavlovian learning. </w:t>
      </w:r>
      <w:r w:rsidRPr="005C7EC8">
        <w:rPr>
          <w:i/>
          <w:lang w:val="en-US"/>
        </w:rPr>
        <w:t>Psychological Bulletin, 114</w:t>
      </w:r>
      <w:r w:rsidRPr="005C7EC8">
        <w:rPr>
          <w:lang w:val="en-US"/>
        </w:rPr>
        <w:t xml:space="preserve">(1), 80-99. </w:t>
      </w:r>
      <w:hyperlink r:id="rId28">
        <w:r w:rsidRPr="005C7EC8">
          <w:rPr>
            <w:color w:val="0000FF"/>
            <w:u w:val="single"/>
            <w:lang w:val="en-US"/>
          </w:rPr>
          <w:t>https://doi.org/10.1037/0033-2909.114.1.80</w:t>
        </w:r>
      </w:hyperlink>
    </w:p>
    <w:p w14:paraId="00000179" w14:textId="77777777" w:rsidR="00E05D2A" w:rsidRPr="005C7EC8" w:rsidRDefault="007D47DC">
      <w:pPr>
        <w:ind w:left="720" w:hanging="720"/>
        <w:rPr>
          <w:lang w:val="en-US"/>
        </w:rPr>
      </w:pPr>
      <w:r w:rsidRPr="005C7EC8">
        <w:rPr>
          <w:lang w:val="en-US"/>
        </w:rPr>
        <w:t xml:space="preserve">Bouton, M. E. (1994). Conditioning, remembering, and forgetting. </w:t>
      </w:r>
      <w:r w:rsidRPr="005C7EC8">
        <w:rPr>
          <w:i/>
          <w:lang w:val="en-US"/>
        </w:rPr>
        <w:t>Journal of Experimental Psychology: Animal Behavior Processes, 20</w:t>
      </w:r>
      <w:r w:rsidRPr="005C7EC8">
        <w:rPr>
          <w:lang w:val="en-US"/>
        </w:rPr>
        <w:t xml:space="preserve">(3), 219-231. </w:t>
      </w:r>
      <w:hyperlink r:id="rId29">
        <w:r w:rsidRPr="005C7EC8">
          <w:rPr>
            <w:color w:val="0000FF"/>
            <w:u w:val="single"/>
            <w:lang w:val="en-US"/>
          </w:rPr>
          <w:t>https://doi.org/10.1037/0097-7403.20.3.219</w:t>
        </w:r>
      </w:hyperlink>
      <w:r w:rsidRPr="005C7EC8">
        <w:rPr>
          <w:lang w:val="en-US"/>
        </w:rPr>
        <w:t xml:space="preserve"> </w:t>
      </w:r>
    </w:p>
    <w:p w14:paraId="0000017A" w14:textId="77777777" w:rsidR="00E05D2A" w:rsidRPr="005C7EC8" w:rsidRDefault="007D47DC">
      <w:pPr>
        <w:ind w:left="720" w:hanging="720"/>
        <w:rPr>
          <w:lang w:val="en-US"/>
        </w:rPr>
      </w:pPr>
      <w:r w:rsidRPr="005C7EC8">
        <w:rPr>
          <w:lang w:val="en-US"/>
        </w:rPr>
        <w:t xml:space="preserve">Bouton, M. E. (1997). Signals for whether versus when an event will occur. In M. E. Bouton &amp; M. S. </w:t>
      </w:r>
      <w:proofErr w:type="spellStart"/>
      <w:r w:rsidRPr="005C7EC8">
        <w:rPr>
          <w:lang w:val="en-US"/>
        </w:rPr>
        <w:t>Fanselow</w:t>
      </w:r>
      <w:proofErr w:type="spellEnd"/>
      <w:r w:rsidRPr="005C7EC8">
        <w:rPr>
          <w:lang w:val="en-US"/>
        </w:rPr>
        <w:t xml:space="preserve"> (Eds.), </w:t>
      </w:r>
      <w:r w:rsidRPr="005C7EC8">
        <w:rPr>
          <w:i/>
          <w:lang w:val="en-US"/>
        </w:rPr>
        <w:t xml:space="preserve">Learning, motivation, and cognition: The functional </w:t>
      </w:r>
      <w:r w:rsidRPr="005C7EC8">
        <w:rPr>
          <w:i/>
          <w:lang w:val="en-US"/>
        </w:rPr>
        <w:lastRenderedPageBreak/>
        <w:t xml:space="preserve">behaviorism of Robert C. </w:t>
      </w:r>
      <w:proofErr w:type="spellStart"/>
      <w:r w:rsidRPr="005C7EC8">
        <w:rPr>
          <w:i/>
          <w:lang w:val="en-US"/>
        </w:rPr>
        <w:t>Bolles</w:t>
      </w:r>
      <w:proofErr w:type="spellEnd"/>
      <w:r w:rsidRPr="005C7EC8">
        <w:rPr>
          <w:lang w:val="en-US"/>
        </w:rPr>
        <w:t xml:space="preserve"> (pp. 385–409). American Psychological Association. </w:t>
      </w:r>
      <w:hyperlink r:id="rId30">
        <w:r w:rsidRPr="005C7EC8">
          <w:rPr>
            <w:color w:val="0000FF"/>
            <w:u w:val="single"/>
            <w:lang w:val="en-US"/>
          </w:rPr>
          <w:t>https://doi.org/10.1037/10223-019</w:t>
        </w:r>
      </w:hyperlink>
    </w:p>
    <w:p w14:paraId="64965F8D" w14:textId="340622C9" w:rsidR="002040BA" w:rsidRPr="005C7EC8" w:rsidRDefault="002040BA">
      <w:pPr>
        <w:ind w:left="720" w:hanging="720"/>
        <w:rPr>
          <w:lang w:val="en-US"/>
        </w:rPr>
      </w:pPr>
      <w:r w:rsidRPr="005C7EC8">
        <w:rPr>
          <w:lang w:val="en-US"/>
        </w:rPr>
        <w:t xml:space="preserve">Bouton, M. E., Nelson, J. B., &amp; Rosas, J. M. (1999). Stimulus generalization, context change, and forgetting. </w:t>
      </w:r>
      <w:r w:rsidRPr="005C7EC8">
        <w:rPr>
          <w:i/>
          <w:iCs/>
          <w:lang w:val="en-US"/>
        </w:rPr>
        <w:t>Psychological Bulletin, 125</w:t>
      </w:r>
      <w:r w:rsidRPr="005C7EC8">
        <w:rPr>
          <w:lang w:val="en-US"/>
        </w:rPr>
        <w:t xml:space="preserve">(2), 171–186. </w:t>
      </w:r>
      <w:hyperlink r:id="rId31" w:history="1">
        <w:r w:rsidRPr="005C7EC8">
          <w:rPr>
            <w:rStyle w:val="Hipervnculo"/>
            <w:lang w:val="en-US"/>
          </w:rPr>
          <w:t>https://doi.org/10.1037/0033-2909.125.2.171</w:t>
        </w:r>
      </w:hyperlink>
      <w:r w:rsidRPr="005C7EC8">
        <w:rPr>
          <w:lang w:val="en-US"/>
        </w:rPr>
        <w:t xml:space="preserve"> </w:t>
      </w:r>
    </w:p>
    <w:p w14:paraId="6A714A64" w14:textId="5317984A" w:rsidR="00E70310" w:rsidRPr="005C7EC8" w:rsidRDefault="00E70310">
      <w:pPr>
        <w:ind w:left="720" w:hanging="720"/>
        <w:rPr>
          <w:lang w:val="en-US"/>
        </w:rPr>
      </w:pPr>
      <w:r w:rsidRPr="005C7EC8">
        <w:rPr>
          <w:lang w:val="en-US"/>
        </w:rPr>
        <w:t xml:space="preserve">Bouton, M. E., &amp; </w:t>
      </w:r>
      <w:proofErr w:type="spellStart"/>
      <w:r w:rsidRPr="005C7EC8">
        <w:rPr>
          <w:lang w:val="en-US"/>
        </w:rPr>
        <w:t>Bolles</w:t>
      </w:r>
      <w:proofErr w:type="spellEnd"/>
      <w:r w:rsidRPr="005C7EC8">
        <w:rPr>
          <w:lang w:val="en-US"/>
        </w:rPr>
        <w:t xml:space="preserve">, R. C. (1979). Contextual control of the extinction of conditioned fear. </w:t>
      </w:r>
      <w:r w:rsidRPr="005C7EC8">
        <w:rPr>
          <w:i/>
          <w:iCs/>
          <w:lang w:val="en-US"/>
        </w:rPr>
        <w:t>Learning and Motivation, 10</w:t>
      </w:r>
      <w:r w:rsidRPr="005C7EC8">
        <w:rPr>
          <w:lang w:val="en-US"/>
        </w:rPr>
        <w:t xml:space="preserve">(4), 445-466. </w:t>
      </w:r>
      <w:hyperlink r:id="rId32" w:history="1">
        <w:r w:rsidRPr="005C7EC8">
          <w:rPr>
            <w:rStyle w:val="Hipervnculo"/>
            <w:lang w:val="en-US"/>
          </w:rPr>
          <w:t>https://doi.org/10.1016/0023-9690(79)90057-2</w:t>
        </w:r>
      </w:hyperlink>
      <w:r w:rsidRPr="005C7EC8">
        <w:rPr>
          <w:lang w:val="en-US"/>
        </w:rPr>
        <w:t xml:space="preserve"> </w:t>
      </w:r>
    </w:p>
    <w:p w14:paraId="4B3A2F04" w14:textId="372A7AD6" w:rsidR="00A16108" w:rsidRPr="005C7EC8" w:rsidRDefault="00A16108">
      <w:pPr>
        <w:ind w:left="720" w:hanging="720"/>
        <w:rPr>
          <w:lang w:val="en-US"/>
        </w:rPr>
      </w:pPr>
      <w:r w:rsidRPr="005C7EC8">
        <w:rPr>
          <w:lang w:val="en-US"/>
        </w:rPr>
        <w:t xml:space="preserve">Bouton, M. E., &amp; </w:t>
      </w:r>
      <w:proofErr w:type="spellStart"/>
      <w:r w:rsidRPr="005C7EC8">
        <w:rPr>
          <w:lang w:val="en-US"/>
        </w:rPr>
        <w:t>Sunsay</w:t>
      </w:r>
      <w:proofErr w:type="spellEnd"/>
      <w:r w:rsidRPr="005C7EC8">
        <w:rPr>
          <w:lang w:val="en-US"/>
        </w:rPr>
        <w:t xml:space="preserve">, C. (2001). Contextual control of appetitive conditioning: Influence of a contextual stimulus generated by a partial reinforcement procedure. </w:t>
      </w:r>
      <w:r w:rsidRPr="005C7EC8">
        <w:rPr>
          <w:i/>
          <w:iCs/>
          <w:lang w:val="en-US"/>
        </w:rPr>
        <w:t>The Quarterly Journal of Experimental Psychology Section B, 54</w:t>
      </w:r>
      <w:r w:rsidRPr="005C7EC8">
        <w:rPr>
          <w:lang w:val="en-US"/>
        </w:rPr>
        <w:t xml:space="preserve">(2b), 109-125. </w:t>
      </w:r>
      <w:hyperlink r:id="rId33" w:history="1">
        <w:r w:rsidRPr="005C7EC8">
          <w:rPr>
            <w:rStyle w:val="Hipervnculo"/>
            <w:lang w:val="en-US"/>
          </w:rPr>
          <w:t>https://doi.org/10.1080/713932752</w:t>
        </w:r>
      </w:hyperlink>
      <w:r w:rsidRPr="005C7EC8">
        <w:rPr>
          <w:lang w:val="en-US"/>
        </w:rPr>
        <w:t xml:space="preserve"> </w:t>
      </w:r>
    </w:p>
    <w:p w14:paraId="0000017B" w14:textId="5AF0D7DF" w:rsidR="00E05D2A" w:rsidRPr="005C7EC8" w:rsidRDefault="007D47DC">
      <w:pPr>
        <w:ind w:left="720" w:hanging="720"/>
        <w:rPr>
          <w:lang w:val="en-US"/>
        </w:rPr>
      </w:pPr>
      <w:r w:rsidRPr="005C7EC8">
        <w:t xml:space="preserve">Callejas-Aguilera, J. E., Cubillas, C. P., &amp; Rosas, J. M. (2019). </w:t>
      </w:r>
      <w:r w:rsidRPr="005C7EC8">
        <w:rPr>
          <w:lang w:val="en-US"/>
        </w:rPr>
        <w:t xml:space="preserve">Attentional instructions modulate differential context-switch effects after short and long training in human predictive learning. </w:t>
      </w:r>
      <w:r w:rsidRPr="005C7EC8">
        <w:rPr>
          <w:i/>
          <w:lang w:val="en-US"/>
        </w:rPr>
        <w:t>Journal of Experimental Psychology: Animal Learning and Cognition, 45</w:t>
      </w:r>
      <w:r w:rsidRPr="005C7EC8">
        <w:rPr>
          <w:lang w:val="en-US"/>
        </w:rPr>
        <w:t xml:space="preserve">(4), 474–484. </w:t>
      </w:r>
      <w:hyperlink r:id="rId34">
        <w:r w:rsidRPr="005C7EC8">
          <w:rPr>
            <w:color w:val="0000FF"/>
            <w:u w:val="single"/>
            <w:lang w:val="en-US"/>
          </w:rPr>
          <w:t>https://doi.org/10.1037/xan0000214</w:t>
        </w:r>
      </w:hyperlink>
    </w:p>
    <w:p w14:paraId="0000017C" w14:textId="77777777" w:rsidR="00E05D2A" w:rsidRPr="005C7EC8" w:rsidRDefault="007D47DC">
      <w:pPr>
        <w:ind w:left="720" w:hanging="720"/>
        <w:rPr>
          <w:lang w:val="en-US"/>
        </w:rPr>
      </w:pPr>
      <w:r w:rsidRPr="005C7EC8">
        <w:t xml:space="preserve">Callejas-Aguilera, J. E., &amp; Rosas, J. M. (2010). </w:t>
      </w:r>
      <w:r w:rsidRPr="005C7EC8">
        <w:rPr>
          <w:lang w:val="en-US"/>
        </w:rPr>
        <w:t xml:space="preserve">Ambiguity and context processing in human predictive learning. </w:t>
      </w:r>
      <w:r w:rsidRPr="005C7EC8">
        <w:rPr>
          <w:i/>
          <w:lang w:val="en-US"/>
        </w:rPr>
        <w:t>Journal of Experimental Psychology: Animal Behavior Processes, 36</w:t>
      </w:r>
      <w:r w:rsidRPr="005C7EC8">
        <w:rPr>
          <w:lang w:val="en-US"/>
        </w:rPr>
        <w:t xml:space="preserve">(4), 482–494. </w:t>
      </w:r>
      <w:hyperlink r:id="rId35">
        <w:r w:rsidRPr="005C7EC8">
          <w:rPr>
            <w:color w:val="0000FF"/>
            <w:u w:val="single"/>
            <w:lang w:val="en-US"/>
          </w:rPr>
          <w:t>https://doi.org/10.1037/a0018527</w:t>
        </w:r>
      </w:hyperlink>
    </w:p>
    <w:p w14:paraId="2C7DD2F9" w14:textId="5BFEDF50" w:rsidR="00014C5D" w:rsidRPr="005C7EC8" w:rsidRDefault="00014C5D">
      <w:pPr>
        <w:ind w:left="720" w:hanging="720"/>
        <w:rPr>
          <w:lang w:val="en-US"/>
        </w:rPr>
      </w:pPr>
      <w:r w:rsidRPr="005C7EC8">
        <w:rPr>
          <w:lang w:val="en-US"/>
        </w:rPr>
        <w:t xml:space="preserve">Capaldi, E. J. (1967). A sequential hypothesis of instrumental learning. </w:t>
      </w:r>
      <w:r w:rsidRPr="005C7EC8">
        <w:rPr>
          <w:i/>
          <w:iCs/>
          <w:lang w:val="en-US"/>
        </w:rPr>
        <w:t>Psychology of Learning and Motivation 1</w:t>
      </w:r>
      <w:r w:rsidRPr="005C7EC8">
        <w:rPr>
          <w:lang w:val="en-US"/>
        </w:rPr>
        <w:t xml:space="preserve">, 67-156. </w:t>
      </w:r>
      <w:hyperlink r:id="rId36" w:history="1">
        <w:r w:rsidR="00DC23FD" w:rsidRPr="005C7EC8">
          <w:rPr>
            <w:rStyle w:val="Hipervnculo"/>
            <w:lang w:val="en-US"/>
          </w:rPr>
          <w:t>https://doi.org/10.1016/S0079-7421(08)60513-7</w:t>
        </w:r>
      </w:hyperlink>
      <w:r w:rsidR="00DC23FD" w:rsidRPr="005C7EC8">
        <w:rPr>
          <w:lang w:val="en-US"/>
        </w:rPr>
        <w:t xml:space="preserve"> </w:t>
      </w:r>
    </w:p>
    <w:p w14:paraId="1FDC6184" w14:textId="7F7E87D2" w:rsidR="00E050EB" w:rsidRPr="005C7EC8" w:rsidRDefault="00E050EB">
      <w:pPr>
        <w:ind w:left="720" w:hanging="720"/>
        <w:rPr>
          <w:lang w:val="en-US"/>
        </w:rPr>
      </w:pPr>
      <w:r w:rsidRPr="005C7EC8">
        <w:rPr>
          <w:lang w:val="en-US"/>
        </w:rPr>
        <w:t xml:space="preserve">Capaldi, E. J. (1994). The sequential view: From rapidly fading stimulus traces to the organization of memory and the abstract concept of number. </w:t>
      </w:r>
      <w:r w:rsidRPr="005C7EC8">
        <w:rPr>
          <w:i/>
          <w:iCs/>
          <w:lang w:val="en-US"/>
        </w:rPr>
        <w:t>Psychonomic Bulletin &amp; Review, 1</w:t>
      </w:r>
      <w:r w:rsidRPr="005C7EC8">
        <w:rPr>
          <w:lang w:val="en-US"/>
        </w:rPr>
        <w:t xml:space="preserve">(2), 156-181. </w:t>
      </w:r>
      <w:hyperlink r:id="rId37" w:history="1">
        <w:r w:rsidRPr="005C7EC8">
          <w:rPr>
            <w:rStyle w:val="Hipervnculo"/>
            <w:lang w:val="en-US"/>
          </w:rPr>
          <w:t>https://doi.org/10.3758/BF03200771</w:t>
        </w:r>
      </w:hyperlink>
      <w:r w:rsidRPr="005C7EC8">
        <w:rPr>
          <w:lang w:val="en-US"/>
        </w:rPr>
        <w:t xml:space="preserve"> </w:t>
      </w:r>
    </w:p>
    <w:p w14:paraId="0000017D" w14:textId="24BA730C" w:rsidR="00E05D2A" w:rsidRPr="005C7EC8" w:rsidRDefault="007D47DC">
      <w:pPr>
        <w:ind w:left="720" w:hanging="720"/>
        <w:rPr>
          <w:lang w:val="en-US"/>
        </w:rPr>
      </w:pPr>
      <w:r w:rsidRPr="005C7EC8">
        <w:rPr>
          <w:lang w:val="en-US"/>
        </w:rPr>
        <w:t xml:space="preserve">Cohen, J. (1988). </w:t>
      </w:r>
      <w:r w:rsidRPr="005C7EC8">
        <w:rPr>
          <w:i/>
          <w:lang w:val="en-US"/>
        </w:rPr>
        <w:t xml:space="preserve">Statistical power analysis for the behavioral sciences </w:t>
      </w:r>
      <w:r w:rsidRPr="005C7EC8">
        <w:rPr>
          <w:lang w:val="en-US"/>
        </w:rPr>
        <w:t>(Revised Edition). Academic Press.</w:t>
      </w:r>
    </w:p>
    <w:p w14:paraId="0000017E" w14:textId="77777777" w:rsidR="00E05D2A" w:rsidRPr="005C7EC8" w:rsidRDefault="007D47DC">
      <w:pPr>
        <w:ind w:left="720" w:hanging="720"/>
        <w:rPr>
          <w:lang w:val="en-US"/>
        </w:rPr>
      </w:pPr>
      <w:proofErr w:type="spellStart"/>
      <w:r w:rsidRPr="005C7EC8">
        <w:rPr>
          <w:lang w:val="en-US"/>
        </w:rPr>
        <w:t>Eich</w:t>
      </w:r>
      <w:proofErr w:type="spellEnd"/>
      <w:r w:rsidRPr="005C7EC8">
        <w:rPr>
          <w:lang w:val="en-US"/>
        </w:rPr>
        <w:t xml:space="preserve">, E. (1995). Mood as a mediator of place dependent memory. </w:t>
      </w:r>
      <w:r w:rsidRPr="005C7EC8">
        <w:rPr>
          <w:i/>
          <w:lang w:val="en-US"/>
        </w:rPr>
        <w:t>Journal of Experimental Psychology: General, 124</w:t>
      </w:r>
      <w:r w:rsidRPr="005C7EC8">
        <w:rPr>
          <w:lang w:val="en-US"/>
        </w:rPr>
        <w:t xml:space="preserve">(3), 293–308. </w:t>
      </w:r>
      <w:hyperlink r:id="rId38">
        <w:r w:rsidRPr="005C7EC8">
          <w:rPr>
            <w:color w:val="0000FF"/>
            <w:u w:val="single"/>
            <w:lang w:val="en-US"/>
          </w:rPr>
          <w:t>https://doi.org/10.1037/0096-3445.124.3.293</w:t>
        </w:r>
      </w:hyperlink>
      <w:r w:rsidRPr="005C7EC8">
        <w:rPr>
          <w:lang w:val="en-US"/>
        </w:rPr>
        <w:t xml:space="preserve"> </w:t>
      </w:r>
    </w:p>
    <w:p w14:paraId="0000017F" w14:textId="77777777" w:rsidR="00E05D2A" w:rsidRPr="005C7EC8" w:rsidRDefault="007D47DC">
      <w:pPr>
        <w:ind w:left="720" w:hanging="720"/>
        <w:rPr>
          <w:lang w:val="en-US"/>
        </w:rPr>
      </w:pPr>
      <w:proofErr w:type="spellStart"/>
      <w:r w:rsidRPr="005C7EC8">
        <w:rPr>
          <w:lang w:val="en-US"/>
        </w:rPr>
        <w:t>Faul</w:t>
      </w:r>
      <w:proofErr w:type="spellEnd"/>
      <w:r w:rsidRPr="005C7EC8">
        <w:rPr>
          <w:lang w:val="en-US"/>
        </w:rPr>
        <w:t xml:space="preserve">, F., </w:t>
      </w:r>
      <w:proofErr w:type="spellStart"/>
      <w:r w:rsidRPr="005C7EC8">
        <w:rPr>
          <w:lang w:val="en-US"/>
        </w:rPr>
        <w:t>Erdfelder</w:t>
      </w:r>
      <w:proofErr w:type="spellEnd"/>
      <w:r w:rsidRPr="005C7EC8">
        <w:rPr>
          <w:lang w:val="en-US"/>
        </w:rPr>
        <w:t xml:space="preserve">, E., Lang, A.-G., &amp; Buchner, A. (2007). G* Power 3: A flexible statistical power analysis program for the social, behavioral, and biomedical sciences. </w:t>
      </w:r>
      <w:r w:rsidRPr="005C7EC8">
        <w:rPr>
          <w:i/>
          <w:lang w:val="en-US"/>
        </w:rPr>
        <w:t>Behavior Research Methods, 39</w:t>
      </w:r>
      <w:r w:rsidRPr="005C7EC8">
        <w:rPr>
          <w:lang w:val="en-US"/>
        </w:rPr>
        <w:t xml:space="preserve">(2), 175–191. </w:t>
      </w:r>
      <w:hyperlink r:id="rId39">
        <w:r w:rsidRPr="005C7EC8">
          <w:rPr>
            <w:color w:val="0000FF"/>
            <w:u w:val="single"/>
            <w:lang w:val="en-US"/>
          </w:rPr>
          <w:t>https://doi.org/10.3758/BF03193146</w:t>
        </w:r>
      </w:hyperlink>
    </w:p>
    <w:p w14:paraId="00000181" w14:textId="77777777" w:rsidR="00E05D2A" w:rsidRPr="005C7EC8" w:rsidRDefault="007D47DC">
      <w:pPr>
        <w:ind w:left="720" w:hanging="720"/>
        <w:rPr>
          <w:lang w:val="en-US"/>
        </w:rPr>
      </w:pPr>
      <w:r w:rsidRPr="000A214E">
        <w:rPr>
          <w:lang w:val="en-US"/>
        </w:rPr>
        <w:t>García-</w:t>
      </w:r>
      <w:proofErr w:type="spellStart"/>
      <w:r w:rsidRPr="000A214E">
        <w:rPr>
          <w:lang w:val="en-US"/>
        </w:rPr>
        <w:t>Madariaga</w:t>
      </w:r>
      <w:proofErr w:type="spellEnd"/>
      <w:r w:rsidRPr="000A214E">
        <w:rPr>
          <w:lang w:val="en-US"/>
        </w:rPr>
        <w:t xml:space="preserve">, J., López, M.-F. B., Burgos, I. M., &amp; Virto, N. R. (2019). </w:t>
      </w:r>
      <w:r w:rsidRPr="005C7EC8">
        <w:rPr>
          <w:lang w:val="en-US"/>
        </w:rPr>
        <w:t xml:space="preserve">Do isolated packaging variables influence consumers’ attention and preferences? </w:t>
      </w:r>
      <w:r w:rsidRPr="005C7EC8">
        <w:rPr>
          <w:i/>
          <w:lang w:val="en-US"/>
        </w:rPr>
        <w:t>Physiology &amp; Behavior, 200</w:t>
      </w:r>
      <w:r w:rsidRPr="005C7EC8">
        <w:rPr>
          <w:lang w:val="en-US"/>
        </w:rPr>
        <w:t xml:space="preserve">(1), 96–103. </w:t>
      </w:r>
      <w:hyperlink r:id="rId40">
        <w:r w:rsidRPr="005C7EC8">
          <w:rPr>
            <w:color w:val="0000FF"/>
            <w:u w:val="single"/>
            <w:lang w:val="en-US"/>
          </w:rPr>
          <w:t>https://doi.org/10.1016/j.physbeh.2018.04.030</w:t>
        </w:r>
      </w:hyperlink>
    </w:p>
    <w:p w14:paraId="35DADFED" w14:textId="3BC21800" w:rsidR="00F1795F" w:rsidRDefault="00F1795F">
      <w:pPr>
        <w:ind w:left="720" w:hanging="720"/>
        <w:rPr>
          <w:lang w:val="en-US"/>
        </w:rPr>
      </w:pPr>
      <w:r w:rsidRPr="00F1795F">
        <w:rPr>
          <w:lang w:val="en-US"/>
        </w:rPr>
        <w:t xml:space="preserve">Griffiths, O., &amp; </w:t>
      </w:r>
      <w:proofErr w:type="spellStart"/>
      <w:r w:rsidRPr="00F1795F">
        <w:rPr>
          <w:lang w:val="en-US"/>
        </w:rPr>
        <w:t>Thorwart</w:t>
      </w:r>
      <w:proofErr w:type="spellEnd"/>
      <w:r w:rsidRPr="00F1795F">
        <w:rPr>
          <w:lang w:val="en-US"/>
        </w:rPr>
        <w:t xml:space="preserve">, A. (2017). Effects of outcome predictability on human learning. </w:t>
      </w:r>
      <w:r w:rsidRPr="001F47E3">
        <w:rPr>
          <w:i/>
          <w:iCs/>
          <w:lang w:val="en-US"/>
        </w:rPr>
        <w:t>Frontiers in Psychology, 8</w:t>
      </w:r>
      <w:r w:rsidRPr="00F1795F">
        <w:rPr>
          <w:lang w:val="en-US"/>
        </w:rPr>
        <w:t>, 511.</w:t>
      </w:r>
      <w:r>
        <w:rPr>
          <w:lang w:val="en-US"/>
        </w:rPr>
        <w:t xml:space="preserve"> </w:t>
      </w:r>
      <w:hyperlink r:id="rId41" w:history="1">
        <w:r w:rsidRPr="00360EAB">
          <w:rPr>
            <w:rStyle w:val="Hipervnculo"/>
            <w:lang w:val="en-US"/>
          </w:rPr>
          <w:t>https://doi.org/10.3389/fpsyg.2017.00511</w:t>
        </w:r>
      </w:hyperlink>
      <w:r>
        <w:rPr>
          <w:lang w:val="en-US"/>
        </w:rPr>
        <w:t xml:space="preserve"> </w:t>
      </w:r>
    </w:p>
    <w:p w14:paraId="00000182" w14:textId="7C7F2C7E" w:rsidR="00E05D2A" w:rsidRPr="005C7EC8" w:rsidRDefault="007D47DC">
      <w:pPr>
        <w:ind w:left="720" w:hanging="720"/>
        <w:rPr>
          <w:lang w:val="en-US"/>
        </w:rPr>
      </w:pPr>
      <w:r w:rsidRPr="005C7EC8">
        <w:rPr>
          <w:lang w:val="en-US"/>
        </w:rPr>
        <w:t xml:space="preserve">Hoch, S. J., &amp; Deighton, J. (1989). Managing what consumers learn from experience. </w:t>
      </w:r>
      <w:r w:rsidRPr="005C7EC8">
        <w:rPr>
          <w:i/>
          <w:lang w:val="en-US"/>
        </w:rPr>
        <w:t>Journal of Marketing, 53</w:t>
      </w:r>
      <w:r w:rsidRPr="005C7EC8">
        <w:rPr>
          <w:lang w:val="en-US"/>
        </w:rPr>
        <w:t xml:space="preserve">(2), 1–20. </w:t>
      </w:r>
      <w:hyperlink r:id="rId42">
        <w:r w:rsidRPr="005C7EC8">
          <w:rPr>
            <w:color w:val="0000FF"/>
            <w:u w:val="single"/>
            <w:lang w:val="en-US"/>
          </w:rPr>
          <w:t>https://doi.org/10.1177/002224298905300201</w:t>
        </w:r>
      </w:hyperlink>
    </w:p>
    <w:p w14:paraId="7840A9BD" w14:textId="4E365749" w:rsidR="007F15A5" w:rsidRPr="005C7EC8" w:rsidRDefault="007F15A5">
      <w:pPr>
        <w:ind w:left="720" w:hanging="720"/>
        <w:rPr>
          <w:lang w:val="en-US"/>
        </w:rPr>
      </w:pPr>
      <w:r w:rsidRPr="005C7EC8">
        <w:rPr>
          <w:lang w:val="en-US"/>
        </w:rPr>
        <w:t xml:space="preserve">Hoyer, W., </w:t>
      </w:r>
      <w:proofErr w:type="spellStart"/>
      <w:r w:rsidRPr="005C7EC8">
        <w:rPr>
          <w:lang w:val="en-US"/>
        </w:rPr>
        <w:t>MacInnis</w:t>
      </w:r>
      <w:proofErr w:type="spellEnd"/>
      <w:r w:rsidRPr="005C7EC8">
        <w:rPr>
          <w:lang w:val="en-US"/>
        </w:rPr>
        <w:t xml:space="preserve">, D., &amp; Pieters, R. (2013). </w:t>
      </w:r>
      <w:r w:rsidRPr="005C7EC8">
        <w:rPr>
          <w:i/>
          <w:iCs/>
          <w:lang w:val="en-US"/>
        </w:rPr>
        <w:t>Consumer Behavior 6th ed</w:t>
      </w:r>
      <w:r w:rsidRPr="005C7EC8">
        <w:rPr>
          <w:lang w:val="en-US"/>
        </w:rPr>
        <w:t>. South-Western Cengage Learning.</w:t>
      </w:r>
    </w:p>
    <w:p w14:paraId="00000183" w14:textId="2977E95F" w:rsidR="00E05D2A" w:rsidRPr="005C7EC8" w:rsidRDefault="007D47DC">
      <w:pPr>
        <w:ind w:left="720" w:hanging="720"/>
        <w:rPr>
          <w:lang w:val="en-US"/>
        </w:rPr>
      </w:pPr>
      <w:proofErr w:type="spellStart"/>
      <w:r w:rsidRPr="005C7EC8">
        <w:rPr>
          <w:lang w:val="en-US"/>
        </w:rPr>
        <w:t>Janiszewski</w:t>
      </w:r>
      <w:proofErr w:type="spellEnd"/>
      <w:r w:rsidRPr="005C7EC8">
        <w:rPr>
          <w:lang w:val="en-US"/>
        </w:rPr>
        <w:t xml:space="preserve">, C., &amp; </w:t>
      </w:r>
      <w:proofErr w:type="spellStart"/>
      <w:r w:rsidRPr="005C7EC8">
        <w:rPr>
          <w:lang w:val="en-US"/>
        </w:rPr>
        <w:t>Warlop</w:t>
      </w:r>
      <w:proofErr w:type="spellEnd"/>
      <w:r w:rsidRPr="005C7EC8">
        <w:rPr>
          <w:lang w:val="en-US"/>
        </w:rPr>
        <w:t xml:space="preserve">, L. (1993). The influence of classical conditioning procedures on subsequent attention to the conditioned brand. </w:t>
      </w:r>
      <w:r w:rsidRPr="005C7EC8">
        <w:rPr>
          <w:i/>
          <w:lang w:val="en-US"/>
        </w:rPr>
        <w:t>Journal of Consumer Research, 20</w:t>
      </w:r>
      <w:r w:rsidRPr="005C7EC8">
        <w:rPr>
          <w:lang w:val="en-US"/>
        </w:rPr>
        <w:t xml:space="preserve">(2), 171-189. </w:t>
      </w:r>
      <w:hyperlink r:id="rId43">
        <w:r w:rsidRPr="005C7EC8">
          <w:rPr>
            <w:color w:val="0000FF"/>
            <w:u w:val="single"/>
            <w:lang w:val="en-US"/>
          </w:rPr>
          <w:t>https://doi.org/10.1086/209342</w:t>
        </w:r>
      </w:hyperlink>
      <w:r w:rsidRPr="005C7EC8">
        <w:rPr>
          <w:lang w:val="en-US"/>
        </w:rPr>
        <w:t xml:space="preserve"> </w:t>
      </w:r>
    </w:p>
    <w:p w14:paraId="00000184" w14:textId="77777777" w:rsidR="00E05D2A" w:rsidRPr="005C7EC8" w:rsidRDefault="007D47DC">
      <w:pPr>
        <w:ind w:left="720" w:hanging="720"/>
        <w:rPr>
          <w:lang w:val="en-US"/>
        </w:rPr>
      </w:pPr>
      <w:r w:rsidRPr="005C7EC8">
        <w:rPr>
          <w:lang w:val="en-US"/>
        </w:rPr>
        <w:t xml:space="preserve">Jiang, Y., &amp; Leung, A.W. (2005). Implicit learning of ignored visual context. </w:t>
      </w:r>
      <w:r w:rsidRPr="00216C5A">
        <w:rPr>
          <w:i/>
          <w:iCs/>
          <w:lang w:val="en-US"/>
        </w:rPr>
        <w:t>Psychonomic Bulletin &amp; Review, 12</w:t>
      </w:r>
      <w:r w:rsidRPr="005C7EC8">
        <w:rPr>
          <w:lang w:val="en-US"/>
        </w:rPr>
        <w:t xml:space="preserve">(1), 100–106. </w:t>
      </w:r>
      <w:hyperlink r:id="rId44">
        <w:r w:rsidRPr="005C7EC8">
          <w:rPr>
            <w:color w:val="0000FF"/>
            <w:u w:val="single"/>
            <w:lang w:val="en-US"/>
          </w:rPr>
          <w:t>https://doi.org/10.3758/BF03196353</w:t>
        </w:r>
      </w:hyperlink>
      <w:r w:rsidRPr="005C7EC8">
        <w:rPr>
          <w:lang w:val="en-US"/>
        </w:rPr>
        <w:t xml:space="preserve"> </w:t>
      </w:r>
    </w:p>
    <w:p w14:paraId="00000188" w14:textId="77777777" w:rsidR="00E05D2A" w:rsidRPr="005C7EC8" w:rsidRDefault="007D47DC">
      <w:pPr>
        <w:ind w:left="720" w:hanging="720"/>
        <w:rPr>
          <w:lang w:val="en-US"/>
        </w:rPr>
      </w:pPr>
      <w:proofErr w:type="spellStart"/>
      <w:r w:rsidRPr="005C7EC8">
        <w:rPr>
          <w:lang w:val="en-US"/>
        </w:rPr>
        <w:t>Kruschke</w:t>
      </w:r>
      <w:proofErr w:type="spellEnd"/>
      <w:r w:rsidRPr="005C7EC8">
        <w:rPr>
          <w:lang w:val="en-US"/>
        </w:rPr>
        <w:t xml:space="preserve">, J. K., &amp; </w:t>
      </w:r>
      <w:proofErr w:type="spellStart"/>
      <w:r w:rsidRPr="005C7EC8">
        <w:rPr>
          <w:lang w:val="en-US"/>
        </w:rPr>
        <w:t>Hullinger</w:t>
      </w:r>
      <w:proofErr w:type="spellEnd"/>
      <w:r w:rsidRPr="005C7EC8">
        <w:rPr>
          <w:lang w:val="en-US"/>
        </w:rPr>
        <w:t xml:space="preserve">, R. A. (2010). Evolution of attention in learning. In N. </w:t>
      </w:r>
      <w:proofErr w:type="spellStart"/>
      <w:r w:rsidRPr="005C7EC8">
        <w:rPr>
          <w:lang w:val="en-US"/>
        </w:rPr>
        <w:t>Schmajuk</w:t>
      </w:r>
      <w:proofErr w:type="spellEnd"/>
      <w:r w:rsidRPr="005C7EC8">
        <w:rPr>
          <w:lang w:val="en-US"/>
        </w:rPr>
        <w:t xml:space="preserve"> (Ed.), </w:t>
      </w:r>
      <w:r w:rsidRPr="005C7EC8">
        <w:rPr>
          <w:i/>
          <w:lang w:val="en-US"/>
        </w:rPr>
        <w:t>Computational Models of Conditioning</w:t>
      </w:r>
      <w:r w:rsidRPr="005C7EC8">
        <w:rPr>
          <w:lang w:val="en-US"/>
        </w:rPr>
        <w:t xml:space="preserve"> (pp. 10–52). Cambridge University Press.</w:t>
      </w:r>
    </w:p>
    <w:p w14:paraId="3DDF8A08" w14:textId="298910DA" w:rsidR="005E1301" w:rsidRPr="005C7EC8" w:rsidRDefault="005E1301">
      <w:pPr>
        <w:ind w:left="720" w:hanging="720"/>
        <w:rPr>
          <w:lang w:val="en-US"/>
        </w:rPr>
      </w:pPr>
      <w:r w:rsidRPr="005C7EC8">
        <w:rPr>
          <w:lang w:val="en-US"/>
        </w:rPr>
        <w:t xml:space="preserve">King, S. C., Weber, A. J., Meiselman, H. L., &amp; </w:t>
      </w:r>
      <w:proofErr w:type="spellStart"/>
      <w:r w:rsidRPr="005C7EC8">
        <w:rPr>
          <w:lang w:val="en-US"/>
        </w:rPr>
        <w:t>Lv</w:t>
      </w:r>
      <w:proofErr w:type="spellEnd"/>
      <w:r w:rsidRPr="005C7EC8">
        <w:rPr>
          <w:lang w:val="en-US"/>
        </w:rPr>
        <w:t xml:space="preserve">, N. (2004). The effect of meal situation, social interaction, physical environment and choice on food acceptability. </w:t>
      </w:r>
      <w:r w:rsidRPr="005C7EC8">
        <w:rPr>
          <w:i/>
          <w:iCs/>
          <w:lang w:val="en-US"/>
        </w:rPr>
        <w:t xml:space="preserve">Food </w:t>
      </w:r>
      <w:r w:rsidRPr="005C7EC8">
        <w:rPr>
          <w:i/>
          <w:iCs/>
          <w:lang w:val="en-US"/>
        </w:rPr>
        <w:lastRenderedPageBreak/>
        <w:t>Quality and Preference, 15</w:t>
      </w:r>
      <w:r w:rsidRPr="005C7EC8">
        <w:rPr>
          <w:lang w:val="en-US"/>
        </w:rPr>
        <w:t xml:space="preserve">(7-8), 645-653. </w:t>
      </w:r>
      <w:hyperlink r:id="rId45" w:history="1">
        <w:r w:rsidRPr="005C7EC8">
          <w:rPr>
            <w:rStyle w:val="Hipervnculo"/>
            <w:lang w:val="en-US"/>
          </w:rPr>
          <w:t>https://doi.org/10.1016/j.foodqual.2004.04.010</w:t>
        </w:r>
      </w:hyperlink>
      <w:r w:rsidRPr="005C7EC8">
        <w:rPr>
          <w:lang w:val="en-US"/>
        </w:rPr>
        <w:t xml:space="preserve"> </w:t>
      </w:r>
    </w:p>
    <w:p w14:paraId="00000189" w14:textId="6E048141" w:rsidR="00E05D2A" w:rsidRPr="005C7EC8" w:rsidRDefault="007D47DC">
      <w:pPr>
        <w:ind w:left="720" w:hanging="720"/>
        <w:rPr>
          <w:lang w:val="en-US"/>
        </w:rPr>
      </w:pPr>
      <w:proofErr w:type="spellStart"/>
      <w:r w:rsidRPr="005C7EC8">
        <w:rPr>
          <w:lang w:val="en-US"/>
        </w:rPr>
        <w:t>Larrauri</w:t>
      </w:r>
      <w:proofErr w:type="spellEnd"/>
      <w:r w:rsidRPr="005C7EC8">
        <w:rPr>
          <w:lang w:val="en-US"/>
        </w:rPr>
        <w:t xml:space="preserve">, J. A., &amp; </w:t>
      </w:r>
      <w:proofErr w:type="spellStart"/>
      <w:r w:rsidRPr="005C7EC8">
        <w:rPr>
          <w:lang w:val="en-US"/>
        </w:rPr>
        <w:t>Schmajuk</w:t>
      </w:r>
      <w:proofErr w:type="spellEnd"/>
      <w:r w:rsidRPr="005C7EC8">
        <w:rPr>
          <w:lang w:val="en-US"/>
        </w:rPr>
        <w:t xml:space="preserve">, N. A. (2008). Attentional, associative, and configural mechanisms in extinction. </w:t>
      </w:r>
      <w:r w:rsidRPr="005C7EC8">
        <w:rPr>
          <w:i/>
          <w:lang w:val="en-US"/>
        </w:rPr>
        <w:t>Psychological Review, 115</w:t>
      </w:r>
      <w:r w:rsidRPr="005C7EC8">
        <w:rPr>
          <w:lang w:val="en-US"/>
        </w:rPr>
        <w:t xml:space="preserve">(3), 640–676. </w:t>
      </w:r>
      <w:hyperlink r:id="rId46">
        <w:r w:rsidRPr="005C7EC8">
          <w:rPr>
            <w:color w:val="0000FF"/>
            <w:u w:val="single"/>
            <w:lang w:val="en-US"/>
          </w:rPr>
          <w:t>https://doi.org/10.1037/0033-295X.115.3.640</w:t>
        </w:r>
      </w:hyperlink>
      <w:r w:rsidRPr="005C7EC8">
        <w:rPr>
          <w:lang w:val="en-US"/>
        </w:rPr>
        <w:t xml:space="preserve"> </w:t>
      </w:r>
    </w:p>
    <w:p w14:paraId="0000018A" w14:textId="77777777" w:rsidR="00E05D2A" w:rsidRPr="005C7EC8" w:rsidRDefault="007D47DC">
      <w:pPr>
        <w:ind w:left="720" w:hanging="720"/>
        <w:rPr>
          <w:lang w:val="en-US"/>
        </w:rPr>
      </w:pPr>
      <w:r w:rsidRPr="005C7EC8">
        <w:rPr>
          <w:lang w:val="en-US"/>
        </w:rPr>
        <w:t xml:space="preserve">Le Pelley, M., </w:t>
      </w:r>
      <w:proofErr w:type="spellStart"/>
      <w:r w:rsidRPr="005C7EC8">
        <w:rPr>
          <w:lang w:val="en-US"/>
        </w:rPr>
        <w:t>Beesley</w:t>
      </w:r>
      <w:proofErr w:type="spellEnd"/>
      <w:r w:rsidRPr="005C7EC8">
        <w:rPr>
          <w:lang w:val="en-US"/>
        </w:rPr>
        <w:t xml:space="preserve">, T., &amp; Griffiths, O. (2011). Overt Attention and Predictiveness in Human Contingency Learning. </w:t>
      </w:r>
      <w:r w:rsidRPr="005C7EC8">
        <w:rPr>
          <w:i/>
          <w:lang w:val="en-US"/>
        </w:rPr>
        <w:t>Journal of Experimental Psychology: Animal Behavior Processes, 37</w:t>
      </w:r>
      <w:r w:rsidRPr="005C7EC8">
        <w:rPr>
          <w:lang w:val="en-US"/>
        </w:rPr>
        <w:t xml:space="preserve">(2), 220–229. </w:t>
      </w:r>
      <w:hyperlink r:id="rId47">
        <w:r w:rsidRPr="005C7EC8">
          <w:rPr>
            <w:color w:val="0000FF"/>
            <w:u w:val="single"/>
            <w:lang w:val="en-US"/>
          </w:rPr>
          <w:t>https://doi.org/10.1037/a0021384</w:t>
        </w:r>
      </w:hyperlink>
    </w:p>
    <w:p w14:paraId="0000018B" w14:textId="77777777" w:rsidR="00E05D2A" w:rsidRPr="005C7EC8" w:rsidRDefault="007D47DC">
      <w:pPr>
        <w:ind w:left="720" w:hanging="720"/>
        <w:rPr>
          <w:lang w:val="en-US"/>
        </w:rPr>
      </w:pPr>
      <w:r w:rsidRPr="005C7EC8">
        <w:rPr>
          <w:lang w:val="en-US"/>
        </w:rPr>
        <w:t xml:space="preserve">Le Pelley, M. E., Mitchell, C. J., </w:t>
      </w:r>
      <w:proofErr w:type="spellStart"/>
      <w:r w:rsidRPr="005C7EC8">
        <w:rPr>
          <w:lang w:val="en-US"/>
        </w:rPr>
        <w:t>Beesley</w:t>
      </w:r>
      <w:proofErr w:type="spellEnd"/>
      <w:r w:rsidRPr="005C7EC8">
        <w:rPr>
          <w:lang w:val="en-US"/>
        </w:rPr>
        <w:t xml:space="preserve">, T., George, D. N., &amp; Wills, A. J. (2016). Attention and associative learning in humans: An integrative review. </w:t>
      </w:r>
      <w:r w:rsidRPr="005C7EC8">
        <w:rPr>
          <w:i/>
          <w:lang w:val="en-US"/>
        </w:rPr>
        <w:t>Psychological Bulletin, 142</w:t>
      </w:r>
      <w:r w:rsidRPr="005C7EC8">
        <w:rPr>
          <w:lang w:val="en-US"/>
        </w:rPr>
        <w:t xml:space="preserve">(10), 1111-1140. </w:t>
      </w:r>
      <w:hyperlink r:id="rId48">
        <w:r w:rsidRPr="005C7EC8">
          <w:rPr>
            <w:color w:val="0000FF"/>
            <w:u w:val="single"/>
            <w:lang w:val="en-US"/>
          </w:rPr>
          <w:t>https://doi.org/10.1037/bul0000064</w:t>
        </w:r>
      </w:hyperlink>
    </w:p>
    <w:p w14:paraId="0000018C" w14:textId="77777777" w:rsidR="00E05D2A" w:rsidRPr="005C7EC8" w:rsidRDefault="007D47DC">
      <w:pPr>
        <w:ind w:left="720" w:hanging="720"/>
        <w:rPr>
          <w:lang w:val="en-US"/>
        </w:rPr>
      </w:pPr>
      <w:r w:rsidRPr="005C7EC8">
        <w:rPr>
          <w:lang w:val="en-US"/>
        </w:rPr>
        <w:t xml:space="preserve">Le Pelley, M. E., Mitchell, C. J., &amp; Johnson, A. M. (2013). Outcome value influences attentional biases in human associative learning: Dissociable effects of training and instruction. </w:t>
      </w:r>
      <w:r w:rsidRPr="005C7EC8">
        <w:rPr>
          <w:i/>
          <w:lang w:val="en-US"/>
        </w:rPr>
        <w:t>Journal of Experimental Psychology: Animal Behavior Processes, 39</w:t>
      </w:r>
      <w:r w:rsidRPr="005C7EC8">
        <w:rPr>
          <w:lang w:val="en-US"/>
        </w:rPr>
        <w:t xml:space="preserve">(1), 39–55. </w:t>
      </w:r>
      <w:hyperlink r:id="rId49">
        <w:r w:rsidRPr="005C7EC8">
          <w:rPr>
            <w:color w:val="0000FF"/>
            <w:u w:val="single"/>
            <w:lang w:val="en-US"/>
          </w:rPr>
          <w:t>https://doi.org/10.1037/a0031230</w:t>
        </w:r>
      </w:hyperlink>
    </w:p>
    <w:p w14:paraId="0000018D" w14:textId="77777777" w:rsidR="00E05D2A" w:rsidRPr="00D33181" w:rsidRDefault="007D47DC">
      <w:pPr>
        <w:ind w:left="720" w:hanging="720"/>
        <w:rPr>
          <w:lang w:val="en-US"/>
        </w:rPr>
      </w:pPr>
      <w:r w:rsidRPr="005C7EC8">
        <w:t xml:space="preserve">León, S. P., Abad, M. J., &amp; Rosas, J. M. (2008). </w:t>
      </w:r>
      <w:r w:rsidRPr="005C7EC8">
        <w:rPr>
          <w:lang w:val="en-US"/>
        </w:rPr>
        <w:t xml:space="preserve">Retrieval of simple cue-outcome relationships is context-specific within informative contexts. </w:t>
      </w:r>
      <w:proofErr w:type="spellStart"/>
      <w:r w:rsidRPr="00D33181">
        <w:rPr>
          <w:i/>
          <w:lang w:val="en-US"/>
        </w:rPr>
        <w:t>Escritos</w:t>
      </w:r>
      <w:proofErr w:type="spellEnd"/>
      <w:r w:rsidRPr="00D33181">
        <w:rPr>
          <w:i/>
          <w:lang w:val="en-US"/>
        </w:rPr>
        <w:t xml:space="preserve"> de </w:t>
      </w:r>
      <w:proofErr w:type="spellStart"/>
      <w:r w:rsidRPr="00D33181">
        <w:rPr>
          <w:i/>
          <w:lang w:val="en-US"/>
        </w:rPr>
        <w:t>Psicología</w:t>
      </w:r>
      <w:proofErr w:type="spellEnd"/>
      <w:r w:rsidRPr="00D33181">
        <w:rPr>
          <w:i/>
          <w:lang w:val="en-US"/>
        </w:rPr>
        <w:t xml:space="preserve"> - Psychological Writings, 2</w:t>
      </w:r>
      <w:r w:rsidRPr="00D33181">
        <w:rPr>
          <w:lang w:val="en-US"/>
        </w:rPr>
        <w:t xml:space="preserve">(1), 65-73. </w:t>
      </w:r>
      <w:hyperlink r:id="rId50">
        <w:r w:rsidRPr="00D33181">
          <w:rPr>
            <w:color w:val="0000FF"/>
            <w:u w:val="single"/>
            <w:lang w:val="en-US"/>
          </w:rPr>
          <w:t>https://www.redalyc.org/articulo.oa?id=271020194008</w:t>
        </w:r>
      </w:hyperlink>
    </w:p>
    <w:p w14:paraId="2FA30A21" w14:textId="77777777" w:rsidR="00FB3355" w:rsidRPr="00D33181" w:rsidRDefault="00FB3355" w:rsidP="00FB3355">
      <w:pPr>
        <w:ind w:left="720" w:hanging="720"/>
        <w:rPr>
          <w:lang w:val="en-US"/>
        </w:rPr>
      </w:pPr>
      <w:r w:rsidRPr="00D33181">
        <w:rPr>
          <w:lang w:val="en-US"/>
        </w:rPr>
        <w:t xml:space="preserve">León, S. P., Abad, M. J. F., &amp; Rosas, J. M. (2010a). </w:t>
      </w:r>
      <w:r w:rsidRPr="005C7EC8">
        <w:rPr>
          <w:lang w:val="en-US"/>
        </w:rPr>
        <w:t xml:space="preserve">The effect of context change on simple acquisition disappears with increased training. </w:t>
      </w:r>
      <w:proofErr w:type="spellStart"/>
      <w:r w:rsidRPr="00D33181">
        <w:rPr>
          <w:i/>
          <w:lang w:val="en-US"/>
        </w:rPr>
        <w:t>Psicológica</w:t>
      </w:r>
      <w:proofErr w:type="spellEnd"/>
      <w:r w:rsidRPr="00D33181">
        <w:rPr>
          <w:i/>
          <w:lang w:val="en-US"/>
        </w:rPr>
        <w:t>, 31</w:t>
      </w:r>
      <w:r w:rsidRPr="00D33181">
        <w:rPr>
          <w:lang w:val="en-US"/>
        </w:rPr>
        <w:t xml:space="preserve">(1), 49-63. </w:t>
      </w:r>
      <w:hyperlink r:id="rId51">
        <w:r w:rsidRPr="00D33181">
          <w:rPr>
            <w:color w:val="0000FF"/>
            <w:u w:val="single"/>
            <w:lang w:val="en-US"/>
          </w:rPr>
          <w:t>https://www.redalyc.org/articulo.oa?id=16912881003</w:t>
        </w:r>
      </w:hyperlink>
    </w:p>
    <w:p w14:paraId="0000018E" w14:textId="57D5684D" w:rsidR="00E05D2A" w:rsidRPr="005C7EC8" w:rsidRDefault="007D47DC">
      <w:pPr>
        <w:ind w:left="720" w:hanging="720"/>
        <w:rPr>
          <w:lang w:val="en-US"/>
        </w:rPr>
      </w:pPr>
      <w:r w:rsidRPr="00D33181">
        <w:rPr>
          <w:lang w:val="en-US"/>
        </w:rPr>
        <w:t>León, S. P., Abad, M. J. F., &amp; Rosas, J. M. (2010</w:t>
      </w:r>
      <w:r w:rsidR="00FB3355" w:rsidRPr="00D33181">
        <w:rPr>
          <w:lang w:val="en-US"/>
        </w:rPr>
        <w:t>b</w:t>
      </w:r>
      <w:r w:rsidRPr="00D33181">
        <w:rPr>
          <w:lang w:val="en-US"/>
        </w:rPr>
        <w:t xml:space="preserve">). </w:t>
      </w:r>
      <w:r w:rsidRPr="005C7EC8">
        <w:rPr>
          <w:lang w:val="en-US"/>
        </w:rPr>
        <w:t xml:space="preserve">Giving contexts informative value makes information context specific. </w:t>
      </w:r>
      <w:r w:rsidRPr="005C7EC8">
        <w:rPr>
          <w:i/>
          <w:lang w:val="en-US"/>
        </w:rPr>
        <w:t>Experimental Psychology, 57</w:t>
      </w:r>
      <w:r w:rsidRPr="005C7EC8">
        <w:rPr>
          <w:lang w:val="en-US"/>
        </w:rPr>
        <w:t xml:space="preserve">(1), 46-53. </w:t>
      </w:r>
      <w:hyperlink r:id="rId52">
        <w:r w:rsidRPr="005C7EC8">
          <w:rPr>
            <w:color w:val="0000FF"/>
            <w:u w:val="single"/>
            <w:lang w:val="en-US"/>
          </w:rPr>
          <w:t>https://doi.org/10.1027/1618-3169/a000006</w:t>
        </w:r>
      </w:hyperlink>
    </w:p>
    <w:p w14:paraId="00000190" w14:textId="77777777" w:rsidR="00E05D2A" w:rsidRPr="000A214E" w:rsidRDefault="007D47DC">
      <w:pPr>
        <w:ind w:left="720" w:hanging="720"/>
        <w:rPr>
          <w:lang w:val="en-US"/>
        </w:rPr>
      </w:pPr>
      <w:r w:rsidRPr="000A214E">
        <w:rPr>
          <w:lang w:val="en-US"/>
        </w:rPr>
        <w:t xml:space="preserve">León, S. P., Abad, M. J., &amp; Rosas, J. M. (2011). </w:t>
      </w:r>
      <w:r w:rsidRPr="005C7EC8">
        <w:rPr>
          <w:lang w:val="en-US"/>
        </w:rPr>
        <w:t xml:space="preserve">Context–outcome associations mediate context-switch effects in a human predictive learning task. </w:t>
      </w:r>
      <w:r w:rsidRPr="000A214E">
        <w:rPr>
          <w:i/>
          <w:lang w:val="en-US"/>
        </w:rPr>
        <w:t>Learning and Motivation, 42</w:t>
      </w:r>
      <w:r w:rsidRPr="000A214E">
        <w:rPr>
          <w:lang w:val="en-US"/>
        </w:rPr>
        <w:t xml:space="preserve">(1), 84–98. </w:t>
      </w:r>
      <w:hyperlink r:id="rId53">
        <w:r w:rsidRPr="000A214E">
          <w:rPr>
            <w:color w:val="0000FF"/>
            <w:u w:val="single"/>
            <w:lang w:val="en-US"/>
          </w:rPr>
          <w:t>https://doi.org/10.1016/j.lmot.2010.10.001</w:t>
        </w:r>
      </w:hyperlink>
    </w:p>
    <w:p w14:paraId="0048E14E" w14:textId="1F87EF1A" w:rsidR="00DA3AD0" w:rsidRPr="005C7EC8" w:rsidRDefault="00DA3AD0">
      <w:pPr>
        <w:ind w:left="720" w:hanging="720"/>
        <w:rPr>
          <w:lang w:val="en-US"/>
        </w:rPr>
      </w:pPr>
      <w:proofErr w:type="spellStart"/>
      <w:r w:rsidRPr="005C7EC8">
        <w:rPr>
          <w:lang w:val="en-US"/>
        </w:rPr>
        <w:t>Lucke</w:t>
      </w:r>
      <w:proofErr w:type="spellEnd"/>
      <w:r w:rsidRPr="005C7EC8">
        <w:rPr>
          <w:lang w:val="en-US"/>
        </w:rPr>
        <w:t xml:space="preserve">, S., </w:t>
      </w:r>
      <w:proofErr w:type="spellStart"/>
      <w:r w:rsidRPr="005C7EC8">
        <w:rPr>
          <w:lang w:val="en-US"/>
        </w:rPr>
        <w:t>Lachnit</w:t>
      </w:r>
      <w:proofErr w:type="spellEnd"/>
      <w:r w:rsidRPr="005C7EC8">
        <w:rPr>
          <w:lang w:val="en-US"/>
        </w:rPr>
        <w:t xml:space="preserve">, H., Koenig, S., &amp; </w:t>
      </w:r>
      <w:proofErr w:type="spellStart"/>
      <w:r w:rsidRPr="005C7EC8">
        <w:rPr>
          <w:lang w:val="en-US"/>
        </w:rPr>
        <w:t>Uengoer</w:t>
      </w:r>
      <w:proofErr w:type="spellEnd"/>
      <w:r w:rsidRPr="005C7EC8">
        <w:rPr>
          <w:lang w:val="en-US"/>
        </w:rPr>
        <w:t xml:space="preserve">, M. (2013). The informational value of contexts affects context-dependent learning. </w:t>
      </w:r>
      <w:r w:rsidRPr="005C7EC8">
        <w:rPr>
          <w:i/>
          <w:iCs/>
          <w:lang w:val="en-US"/>
        </w:rPr>
        <w:t>Learning &amp; Behavior, 41</w:t>
      </w:r>
      <w:r w:rsidRPr="005C7EC8">
        <w:rPr>
          <w:lang w:val="en-US"/>
        </w:rPr>
        <w:t xml:space="preserve">(3), 285-297. </w:t>
      </w:r>
      <w:hyperlink r:id="rId54" w:history="1">
        <w:r w:rsidRPr="005C7EC8">
          <w:rPr>
            <w:rStyle w:val="Hipervnculo"/>
            <w:lang w:val="en-US"/>
          </w:rPr>
          <w:t>https://doi.org/10.3758/s13420-013-0104-z</w:t>
        </w:r>
      </w:hyperlink>
      <w:r w:rsidRPr="005C7EC8">
        <w:rPr>
          <w:lang w:val="en-US"/>
        </w:rPr>
        <w:t xml:space="preserve"> </w:t>
      </w:r>
    </w:p>
    <w:p w14:paraId="00000192" w14:textId="2BC0033C" w:rsidR="00E05D2A" w:rsidRPr="005C7EC8" w:rsidRDefault="007D47DC">
      <w:pPr>
        <w:ind w:left="720" w:hanging="720"/>
        <w:rPr>
          <w:lang w:val="en-US"/>
        </w:rPr>
      </w:pPr>
      <w:proofErr w:type="spellStart"/>
      <w:r w:rsidRPr="005C7EC8">
        <w:rPr>
          <w:lang w:val="en-US"/>
        </w:rPr>
        <w:t>Lucke</w:t>
      </w:r>
      <w:proofErr w:type="spellEnd"/>
      <w:r w:rsidRPr="005C7EC8">
        <w:rPr>
          <w:lang w:val="en-US"/>
        </w:rPr>
        <w:t xml:space="preserve">, S., </w:t>
      </w:r>
      <w:proofErr w:type="spellStart"/>
      <w:r w:rsidRPr="005C7EC8">
        <w:rPr>
          <w:lang w:val="en-US"/>
        </w:rPr>
        <w:t>Lachnit</w:t>
      </w:r>
      <w:proofErr w:type="spellEnd"/>
      <w:r w:rsidRPr="005C7EC8">
        <w:rPr>
          <w:lang w:val="en-US"/>
        </w:rPr>
        <w:t xml:space="preserve">, H., </w:t>
      </w:r>
      <w:proofErr w:type="spellStart"/>
      <w:r w:rsidRPr="005C7EC8">
        <w:rPr>
          <w:lang w:val="en-US"/>
        </w:rPr>
        <w:t>Stüttgen</w:t>
      </w:r>
      <w:proofErr w:type="spellEnd"/>
      <w:r w:rsidRPr="005C7EC8">
        <w:rPr>
          <w:lang w:val="en-US"/>
        </w:rPr>
        <w:t xml:space="preserve">, M. C., &amp; </w:t>
      </w:r>
      <w:proofErr w:type="spellStart"/>
      <w:r w:rsidRPr="005C7EC8">
        <w:rPr>
          <w:lang w:val="en-US"/>
        </w:rPr>
        <w:t>Uengoer</w:t>
      </w:r>
      <w:proofErr w:type="spellEnd"/>
      <w:r w:rsidRPr="005C7EC8">
        <w:rPr>
          <w:lang w:val="en-US"/>
        </w:rPr>
        <w:t xml:space="preserve">, M. (2014). The impact of context relevance during extinction learning. </w:t>
      </w:r>
      <w:r w:rsidRPr="005C7EC8">
        <w:rPr>
          <w:i/>
          <w:lang w:val="en-US"/>
        </w:rPr>
        <w:t>Learning &amp; Behavior, 42</w:t>
      </w:r>
      <w:r w:rsidRPr="005C7EC8">
        <w:rPr>
          <w:lang w:val="en-US"/>
        </w:rPr>
        <w:t xml:space="preserve">(3), 256–269. </w:t>
      </w:r>
      <w:hyperlink r:id="rId55">
        <w:r w:rsidRPr="005C7EC8">
          <w:rPr>
            <w:color w:val="0000FF"/>
            <w:u w:val="single"/>
            <w:lang w:val="en-US"/>
          </w:rPr>
          <w:t>https://doi.org/10.3758/s13420-014-0143-0</w:t>
        </w:r>
      </w:hyperlink>
    </w:p>
    <w:p w14:paraId="00000193" w14:textId="77777777" w:rsidR="00E05D2A" w:rsidRPr="005C7EC8" w:rsidRDefault="007D47DC">
      <w:pPr>
        <w:ind w:left="720" w:hanging="720"/>
        <w:rPr>
          <w:lang w:val="en-US"/>
        </w:rPr>
      </w:pPr>
      <w:r w:rsidRPr="005C7EC8">
        <w:rPr>
          <w:lang w:val="en-US"/>
        </w:rPr>
        <w:t xml:space="preserve">Mackintosh, N. J. (1975). A theory of attention: Variations in the associability of stimuli with reinforcement. </w:t>
      </w:r>
      <w:r w:rsidRPr="005C7EC8">
        <w:rPr>
          <w:i/>
          <w:lang w:val="en-US"/>
        </w:rPr>
        <w:t>Psychological Review, 82</w:t>
      </w:r>
      <w:r w:rsidRPr="005C7EC8">
        <w:rPr>
          <w:lang w:val="en-US"/>
        </w:rPr>
        <w:t xml:space="preserve">(4), 276-298. </w:t>
      </w:r>
      <w:hyperlink r:id="rId56">
        <w:r w:rsidRPr="005C7EC8">
          <w:rPr>
            <w:color w:val="0000FF"/>
            <w:u w:val="single"/>
            <w:lang w:val="en-US"/>
          </w:rPr>
          <w:t>https://doi.org/10.1037/h0076778</w:t>
        </w:r>
      </w:hyperlink>
    </w:p>
    <w:p w14:paraId="7DFFA64C" w14:textId="0FECFF37" w:rsidR="00D65257" w:rsidRPr="005C7EC8" w:rsidRDefault="00D65257">
      <w:pPr>
        <w:ind w:left="720" w:hanging="720"/>
        <w:rPr>
          <w:lang w:val="en-US"/>
        </w:rPr>
      </w:pPr>
      <w:r w:rsidRPr="005C7EC8">
        <w:rPr>
          <w:lang w:val="en-US"/>
        </w:rPr>
        <w:t xml:space="preserve">Mesquita, B., Barrett, L. F., &amp; Smith, E. R. (Eds.). (2010). </w:t>
      </w:r>
      <w:r w:rsidRPr="005C7EC8">
        <w:rPr>
          <w:i/>
          <w:iCs/>
          <w:lang w:val="en-US"/>
        </w:rPr>
        <w:t>The mind in context</w:t>
      </w:r>
      <w:r w:rsidRPr="005C7EC8">
        <w:rPr>
          <w:lang w:val="en-US"/>
        </w:rPr>
        <w:t>. Guilford Press.</w:t>
      </w:r>
    </w:p>
    <w:p w14:paraId="2200407E" w14:textId="25080B0E" w:rsidR="00BD339F" w:rsidRPr="00D33181" w:rsidRDefault="00BD339F">
      <w:pPr>
        <w:ind w:left="720" w:hanging="720"/>
        <w:rPr>
          <w:lang w:val="en-US"/>
        </w:rPr>
      </w:pPr>
      <w:r w:rsidRPr="00D33181">
        <w:rPr>
          <w:lang w:val="en-US"/>
        </w:rPr>
        <w:t xml:space="preserve">Moreno-Fernández, M. M., Abad, M. J. F., Ramos-Álvarez, M. M., &amp; Rosas, J. M. (2012). </w:t>
      </w:r>
      <w:r w:rsidRPr="00BD339F">
        <w:rPr>
          <w:lang w:val="en-US"/>
        </w:rPr>
        <w:t xml:space="preserve">Context-outcome associations underlie context-switch effects after partial reinforcement in human predictive learning. </w:t>
      </w:r>
      <w:proofErr w:type="spellStart"/>
      <w:r w:rsidRPr="00D33181">
        <w:rPr>
          <w:i/>
          <w:iCs/>
          <w:lang w:val="en-US"/>
        </w:rPr>
        <w:t>Psicológica</w:t>
      </w:r>
      <w:proofErr w:type="spellEnd"/>
      <w:r w:rsidRPr="00D33181">
        <w:rPr>
          <w:i/>
          <w:iCs/>
          <w:lang w:val="en-US"/>
        </w:rPr>
        <w:t>, 33</w:t>
      </w:r>
      <w:r w:rsidRPr="00D33181">
        <w:rPr>
          <w:lang w:val="en-US"/>
        </w:rPr>
        <w:t xml:space="preserve">(2),367-383. </w:t>
      </w:r>
      <w:hyperlink r:id="rId57" w:history="1">
        <w:r w:rsidRPr="00D33181">
          <w:rPr>
            <w:rStyle w:val="Hipervnculo"/>
            <w:lang w:val="en-US"/>
          </w:rPr>
          <w:t>https://www.redalyc.org/articulo.oa?id=16923102011</w:t>
        </w:r>
      </w:hyperlink>
      <w:r w:rsidRPr="00D33181">
        <w:rPr>
          <w:lang w:val="en-US"/>
        </w:rPr>
        <w:t xml:space="preserve"> </w:t>
      </w:r>
    </w:p>
    <w:p w14:paraId="00000195" w14:textId="0F8CA771" w:rsidR="00E05D2A" w:rsidRPr="005C7EC8" w:rsidRDefault="007D47DC">
      <w:pPr>
        <w:ind w:left="720" w:hanging="720"/>
        <w:rPr>
          <w:lang w:val="en-US"/>
        </w:rPr>
      </w:pPr>
      <w:r w:rsidRPr="00D33181">
        <w:rPr>
          <w:lang w:val="en-US"/>
        </w:rPr>
        <w:t xml:space="preserve">Nelson, J. B. (2002). </w:t>
      </w:r>
      <w:r w:rsidRPr="005C7EC8">
        <w:rPr>
          <w:lang w:val="en-US"/>
        </w:rPr>
        <w:t xml:space="preserve">Context specificity of excitation and inhibition in ambiguous stimuli. </w:t>
      </w:r>
      <w:r w:rsidRPr="005C7EC8">
        <w:rPr>
          <w:i/>
          <w:lang w:val="en-US"/>
        </w:rPr>
        <w:t>Learning and Motivation, 33</w:t>
      </w:r>
      <w:r w:rsidRPr="005C7EC8">
        <w:rPr>
          <w:lang w:val="en-US"/>
        </w:rPr>
        <w:t xml:space="preserve">(2), 284–310. </w:t>
      </w:r>
      <w:hyperlink r:id="rId58">
        <w:r w:rsidRPr="005C7EC8">
          <w:rPr>
            <w:color w:val="0000FF"/>
            <w:u w:val="single"/>
            <w:lang w:val="en-US"/>
          </w:rPr>
          <w:t>https://doi.org/10.1006/lmot.2001.1112</w:t>
        </w:r>
      </w:hyperlink>
      <w:r w:rsidRPr="005C7EC8">
        <w:rPr>
          <w:lang w:val="en-US"/>
        </w:rPr>
        <w:t xml:space="preserve"> </w:t>
      </w:r>
    </w:p>
    <w:p w14:paraId="00000196" w14:textId="77777777" w:rsidR="00E05D2A" w:rsidRPr="005C7EC8" w:rsidRDefault="007D47DC">
      <w:pPr>
        <w:ind w:left="720" w:hanging="720"/>
        <w:rPr>
          <w:lang w:val="en-US"/>
        </w:rPr>
      </w:pPr>
      <w:r w:rsidRPr="005C7EC8">
        <w:rPr>
          <w:lang w:val="en-US"/>
        </w:rPr>
        <w:t xml:space="preserve">Nelson, J. B. (2009). Contextual control of first-and second-learned excitation and inhibition in equally ambiguous stimuli. </w:t>
      </w:r>
      <w:r w:rsidRPr="005C7EC8">
        <w:rPr>
          <w:i/>
          <w:lang w:val="en-US"/>
        </w:rPr>
        <w:t>Learning &amp; Behavior, 37</w:t>
      </w:r>
      <w:r w:rsidRPr="005C7EC8">
        <w:rPr>
          <w:lang w:val="en-US"/>
        </w:rPr>
        <w:t xml:space="preserve">(1), 95–106. </w:t>
      </w:r>
      <w:hyperlink r:id="rId59">
        <w:r w:rsidRPr="005C7EC8">
          <w:rPr>
            <w:color w:val="0000FF"/>
            <w:u w:val="single"/>
            <w:lang w:val="en-US"/>
          </w:rPr>
          <w:t>https://doi.org/10.3758/LB.37.1.95</w:t>
        </w:r>
      </w:hyperlink>
      <w:r w:rsidRPr="005C7EC8">
        <w:rPr>
          <w:lang w:val="en-US"/>
        </w:rPr>
        <w:t xml:space="preserve"> </w:t>
      </w:r>
    </w:p>
    <w:p w14:paraId="00000197" w14:textId="77777777" w:rsidR="00E05D2A" w:rsidRPr="005C7EC8" w:rsidRDefault="007D47DC">
      <w:pPr>
        <w:ind w:left="720" w:hanging="720"/>
        <w:rPr>
          <w:lang w:val="en-US"/>
        </w:rPr>
      </w:pPr>
      <w:r w:rsidRPr="005C7EC8">
        <w:rPr>
          <w:lang w:val="en-US"/>
        </w:rPr>
        <w:t xml:space="preserve">Nelson, J. B., Lamoureux, J. A., &amp; León, S. P. (2013). Extinction arouses attention to the context in a behavioral suppression method with humans. </w:t>
      </w:r>
      <w:r w:rsidRPr="005C7EC8">
        <w:rPr>
          <w:i/>
          <w:lang w:val="en-US"/>
        </w:rPr>
        <w:t xml:space="preserve">Journal of Experimental </w:t>
      </w:r>
      <w:r w:rsidRPr="005C7EC8">
        <w:rPr>
          <w:i/>
          <w:lang w:val="en-US"/>
        </w:rPr>
        <w:lastRenderedPageBreak/>
        <w:t>Psychology: Animal Behavior Processes, 39</w:t>
      </w:r>
      <w:r w:rsidRPr="005C7EC8">
        <w:rPr>
          <w:lang w:val="en-US"/>
        </w:rPr>
        <w:t xml:space="preserve">(1), 99–105. </w:t>
      </w:r>
      <w:hyperlink r:id="rId60">
        <w:r w:rsidRPr="005C7EC8">
          <w:rPr>
            <w:color w:val="0000FF"/>
            <w:u w:val="single"/>
            <w:lang w:val="en-US"/>
          </w:rPr>
          <w:t>https://doi.org/10.1037/a0030759</w:t>
        </w:r>
      </w:hyperlink>
      <w:r w:rsidRPr="005C7EC8">
        <w:rPr>
          <w:lang w:val="en-US"/>
        </w:rPr>
        <w:t xml:space="preserve"> </w:t>
      </w:r>
    </w:p>
    <w:p w14:paraId="00000198" w14:textId="77777777" w:rsidR="00E05D2A" w:rsidRPr="005C7EC8" w:rsidRDefault="007D47DC">
      <w:pPr>
        <w:ind w:left="720" w:hanging="720"/>
        <w:rPr>
          <w:lang w:val="en-US"/>
        </w:rPr>
      </w:pPr>
      <w:proofErr w:type="spellStart"/>
      <w:r w:rsidRPr="00CB0C02">
        <w:rPr>
          <w:lang w:val="pt-BR"/>
        </w:rPr>
        <w:t>Nusair</w:t>
      </w:r>
      <w:proofErr w:type="spellEnd"/>
      <w:r w:rsidRPr="00CB0C02">
        <w:rPr>
          <w:lang w:val="pt-BR"/>
        </w:rPr>
        <w:t xml:space="preserve">, K., </w:t>
      </w:r>
      <w:proofErr w:type="spellStart"/>
      <w:r w:rsidRPr="00CB0C02">
        <w:rPr>
          <w:lang w:val="pt-BR"/>
        </w:rPr>
        <w:t>Yoon</w:t>
      </w:r>
      <w:proofErr w:type="spellEnd"/>
      <w:r w:rsidRPr="00CB0C02">
        <w:rPr>
          <w:lang w:val="pt-BR"/>
        </w:rPr>
        <w:t xml:space="preserve">, H. J., Naipaul, S., &amp; </w:t>
      </w:r>
      <w:proofErr w:type="spellStart"/>
      <w:r w:rsidRPr="00CB0C02">
        <w:rPr>
          <w:lang w:val="pt-BR"/>
        </w:rPr>
        <w:t>Parsa</w:t>
      </w:r>
      <w:proofErr w:type="spellEnd"/>
      <w:r w:rsidRPr="00CB0C02">
        <w:rPr>
          <w:lang w:val="pt-BR"/>
        </w:rPr>
        <w:t xml:space="preserve">, H. (2010). </w:t>
      </w:r>
      <w:r w:rsidRPr="005C7EC8">
        <w:rPr>
          <w:lang w:val="en-US"/>
        </w:rPr>
        <w:t xml:space="preserve">Effect of price discount frames and levels on consumers’ perceptions in low‐end service industries. </w:t>
      </w:r>
      <w:r w:rsidRPr="005C7EC8">
        <w:rPr>
          <w:i/>
          <w:lang w:val="en-US"/>
        </w:rPr>
        <w:t>International Journal of Contemporary Hospitality Management, 22</w:t>
      </w:r>
      <w:r w:rsidRPr="005C7EC8">
        <w:rPr>
          <w:lang w:val="en-US"/>
        </w:rPr>
        <w:t xml:space="preserve">(6), 814-835. </w:t>
      </w:r>
      <w:hyperlink r:id="rId61">
        <w:r w:rsidRPr="005C7EC8">
          <w:rPr>
            <w:color w:val="0000FF"/>
            <w:u w:val="single"/>
            <w:lang w:val="en-US"/>
          </w:rPr>
          <w:t>https://doi.org/10.1108/09596111011063106</w:t>
        </w:r>
      </w:hyperlink>
    </w:p>
    <w:p w14:paraId="00000199" w14:textId="77777777" w:rsidR="00E05D2A" w:rsidRPr="005C7EC8" w:rsidRDefault="007D47DC">
      <w:pPr>
        <w:ind w:left="720" w:hanging="720"/>
        <w:rPr>
          <w:lang w:val="en-US"/>
        </w:rPr>
      </w:pPr>
      <w:proofErr w:type="spellStart"/>
      <w:r w:rsidRPr="005C7EC8">
        <w:rPr>
          <w:lang w:val="en-US"/>
        </w:rPr>
        <w:t>Ogallar</w:t>
      </w:r>
      <w:proofErr w:type="spellEnd"/>
      <w:r w:rsidRPr="005C7EC8">
        <w:rPr>
          <w:lang w:val="en-US"/>
        </w:rPr>
        <w:t xml:space="preserve">, P. M., Rosas, J. M., Ramos-Álvarez, M. M., </w:t>
      </w:r>
      <w:proofErr w:type="spellStart"/>
      <w:r w:rsidRPr="005C7EC8">
        <w:rPr>
          <w:lang w:val="en-US"/>
        </w:rPr>
        <w:t>Alcalá</w:t>
      </w:r>
      <w:proofErr w:type="spellEnd"/>
      <w:r w:rsidRPr="005C7EC8">
        <w:rPr>
          <w:lang w:val="en-US"/>
        </w:rPr>
        <w:t xml:space="preserve">, J. A., Nelson, J. B., </w:t>
      </w:r>
      <w:proofErr w:type="spellStart"/>
      <w:r w:rsidRPr="005C7EC8">
        <w:rPr>
          <w:lang w:val="en-US"/>
        </w:rPr>
        <w:t>Aranzubia</w:t>
      </w:r>
      <w:proofErr w:type="spellEnd"/>
      <w:r w:rsidRPr="005C7EC8">
        <w:rPr>
          <w:lang w:val="en-US"/>
        </w:rPr>
        <w:t xml:space="preserve">, M., &amp; </w:t>
      </w:r>
      <w:proofErr w:type="spellStart"/>
      <w:r w:rsidRPr="005C7EC8">
        <w:rPr>
          <w:lang w:val="en-US"/>
        </w:rPr>
        <w:t>Callejas</w:t>
      </w:r>
      <w:proofErr w:type="spellEnd"/>
      <w:r w:rsidRPr="005C7EC8">
        <w:rPr>
          <w:lang w:val="en-US"/>
        </w:rPr>
        <w:t xml:space="preserve">-Aguilera, J. E. (2019). Prior extinction increases acquisition context specificity in human predictive learning. </w:t>
      </w:r>
      <w:proofErr w:type="spellStart"/>
      <w:r w:rsidRPr="005C7EC8">
        <w:rPr>
          <w:i/>
          <w:lang w:val="en-US"/>
        </w:rPr>
        <w:t>Behavioural</w:t>
      </w:r>
      <w:proofErr w:type="spellEnd"/>
      <w:r w:rsidRPr="005C7EC8">
        <w:rPr>
          <w:i/>
          <w:lang w:val="en-US"/>
        </w:rPr>
        <w:t xml:space="preserve"> Processes, 169</w:t>
      </w:r>
      <w:r w:rsidRPr="005C7EC8">
        <w:rPr>
          <w:lang w:val="en-US"/>
        </w:rPr>
        <w:t xml:space="preserve">, 103984. </w:t>
      </w:r>
      <w:hyperlink r:id="rId62">
        <w:r w:rsidRPr="005C7EC8">
          <w:rPr>
            <w:color w:val="0000FF"/>
            <w:u w:val="single"/>
            <w:lang w:val="en-US"/>
          </w:rPr>
          <w:t>https://doi.org/10.1016/j.beproc.2019.103984</w:t>
        </w:r>
      </w:hyperlink>
    </w:p>
    <w:p w14:paraId="0000019A" w14:textId="77777777" w:rsidR="00E05D2A" w:rsidRPr="005C7EC8" w:rsidRDefault="007D47DC">
      <w:pPr>
        <w:ind w:left="720" w:hanging="720"/>
        <w:rPr>
          <w:lang w:val="en-US"/>
        </w:rPr>
      </w:pPr>
      <w:r w:rsidRPr="005C7EC8">
        <w:rPr>
          <w:lang w:val="en-US"/>
        </w:rPr>
        <w:t xml:space="preserve">Pavlov I. P. (1927). Conditioned reflexes: An investigation of the physiological activity of the cerebral cortex. </w:t>
      </w:r>
      <w:r w:rsidRPr="005C7EC8">
        <w:rPr>
          <w:i/>
          <w:lang w:val="en-US"/>
        </w:rPr>
        <w:t>Annals of neurosciences, 17</w:t>
      </w:r>
      <w:r w:rsidRPr="005C7EC8">
        <w:rPr>
          <w:lang w:val="en-US"/>
        </w:rPr>
        <w:t xml:space="preserve">(3), 136–141. </w:t>
      </w:r>
      <w:hyperlink r:id="rId63">
        <w:r w:rsidRPr="005C7EC8">
          <w:rPr>
            <w:color w:val="0000FF"/>
            <w:u w:val="single"/>
            <w:lang w:val="en-US"/>
          </w:rPr>
          <w:t>https://doi.org/10.5214/ans.0972-7531.1017309</w:t>
        </w:r>
      </w:hyperlink>
      <w:r w:rsidRPr="005C7EC8">
        <w:rPr>
          <w:lang w:val="en-US"/>
        </w:rPr>
        <w:t xml:space="preserve">  </w:t>
      </w:r>
    </w:p>
    <w:p w14:paraId="2593E0C1" w14:textId="0567FCCC" w:rsidR="00DB364B" w:rsidRPr="005C7EC8" w:rsidRDefault="00DB364B">
      <w:pPr>
        <w:ind w:left="720" w:hanging="720"/>
        <w:rPr>
          <w:lang w:val="en-US"/>
        </w:rPr>
      </w:pPr>
      <w:r w:rsidRPr="005C7EC8">
        <w:rPr>
          <w:lang w:val="en-US"/>
        </w:rPr>
        <w:t xml:space="preserve">Pearce, J. M. (1994). Similarity and discrimination: a selective review and a connectionist model. </w:t>
      </w:r>
      <w:r w:rsidRPr="005C7EC8">
        <w:rPr>
          <w:i/>
          <w:iCs/>
          <w:lang w:val="en-US"/>
        </w:rPr>
        <w:t>Psychological Review, 101</w:t>
      </w:r>
      <w:r w:rsidRPr="005C7EC8">
        <w:rPr>
          <w:lang w:val="en-US"/>
        </w:rPr>
        <w:t xml:space="preserve">(4), 587-607. </w:t>
      </w:r>
      <w:hyperlink r:id="rId64" w:history="1">
        <w:r w:rsidRPr="005C7EC8">
          <w:rPr>
            <w:rStyle w:val="Hipervnculo"/>
            <w:lang w:val="en-US"/>
          </w:rPr>
          <w:t>https://doi.org/10.1037/0033-295X.101.4.587</w:t>
        </w:r>
      </w:hyperlink>
      <w:r w:rsidRPr="005C7EC8">
        <w:rPr>
          <w:lang w:val="en-US"/>
        </w:rPr>
        <w:t xml:space="preserve"> </w:t>
      </w:r>
    </w:p>
    <w:p w14:paraId="0159E1A0" w14:textId="1AF89E68" w:rsidR="00072DB7" w:rsidRPr="005C7EC8" w:rsidRDefault="00072DB7">
      <w:pPr>
        <w:ind w:left="720" w:hanging="720"/>
        <w:rPr>
          <w:lang w:val="en-US"/>
        </w:rPr>
      </w:pPr>
      <w:r w:rsidRPr="005C7EC8">
        <w:rPr>
          <w:lang w:val="en-US"/>
        </w:rPr>
        <w:t xml:space="preserve">Pearce, J. M. (2002). Evaluation and development of a connectionist theory of configural learning. </w:t>
      </w:r>
      <w:r w:rsidRPr="005C7EC8">
        <w:rPr>
          <w:i/>
          <w:iCs/>
          <w:lang w:val="en-US"/>
        </w:rPr>
        <w:t>Animal Learning &amp; Behavior 30</w:t>
      </w:r>
      <w:r w:rsidRPr="005C7EC8">
        <w:rPr>
          <w:lang w:val="en-US"/>
        </w:rPr>
        <w:t xml:space="preserve">(2), 73–95. </w:t>
      </w:r>
      <w:hyperlink r:id="rId65" w:history="1">
        <w:r w:rsidRPr="005C7EC8">
          <w:rPr>
            <w:rStyle w:val="Hipervnculo"/>
            <w:lang w:val="en-US"/>
          </w:rPr>
          <w:t>https://doi.org/10.3758/BF03192911</w:t>
        </w:r>
      </w:hyperlink>
      <w:r w:rsidRPr="005C7EC8">
        <w:rPr>
          <w:lang w:val="en-US"/>
        </w:rPr>
        <w:t xml:space="preserve"> </w:t>
      </w:r>
    </w:p>
    <w:p w14:paraId="0000019C" w14:textId="1E89BFE8" w:rsidR="00E05D2A" w:rsidRPr="005C7EC8" w:rsidRDefault="007D47DC">
      <w:pPr>
        <w:ind w:left="720" w:hanging="720"/>
        <w:rPr>
          <w:lang w:val="en-US"/>
        </w:rPr>
      </w:pPr>
      <w:r w:rsidRPr="005C7EC8">
        <w:rPr>
          <w:lang w:val="en-US"/>
        </w:rPr>
        <w:t xml:space="preserve">Pearce, J. M., &amp; Hall, G. (1980). A model for Pavlovian learning: Variations in the effectiveness of conditioned but not of unconditioned stimuli. </w:t>
      </w:r>
      <w:r w:rsidRPr="005C7EC8">
        <w:rPr>
          <w:i/>
          <w:lang w:val="en-US"/>
        </w:rPr>
        <w:t>Psychological Review, 87</w:t>
      </w:r>
      <w:r w:rsidRPr="005C7EC8">
        <w:rPr>
          <w:lang w:val="en-US"/>
        </w:rPr>
        <w:t xml:space="preserve">(6), 532-552. </w:t>
      </w:r>
      <w:hyperlink r:id="rId66">
        <w:r w:rsidRPr="005C7EC8">
          <w:rPr>
            <w:color w:val="0000FF"/>
            <w:u w:val="single"/>
            <w:lang w:val="en-US"/>
          </w:rPr>
          <w:t>https://doi.org/10.1037/0033-295X.87.6.532</w:t>
        </w:r>
      </w:hyperlink>
    </w:p>
    <w:p w14:paraId="0000019D" w14:textId="77777777" w:rsidR="00E05D2A" w:rsidRPr="005C7EC8" w:rsidRDefault="007D47DC">
      <w:pPr>
        <w:ind w:left="720" w:hanging="720"/>
        <w:rPr>
          <w:lang w:val="en-US"/>
        </w:rPr>
      </w:pPr>
      <w:r w:rsidRPr="005C7EC8">
        <w:rPr>
          <w:lang w:val="en-US"/>
        </w:rPr>
        <w:t xml:space="preserve">Pearson, D., &amp; Le Pelley, M. E. (2020). Learning to avoid looking: Competing influences of reward on overt attentional selection. </w:t>
      </w:r>
      <w:r w:rsidRPr="005C7EC8">
        <w:rPr>
          <w:i/>
          <w:lang w:val="en-US"/>
        </w:rPr>
        <w:t>Psychonomic Bulletin &amp; Review, 27</w:t>
      </w:r>
      <w:r w:rsidRPr="005C7EC8">
        <w:rPr>
          <w:lang w:val="en-US"/>
        </w:rPr>
        <w:t xml:space="preserve">, 998-1005. </w:t>
      </w:r>
      <w:hyperlink r:id="rId67">
        <w:r w:rsidRPr="005C7EC8">
          <w:rPr>
            <w:color w:val="0000FF"/>
            <w:u w:val="single"/>
            <w:lang w:val="en-US"/>
          </w:rPr>
          <w:t>https://doi.org/10.3758/s13423-020-01770-3</w:t>
        </w:r>
      </w:hyperlink>
    </w:p>
    <w:p w14:paraId="0000019E" w14:textId="77777777" w:rsidR="00E05D2A" w:rsidRPr="005C7EC8" w:rsidRDefault="007D47DC">
      <w:pPr>
        <w:ind w:left="720" w:hanging="720"/>
        <w:rPr>
          <w:lang w:val="en-US"/>
        </w:rPr>
      </w:pPr>
      <w:proofErr w:type="spellStart"/>
      <w:r w:rsidRPr="005C7EC8">
        <w:rPr>
          <w:lang w:val="en-US"/>
        </w:rPr>
        <w:t>Peschel</w:t>
      </w:r>
      <w:proofErr w:type="spellEnd"/>
      <w:r w:rsidRPr="005C7EC8">
        <w:rPr>
          <w:lang w:val="en-US"/>
        </w:rPr>
        <w:t xml:space="preserve">, A. O., </w:t>
      </w:r>
      <w:proofErr w:type="spellStart"/>
      <w:r w:rsidRPr="005C7EC8">
        <w:rPr>
          <w:lang w:val="en-US"/>
        </w:rPr>
        <w:t>Orquin</w:t>
      </w:r>
      <w:proofErr w:type="spellEnd"/>
      <w:r w:rsidRPr="005C7EC8">
        <w:rPr>
          <w:lang w:val="en-US"/>
        </w:rPr>
        <w:t xml:space="preserve">, J. L., &amp; Loose, S. M. (2018). Increasing consumers’ attention capture and food choice through bottom-up effects. </w:t>
      </w:r>
      <w:r w:rsidRPr="005C7EC8">
        <w:rPr>
          <w:i/>
          <w:lang w:val="en-US"/>
        </w:rPr>
        <w:t>Appetite, 132</w:t>
      </w:r>
      <w:r w:rsidRPr="005C7EC8">
        <w:rPr>
          <w:lang w:val="en-US"/>
        </w:rPr>
        <w:t xml:space="preserve">(1), 1–7. </w:t>
      </w:r>
      <w:hyperlink r:id="rId68">
        <w:r w:rsidRPr="005C7EC8">
          <w:rPr>
            <w:color w:val="0000FF"/>
            <w:u w:val="single"/>
            <w:lang w:val="en-US"/>
          </w:rPr>
          <w:t>https://doi.org/10.1016/j.appet.2018.09.015</w:t>
        </w:r>
      </w:hyperlink>
    </w:p>
    <w:p w14:paraId="0000019F" w14:textId="77777777" w:rsidR="00E05D2A" w:rsidRPr="005C7EC8" w:rsidRDefault="007D47DC">
      <w:pPr>
        <w:ind w:left="720" w:hanging="720"/>
        <w:rPr>
          <w:lang w:val="en-US"/>
        </w:rPr>
      </w:pPr>
      <w:r w:rsidRPr="005C7EC8">
        <w:rPr>
          <w:lang w:val="en-US"/>
        </w:rPr>
        <w:t xml:space="preserve">Rescorla, R. A. (1988). Pavlovian conditioning: It's not what you think it is. </w:t>
      </w:r>
      <w:r w:rsidRPr="005C7EC8">
        <w:rPr>
          <w:i/>
          <w:lang w:val="en-US"/>
        </w:rPr>
        <w:t>American Psychologist, 43</w:t>
      </w:r>
      <w:r w:rsidRPr="005C7EC8">
        <w:rPr>
          <w:lang w:val="en-US"/>
        </w:rPr>
        <w:t xml:space="preserve">(3), 151–160. </w:t>
      </w:r>
      <w:hyperlink r:id="rId69">
        <w:r w:rsidRPr="005C7EC8">
          <w:rPr>
            <w:color w:val="0000FF"/>
            <w:u w:val="single"/>
            <w:lang w:val="en-US"/>
          </w:rPr>
          <w:t>https://doi.org/10.1037/0003-066X.43.3.151</w:t>
        </w:r>
      </w:hyperlink>
      <w:r w:rsidRPr="005C7EC8">
        <w:rPr>
          <w:lang w:val="en-US"/>
        </w:rPr>
        <w:t xml:space="preserve"> </w:t>
      </w:r>
    </w:p>
    <w:p w14:paraId="000001A0" w14:textId="77777777" w:rsidR="00E05D2A" w:rsidRPr="000A214E" w:rsidRDefault="007D47DC">
      <w:pPr>
        <w:ind w:left="720" w:hanging="720"/>
        <w:rPr>
          <w:lang w:val="en-US"/>
        </w:rPr>
      </w:pPr>
      <w:r w:rsidRPr="005C7EC8">
        <w:rPr>
          <w:lang w:val="en-US"/>
        </w:rPr>
        <w:t xml:space="preserve">Rescorla, R. A., &amp; Wagner, A. (1972). A theory of Pavlovian conditioning: Variations in the effectiveness of reinforcement and non-reinforcement. In: A. H. Black &amp; W. F. </w:t>
      </w:r>
      <w:proofErr w:type="spellStart"/>
      <w:r w:rsidRPr="005C7EC8">
        <w:rPr>
          <w:lang w:val="en-US"/>
        </w:rPr>
        <w:t>Prokasy</w:t>
      </w:r>
      <w:proofErr w:type="spellEnd"/>
      <w:r w:rsidRPr="005C7EC8">
        <w:rPr>
          <w:lang w:val="en-US"/>
        </w:rPr>
        <w:t xml:space="preserve"> (Eds.), </w:t>
      </w:r>
      <w:r w:rsidRPr="005C7EC8">
        <w:rPr>
          <w:i/>
          <w:lang w:val="en-US"/>
        </w:rPr>
        <w:t xml:space="preserve">Classical conditioning II: current research and theory </w:t>
      </w:r>
      <w:r w:rsidRPr="005C7EC8">
        <w:rPr>
          <w:lang w:val="en-US"/>
        </w:rPr>
        <w:t xml:space="preserve">(pp. 64-99). </w:t>
      </w:r>
      <w:r w:rsidRPr="000A214E">
        <w:rPr>
          <w:lang w:val="en-US"/>
        </w:rPr>
        <w:t>Appleton-Century- Crofts.</w:t>
      </w:r>
    </w:p>
    <w:p w14:paraId="77606A65" w14:textId="64F0E9EF" w:rsidR="002D6510" w:rsidRPr="000A214E" w:rsidRDefault="002D6510">
      <w:pPr>
        <w:ind w:left="720" w:hanging="720"/>
      </w:pPr>
      <w:r w:rsidRPr="005C7EC8">
        <w:rPr>
          <w:lang w:val="en-US"/>
        </w:rPr>
        <w:t xml:space="preserve">Riccio, D. C., Richardson, R., &amp; Ebner, D. L. (1984). Memory retrieval deficits based upon altered contextual cues: A paradox. </w:t>
      </w:r>
      <w:proofErr w:type="spellStart"/>
      <w:r w:rsidRPr="000A214E">
        <w:rPr>
          <w:i/>
          <w:iCs/>
        </w:rPr>
        <w:t>Psychological</w:t>
      </w:r>
      <w:proofErr w:type="spellEnd"/>
      <w:r w:rsidRPr="000A214E">
        <w:rPr>
          <w:i/>
          <w:iCs/>
        </w:rPr>
        <w:t xml:space="preserve"> </w:t>
      </w:r>
      <w:proofErr w:type="spellStart"/>
      <w:r w:rsidRPr="000A214E">
        <w:rPr>
          <w:i/>
          <w:iCs/>
        </w:rPr>
        <w:t>Bulletin</w:t>
      </w:r>
      <w:proofErr w:type="spellEnd"/>
      <w:r w:rsidRPr="000A214E">
        <w:rPr>
          <w:i/>
          <w:iCs/>
        </w:rPr>
        <w:t>, 96</w:t>
      </w:r>
      <w:r w:rsidRPr="000A214E">
        <w:t xml:space="preserve">(1), 152–165. </w:t>
      </w:r>
      <w:hyperlink r:id="rId70" w:history="1">
        <w:r w:rsidRPr="000A214E">
          <w:rPr>
            <w:rStyle w:val="Hipervnculo"/>
          </w:rPr>
          <w:t>https://doi.org/10.1037/0033-2909.96.1.152</w:t>
        </w:r>
      </w:hyperlink>
      <w:r w:rsidRPr="000A214E">
        <w:t xml:space="preserve"> </w:t>
      </w:r>
    </w:p>
    <w:p w14:paraId="000001A2" w14:textId="598C5331" w:rsidR="00E05D2A" w:rsidRPr="005C7EC8" w:rsidRDefault="007D47DC">
      <w:pPr>
        <w:ind w:left="720" w:hanging="720"/>
        <w:rPr>
          <w:color w:val="0000FF"/>
          <w:u w:val="single"/>
          <w:lang w:val="en-US"/>
        </w:rPr>
      </w:pPr>
      <w:r w:rsidRPr="005C7EC8">
        <w:t xml:space="preserve">Rosas, J. M., Callejas, J. E., Ramos, M. M., &amp; Fernández, M. J. (2006). </w:t>
      </w:r>
      <w:r w:rsidRPr="005C7EC8">
        <w:rPr>
          <w:lang w:val="en-US"/>
        </w:rPr>
        <w:t xml:space="preserve">Revision of retrieval theory of forgetting: What does make information context-specific? </w:t>
      </w:r>
      <w:r w:rsidRPr="005C7EC8">
        <w:rPr>
          <w:i/>
          <w:lang w:val="en-US"/>
        </w:rPr>
        <w:t>International Journal of Psychology and Psychological Therapy, 6</w:t>
      </w:r>
      <w:r w:rsidRPr="005C7EC8">
        <w:rPr>
          <w:lang w:val="en-US"/>
        </w:rPr>
        <w:t xml:space="preserve">(2), 147–166. </w:t>
      </w:r>
      <w:hyperlink r:id="rId71">
        <w:r w:rsidRPr="005C7EC8">
          <w:rPr>
            <w:color w:val="0000FF"/>
            <w:u w:val="single"/>
            <w:lang w:val="en-US"/>
          </w:rPr>
          <w:t>https://www.redalyc.org/articulo.oa?id=560/56060203</w:t>
        </w:r>
      </w:hyperlink>
    </w:p>
    <w:p w14:paraId="000001A6" w14:textId="77777777" w:rsidR="00E05D2A" w:rsidRPr="005C7EC8" w:rsidRDefault="007D47DC">
      <w:pPr>
        <w:ind w:left="720" w:hanging="720"/>
        <w:rPr>
          <w:lang w:val="en-US"/>
        </w:rPr>
      </w:pPr>
      <w:r w:rsidRPr="005C7EC8">
        <w:t xml:space="preserve">Rosas, J. M., &amp; Callejas-Aguilera, J. E. (2006). </w:t>
      </w:r>
      <w:r w:rsidRPr="005C7EC8">
        <w:rPr>
          <w:lang w:val="en-US"/>
        </w:rPr>
        <w:t xml:space="preserve">Context switch effects on acquisition and extinction in human predictive learning. </w:t>
      </w:r>
      <w:r w:rsidRPr="005C7EC8">
        <w:rPr>
          <w:i/>
          <w:lang w:val="en-US"/>
        </w:rPr>
        <w:t>Journal of Experimental Psychology: Learning, Memory, and Cognition, 32</w:t>
      </w:r>
      <w:r w:rsidRPr="005C7EC8">
        <w:rPr>
          <w:lang w:val="en-US"/>
        </w:rPr>
        <w:t xml:space="preserve">(3), 461-474. </w:t>
      </w:r>
      <w:hyperlink r:id="rId72">
        <w:r w:rsidRPr="005C7EC8">
          <w:rPr>
            <w:color w:val="0000FF"/>
            <w:u w:val="single"/>
            <w:lang w:val="en-US"/>
          </w:rPr>
          <w:t>https://doi.org/10.1037/0278-7393.32.3.461</w:t>
        </w:r>
      </w:hyperlink>
    </w:p>
    <w:p w14:paraId="000001A7" w14:textId="77777777" w:rsidR="00E05D2A" w:rsidRPr="005C7EC8" w:rsidRDefault="007D47DC">
      <w:pPr>
        <w:ind w:left="720" w:hanging="720"/>
        <w:rPr>
          <w:lang w:val="en-US"/>
        </w:rPr>
      </w:pPr>
      <w:r w:rsidRPr="005C7EC8">
        <w:t xml:space="preserve">Rosas, J. M., &amp; Callejas-Aguilera, J. E. (2007). </w:t>
      </w:r>
      <w:r w:rsidRPr="005C7EC8">
        <w:rPr>
          <w:lang w:val="en-US"/>
        </w:rPr>
        <w:t xml:space="preserve">Acquisition of a conditioned taste aversion becomes context dependent when it is learned after extinction. </w:t>
      </w:r>
      <w:r w:rsidRPr="000D2A29">
        <w:rPr>
          <w:i/>
          <w:iCs/>
          <w:lang w:val="en-US"/>
        </w:rPr>
        <w:t>The Quarterly Journal of Experimental Psychology, 60</w:t>
      </w:r>
      <w:r w:rsidRPr="005C7EC8">
        <w:rPr>
          <w:lang w:val="en-US"/>
        </w:rPr>
        <w:t xml:space="preserve">(1), 9–15. </w:t>
      </w:r>
      <w:hyperlink r:id="rId73">
        <w:r w:rsidRPr="005C7EC8">
          <w:rPr>
            <w:color w:val="0000FF"/>
            <w:u w:val="single"/>
            <w:lang w:val="en-US"/>
          </w:rPr>
          <w:t>https://doi.org/10.1080/17470210600971519</w:t>
        </w:r>
      </w:hyperlink>
      <w:r w:rsidRPr="005C7EC8">
        <w:rPr>
          <w:lang w:val="en-US"/>
        </w:rPr>
        <w:t xml:space="preserve"> </w:t>
      </w:r>
    </w:p>
    <w:p w14:paraId="2513F824" w14:textId="0F906DAA" w:rsidR="00C57BB8" w:rsidRPr="005C7EC8" w:rsidRDefault="00C57BB8">
      <w:pPr>
        <w:ind w:left="720" w:hanging="720"/>
        <w:rPr>
          <w:lang w:val="en-US"/>
        </w:rPr>
      </w:pPr>
      <w:proofErr w:type="spellStart"/>
      <w:r w:rsidRPr="005C7EC8">
        <w:rPr>
          <w:lang w:val="en-US"/>
        </w:rPr>
        <w:lastRenderedPageBreak/>
        <w:t>Schachtman</w:t>
      </w:r>
      <w:proofErr w:type="spellEnd"/>
      <w:r w:rsidRPr="005C7EC8">
        <w:rPr>
          <w:lang w:val="en-US"/>
        </w:rPr>
        <w:t>, T. R., Walker, J., &amp; Fowler, S. (2011). Effects of conditioning in advertising.</w:t>
      </w:r>
      <w:r w:rsidR="001F590F" w:rsidRPr="005C7EC8">
        <w:rPr>
          <w:lang w:val="en-US"/>
        </w:rPr>
        <w:t xml:space="preserve"> In: T. R. </w:t>
      </w:r>
      <w:proofErr w:type="spellStart"/>
      <w:r w:rsidR="001F590F" w:rsidRPr="005C7EC8">
        <w:rPr>
          <w:lang w:val="en-US"/>
        </w:rPr>
        <w:t>Schachtman</w:t>
      </w:r>
      <w:proofErr w:type="spellEnd"/>
      <w:r w:rsidR="001F590F" w:rsidRPr="005C7EC8">
        <w:rPr>
          <w:lang w:val="en-US"/>
        </w:rPr>
        <w:t xml:space="preserve"> &amp; S. S. Reilly (Eds.), </w:t>
      </w:r>
      <w:r w:rsidRPr="005C7EC8">
        <w:rPr>
          <w:i/>
          <w:iCs/>
          <w:lang w:val="en-US"/>
        </w:rPr>
        <w:t>Associative learning and conditioning theory: Human and non-human applications</w:t>
      </w:r>
      <w:r w:rsidRPr="005C7EC8">
        <w:rPr>
          <w:lang w:val="en-US"/>
        </w:rPr>
        <w:t xml:space="preserve"> </w:t>
      </w:r>
      <w:r w:rsidR="001F590F" w:rsidRPr="005C7EC8">
        <w:rPr>
          <w:lang w:val="en-US"/>
        </w:rPr>
        <w:t xml:space="preserve">(pp. </w:t>
      </w:r>
      <w:r w:rsidRPr="005C7EC8">
        <w:rPr>
          <w:lang w:val="en-US"/>
        </w:rPr>
        <w:t>481-506</w:t>
      </w:r>
      <w:r w:rsidR="001F590F" w:rsidRPr="005C7EC8">
        <w:rPr>
          <w:lang w:val="en-US"/>
        </w:rPr>
        <w:t>)</w:t>
      </w:r>
      <w:r w:rsidRPr="005C7EC8">
        <w:rPr>
          <w:lang w:val="en-US"/>
        </w:rPr>
        <w:t xml:space="preserve">. </w:t>
      </w:r>
      <w:r w:rsidR="00624DE2" w:rsidRPr="005C7EC8">
        <w:rPr>
          <w:lang w:val="en-US"/>
        </w:rPr>
        <w:t>Oxford University Press.</w:t>
      </w:r>
    </w:p>
    <w:p w14:paraId="000001A8" w14:textId="5702E4E5" w:rsidR="00E05D2A" w:rsidRPr="005C7EC8" w:rsidRDefault="007D47DC">
      <w:pPr>
        <w:ind w:left="720" w:hanging="720"/>
        <w:rPr>
          <w:lang w:val="en-US"/>
        </w:rPr>
      </w:pPr>
      <w:proofErr w:type="spellStart"/>
      <w:r w:rsidRPr="005C7EC8">
        <w:rPr>
          <w:lang w:val="en-US"/>
        </w:rPr>
        <w:t>Shimp</w:t>
      </w:r>
      <w:proofErr w:type="spellEnd"/>
      <w:r w:rsidRPr="005C7EC8">
        <w:rPr>
          <w:lang w:val="en-US"/>
        </w:rPr>
        <w:t xml:space="preserve">, T. A. (1991). Neo-Pavlovian conditioning and its implications for consumer theory and research. In H. H. </w:t>
      </w:r>
      <w:proofErr w:type="spellStart"/>
      <w:r w:rsidRPr="005C7EC8">
        <w:rPr>
          <w:lang w:val="en-US"/>
        </w:rPr>
        <w:t>Kassarjian</w:t>
      </w:r>
      <w:proofErr w:type="spellEnd"/>
      <w:r w:rsidRPr="005C7EC8">
        <w:rPr>
          <w:lang w:val="en-US"/>
        </w:rPr>
        <w:t xml:space="preserve">, &amp; T. S. Robertson (Eds.), </w:t>
      </w:r>
      <w:r w:rsidRPr="005C7EC8">
        <w:rPr>
          <w:i/>
          <w:lang w:val="en-US"/>
        </w:rPr>
        <w:t xml:space="preserve">Handbook of consumer behavior </w:t>
      </w:r>
      <w:r w:rsidRPr="005C7EC8">
        <w:rPr>
          <w:lang w:val="en-US"/>
        </w:rPr>
        <w:t>(pp. 162-187). Prentice-Hall.</w:t>
      </w:r>
    </w:p>
    <w:p w14:paraId="000001A9" w14:textId="77777777" w:rsidR="00E05D2A" w:rsidRPr="005C7EC8" w:rsidRDefault="007D47DC">
      <w:pPr>
        <w:ind w:left="720" w:hanging="720"/>
        <w:rPr>
          <w:lang w:val="en-US"/>
        </w:rPr>
      </w:pPr>
      <w:r w:rsidRPr="005C7EC8">
        <w:rPr>
          <w:lang w:val="en-US"/>
        </w:rPr>
        <w:t xml:space="preserve">Sinha, I., &amp; Smith, M. F. (2000). Consumers’ perceptions of promotional framing of price. </w:t>
      </w:r>
      <w:r w:rsidRPr="005C7EC8">
        <w:rPr>
          <w:i/>
          <w:lang w:val="en-US"/>
        </w:rPr>
        <w:t>Psychology &amp; Marketing, 17</w:t>
      </w:r>
      <w:r w:rsidRPr="005C7EC8">
        <w:rPr>
          <w:lang w:val="en-US"/>
        </w:rPr>
        <w:t xml:space="preserve">(3), 257–275. </w:t>
      </w:r>
      <w:hyperlink r:id="rId74">
        <w:r w:rsidRPr="005C7EC8">
          <w:rPr>
            <w:color w:val="0000FF"/>
            <w:u w:val="single"/>
            <w:lang w:val="en-US"/>
          </w:rPr>
          <w:t>https://doi.org/10.1002/(SICI)1520-6793(200003)17:3&lt;257::AID-MAR4&gt;3.0.CO;2-P</w:t>
        </w:r>
      </w:hyperlink>
    </w:p>
    <w:p w14:paraId="000001AA" w14:textId="77777777" w:rsidR="00E05D2A" w:rsidRPr="00CB0C02" w:rsidRDefault="007D47DC">
      <w:pPr>
        <w:ind w:left="720" w:hanging="720"/>
        <w:rPr>
          <w:lang w:val="pt-BR"/>
        </w:rPr>
      </w:pPr>
      <w:r w:rsidRPr="005C7EC8">
        <w:rPr>
          <w:lang w:val="en-US"/>
        </w:rPr>
        <w:t xml:space="preserve">Smith, S. M. (2007). Context: A reference for focal experience. In H. L. Roediger, Y. </w:t>
      </w:r>
      <w:proofErr w:type="spellStart"/>
      <w:r w:rsidRPr="005C7EC8">
        <w:rPr>
          <w:lang w:val="en-US"/>
        </w:rPr>
        <w:t>Dudai</w:t>
      </w:r>
      <w:proofErr w:type="spellEnd"/>
      <w:r w:rsidRPr="005C7EC8">
        <w:rPr>
          <w:lang w:val="en-US"/>
        </w:rPr>
        <w:t xml:space="preserve">, &amp; S. M. Fitzpatrick (Eds.), </w:t>
      </w:r>
      <w:r w:rsidRPr="005C7EC8">
        <w:rPr>
          <w:i/>
          <w:lang w:val="en-US"/>
        </w:rPr>
        <w:t>Science of Memory: Concepts</w:t>
      </w:r>
      <w:r w:rsidRPr="005C7EC8">
        <w:rPr>
          <w:lang w:val="en-US"/>
        </w:rPr>
        <w:t xml:space="preserve"> (pp. 111-114). </w:t>
      </w:r>
      <w:r w:rsidRPr="00CB0C02">
        <w:rPr>
          <w:lang w:val="pt-BR"/>
        </w:rPr>
        <w:t xml:space="preserve">Oxford </w:t>
      </w:r>
      <w:proofErr w:type="spellStart"/>
      <w:r w:rsidRPr="00CB0C02">
        <w:rPr>
          <w:lang w:val="pt-BR"/>
        </w:rPr>
        <w:t>University</w:t>
      </w:r>
      <w:proofErr w:type="spellEnd"/>
      <w:r w:rsidRPr="00CB0C02">
        <w:rPr>
          <w:lang w:val="pt-BR"/>
        </w:rPr>
        <w:t xml:space="preserve"> Press. </w:t>
      </w:r>
      <w:hyperlink r:id="rId75">
        <w:r w:rsidRPr="00CB0C02">
          <w:rPr>
            <w:color w:val="0000FF"/>
            <w:u w:val="single"/>
            <w:lang w:val="pt-BR"/>
          </w:rPr>
          <w:t>https://doi.org/10.1093/acprof:oso/9780195310443.001.0001</w:t>
        </w:r>
      </w:hyperlink>
      <w:r w:rsidRPr="00CB0C02">
        <w:rPr>
          <w:lang w:val="pt-BR"/>
        </w:rPr>
        <w:t xml:space="preserve"> </w:t>
      </w:r>
    </w:p>
    <w:p w14:paraId="000001AB" w14:textId="77777777" w:rsidR="00E05D2A" w:rsidRPr="005C7EC8" w:rsidRDefault="007D47DC">
      <w:pPr>
        <w:ind w:left="720" w:hanging="720"/>
      </w:pPr>
      <w:r w:rsidRPr="00CB0C02">
        <w:rPr>
          <w:lang w:val="pt-BR"/>
        </w:rPr>
        <w:t xml:space="preserve">Souza, C., Flores, E. P., &amp; de Oliveira Castro-Neto, J. M. (2015). </w:t>
      </w:r>
      <w:r w:rsidRPr="005C7EC8">
        <w:t xml:space="preserve">Transferencia de aprendizaje y complejidad de tareas: “La carreta delante de los bueyes”. </w:t>
      </w:r>
      <w:r w:rsidRPr="005C7EC8">
        <w:rPr>
          <w:i/>
        </w:rPr>
        <w:t>Revista Interamericana de Psicología/</w:t>
      </w:r>
      <w:proofErr w:type="spellStart"/>
      <w:r w:rsidRPr="005C7EC8">
        <w:rPr>
          <w:i/>
        </w:rPr>
        <w:t>Interamerican</w:t>
      </w:r>
      <w:proofErr w:type="spellEnd"/>
      <w:r w:rsidRPr="005C7EC8">
        <w:rPr>
          <w:i/>
        </w:rPr>
        <w:t xml:space="preserve"> </w:t>
      </w:r>
      <w:proofErr w:type="spellStart"/>
      <w:r w:rsidRPr="005C7EC8">
        <w:rPr>
          <w:i/>
        </w:rPr>
        <w:t>Journal</w:t>
      </w:r>
      <w:proofErr w:type="spellEnd"/>
      <w:r w:rsidRPr="005C7EC8">
        <w:rPr>
          <w:i/>
        </w:rPr>
        <w:t xml:space="preserve"> of </w:t>
      </w:r>
      <w:proofErr w:type="spellStart"/>
      <w:r w:rsidRPr="005C7EC8">
        <w:rPr>
          <w:i/>
        </w:rPr>
        <w:t>Psychology</w:t>
      </w:r>
      <w:proofErr w:type="spellEnd"/>
      <w:r w:rsidRPr="005C7EC8">
        <w:rPr>
          <w:i/>
        </w:rPr>
        <w:t>, 49</w:t>
      </w:r>
      <w:r w:rsidRPr="005C7EC8">
        <w:t xml:space="preserve">(3), 294-301. </w:t>
      </w:r>
      <w:hyperlink r:id="rId76">
        <w:r w:rsidRPr="005C7EC8">
          <w:rPr>
            <w:color w:val="0000FF"/>
            <w:u w:val="single"/>
          </w:rPr>
          <w:t>https://www.redalyc.org/articulo.oa?id=28446020002</w:t>
        </w:r>
      </w:hyperlink>
    </w:p>
    <w:p w14:paraId="000001AC" w14:textId="77777777" w:rsidR="00E05D2A" w:rsidRPr="00D33181" w:rsidRDefault="007D47DC">
      <w:pPr>
        <w:ind w:left="720" w:hanging="720"/>
        <w:rPr>
          <w:lang w:val="es-AR"/>
        </w:rPr>
      </w:pPr>
      <w:proofErr w:type="spellStart"/>
      <w:r w:rsidRPr="00D33181">
        <w:t>Sozuer</w:t>
      </w:r>
      <w:proofErr w:type="spellEnd"/>
      <w:r w:rsidRPr="00D33181">
        <w:t xml:space="preserve">, S., </w:t>
      </w:r>
      <w:proofErr w:type="spellStart"/>
      <w:r w:rsidRPr="00D33181">
        <w:t>Carpenter</w:t>
      </w:r>
      <w:proofErr w:type="spellEnd"/>
      <w:r w:rsidRPr="00D33181">
        <w:t xml:space="preserve">, G. S., </w:t>
      </w:r>
      <w:proofErr w:type="spellStart"/>
      <w:r w:rsidRPr="00D33181">
        <w:t>Kopalle</w:t>
      </w:r>
      <w:proofErr w:type="spellEnd"/>
      <w:r w:rsidRPr="00D33181">
        <w:t xml:space="preserve">, P. K., </w:t>
      </w:r>
      <w:proofErr w:type="spellStart"/>
      <w:r w:rsidRPr="00D33181">
        <w:t>McAlister</w:t>
      </w:r>
      <w:proofErr w:type="spellEnd"/>
      <w:r w:rsidRPr="00D33181">
        <w:t xml:space="preserve">, L. M., &amp; </w:t>
      </w:r>
      <w:proofErr w:type="spellStart"/>
      <w:r w:rsidRPr="00D33181">
        <w:t>Lehmann</w:t>
      </w:r>
      <w:proofErr w:type="spellEnd"/>
      <w:r w:rsidRPr="00D33181">
        <w:t xml:space="preserve">, D. R. (2020). </w:t>
      </w:r>
      <w:r w:rsidRPr="005C7EC8">
        <w:rPr>
          <w:lang w:val="en-US"/>
        </w:rPr>
        <w:t xml:space="preserve">The past, present, and future of marketing strategy. </w:t>
      </w:r>
      <w:r w:rsidRPr="005C7EC8">
        <w:rPr>
          <w:i/>
          <w:lang w:val="en-US"/>
        </w:rPr>
        <w:t>Marketing Letters, 31</w:t>
      </w:r>
      <w:r w:rsidRPr="005C7EC8">
        <w:rPr>
          <w:lang w:val="en-US"/>
        </w:rPr>
        <w:t xml:space="preserve">, 163-174. </w:t>
      </w:r>
      <w:hyperlink r:id="rId77">
        <w:r w:rsidRPr="00D33181">
          <w:rPr>
            <w:color w:val="0000FF"/>
            <w:u w:val="single"/>
            <w:lang w:val="es-AR"/>
          </w:rPr>
          <w:t>https://doi.org/10.1007/s11002-020-09529-5</w:t>
        </w:r>
      </w:hyperlink>
    </w:p>
    <w:p w14:paraId="652AC523" w14:textId="543F5432" w:rsidR="003C3F18" w:rsidRPr="005C7EC8" w:rsidRDefault="003C3F18">
      <w:pPr>
        <w:ind w:left="720" w:hanging="720"/>
        <w:rPr>
          <w:lang w:val="en-US"/>
        </w:rPr>
      </w:pPr>
      <w:proofErr w:type="spellStart"/>
      <w:r w:rsidRPr="00D33181">
        <w:rPr>
          <w:lang w:val="es-AR"/>
        </w:rPr>
        <w:t>Spear</w:t>
      </w:r>
      <w:proofErr w:type="spellEnd"/>
      <w:r w:rsidRPr="00D33181">
        <w:rPr>
          <w:lang w:val="es-AR"/>
        </w:rPr>
        <w:t xml:space="preserve">, N. E., &amp; </w:t>
      </w:r>
      <w:proofErr w:type="spellStart"/>
      <w:r w:rsidRPr="00D33181">
        <w:rPr>
          <w:lang w:val="es-AR"/>
        </w:rPr>
        <w:t>Riccio</w:t>
      </w:r>
      <w:proofErr w:type="spellEnd"/>
      <w:r w:rsidRPr="00D33181">
        <w:rPr>
          <w:lang w:val="es-AR"/>
        </w:rPr>
        <w:t xml:space="preserve">, D. C. (1994). </w:t>
      </w:r>
      <w:r w:rsidRPr="005C7EC8">
        <w:rPr>
          <w:i/>
          <w:iCs/>
          <w:lang w:val="en-US"/>
        </w:rPr>
        <w:t xml:space="preserve">Memory: Phenomena and </w:t>
      </w:r>
      <w:r w:rsidR="008E648A">
        <w:rPr>
          <w:i/>
          <w:iCs/>
          <w:lang w:val="en-US"/>
        </w:rPr>
        <w:t>P</w:t>
      </w:r>
      <w:r w:rsidRPr="005C7EC8">
        <w:rPr>
          <w:i/>
          <w:iCs/>
          <w:lang w:val="en-US"/>
        </w:rPr>
        <w:t>rinciples</w:t>
      </w:r>
      <w:r w:rsidRPr="005C7EC8">
        <w:rPr>
          <w:lang w:val="en-US"/>
        </w:rPr>
        <w:t>. Allyn &amp; Bacon.</w:t>
      </w:r>
    </w:p>
    <w:p w14:paraId="000001AD" w14:textId="1DC68D63" w:rsidR="00E05D2A" w:rsidRPr="005C7EC8" w:rsidRDefault="007D47DC">
      <w:pPr>
        <w:ind w:left="720" w:hanging="720"/>
        <w:rPr>
          <w:lang w:val="en-US"/>
        </w:rPr>
      </w:pPr>
      <w:r w:rsidRPr="005C7EC8">
        <w:rPr>
          <w:lang w:val="en-US"/>
        </w:rPr>
        <w:t xml:space="preserve">Taylor, P. J., &amp; Marsh, J. E. (2017). E‐Prime (Software). </w:t>
      </w:r>
      <w:r w:rsidRPr="005C7EC8">
        <w:rPr>
          <w:i/>
          <w:lang w:val="en-US"/>
        </w:rPr>
        <w:t>The International Encyclopedia of Communication Research Methods</w:t>
      </w:r>
      <w:r w:rsidRPr="005C7EC8">
        <w:rPr>
          <w:lang w:val="en-US"/>
        </w:rPr>
        <w:t xml:space="preserve"> (pp. 1-3). Wiley Publishing. </w:t>
      </w:r>
      <w:hyperlink r:id="rId78">
        <w:r w:rsidRPr="005C7EC8">
          <w:rPr>
            <w:color w:val="0000FF"/>
            <w:u w:val="single"/>
            <w:lang w:val="en-US"/>
          </w:rPr>
          <w:t>https://doi.org/10.1002/9781118901731.iecrm0085</w:t>
        </w:r>
      </w:hyperlink>
    </w:p>
    <w:p w14:paraId="000001AE" w14:textId="77777777" w:rsidR="00E05D2A" w:rsidRPr="005C7EC8" w:rsidRDefault="007D47DC">
      <w:pPr>
        <w:ind w:left="720" w:hanging="720"/>
        <w:rPr>
          <w:lang w:val="en-US"/>
        </w:rPr>
      </w:pPr>
      <w:r w:rsidRPr="005C7EC8">
        <w:rPr>
          <w:lang w:val="en-US"/>
        </w:rPr>
        <w:t xml:space="preserve">The </w:t>
      </w:r>
      <w:proofErr w:type="spellStart"/>
      <w:r w:rsidRPr="005C7EC8">
        <w:rPr>
          <w:lang w:val="en-US"/>
        </w:rPr>
        <w:t>jamovi</w:t>
      </w:r>
      <w:proofErr w:type="spellEnd"/>
      <w:r w:rsidRPr="005C7EC8">
        <w:rPr>
          <w:lang w:val="en-US"/>
        </w:rPr>
        <w:t xml:space="preserve"> project (2021). </w:t>
      </w:r>
      <w:proofErr w:type="spellStart"/>
      <w:r w:rsidRPr="005C7EC8">
        <w:rPr>
          <w:lang w:val="en-US"/>
        </w:rPr>
        <w:t>jamovi</w:t>
      </w:r>
      <w:proofErr w:type="spellEnd"/>
      <w:r w:rsidRPr="005C7EC8">
        <w:rPr>
          <w:lang w:val="en-US"/>
        </w:rPr>
        <w:t xml:space="preserve"> (Version 1.6) [Computer software]. </w:t>
      </w:r>
      <w:hyperlink r:id="rId79">
        <w:r w:rsidRPr="005C7EC8">
          <w:rPr>
            <w:color w:val="0000FF"/>
            <w:u w:val="single"/>
            <w:lang w:val="en-US"/>
          </w:rPr>
          <w:t>https://www.jamovi.org</w:t>
        </w:r>
      </w:hyperlink>
    </w:p>
    <w:p w14:paraId="000001B0" w14:textId="77777777" w:rsidR="00E05D2A" w:rsidRPr="005C7EC8" w:rsidRDefault="007D47DC">
      <w:pPr>
        <w:ind w:left="720" w:hanging="720"/>
        <w:rPr>
          <w:color w:val="0000FF"/>
          <w:u w:val="single"/>
          <w:lang w:val="en-US"/>
        </w:rPr>
      </w:pPr>
      <w:r w:rsidRPr="005C7EC8">
        <w:rPr>
          <w:lang w:val="en-US"/>
        </w:rPr>
        <w:t xml:space="preserve">Turley, L. W., &amp; Milliman, R. E. (2000). Atmospheric effects on shopping behavior: a review of the experimental evidence. </w:t>
      </w:r>
      <w:r w:rsidRPr="005C7EC8">
        <w:rPr>
          <w:i/>
          <w:lang w:val="en-US"/>
        </w:rPr>
        <w:t>Journal of Business Research, 49</w:t>
      </w:r>
      <w:r w:rsidRPr="005C7EC8">
        <w:rPr>
          <w:lang w:val="en-US"/>
        </w:rPr>
        <w:t xml:space="preserve">(2), 193-211. </w:t>
      </w:r>
      <w:hyperlink r:id="rId80">
        <w:r w:rsidRPr="005C7EC8">
          <w:rPr>
            <w:color w:val="0000FF"/>
            <w:u w:val="single"/>
            <w:lang w:val="en-US"/>
          </w:rPr>
          <w:t>https://doi.org/10.1016/S0148-2963(99)00010-7</w:t>
        </w:r>
      </w:hyperlink>
    </w:p>
    <w:p w14:paraId="5543532E" w14:textId="12DADC30" w:rsidR="00186268" w:rsidRPr="005C7EC8" w:rsidRDefault="00186268">
      <w:pPr>
        <w:ind w:left="720" w:hanging="720"/>
        <w:rPr>
          <w:lang w:val="en-US"/>
        </w:rPr>
      </w:pPr>
      <w:proofErr w:type="spellStart"/>
      <w:r w:rsidRPr="005C7EC8">
        <w:rPr>
          <w:lang w:val="en-US"/>
        </w:rPr>
        <w:t>Uengoer</w:t>
      </w:r>
      <w:proofErr w:type="spellEnd"/>
      <w:r w:rsidRPr="005C7EC8">
        <w:rPr>
          <w:lang w:val="en-US"/>
        </w:rPr>
        <w:t xml:space="preserve">, M., Pearce, J. M., </w:t>
      </w:r>
      <w:proofErr w:type="spellStart"/>
      <w:r w:rsidRPr="005C7EC8">
        <w:rPr>
          <w:lang w:val="en-US"/>
        </w:rPr>
        <w:t>Lachnit</w:t>
      </w:r>
      <w:proofErr w:type="spellEnd"/>
      <w:r w:rsidRPr="005C7EC8">
        <w:rPr>
          <w:lang w:val="en-US"/>
        </w:rPr>
        <w:t xml:space="preserve">, H., &amp; Koenig, S. (2018). Context modulation of learned attention deployment. </w:t>
      </w:r>
      <w:r w:rsidRPr="005C7EC8">
        <w:rPr>
          <w:i/>
          <w:lang w:val="en-US"/>
        </w:rPr>
        <w:t>Learning &amp; behavior, 46</w:t>
      </w:r>
      <w:r w:rsidRPr="005C7EC8">
        <w:rPr>
          <w:lang w:val="en-US"/>
        </w:rPr>
        <w:t xml:space="preserve">(1), 23-37. </w:t>
      </w:r>
      <w:hyperlink r:id="rId81">
        <w:r w:rsidRPr="005C7EC8">
          <w:rPr>
            <w:color w:val="0000FF"/>
            <w:u w:val="single"/>
            <w:lang w:val="en-US"/>
          </w:rPr>
          <w:t>https://doi.org/10.3758/s13420-017-0277-y</w:t>
        </w:r>
      </w:hyperlink>
    </w:p>
    <w:p w14:paraId="000001B1" w14:textId="64BA2C53" w:rsidR="00E05D2A" w:rsidRPr="005C7EC8" w:rsidRDefault="007D47DC">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(2008). Associative learning and consumer decisions. In C. P., </w:t>
      </w:r>
      <w:proofErr w:type="spellStart"/>
      <w:r w:rsidRPr="005C7EC8">
        <w:rPr>
          <w:lang w:val="en-US"/>
        </w:rPr>
        <w:t>Haugtvedt</w:t>
      </w:r>
      <w:proofErr w:type="spellEnd"/>
      <w:r w:rsidRPr="005C7EC8">
        <w:rPr>
          <w:lang w:val="en-US"/>
        </w:rPr>
        <w:t xml:space="preserve">, P. M. Herr, &amp; F. R. </w:t>
      </w:r>
      <w:proofErr w:type="spellStart"/>
      <w:r w:rsidRPr="005C7EC8">
        <w:rPr>
          <w:lang w:val="en-US"/>
        </w:rPr>
        <w:t>Kardes</w:t>
      </w:r>
      <w:proofErr w:type="spellEnd"/>
      <w:r w:rsidRPr="005C7EC8">
        <w:rPr>
          <w:lang w:val="en-US"/>
        </w:rPr>
        <w:t xml:space="preserve"> (Eds.), </w:t>
      </w:r>
      <w:r w:rsidRPr="005C7EC8">
        <w:rPr>
          <w:i/>
          <w:lang w:val="en-US"/>
        </w:rPr>
        <w:t>Handbook of Consumer Psychology</w:t>
      </w:r>
      <w:r w:rsidRPr="005C7EC8">
        <w:rPr>
          <w:lang w:val="en-US"/>
        </w:rPr>
        <w:t xml:space="preserve"> (pp. 694-724). Routledge. </w:t>
      </w:r>
      <w:hyperlink r:id="rId82">
        <w:r w:rsidRPr="005C7EC8">
          <w:rPr>
            <w:color w:val="0000FF"/>
            <w:u w:val="single"/>
            <w:lang w:val="en-US"/>
          </w:rPr>
          <w:t>https://doi.org/10.4324/9780203809570</w:t>
        </w:r>
      </w:hyperlink>
      <w:r w:rsidRPr="005C7EC8">
        <w:rPr>
          <w:lang w:val="en-US"/>
        </w:rPr>
        <w:t xml:space="preserve"> </w:t>
      </w:r>
    </w:p>
    <w:p w14:paraId="540006DB" w14:textId="3AD0AC80" w:rsidR="000009B4" w:rsidRPr="005C7EC8" w:rsidRDefault="000009B4">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w:t>
      </w:r>
      <w:proofErr w:type="spellStart"/>
      <w:r w:rsidRPr="005C7EC8">
        <w:rPr>
          <w:lang w:val="en-US"/>
        </w:rPr>
        <w:t>Janiszewski</w:t>
      </w:r>
      <w:proofErr w:type="spellEnd"/>
      <w:r w:rsidRPr="005C7EC8">
        <w:rPr>
          <w:lang w:val="en-US"/>
        </w:rPr>
        <w:t xml:space="preserve">, C., &amp; Cunha, M., Jr. (2004). Stimulus Generalization in Two Associative Learning Processes. </w:t>
      </w:r>
      <w:r w:rsidRPr="005C7EC8">
        <w:rPr>
          <w:i/>
          <w:iCs/>
          <w:lang w:val="en-US"/>
        </w:rPr>
        <w:t>Journal of Experimental Psychology: Learning, Memory, and Cognition, 30</w:t>
      </w:r>
      <w:r w:rsidRPr="005C7EC8">
        <w:rPr>
          <w:lang w:val="en-US"/>
        </w:rPr>
        <w:t xml:space="preserve">(3), 626–638. </w:t>
      </w:r>
      <w:hyperlink r:id="rId83" w:history="1">
        <w:r w:rsidRPr="005C7EC8">
          <w:rPr>
            <w:rStyle w:val="Hipervnculo"/>
            <w:lang w:val="en-US"/>
          </w:rPr>
          <w:t>https://doi.org/10.1037/0278-7393.30.3.626</w:t>
        </w:r>
      </w:hyperlink>
      <w:r w:rsidRPr="005C7EC8">
        <w:rPr>
          <w:lang w:val="en-US"/>
        </w:rPr>
        <w:t xml:space="preserve"> </w:t>
      </w:r>
    </w:p>
    <w:p w14:paraId="3B601831" w14:textId="74F41CC1" w:rsidR="00186268" w:rsidRPr="005C7EC8" w:rsidRDefault="00186268">
      <w:pPr>
        <w:ind w:left="720" w:hanging="720"/>
        <w:rPr>
          <w:lang w:val="en-US"/>
        </w:rPr>
      </w:pPr>
      <w:r w:rsidRPr="005C7EC8">
        <w:rPr>
          <w:lang w:val="en-US"/>
        </w:rPr>
        <w:t xml:space="preserve">Van </w:t>
      </w:r>
      <w:proofErr w:type="spellStart"/>
      <w:r w:rsidRPr="005C7EC8">
        <w:rPr>
          <w:lang w:val="en-US"/>
        </w:rPr>
        <w:t>Osselaer</w:t>
      </w:r>
      <w:proofErr w:type="spellEnd"/>
      <w:r w:rsidRPr="005C7EC8">
        <w:rPr>
          <w:lang w:val="en-US"/>
        </w:rPr>
        <w:t xml:space="preserve">, S. M., &amp; </w:t>
      </w:r>
      <w:proofErr w:type="spellStart"/>
      <w:r w:rsidRPr="005C7EC8">
        <w:rPr>
          <w:lang w:val="en-US"/>
        </w:rPr>
        <w:t>Janiszewski</w:t>
      </w:r>
      <w:proofErr w:type="spellEnd"/>
      <w:r w:rsidRPr="005C7EC8">
        <w:rPr>
          <w:lang w:val="en-US"/>
        </w:rPr>
        <w:t xml:space="preserve">, C. (2001). Two ways of learning brand associations. </w:t>
      </w:r>
      <w:r w:rsidRPr="005C7EC8">
        <w:rPr>
          <w:i/>
          <w:iCs/>
          <w:lang w:val="en-US"/>
        </w:rPr>
        <w:t>Journal of Consumer Research, 28</w:t>
      </w:r>
      <w:r w:rsidRPr="005C7EC8">
        <w:rPr>
          <w:lang w:val="en-US"/>
        </w:rPr>
        <w:t xml:space="preserve">(2), 202-223. </w:t>
      </w:r>
      <w:hyperlink r:id="rId84" w:history="1">
        <w:r w:rsidRPr="005C7EC8">
          <w:rPr>
            <w:rStyle w:val="Hipervnculo"/>
            <w:lang w:val="en-US"/>
          </w:rPr>
          <w:t>https://doi.org/10.1086/322898</w:t>
        </w:r>
      </w:hyperlink>
      <w:r w:rsidRPr="005C7EC8">
        <w:rPr>
          <w:lang w:val="en-US"/>
        </w:rPr>
        <w:t xml:space="preserve"> </w:t>
      </w:r>
    </w:p>
    <w:p w14:paraId="2B592A40" w14:textId="77777777" w:rsidR="00EB0DC7" w:rsidRPr="005C7EC8" w:rsidRDefault="007D47DC">
      <w:pPr>
        <w:ind w:left="720" w:hanging="720"/>
        <w:rPr>
          <w:color w:val="0000FF"/>
          <w:u w:val="single"/>
          <w:lang w:val="en-US"/>
        </w:rPr>
      </w:pPr>
      <w:r w:rsidRPr="005C7EC8">
        <w:rPr>
          <w:lang w:val="en-US"/>
        </w:rPr>
        <w:t xml:space="preserve">Wills, A. J., </w:t>
      </w:r>
      <w:proofErr w:type="spellStart"/>
      <w:r w:rsidRPr="005C7EC8">
        <w:rPr>
          <w:lang w:val="en-US"/>
        </w:rPr>
        <w:t>Lavric</w:t>
      </w:r>
      <w:proofErr w:type="spellEnd"/>
      <w:r w:rsidRPr="005C7EC8">
        <w:rPr>
          <w:lang w:val="en-US"/>
        </w:rPr>
        <w:t xml:space="preserve">, A., Croft, G. S., &amp; Hodgson, T. L. (2007). Predictive learning, prediction errors, and attention: Evidence from event-related potentials and eye tracking. </w:t>
      </w:r>
      <w:r w:rsidRPr="005C7EC8">
        <w:rPr>
          <w:i/>
          <w:lang w:val="en-US"/>
        </w:rPr>
        <w:t>Journal of Cognitive Neuroscience, 19</w:t>
      </w:r>
      <w:r w:rsidRPr="005C7EC8">
        <w:rPr>
          <w:lang w:val="en-US"/>
        </w:rPr>
        <w:t xml:space="preserve">(5), 843-854. </w:t>
      </w:r>
      <w:hyperlink r:id="rId85">
        <w:r w:rsidRPr="005C7EC8">
          <w:rPr>
            <w:color w:val="0000FF"/>
            <w:u w:val="single"/>
            <w:lang w:val="en-US"/>
          </w:rPr>
          <w:t>https://doi.org/10.1162/jocn.2007.19.5.843</w:t>
        </w:r>
      </w:hyperlink>
    </w:p>
    <w:p w14:paraId="000001B3" w14:textId="43B84017" w:rsidR="00E05D2A" w:rsidRPr="00EF7014" w:rsidRDefault="007D47DC">
      <w:pPr>
        <w:ind w:left="720" w:hanging="720"/>
        <w:rPr>
          <w:lang w:val="en-US"/>
        </w:rPr>
      </w:pPr>
      <w:r w:rsidRPr="005C7EC8">
        <w:rPr>
          <w:lang w:val="en-US"/>
        </w:rPr>
        <w:t xml:space="preserve"> </w:t>
      </w:r>
      <w:r w:rsidR="00EB0DC7" w:rsidRPr="005C7EC8">
        <w:rPr>
          <w:lang w:val="en-US"/>
        </w:rPr>
        <w:t xml:space="preserve">Yoon, S., Oh, S., Song, S., Kim, K. K., &amp; Kim, Y. (2014). Higher quality or lower price? How value-increasing promotions affect retailer reputation via perceived value. </w:t>
      </w:r>
      <w:r w:rsidR="00EB0DC7" w:rsidRPr="005C7EC8">
        <w:rPr>
          <w:i/>
          <w:iCs/>
          <w:lang w:val="en-US"/>
        </w:rPr>
        <w:t>Journal of Business Research, 67</w:t>
      </w:r>
      <w:r w:rsidR="00EB0DC7" w:rsidRPr="005C7EC8">
        <w:rPr>
          <w:lang w:val="en-US"/>
        </w:rPr>
        <w:t xml:space="preserve">(10), 2088-2096. </w:t>
      </w:r>
      <w:hyperlink r:id="rId86" w:history="1">
        <w:r w:rsidR="00EB0DC7" w:rsidRPr="005C7EC8">
          <w:rPr>
            <w:rStyle w:val="Hipervnculo"/>
            <w:lang w:val="en-US"/>
          </w:rPr>
          <w:t>https://doi.org/10.1016/j.jbusres.2014.04.017</w:t>
        </w:r>
      </w:hyperlink>
      <w:r w:rsidR="00EB0DC7">
        <w:rPr>
          <w:lang w:val="en-US"/>
        </w:rPr>
        <w:t xml:space="preserve"> </w:t>
      </w:r>
    </w:p>
    <w:p w14:paraId="000001B4" w14:textId="77777777" w:rsidR="00E05D2A" w:rsidRPr="00EF7014" w:rsidRDefault="00E05D2A">
      <w:pPr>
        <w:ind w:left="720" w:hanging="720"/>
        <w:rPr>
          <w:lang w:val="en-US"/>
        </w:rPr>
      </w:pPr>
    </w:p>
    <w:p w14:paraId="000001B5" w14:textId="77777777" w:rsidR="00E05D2A" w:rsidRPr="00EF7014" w:rsidRDefault="00E05D2A">
      <w:pPr>
        <w:ind w:left="720" w:hanging="720"/>
        <w:rPr>
          <w:lang w:val="en-US"/>
        </w:rPr>
      </w:pPr>
    </w:p>
    <w:p w14:paraId="000001B7" w14:textId="18997599" w:rsidR="00E05D2A" w:rsidRPr="00EF7014" w:rsidRDefault="00E05D2A">
      <w:pPr>
        <w:shd w:val="clear" w:color="auto" w:fill="FFFFFF"/>
        <w:jc w:val="right"/>
        <w:rPr>
          <w:i/>
          <w:sz w:val="20"/>
          <w:szCs w:val="20"/>
          <w:lang w:val="en-US"/>
        </w:rPr>
      </w:pPr>
    </w:p>
    <w:sectPr w:rsidR="00E05D2A" w:rsidRPr="00EF7014">
      <w:headerReference w:type="even" r:id="rId87"/>
      <w:headerReference w:type="default" r:id="rId88"/>
      <w:footerReference w:type="even" r:id="rId89"/>
      <w:footerReference w:type="default" r:id="rId90"/>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FC0B" w14:textId="77777777" w:rsidR="007F3B31" w:rsidRDefault="007F3B31">
      <w:r>
        <w:separator/>
      </w:r>
    </w:p>
  </w:endnote>
  <w:endnote w:type="continuationSeparator" w:id="0">
    <w:p w14:paraId="4E0EB4D6" w14:textId="77777777" w:rsidR="007F3B31" w:rsidRDefault="007F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66904FAE" w:rsidR="00E05D2A" w:rsidRDefault="007D47D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1BE"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B" w14:textId="0DBEAA1A" w:rsidR="00E05D2A" w:rsidRDefault="007D47D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EF7014">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1BC" w14:textId="77777777" w:rsidR="00E05D2A" w:rsidRDefault="00E05D2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F5E5" w14:textId="77777777" w:rsidR="007F3B31" w:rsidRDefault="007F3B31">
      <w:r>
        <w:separator/>
      </w:r>
    </w:p>
  </w:footnote>
  <w:footnote w:type="continuationSeparator" w:id="0">
    <w:p w14:paraId="5279DB68" w14:textId="77777777" w:rsidR="007F3B31" w:rsidRDefault="007F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A" w14:textId="77777777" w:rsidR="00E05D2A" w:rsidRDefault="007D47D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8" w14:textId="77777777" w:rsidR="00E05D2A" w:rsidRDefault="007D47DC">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59255B1C" wp14:editId="09252821">
          <wp:simplePos x="0" y="0"/>
          <wp:positionH relativeFrom="column">
            <wp:posOffset>64656</wp:posOffset>
          </wp:positionH>
          <wp:positionV relativeFrom="paragraph">
            <wp:posOffset>-253536</wp:posOffset>
          </wp:positionV>
          <wp:extent cx="681164" cy="628073"/>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1B9" w14:textId="77777777" w:rsidR="00E05D2A" w:rsidRDefault="007D47D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13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2A"/>
    <w:rsid w:val="000009B4"/>
    <w:rsid w:val="00010E66"/>
    <w:rsid w:val="00012C0C"/>
    <w:rsid w:val="00014C5D"/>
    <w:rsid w:val="00027C1F"/>
    <w:rsid w:val="000472BF"/>
    <w:rsid w:val="00072DB7"/>
    <w:rsid w:val="00073288"/>
    <w:rsid w:val="000A214E"/>
    <w:rsid w:val="000C20E8"/>
    <w:rsid w:val="000D2A29"/>
    <w:rsid w:val="000E49C5"/>
    <w:rsid w:val="00140C21"/>
    <w:rsid w:val="00144B2A"/>
    <w:rsid w:val="00152537"/>
    <w:rsid w:val="00154CEF"/>
    <w:rsid w:val="001619A2"/>
    <w:rsid w:val="001631D8"/>
    <w:rsid w:val="001751B9"/>
    <w:rsid w:val="00176F66"/>
    <w:rsid w:val="00186268"/>
    <w:rsid w:val="001C3268"/>
    <w:rsid w:val="001D0C98"/>
    <w:rsid w:val="001D6448"/>
    <w:rsid w:val="001E62B5"/>
    <w:rsid w:val="001E7B3F"/>
    <w:rsid w:val="001F47E3"/>
    <w:rsid w:val="001F590F"/>
    <w:rsid w:val="002040BA"/>
    <w:rsid w:val="0020612B"/>
    <w:rsid w:val="00212C9D"/>
    <w:rsid w:val="002151AD"/>
    <w:rsid w:val="002166FE"/>
    <w:rsid w:val="00216C5A"/>
    <w:rsid w:val="00245E26"/>
    <w:rsid w:val="00283D3B"/>
    <w:rsid w:val="00293449"/>
    <w:rsid w:val="00294934"/>
    <w:rsid w:val="002971C7"/>
    <w:rsid w:val="002A07B5"/>
    <w:rsid w:val="002A70B7"/>
    <w:rsid w:val="002B5F97"/>
    <w:rsid w:val="002C5FAA"/>
    <w:rsid w:val="002D2399"/>
    <w:rsid w:val="002D6510"/>
    <w:rsid w:val="002E3A45"/>
    <w:rsid w:val="002E4ED8"/>
    <w:rsid w:val="003075E7"/>
    <w:rsid w:val="00313131"/>
    <w:rsid w:val="00331C31"/>
    <w:rsid w:val="00344580"/>
    <w:rsid w:val="0039240F"/>
    <w:rsid w:val="0039301F"/>
    <w:rsid w:val="00395683"/>
    <w:rsid w:val="003C3F18"/>
    <w:rsid w:val="003D3098"/>
    <w:rsid w:val="003F2823"/>
    <w:rsid w:val="00432DBF"/>
    <w:rsid w:val="004647F4"/>
    <w:rsid w:val="00476390"/>
    <w:rsid w:val="005010E4"/>
    <w:rsid w:val="005117C4"/>
    <w:rsid w:val="005179FA"/>
    <w:rsid w:val="00524FD3"/>
    <w:rsid w:val="00531E68"/>
    <w:rsid w:val="00544072"/>
    <w:rsid w:val="0055088F"/>
    <w:rsid w:val="00572951"/>
    <w:rsid w:val="00572DC7"/>
    <w:rsid w:val="00580108"/>
    <w:rsid w:val="005821FE"/>
    <w:rsid w:val="005A207A"/>
    <w:rsid w:val="005A75C1"/>
    <w:rsid w:val="005C3A6B"/>
    <w:rsid w:val="005C7D80"/>
    <w:rsid w:val="005C7EC8"/>
    <w:rsid w:val="005E1301"/>
    <w:rsid w:val="005E4487"/>
    <w:rsid w:val="0061090C"/>
    <w:rsid w:val="00624C87"/>
    <w:rsid w:val="00624DE2"/>
    <w:rsid w:val="00633598"/>
    <w:rsid w:val="00634CC2"/>
    <w:rsid w:val="00641A3E"/>
    <w:rsid w:val="006446F3"/>
    <w:rsid w:val="00656A1D"/>
    <w:rsid w:val="00675253"/>
    <w:rsid w:val="006D1B59"/>
    <w:rsid w:val="006D5C19"/>
    <w:rsid w:val="006E175C"/>
    <w:rsid w:val="006F2DBC"/>
    <w:rsid w:val="006F4FAC"/>
    <w:rsid w:val="00702566"/>
    <w:rsid w:val="00705E79"/>
    <w:rsid w:val="00713D35"/>
    <w:rsid w:val="00720557"/>
    <w:rsid w:val="007275EA"/>
    <w:rsid w:val="0073723A"/>
    <w:rsid w:val="00745A2F"/>
    <w:rsid w:val="00751589"/>
    <w:rsid w:val="0075564E"/>
    <w:rsid w:val="00762730"/>
    <w:rsid w:val="00763D35"/>
    <w:rsid w:val="00786160"/>
    <w:rsid w:val="00796CF8"/>
    <w:rsid w:val="007C6658"/>
    <w:rsid w:val="007D3407"/>
    <w:rsid w:val="007D47DC"/>
    <w:rsid w:val="007E0556"/>
    <w:rsid w:val="007E4045"/>
    <w:rsid w:val="007E6E28"/>
    <w:rsid w:val="007E7FA3"/>
    <w:rsid w:val="007F15A5"/>
    <w:rsid w:val="007F3B31"/>
    <w:rsid w:val="008146EC"/>
    <w:rsid w:val="00824ECB"/>
    <w:rsid w:val="00852F59"/>
    <w:rsid w:val="00875CBF"/>
    <w:rsid w:val="00897D86"/>
    <w:rsid w:val="008C711D"/>
    <w:rsid w:val="008D1F28"/>
    <w:rsid w:val="008D7546"/>
    <w:rsid w:val="008E648A"/>
    <w:rsid w:val="00903BA2"/>
    <w:rsid w:val="00934FAB"/>
    <w:rsid w:val="009655F0"/>
    <w:rsid w:val="00966D44"/>
    <w:rsid w:val="00976092"/>
    <w:rsid w:val="00976665"/>
    <w:rsid w:val="00983A9B"/>
    <w:rsid w:val="009842C9"/>
    <w:rsid w:val="009A658F"/>
    <w:rsid w:val="009C0402"/>
    <w:rsid w:val="009D046C"/>
    <w:rsid w:val="009E0666"/>
    <w:rsid w:val="00A04D5D"/>
    <w:rsid w:val="00A12238"/>
    <w:rsid w:val="00A16108"/>
    <w:rsid w:val="00A236C4"/>
    <w:rsid w:val="00A32B3F"/>
    <w:rsid w:val="00A37C93"/>
    <w:rsid w:val="00A43236"/>
    <w:rsid w:val="00A600DE"/>
    <w:rsid w:val="00A6418F"/>
    <w:rsid w:val="00A74161"/>
    <w:rsid w:val="00AB04DF"/>
    <w:rsid w:val="00AC0FE0"/>
    <w:rsid w:val="00AF7A04"/>
    <w:rsid w:val="00B009ED"/>
    <w:rsid w:val="00B00D88"/>
    <w:rsid w:val="00B15A01"/>
    <w:rsid w:val="00B220EF"/>
    <w:rsid w:val="00B42464"/>
    <w:rsid w:val="00B523D9"/>
    <w:rsid w:val="00B76469"/>
    <w:rsid w:val="00B8075E"/>
    <w:rsid w:val="00B821D7"/>
    <w:rsid w:val="00BA7C71"/>
    <w:rsid w:val="00BA7D25"/>
    <w:rsid w:val="00BB1CA1"/>
    <w:rsid w:val="00BD339F"/>
    <w:rsid w:val="00C3204B"/>
    <w:rsid w:val="00C548FA"/>
    <w:rsid w:val="00C57BB8"/>
    <w:rsid w:val="00C643E1"/>
    <w:rsid w:val="00C64BB7"/>
    <w:rsid w:val="00C666D4"/>
    <w:rsid w:val="00C840D2"/>
    <w:rsid w:val="00CA146D"/>
    <w:rsid w:val="00CA6D0E"/>
    <w:rsid w:val="00CB0C02"/>
    <w:rsid w:val="00CC0874"/>
    <w:rsid w:val="00CE5930"/>
    <w:rsid w:val="00D164CA"/>
    <w:rsid w:val="00D20593"/>
    <w:rsid w:val="00D32863"/>
    <w:rsid w:val="00D33181"/>
    <w:rsid w:val="00D41515"/>
    <w:rsid w:val="00D44C9E"/>
    <w:rsid w:val="00D53607"/>
    <w:rsid w:val="00D546CF"/>
    <w:rsid w:val="00D65257"/>
    <w:rsid w:val="00D70140"/>
    <w:rsid w:val="00D72B45"/>
    <w:rsid w:val="00D92757"/>
    <w:rsid w:val="00D94221"/>
    <w:rsid w:val="00DA09C7"/>
    <w:rsid w:val="00DA1F1D"/>
    <w:rsid w:val="00DA3AD0"/>
    <w:rsid w:val="00DA556C"/>
    <w:rsid w:val="00DB364B"/>
    <w:rsid w:val="00DC23FD"/>
    <w:rsid w:val="00DC4C14"/>
    <w:rsid w:val="00DE5743"/>
    <w:rsid w:val="00DF3E09"/>
    <w:rsid w:val="00E01956"/>
    <w:rsid w:val="00E02A0D"/>
    <w:rsid w:val="00E050EB"/>
    <w:rsid w:val="00E05D2A"/>
    <w:rsid w:val="00E12819"/>
    <w:rsid w:val="00E12DAA"/>
    <w:rsid w:val="00E173D5"/>
    <w:rsid w:val="00E4030F"/>
    <w:rsid w:val="00E47317"/>
    <w:rsid w:val="00E554AA"/>
    <w:rsid w:val="00E558BC"/>
    <w:rsid w:val="00E70310"/>
    <w:rsid w:val="00EB0DC7"/>
    <w:rsid w:val="00EC290F"/>
    <w:rsid w:val="00EC2CD9"/>
    <w:rsid w:val="00ED7506"/>
    <w:rsid w:val="00EE0951"/>
    <w:rsid w:val="00EE2320"/>
    <w:rsid w:val="00EF288F"/>
    <w:rsid w:val="00EF7014"/>
    <w:rsid w:val="00F06997"/>
    <w:rsid w:val="00F161F0"/>
    <w:rsid w:val="00F1795F"/>
    <w:rsid w:val="00F410C7"/>
    <w:rsid w:val="00F538FB"/>
    <w:rsid w:val="00F64C4C"/>
    <w:rsid w:val="00F84519"/>
    <w:rsid w:val="00F873BD"/>
    <w:rsid w:val="00F96125"/>
    <w:rsid w:val="00F96420"/>
    <w:rsid w:val="00FA1988"/>
    <w:rsid w:val="00FB1066"/>
    <w:rsid w:val="00FB3355"/>
    <w:rsid w:val="00FB5EF8"/>
    <w:rsid w:val="00FC2E20"/>
    <w:rsid w:val="00FD457E"/>
    <w:rsid w:val="00FD79E3"/>
    <w:rsid w:val="00FF260A"/>
    <w:rsid w:val="00FF38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3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qFormat/>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E785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0A2954"/>
    <w:pPr>
      <w:spacing w:before="100" w:beforeAutospacing="1" w:line="360" w:lineRule="auto"/>
      <w:contextualSpacing/>
      <w:outlineLvl w:val="1"/>
    </w:pPr>
    <w:rPr>
      <w:b/>
      <w:i/>
      <w:lang w:val="en-US"/>
    </w:rPr>
  </w:style>
  <w:style w:type="paragraph" w:customStyle="1" w:styleId="TtuloResumen">
    <w:name w:val="Título Resumen"/>
    <w:basedOn w:val="Normal"/>
    <w:link w:val="TtuloResumenCar"/>
    <w:autoRedefine/>
    <w:qFormat/>
    <w:rsid w:val="008531D8"/>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2E785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000000"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E05496"/>
    <w:pPr>
      <w:spacing w:line="360" w:lineRule="auto"/>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E05496"/>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8531D8"/>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_tradnl" w:eastAsia="es-ES_tradnl"/>
    </w:rPr>
  </w:style>
  <w:style w:type="character" w:styleId="Refdecomentario">
    <w:name w:val="annotation reference"/>
    <w:basedOn w:val="Fuentedeprrafopredeter"/>
    <w:uiPriority w:val="99"/>
    <w:semiHidden/>
    <w:unhideWhenUsed/>
    <w:rPr>
      <w:sz w:val="16"/>
      <w:szCs w:val="16"/>
    </w:rPr>
  </w:style>
  <w:style w:type="character" w:styleId="Hipervnculovisitado">
    <w:name w:val="FollowedHyperlink"/>
    <w:basedOn w:val="Fuentedeprrafopredeter"/>
    <w:uiPriority w:val="99"/>
    <w:semiHidden/>
    <w:unhideWhenUsed/>
    <w:rsid w:val="003F1E57"/>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E24EA1"/>
    <w:rPr>
      <w:b/>
      <w:bCs/>
    </w:rPr>
  </w:style>
  <w:style w:type="character" w:customStyle="1" w:styleId="AsuntodelcomentarioCar">
    <w:name w:val="Asunto del comentario Car"/>
    <w:basedOn w:val="TextocomentarioCar"/>
    <w:link w:val="Asuntodelcomentario"/>
    <w:uiPriority w:val="99"/>
    <w:semiHidden/>
    <w:rsid w:val="00E24EA1"/>
    <w:rPr>
      <w:rFonts w:ascii="Times New Roman" w:eastAsia="Times New Roman" w:hAnsi="Times New Roman" w:cs="Times New Roman"/>
      <w:b/>
      <w:bCs/>
      <w:sz w:val="20"/>
      <w:szCs w:val="20"/>
      <w:lang w:val="es-CO"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CB0C02"/>
    <w:pPr>
      <w:ind w:left="720"/>
      <w:contextualSpacing/>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0806">
      <w:bodyDiv w:val="1"/>
      <w:marLeft w:val="0"/>
      <w:marRight w:val="0"/>
      <w:marTop w:val="0"/>
      <w:marBottom w:val="0"/>
      <w:divBdr>
        <w:top w:val="none" w:sz="0" w:space="0" w:color="auto"/>
        <w:left w:val="none" w:sz="0" w:space="0" w:color="auto"/>
        <w:bottom w:val="none" w:sz="0" w:space="0" w:color="auto"/>
        <w:right w:val="none" w:sz="0" w:space="0" w:color="auto"/>
      </w:divBdr>
    </w:div>
    <w:div w:id="1453130309">
      <w:bodyDiv w:val="1"/>
      <w:marLeft w:val="0"/>
      <w:marRight w:val="0"/>
      <w:marTop w:val="0"/>
      <w:marBottom w:val="0"/>
      <w:divBdr>
        <w:top w:val="none" w:sz="0" w:space="0" w:color="auto"/>
        <w:left w:val="none" w:sz="0" w:space="0" w:color="auto"/>
        <w:bottom w:val="none" w:sz="0" w:space="0" w:color="auto"/>
        <w:right w:val="none" w:sz="0" w:space="0" w:color="auto"/>
      </w:divBdr>
    </w:div>
    <w:div w:id="174799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eproc.2015.09.008" TargetMode="External"/><Relationship Id="rId21" Type="http://schemas.openxmlformats.org/officeDocument/2006/relationships/hyperlink" Target="https://doi.org/10.3758/BF03196896" TargetMode="External"/><Relationship Id="rId42" Type="http://schemas.openxmlformats.org/officeDocument/2006/relationships/hyperlink" Target="https://doi.org/10.1177/002224298905300201" TargetMode="External"/><Relationship Id="rId47" Type="http://schemas.openxmlformats.org/officeDocument/2006/relationships/hyperlink" Target="https://doi.org/10.1037/a0021384" TargetMode="External"/><Relationship Id="rId63" Type="http://schemas.openxmlformats.org/officeDocument/2006/relationships/hyperlink" Target="https://doi.org/10.5214/ans.0972-7531.1017309" TargetMode="External"/><Relationship Id="rId68" Type="http://schemas.openxmlformats.org/officeDocument/2006/relationships/hyperlink" Target="https://doi.org/10.1016/j.appet.2018.09.015" TargetMode="External"/><Relationship Id="rId84" Type="http://schemas.openxmlformats.org/officeDocument/2006/relationships/hyperlink" Target="https://doi.org/10.1086/322898" TargetMode="External"/><Relationship Id="rId89" Type="http://schemas.openxmlformats.org/officeDocument/2006/relationships/footer" Target="footer1.xml"/><Relationship Id="rId16" Type="http://schemas.openxmlformats.org/officeDocument/2006/relationships/chart" Target="charts/chart2.xml"/><Relationship Id="rId11" Type="http://schemas.openxmlformats.org/officeDocument/2006/relationships/image" Target="media/image4.png"/><Relationship Id="rId32" Type="http://schemas.openxmlformats.org/officeDocument/2006/relationships/hyperlink" Target="https://doi.org/10.1016/0023-9690(79)90057-2" TargetMode="External"/><Relationship Id="rId37" Type="http://schemas.openxmlformats.org/officeDocument/2006/relationships/hyperlink" Target="https://doi.org/10.3758/BF03200771" TargetMode="External"/><Relationship Id="rId53" Type="http://schemas.openxmlformats.org/officeDocument/2006/relationships/hyperlink" Target="https://doi.org/10.1016/j.lmot.2010.10.001" TargetMode="External"/><Relationship Id="rId58" Type="http://schemas.openxmlformats.org/officeDocument/2006/relationships/hyperlink" Target="https://doi.org/10.1006/lmot.2001.1112" TargetMode="External"/><Relationship Id="rId74" Type="http://schemas.openxmlformats.org/officeDocument/2006/relationships/hyperlink" Target="https://doi.org/10.1002/(SICI)1520-6793(200003)17:3%3c257::AID-MAR4%3e3.0.CO;2-P" TargetMode="External"/><Relationship Id="rId79" Type="http://schemas.openxmlformats.org/officeDocument/2006/relationships/hyperlink" Target="https://www.jamovi.org" TargetMode="External"/><Relationship Id="rId5" Type="http://schemas.openxmlformats.org/officeDocument/2006/relationships/footnotes" Target="footnotes.xml"/><Relationship Id="rId90" Type="http://schemas.openxmlformats.org/officeDocument/2006/relationships/footer" Target="footer2.xml"/><Relationship Id="rId14" Type="http://schemas.openxmlformats.org/officeDocument/2006/relationships/hyperlink" Target="https://es.m.wikipedia.org/wiki/Archivo:Casa_santiveri_tienda.jpg" TargetMode="External"/><Relationship Id="rId22" Type="http://schemas.openxmlformats.org/officeDocument/2006/relationships/hyperlink" Target="https://doi.org/10.1016/j.beproc.2015.12.008" TargetMode="External"/><Relationship Id="rId27" Type="http://schemas.openxmlformats.org/officeDocument/2006/relationships/hyperlink" Target="https://doi.org/10.1086/208518" TargetMode="External"/><Relationship Id="rId30" Type="http://schemas.openxmlformats.org/officeDocument/2006/relationships/hyperlink" Target="https://doi.org/10.1037/10223-019" TargetMode="External"/><Relationship Id="rId35" Type="http://schemas.openxmlformats.org/officeDocument/2006/relationships/hyperlink" Target="https://doi.org/10.1037/a0018527" TargetMode="External"/><Relationship Id="rId43" Type="http://schemas.openxmlformats.org/officeDocument/2006/relationships/hyperlink" Target="https://doi.org/10.1086/209342" TargetMode="External"/><Relationship Id="rId48" Type="http://schemas.openxmlformats.org/officeDocument/2006/relationships/hyperlink" Target="https://doi.org/10.1037/bul0000064" TargetMode="External"/><Relationship Id="rId56" Type="http://schemas.openxmlformats.org/officeDocument/2006/relationships/hyperlink" Target="https://doi.org/10.1037/h0076778" TargetMode="External"/><Relationship Id="rId64" Type="http://schemas.openxmlformats.org/officeDocument/2006/relationships/hyperlink" Target="https://doi.org/10.1037/0033-295X.101.4.587" TargetMode="External"/><Relationship Id="rId69" Type="http://schemas.openxmlformats.org/officeDocument/2006/relationships/hyperlink" Target="https://doi.org/10.1037/0003-066X.43.3.151" TargetMode="External"/><Relationship Id="rId77" Type="http://schemas.openxmlformats.org/officeDocument/2006/relationships/hyperlink" Target="https://doi.org/10.1007/s11002-020-09529-5" TargetMode="External"/><Relationship Id="rId8" Type="http://schemas.openxmlformats.org/officeDocument/2006/relationships/hyperlink" Target="https://orcid.org/0000-0001-9590-5221" TargetMode="External"/><Relationship Id="rId51" Type="http://schemas.openxmlformats.org/officeDocument/2006/relationships/hyperlink" Target="https://www.redalyc.org/articulo.oa?id=16912881003" TargetMode="External"/><Relationship Id="rId72" Type="http://schemas.openxmlformats.org/officeDocument/2006/relationships/hyperlink" Target="https://doi.org/10.1037/0278-7393.32.3.461" TargetMode="External"/><Relationship Id="rId80" Type="http://schemas.openxmlformats.org/officeDocument/2006/relationships/hyperlink" Target="https://doi.org/10.1016/S0148-2963(99)00010-7" TargetMode="External"/><Relationship Id="rId85" Type="http://schemas.openxmlformats.org/officeDocument/2006/relationships/hyperlink" Target="https://doi.org/10.1162/jocn.2007.19.5.843"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80%2F17470210701855561" TargetMode="External"/><Relationship Id="rId25" Type="http://schemas.openxmlformats.org/officeDocument/2006/relationships/hyperlink" Target="https://doi.org/10.1177/002224378001700308" TargetMode="External"/><Relationship Id="rId33" Type="http://schemas.openxmlformats.org/officeDocument/2006/relationships/hyperlink" Target="https://doi.org/10.1080/713932752" TargetMode="External"/><Relationship Id="rId38" Type="http://schemas.openxmlformats.org/officeDocument/2006/relationships/hyperlink" Target="https://doi.org/10.1037/0096-3445.124.3.293" TargetMode="External"/><Relationship Id="rId46" Type="http://schemas.openxmlformats.org/officeDocument/2006/relationships/hyperlink" Target="https://doi.org/10.1037/0033-295X.115.3.640" TargetMode="External"/><Relationship Id="rId59" Type="http://schemas.openxmlformats.org/officeDocument/2006/relationships/hyperlink" Target="https://doi.org/10.3758/LB.37.1.95" TargetMode="External"/><Relationship Id="rId67" Type="http://schemas.openxmlformats.org/officeDocument/2006/relationships/hyperlink" Target="https://doi.org/10.3758/s13423-020-01770-3" TargetMode="External"/><Relationship Id="rId20" Type="http://schemas.openxmlformats.org/officeDocument/2006/relationships/hyperlink" Target="https://doi.org/10.1037/0033-2909.112.3.396" TargetMode="External"/><Relationship Id="rId41" Type="http://schemas.openxmlformats.org/officeDocument/2006/relationships/hyperlink" Target="https://doi.org/10.3389/fpsyg.2017.00511" TargetMode="External"/><Relationship Id="rId54" Type="http://schemas.openxmlformats.org/officeDocument/2006/relationships/hyperlink" Target="https://doi.org/10.3758/s13420-013-0104-z" TargetMode="External"/><Relationship Id="rId62" Type="http://schemas.openxmlformats.org/officeDocument/2006/relationships/hyperlink" Target="https://doi.org/10.1016/j.beproc.2019.103984" TargetMode="External"/><Relationship Id="rId70" Type="http://schemas.openxmlformats.org/officeDocument/2006/relationships/hyperlink" Target="https://doi.org/10.1037/0033-2909.96.1.152" TargetMode="External"/><Relationship Id="rId75" Type="http://schemas.openxmlformats.org/officeDocument/2006/relationships/hyperlink" Target="https://doi.org/10.1093/acprof:oso/9780195310443.001.0001" TargetMode="External"/><Relationship Id="rId83" Type="http://schemas.openxmlformats.org/officeDocument/2006/relationships/hyperlink" Target="https://doi.org/10.1037/0278-7393.30.3.626" TargetMode="External"/><Relationship Id="rId88" Type="http://schemas.openxmlformats.org/officeDocument/2006/relationships/header" Target="header2.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s://doi.org/10.1016/j.beproc.2017.10.001" TargetMode="External"/><Relationship Id="rId28" Type="http://schemas.openxmlformats.org/officeDocument/2006/relationships/hyperlink" Target="https://doi.org/10.1037/0033-2909.114.1.80" TargetMode="External"/><Relationship Id="rId36" Type="http://schemas.openxmlformats.org/officeDocument/2006/relationships/hyperlink" Target="https://doi.org/10.1016/S0079-7421(08)60513-7" TargetMode="External"/><Relationship Id="rId49" Type="http://schemas.openxmlformats.org/officeDocument/2006/relationships/hyperlink" Target="https://doi.org/10.1037/a0031230" TargetMode="External"/><Relationship Id="rId57" Type="http://schemas.openxmlformats.org/officeDocument/2006/relationships/hyperlink" Target="https://www.redalyc.org/articulo.oa?id=16923102011" TargetMode="External"/><Relationship Id="rId10" Type="http://schemas.openxmlformats.org/officeDocument/2006/relationships/hyperlink" Target="mailto:lilianay.rodriguezg@konradlorenz.edu.co" TargetMode="External"/><Relationship Id="rId31" Type="http://schemas.openxmlformats.org/officeDocument/2006/relationships/hyperlink" Target="https://doi.org/10.1037/0033-2909.125.2.171" TargetMode="External"/><Relationship Id="rId44" Type="http://schemas.openxmlformats.org/officeDocument/2006/relationships/hyperlink" Target="https://doi.org/10.3758/BF03196353" TargetMode="External"/><Relationship Id="rId52" Type="http://schemas.openxmlformats.org/officeDocument/2006/relationships/hyperlink" Target="https://doi.org/10.1027/1618-3169/a000006" TargetMode="External"/><Relationship Id="rId60" Type="http://schemas.openxmlformats.org/officeDocument/2006/relationships/hyperlink" Target="https://doi.org/10.1037/a0030759" TargetMode="External"/><Relationship Id="rId65" Type="http://schemas.openxmlformats.org/officeDocument/2006/relationships/hyperlink" Target="https://doi.org/10.3758/BF03192911" TargetMode="External"/><Relationship Id="rId73" Type="http://schemas.openxmlformats.org/officeDocument/2006/relationships/hyperlink" Target="https://doi.org/10.1080/17470210600971519" TargetMode="External"/><Relationship Id="rId78" Type="http://schemas.openxmlformats.org/officeDocument/2006/relationships/hyperlink" Target="https://doi.org/10.1002/9781118901731.iecrm0085" TargetMode="External"/><Relationship Id="rId81" Type="http://schemas.openxmlformats.org/officeDocument/2006/relationships/hyperlink" Target="https://doi.org/10.3758/s13420-017-0277-y" TargetMode="External"/><Relationship Id="rId86" Type="http://schemas.openxmlformats.org/officeDocument/2006/relationships/hyperlink" Target="https://doi.org/10.1016/j.jbusres.2014.04.017" TargetMode="External"/><Relationship Id="rId4" Type="http://schemas.openxmlformats.org/officeDocument/2006/relationships/webSettings" Target="webSettings.xml"/><Relationship Id="rId9" Type="http://schemas.openxmlformats.org/officeDocument/2006/relationships/hyperlink" Target="https://orcid.org/0000-0003-0275-3578" TargetMode="External"/><Relationship Id="rId13" Type="http://schemas.openxmlformats.org/officeDocument/2006/relationships/image" Target="media/image2.png"/><Relationship Id="rId18" Type="http://schemas.openxmlformats.org/officeDocument/2006/relationships/hyperlink" Target="https://www.redalyc.org/pdf/799/79929186001.pdf" TargetMode="External"/><Relationship Id="rId39" Type="http://schemas.openxmlformats.org/officeDocument/2006/relationships/hyperlink" Target="https://doi.org/10.3758/BF03193146" TargetMode="External"/><Relationship Id="rId34" Type="http://schemas.openxmlformats.org/officeDocument/2006/relationships/hyperlink" Target="https://doi.org/10.1037/xan0000214" TargetMode="External"/><Relationship Id="rId50" Type="http://schemas.openxmlformats.org/officeDocument/2006/relationships/hyperlink" Target="https://www.redalyc.org/articulo.oa?id=271020194008" TargetMode="External"/><Relationship Id="rId55" Type="http://schemas.openxmlformats.org/officeDocument/2006/relationships/hyperlink" Target="https://doi.org/10.3758/s13420-014-0143-0" TargetMode="External"/><Relationship Id="rId76" Type="http://schemas.openxmlformats.org/officeDocument/2006/relationships/hyperlink" Target="https://www.redalyc.org/articulo.oa?id=28446020002" TargetMode="External"/><Relationship Id="rId7" Type="http://schemas.openxmlformats.org/officeDocument/2006/relationships/hyperlink" Target="https://orcid.org/0000-0002-2770-3078" TargetMode="External"/><Relationship Id="rId71" Type="http://schemas.openxmlformats.org/officeDocument/2006/relationships/hyperlink" Target="https://www.redalyc.org/articulo.oa?id=560/56060203"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doi.org/10.1037/0097-7403.20.3.219" TargetMode="External"/><Relationship Id="rId24" Type="http://schemas.openxmlformats.org/officeDocument/2006/relationships/hyperlink" Target="https://doi.org/10.1037/xan0000273" TargetMode="External"/><Relationship Id="rId40" Type="http://schemas.openxmlformats.org/officeDocument/2006/relationships/hyperlink" Target="https://doi.org/10.1016/j.physbeh.2018.04.030" TargetMode="External"/><Relationship Id="rId45" Type="http://schemas.openxmlformats.org/officeDocument/2006/relationships/hyperlink" Target="https://doi.org/10.1016/j.foodqual.2004.04.010" TargetMode="External"/><Relationship Id="rId66" Type="http://schemas.openxmlformats.org/officeDocument/2006/relationships/hyperlink" Target="https://doi.org/10.1037/0033-295X.87.6.532" TargetMode="External"/><Relationship Id="rId87" Type="http://schemas.openxmlformats.org/officeDocument/2006/relationships/header" Target="header1.xml"/><Relationship Id="rId61" Type="http://schemas.openxmlformats.org/officeDocument/2006/relationships/hyperlink" Target="https://doi.org/10.1108/09596111011063106" TargetMode="External"/><Relationship Id="rId82" Type="http://schemas.openxmlformats.org/officeDocument/2006/relationships/hyperlink" Target="https://doi.org/10.4324/9780203809570" TargetMode="External"/><Relationship Id="rId19" Type="http://schemas.openxmlformats.org/officeDocument/2006/relationships/hyperlink" Target="https://doi.org/10.1037/h00431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TESIS\TESIS_FINAL_LILIANA_2021\ART&#205;CULO_2\Revista%20Interamericana%20de%20Psicolog&#237;a%20-%20RIP_IJP\Figuras_Juicio%20Predictiv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'Jamovi_Juicio predictivo'!$AO$42</c:f>
              <c:strCache>
                <c:ptCount val="1"/>
                <c:pt idx="0">
                  <c:v>X</c:v>
                </c:pt>
              </c:strCache>
            </c:strRef>
          </c:tx>
          <c:spPr>
            <a:ln w="12700" cap="rnd">
              <a:solidFill>
                <a:schemeClr val="tx1"/>
              </a:solidFill>
              <a:round/>
            </a:ln>
            <a:effectLst/>
          </c:spPr>
          <c:marker>
            <c:symbol val="diamond"/>
            <c:size val="6"/>
            <c:spPr>
              <a:solidFill>
                <a:schemeClr val="tx1"/>
              </a:solidFill>
              <a:ln w="9525">
                <a:solidFill>
                  <a:schemeClr val="tx1"/>
                </a:solidFill>
                <a:round/>
              </a:ln>
              <a:effectLst/>
            </c:spPr>
          </c:marker>
          <c:errBars>
            <c:errDir val="y"/>
            <c:errBarType val="both"/>
            <c:errValType val="cust"/>
            <c:noEndCap val="0"/>
            <c:pl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plus>
            <c:minus>
              <c:numRef>
                <c:f>'Jamovi_Juicio predictivo'!$AZ$57:$BK$57</c:f>
                <c:numCache>
                  <c:formatCode>General</c:formatCode>
                  <c:ptCount val="12"/>
                  <c:pt idx="0">
                    <c:v>2.9816923934478838</c:v>
                  </c:pt>
                  <c:pt idx="1">
                    <c:v>2.7526406980070877</c:v>
                  </c:pt>
                  <c:pt idx="2">
                    <c:v>3.5067913683233343</c:v>
                  </c:pt>
                  <c:pt idx="3">
                    <c:v>3.3473694078755507</c:v>
                  </c:pt>
                  <c:pt idx="4">
                    <c:v>3.343182727327255</c:v>
                  </c:pt>
                  <c:pt idx="5">
                    <c:v>3.0570145788422511</c:v>
                  </c:pt>
                  <c:pt idx="6">
                    <c:v>3.2749590546128102</c:v>
                  </c:pt>
                  <c:pt idx="7">
                    <c:v>2.6439609575694303</c:v>
                  </c:pt>
                  <c:pt idx="8">
                    <c:v>2.9738534241522396</c:v>
                  </c:pt>
                  <c:pt idx="9">
                    <c:v>3.0305016486983942</c:v>
                  </c:pt>
                  <c:pt idx="10">
                    <c:v>3.3608706482009749</c:v>
                  </c:pt>
                  <c:pt idx="11">
                    <c:v>3.0391821242773767</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predictivo'!$AP$42:$BA$42</c:f>
              <c:numCache>
                <c:formatCode>0</c:formatCode>
                <c:ptCount val="12"/>
                <c:pt idx="0">
                  <c:v>61.238095238095241</c:v>
                </c:pt>
                <c:pt idx="1">
                  <c:v>66.666666666666671</c:v>
                </c:pt>
                <c:pt idx="2">
                  <c:v>63.571428571428569</c:v>
                </c:pt>
                <c:pt idx="3">
                  <c:v>60.619047619047613</c:v>
                </c:pt>
                <c:pt idx="4">
                  <c:v>57.047619047619051</c:v>
                </c:pt>
                <c:pt idx="5">
                  <c:v>60.523809523809526</c:v>
                </c:pt>
                <c:pt idx="6">
                  <c:v>61.809523809523803</c:v>
                </c:pt>
                <c:pt idx="7">
                  <c:v>60.142857142857132</c:v>
                </c:pt>
                <c:pt idx="8">
                  <c:v>64.095238095238102</c:v>
                </c:pt>
                <c:pt idx="9">
                  <c:v>62.333333333333357</c:v>
                </c:pt>
                <c:pt idx="10">
                  <c:v>61.619047619047628</c:v>
                </c:pt>
                <c:pt idx="11">
                  <c:v>63.619047619047613</c:v>
                </c:pt>
              </c:numCache>
            </c:numRef>
          </c:val>
          <c:smooth val="0"/>
          <c:extLst>
            <c:ext xmlns:c16="http://schemas.microsoft.com/office/drawing/2014/chart" uri="{C3380CC4-5D6E-409C-BE32-E72D297353CC}">
              <c16:uniqueId val="{00000000-158D-4178-8186-BFE3854175E4}"/>
            </c:ext>
          </c:extLst>
        </c:ser>
        <c:ser>
          <c:idx val="1"/>
          <c:order val="1"/>
          <c:tx>
            <c:strRef>
              <c:f>'Jamovi_Juicio predictivo'!$AO$43</c:f>
              <c:strCache>
                <c:ptCount val="1"/>
                <c:pt idx="0">
                  <c:v>Y</c:v>
                </c:pt>
              </c:strCache>
            </c:strRef>
          </c:tx>
          <c:spPr>
            <a:ln w="12700" cap="rnd">
              <a:solidFill>
                <a:schemeClr val="tx1"/>
              </a:solidFill>
              <a:round/>
            </a:ln>
            <a:effectLst/>
          </c:spPr>
          <c:marker>
            <c:symbol val="square"/>
            <c:size val="6"/>
            <c:spPr>
              <a:solidFill>
                <a:schemeClr val="dk1">
                  <a:tint val="55000"/>
                </a:schemeClr>
              </a:solidFill>
              <a:ln w="9525">
                <a:solidFill>
                  <a:schemeClr val="tx1"/>
                </a:solidFill>
                <a:round/>
              </a:ln>
              <a:effectLst/>
            </c:spPr>
          </c:marker>
          <c:errBars>
            <c:errDir val="y"/>
            <c:errBarType val="both"/>
            <c:errValType val="cust"/>
            <c:noEndCap val="0"/>
            <c:pl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plus>
            <c:minus>
              <c:numRef>
                <c:f>'Jamovi_Juicio predictivo'!$AZ$58:$BK$58</c:f>
                <c:numCache>
                  <c:formatCode>General</c:formatCode>
                  <c:ptCount val="12"/>
                  <c:pt idx="0">
                    <c:v>3.2341589190337321</c:v>
                  </c:pt>
                  <c:pt idx="1">
                    <c:v>4.9517479664426842</c:v>
                  </c:pt>
                  <c:pt idx="2">
                    <c:v>4.2593023680721558</c:v>
                  </c:pt>
                  <c:pt idx="3">
                    <c:v>4.6508334845315993</c:v>
                  </c:pt>
                  <c:pt idx="4">
                    <c:v>4.7624229409941705</c:v>
                  </c:pt>
                  <c:pt idx="5">
                    <c:v>4.9753292916775109</c:v>
                  </c:pt>
                  <c:pt idx="6">
                    <c:v>5.1119519580223409</c:v>
                  </c:pt>
                  <c:pt idx="7">
                    <c:v>5.1112473956927573</c:v>
                  </c:pt>
                  <c:pt idx="8">
                    <c:v>4.6080466184116435</c:v>
                  </c:pt>
                  <c:pt idx="9">
                    <c:v>4.8566485166136504</c:v>
                  </c:pt>
                  <c:pt idx="10">
                    <c:v>4.6802950830931511</c:v>
                  </c:pt>
                  <c:pt idx="11">
                    <c:v>5.1951126723365011</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predictivo'!$AP$43:$BA$43</c:f>
              <c:numCache>
                <c:formatCode>0</c:formatCode>
                <c:ptCount val="12"/>
                <c:pt idx="0">
                  <c:v>65.285714285714292</c:v>
                </c:pt>
                <c:pt idx="1">
                  <c:v>61.428571428571431</c:v>
                </c:pt>
                <c:pt idx="2">
                  <c:v>56.571428571428569</c:v>
                </c:pt>
                <c:pt idx="3">
                  <c:v>51</c:v>
                </c:pt>
                <c:pt idx="4">
                  <c:v>51</c:v>
                </c:pt>
                <c:pt idx="5">
                  <c:v>55.714285714285715</c:v>
                </c:pt>
                <c:pt idx="6">
                  <c:v>53.285714285714285</c:v>
                </c:pt>
                <c:pt idx="7">
                  <c:v>56.571428571428569</c:v>
                </c:pt>
                <c:pt idx="8">
                  <c:v>52.428571428571431</c:v>
                </c:pt>
                <c:pt idx="9">
                  <c:v>55.428571428571431</c:v>
                </c:pt>
                <c:pt idx="10">
                  <c:v>51.285714285714285</c:v>
                </c:pt>
                <c:pt idx="11">
                  <c:v>53.714285714285715</c:v>
                </c:pt>
              </c:numCache>
            </c:numRef>
          </c:val>
          <c:smooth val="0"/>
          <c:extLst>
            <c:ext xmlns:c16="http://schemas.microsoft.com/office/drawing/2014/chart" uri="{C3380CC4-5D6E-409C-BE32-E72D297353CC}">
              <c16:uniqueId val="{00000001-158D-4178-8186-BFE3854175E4}"/>
            </c:ext>
          </c:extLst>
        </c:ser>
        <c:ser>
          <c:idx val="2"/>
          <c:order val="2"/>
          <c:tx>
            <c:strRef>
              <c:f>'Jamovi_Juicio predictivo'!$AO$44</c:f>
              <c:strCache>
                <c:ptCount val="1"/>
                <c:pt idx="0">
                  <c:v>Z</c:v>
                </c:pt>
              </c:strCache>
            </c:strRef>
          </c:tx>
          <c:spPr>
            <a:ln w="12700" cap="rnd">
              <a:solidFill>
                <a:schemeClr val="tx1"/>
              </a:solidFill>
              <a:round/>
            </a:ln>
            <a:effectLst/>
          </c:spPr>
          <c:marker>
            <c:symbol val="triangle"/>
            <c:size val="6"/>
            <c:spPr>
              <a:solidFill>
                <a:schemeClr val="bg1"/>
              </a:solidFill>
              <a:ln w="9525">
                <a:solidFill>
                  <a:schemeClr val="tx1"/>
                </a:solidFill>
                <a:round/>
              </a:ln>
              <a:effectLst/>
            </c:spPr>
          </c:marker>
          <c:errBars>
            <c:errDir val="y"/>
            <c:errBarType val="both"/>
            <c:errValType val="cust"/>
            <c:noEndCap val="0"/>
            <c:pl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plus>
            <c:minus>
              <c:numRef>
                <c:f>'Jamovi_Juicio predictivo'!$AZ$59:$BK$59</c:f>
                <c:numCache>
                  <c:formatCode>General</c:formatCode>
                  <c:ptCount val="12"/>
                  <c:pt idx="0">
                    <c:v>3.9469775084969814</c:v>
                  </c:pt>
                  <c:pt idx="1">
                    <c:v>3.7370022845095745</c:v>
                  </c:pt>
                  <c:pt idx="2">
                    <c:v>3.3019329345766208</c:v>
                  </c:pt>
                  <c:pt idx="3">
                    <c:v>3.7257418671969749</c:v>
                  </c:pt>
                  <c:pt idx="4">
                    <c:v>3.5861879897349334</c:v>
                  </c:pt>
                  <c:pt idx="5">
                    <c:v>3.6515385104634128</c:v>
                  </c:pt>
                  <c:pt idx="6">
                    <c:v>3.5312020269452224</c:v>
                  </c:pt>
                  <c:pt idx="7">
                    <c:v>3.7584638378156665</c:v>
                  </c:pt>
                  <c:pt idx="8">
                    <c:v>4.161072675443692</c:v>
                  </c:pt>
                  <c:pt idx="9">
                    <c:v>3.9127642261649029</c:v>
                  </c:pt>
                  <c:pt idx="10">
                    <c:v>3.8858255050815629</c:v>
                  </c:pt>
                  <c:pt idx="11">
                    <c:v>4.0764012092441888</c:v>
                  </c:pt>
                </c:numCache>
              </c:numRef>
            </c:minus>
            <c:spPr>
              <a:noFill/>
              <a:ln w="9525">
                <a:solidFill>
                  <a:schemeClr val="tx1"/>
                </a:solidFill>
                <a:round/>
              </a:ln>
              <a:effectLst/>
            </c:spPr>
          </c:errBars>
          <c:cat>
            <c:numRef>
              <c:f>'Jamovi_Juicio predictivo'!$AP$41:$BA$41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'Jamovi_Juicio predictivo'!$AP$44:$BA$44</c:f>
              <c:numCache>
                <c:formatCode>0</c:formatCode>
                <c:ptCount val="12"/>
                <c:pt idx="0">
                  <c:v>53.428571428571431</c:v>
                </c:pt>
                <c:pt idx="1">
                  <c:v>57.571428571428569</c:v>
                </c:pt>
                <c:pt idx="2">
                  <c:v>59.857142857142854</c:v>
                </c:pt>
                <c:pt idx="3">
                  <c:v>52.428571428571431</c:v>
                </c:pt>
                <c:pt idx="4">
                  <c:v>61.857142857142854</c:v>
                </c:pt>
                <c:pt idx="5">
                  <c:v>56.285714285714285</c:v>
                </c:pt>
                <c:pt idx="6">
                  <c:v>58.428571428571431</c:v>
                </c:pt>
                <c:pt idx="7">
                  <c:v>58</c:v>
                </c:pt>
                <c:pt idx="8">
                  <c:v>58.857142857142854</c:v>
                </c:pt>
                <c:pt idx="9">
                  <c:v>57.428571428571431</c:v>
                </c:pt>
                <c:pt idx="10">
                  <c:v>55.428571428571431</c:v>
                </c:pt>
                <c:pt idx="11">
                  <c:v>55.857142857142854</c:v>
                </c:pt>
              </c:numCache>
            </c:numRef>
          </c:val>
          <c:smooth val="0"/>
          <c:extLst>
            <c:ext xmlns:c16="http://schemas.microsoft.com/office/drawing/2014/chart" uri="{C3380CC4-5D6E-409C-BE32-E72D297353CC}">
              <c16:uniqueId val="{00000002-158D-4178-8186-BFE3854175E4}"/>
            </c:ext>
          </c:extLst>
        </c:ser>
        <c:dLbls>
          <c:showLegendKey val="0"/>
          <c:showVal val="0"/>
          <c:showCatName val="0"/>
          <c:showSerName val="0"/>
          <c:showPercent val="0"/>
          <c:showBubbleSize val="0"/>
        </c:dLbls>
        <c:marker val="1"/>
        <c:smooth val="0"/>
        <c:axId val="555815144"/>
        <c:axId val="555818752"/>
      </c:lineChart>
      <c:catAx>
        <c:axId val="555815144"/>
        <c:scaling>
          <c:orientation val="minMax"/>
        </c:scaling>
        <c:delete val="0"/>
        <c:axPos val="b"/>
        <c:title>
          <c:tx>
            <c:rich>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Ensayo</a:t>
                </a:r>
              </a:p>
            </c:rich>
          </c:tx>
          <c:overlay val="0"/>
          <c:spPr>
            <a:noFill/>
            <a:ln>
              <a:noFill/>
            </a:ln>
            <a:effectLst/>
          </c:spPr>
          <c:txPr>
            <a:bodyPr rot="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555818752"/>
        <c:crosses val="autoZero"/>
        <c:auto val="1"/>
        <c:lblAlgn val="ctr"/>
        <c:lblOffset val="100"/>
        <c:noMultiLvlLbl val="0"/>
      </c:catAx>
      <c:valAx>
        <c:axId val="555818752"/>
        <c:scaling>
          <c:orientation val="minMax"/>
          <c:max val="100"/>
        </c:scaling>
        <c:delete val="0"/>
        <c:axPos val="l"/>
        <c:title>
          <c:tx>
            <c:rich>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s-CO" b="1" cap="none"/>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555815144"/>
        <c:crosses val="autoZero"/>
        <c:crossBetween val="between"/>
        <c:majorUnit val="10"/>
      </c:valAx>
      <c:spPr>
        <a:noFill/>
        <a:ln>
          <a:noFill/>
        </a:ln>
        <a:effectLst/>
      </c:spPr>
    </c:plotArea>
    <c:legend>
      <c:legendPos val="t"/>
      <c:layout>
        <c:manualLayout>
          <c:xMode val="edge"/>
          <c:yMode val="edge"/>
          <c:x val="0.39167091186958741"/>
          <c:y val="8.7562189054726375E-2"/>
          <c:w val="0.2828833418237392"/>
          <c:h val="6.75190974262545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'Jamovi_Juicio predictivo'!$DB$41</c:f>
              <c:strCache>
                <c:ptCount val="1"/>
                <c:pt idx="0">
                  <c:v>Contexto de aprendizaje</c:v>
                </c:pt>
              </c:strCache>
            </c:strRef>
          </c:tx>
          <c:spPr>
            <a:solidFill>
              <a:schemeClr val="tx1"/>
            </a:solidFill>
            <a:ln>
              <a:solidFill>
                <a:schemeClr val="tx1"/>
              </a:solidFill>
            </a:ln>
            <a:effectLst/>
          </c:spPr>
          <c:invertIfNegative val="0"/>
          <c:errBars>
            <c:errBarType val="both"/>
            <c:errValType val="cust"/>
            <c:noEndCap val="0"/>
            <c:plus>
              <c:numRef>
                <c:f>'Jamovi_Juicio predictivo'!$DB$52:$DB$54</c:f>
                <c:numCache>
                  <c:formatCode>General</c:formatCode>
                  <c:ptCount val="3"/>
                  <c:pt idx="0">
                    <c:v>3.9150646345158817</c:v>
                  </c:pt>
                  <c:pt idx="1">
                    <c:v>5.1346807085145372</c:v>
                  </c:pt>
                  <c:pt idx="2">
                    <c:v>3.9762198291407205</c:v>
                  </c:pt>
                </c:numCache>
              </c:numRef>
            </c:plus>
            <c:minus>
              <c:numRef>
                <c:f>'Jamovi_Juicio predictivo'!$DB$52:$DB$54</c:f>
                <c:numCache>
                  <c:formatCode>General</c:formatCode>
                  <c:ptCount val="3"/>
                  <c:pt idx="0">
                    <c:v>3.9150646345158817</c:v>
                  </c:pt>
                  <c:pt idx="1">
                    <c:v>5.1346807085145372</c:v>
                  </c:pt>
                  <c:pt idx="2">
                    <c:v>3.9762198291407205</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predictivo'!$DB$42:$DB$44</c:f>
              <c:numCache>
                <c:formatCode>0</c:formatCode>
                <c:ptCount val="3"/>
                <c:pt idx="0">
                  <c:v>64</c:v>
                </c:pt>
                <c:pt idx="1">
                  <c:v>49.142857142857146</c:v>
                </c:pt>
                <c:pt idx="2">
                  <c:v>62.142857142857146</c:v>
                </c:pt>
              </c:numCache>
            </c:numRef>
          </c:val>
          <c:extLst>
            <c:ext xmlns:c16="http://schemas.microsoft.com/office/drawing/2014/chart" uri="{C3380CC4-5D6E-409C-BE32-E72D297353CC}">
              <c16:uniqueId val="{00000000-992E-4078-87F5-B50355D751C6}"/>
            </c:ext>
          </c:extLst>
        </c:ser>
        <c:ser>
          <c:idx val="1"/>
          <c:order val="1"/>
          <c:tx>
            <c:strRef>
              <c:f>'Jamovi_Juicio predictivo'!$DC$41</c:f>
              <c:strCache>
                <c:ptCount val="1"/>
                <c:pt idx="0">
                  <c:v>Contexto diferente</c:v>
                </c:pt>
              </c:strCache>
            </c:strRef>
          </c:tx>
          <c:spPr>
            <a:solidFill>
              <a:schemeClr val="bg1"/>
            </a:solidFill>
            <a:ln>
              <a:solidFill>
                <a:schemeClr val="tx1"/>
              </a:solidFill>
            </a:ln>
            <a:effectLst/>
          </c:spPr>
          <c:invertIfNegative val="0"/>
          <c:errBars>
            <c:errBarType val="both"/>
            <c:errValType val="cust"/>
            <c:noEndCap val="0"/>
            <c:plus>
              <c:numRef>
                <c:f>'Jamovi_Juicio predictivo'!$DC$52:$DC$54</c:f>
                <c:numCache>
                  <c:formatCode>General</c:formatCode>
                  <c:ptCount val="3"/>
                  <c:pt idx="0">
                    <c:v>4.6777294129721101</c:v>
                  </c:pt>
                  <c:pt idx="1">
                    <c:v>4.6333775234606085</c:v>
                  </c:pt>
                  <c:pt idx="2">
                    <c:v>4.6577975515486374</c:v>
                  </c:pt>
                </c:numCache>
              </c:numRef>
            </c:plus>
            <c:minus>
              <c:numRef>
                <c:f>'Jamovi_Juicio predictivo'!$DC$52:$DC$54</c:f>
                <c:numCache>
                  <c:formatCode>General</c:formatCode>
                  <c:ptCount val="3"/>
                  <c:pt idx="0">
                    <c:v>4.6777294129721101</c:v>
                  </c:pt>
                  <c:pt idx="1">
                    <c:v>4.6333775234606085</c:v>
                  </c:pt>
                  <c:pt idx="2">
                    <c:v>4.6577975515486374</c:v>
                  </c:pt>
                </c:numCache>
              </c:numRef>
            </c:minus>
            <c:spPr>
              <a:noFill/>
              <a:ln w="9525" cap="flat" cmpd="sng" algn="ctr">
                <a:solidFill>
                  <a:schemeClr val="tx1"/>
                </a:solidFill>
                <a:round/>
              </a:ln>
              <a:effectLst/>
            </c:spPr>
          </c:errBars>
          <c:cat>
            <c:strRef>
              <c:f>'Jamovi_Juicio predictivo'!$DA$42:$DA$44</c:f>
              <c:strCache>
                <c:ptCount val="3"/>
                <c:pt idx="0">
                  <c:v>X</c:v>
                </c:pt>
                <c:pt idx="1">
                  <c:v>Y</c:v>
                </c:pt>
                <c:pt idx="2">
                  <c:v>Z</c:v>
                </c:pt>
              </c:strCache>
            </c:strRef>
          </c:cat>
          <c:val>
            <c:numRef>
              <c:f>'Jamovi_Juicio predictivo'!$DC$42:$DC$44</c:f>
              <c:numCache>
                <c:formatCode>0</c:formatCode>
                <c:ptCount val="3"/>
                <c:pt idx="0">
                  <c:v>50.571428571428569</c:v>
                </c:pt>
                <c:pt idx="1">
                  <c:v>51.714285714285715</c:v>
                </c:pt>
                <c:pt idx="2">
                  <c:v>52.714285714285715</c:v>
                </c:pt>
              </c:numCache>
            </c:numRef>
          </c:val>
          <c:extLst>
            <c:ext xmlns:c16="http://schemas.microsoft.com/office/drawing/2014/chart" uri="{C3380CC4-5D6E-409C-BE32-E72D297353CC}">
              <c16:uniqueId val="{00000001-992E-4078-87F5-B50355D751C6}"/>
            </c:ext>
          </c:extLst>
        </c:ser>
        <c:dLbls>
          <c:showLegendKey val="0"/>
          <c:showVal val="0"/>
          <c:showCatName val="0"/>
          <c:showSerName val="0"/>
          <c:showPercent val="0"/>
          <c:showBubbleSize val="0"/>
        </c:dLbls>
        <c:gapWidth val="219"/>
        <c:overlap val="-27"/>
        <c:axId val="743032160"/>
        <c:axId val="743032488"/>
      </c:barChart>
      <c:catAx>
        <c:axId val="7430321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Productos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743032488"/>
        <c:crosses val="autoZero"/>
        <c:auto val="1"/>
        <c:lblAlgn val="ctr"/>
        <c:lblOffset val="100"/>
        <c:noMultiLvlLbl val="0"/>
      </c:catAx>
      <c:valAx>
        <c:axId val="743032488"/>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CO" b="1"/>
                  <a:t>Media Juicio Predictivo</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743032160"/>
        <c:crosses val="autoZero"/>
        <c:crossBetween val="between"/>
      </c:valAx>
      <c:spPr>
        <a:noFill/>
        <a:ln w="25400">
          <a:noFill/>
        </a:ln>
        <a:effectLst/>
      </c:spPr>
    </c:plotArea>
    <c:legend>
      <c:legendPos val="t"/>
      <c:layout>
        <c:manualLayout>
          <c:xMode val="edge"/>
          <c:yMode val="edge"/>
          <c:x val="0.26244717464791606"/>
          <c:y val="8.8888888888888892E-2"/>
          <c:w val="0.5373622557880654"/>
          <c:h val="6.715493896596258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0.14519</cdr:x>
      <cdr:y>0.26269</cdr:y>
    </cdr:from>
    <cdr:to>
      <cdr:x>0.18148</cdr:x>
      <cdr:y>0.31045</cdr:y>
    </cdr:to>
    <cdr:sp macro="" textlink="">
      <cdr:nvSpPr>
        <cdr:cNvPr id="2" name="Cuadro de texto 1"/>
        <cdr:cNvSpPr txBox="1"/>
      </cdr:nvSpPr>
      <cdr:spPr>
        <a:xfrm xmlns:a="http://schemas.openxmlformats.org/drawingml/2006/main">
          <a:off x="723900" y="838200"/>
          <a:ext cx="18097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CO" sz="1200" b="1"/>
            <a:t>*</a:t>
          </a:r>
        </a:p>
      </cdr:txBody>
    </cdr:sp>
  </cdr:relSizeAnchor>
  <cdr:relSizeAnchor xmlns:cdr="http://schemas.openxmlformats.org/drawingml/2006/chartDrawing">
    <cdr:from>
      <cdr:x>0.42855</cdr:x>
      <cdr:y>0.28159</cdr:y>
    </cdr:from>
    <cdr:to>
      <cdr:x>0.46485</cdr:x>
      <cdr:y>0.32935</cdr:y>
    </cdr:to>
    <cdr:sp macro="" textlink="">
      <cdr:nvSpPr>
        <cdr:cNvPr id="3" name="Cuadro de texto 1"/>
        <cdr:cNvSpPr txBox="1"/>
      </cdr:nvSpPr>
      <cdr:spPr>
        <a:xfrm xmlns:a="http://schemas.openxmlformats.org/drawingml/2006/main">
          <a:off x="2136775" y="8985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0.70683</cdr:x>
      <cdr:y>0.27363</cdr:y>
    </cdr:from>
    <cdr:to>
      <cdr:x>0.74312</cdr:x>
      <cdr:y>0.32139</cdr:y>
    </cdr:to>
    <cdr:sp macro="" textlink="">
      <cdr:nvSpPr>
        <cdr:cNvPr id="4" name="Cuadro de texto 1"/>
        <cdr:cNvSpPr txBox="1"/>
      </cdr:nvSpPr>
      <cdr:spPr>
        <a:xfrm xmlns:a="http://schemas.openxmlformats.org/drawingml/2006/main">
          <a:off x="3524250" y="8731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drawings/drawing2.xml><?xml version="1.0" encoding="utf-8"?>
<c:userShapes xmlns:c="http://schemas.openxmlformats.org/drawingml/2006/chart">
  <cdr:relSizeAnchor xmlns:cdr="http://schemas.openxmlformats.org/drawingml/2006/chartDrawing">
    <cdr:from>
      <cdr:x>0.24968</cdr:x>
      <cdr:y>0.2455</cdr:y>
    </cdr:from>
    <cdr:to>
      <cdr:x>0.28664</cdr:x>
      <cdr:y>0.2963</cdr:y>
    </cdr:to>
    <cdr:sp macro="" textlink="">
      <cdr:nvSpPr>
        <cdr:cNvPr id="2" name="Cuadro de texto 1"/>
        <cdr:cNvSpPr txBox="1"/>
      </cdr:nvSpPr>
      <cdr:spPr>
        <a:xfrm xmlns:a="http://schemas.openxmlformats.org/drawingml/2006/main">
          <a:off x="1222375" y="736600"/>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dr:relSizeAnchor xmlns:cdr="http://schemas.openxmlformats.org/drawingml/2006/chartDrawing">
    <cdr:from>
      <cdr:x>0.81453</cdr:x>
      <cdr:y>0.25291</cdr:y>
    </cdr:from>
    <cdr:to>
      <cdr:x>0.85149</cdr:x>
      <cdr:y>0.3037</cdr:y>
    </cdr:to>
    <cdr:sp macro="" textlink="">
      <cdr:nvSpPr>
        <cdr:cNvPr id="3" name="Cuadro de texto 1"/>
        <cdr:cNvSpPr txBox="1"/>
      </cdr:nvSpPr>
      <cdr:spPr>
        <a:xfrm xmlns:a="http://schemas.openxmlformats.org/drawingml/2006/main">
          <a:off x="3987800" y="758825"/>
          <a:ext cx="180975" cy="152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CO" sz="1200" b="1"/>
            <a:t>*</a:t>
          </a:r>
        </a:p>
      </cdr:txBody>
    </cdr:sp>
  </cdr:relSizeAnchor>
</c:userShapes>
</file>

<file path=word/theme/theme1.xml><?xml version="1.0" encoding="utf-8"?>
<a:theme xmlns:a="http://schemas.openxmlformats.org/drawingml/2006/main" name="Office Theme">
  <a:themeElements>
    <a:clrScheme name="Personalizado 2">
      <a:dk1>
        <a:srgbClr val="000000"/>
      </a:dk1>
      <a:lt1>
        <a:srgbClr val="FFFFFF"/>
      </a:lt1>
      <a:dk2>
        <a:srgbClr val="44546A"/>
      </a:dk2>
      <a:lt2>
        <a:srgbClr val="E7E6E6"/>
      </a:lt2>
      <a:accent1>
        <a:srgbClr val="000000"/>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11943</Words>
  <Characters>65691</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2022-05-11T00:41:00Z</dcterms:created>
  <dcterms:modified xsi:type="dcterms:W3CDTF">2022-05-11T00:42:00Z</dcterms:modified>
</cp:coreProperties>
</file>