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42DCA" w14:textId="1A4BADF6" w:rsidR="00B845A1" w:rsidRPr="006360D0" w:rsidRDefault="00255FB4" w:rsidP="008531D8">
      <w:pPr>
        <w:jc w:val="center"/>
        <w:rPr>
          <w:i/>
          <w:sz w:val="28"/>
          <w:szCs w:val="28"/>
          <w:lang w:val="en-US"/>
        </w:rPr>
      </w:pPr>
      <w:r w:rsidRPr="00255FB4">
        <w:rPr>
          <w:b/>
          <w:noProof/>
          <w:sz w:val="36"/>
          <w:szCs w:val="36"/>
          <w:lang w:val="en-US"/>
        </w:rPr>
        <w:t xml:space="preserve">Effect of the differential discount value on the purchase prediction: </w:t>
      </w:r>
      <w:r w:rsidR="00E7542F" w:rsidRPr="00E7542F">
        <w:rPr>
          <w:b/>
          <w:noProof/>
          <w:sz w:val="36"/>
          <w:szCs w:val="36"/>
          <w:lang w:val="en-US"/>
        </w:rPr>
        <w:t>an approach from associative learning</w:t>
      </w:r>
    </w:p>
    <w:p w14:paraId="0BAD9FA3" w14:textId="098C1666" w:rsidR="00C413D4" w:rsidRPr="006360D0" w:rsidRDefault="00C413D4" w:rsidP="008531D8">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16="http://schemas.microsoft.com/office/drawing/2014/main" xmlns:c="http://schemas.openxmlformats.org/drawingml/2006/chart">
            <w:pict w14:anchorId="322A0616">
              <v:line id="Straight Connector 8"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windowText" strokeweight="2pt" from="0,5.25pt" to="486pt,5.25pt" w14:anchorId="6E0F0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">
                <o:lock v:ext="edit" shapetype="f"/>
              </v:line>
            </w:pict>
          </mc:Fallback>
        </mc:AlternateContent>
      </w:r>
    </w:p>
    <w:p w14:paraId="1B312314" w14:textId="77777777" w:rsidR="00C413D4" w:rsidRPr="006360D0" w:rsidRDefault="00C413D4" w:rsidP="008531D8">
      <w:pPr>
        <w:rPr>
          <w:b/>
          <w:sz w:val="20"/>
          <w:szCs w:val="20"/>
          <w:lang w:val="en-US"/>
        </w:rPr>
      </w:pPr>
    </w:p>
    <w:p w14:paraId="61F0B918" w14:textId="7AB7DCB9" w:rsidR="00C43335" w:rsidRPr="00F57AEF" w:rsidRDefault="00C413D4" w:rsidP="008531D8">
      <w:pPr>
        <w:pStyle w:val="TtuloResumen"/>
      </w:pPr>
      <w:r w:rsidRPr="00F57AEF">
        <w:t>Abstract</w:t>
      </w:r>
    </w:p>
    <w:p w14:paraId="0BF1C075" w14:textId="0C172536" w:rsidR="00C413D4" w:rsidRPr="00C67BF0" w:rsidRDefault="006B4BA3" w:rsidP="008531D8">
      <w:pPr>
        <w:rPr>
          <w:sz w:val="20"/>
          <w:szCs w:val="20"/>
          <w:lang w:val="en-US"/>
        </w:rPr>
      </w:pPr>
      <w:r w:rsidRPr="70C7063C">
        <w:rPr>
          <w:sz w:val="20"/>
          <w:szCs w:val="20"/>
          <w:lang w:val="en-US"/>
        </w:rPr>
        <w:t>The purpose of this study was to explore the effect of changing the context in which a product with different discount values ​​has been associated with purchase prediction. Participants were trained in a learning task where they had to predict the probability of a result (purchase of a product) based on different images (products), presented in different contexts (stores). In store A, product X associated with different discount values (50%, 30%, 0%) and the product Z associated with a constant discount (30%)</w:t>
      </w:r>
      <w:r w:rsidR="240B689F" w:rsidRPr="70C7063C">
        <w:rPr>
          <w:sz w:val="20"/>
          <w:szCs w:val="20"/>
          <w:lang w:val="en-US"/>
        </w:rPr>
        <w:t xml:space="preserve"> were presented</w:t>
      </w:r>
      <w:r w:rsidRPr="70C7063C">
        <w:rPr>
          <w:sz w:val="20"/>
          <w:szCs w:val="20"/>
          <w:lang w:val="en-US"/>
        </w:rPr>
        <w:t xml:space="preserve">. In store B, product Y was presented without discount (0%). Control products without discount were presented in each context (F1 and F2). The results indicate that the differential discount value is context dependent, which means that the probability of purchase is greater when the product with a variable discount is presented in the same store where the association with multiple discounts was previously learned. This effect was less with the product with constant discount and was not observed in the product without discount. </w:t>
      </w:r>
      <w:r w:rsidR="006D4D14" w:rsidRPr="70C7063C">
        <w:rPr>
          <w:sz w:val="20"/>
          <w:szCs w:val="20"/>
          <w:lang w:val="en-US"/>
        </w:rPr>
        <w:t>The implications of these findings are discussed considering the effectiveness of discount promotional strategies in stores.</w:t>
      </w:r>
    </w:p>
    <w:p w14:paraId="547103FF" w14:textId="77777777" w:rsidR="00C413D4" w:rsidRPr="00C67BF0" w:rsidRDefault="00C413D4" w:rsidP="008531D8">
      <w:pPr>
        <w:rPr>
          <w:sz w:val="20"/>
          <w:szCs w:val="20"/>
          <w:lang w:val="en-US"/>
        </w:rPr>
      </w:pPr>
    </w:p>
    <w:p w14:paraId="0EB33005" w14:textId="77777777" w:rsidR="00C413D4" w:rsidRPr="00E25900" w:rsidRDefault="00C413D4" w:rsidP="008531D8">
      <w:pPr>
        <w:rPr>
          <w:b/>
          <w:sz w:val="20"/>
          <w:szCs w:val="20"/>
          <w:lang w:val="en-US"/>
        </w:rPr>
      </w:pPr>
      <w:r w:rsidRPr="00E25900">
        <w:rPr>
          <w:b/>
          <w:sz w:val="20"/>
          <w:szCs w:val="20"/>
          <w:lang w:val="en-US"/>
        </w:rPr>
        <w:t>Keywords</w:t>
      </w:r>
    </w:p>
    <w:p w14:paraId="120FF658" w14:textId="28EA9E86" w:rsidR="00153DC5" w:rsidRPr="00E25900" w:rsidRDefault="00C67BF0" w:rsidP="008531D8">
      <w:pPr>
        <w:rPr>
          <w:bCs/>
          <w:sz w:val="20"/>
          <w:szCs w:val="20"/>
          <w:lang w:val="en-US"/>
        </w:rPr>
      </w:pPr>
      <w:r w:rsidRPr="00C67BF0">
        <w:rPr>
          <w:bCs/>
          <w:sz w:val="20"/>
          <w:szCs w:val="20"/>
          <w:lang w:val="en-US"/>
        </w:rPr>
        <w:t xml:space="preserve">Associative learning; context; </w:t>
      </w:r>
      <w:r w:rsidR="00B318D4" w:rsidRPr="00B318D4">
        <w:rPr>
          <w:bCs/>
          <w:sz w:val="20"/>
          <w:szCs w:val="20"/>
          <w:lang w:val="en-US"/>
        </w:rPr>
        <w:t xml:space="preserve">differential </w:t>
      </w:r>
      <w:r w:rsidR="00E7542F" w:rsidRPr="00B318D4">
        <w:rPr>
          <w:bCs/>
          <w:sz w:val="20"/>
          <w:szCs w:val="20"/>
          <w:lang w:val="en-US"/>
        </w:rPr>
        <w:t xml:space="preserve">discount </w:t>
      </w:r>
      <w:r w:rsidR="00B318D4" w:rsidRPr="00B318D4">
        <w:rPr>
          <w:bCs/>
          <w:sz w:val="20"/>
          <w:szCs w:val="20"/>
          <w:lang w:val="en-US"/>
        </w:rPr>
        <w:t>value</w:t>
      </w:r>
      <w:r w:rsidRPr="00C67BF0">
        <w:rPr>
          <w:bCs/>
          <w:sz w:val="20"/>
          <w:szCs w:val="20"/>
          <w:lang w:val="en-US"/>
        </w:rPr>
        <w:t>; consumer behavior</w:t>
      </w:r>
    </w:p>
    <w:p w14:paraId="3C2A8692" w14:textId="3B406497" w:rsidR="00153DC5" w:rsidRDefault="00153DC5" w:rsidP="008531D8">
      <w:pPr>
        <w:rPr>
          <w:bCs/>
          <w:sz w:val="20"/>
          <w:szCs w:val="20"/>
          <w:lang w:val="en-US"/>
        </w:rPr>
      </w:pPr>
    </w:p>
    <w:p w14:paraId="305FBDE9" w14:textId="77777777" w:rsidR="00CE70AF" w:rsidRPr="00E25900" w:rsidRDefault="00CE70AF" w:rsidP="008531D8">
      <w:pPr>
        <w:rPr>
          <w:bCs/>
          <w:sz w:val="20"/>
          <w:szCs w:val="20"/>
          <w:lang w:val="en-US"/>
        </w:rPr>
      </w:pPr>
    </w:p>
    <w:p w14:paraId="7C35B110" w14:textId="65566B47" w:rsidR="00153DC5" w:rsidRPr="006B088F" w:rsidRDefault="00153DC5" w:rsidP="008531D8">
      <w:pPr>
        <w:pStyle w:val="TtuloResumen"/>
      </w:pPr>
      <w:proofErr w:type="spellStart"/>
      <w:r w:rsidRPr="00E25900">
        <w:t>Resum</w:t>
      </w:r>
      <w:r w:rsidR="009A583F" w:rsidRPr="00E25900">
        <w:t>en</w:t>
      </w:r>
      <w:proofErr w:type="spellEnd"/>
    </w:p>
    <w:p w14:paraId="62135811" w14:textId="3BF891F5" w:rsidR="00185AA3" w:rsidRDefault="00EB7048" w:rsidP="008531D8">
      <w:pPr>
        <w:rPr>
          <w:sz w:val="20"/>
          <w:szCs w:val="20"/>
          <w:highlight w:val="yellow"/>
          <w:lang w:val="es-AR"/>
        </w:rPr>
      </w:pPr>
      <w:r>
        <w:rPr>
          <w:sz w:val="20"/>
          <w:szCs w:val="20"/>
          <w:lang w:val="es-AR"/>
        </w:rPr>
        <w:t xml:space="preserve">El </w:t>
      </w:r>
      <w:r w:rsidR="00502CD9">
        <w:rPr>
          <w:sz w:val="20"/>
          <w:szCs w:val="20"/>
          <w:lang w:val="es-AR"/>
        </w:rPr>
        <w:t>propósito</w:t>
      </w:r>
      <w:r>
        <w:rPr>
          <w:sz w:val="20"/>
          <w:szCs w:val="20"/>
          <w:lang w:val="es-AR"/>
        </w:rPr>
        <w:t xml:space="preserve"> de</w:t>
      </w:r>
      <w:r w:rsidR="00E704F4">
        <w:rPr>
          <w:sz w:val="20"/>
          <w:szCs w:val="20"/>
          <w:lang w:val="es-AR"/>
        </w:rPr>
        <w:t xml:space="preserve"> este</w:t>
      </w:r>
      <w:r>
        <w:rPr>
          <w:sz w:val="20"/>
          <w:szCs w:val="20"/>
          <w:lang w:val="es-AR"/>
        </w:rPr>
        <w:t xml:space="preserve"> estudio fue explorar el efecto </w:t>
      </w:r>
      <w:r w:rsidR="00E704F4">
        <w:rPr>
          <w:sz w:val="20"/>
          <w:szCs w:val="20"/>
          <w:lang w:val="es-AR"/>
        </w:rPr>
        <w:t xml:space="preserve">de </w:t>
      </w:r>
      <w:r w:rsidR="008B064D">
        <w:rPr>
          <w:sz w:val="20"/>
          <w:szCs w:val="20"/>
          <w:lang w:val="es-AR"/>
        </w:rPr>
        <w:t xml:space="preserve">cambiar el contexto en el que se ha </w:t>
      </w:r>
      <w:r w:rsidR="00E704F4">
        <w:rPr>
          <w:sz w:val="20"/>
          <w:szCs w:val="20"/>
          <w:lang w:val="es-AR"/>
        </w:rPr>
        <w:t>asociado a un producto</w:t>
      </w:r>
      <w:r w:rsidR="008B064D">
        <w:rPr>
          <w:sz w:val="20"/>
          <w:szCs w:val="20"/>
          <w:lang w:val="es-AR"/>
        </w:rPr>
        <w:t xml:space="preserve"> con diferentes valores de descuento</w:t>
      </w:r>
      <w:r w:rsidR="00C46E2B">
        <w:rPr>
          <w:sz w:val="20"/>
          <w:szCs w:val="20"/>
          <w:lang w:val="es-AR"/>
        </w:rPr>
        <w:t xml:space="preserve"> sobre la predicción de compra</w:t>
      </w:r>
      <w:r w:rsidR="00E704F4">
        <w:rPr>
          <w:sz w:val="20"/>
          <w:szCs w:val="20"/>
          <w:lang w:val="es-AR"/>
        </w:rPr>
        <w:t>.</w:t>
      </w:r>
      <w:r>
        <w:rPr>
          <w:sz w:val="20"/>
          <w:szCs w:val="20"/>
          <w:lang w:val="es-AR"/>
        </w:rPr>
        <w:t xml:space="preserve"> </w:t>
      </w:r>
      <w:r w:rsidR="00185AA3" w:rsidRPr="00185AA3">
        <w:rPr>
          <w:sz w:val="20"/>
          <w:szCs w:val="20"/>
          <w:lang w:val="es-AR"/>
        </w:rPr>
        <w:t xml:space="preserve">Se </w:t>
      </w:r>
      <w:r w:rsidR="00675D9B">
        <w:rPr>
          <w:sz w:val="20"/>
          <w:szCs w:val="20"/>
          <w:lang w:val="es-AR"/>
        </w:rPr>
        <w:t>entrenó</w:t>
      </w:r>
      <w:r w:rsidR="00185AA3" w:rsidRPr="00185AA3">
        <w:rPr>
          <w:sz w:val="20"/>
          <w:szCs w:val="20"/>
          <w:lang w:val="es-AR"/>
        </w:rPr>
        <w:t xml:space="preserve"> a los participantes </w:t>
      </w:r>
      <w:r w:rsidR="00675D9B">
        <w:rPr>
          <w:sz w:val="20"/>
          <w:szCs w:val="20"/>
          <w:lang w:val="es-AR"/>
        </w:rPr>
        <w:t>en</w:t>
      </w:r>
      <w:r w:rsidR="00185AA3" w:rsidRPr="00185AA3">
        <w:rPr>
          <w:sz w:val="20"/>
          <w:szCs w:val="20"/>
          <w:lang w:val="es-AR"/>
        </w:rPr>
        <w:t xml:space="preserve"> una tarea de aprendizaje en donde </w:t>
      </w:r>
      <w:r w:rsidR="00675D9B">
        <w:rPr>
          <w:sz w:val="20"/>
          <w:szCs w:val="20"/>
          <w:lang w:val="es-AR"/>
        </w:rPr>
        <w:t xml:space="preserve">debían predecir la probabilidad de un resultado (compra de un producto) atendiendo a diferentes </w:t>
      </w:r>
      <w:r w:rsidR="006668BF">
        <w:rPr>
          <w:sz w:val="20"/>
          <w:szCs w:val="20"/>
          <w:lang w:val="es-AR"/>
        </w:rPr>
        <w:t>imágenes</w:t>
      </w:r>
      <w:r w:rsidR="00675D9B">
        <w:rPr>
          <w:sz w:val="20"/>
          <w:szCs w:val="20"/>
          <w:lang w:val="es-AR"/>
        </w:rPr>
        <w:t xml:space="preserve"> (</w:t>
      </w:r>
      <w:r w:rsidR="006668BF">
        <w:rPr>
          <w:sz w:val="20"/>
          <w:szCs w:val="20"/>
          <w:lang w:val="es-AR"/>
        </w:rPr>
        <w:t>productos</w:t>
      </w:r>
      <w:r w:rsidR="00675D9B">
        <w:rPr>
          <w:sz w:val="20"/>
          <w:szCs w:val="20"/>
          <w:lang w:val="es-AR"/>
        </w:rPr>
        <w:t>), presentados en diferentes contextos (tiendas).</w:t>
      </w:r>
      <w:r w:rsidR="008B064D">
        <w:rPr>
          <w:sz w:val="20"/>
          <w:szCs w:val="20"/>
          <w:lang w:val="es-AR"/>
        </w:rPr>
        <w:t xml:space="preserve"> </w:t>
      </w:r>
      <w:r w:rsidR="006668BF">
        <w:rPr>
          <w:sz w:val="20"/>
          <w:szCs w:val="20"/>
          <w:lang w:val="es-AR"/>
        </w:rPr>
        <w:t>En la tienda A se presentó e</w:t>
      </w:r>
      <w:r w:rsidR="008B064D">
        <w:rPr>
          <w:sz w:val="20"/>
          <w:szCs w:val="20"/>
          <w:lang w:val="es-AR"/>
        </w:rPr>
        <w:t xml:space="preserve">l </w:t>
      </w:r>
      <w:r w:rsidR="00185AA3" w:rsidRPr="00185AA3">
        <w:rPr>
          <w:sz w:val="20"/>
          <w:szCs w:val="20"/>
          <w:lang w:val="es-AR"/>
        </w:rPr>
        <w:t xml:space="preserve">producto </w:t>
      </w:r>
      <w:r w:rsidR="0027251B">
        <w:rPr>
          <w:sz w:val="20"/>
          <w:szCs w:val="20"/>
          <w:lang w:val="es-AR"/>
        </w:rPr>
        <w:t xml:space="preserve">X </w:t>
      </w:r>
      <w:r w:rsidR="008B064D">
        <w:rPr>
          <w:sz w:val="20"/>
          <w:szCs w:val="20"/>
          <w:lang w:val="es-AR"/>
        </w:rPr>
        <w:t xml:space="preserve">asociado </w:t>
      </w:r>
      <w:r w:rsidR="006668BF">
        <w:rPr>
          <w:sz w:val="20"/>
          <w:szCs w:val="20"/>
          <w:lang w:val="es-AR"/>
        </w:rPr>
        <w:t>a</w:t>
      </w:r>
      <w:r w:rsidR="00185AA3" w:rsidRPr="00185AA3">
        <w:rPr>
          <w:sz w:val="20"/>
          <w:szCs w:val="20"/>
          <w:lang w:val="es-AR"/>
        </w:rPr>
        <w:t xml:space="preserve"> diferentes valores de descuento</w:t>
      </w:r>
      <w:r w:rsidR="006668BF">
        <w:rPr>
          <w:sz w:val="20"/>
          <w:szCs w:val="20"/>
          <w:lang w:val="es-AR"/>
        </w:rPr>
        <w:t xml:space="preserve"> (50%, 30%, 0%);</w:t>
      </w:r>
      <w:r w:rsidR="00333B32">
        <w:rPr>
          <w:sz w:val="20"/>
          <w:szCs w:val="20"/>
          <w:lang w:val="es-AR"/>
        </w:rPr>
        <w:t xml:space="preserve"> y</w:t>
      </w:r>
      <w:r w:rsidR="005E3213">
        <w:rPr>
          <w:sz w:val="20"/>
          <w:szCs w:val="20"/>
          <w:lang w:val="es-AR"/>
        </w:rPr>
        <w:t xml:space="preserve"> </w:t>
      </w:r>
      <w:r w:rsidR="006668BF">
        <w:rPr>
          <w:sz w:val="20"/>
          <w:szCs w:val="20"/>
          <w:lang w:val="es-AR"/>
        </w:rPr>
        <w:t xml:space="preserve">el </w:t>
      </w:r>
      <w:r w:rsidR="00185AA3" w:rsidRPr="00185AA3">
        <w:rPr>
          <w:sz w:val="20"/>
          <w:szCs w:val="20"/>
          <w:lang w:val="es-AR"/>
        </w:rPr>
        <w:t xml:space="preserve">producto Z </w:t>
      </w:r>
      <w:r w:rsidR="006668BF">
        <w:rPr>
          <w:sz w:val="20"/>
          <w:szCs w:val="20"/>
          <w:lang w:val="es-AR"/>
        </w:rPr>
        <w:t xml:space="preserve">asociado a </w:t>
      </w:r>
      <w:r w:rsidR="00185AA3" w:rsidRPr="00185AA3">
        <w:rPr>
          <w:sz w:val="20"/>
          <w:szCs w:val="20"/>
          <w:lang w:val="es-AR"/>
        </w:rPr>
        <w:t>descuento</w:t>
      </w:r>
      <w:r w:rsidR="006668BF">
        <w:rPr>
          <w:sz w:val="20"/>
          <w:szCs w:val="20"/>
          <w:lang w:val="es-AR"/>
        </w:rPr>
        <w:t xml:space="preserve"> constante (30</w:t>
      </w:r>
      <w:r w:rsidR="00EE0160">
        <w:rPr>
          <w:sz w:val="20"/>
          <w:szCs w:val="20"/>
          <w:lang w:val="es-AR"/>
        </w:rPr>
        <w:t>%</w:t>
      </w:r>
      <w:r w:rsidR="00333B32">
        <w:rPr>
          <w:sz w:val="20"/>
          <w:szCs w:val="20"/>
          <w:lang w:val="es-AR"/>
        </w:rPr>
        <w:t>)</w:t>
      </w:r>
      <w:r w:rsidR="00185AA3" w:rsidRPr="00185AA3">
        <w:rPr>
          <w:sz w:val="20"/>
          <w:szCs w:val="20"/>
          <w:lang w:val="es-AR"/>
        </w:rPr>
        <w:t xml:space="preserve">. En </w:t>
      </w:r>
      <w:r w:rsidR="005E3213">
        <w:rPr>
          <w:sz w:val="20"/>
          <w:szCs w:val="20"/>
          <w:lang w:val="es-AR"/>
        </w:rPr>
        <w:t>la tienda</w:t>
      </w:r>
      <w:r w:rsidR="00185AA3" w:rsidRPr="00185AA3">
        <w:rPr>
          <w:sz w:val="20"/>
          <w:szCs w:val="20"/>
          <w:lang w:val="es-AR"/>
        </w:rPr>
        <w:t xml:space="preserve"> B se presentó </w:t>
      </w:r>
      <w:r w:rsidR="005E3213">
        <w:rPr>
          <w:sz w:val="20"/>
          <w:szCs w:val="20"/>
          <w:lang w:val="es-AR"/>
        </w:rPr>
        <w:t>el</w:t>
      </w:r>
      <w:r w:rsidR="00185AA3" w:rsidRPr="00185AA3">
        <w:rPr>
          <w:sz w:val="20"/>
          <w:szCs w:val="20"/>
          <w:lang w:val="es-AR"/>
        </w:rPr>
        <w:t xml:space="preserve"> producto Y </w:t>
      </w:r>
      <w:r w:rsidR="00333B32">
        <w:rPr>
          <w:sz w:val="20"/>
          <w:szCs w:val="20"/>
          <w:lang w:val="es-AR"/>
        </w:rPr>
        <w:t>sin descuento (0%). Se presentaron productos control sin descuento en cada contexto (F1 y F2).</w:t>
      </w:r>
      <w:r w:rsidR="00185AA3" w:rsidRPr="00185AA3">
        <w:rPr>
          <w:sz w:val="20"/>
          <w:szCs w:val="20"/>
          <w:lang w:val="es-AR"/>
        </w:rPr>
        <w:t xml:space="preserve"> Los resultados indican que </w:t>
      </w:r>
      <w:r w:rsidR="00C46E2B">
        <w:rPr>
          <w:sz w:val="20"/>
          <w:szCs w:val="20"/>
          <w:lang w:val="es-AR"/>
        </w:rPr>
        <w:t>el valor diferencial de descuento</w:t>
      </w:r>
      <w:r w:rsidR="004661FE">
        <w:rPr>
          <w:sz w:val="20"/>
          <w:szCs w:val="20"/>
          <w:lang w:val="es-AR"/>
        </w:rPr>
        <w:t xml:space="preserve"> es dependiente del contexto, lo que significa que la probabilidad de compra es mayor cuando el producto con descuento variable es presentado en </w:t>
      </w:r>
      <w:r w:rsidR="00D774CF">
        <w:rPr>
          <w:sz w:val="20"/>
          <w:szCs w:val="20"/>
          <w:lang w:val="es-AR"/>
        </w:rPr>
        <w:t>la misma tienda</w:t>
      </w:r>
      <w:r w:rsidR="004661FE">
        <w:rPr>
          <w:sz w:val="20"/>
          <w:szCs w:val="20"/>
          <w:lang w:val="es-AR"/>
        </w:rPr>
        <w:t xml:space="preserve"> donde previamente se aprendió la asociación con los múltiples descuentos</w:t>
      </w:r>
      <w:r w:rsidR="00C46E2B">
        <w:rPr>
          <w:sz w:val="20"/>
          <w:szCs w:val="20"/>
          <w:lang w:val="es-AR"/>
        </w:rPr>
        <w:t>.</w:t>
      </w:r>
      <w:r w:rsidR="004661FE">
        <w:rPr>
          <w:sz w:val="20"/>
          <w:szCs w:val="20"/>
          <w:lang w:val="es-AR"/>
        </w:rPr>
        <w:t xml:space="preserve"> </w:t>
      </w:r>
      <w:r w:rsidR="00BB2341">
        <w:rPr>
          <w:sz w:val="20"/>
          <w:szCs w:val="20"/>
          <w:lang w:val="es-AR"/>
        </w:rPr>
        <w:t xml:space="preserve">Este efecto </w:t>
      </w:r>
      <w:r w:rsidR="005E4C63">
        <w:rPr>
          <w:sz w:val="20"/>
          <w:szCs w:val="20"/>
          <w:lang w:val="es-AR"/>
        </w:rPr>
        <w:t>fue</w:t>
      </w:r>
      <w:r w:rsidR="00BB2341">
        <w:rPr>
          <w:sz w:val="20"/>
          <w:szCs w:val="20"/>
          <w:lang w:val="es-AR"/>
        </w:rPr>
        <w:t xml:space="preserve"> menor con el producto con descuento constante y no se observó en el producto sin descuento.</w:t>
      </w:r>
      <w:r w:rsidR="00D774CF">
        <w:rPr>
          <w:sz w:val="20"/>
          <w:szCs w:val="20"/>
          <w:lang w:val="es-AR"/>
        </w:rPr>
        <w:t xml:space="preserve"> Las implicaciones de estos hallazgos son discutidas </w:t>
      </w:r>
      <w:r w:rsidR="006B4BA3">
        <w:rPr>
          <w:sz w:val="20"/>
          <w:szCs w:val="20"/>
          <w:lang w:val="es-AR"/>
        </w:rPr>
        <w:t>considerando</w:t>
      </w:r>
      <w:r w:rsidR="006D4D14">
        <w:rPr>
          <w:sz w:val="20"/>
          <w:szCs w:val="20"/>
          <w:lang w:val="es-AR"/>
        </w:rPr>
        <w:t xml:space="preserve"> la efectividad de</w:t>
      </w:r>
      <w:r w:rsidR="00D774CF">
        <w:rPr>
          <w:sz w:val="20"/>
          <w:szCs w:val="20"/>
          <w:lang w:val="es-AR"/>
        </w:rPr>
        <w:t xml:space="preserve"> las estrategias promocionales de descuentos en tiendas. </w:t>
      </w:r>
      <w:r w:rsidR="004661FE">
        <w:rPr>
          <w:sz w:val="20"/>
          <w:szCs w:val="20"/>
          <w:lang w:val="es-AR"/>
        </w:rPr>
        <w:t xml:space="preserve"> </w:t>
      </w:r>
    </w:p>
    <w:p w14:paraId="72AF85FC" w14:textId="58A3DFE5" w:rsidR="00153DC5" w:rsidRPr="00E25900" w:rsidRDefault="00153DC5" w:rsidP="008531D8">
      <w:pPr>
        <w:rPr>
          <w:sz w:val="20"/>
          <w:szCs w:val="20"/>
          <w:lang w:val="es-AR"/>
        </w:rPr>
      </w:pPr>
    </w:p>
    <w:p w14:paraId="52B41A5E" w14:textId="174EFA85" w:rsidR="00153DC5" w:rsidRPr="00E25900" w:rsidRDefault="00153DC5" w:rsidP="008531D8">
      <w:pPr>
        <w:rPr>
          <w:b/>
          <w:sz w:val="20"/>
          <w:szCs w:val="20"/>
          <w:lang w:val="es-ES"/>
        </w:rPr>
      </w:pPr>
      <w:r w:rsidRPr="00E25900">
        <w:rPr>
          <w:b/>
          <w:sz w:val="20"/>
          <w:szCs w:val="20"/>
          <w:lang w:val="es-ES"/>
        </w:rPr>
        <w:t>Pala</w:t>
      </w:r>
      <w:r w:rsidR="009A583F" w:rsidRPr="00E25900">
        <w:rPr>
          <w:b/>
          <w:sz w:val="20"/>
          <w:szCs w:val="20"/>
          <w:lang w:val="es-ES"/>
        </w:rPr>
        <w:t>bras clave</w:t>
      </w:r>
    </w:p>
    <w:p w14:paraId="3B490AF2" w14:textId="29C3DD12" w:rsidR="00153DC5" w:rsidRPr="00E25900" w:rsidRDefault="00084DA8" w:rsidP="008531D8">
      <w:pPr>
        <w:rPr>
          <w:bCs/>
          <w:sz w:val="20"/>
          <w:szCs w:val="20"/>
          <w:lang w:val="es-AR"/>
        </w:rPr>
      </w:pPr>
      <w:r>
        <w:rPr>
          <w:bCs/>
          <w:sz w:val="20"/>
          <w:szCs w:val="20"/>
          <w:lang w:val="es-ES"/>
        </w:rPr>
        <w:t xml:space="preserve">Aprendizaje </w:t>
      </w:r>
      <w:r w:rsidR="00544C82">
        <w:rPr>
          <w:bCs/>
          <w:sz w:val="20"/>
          <w:szCs w:val="20"/>
          <w:lang w:val="es-ES"/>
        </w:rPr>
        <w:t>asociativo</w:t>
      </w:r>
      <w:r w:rsidR="009A583F" w:rsidRPr="00E25900">
        <w:rPr>
          <w:bCs/>
          <w:sz w:val="20"/>
          <w:szCs w:val="20"/>
          <w:lang w:val="es-ES"/>
        </w:rPr>
        <w:t xml:space="preserve">; </w:t>
      </w:r>
      <w:r>
        <w:rPr>
          <w:bCs/>
          <w:sz w:val="20"/>
          <w:szCs w:val="20"/>
          <w:lang w:val="es-ES"/>
        </w:rPr>
        <w:t>contexto</w:t>
      </w:r>
      <w:r w:rsidR="009A583F" w:rsidRPr="00E25900">
        <w:rPr>
          <w:bCs/>
          <w:sz w:val="20"/>
          <w:szCs w:val="20"/>
          <w:lang w:val="es-ES"/>
        </w:rPr>
        <w:t xml:space="preserve">; </w:t>
      </w:r>
      <w:r w:rsidR="00B318D4">
        <w:rPr>
          <w:bCs/>
          <w:sz w:val="20"/>
          <w:szCs w:val="20"/>
          <w:lang w:val="es-ES"/>
        </w:rPr>
        <w:t>valor diferencial</w:t>
      </w:r>
      <w:r w:rsidR="00464748">
        <w:rPr>
          <w:bCs/>
          <w:sz w:val="20"/>
          <w:szCs w:val="20"/>
          <w:lang w:val="es-ES"/>
        </w:rPr>
        <w:t xml:space="preserve"> de descuento</w:t>
      </w:r>
      <w:r w:rsidR="009A583F" w:rsidRPr="00E25900">
        <w:rPr>
          <w:bCs/>
          <w:sz w:val="20"/>
          <w:szCs w:val="20"/>
          <w:lang w:val="es-ES"/>
        </w:rPr>
        <w:t xml:space="preserve">; </w:t>
      </w:r>
      <w:r>
        <w:rPr>
          <w:bCs/>
          <w:sz w:val="20"/>
          <w:szCs w:val="20"/>
          <w:lang w:val="es-ES"/>
        </w:rPr>
        <w:t>comportamiento del consumidor</w:t>
      </w:r>
    </w:p>
    <w:p w14:paraId="7189B82D" w14:textId="752BA2A1" w:rsidR="00E55124" w:rsidRPr="00E25900" w:rsidRDefault="00E55124" w:rsidP="008531D8">
      <w:pPr>
        <w:rPr>
          <w:bCs/>
          <w:sz w:val="20"/>
          <w:szCs w:val="20"/>
          <w:lang w:val="es-AR"/>
        </w:rPr>
      </w:pPr>
      <w:r w:rsidRPr="00E25900">
        <w:rPr>
          <w:bCs/>
          <w:noProof/>
          <w:sz w:val="20"/>
          <w:szCs w:val="20"/>
          <w:lang w:val="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E25900" w:rsidRDefault="00483D6B" w:rsidP="008531D8">
      <w:pPr>
        <w:rPr>
          <w:b/>
          <w:lang w:val="es-AR"/>
        </w:rPr>
      </w:pPr>
    </w:p>
    <w:p w14:paraId="3F538DA7" w14:textId="31326A1F" w:rsidR="00153DC5" w:rsidRPr="00892DA4" w:rsidRDefault="0059034C" w:rsidP="008531D8">
      <w:pPr>
        <w:pStyle w:val="Ttuloprincipiodeartculo"/>
        <w:rPr>
          <w:lang w:val="es-CO"/>
        </w:rPr>
      </w:pPr>
      <w:r>
        <w:br w:type="page"/>
      </w:r>
      <w:r w:rsidR="00137983" w:rsidRPr="00892DA4">
        <w:rPr>
          <w:lang w:val="es-CO"/>
        </w:rPr>
        <w:lastRenderedPageBreak/>
        <w:t xml:space="preserve">Efecto del valor diferencial de descuento </w:t>
      </w:r>
      <w:r w:rsidR="000401BA" w:rsidRPr="00892DA4">
        <w:rPr>
          <w:lang w:val="es-CO"/>
        </w:rPr>
        <w:t>en la predicción</w:t>
      </w:r>
      <w:r w:rsidR="00137983" w:rsidRPr="00892DA4">
        <w:rPr>
          <w:lang w:val="es-CO"/>
        </w:rPr>
        <w:t xml:space="preserve"> de compra: una aproximación desde el aprendizaje asociativo</w:t>
      </w:r>
    </w:p>
    <w:p w14:paraId="4FA726CB" w14:textId="106A0C3C" w:rsidR="006A1BA2" w:rsidRPr="00892DA4" w:rsidRDefault="00153DC5" w:rsidP="002E7852">
      <w:pPr>
        <w:pStyle w:val="Ttulosinternos"/>
        <w:rPr>
          <w:bCs/>
        </w:rPr>
      </w:pPr>
      <w:proofErr w:type="spellStart"/>
      <w:r w:rsidRPr="00892DA4">
        <w:t>Introduc</w:t>
      </w:r>
      <w:r w:rsidR="00107993" w:rsidRPr="00892DA4">
        <w:t>ción</w:t>
      </w:r>
      <w:proofErr w:type="spellEnd"/>
    </w:p>
    <w:p w14:paraId="39D1240F" w14:textId="14B7D236" w:rsidR="0020685F" w:rsidRPr="00892DA4" w:rsidRDefault="0020685F" w:rsidP="008531D8">
      <w:pPr>
        <w:pStyle w:val="Prrafocomn"/>
        <w:jc w:val="left"/>
        <w:rPr>
          <w:lang w:val="es-CO"/>
        </w:rPr>
      </w:pPr>
      <w:r w:rsidRPr="70C7063C">
        <w:rPr>
          <w:lang w:val="es-CO"/>
        </w:rPr>
        <w:t xml:space="preserve">Cuando un consumidor se expone a </w:t>
      </w:r>
      <w:r w:rsidR="00D84FD1" w:rsidRPr="70C7063C">
        <w:rPr>
          <w:lang w:val="es-CO"/>
        </w:rPr>
        <w:t>la elección de</w:t>
      </w:r>
      <w:r w:rsidR="00551C1C" w:rsidRPr="70C7063C">
        <w:rPr>
          <w:lang w:val="es-CO"/>
        </w:rPr>
        <w:t xml:space="preserve"> un producto que va a comprar, </w:t>
      </w:r>
      <w:r w:rsidR="0EBDA5DA" w:rsidRPr="70C7063C">
        <w:rPr>
          <w:lang w:val="es-CO"/>
        </w:rPr>
        <w:t xml:space="preserve">las </w:t>
      </w:r>
      <w:r w:rsidRPr="70C7063C">
        <w:rPr>
          <w:lang w:val="es-CO"/>
        </w:rPr>
        <w:t>informaci</w:t>
      </w:r>
      <w:r w:rsidR="00551C1C" w:rsidRPr="70C7063C">
        <w:rPr>
          <w:lang w:val="es-CO"/>
        </w:rPr>
        <w:t>o</w:t>
      </w:r>
      <w:r w:rsidR="083EB82E" w:rsidRPr="70C7063C">
        <w:rPr>
          <w:lang w:val="es-CO"/>
        </w:rPr>
        <w:t>nes</w:t>
      </w:r>
      <w:r w:rsidRPr="70C7063C">
        <w:rPr>
          <w:lang w:val="es-CO"/>
        </w:rPr>
        <w:t xml:space="preserve"> del entorno </w:t>
      </w:r>
      <w:r w:rsidR="162DF461" w:rsidRPr="70C7063C">
        <w:rPr>
          <w:lang w:val="es-CO"/>
        </w:rPr>
        <w:t>s</w:t>
      </w:r>
      <w:r w:rsidR="00D84FD1" w:rsidRPr="70C7063C">
        <w:rPr>
          <w:lang w:val="es-CO"/>
        </w:rPr>
        <w:t>o</w:t>
      </w:r>
      <w:r w:rsidR="162DF461" w:rsidRPr="70C7063C">
        <w:rPr>
          <w:lang w:val="es-CO"/>
        </w:rPr>
        <w:t xml:space="preserve">n procesadas pudiendo influenciar futuras decisiones en las que nuevamente tenga que </w:t>
      </w:r>
      <w:r w:rsidRPr="70C7063C">
        <w:rPr>
          <w:lang w:val="es-CO"/>
        </w:rPr>
        <w:t xml:space="preserve">elegir productos o servicios </w:t>
      </w:r>
      <w:r w:rsidR="557F3293" w:rsidRPr="70C7063C">
        <w:rPr>
          <w:lang w:val="es-CO"/>
        </w:rPr>
        <w:t xml:space="preserve">similares, </w:t>
      </w:r>
      <w:r w:rsidR="00D84FD1" w:rsidRPr="70C7063C">
        <w:rPr>
          <w:lang w:val="es-CO"/>
        </w:rPr>
        <w:t>mediante</w:t>
      </w:r>
      <w:r w:rsidR="557F3293" w:rsidRPr="70C7063C">
        <w:rPr>
          <w:lang w:val="es-CO"/>
        </w:rPr>
        <w:t xml:space="preserve"> un proceso </w:t>
      </w:r>
      <w:r w:rsidR="6629271B" w:rsidRPr="70C7063C">
        <w:rPr>
          <w:lang w:val="es-CO"/>
        </w:rPr>
        <w:t>de</w:t>
      </w:r>
      <w:r w:rsidR="00024F46">
        <w:rPr>
          <w:lang w:val="es-CO"/>
        </w:rPr>
        <w:t xml:space="preserve"> a</w:t>
      </w:r>
      <w:r w:rsidR="6629271B" w:rsidRPr="70C7063C">
        <w:rPr>
          <w:lang w:val="es-CO"/>
        </w:rPr>
        <w:t xml:space="preserve">prendizaje </w:t>
      </w:r>
      <w:r w:rsidR="557F3293" w:rsidRPr="70C7063C">
        <w:rPr>
          <w:lang w:val="es-CO"/>
        </w:rPr>
        <w:t>asociativo</w:t>
      </w:r>
      <w:r w:rsidR="00D84FD1" w:rsidRPr="70C7063C">
        <w:rPr>
          <w:lang w:val="es-CO"/>
        </w:rPr>
        <w:t>;</w:t>
      </w:r>
      <w:r w:rsidR="07DB1D1F" w:rsidRPr="70C7063C">
        <w:rPr>
          <w:lang w:val="es-CO"/>
        </w:rPr>
        <w:t xml:space="preserve"> </w:t>
      </w:r>
      <w:r w:rsidR="7656E3B9" w:rsidRPr="70C7063C">
        <w:rPr>
          <w:lang w:val="es-CO"/>
        </w:rPr>
        <w:t xml:space="preserve">y al </w:t>
      </w:r>
      <w:r w:rsidR="7BED9E97" w:rsidRPr="70C7063C">
        <w:rPr>
          <w:lang w:val="es-CO"/>
        </w:rPr>
        <w:t>c</w:t>
      </w:r>
      <w:r w:rsidRPr="70C7063C">
        <w:rPr>
          <w:lang w:val="es-CO"/>
        </w:rPr>
        <w:t xml:space="preserve">onsiderar la situación de compra como </w:t>
      </w:r>
      <w:r w:rsidR="00D84FD1" w:rsidRPr="70C7063C">
        <w:rPr>
          <w:lang w:val="es-CO"/>
        </w:rPr>
        <w:t>un</w:t>
      </w:r>
      <w:r w:rsidRPr="70C7063C">
        <w:rPr>
          <w:lang w:val="es-CO"/>
        </w:rPr>
        <w:t xml:space="preserve"> </w:t>
      </w:r>
      <w:r w:rsidR="00E10746" w:rsidRPr="70C7063C">
        <w:rPr>
          <w:lang w:val="es-CO"/>
        </w:rPr>
        <w:t xml:space="preserve">proceso de </w:t>
      </w:r>
      <w:r w:rsidRPr="70C7063C">
        <w:rPr>
          <w:lang w:val="es-CO"/>
        </w:rPr>
        <w:t xml:space="preserve">aprendizaje del consumidor, </w:t>
      </w:r>
      <w:r w:rsidR="4C626692" w:rsidRPr="70C7063C">
        <w:rPr>
          <w:lang w:val="es-CO"/>
        </w:rPr>
        <w:t>es posible</w:t>
      </w:r>
      <w:r w:rsidRPr="70C7063C">
        <w:rPr>
          <w:lang w:val="es-CO"/>
        </w:rPr>
        <w:t xml:space="preserve"> explorar los factores que intervienen en la elección final de productos y servicios (Allen &amp; </w:t>
      </w:r>
      <w:proofErr w:type="spellStart"/>
      <w:r w:rsidRPr="70C7063C">
        <w:rPr>
          <w:lang w:val="es-CO"/>
        </w:rPr>
        <w:t>Shimp</w:t>
      </w:r>
      <w:proofErr w:type="spellEnd"/>
      <w:r w:rsidRPr="70C7063C">
        <w:rPr>
          <w:lang w:val="es-CO"/>
        </w:rPr>
        <w:t xml:space="preserve">, 1990; </w:t>
      </w:r>
      <w:proofErr w:type="spellStart"/>
      <w:r w:rsidRPr="70C7063C">
        <w:rPr>
          <w:lang w:val="es-CO"/>
        </w:rPr>
        <w:t>Sozuer</w:t>
      </w:r>
      <w:proofErr w:type="spellEnd"/>
      <w:r w:rsidRPr="70C7063C">
        <w:rPr>
          <w:lang w:val="es-CO"/>
        </w:rPr>
        <w:t xml:space="preserve"> et al., 2020).</w:t>
      </w:r>
    </w:p>
    <w:p w14:paraId="05456DE6" w14:textId="68638F04" w:rsidR="00006BB7" w:rsidRPr="00892DA4" w:rsidRDefault="0020685F" w:rsidP="008531D8">
      <w:pPr>
        <w:pStyle w:val="Prrafocomn"/>
        <w:jc w:val="left"/>
        <w:rPr>
          <w:lang w:val="es-CO"/>
        </w:rPr>
      </w:pPr>
      <w:r w:rsidRPr="00892DA4">
        <w:rPr>
          <w:lang w:val="es-CO"/>
        </w:rPr>
        <w:t>Desde la psicología del consumidor se ha explicado</w:t>
      </w:r>
      <w:r w:rsidR="2E13E7D7" w:rsidRPr="00892DA4">
        <w:rPr>
          <w:lang w:val="es-CO"/>
        </w:rPr>
        <w:t xml:space="preserve"> </w:t>
      </w:r>
      <w:r w:rsidR="201C6282" w:rsidRPr="00892DA4">
        <w:rPr>
          <w:lang w:val="es-CO"/>
        </w:rPr>
        <w:t>esta situaci</w:t>
      </w:r>
      <w:r w:rsidR="003C00E8" w:rsidRPr="00892DA4">
        <w:rPr>
          <w:lang w:val="es-CO"/>
        </w:rPr>
        <w:t>ó</w:t>
      </w:r>
      <w:r w:rsidR="201C6282" w:rsidRPr="00892DA4">
        <w:rPr>
          <w:lang w:val="es-CO"/>
        </w:rPr>
        <w:t>n</w:t>
      </w:r>
      <w:r w:rsidR="2E13E7D7" w:rsidRPr="00892DA4">
        <w:rPr>
          <w:lang w:val="es-CO"/>
        </w:rPr>
        <w:t xml:space="preserve"> </w:t>
      </w:r>
      <w:r w:rsidR="003C00E8" w:rsidRPr="00892DA4">
        <w:rPr>
          <w:lang w:val="es-CO"/>
        </w:rPr>
        <w:t>de</w:t>
      </w:r>
      <w:r w:rsidRPr="00892DA4">
        <w:rPr>
          <w:lang w:val="es-CO"/>
        </w:rPr>
        <w:t xml:space="preserve"> aprendizaje </w:t>
      </w:r>
      <w:r w:rsidR="01DE83AE" w:rsidRPr="00892DA4">
        <w:rPr>
          <w:lang w:val="es-CO"/>
        </w:rPr>
        <w:t>desde la</w:t>
      </w:r>
      <w:r w:rsidR="003C00E8" w:rsidRPr="00892DA4">
        <w:rPr>
          <w:lang w:val="es-CO"/>
        </w:rPr>
        <w:t xml:space="preserve"> </w:t>
      </w:r>
      <w:r w:rsidRPr="00892DA4">
        <w:rPr>
          <w:lang w:val="es-CO"/>
        </w:rPr>
        <w:t>perspectiva de la experiencia o expectativa (</w:t>
      </w:r>
      <w:proofErr w:type="spellStart"/>
      <w:r w:rsidRPr="00892DA4">
        <w:rPr>
          <w:lang w:val="es-CO"/>
        </w:rPr>
        <w:t>Hoch</w:t>
      </w:r>
      <w:proofErr w:type="spellEnd"/>
      <w:r w:rsidRPr="00892DA4">
        <w:rPr>
          <w:lang w:val="es-CO"/>
        </w:rPr>
        <w:t xml:space="preserve"> &amp; </w:t>
      </w:r>
      <w:proofErr w:type="spellStart"/>
      <w:r w:rsidRPr="00892DA4">
        <w:rPr>
          <w:lang w:val="es-CO"/>
        </w:rPr>
        <w:t>Deighton</w:t>
      </w:r>
      <w:proofErr w:type="spellEnd"/>
      <w:r w:rsidR="002F02BF" w:rsidRPr="00892DA4">
        <w:rPr>
          <w:lang w:val="es-CO"/>
        </w:rPr>
        <w:t>,</w:t>
      </w:r>
      <w:r w:rsidRPr="00892DA4">
        <w:rPr>
          <w:lang w:val="es-CO"/>
        </w:rPr>
        <w:t xml:space="preserve"> 1989)</w:t>
      </w:r>
      <w:r w:rsidR="008257C5" w:rsidRPr="00892DA4">
        <w:rPr>
          <w:lang w:val="es-CO"/>
        </w:rPr>
        <w:t>,</w:t>
      </w:r>
      <w:r w:rsidRPr="00892DA4">
        <w:rPr>
          <w:lang w:val="es-CO"/>
        </w:rPr>
        <w:t xml:space="preserve"> según la cual, se asume que el consumidor adquiere la información para crear expectativas y que, una vez creadas, se pueden contrastar a manera de hipótesis; es decir, los consumidores aprenden al participar de un proceso de prueba de hipótesis. En est</w:t>
      </w:r>
      <w:r w:rsidR="00E33C5F">
        <w:rPr>
          <w:lang w:val="es-CO"/>
        </w:rPr>
        <w:t>e proceso</w:t>
      </w:r>
      <w:r w:rsidR="00180443" w:rsidRPr="00892DA4">
        <w:rPr>
          <w:lang w:val="es-CO"/>
        </w:rPr>
        <w:t>,</w:t>
      </w:r>
      <w:r w:rsidRPr="00892DA4">
        <w:rPr>
          <w:lang w:val="es-CO"/>
        </w:rPr>
        <w:t xml:space="preserve"> que se presenta cuando hay</w:t>
      </w:r>
      <w:r w:rsidR="00180443" w:rsidRPr="00892DA4">
        <w:rPr>
          <w:lang w:val="es-CO"/>
        </w:rPr>
        <w:t xml:space="preserve"> experiencias similares en el pasado</w:t>
      </w:r>
      <w:r w:rsidRPr="00892DA4">
        <w:rPr>
          <w:lang w:val="es-CO"/>
        </w:rPr>
        <w:t xml:space="preserve">, </w:t>
      </w:r>
      <w:r w:rsidR="00180443" w:rsidRPr="00892DA4">
        <w:rPr>
          <w:lang w:val="es-CO"/>
        </w:rPr>
        <w:t>la</w:t>
      </w:r>
      <w:r w:rsidRPr="00892DA4">
        <w:rPr>
          <w:lang w:val="es-CO"/>
        </w:rPr>
        <w:t xml:space="preserve"> información recibida previamente u obtenida por el boca-oído se contrasta y se comprara con la información nueva; por tanto, el consumidor pasa por cuatro etapas básicas: primero, genera la hipótesis; segundo, se expone a la evidencia; tercero, codifica la evidencia; y cuarto, integra la evidencia y creencias anteriores.</w:t>
      </w:r>
      <w:r w:rsidR="00180443" w:rsidRPr="00892DA4">
        <w:rPr>
          <w:lang w:val="es-CO"/>
        </w:rPr>
        <w:t xml:space="preserve"> </w:t>
      </w:r>
      <w:r w:rsidR="77AC9C31" w:rsidRPr="00892DA4">
        <w:rPr>
          <w:lang w:val="es-CO"/>
        </w:rPr>
        <w:t xml:space="preserve">Sin </w:t>
      </w:r>
      <w:r w:rsidR="002A371A" w:rsidRPr="00892DA4">
        <w:rPr>
          <w:lang w:val="es-CO"/>
        </w:rPr>
        <w:t>embargo,</w:t>
      </w:r>
      <w:r w:rsidR="77AC9C31" w:rsidRPr="00892DA4">
        <w:rPr>
          <w:lang w:val="es-CO"/>
        </w:rPr>
        <w:t xml:space="preserve"> </w:t>
      </w:r>
      <w:r w:rsidR="0A5C2D3C" w:rsidRPr="00892DA4">
        <w:rPr>
          <w:lang w:val="es-CO"/>
        </w:rPr>
        <w:t>e</w:t>
      </w:r>
      <w:r w:rsidRPr="00892DA4">
        <w:rPr>
          <w:lang w:val="es-CO"/>
        </w:rPr>
        <w:t>ste</w:t>
      </w:r>
      <w:r w:rsidR="00180443" w:rsidRPr="00892DA4">
        <w:rPr>
          <w:lang w:val="es-CO"/>
        </w:rPr>
        <w:t xml:space="preserve"> </w:t>
      </w:r>
      <w:r w:rsidRPr="00892DA4">
        <w:rPr>
          <w:lang w:val="es-CO"/>
        </w:rPr>
        <w:t>proceso puede verse afectado por la motivación (</w:t>
      </w:r>
      <w:proofErr w:type="spellStart"/>
      <w:r w:rsidRPr="00892DA4">
        <w:rPr>
          <w:lang w:val="es-CO"/>
        </w:rPr>
        <w:t>Hoyer</w:t>
      </w:r>
      <w:proofErr w:type="spellEnd"/>
      <w:r w:rsidRPr="00892DA4">
        <w:rPr>
          <w:lang w:val="es-CO"/>
        </w:rPr>
        <w:t xml:space="preserve"> et al., 2013), la familiaridad o capacidad previa (</w:t>
      </w:r>
      <w:proofErr w:type="spellStart"/>
      <w:r w:rsidRPr="00892DA4">
        <w:rPr>
          <w:lang w:val="es-CO"/>
        </w:rPr>
        <w:t>Brucks</w:t>
      </w:r>
      <w:proofErr w:type="spellEnd"/>
      <w:r w:rsidRPr="00892DA4">
        <w:rPr>
          <w:lang w:val="es-CO"/>
        </w:rPr>
        <w:t>, 1985), la ambigüedad del entorno de información (</w:t>
      </w:r>
      <w:proofErr w:type="spellStart"/>
      <w:r w:rsidRPr="00892DA4">
        <w:rPr>
          <w:lang w:val="es-CO"/>
        </w:rPr>
        <w:t>Hoch</w:t>
      </w:r>
      <w:proofErr w:type="spellEnd"/>
      <w:r w:rsidRPr="00892DA4">
        <w:rPr>
          <w:lang w:val="es-CO"/>
        </w:rPr>
        <w:t xml:space="preserve"> &amp; </w:t>
      </w:r>
      <w:proofErr w:type="spellStart"/>
      <w:r w:rsidRPr="00892DA4">
        <w:rPr>
          <w:lang w:val="es-CO"/>
        </w:rPr>
        <w:t>Deighton</w:t>
      </w:r>
      <w:proofErr w:type="spellEnd"/>
      <w:r w:rsidRPr="00892DA4">
        <w:rPr>
          <w:lang w:val="es-CO"/>
        </w:rPr>
        <w:t>, 1989), y los sesgos de procesamiento (</w:t>
      </w:r>
      <w:proofErr w:type="spellStart"/>
      <w:r w:rsidRPr="00892DA4">
        <w:rPr>
          <w:lang w:val="es-CO"/>
        </w:rPr>
        <w:t>Hoyer</w:t>
      </w:r>
      <w:proofErr w:type="spellEnd"/>
      <w:r w:rsidRPr="00892DA4">
        <w:rPr>
          <w:lang w:val="es-CO"/>
        </w:rPr>
        <w:t xml:space="preserve"> et al., 2013).</w:t>
      </w:r>
      <w:r w:rsidR="4AC321AD" w:rsidRPr="00892DA4">
        <w:rPr>
          <w:lang w:val="es-CO"/>
        </w:rPr>
        <w:t xml:space="preserve"> </w:t>
      </w:r>
    </w:p>
    <w:p w14:paraId="6EE0BF64" w14:textId="6A644498" w:rsidR="0020685F" w:rsidRPr="00892DA4" w:rsidRDefault="00006BB7" w:rsidP="008531D8">
      <w:pPr>
        <w:pStyle w:val="Prrafocomn"/>
        <w:jc w:val="left"/>
        <w:rPr>
          <w:lang w:val="es-CO"/>
        </w:rPr>
      </w:pPr>
      <w:r w:rsidRPr="00892DA4">
        <w:rPr>
          <w:lang w:val="es-CO"/>
        </w:rPr>
        <w:t xml:space="preserve">Aunque </w:t>
      </w:r>
      <w:r w:rsidR="4B549660" w:rsidRPr="00892DA4">
        <w:rPr>
          <w:lang w:val="es-CO"/>
        </w:rPr>
        <w:t xml:space="preserve">en la literatura se pueden encontrar </w:t>
      </w:r>
      <w:r w:rsidR="002A371A" w:rsidRPr="00892DA4">
        <w:rPr>
          <w:lang w:val="es-CO"/>
        </w:rPr>
        <w:t>otras teorías que</w:t>
      </w:r>
      <w:r w:rsidR="4B549660" w:rsidRPr="00892DA4">
        <w:rPr>
          <w:lang w:val="es-CO"/>
        </w:rPr>
        <w:t xml:space="preserve"> </w:t>
      </w:r>
      <w:r w:rsidR="01FD2B81" w:rsidRPr="00892DA4">
        <w:rPr>
          <w:lang w:val="es-CO"/>
        </w:rPr>
        <w:t>tratan</w:t>
      </w:r>
      <w:r w:rsidR="002A371A" w:rsidRPr="00892DA4">
        <w:rPr>
          <w:lang w:val="es-CO"/>
        </w:rPr>
        <w:t xml:space="preserve"> de</w:t>
      </w:r>
      <w:r w:rsidR="4B549660" w:rsidRPr="00892DA4">
        <w:rPr>
          <w:lang w:val="es-CO"/>
        </w:rPr>
        <w:t xml:space="preserve"> explicar este aprendizaje </w:t>
      </w:r>
      <w:r w:rsidRPr="00892DA4">
        <w:rPr>
          <w:lang w:val="es-CO"/>
        </w:rPr>
        <w:t>desde perspectivas</w:t>
      </w:r>
      <w:r w:rsidR="009310BA" w:rsidRPr="00892DA4">
        <w:rPr>
          <w:lang w:val="es-CO"/>
        </w:rPr>
        <w:t xml:space="preserve"> de</w:t>
      </w:r>
      <w:r w:rsidRPr="00892DA4">
        <w:rPr>
          <w:lang w:val="es-CO"/>
        </w:rPr>
        <w:t xml:space="preserve"> </w:t>
      </w:r>
      <w:r w:rsidR="05CF7230" w:rsidRPr="00892DA4">
        <w:rPr>
          <w:lang w:val="es-CO"/>
        </w:rPr>
        <w:t>modelos de decisi</w:t>
      </w:r>
      <w:r w:rsidR="002A371A" w:rsidRPr="00892DA4">
        <w:rPr>
          <w:lang w:val="es-CO"/>
        </w:rPr>
        <w:t>ó</w:t>
      </w:r>
      <w:r w:rsidR="05CF7230" w:rsidRPr="00892DA4">
        <w:rPr>
          <w:lang w:val="es-CO"/>
        </w:rPr>
        <w:t>n</w:t>
      </w:r>
      <w:r w:rsidRPr="00892DA4">
        <w:rPr>
          <w:lang w:val="es-CO"/>
        </w:rPr>
        <w:t xml:space="preserve"> (</w:t>
      </w:r>
      <w:proofErr w:type="spellStart"/>
      <w:r w:rsidR="009310BA" w:rsidRPr="00892DA4">
        <w:rPr>
          <w:lang w:val="es-CO"/>
        </w:rPr>
        <w:t>Foxall</w:t>
      </w:r>
      <w:proofErr w:type="spellEnd"/>
      <w:r w:rsidR="009310BA" w:rsidRPr="00892DA4">
        <w:rPr>
          <w:lang w:val="es-CO"/>
        </w:rPr>
        <w:t xml:space="preserve">, 2016; Kahneman, 2003), </w:t>
      </w:r>
      <w:r w:rsidR="00FB5188" w:rsidRPr="00892DA4">
        <w:rPr>
          <w:lang w:val="es-CO"/>
        </w:rPr>
        <w:t>no se ha encontrado suficiente claridad</w:t>
      </w:r>
      <w:r w:rsidR="0020685F" w:rsidRPr="00892DA4">
        <w:rPr>
          <w:lang w:val="es-CO"/>
        </w:rPr>
        <w:t xml:space="preserve"> en su definición</w:t>
      </w:r>
      <w:r w:rsidR="774DC99F" w:rsidRPr="00892DA4">
        <w:rPr>
          <w:lang w:val="es-CO"/>
        </w:rPr>
        <w:t xml:space="preserve"> de </w:t>
      </w:r>
      <w:r w:rsidR="009310BA" w:rsidRPr="00892DA4">
        <w:rPr>
          <w:lang w:val="es-CO"/>
        </w:rPr>
        <w:t>cómo</w:t>
      </w:r>
      <w:r w:rsidR="774DC99F" w:rsidRPr="00892DA4">
        <w:rPr>
          <w:lang w:val="es-CO"/>
        </w:rPr>
        <w:t xml:space="preserve"> </w:t>
      </w:r>
      <w:r w:rsidR="009310BA" w:rsidRPr="00892DA4">
        <w:rPr>
          <w:lang w:val="es-CO"/>
        </w:rPr>
        <w:t>ocurre</w:t>
      </w:r>
      <w:r w:rsidR="774DC99F" w:rsidRPr="00892DA4">
        <w:rPr>
          <w:lang w:val="es-CO"/>
        </w:rPr>
        <w:t xml:space="preserve"> </w:t>
      </w:r>
      <w:r w:rsidR="009310BA" w:rsidRPr="00892DA4">
        <w:rPr>
          <w:lang w:val="es-CO"/>
        </w:rPr>
        <w:t>el</w:t>
      </w:r>
      <w:r w:rsidR="774DC99F" w:rsidRPr="00892DA4">
        <w:rPr>
          <w:lang w:val="es-CO"/>
        </w:rPr>
        <w:t xml:space="preserve"> proceso de aprendizaje en el consumidor</w:t>
      </w:r>
      <w:r w:rsidR="009310BA" w:rsidRPr="00892DA4">
        <w:rPr>
          <w:lang w:val="es-CO"/>
        </w:rPr>
        <w:t>,</w:t>
      </w:r>
      <w:r w:rsidR="00FB5188" w:rsidRPr="00892DA4">
        <w:rPr>
          <w:lang w:val="es-CO"/>
        </w:rPr>
        <w:t xml:space="preserve"> pues</w:t>
      </w:r>
      <w:r w:rsidR="0020685F" w:rsidRPr="00892DA4">
        <w:rPr>
          <w:lang w:val="es-CO"/>
        </w:rPr>
        <w:t xml:space="preserve"> basan su concepción en el efecto de contrastación de hipótesis de consumo</w:t>
      </w:r>
      <w:r w:rsidR="00FB5188" w:rsidRPr="00892DA4">
        <w:rPr>
          <w:lang w:val="es-CO"/>
        </w:rPr>
        <w:t xml:space="preserve"> (</w:t>
      </w:r>
      <w:proofErr w:type="spellStart"/>
      <w:r w:rsidR="00FB5188" w:rsidRPr="00892DA4">
        <w:rPr>
          <w:lang w:val="es-CO"/>
        </w:rPr>
        <w:t>Hoch</w:t>
      </w:r>
      <w:proofErr w:type="spellEnd"/>
      <w:r w:rsidR="00FB5188" w:rsidRPr="00892DA4">
        <w:rPr>
          <w:lang w:val="es-CO"/>
        </w:rPr>
        <w:t xml:space="preserve"> &amp; </w:t>
      </w:r>
      <w:proofErr w:type="spellStart"/>
      <w:r w:rsidR="00FB5188" w:rsidRPr="00892DA4">
        <w:rPr>
          <w:lang w:val="es-CO"/>
        </w:rPr>
        <w:t>Deighton</w:t>
      </w:r>
      <w:proofErr w:type="spellEnd"/>
      <w:r w:rsidR="00FB5188" w:rsidRPr="00892DA4">
        <w:rPr>
          <w:lang w:val="es-CO"/>
        </w:rPr>
        <w:t>, 1989)</w:t>
      </w:r>
      <w:r w:rsidR="2A8CB8DF" w:rsidRPr="00892DA4">
        <w:rPr>
          <w:lang w:val="es-CO"/>
        </w:rPr>
        <w:t>,</w:t>
      </w:r>
      <w:r w:rsidR="009310BA" w:rsidRPr="00892DA4">
        <w:rPr>
          <w:lang w:val="es-CO"/>
        </w:rPr>
        <w:t xml:space="preserve"> en el análisis de los antecedentes y consecuencias del consumo </w:t>
      </w:r>
      <w:r w:rsidR="00FB5188" w:rsidRPr="00892DA4">
        <w:rPr>
          <w:lang w:val="es-CO"/>
        </w:rPr>
        <w:t>(</w:t>
      </w:r>
      <w:proofErr w:type="spellStart"/>
      <w:r w:rsidR="00FB5188" w:rsidRPr="00892DA4">
        <w:rPr>
          <w:lang w:val="es-CO"/>
        </w:rPr>
        <w:t>Foxall</w:t>
      </w:r>
      <w:proofErr w:type="spellEnd"/>
      <w:r w:rsidR="00FB5188" w:rsidRPr="00892DA4">
        <w:rPr>
          <w:lang w:val="es-CO"/>
        </w:rPr>
        <w:t xml:space="preserve">, 2016) </w:t>
      </w:r>
      <w:r w:rsidR="009310BA" w:rsidRPr="00892DA4">
        <w:rPr>
          <w:lang w:val="es-CO"/>
        </w:rPr>
        <w:t>o en la información disponible para tomar decisiones</w:t>
      </w:r>
      <w:r w:rsidR="00FB5188" w:rsidRPr="00892DA4">
        <w:rPr>
          <w:lang w:val="es-CO"/>
        </w:rPr>
        <w:t xml:space="preserve"> (Kahneman, 2003)</w:t>
      </w:r>
      <w:r w:rsidR="0020685F" w:rsidRPr="00892DA4">
        <w:rPr>
          <w:lang w:val="es-CO"/>
        </w:rPr>
        <w:t xml:space="preserve">; </w:t>
      </w:r>
      <w:r w:rsidR="421A0DD6" w:rsidRPr="00892DA4">
        <w:rPr>
          <w:lang w:val="es-CO"/>
        </w:rPr>
        <w:t xml:space="preserve">por </w:t>
      </w:r>
      <w:r w:rsidR="1CE7247B" w:rsidRPr="00892DA4">
        <w:rPr>
          <w:lang w:val="es-CO"/>
        </w:rPr>
        <w:t>ejemplo,</w:t>
      </w:r>
      <w:r w:rsidR="0020685F" w:rsidRPr="00892DA4">
        <w:rPr>
          <w:lang w:val="es-CO"/>
        </w:rPr>
        <w:t xml:space="preserve"> la definición de ambigüedad es vista como falta de información para contrastar expectativas, contrario a las teorías de aprendizaje en las que se entiende como cambios en el significado de la información</w:t>
      </w:r>
      <w:r w:rsidR="00894977" w:rsidRPr="00892DA4">
        <w:rPr>
          <w:lang w:val="es-CO"/>
        </w:rPr>
        <w:t xml:space="preserve"> (</w:t>
      </w:r>
      <w:proofErr w:type="spellStart"/>
      <w:r w:rsidR="00894977" w:rsidRPr="00892DA4">
        <w:rPr>
          <w:lang w:val="es-CO"/>
        </w:rPr>
        <w:t>Bouton</w:t>
      </w:r>
      <w:proofErr w:type="spellEnd"/>
      <w:r w:rsidR="00894977" w:rsidRPr="00892DA4">
        <w:rPr>
          <w:lang w:val="es-CO"/>
        </w:rPr>
        <w:t>, 1997</w:t>
      </w:r>
      <w:r w:rsidR="0051135D" w:rsidRPr="00892DA4">
        <w:rPr>
          <w:lang w:val="es-CO"/>
        </w:rPr>
        <w:t>; Rosas et al., 2006</w:t>
      </w:r>
      <w:r w:rsidR="00894977" w:rsidRPr="00892DA4">
        <w:rPr>
          <w:lang w:val="es-CO"/>
        </w:rPr>
        <w:t>)</w:t>
      </w:r>
      <w:r w:rsidR="008257C5" w:rsidRPr="00892DA4">
        <w:rPr>
          <w:lang w:val="es-CO"/>
        </w:rPr>
        <w:t>. I</w:t>
      </w:r>
      <w:r w:rsidR="0020685F" w:rsidRPr="00892DA4">
        <w:rPr>
          <w:lang w:val="es-CO"/>
        </w:rPr>
        <w:t xml:space="preserve">ncluso, </w:t>
      </w:r>
      <w:r w:rsidR="002D23FD" w:rsidRPr="00892DA4">
        <w:rPr>
          <w:lang w:val="es-CO"/>
        </w:rPr>
        <w:t>algunos</w:t>
      </w:r>
      <w:r w:rsidR="0020685F" w:rsidRPr="00892DA4">
        <w:rPr>
          <w:lang w:val="es-CO"/>
        </w:rPr>
        <w:t xml:space="preserve"> modelos de decisión explican </w:t>
      </w:r>
      <w:r w:rsidR="0086449C" w:rsidRPr="00892DA4">
        <w:rPr>
          <w:lang w:val="es-CO"/>
        </w:rPr>
        <w:t xml:space="preserve">este </w:t>
      </w:r>
      <w:r w:rsidR="00BF0E9A" w:rsidRPr="00892DA4">
        <w:rPr>
          <w:lang w:val="es-CO"/>
        </w:rPr>
        <w:t xml:space="preserve">fenómeno </w:t>
      </w:r>
      <w:r w:rsidR="0020685F" w:rsidRPr="00892DA4">
        <w:rPr>
          <w:lang w:val="es-CO"/>
        </w:rPr>
        <w:t>como incertidumbre (Kahneman</w:t>
      </w:r>
      <w:r w:rsidR="006C7BCE" w:rsidRPr="00892DA4">
        <w:rPr>
          <w:lang w:val="es-CO"/>
        </w:rPr>
        <w:t>,</w:t>
      </w:r>
      <w:r w:rsidR="0020685F" w:rsidRPr="00892DA4">
        <w:rPr>
          <w:lang w:val="es-CO"/>
        </w:rPr>
        <w:t xml:space="preserve"> 2003).</w:t>
      </w:r>
    </w:p>
    <w:p w14:paraId="7B728C6A" w14:textId="1B25DFDB" w:rsidR="00B318D4" w:rsidRPr="00892DA4" w:rsidRDefault="00B318D4" w:rsidP="000A2954">
      <w:pPr>
        <w:pStyle w:val="SubtituloInterno"/>
        <w:rPr>
          <w:lang w:val="es-CO"/>
        </w:rPr>
      </w:pPr>
      <w:r w:rsidRPr="00892DA4">
        <w:rPr>
          <w:lang w:val="es-CO"/>
        </w:rPr>
        <w:lastRenderedPageBreak/>
        <w:t>Aprendizaje Asociativo</w:t>
      </w:r>
    </w:p>
    <w:p w14:paraId="391AA1AA" w14:textId="3A9C6AE7" w:rsidR="00B318D4" w:rsidRPr="00892DA4" w:rsidRDefault="00B318D4" w:rsidP="000A2954">
      <w:pPr>
        <w:pStyle w:val="SubtituloInterno"/>
        <w:rPr>
          <w:b w:val="0"/>
          <w:bCs/>
          <w:i w:val="0"/>
          <w:iCs/>
          <w:lang w:val="es-CO"/>
        </w:rPr>
      </w:pPr>
      <w:r w:rsidRPr="00892DA4">
        <w:rPr>
          <w:lang w:val="es-CO"/>
        </w:rPr>
        <w:tab/>
      </w:r>
      <w:r w:rsidRPr="00892DA4">
        <w:rPr>
          <w:b w:val="0"/>
          <w:bCs/>
          <w:i w:val="0"/>
          <w:iCs/>
          <w:lang w:val="es-CO"/>
        </w:rPr>
        <w:t xml:space="preserve">Desde la perspectiva de la psicología básica el aprendizaje se puede explicar mediante las relaciones estímulo - respuesta (E-R) y estímulo - estímulo (E-E) derivadas de la tradición experimental del condicionamiento clásico </w:t>
      </w:r>
      <w:proofErr w:type="spellStart"/>
      <w:r w:rsidRPr="00892DA4">
        <w:rPr>
          <w:b w:val="0"/>
          <w:bCs/>
          <w:i w:val="0"/>
          <w:iCs/>
          <w:lang w:val="es-CO"/>
        </w:rPr>
        <w:t>Pavlov</w:t>
      </w:r>
      <w:r w:rsidR="00C97423">
        <w:rPr>
          <w:b w:val="0"/>
          <w:bCs/>
          <w:i w:val="0"/>
          <w:iCs/>
          <w:lang w:val="es-CO"/>
        </w:rPr>
        <w:t>iano</w:t>
      </w:r>
      <w:proofErr w:type="spellEnd"/>
      <w:r w:rsidR="00EE154D">
        <w:rPr>
          <w:b w:val="0"/>
          <w:bCs/>
          <w:i w:val="0"/>
          <w:iCs/>
          <w:lang w:val="es-CO"/>
        </w:rPr>
        <w:t xml:space="preserve"> (</w:t>
      </w:r>
      <w:proofErr w:type="spellStart"/>
      <w:r w:rsidR="00EE154D">
        <w:rPr>
          <w:b w:val="0"/>
          <w:bCs/>
          <w:i w:val="0"/>
          <w:iCs/>
          <w:lang w:val="es-CO"/>
        </w:rPr>
        <w:t>Bouton</w:t>
      </w:r>
      <w:proofErr w:type="spellEnd"/>
      <w:r w:rsidR="00EE154D">
        <w:rPr>
          <w:b w:val="0"/>
          <w:bCs/>
          <w:i w:val="0"/>
          <w:iCs/>
          <w:lang w:val="es-CO"/>
        </w:rPr>
        <w:t xml:space="preserve">, 1993; Pearce &amp; Hall, 1980; </w:t>
      </w:r>
      <w:proofErr w:type="spellStart"/>
      <w:r w:rsidR="00EE154D">
        <w:rPr>
          <w:b w:val="0"/>
          <w:bCs/>
          <w:i w:val="0"/>
          <w:iCs/>
          <w:lang w:val="es-CO"/>
        </w:rPr>
        <w:t>Rescorla</w:t>
      </w:r>
      <w:proofErr w:type="spellEnd"/>
      <w:r w:rsidR="00EE154D">
        <w:rPr>
          <w:b w:val="0"/>
          <w:bCs/>
          <w:i w:val="0"/>
          <w:iCs/>
          <w:lang w:val="es-CO"/>
        </w:rPr>
        <w:t xml:space="preserve"> &amp; Wagner, 1972)</w:t>
      </w:r>
      <w:r w:rsidRPr="00892DA4">
        <w:rPr>
          <w:b w:val="0"/>
          <w:bCs/>
          <w:i w:val="0"/>
          <w:iCs/>
          <w:lang w:val="es-CO"/>
        </w:rPr>
        <w:t xml:space="preserve">. Esta aproximación permite establecer cómo las personas toman decisiones y actúan (responden) a partir de las asociaciones que hacen de los elementos (estímulos) presentes en una situación particular. Esta </w:t>
      </w:r>
      <w:r w:rsidR="004E79B1" w:rsidRPr="00892DA4">
        <w:rPr>
          <w:b w:val="0"/>
          <w:bCs/>
          <w:i w:val="0"/>
          <w:iCs/>
          <w:lang w:val="es-CO"/>
        </w:rPr>
        <w:t>perspectiva</w:t>
      </w:r>
      <w:r w:rsidRPr="00892DA4">
        <w:rPr>
          <w:b w:val="0"/>
          <w:bCs/>
          <w:i w:val="0"/>
          <w:iCs/>
          <w:lang w:val="es-CO"/>
        </w:rPr>
        <w:t xml:space="preserve"> se conoce como aprendizaje asociativo</w:t>
      </w:r>
      <w:r w:rsidR="008257C5" w:rsidRPr="00892DA4">
        <w:rPr>
          <w:b w:val="0"/>
          <w:bCs/>
          <w:i w:val="0"/>
          <w:iCs/>
          <w:lang w:val="es-CO"/>
        </w:rPr>
        <w:t>,</w:t>
      </w:r>
      <w:r w:rsidRPr="00892DA4">
        <w:rPr>
          <w:b w:val="0"/>
          <w:bCs/>
          <w:i w:val="0"/>
          <w:iCs/>
          <w:lang w:val="es-CO"/>
        </w:rPr>
        <w:t xml:space="preserve"> y el estudio de los mecanismos psicológicos implicados en este proceso ha</w:t>
      </w:r>
      <w:r w:rsidR="00556550" w:rsidRPr="00892DA4">
        <w:rPr>
          <w:b w:val="0"/>
          <w:bCs/>
          <w:i w:val="0"/>
          <w:iCs/>
          <w:lang w:val="es-CO"/>
        </w:rPr>
        <w:t>n</w:t>
      </w:r>
      <w:r w:rsidRPr="00892DA4">
        <w:rPr>
          <w:b w:val="0"/>
          <w:bCs/>
          <w:i w:val="0"/>
          <w:iCs/>
          <w:lang w:val="es-CO"/>
        </w:rPr>
        <w:t xml:space="preserve"> permitido establecer la capacidad de los seres humanos (y no humanos) para predecir la aparición de estímulos o eventos (Le </w:t>
      </w:r>
      <w:proofErr w:type="spellStart"/>
      <w:r w:rsidRPr="00892DA4">
        <w:rPr>
          <w:b w:val="0"/>
          <w:bCs/>
          <w:i w:val="0"/>
          <w:iCs/>
          <w:lang w:val="es-CO"/>
        </w:rPr>
        <w:t>Pelley</w:t>
      </w:r>
      <w:proofErr w:type="spellEnd"/>
      <w:r w:rsidRPr="00892DA4">
        <w:rPr>
          <w:b w:val="0"/>
          <w:bCs/>
          <w:i w:val="0"/>
          <w:iCs/>
          <w:lang w:val="es-CO"/>
        </w:rPr>
        <w:t xml:space="preserve"> et al., 201</w:t>
      </w:r>
      <w:r w:rsidR="00431A0A">
        <w:rPr>
          <w:b w:val="0"/>
          <w:bCs/>
          <w:i w:val="0"/>
          <w:iCs/>
          <w:lang w:val="es-CO"/>
        </w:rPr>
        <w:t xml:space="preserve">1, </w:t>
      </w:r>
      <w:r w:rsidRPr="00892DA4">
        <w:rPr>
          <w:b w:val="0"/>
          <w:bCs/>
          <w:i w:val="0"/>
          <w:iCs/>
          <w:lang w:val="es-CO"/>
        </w:rPr>
        <w:t>201</w:t>
      </w:r>
      <w:r w:rsidR="00431A0A">
        <w:rPr>
          <w:b w:val="0"/>
          <w:bCs/>
          <w:i w:val="0"/>
          <w:iCs/>
          <w:lang w:val="es-CO"/>
        </w:rPr>
        <w:t>6</w:t>
      </w:r>
      <w:r w:rsidRPr="00892DA4">
        <w:rPr>
          <w:b w:val="0"/>
          <w:bCs/>
          <w:i w:val="0"/>
          <w:iCs/>
          <w:lang w:val="es-CO"/>
        </w:rPr>
        <w:t xml:space="preserve">). </w:t>
      </w:r>
    </w:p>
    <w:p w14:paraId="4E3251A2" w14:textId="3EFB7EC2" w:rsidR="00B318D4" w:rsidRDefault="00B318D4" w:rsidP="00FC1A7B">
      <w:pPr>
        <w:pStyle w:val="SubtituloInterno"/>
        <w:ind w:firstLine="720"/>
        <w:rPr>
          <w:b w:val="0"/>
          <w:i w:val="0"/>
          <w:lang w:val="es-CO"/>
        </w:rPr>
      </w:pPr>
      <w:r w:rsidRPr="00892DA4">
        <w:rPr>
          <w:b w:val="0"/>
          <w:i w:val="0"/>
          <w:lang w:val="es-CO"/>
        </w:rPr>
        <w:t>Una aplicación del estudio del aprendizaje asociativo en el ámbito del consumo se puede</w:t>
      </w:r>
      <w:r w:rsidR="00892DA4" w:rsidRPr="00892DA4">
        <w:rPr>
          <w:b w:val="0"/>
          <w:i w:val="0"/>
          <w:lang w:val="es-CO"/>
        </w:rPr>
        <w:t xml:space="preserve"> </w:t>
      </w:r>
      <w:r w:rsidR="148341D1" w:rsidRPr="00892DA4">
        <w:rPr>
          <w:b w:val="0"/>
          <w:i w:val="0"/>
          <w:lang w:val="es-CO"/>
        </w:rPr>
        <w:t xml:space="preserve">encontrar </w:t>
      </w:r>
      <w:r w:rsidRPr="00892DA4">
        <w:rPr>
          <w:b w:val="0"/>
          <w:i w:val="0"/>
          <w:lang w:val="es-CO"/>
        </w:rPr>
        <w:t xml:space="preserve">cuando </w:t>
      </w:r>
      <w:r w:rsidR="008257C5" w:rsidRPr="00892DA4">
        <w:rPr>
          <w:b w:val="0"/>
          <w:i w:val="0"/>
          <w:lang w:val="es-CO"/>
        </w:rPr>
        <w:t>el</w:t>
      </w:r>
      <w:r w:rsidRPr="00892DA4">
        <w:rPr>
          <w:b w:val="0"/>
          <w:i w:val="0"/>
          <w:lang w:val="es-CO"/>
        </w:rPr>
        <w:t xml:space="preserve"> consumidor se </w:t>
      </w:r>
      <w:r w:rsidR="00892DA4" w:rsidRPr="00892DA4">
        <w:rPr>
          <w:b w:val="0"/>
          <w:i w:val="0"/>
          <w:lang w:val="es-CO"/>
        </w:rPr>
        <w:t>enfrenta a</w:t>
      </w:r>
      <w:r w:rsidRPr="00892DA4">
        <w:rPr>
          <w:b w:val="0"/>
          <w:i w:val="0"/>
          <w:lang w:val="es-CO"/>
        </w:rPr>
        <w:t xml:space="preserve"> </w:t>
      </w:r>
      <w:r w:rsidR="008257C5" w:rsidRPr="00892DA4">
        <w:rPr>
          <w:b w:val="0"/>
          <w:i w:val="0"/>
          <w:lang w:val="es-CO"/>
        </w:rPr>
        <w:t>una</w:t>
      </w:r>
      <w:r w:rsidRPr="00892DA4">
        <w:rPr>
          <w:b w:val="0"/>
          <w:i w:val="0"/>
          <w:lang w:val="es-CO"/>
        </w:rPr>
        <w:t xml:space="preserve"> situación de compra. Todos los elementos presentes en esa situación (la tienda, los muebles de exhibición, los productos, otros compradores, asesores, información sobre descuentos, ofertas, sonidos, etc.) constituyen los estímulos que el consumidor asociará</w:t>
      </w:r>
      <w:r w:rsidR="008257C5" w:rsidRPr="00892DA4">
        <w:rPr>
          <w:b w:val="0"/>
          <w:i w:val="0"/>
          <w:lang w:val="es-CO"/>
        </w:rPr>
        <w:t xml:space="preserve"> en esa experiencia</w:t>
      </w:r>
      <w:r w:rsidR="00C16FF8">
        <w:rPr>
          <w:b w:val="0"/>
          <w:i w:val="0"/>
          <w:lang w:val="es-CO"/>
        </w:rPr>
        <w:t xml:space="preserve"> (</w:t>
      </w:r>
      <w:proofErr w:type="spellStart"/>
      <w:r w:rsidR="00C16FF8" w:rsidRPr="00C16FF8">
        <w:rPr>
          <w:b w:val="0"/>
          <w:i w:val="0"/>
          <w:lang w:val="es-CO"/>
        </w:rPr>
        <w:t>Turley</w:t>
      </w:r>
      <w:proofErr w:type="spellEnd"/>
      <w:r w:rsidR="00C16FF8" w:rsidRPr="00C16FF8">
        <w:rPr>
          <w:b w:val="0"/>
          <w:i w:val="0"/>
          <w:lang w:val="es-CO"/>
        </w:rPr>
        <w:t xml:space="preserve"> &amp; </w:t>
      </w:r>
      <w:proofErr w:type="spellStart"/>
      <w:r w:rsidR="00C16FF8" w:rsidRPr="00C16FF8">
        <w:rPr>
          <w:b w:val="0"/>
          <w:i w:val="0"/>
          <w:lang w:val="es-CO"/>
        </w:rPr>
        <w:t>Milliman</w:t>
      </w:r>
      <w:proofErr w:type="spellEnd"/>
      <w:r w:rsidR="00C16FF8" w:rsidRPr="00C16FF8">
        <w:rPr>
          <w:b w:val="0"/>
          <w:i w:val="0"/>
          <w:lang w:val="es-CO"/>
        </w:rPr>
        <w:t>, 2000</w:t>
      </w:r>
      <w:r w:rsidR="00C16FF8">
        <w:rPr>
          <w:b w:val="0"/>
          <w:i w:val="0"/>
          <w:lang w:val="es-CO"/>
        </w:rPr>
        <w:t>)</w:t>
      </w:r>
      <w:r w:rsidRPr="00892DA4">
        <w:rPr>
          <w:b w:val="0"/>
          <w:i w:val="0"/>
          <w:lang w:val="es-CO"/>
        </w:rPr>
        <w:t xml:space="preserve">. Sin embargo, </w:t>
      </w:r>
      <w:r w:rsidR="008257C5" w:rsidRPr="00892DA4">
        <w:rPr>
          <w:b w:val="0"/>
          <w:i w:val="0"/>
          <w:lang w:val="es-CO"/>
        </w:rPr>
        <w:t xml:space="preserve">para que sean procesados, </w:t>
      </w:r>
      <w:r w:rsidRPr="00892DA4">
        <w:rPr>
          <w:b w:val="0"/>
          <w:i w:val="0"/>
          <w:lang w:val="es-CO"/>
        </w:rPr>
        <w:t>esos estímulos deben ser atendidos por el consumidor para seleccionar los que ofrecen la información relevante para tomar la decisión de compra. Así, el consumidor buscará el producto específico que desea comprar y este producto brindará información adicional sobre sus atributos; por ejemplo, ingredientes, empaque</w:t>
      </w:r>
      <w:r w:rsidR="008257C5" w:rsidRPr="00892DA4">
        <w:rPr>
          <w:b w:val="0"/>
          <w:i w:val="0"/>
          <w:lang w:val="es-CO"/>
        </w:rPr>
        <w:t xml:space="preserve"> o tamaño</w:t>
      </w:r>
      <w:r w:rsidR="007A18A5">
        <w:rPr>
          <w:b w:val="0"/>
          <w:i w:val="0"/>
          <w:lang w:val="es-CO"/>
        </w:rPr>
        <w:t xml:space="preserve"> y t</w:t>
      </w:r>
      <w:r w:rsidR="1CAB576B" w:rsidRPr="00892DA4">
        <w:rPr>
          <w:b w:val="0"/>
          <w:i w:val="0"/>
          <w:lang w:val="es-CO"/>
        </w:rPr>
        <w:t xml:space="preserve">odos los demás estímulos presentes en la situación de compra </w:t>
      </w:r>
      <w:r w:rsidR="007A18A5">
        <w:rPr>
          <w:b w:val="0"/>
          <w:i w:val="0"/>
          <w:lang w:val="es-CO"/>
        </w:rPr>
        <w:t>conformarán</w:t>
      </w:r>
      <w:r w:rsidR="1CAB576B" w:rsidRPr="00892DA4">
        <w:rPr>
          <w:b w:val="0"/>
          <w:i w:val="0"/>
          <w:lang w:val="es-CO"/>
        </w:rPr>
        <w:t xml:space="preserve"> el contexto (o estímulos contextuales), </w:t>
      </w:r>
      <w:r w:rsidR="007A18A5">
        <w:rPr>
          <w:b w:val="0"/>
          <w:i w:val="0"/>
          <w:lang w:val="es-CO"/>
        </w:rPr>
        <w:t>que</w:t>
      </w:r>
      <w:r w:rsidR="1CAB576B" w:rsidRPr="00892DA4">
        <w:rPr>
          <w:b w:val="0"/>
          <w:i w:val="0"/>
          <w:lang w:val="es-CO"/>
        </w:rPr>
        <w:t xml:space="preserve"> también hacen parte de los elementos que son procesados y aprendidos por el consumidor (</w:t>
      </w:r>
      <w:r w:rsidR="00B3558A">
        <w:rPr>
          <w:b w:val="0"/>
          <w:i w:val="0"/>
          <w:lang w:val="es-CO"/>
        </w:rPr>
        <w:t>Autor</w:t>
      </w:r>
      <w:r w:rsidR="1CAB576B" w:rsidRPr="00892DA4">
        <w:rPr>
          <w:b w:val="0"/>
          <w:i w:val="0"/>
          <w:lang w:val="es-CO"/>
        </w:rPr>
        <w:t xml:space="preserve"> et al., 2016, 2017; León et al., 2011). </w:t>
      </w:r>
      <w:r w:rsidRPr="00892DA4">
        <w:rPr>
          <w:b w:val="0"/>
          <w:i w:val="0"/>
          <w:lang w:val="es-CO"/>
        </w:rPr>
        <w:t>Si el consumidor presta atención a dos de esos estímulos</w:t>
      </w:r>
      <w:r w:rsidR="008257C5" w:rsidRPr="00892DA4">
        <w:rPr>
          <w:b w:val="0"/>
          <w:i w:val="0"/>
          <w:lang w:val="es-CO"/>
        </w:rPr>
        <w:t>, uno contextual</w:t>
      </w:r>
      <w:r w:rsidRPr="00892DA4">
        <w:rPr>
          <w:b w:val="0"/>
          <w:i w:val="0"/>
          <w:lang w:val="es-CO"/>
        </w:rPr>
        <w:t xml:space="preserve"> (por ejemplo,</w:t>
      </w:r>
      <w:r w:rsidR="008257C5" w:rsidRPr="00892DA4">
        <w:rPr>
          <w:b w:val="0"/>
          <w:i w:val="0"/>
          <w:lang w:val="es-CO"/>
        </w:rPr>
        <w:t xml:space="preserve"> el </w:t>
      </w:r>
      <w:r w:rsidRPr="00892DA4">
        <w:rPr>
          <w:b w:val="0"/>
          <w:i w:val="0"/>
          <w:lang w:val="es-CO"/>
        </w:rPr>
        <w:t>descuento)</w:t>
      </w:r>
      <w:r w:rsidR="008257C5" w:rsidRPr="00892DA4">
        <w:rPr>
          <w:b w:val="0"/>
          <w:i w:val="0"/>
          <w:lang w:val="es-CO"/>
        </w:rPr>
        <w:t xml:space="preserve"> y uno específico del producto (por ejemplo, el empaque),</w:t>
      </w:r>
      <w:r w:rsidRPr="00892DA4">
        <w:rPr>
          <w:b w:val="0"/>
          <w:i w:val="0"/>
          <w:lang w:val="es-CO"/>
        </w:rPr>
        <w:t xml:space="preserve"> la asociación generada por la presentación simultánea del producto </w:t>
      </w:r>
      <w:r w:rsidR="008257C5" w:rsidRPr="00892DA4">
        <w:rPr>
          <w:b w:val="0"/>
          <w:i w:val="0"/>
          <w:lang w:val="es-CO"/>
        </w:rPr>
        <w:t xml:space="preserve">en su empaque </w:t>
      </w:r>
      <w:r w:rsidRPr="00892DA4">
        <w:rPr>
          <w:b w:val="0"/>
          <w:i w:val="0"/>
          <w:lang w:val="es-CO"/>
        </w:rPr>
        <w:t xml:space="preserve">con el </w:t>
      </w:r>
      <w:r w:rsidR="00C45680" w:rsidRPr="00892DA4">
        <w:rPr>
          <w:b w:val="0"/>
          <w:i w:val="0"/>
          <w:lang w:val="es-CO"/>
        </w:rPr>
        <w:t>descuento</w:t>
      </w:r>
      <w:r w:rsidRPr="00892DA4">
        <w:rPr>
          <w:b w:val="0"/>
          <w:i w:val="0"/>
          <w:lang w:val="es-CO"/>
        </w:rPr>
        <w:t xml:space="preserve"> propicia en el consumidor el aprendizaje de una promoción de venta (</w:t>
      </w:r>
      <w:proofErr w:type="spellStart"/>
      <w:r w:rsidRPr="00892DA4">
        <w:rPr>
          <w:b w:val="0"/>
          <w:i w:val="0"/>
          <w:lang w:val="es-CO"/>
        </w:rPr>
        <w:t>Alimpi</w:t>
      </w:r>
      <w:r w:rsidR="002D559D">
        <w:rPr>
          <w:b w:val="0"/>
          <w:i w:val="0"/>
          <w:lang w:val="es-CO"/>
        </w:rPr>
        <w:t>c</w:t>
      </w:r>
      <w:proofErr w:type="spellEnd"/>
      <w:r w:rsidR="002D559D">
        <w:rPr>
          <w:b w:val="0"/>
          <w:i w:val="0"/>
          <w:lang w:val="es-CO"/>
        </w:rPr>
        <w:t>,</w:t>
      </w:r>
      <w:r w:rsidRPr="00892DA4">
        <w:rPr>
          <w:b w:val="0"/>
          <w:i w:val="0"/>
          <w:lang w:val="es-CO"/>
        </w:rPr>
        <w:t xml:space="preserve"> 2014; </w:t>
      </w:r>
      <w:proofErr w:type="spellStart"/>
      <w:r w:rsidRPr="00892DA4">
        <w:rPr>
          <w:b w:val="0"/>
          <w:i w:val="0"/>
          <w:lang w:val="es-CO"/>
        </w:rPr>
        <w:t>Nusair</w:t>
      </w:r>
      <w:proofErr w:type="spellEnd"/>
      <w:r w:rsidRPr="00892DA4">
        <w:rPr>
          <w:b w:val="0"/>
          <w:i w:val="0"/>
          <w:lang w:val="es-CO"/>
        </w:rPr>
        <w:t xml:space="preserve"> et al., 2010)</w:t>
      </w:r>
      <w:r w:rsidR="009A1900" w:rsidRPr="00892DA4">
        <w:rPr>
          <w:b w:val="0"/>
          <w:i w:val="0"/>
          <w:lang w:val="es-CO"/>
        </w:rPr>
        <w:t>.</w:t>
      </w:r>
      <w:r w:rsidR="00FC1A7B">
        <w:rPr>
          <w:b w:val="0"/>
          <w:i w:val="0"/>
          <w:lang w:val="es-CO"/>
        </w:rPr>
        <w:t xml:space="preserve"> </w:t>
      </w:r>
      <w:r w:rsidRPr="00892DA4">
        <w:rPr>
          <w:b w:val="0"/>
          <w:i w:val="0"/>
          <w:lang w:val="es-CO"/>
        </w:rPr>
        <w:t>Desde esta perspectiva, la atención del consumidor es fundamental para facilitar la identificación de estímulos clasificados como atributos que son asociados entre sí para favorecer el procesamiento de la información necesaria para dar una respuesta</w:t>
      </w:r>
      <w:r w:rsidR="00D70357" w:rsidRPr="00892DA4">
        <w:rPr>
          <w:b w:val="0"/>
          <w:i w:val="0"/>
          <w:lang w:val="es-CO"/>
        </w:rPr>
        <w:t xml:space="preserve"> manifestada como la </w:t>
      </w:r>
      <w:r w:rsidRPr="00892DA4">
        <w:rPr>
          <w:b w:val="0"/>
          <w:i w:val="0"/>
          <w:lang w:val="es-CO"/>
        </w:rPr>
        <w:t xml:space="preserve">preferencia, elección o compra del producto (García-Madariaga et al., 2019; </w:t>
      </w:r>
      <w:proofErr w:type="spellStart"/>
      <w:r w:rsidRPr="00892DA4">
        <w:rPr>
          <w:b w:val="0"/>
          <w:i w:val="0"/>
          <w:lang w:val="es-CO"/>
        </w:rPr>
        <w:t>Peschel</w:t>
      </w:r>
      <w:proofErr w:type="spellEnd"/>
      <w:r w:rsidRPr="00892DA4">
        <w:rPr>
          <w:b w:val="0"/>
          <w:i w:val="0"/>
          <w:lang w:val="es-CO"/>
        </w:rPr>
        <w:t xml:space="preserve"> et al., 2019). </w:t>
      </w:r>
    </w:p>
    <w:p w14:paraId="1E764C38" w14:textId="77777777" w:rsidR="009B79BA" w:rsidRDefault="009B79BA" w:rsidP="000A2954">
      <w:pPr>
        <w:pStyle w:val="SubtituloInterno"/>
        <w:rPr>
          <w:lang w:val="es-CO"/>
        </w:rPr>
      </w:pPr>
    </w:p>
    <w:p w14:paraId="1686D032" w14:textId="77777777" w:rsidR="00BC2E6C" w:rsidRDefault="00BC2E6C" w:rsidP="000A2954">
      <w:pPr>
        <w:pStyle w:val="SubtituloInterno"/>
        <w:rPr>
          <w:lang w:val="es-CO"/>
        </w:rPr>
      </w:pPr>
    </w:p>
    <w:p w14:paraId="5C40D32D" w14:textId="77777777" w:rsidR="00BC2E6C" w:rsidRDefault="00BC2E6C" w:rsidP="000A2954">
      <w:pPr>
        <w:pStyle w:val="SubtituloInterno"/>
        <w:rPr>
          <w:lang w:val="es-CO"/>
        </w:rPr>
      </w:pPr>
    </w:p>
    <w:p w14:paraId="007AECD1" w14:textId="4CEDDCEA" w:rsidR="00DE7EB8" w:rsidRPr="00892DA4" w:rsidRDefault="0050110A" w:rsidP="000A2954">
      <w:pPr>
        <w:pStyle w:val="SubtituloInterno"/>
        <w:rPr>
          <w:lang w:val="es-CO"/>
        </w:rPr>
      </w:pPr>
      <w:r w:rsidRPr="00892DA4">
        <w:rPr>
          <w:lang w:val="es-CO"/>
        </w:rPr>
        <w:lastRenderedPageBreak/>
        <w:t>Contexto</w:t>
      </w:r>
    </w:p>
    <w:p w14:paraId="12AB2EB0" w14:textId="478C8298" w:rsidR="004958B7" w:rsidRPr="00892DA4" w:rsidRDefault="0050110A" w:rsidP="000A2954">
      <w:pPr>
        <w:pStyle w:val="SubtituloInterno"/>
        <w:rPr>
          <w:b w:val="0"/>
          <w:bCs/>
          <w:i w:val="0"/>
          <w:iCs/>
          <w:lang w:val="es-CO"/>
        </w:rPr>
      </w:pPr>
      <w:r w:rsidRPr="00892DA4">
        <w:rPr>
          <w:lang w:val="es-CO"/>
        </w:rPr>
        <w:tab/>
      </w:r>
      <w:r w:rsidR="00B318D4" w:rsidRPr="00892DA4">
        <w:rPr>
          <w:b w:val="0"/>
          <w:bCs/>
          <w:i w:val="0"/>
          <w:iCs/>
          <w:lang w:val="es-CO"/>
        </w:rPr>
        <w:t xml:space="preserve">Teniendo en cuenta que el contexto se procesa como un conjunto de estímulos adicionales presentes en el momento del aprendizaje, el valor informativo del contexto cambia en la medida que el consumidor le presta mayor o menor atención para completar la decisión de compra (Lucke et al., 2014). </w:t>
      </w:r>
      <w:r w:rsidR="004958B7" w:rsidRPr="00892DA4">
        <w:rPr>
          <w:b w:val="0"/>
          <w:bCs/>
          <w:i w:val="0"/>
          <w:iCs/>
          <w:lang w:val="es-CO"/>
        </w:rPr>
        <w:t>El estudio de la atención ha aportado evidencia experimental sobre la manera en que se aprende información para luego utilizarla en situaciones que lo requieran (</w:t>
      </w:r>
      <w:proofErr w:type="spellStart"/>
      <w:r w:rsidR="004958B7" w:rsidRPr="00892DA4">
        <w:rPr>
          <w:b w:val="0"/>
          <w:bCs/>
          <w:i w:val="0"/>
          <w:iCs/>
          <w:lang w:val="es-CO"/>
        </w:rPr>
        <w:t>Cacciatore</w:t>
      </w:r>
      <w:proofErr w:type="spellEnd"/>
      <w:r w:rsidR="004958B7" w:rsidRPr="00892DA4">
        <w:rPr>
          <w:b w:val="0"/>
          <w:bCs/>
          <w:i w:val="0"/>
          <w:iCs/>
          <w:lang w:val="es-CO"/>
        </w:rPr>
        <w:t xml:space="preserve"> et al., 2016; </w:t>
      </w:r>
      <w:proofErr w:type="spellStart"/>
      <w:r w:rsidR="004958B7" w:rsidRPr="00892DA4">
        <w:rPr>
          <w:b w:val="0"/>
          <w:bCs/>
          <w:i w:val="0"/>
          <w:iCs/>
          <w:lang w:val="es-CO"/>
        </w:rPr>
        <w:t>Peschel</w:t>
      </w:r>
      <w:proofErr w:type="spellEnd"/>
      <w:r w:rsidR="004958B7" w:rsidRPr="00892DA4">
        <w:rPr>
          <w:b w:val="0"/>
          <w:bCs/>
          <w:i w:val="0"/>
          <w:iCs/>
          <w:lang w:val="es-CO"/>
        </w:rPr>
        <w:t xml:space="preserve"> et al., 2019) y a nivel conductual con especial aporte de la psicología comparada, ha sido relacionada con el aprendizaje asociativo definiéndola como parte de otros procesos psicológicos (</w:t>
      </w:r>
      <w:proofErr w:type="spellStart"/>
      <w:r w:rsidR="004958B7" w:rsidRPr="00892DA4">
        <w:rPr>
          <w:b w:val="0"/>
          <w:bCs/>
          <w:i w:val="0"/>
          <w:iCs/>
          <w:lang w:val="es-CO"/>
        </w:rPr>
        <w:t>Kruschke</w:t>
      </w:r>
      <w:proofErr w:type="spellEnd"/>
      <w:r w:rsidR="004958B7" w:rsidRPr="00892DA4">
        <w:rPr>
          <w:b w:val="0"/>
          <w:bCs/>
          <w:i w:val="0"/>
          <w:iCs/>
          <w:lang w:val="es-CO"/>
        </w:rPr>
        <w:t xml:space="preserve"> &amp; </w:t>
      </w:r>
      <w:proofErr w:type="spellStart"/>
      <w:r w:rsidR="004958B7" w:rsidRPr="00892DA4">
        <w:rPr>
          <w:b w:val="0"/>
          <w:bCs/>
          <w:i w:val="0"/>
          <w:iCs/>
          <w:lang w:val="es-CO"/>
        </w:rPr>
        <w:t>Hullinger</w:t>
      </w:r>
      <w:proofErr w:type="spellEnd"/>
      <w:r w:rsidR="004958B7" w:rsidRPr="00892DA4">
        <w:rPr>
          <w:b w:val="0"/>
          <w:bCs/>
          <w:i w:val="0"/>
          <w:iCs/>
          <w:lang w:val="es-CO"/>
        </w:rPr>
        <w:t>, 2010).</w:t>
      </w:r>
    </w:p>
    <w:p w14:paraId="48ECB6A3" w14:textId="332D3DEE" w:rsidR="00D70357" w:rsidRPr="00892DA4" w:rsidRDefault="00D70357" w:rsidP="004836CB">
      <w:pPr>
        <w:pStyle w:val="SubtituloInterno"/>
        <w:ind w:firstLine="720"/>
        <w:rPr>
          <w:b w:val="0"/>
          <w:bCs/>
          <w:i w:val="0"/>
          <w:iCs/>
          <w:lang w:val="es-CO"/>
        </w:rPr>
      </w:pPr>
      <w:r w:rsidRPr="00892DA4">
        <w:rPr>
          <w:b w:val="0"/>
          <w:bCs/>
          <w:i w:val="0"/>
          <w:iCs/>
          <w:lang w:val="es-CO"/>
        </w:rPr>
        <w:t xml:space="preserve">En el ámbito del consumidor la definición de atención o procesamiento atencional ha sido enfocada especialmente al estudio de los empaques o etiquetas de productos; y ha sido vista como la capacidad de centrarse en un estímulo, como la selección de estímulos visuales y como la selectividad perceptual con evidencia en la toma de decisión (García-Madariaga et al., 2019; </w:t>
      </w:r>
      <w:proofErr w:type="spellStart"/>
      <w:r w:rsidRPr="00892DA4">
        <w:rPr>
          <w:b w:val="0"/>
          <w:bCs/>
          <w:i w:val="0"/>
          <w:iCs/>
          <w:lang w:val="es-CO"/>
        </w:rPr>
        <w:t>Peschel</w:t>
      </w:r>
      <w:proofErr w:type="spellEnd"/>
      <w:r w:rsidRPr="00892DA4">
        <w:rPr>
          <w:b w:val="0"/>
          <w:bCs/>
          <w:i w:val="0"/>
          <w:iCs/>
          <w:lang w:val="es-CO"/>
        </w:rPr>
        <w:t xml:space="preserve"> et al., 2019). Entre tanto, el papel de la atención en los modelos de aprendizaje asociativo ha sido explicada por su relevancia en el aumento en la fuerza asociativa de los estímulos (</w:t>
      </w:r>
      <w:proofErr w:type="spellStart"/>
      <w:r w:rsidRPr="001970BB">
        <w:rPr>
          <w:b w:val="0"/>
          <w:bCs/>
          <w:i w:val="0"/>
          <w:iCs/>
          <w:lang w:val="es-CO"/>
        </w:rPr>
        <w:t>Rescorla</w:t>
      </w:r>
      <w:proofErr w:type="spellEnd"/>
      <w:r w:rsidRPr="001970BB">
        <w:rPr>
          <w:b w:val="0"/>
          <w:bCs/>
          <w:i w:val="0"/>
          <w:iCs/>
          <w:lang w:val="es-CO"/>
        </w:rPr>
        <w:t xml:space="preserve"> &amp; Wagner, 1972</w:t>
      </w:r>
      <w:r w:rsidRPr="00892DA4">
        <w:rPr>
          <w:b w:val="0"/>
          <w:bCs/>
          <w:i w:val="0"/>
          <w:iCs/>
          <w:lang w:val="es-CO"/>
        </w:rPr>
        <w:t>) y por la efectividad en la predicción de estímulos y modificaciones derivadas de la experiencia (Mackintosh</w:t>
      </w:r>
      <w:r w:rsidR="00EE51AD">
        <w:rPr>
          <w:b w:val="0"/>
          <w:bCs/>
          <w:i w:val="0"/>
          <w:iCs/>
          <w:lang w:val="es-CO"/>
        </w:rPr>
        <w:t>,</w:t>
      </w:r>
      <w:r w:rsidRPr="00892DA4">
        <w:rPr>
          <w:b w:val="0"/>
          <w:bCs/>
          <w:i w:val="0"/>
          <w:iCs/>
          <w:lang w:val="es-CO"/>
        </w:rPr>
        <w:t xml:space="preserve"> 1975; Pearce &amp; Hall, 1980). </w:t>
      </w:r>
    </w:p>
    <w:p w14:paraId="50EDED78" w14:textId="2CBD3FAD" w:rsidR="006E62A0" w:rsidRPr="00892DA4" w:rsidRDefault="00B318D4" w:rsidP="20F20D61">
      <w:pPr>
        <w:pStyle w:val="SubtituloInterno"/>
        <w:ind w:firstLine="720"/>
        <w:rPr>
          <w:b w:val="0"/>
          <w:i w:val="0"/>
          <w:lang w:val="es-CO"/>
        </w:rPr>
      </w:pPr>
      <w:r w:rsidRPr="00892DA4">
        <w:rPr>
          <w:b w:val="0"/>
          <w:i w:val="0"/>
          <w:lang w:val="es-CO"/>
        </w:rPr>
        <w:t>El nivel de relevancia del contexto se asocia con su presentación en el momento del aprendizaje; así, en las primeras exposiciones el consumidor no ha asociado aún los estímulos y se asume que le presta atención al contexto en el que se está aprendiendo; esto ocurre hasta que el mismo consumidor lo procesa como parte del aprendizaje (A</w:t>
      </w:r>
      <w:r w:rsidR="00885923">
        <w:rPr>
          <w:b w:val="0"/>
          <w:i w:val="0"/>
          <w:lang w:val="es-CO"/>
        </w:rPr>
        <w:t>utor</w:t>
      </w:r>
      <w:r w:rsidRPr="00892DA4">
        <w:rPr>
          <w:b w:val="0"/>
          <w:i w:val="0"/>
          <w:lang w:val="es-CO"/>
        </w:rPr>
        <w:t xml:space="preserve"> et al., 2017; </w:t>
      </w:r>
      <w:proofErr w:type="spellStart"/>
      <w:r w:rsidRPr="00892DA4">
        <w:rPr>
          <w:b w:val="0"/>
          <w:i w:val="0"/>
          <w:lang w:val="es-CO"/>
        </w:rPr>
        <w:t>Kruschke</w:t>
      </w:r>
      <w:proofErr w:type="spellEnd"/>
      <w:r w:rsidRPr="00892DA4">
        <w:rPr>
          <w:b w:val="0"/>
          <w:i w:val="0"/>
          <w:lang w:val="es-CO"/>
        </w:rPr>
        <w:t>, 2001, 2003). Cuando el contexto ya hace parte de lo aprendido, toda la información que fue presentada en ese contexto se convierte en dependiente de éste; es decir, el consumidor puede predecir en qué tienda encontrará un producto con descuento porque su experiencia de compra le brinda esa información. Pero si se cambia el contexto, se está modificando parte de la información aprendida, por lo que este contexto se convierte en irrelevante; en otras palabras, si el consumidor encuentra el producto con descuento en una tienda diferente a la habitual, prestará atención al producto porque es el que mantiene la asociación con el descuento, el contexto ya no</w:t>
      </w:r>
      <w:r w:rsidR="00AF3E56">
        <w:rPr>
          <w:b w:val="0"/>
          <w:i w:val="0"/>
          <w:lang w:val="es-CO"/>
        </w:rPr>
        <w:t xml:space="preserve"> </w:t>
      </w:r>
      <w:r w:rsidR="1AB7E20F" w:rsidRPr="00892DA4">
        <w:rPr>
          <w:b w:val="0"/>
          <w:i w:val="0"/>
          <w:lang w:val="es-CO"/>
        </w:rPr>
        <w:t>será informativo</w:t>
      </w:r>
      <w:r w:rsidRPr="00892DA4">
        <w:rPr>
          <w:b w:val="0"/>
          <w:i w:val="0"/>
          <w:lang w:val="es-CO"/>
        </w:rPr>
        <w:t xml:space="preserve"> (A</w:t>
      </w:r>
      <w:r w:rsidR="00885923">
        <w:rPr>
          <w:b w:val="0"/>
          <w:i w:val="0"/>
          <w:lang w:val="es-CO"/>
        </w:rPr>
        <w:t>utor</w:t>
      </w:r>
      <w:r w:rsidRPr="00892DA4">
        <w:rPr>
          <w:b w:val="0"/>
          <w:i w:val="0"/>
          <w:lang w:val="es-CO"/>
        </w:rPr>
        <w:t xml:space="preserve"> et al., 2017; </w:t>
      </w:r>
      <w:proofErr w:type="spellStart"/>
      <w:r w:rsidRPr="00892DA4">
        <w:rPr>
          <w:b w:val="0"/>
          <w:i w:val="0"/>
          <w:lang w:val="es-CO"/>
        </w:rPr>
        <w:t>Kruschke</w:t>
      </w:r>
      <w:proofErr w:type="spellEnd"/>
      <w:r w:rsidRPr="00892DA4">
        <w:rPr>
          <w:b w:val="0"/>
          <w:i w:val="0"/>
          <w:lang w:val="es-CO"/>
        </w:rPr>
        <w:t>, 2001, 2003; Rosas &amp; Callejas-Aguilera, 2006).</w:t>
      </w:r>
      <w:r w:rsidR="006E62A0" w:rsidRPr="00892DA4">
        <w:rPr>
          <w:b w:val="0"/>
          <w:i w:val="0"/>
          <w:lang w:val="es-CO"/>
        </w:rPr>
        <w:t xml:space="preserve"> </w:t>
      </w:r>
      <w:r w:rsidRPr="00892DA4">
        <w:rPr>
          <w:b w:val="0"/>
          <w:i w:val="0"/>
          <w:lang w:val="es-CO"/>
        </w:rPr>
        <w:t>Est</w:t>
      </w:r>
      <w:r w:rsidR="00EE1F6B" w:rsidRPr="00892DA4">
        <w:rPr>
          <w:b w:val="0"/>
          <w:i w:val="0"/>
          <w:lang w:val="es-CO"/>
        </w:rPr>
        <w:t>o</w:t>
      </w:r>
      <w:r w:rsidRPr="00892DA4">
        <w:rPr>
          <w:b w:val="0"/>
          <w:i w:val="0"/>
          <w:lang w:val="es-CO"/>
        </w:rPr>
        <w:t xml:space="preserve"> permitiría explicar hasta cierto punto, la </w:t>
      </w:r>
      <w:r w:rsidR="006E62A0" w:rsidRPr="00892DA4">
        <w:rPr>
          <w:b w:val="0"/>
          <w:i w:val="0"/>
          <w:lang w:val="es-CO"/>
        </w:rPr>
        <w:t xml:space="preserve">formación de </w:t>
      </w:r>
      <w:r w:rsidRPr="00892DA4">
        <w:rPr>
          <w:b w:val="0"/>
          <w:i w:val="0"/>
          <w:lang w:val="es-CO"/>
        </w:rPr>
        <w:t>preferencia</w:t>
      </w:r>
      <w:r w:rsidR="006E62A0" w:rsidRPr="00892DA4">
        <w:rPr>
          <w:b w:val="0"/>
          <w:i w:val="0"/>
          <w:lang w:val="es-CO"/>
        </w:rPr>
        <w:t>s</w:t>
      </w:r>
      <w:r w:rsidRPr="00892DA4">
        <w:rPr>
          <w:b w:val="0"/>
          <w:i w:val="0"/>
          <w:lang w:val="es-CO"/>
        </w:rPr>
        <w:t xml:space="preserve"> de los consumidores por adquirir productos en tiendas específicas</w:t>
      </w:r>
      <w:r w:rsidR="006E62A0" w:rsidRPr="00892DA4">
        <w:rPr>
          <w:b w:val="0"/>
          <w:i w:val="0"/>
          <w:lang w:val="es-CO"/>
        </w:rPr>
        <w:t>.</w:t>
      </w:r>
      <w:r w:rsidR="00EE1F6B" w:rsidRPr="00892DA4">
        <w:rPr>
          <w:b w:val="0"/>
          <w:i w:val="0"/>
          <w:lang w:val="es-CO"/>
        </w:rPr>
        <w:t xml:space="preserve"> </w:t>
      </w:r>
    </w:p>
    <w:p w14:paraId="6BEF8168" w14:textId="1C0AFDC8" w:rsidR="00EE1F6B" w:rsidRPr="00892DA4" w:rsidRDefault="006E62A0" w:rsidP="62A61FD7">
      <w:pPr>
        <w:pStyle w:val="SubtituloInterno"/>
        <w:ind w:firstLine="720"/>
        <w:rPr>
          <w:b w:val="0"/>
          <w:i w:val="0"/>
          <w:lang w:val="es-CO"/>
        </w:rPr>
      </w:pPr>
      <w:r w:rsidRPr="00892DA4">
        <w:rPr>
          <w:b w:val="0"/>
          <w:i w:val="0"/>
          <w:lang w:val="es-CO"/>
        </w:rPr>
        <w:t>U</w:t>
      </w:r>
      <w:r w:rsidR="00EE1F6B" w:rsidRPr="00892DA4">
        <w:rPr>
          <w:b w:val="0"/>
          <w:i w:val="0"/>
          <w:lang w:val="es-CO"/>
        </w:rPr>
        <w:t xml:space="preserve">na propuesta teórica en este sentido considera que la información aprendida es dependiente del contexto no por las características propias de la información, sino por la </w:t>
      </w:r>
      <w:r w:rsidR="00EE1F6B" w:rsidRPr="00892DA4">
        <w:rPr>
          <w:b w:val="0"/>
          <w:i w:val="0"/>
          <w:lang w:val="es-CO"/>
        </w:rPr>
        <w:lastRenderedPageBreak/>
        <w:t>concreción de la situación en la que se aprende. En otras palabras, la especificidad contextual depende de la atención que se le presta al contexto en el momento del aprendizaje y una vez que esto ocurre, toda la información aprendida en ese contexto se convierte en dependiente de este, sin importar si fue información adquirida en primer o segundo lugar, o de si es ambigua o no. Esta aproximación de la explicación de la dependencia contextual en el aprendizaje se conoce como Teoría Atencional del Procesamiento Contextual - TAPC (Rosas et al., 2006).</w:t>
      </w:r>
    </w:p>
    <w:p w14:paraId="7BDE610D" w14:textId="6374F061" w:rsidR="00F94A26" w:rsidRPr="00F94A26" w:rsidRDefault="00F94A26" w:rsidP="00F94A26">
      <w:pPr>
        <w:pStyle w:val="SubtituloInterno"/>
        <w:ind w:firstLine="720"/>
        <w:rPr>
          <w:b w:val="0"/>
          <w:bCs/>
          <w:i w:val="0"/>
          <w:iCs/>
          <w:lang w:val="es-CO"/>
        </w:rPr>
      </w:pPr>
      <w:r w:rsidRPr="00F94A26">
        <w:rPr>
          <w:b w:val="0"/>
          <w:bCs/>
          <w:i w:val="0"/>
          <w:iCs/>
          <w:lang w:val="es-CO"/>
        </w:rPr>
        <w:t xml:space="preserve">Esta teoría considera cuatro elementos fundamentales de la </w:t>
      </w:r>
      <w:r w:rsidR="003050DC">
        <w:rPr>
          <w:b w:val="0"/>
          <w:bCs/>
          <w:i w:val="0"/>
          <w:iCs/>
          <w:lang w:val="es-CO"/>
        </w:rPr>
        <w:t>Teoría de la Recuperación de la Información</w:t>
      </w:r>
      <w:r w:rsidRPr="00F94A26">
        <w:rPr>
          <w:b w:val="0"/>
          <w:bCs/>
          <w:i w:val="0"/>
          <w:iCs/>
          <w:lang w:val="es-CO"/>
        </w:rPr>
        <w:t xml:space="preserve"> (</w:t>
      </w:r>
      <w:proofErr w:type="spellStart"/>
      <w:r w:rsidRPr="00F94A26">
        <w:rPr>
          <w:b w:val="0"/>
          <w:bCs/>
          <w:i w:val="0"/>
          <w:iCs/>
          <w:lang w:val="es-CO"/>
        </w:rPr>
        <w:t>Bouton</w:t>
      </w:r>
      <w:proofErr w:type="spellEnd"/>
      <w:r w:rsidRPr="00F94A26">
        <w:rPr>
          <w:b w:val="0"/>
          <w:bCs/>
          <w:i w:val="0"/>
          <w:iCs/>
          <w:lang w:val="es-CO"/>
        </w:rPr>
        <w:t>, 1993) para su propuesta; primero, que existen dos fuentes que generan olvido: la interferencia y el cambio de contexto. La interferencia ocurre cuando se aprende información en primer lugar, la cual se codifica directamente y luego se presenta información contradictoria a la aprendida inicialmente, lo que genera ambigüedad; el cambio de contexto ocurre cuando se requiere recuperar la información aprendida (en primer o segundo lugar) en un contexto diferente al que estaba presente en la situación en la que se aprendió.</w:t>
      </w:r>
    </w:p>
    <w:p w14:paraId="1D3E280F" w14:textId="77777777" w:rsidR="00F94A26" w:rsidRPr="00F94A26" w:rsidRDefault="00F94A26" w:rsidP="00F94A26">
      <w:pPr>
        <w:pStyle w:val="SubtituloInterno"/>
        <w:ind w:firstLine="720"/>
        <w:rPr>
          <w:b w:val="0"/>
          <w:bCs/>
          <w:i w:val="0"/>
          <w:iCs/>
          <w:lang w:val="es-CO"/>
        </w:rPr>
      </w:pPr>
      <w:r w:rsidRPr="00F94A26">
        <w:rPr>
          <w:b w:val="0"/>
          <w:bCs/>
          <w:i w:val="0"/>
          <w:iCs/>
          <w:lang w:val="es-CO"/>
        </w:rPr>
        <w:t>En segundo lugar, la TAPC considera la existencia de los contextos en dimensiones internas, externas, temporales y asociativas; en tercer lugar, que el cambio de contexto afecta la recuperación de la segunda información aprendida, ya que no compite con la primera en tanto se codifica en un contexto diferente; y, en cuarto lugar, que los estímulos pueden convertirse en objetivo (clave) o fondo (contexto) dependiendo de la situación específica de aprendizaje y de la tarea que se deba realizar (</w:t>
      </w:r>
      <w:r w:rsidRPr="00024FED">
        <w:rPr>
          <w:b w:val="0"/>
          <w:bCs/>
          <w:i w:val="0"/>
          <w:iCs/>
          <w:lang w:val="es-CO"/>
        </w:rPr>
        <w:t>Rosas et al., 2006</w:t>
      </w:r>
      <w:r w:rsidRPr="00F94A26">
        <w:rPr>
          <w:b w:val="0"/>
          <w:bCs/>
          <w:i w:val="0"/>
          <w:iCs/>
          <w:lang w:val="es-CO"/>
        </w:rPr>
        <w:t>).</w:t>
      </w:r>
    </w:p>
    <w:p w14:paraId="131370C3" w14:textId="5F29A66C" w:rsidR="00F94A26" w:rsidRDefault="00F94A26" w:rsidP="00F94A26">
      <w:pPr>
        <w:pStyle w:val="SubtituloInterno"/>
        <w:ind w:firstLine="720"/>
        <w:rPr>
          <w:b w:val="0"/>
          <w:bCs/>
          <w:i w:val="0"/>
          <w:iCs/>
          <w:lang w:val="es-CO"/>
        </w:rPr>
      </w:pPr>
      <w:r w:rsidRPr="00F94A26">
        <w:rPr>
          <w:b w:val="0"/>
          <w:bCs/>
          <w:i w:val="0"/>
          <w:iCs/>
          <w:lang w:val="es-CO"/>
        </w:rPr>
        <w:t>De acuerdo con este planteamiento, la atención que se presta al contexto depende de cinco factores: la experiencia previa con los contextos involucrados en el aprendizaje (</w:t>
      </w:r>
      <w:r w:rsidRPr="00024FED">
        <w:rPr>
          <w:b w:val="0"/>
          <w:bCs/>
          <w:i w:val="0"/>
          <w:iCs/>
          <w:lang w:val="es-CO"/>
        </w:rPr>
        <w:t>A</w:t>
      </w:r>
      <w:r w:rsidR="00885923">
        <w:rPr>
          <w:b w:val="0"/>
          <w:bCs/>
          <w:i w:val="0"/>
          <w:iCs/>
          <w:lang w:val="es-CO"/>
        </w:rPr>
        <w:t xml:space="preserve">utor </w:t>
      </w:r>
      <w:r w:rsidRPr="00024FED">
        <w:rPr>
          <w:b w:val="0"/>
          <w:bCs/>
          <w:i w:val="0"/>
          <w:iCs/>
          <w:lang w:val="es-CO"/>
        </w:rPr>
        <w:t>et al., 2016;</w:t>
      </w:r>
      <w:r w:rsidRPr="00F94A26">
        <w:rPr>
          <w:b w:val="0"/>
          <w:bCs/>
          <w:i w:val="0"/>
          <w:iCs/>
          <w:lang w:val="es-CO"/>
        </w:rPr>
        <w:t xml:space="preserve"> </w:t>
      </w:r>
      <w:r w:rsidRPr="00EA25BF">
        <w:rPr>
          <w:b w:val="0"/>
          <w:bCs/>
          <w:i w:val="0"/>
          <w:iCs/>
          <w:lang w:val="es-CO"/>
        </w:rPr>
        <w:t xml:space="preserve">León et al., 2010a; </w:t>
      </w:r>
      <w:r w:rsidRPr="00024FED">
        <w:rPr>
          <w:b w:val="0"/>
          <w:bCs/>
          <w:i w:val="0"/>
          <w:iCs/>
          <w:lang w:val="es-CO"/>
        </w:rPr>
        <w:t>2011</w:t>
      </w:r>
      <w:r w:rsidRPr="00F94A26">
        <w:rPr>
          <w:b w:val="0"/>
          <w:bCs/>
          <w:i w:val="0"/>
          <w:iCs/>
          <w:lang w:val="es-CO"/>
        </w:rPr>
        <w:t>); las instrucciones dadas a los participantes humanos para la realización de la tarea específica (</w:t>
      </w:r>
      <w:r w:rsidRPr="00024FED">
        <w:rPr>
          <w:b w:val="0"/>
          <w:bCs/>
          <w:i w:val="0"/>
          <w:iCs/>
          <w:lang w:val="es-CO"/>
        </w:rPr>
        <w:t xml:space="preserve">Callejas-Aguilera </w:t>
      </w:r>
      <w:r w:rsidR="00024FED" w:rsidRPr="00024FED">
        <w:rPr>
          <w:b w:val="0"/>
          <w:bCs/>
          <w:i w:val="0"/>
          <w:iCs/>
          <w:lang w:val="es-CO"/>
        </w:rPr>
        <w:t>et al.</w:t>
      </w:r>
      <w:r w:rsidRPr="00024FED">
        <w:rPr>
          <w:b w:val="0"/>
          <w:bCs/>
          <w:i w:val="0"/>
          <w:iCs/>
          <w:lang w:val="es-CO"/>
        </w:rPr>
        <w:t>, 201</w:t>
      </w:r>
      <w:r w:rsidR="00C73349">
        <w:rPr>
          <w:b w:val="0"/>
          <w:bCs/>
          <w:i w:val="0"/>
          <w:iCs/>
          <w:lang w:val="es-CO"/>
        </w:rPr>
        <w:t>9</w:t>
      </w:r>
      <w:r w:rsidRPr="00F94A26">
        <w:rPr>
          <w:b w:val="0"/>
          <w:bCs/>
          <w:i w:val="0"/>
          <w:iCs/>
          <w:lang w:val="es-CO"/>
        </w:rPr>
        <w:t>)</w:t>
      </w:r>
      <w:r w:rsidR="004D2A74">
        <w:rPr>
          <w:b w:val="0"/>
          <w:bCs/>
          <w:i w:val="0"/>
          <w:iCs/>
          <w:lang w:val="es-CO"/>
        </w:rPr>
        <w:t xml:space="preserve"> incluso, algunos autores estudian la complejidad de las tareas en este punto (Souza et al., 2015)</w:t>
      </w:r>
      <w:r w:rsidRPr="00F94A26">
        <w:rPr>
          <w:b w:val="0"/>
          <w:bCs/>
          <w:i w:val="0"/>
          <w:iCs/>
          <w:lang w:val="es-CO"/>
        </w:rPr>
        <w:t>; el valor informativo de los estímulos de fondo para el desarrollo de la tarea de aprendizaje (</w:t>
      </w:r>
      <w:r w:rsidRPr="00EA25BF">
        <w:rPr>
          <w:b w:val="0"/>
          <w:bCs/>
          <w:i w:val="0"/>
          <w:iCs/>
          <w:lang w:val="es-CO"/>
        </w:rPr>
        <w:t>León</w:t>
      </w:r>
      <w:r w:rsidR="00E5251F" w:rsidRPr="00EA25BF">
        <w:rPr>
          <w:b w:val="0"/>
          <w:bCs/>
          <w:i w:val="0"/>
          <w:iCs/>
          <w:lang w:val="es-CO"/>
        </w:rPr>
        <w:t xml:space="preserve"> et al.</w:t>
      </w:r>
      <w:r w:rsidRPr="00EA25BF">
        <w:rPr>
          <w:b w:val="0"/>
          <w:bCs/>
          <w:i w:val="0"/>
          <w:iCs/>
          <w:lang w:val="es-CO"/>
        </w:rPr>
        <w:t>, 2008; 2010b</w:t>
      </w:r>
      <w:r w:rsidRPr="00F94A26">
        <w:rPr>
          <w:b w:val="0"/>
          <w:bCs/>
          <w:i w:val="0"/>
          <w:iCs/>
          <w:lang w:val="es-CO"/>
        </w:rPr>
        <w:t>); la ambigüedad en el significado de las claves (</w:t>
      </w:r>
      <w:r w:rsidRPr="00EA25BF">
        <w:rPr>
          <w:b w:val="0"/>
          <w:bCs/>
          <w:i w:val="0"/>
          <w:iCs/>
          <w:lang w:val="es-CO"/>
        </w:rPr>
        <w:t>A</w:t>
      </w:r>
      <w:r w:rsidR="00885923">
        <w:rPr>
          <w:b w:val="0"/>
          <w:bCs/>
          <w:i w:val="0"/>
          <w:iCs/>
          <w:lang w:val="es-CO"/>
        </w:rPr>
        <w:t>utor</w:t>
      </w:r>
      <w:r w:rsidRPr="00EA25BF">
        <w:rPr>
          <w:b w:val="0"/>
          <w:bCs/>
          <w:i w:val="0"/>
          <w:iCs/>
          <w:lang w:val="es-CO"/>
        </w:rPr>
        <w:t xml:space="preserve"> et al., 2017;</w:t>
      </w:r>
      <w:r w:rsidRPr="00F94A26">
        <w:rPr>
          <w:b w:val="0"/>
          <w:bCs/>
          <w:i w:val="0"/>
          <w:iCs/>
          <w:lang w:val="es-CO"/>
        </w:rPr>
        <w:t xml:space="preserve"> </w:t>
      </w:r>
      <w:r w:rsidRPr="00EA25BF">
        <w:rPr>
          <w:b w:val="0"/>
          <w:bCs/>
          <w:i w:val="0"/>
          <w:iCs/>
          <w:lang w:val="es-CO"/>
        </w:rPr>
        <w:t>Callejas</w:t>
      </w:r>
      <w:r w:rsidR="00EA25BF" w:rsidRPr="00EA25BF">
        <w:rPr>
          <w:b w:val="0"/>
          <w:bCs/>
          <w:i w:val="0"/>
          <w:iCs/>
          <w:lang w:val="es-CO"/>
        </w:rPr>
        <w:t>-</w:t>
      </w:r>
      <w:r w:rsidRPr="00EA25BF">
        <w:rPr>
          <w:b w:val="0"/>
          <w:bCs/>
          <w:i w:val="0"/>
          <w:iCs/>
          <w:lang w:val="es-CO"/>
        </w:rPr>
        <w:t>Aguilera &amp; Rosas, 2010</w:t>
      </w:r>
      <w:r w:rsidRPr="00F94A26">
        <w:rPr>
          <w:b w:val="0"/>
          <w:bCs/>
          <w:i w:val="0"/>
          <w:iCs/>
          <w:lang w:val="es-CO"/>
        </w:rPr>
        <w:t xml:space="preserve">; </w:t>
      </w:r>
      <w:r w:rsidRPr="00EA25BF">
        <w:rPr>
          <w:b w:val="0"/>
          <w:bCs/>
          <w:i w:val="0"/>
          <w:iCs/>
          <w:lang w:val="es-CO"/>
        </w:rPr>
        <w:t>Rosas &amp; Callejas‐Aguilera, 2006</w:t>
      </w:r>
      <w:r w:rsidRPr="00F94A26">
        <w:rPr>
          <w:b w:val="0"/>
          <w:bCs/>
          <w:i w:val="0"/>
          <w:iCs/>
          <w:lang w:val="es-CO"/>
        </w:rPr>
        <w:t>); y la relevancia o saliencia de los estímulos de fondo en relación con los objetivo (Abad</w:t>
      </w:r>
      <w:r w:rsidR="00EA25BF">
        <w:rPr>
          <w:b w:val="0"/>
          <w:bCs/>
          <w:i w:val="0"/>
          <w:iCs/>
          <w:lang w:val="es-CO"/>
        </w:rPr>
        <w:t xml:space="preserve"> et al.</w:t>
      </w:r>
      <w:r w:rsidRPr="00F94A26">
        <w:rPr>
          <w:b w:val="0"/>
          <w:bCs/>
          <w:i w:val="0"/>
          <w:iCs/>
          <w:lang w:val="es-CO"/>
        </w:rPr>
        <w:t>, 2009). En este escenario, la TAPC asume que cuando se presenta ambigüedad en el significado de las claves al inicio del aprendizaje</w:t>
      </w:r>
      <w:r w:rsidR="003050DC">
        <w:rPr>
          <w:b w:val="0"/>
          <w:bCs/>
          <w:i w:val="0"/>
          <w:iCs/>
          <w:lang w:val="es-CO"/>
        </w:rPr>
        <w:t xml:space="preserve"> (para el caso de este estudio, el valor diferencial de descuento asociado a un producto)</w:t>
      </w:r>
      <w:r w:rsidRPr="00F94A26">
        <w:rPr>
          <w:b w:val="0"/>
          <w:bCs/>
          <w:i w:val="0"/>
          <w:iCs/>
          <w:lang w:val="es-CO"/>
        </w:rPr>
        <w:t>, esta ambigüedad lleva a que los organismos presten atención a los estímulos de fondo, convirtiendo toda la información aprendida en específica del contexto (</w:t>
      </w:r>
      <w:proofErr w:type="spellStart"/>
      <w:r w:rsidRPr="0007263F">
        <w:rPr>
          <w:b w:val="0"/>
          <w:bCs/>
          <w:i w:val="0"/>
          <w:iCs/>
          <w:lang w:val="es-CO"/>
        </w:rPr>
        <w:t>Bouton</w:t>
      </w:r>
      <w:proofErr w:type="spellEnd"/>
      <w:r w:rsidRPr="0007263F">
        <w:rPr>
          <w:b w:val="0"/>
          <w:bCs/>
          <w:i w:val="0"/>
          <w:iCs/>
          <w:lang w:val="es-CO"/>
        </w:rPr>
        <w:t>, 1997)</w:t>
      </w:r>
      <w:r w:rsidRPr="00F94A26">
        <w:rPr>
          <w:b w:val="0"/>
          <w:bCs/>
          <w:i w:val="0"/>
          <w:iCs/>
          <w:lang w:val="es-CO"/>
        </w:rPr>
        <w:t xml:space="preserve">. </w:t>
      </w:r>
    </w:p>
    <w:p w14:paraId="4B4CB27C" w14:textId="1E9B1A4A" w:rsidR="0050110A" w:rsidRPr="00892DA4" w:rsidRDefault="00FC1A7B" w:rsidP="00F94A26">
      <w:pPr>
        <w:pStyle w:val="SubtituloInterno"/>
        <w:ind w:firstLine="720"/>
        <w:rPr>
          <w:lang w:val="es-CO"/>
        </w:rPr>
      </w:pPr>
      <w:r>
        <w:rPr>
          <w:b w:val="0"/>
          <w:bCs/>
          <w:i w:val="0"/>
          <w:iCs/>
          <w:lang w:val="es-CO"/>
        </w:rPr>
        <w:lastRenderedPageBreak/>
        <w:t xml:space="preserve">Se ha mencionado anteriormente </w:t>
      </w:r>
      <w:r w:rsidR="00B318D4" w:rsidRPr="00892DA4">
        <w:rPr>
          <w:b w:val="0"/>
          <w:bCs/>
          <w:i w:val="0"/>
          <w:iCs/>
          <w:lang w:val="es-CO"/>
        </w:rPr>
        <w:t xml:space="preserve">que uno de los estímulos </w:t>
      </w:r>
      <w:r w:rsidR="006E62A0" w:rsidRPr="00892DA4">
        <w:rPr>
          <w:b w:val="0"/>
          <w:bCs/>
          <w:i w:val="0"/>
          <w:iCs/>
          <w:lang w:val="es-CO"/>
        </w:rPr>
        <w:t xml:space="preserve">contextuales </w:t>
      </w:r>
      <w:r w:rsidR="00B318D4" w:rsidRPr="00892DA4">
        <w:rPr>
          <w:b w:val="0"/>
          <w:bCs/>
          <w:i w:val="0"/>
          <w:iCs/>
          <w:lang w:val="es-CO"/>
        </w:rPr>
        <w:t>que intervienen en el aprendizaje del consumidor tiene que ver con la estrategia promocional que esté aplicada al producto que busca. Tal vez la estrategia más reconocida sea la aplicación de un descuento sobre el precio del producto (</w:t>
      </w:r>
      <w:proofErr w:type="spellStart"/>
      <w:r w:rsidR="00B318D4" w:rsidRPr="00892DA4">
        <w:rPr>
          <w:b w:val="0"/>
          <w:bCs/>
          <w:i w:val="0"/>
          <w:iCs/>
          <w:lang w:val="es-CO"/>
        </w:rPr>
        <w:t>Alimpic</w:t>
      </w:r>
      <w:proofErr w:type="spellEnd"/>
      <w:r w:rsidR="00034E5D">
        <w:rPr>
          <w:b w:val="0"/>
          <w:bCs/>
          <w:i w:val="0"/>
          <w:iCs/>
          <w:lang w:val="es-CO"/>
        </w:rPr>
        <w:t>,</w:t>
      </w:r>
      <w:r w:rsidR="00B318D4" w:rsidRPr="00892DA4">
        <w:rPr>
          <w:b w:val="0"/>
          <w:bCs/>
          <w:i w:val="0"/>
          <w:iCs/>
          <w:lang w:val="es-CO"/>
        </w:rPr>
        <w:t xml:space="preserve"> 2014; </w:t>
      </w:r>
      <w:proofErr w:type="spellStart"/>
      <w:r w:rsidR="00B318D4" w:rsidRPr="00892DA4">
        <w:rPr>
          <w:b w:val="0"/>
          <w:bCs/>
          <w:i w:val="0"/>
          <w:iCs/>
          <w:lang w:val="es-CO"/>
        </w:rPr>
        <w:t>Nusair</w:t>
      </w:r>
      <w:proofErr w:type="spellEnd"/>
      <w:r w:rsidR="00B318D4" w:rsidRPr="00892DA4">
        <w:rPr>
          <w:b w:val="0"/>
          <w:bCs/>
          <w:i w:val="0"/>
          <w:iCs/>
          <w:lang w:val="es-CO"/>
        </w:rPr>
        <w:t xml:space="preserve"> et al., 2010). Características relacionadas con la forma de presentación de esta estrategia promocional como valor absoluto (precio), o como valor relativo (porcentaje), han mostrado diferencias en la intención de compra (</w:t>
      </w:r>
      <w:proofErr w:type="spellStart"/>
      <w:r w:rsidR="00B318D4" w:rsidRPr="00892DA4">
        <w:rPr>
          <w:b w:val="0"/>
          <w:bCs/>
          <w:i w:val="0"/>
          <w:iCs/>
          <w:lang w:val="es-CO"/>
        </w:rPr>
        <w:t>Sinha</w:t>
      </w:r>
      <w:proofErr w:type="spellEnd"/>
      <w:r w:rsidR="00B318D4" w:rsidRPr="00892DA4">
        <w:rPr>
          <w:b w:val="0"/>
          <w:bCs/>
          <w:i w:val="0"/>
          <w:iCs/>
          <w:lang w:val="es-CO"/>
        </w:rPr>
        <w:t xml:space="preserve"> &amp; Smith, 2000).</w:t>
      </w:r>
    </w:p>
    <w:p w14:paraId="1FBF2F9B" w14:textId="77777777" w:rsidR="0033439B" w:rsidRDefault="0033439B" w:rsidP="000A2954">
      <w:pPr>
        <w:pStyle w:val="SubtituloInterno"/>
        <w:rPr>
          <w:lang w:val="es-CO"/>
        </w:rPr>
      </w:pPr>
    </w:p>
    <w:p w14:paraId="6641A0B5" w14:textId="3A606994" w:rsidR="00B318D4" w:rsidRPr="00892DA4" w:rsidRDefault="00B318D4" w:rsidP="000A2954">
      <w:pPr>
        <w:pStyle w:val="SubtituloInterno"/>
        <w:rPr>
          <w:lang w:val="es-CO"/>
        </w:rPr>
      </w:pPr>
      <w:r w:rsidRPr="00892DA4">
        <w:rPr>
          <w:lang w:val="es-CO"/>
        </w:rPr>
        <w:t>Valor Diferencial de Descuento</w:t>
      </w:r>
    </w:p>
    <w:p w14:paraId="4A7F2BDC" w14:textId="3A6B75A2" w:rsidR="00B318D4" w:rsidRPr="00892DA4" w:rsidRDefault="00B318D4" w:rsidP="000A2954">
      <w:pPr>
        <w:pStyle w:val="SubtituloInterno"/>
        <w:rPr>
          <w:b w:val="0"/>
          <w:bCs/>
          <w:i w:val="0"/>
          <w:iCs/>
          <w:lang w:val="es-CO"/>
        </w:rPr>
      </w:pPr>
      <w:r w:rsidRPr="00892DA4">
        <w:rPr>
          <w:lang w:val="es-CO"/>
        </w:rPr>
        <w:tab/>
      </w:r>
      <w:r w:rsidRPr="00892DA4">
        <w:rPr>
          <w:b w:val="0"/>
          <w:bCs/>
          <w:i w:val="0"/>
          <w:iCs/>
          <w:lang w:val="es-CO"/>
        </w:rPr>
        <w:t>Cuando el consumidor procesa la información que recibe de todos los estímulos presentes en la situación de compra, puede ocurrir que no coincida con la información que ha recibido en situaciones previas; esto puede generar ambigüedad de la información (A</w:t>
      </w:r>
      <w:r w:rsidR="00885923">
        <w:rPr>
          <w:b w:val="0"/>
          <w:bCs/>
          <w:i w:val="0"/>
          <w:iCs/>
          <w:lang w:val="es-CO"/>
        </w:rPr>
        <w:t>utor</w:t>
      </w:r>
      <w:r w:rsidRPr="00892DA4">
        <w:rPr>
          <w:b w:val="0"/>
          <w:bCs/>
          <w:i w:val="0"/>
          <w:iCs/>
          <w:lang w:val="es-CO"/>
        </w:rPr>
        <w:t xml:space="preserve"> et al., 2017; </w:t>
      </w:r>
      <w:proofErr w:type="spellStart"/>
      <w:r w:rsidRPr="00892DA4">
        <w:rPr>
          <w:b w:val="0"/>
          <w:bCs/>
          <w:i w:val="0"/>
          <w:iCs/>
          <w:lang w:val="es-CO"/>
        </w:rPr>
        <w:t>Bouton</w:t>
      </w:r>
      <w:proofErr w:type="spellEnd"/>
      <w:r w:rsidRPr="00892DA4">
        <w:rPr>
          <w:b w:val="0"/>
          <w:bCs/>
          <w:i w:val="0"/>
          <w:iCs/>
          <w:lang w:val="es-CO"/>
        </w:rPr>
        <w:t>, 1997; Callejas-Aguilera &amp; Rosas</w:t>
      </w:r>
      <w:r w:rsidR="0090296D">
        <w:rPr>
          <w:b w:val="0"/>
          <w:bCs/>
          <w:i w:val="0"/>
          <w:iCs/>
          <w:lang w:val="es-CO"/>
        </w:rPr>
        <w:t>,</w:t>
      </w:r>
      <w:r w:rsidRPr="00892DA4">
        <w:rPr>
          <w:b w:val="0"/>
          <w:bCs/>
          <w:i w:val="0"/>
          <w:iCs/>
          <w:lang w:val="es-CO"/>
        </w:rPr>
        <w:t xml:space="preserve"> 2010). En el caso de los descuentos es común encontrar que un producto tenga un valor de descuento </w:t>
      </w:r>
      <w:r w:rsidR="00D70357" w:rsidRPr="00892DA4">
        <w:rPr>
          <w:b w:val="0"/>
          <w:bCs/>
          <w:i w:val="0"/>
          <w:iCs/>
          <w:lang w:val="es-CO"/>
        </w:rPr>
        <w:t>permanente</w:t>
      </w:r>
      <w:r w:rsidRPr="00892DA4">
        <w:rPr>
          <w:b w:val="0"/>
          <w:bCs/>
          <w:i w:val="0"/>
          <w:iCs/>
          <w:lang w:val="es-CO"/>
        </w:rPr>
        <w:t xml:space="preserve"> durante una ventana temporal (horas, días) en la misma tienda; o</w:t>
      </w:r>
      <w:r w:rsidR="00D70357" w:rsidRPr="00892DA4">
        <w:rPr>
          <w:b w:val="0"/>
          <w:bCs/>
          <w:i w:val="0"/>
          <w:iCs/>
          <w:lang w:val="es-CO"/>
        </w:rPr>
        <w:t xml:space="preserve"> puede encontrarse con</w:t>
      </w:r>
      <w:r w:rsidRPr="00892DA4">
        <w:rPr>
          <w:b w:val="0"/>
          <w:bCs/>
          <w:i w:val="0"/>
          <w:iCs/>
          <w:lang w:val="es-CO"/>
        </w:rPr>
        <w:t xml:space="preserve"> valores de descuento </w:t>
      </w:r>
      <w:r w:rsidR="00D70357" w:rsidRPr="00892DA4">
        <w:rPr>
          <w:b w:val="0"/>
          <w:bCs/>
          <w:i w:val="0"/>
          <w:iCs/>
          <w:lang w:val="es-CO"/>
        </w:rPr>
        <w:t>diferentes</w:t>
      </w:r>
      <w:r w:rsidRPr="00892DA4">
        <w:rPr>
          <w:b w:val="0"/>
          <w:bCs/>
          <w:i w:val="0"/>
          <w:iCs/>
          <w:lang w:val="es-CO"/>
        </w:rPr>
        <w:t xml:space="preserve"> en tiendas diferentes, aunque se trate del mismo producto. Esta es una situación común a la que se enfrenta el consumidor y debe resolverla para tomar la decisión de compra (</w:t>
      </w:r>
      <w:proofErr w:type="spellStart"/>
      <w:r w:rsidRPr="00892DA4">
        <w:rPr>
          <w:b w:val="0"/>
          <w:bCs/>
          <w:i w:val="0"/>
          <w:iCs/>
          <w:lang w:val="es-CO"/>
        </w:rPr>
        <w:t>Alimpic</w:t>
      </w:r>
      <w:proofErr w:type="spellEnd"/>
      <w:r w:rsidRPr="00892DA4">
        <w:rPr>
          <w:b w:val="0"/>
          <w:bCs/>
          <w:i w:val="0"/>
          <w:iCs/>
          <w:lang w:val="es-CO"/>
        </w:rPr>
        <w:t xml:space="preserve">, 2014; </w:t>
      </w:r>
      <w:proofErr w:type="spellStart"/>
      <w:r w:rsidRPr="00892DA4">
        <w:rPr>
          <w:b w:val="0"/>
          <w:bCs/>
          <w:i w:val="0"/>
          <w:iCs/>
          <w:lang w:val="es-CO"/>
        </w:rPr>
        <w:t>McKechnie</w:t>
      </w:r>
      <w:proofErr w:type="spellEnd"/>
      <w:r w:rsidRPr="00892DA4">
        <w:rPr>
          <w:b w:val="0"/>
          <w:bCs/>
          <w:i w:val="0"/>
          <w:iCs/>
          <w:lang w:val="es-CO"/>
        </w:rPr>
        <w:t xml:space="preserve"> et al., 2012).</w:t>
      </w:r>
    </w:p>
    <w:p w14:paraId="0BC27E67" w14:textId="6EA30286" w:rsidR="00B318D4" w:rsidRPr="00892DA4" w:rsidRDefault="00B07F9F" w:rsidP="5BA67741">
      <w:pPr>
        <w:pStyle w:val="SubtituloInterno"/>
        <w:ind w:firstLine="720"/>
        <w:rPr>
          <w:b w:val="0"/>
          <w:i w:val="0"/>
          <w:lang w:val="es-CO"/>
        </w:rPr>
      </w:pPr>
      <w:r>
        <w:rPr>
          <w:b w:val="0"/>
          <w:i w:val="0"/>
          <w:lang w:val="es-CO"/>
        </w:rPr>
        <w:t xml:space="preserve">Si el consumidor conoce que el producto que ha comprado tenía un descuento, pero esta información no estaba disponible para ser considerada en la toma de decisión, </w:t>
      </w:r>
      <w:r w:rsidR="00A35F24">
        <w:rPr>
          <w:b w:val="0"/>
          <w:i w:val="0"/>
          <w:lang w:val="es-CO"/>
        </w:rPr>
        <w:t xml:space="preserve">el consumidor puede exponerse a </w:t>
      </w:r>
      <w:r w:rsidR="00606C6C">
        <w:rPr>
          <w:b w:val="0"/>
          <w:i w:val="0"/>
          <w:lang w:val="es-CO"/>
        </w:rPr>
        <w:t xml:space="preserve">la </w:t>
      </w:r>
      <w:r w:rsidR="00B318D4" w:rsidRPr="00892DA4">
        <w:rPr>
          <w:b w:val="0"/>
          <w:i w:val="0"/>
          <w:lang w:val="es-CO"/>
        </w:rPr>
        <w:t>información ambigua</w:t>
      </w:r>
      <w:r>
        <w:rPr>
          <w:b w:val="0"/>
          <w:i w:val="0"/>
          <w:lang w:val="es-CO"/>
        </w:rPr>
        <w:t xml:space="preserve"> (</w:t>
      </w:r>
      <w:r w:rsidR="00CE3602">
        <w:rPr>
          <w:b w:val="0"/>
          <w:i w:val="0"/>
          <w:lang w:val="es-CO"/>
        </w:rPr>
        <w:t xml:space="preserve">producto con o sin </w:t>
      </w:r>
      <w:r>
        <w:rPr>
          <w:b w:val="0"/>
          <w:i w:val="0"/>
          <w:lang w:val="es-CO"/>
        </w:rPr>
        <w:t>descuento</w:t>
      </w:r>
      <w:r w:rsidR="00CE3602">
        <w:rPr>
          <w:b w:val="0"/>
          <w:i w:val="0"/>
          <w:lang w:val="es-CO"/>
        </w:rPr>
        <w:t xml:space="preserve"> o diferentes valores de descuento</w:t>
      </w:r>
      <w:r>
        <w:rPr>
          <w:b w:val="0"/>
          <w:i w:val="0"/>
          <w:lang w:val="es-CO"/>
        </w:rPr>
        <w:t>)</w:t>
      </w:r>
      <w:r w:rsidR="00B318D4" w:rsidRPr="00892DA4">
        <w:rPr>
          <w:b w:val="0"/>
          <w:i w:val="0"/>
          <w:lang w:val="es-CO"/>
        </w:rPr>
        <w:t xml:space="preserve"> </w:t>
      </w:r>
      <w:r w:rsidR="00A35F24">
        <w:rPr>
          <w:b w:val="0"/>
          <w:i w:val="0"/>
          <w:lang w:val="es-CO"/>
        </w:rPr>
        <w:t xml:space="preserve">después de </w:t>
      </w:r>
      <w:r w:rsidR="00B318D4" w:rsidRPr="00892DA4">
        <w:rPr>
          <w:b w:val="0"/>
          <w:i w:val="0"/>
          <w:lang w:val="es-CO"/>
        </w:rPr>
        <w:t xml:space="preserve">la toma de decisión (por ejemplo, después de la compra). Esta condición se puede asociar con el nivel de satisfacción del consumidor </w:t>
      </w:r>
      <w:r w:rsidR="00606C6C">
        <w:rPr>
          <w:b w:val="0"/>
          <w:i w:val="0"/>
          <w:lang w:val="es-CO"/>
        </w:rPr>
        <w:t>y podría</w:t>
      </w:r>
      <w:r w:rsidR="00B318D4" w:rsidRPr="00892DA4">
        <w:rPr>
          <w:b w:val="0"/>
          <w:i w:val="0"/>
          <w:lang w:val="es-CO"/>
        </w:rPr>
        <w:t xml:space="preserve"> impactar en la lealtad con el producto o la marca, </w:t>
      </w:r>
      <w:r w:rsidR="00606C6C">
        <w:rPr>
          <w:b w:val="0"/>
          <w:i w:val="0"/>
          <w:lang w:val="es-CO"/>
        </w:rPr>
        <w:t>afectando</w:t>
      </w:r>
      <w:r w:rsidR="00B318D4" w:rsidRPr="00892DA4">
        <w:rPr>
          <w:b w:val="0"/>
          <w:i w:val="0"/>
          <w:lang w:val="es-CO"/>
        </w:rPr>
        <w:t xml:space="preserve"> comportamientos como la recompra o la recomendación. Sin embargo, desde la perspectiva del aprendizaje asociativo, el reconocimiento de cualquier información por parte del consumidor posterior a la elección es procesada como </w:t>
      </w:r>
      <w:r w:rsidR="00A35F24">
        <w:rPr>
          <w:b w:val="0"/>
          <w:i w:val="0"/>
          <w:lang w:val="es-CO"/>
        </w:rPr>
        <w:t xml:space="preserve">un resultado o </w:t>
      </w:r>
      <w:r w:rsidR="00B318D4" w:rsidRPr="00892DA4">
        <w:rPr>
          <w:b w:val="0"/>
          <w:i w:val="0"/>
          <w:lang w:val="es-CO"/>
        </w:rPr>
        <w:t>una consecuencia</w:t>
      </w:r>
      <w:r w:rsidR="004202C1">
        <w:rPr>
          <w:b w:val="0"/>
          <w:i w:val="0"/>
          <w:lang w:val="es-CO"/>
        </w:rPr>
        <w:t xml:space="preserve">; de esta manera, </w:t>
      </w:r>
      <w:r w:rsidR="00A35F24">
        <w:rPr>
          <w:b w:val="0"/>
          <w:i w:val="0"/>
          <w:lang w:val="es-CO"/>
        </w:rPr>
        <w:t xml:space="preserve">la ambigüedad también </w:t>
      </w:r>
      <w:r w:rsidR="004202C1">
        <w:rPr>
          <w:b w:val="0"/>
          <w:i w:val="0"/>
          <w:lang w:val="es-CO"/>
        </w:rPr>
        <w:t>hace</w:t>
      </w:r>
      <w:r w:rsidR="00A35F24">
        <w:rPr>
          <w:b w:val="0"/>
          <w:i w:val="0"/>
          <w:lang w:val="es-CO"/>
        </w:rPr>
        <w:t xml:space="preserve"> </w:t>
      </w:r>
      <w:r w:rsidR="00B318D4" w:rsidRPr="00892DA4">
        <w:rPr>
          <w:b w:val="0"/>
          <w:i w:val="0"/>
          <w:lang w:val="es-CO"/>
        </w:rPr>
        <w:t>parte de los estímulos que son procesados y aprendidos en la experiencia específica</w:t>
      </w:r>
      <w:r w:rsidR="00F10AAB">
        <w:rPr>
          <w:b w:val="0"/>
          <w:i w:val="0"/>
          <w:lang w:val="es-CO"/>
        </w:rPr>
        <w:t xml:space="preserve"> y puede entenderse como un resultado</w:t>
      </w:r>
      <w:r w:rsidR="00B318D4" w:rsidRPr="00892DA4">
        <w:rPr>
          <w:b w:val="0"/>
          <w:i w:val="0"/>
          <w:lang w:val="es-CO"/>
        </w:rPr>
        <w:t xml:space="preserve"> (Le </w:t>
      </w:r>
      <w:proofErr w:type="spellStart"/>
      <w:r w:rsidR="00B318D4" w:rsidRPr="00892DA4">
        <w:rPr>
          <w:b w:val="0"/>
          <w:i w:val="0"/>
          <w:lang w:val="es-CO"/>
        </w:rPr>
        <w:t>Pelley</w:t>
      </w:r>
      <w:proofErr w:type="spellEnd"/>
      <w:r w:rsidR="00B318D4" w:rsidRPr="00892DA4">
        <w:rPr>
          <w:b w:val="0"/>
          <w:i w:val="0"/>
          <w:lang w:val="es-CO"/>
        </w:rPr>
        <w:t xml:space="preserve"> et al., 2013).</w:t>
      </w:r>
    </w:p>
    <w:p w14:paraId="1ED00BA1" w14:textId="5E758170" w:rsidR="00B318D4" w:rsidRPr="00892DA4" w:rsidRDefault="00B318D4" w:rsidP="004836CB">
      <w:pPr>
        <w:pStyle w:val="SubtituloInterno"/>
        <w:ind w:firstLine="720"/>
        <w:rPr>
          <w:b w:val="0"/>
          <w:bCs/>
          <w:i w:val="0"/>
          <w:iCs/>
          <w:lang w:val="es-CO"/>
        </w:rPr>
      </w:pPr>
      <w:r w:rsidRPr="00892DA4">
        <w:rPr>
          <w:b w:val="0"/>
          <w:bCs/>
          <w:i w:val="0"/>
          <w:iCs/>
          <w:lang w:val="es-CO"/>
        </w:rPr>
        <w:t>Podría parecer que el aprendizaje del consumidor resulta más efectivo ante la ausencia de ambigüedad (Kahneman, 2003); por ejemplo, cuando un producto se valora claramente como bueno o malo, barato o costoso</w:t>
      </w:r>
      <w:r w:rsidR="00D8063D">
        <w:rPr>
          <w:b w:val="0"/>
          <w:bCs/>
          <w:i w:val="0"/>
          <w:iCs/>
          <w:lang w:val="es-CO"/>
        </w:rPr>
        <w:t>, con descuento o sin descuento</w:t>
      </w:r>
      <w:r w:rsidRPr="00892DA4">
        <w:rPr>
          <w:b w:val="0"/>
          <w:bCs/>
          <w:i w:val="0"/>
          <w:iCs/>
          <w:lang w:val="es-CO"/>
        </w:rPr>
        <w:t>; sin embargo, desde otras perspectivas, las múltiples asociaciones hechas sobre ese mismo producto en contextos diferentes o con informaciones diferentes son las facilitadoras del aprendizaje (A</w:t>
      </w:r>
      <w:r w:rsidR="00885923">
        <w:rPr>
          <w:b w:val="0"/>
          <w:bCs/>
          <w:i w:val="0"/>
          <w:iCs/>
          <w:lang w:val="es-CO"/>
        </w:rPr>
        <w:t>utor</w:t>
      </w:r>
      <w:r w:rsidRPr="00892DA4">
        <w:rPr>
          <w:b w:val="0"/>
          <w:bCs/>
          <w:i w:val="0"/>
          <w:iCs/>
          <w:lang w:val="es-CO"/>
        </w:rPr>
        <w:t xml:space="preserve"> et al.</w:t>
      </w:r>
      <w:r w:rsidR="0094672D">
        <w:rPr>
          <w:b w:val="0"/>
          <w:bCs/>
          <w:i w:val="0"/>
          <w:iCs/>
          <w:lang w:val="es-CO"/>
        </w:rPr>
        <w:t>,</w:t>
      </w:r>
      <w:r w:rsidRPr="00892DA4">
        <w:rPr>
          <w:b w:val="0"/>
          <w:bCs/>
          <w:i w:val="0"/>
          <w:iCs/>
          <w:lang w:val="es-CO"/>
        </w:rPr>
        <w:t xml:space="preserve"> </w:t>
      </w:r>
      <w:r w:rsidRPr="00892DA4">
        <w:rPr>
          <w:b w:val="0"/>
          <w:bCs/>
          <w:i w:val="0"/>
          <w:iCs/>
          <w:lang w:val="es-CO"/>
        </w:rPr>
        <w:lastRenderedPageBreak/>
        <w:t xml:space="preserve">2017; Callejas-Aguilera &amp; Rosas, 2010). Si bien las consecuencias son procesadas como parte de la experiencia, la ambigüedad también se puede generar por la información que aportan (Le </w:t>
      </w:r>
      <w:proofErr w:type="spellStart"/>
      <w:r w:rsidRPr="00892DA4">
        <w:rPr>
          <w:b w:val="0"/>
          <w:bCs/>
          <w:i w:val="0"/>
          <w:iCs/>
          <w:lang w:val="es-CO"/>
        </w:rPr>
        <w:t>Pelley</w:t>
      </w:r>
      <w:proofErr w:type="spellEnd"/>
      <w:r w:rsidRPr="00892DA4">
        <w:rPr>
          <w:b w:val="0"/>
          <w:bCs/>
          <w:i w:val="0"/>
          <w:iCs/>
          <w:lang w:val="es-CO"/>
        </w:rPr>
        <w:t xml:space="preserve"> et al., 2013); por ejemplo, conocer que un producto tenía descuento después de haberlo elegido, o conocer que el mismo producto en otra tienda tenía un valor de descuento más alto. Esto permitiría explicar de cierta manera cómo se aprende a seleccionar los estímulos a los que se presta atención cuando la ambigüedad es generada por las consecuencias de valor diferencial de más de un estímulo; es decir, cuando cada estímulo tiene su propia consecuencia y esta es diferente a las consecuencias de otros estímulos; sin embargo, son pocos los </w:t>
      </w:r>
      <w:r w:rsidR="00613E75" w:rsidRPr="00892DA4">
        <w:rPr>
          <w:b w:val="0"/>
          <w:bCs/>
          <w:i w:val="0"/>
          <w:iCs/>
          <w:lang w:val="es-CO"/>
        </w:rPr>
        <w:t>hallazgos</w:t>
      </w:r>
      <w:r w:rsidRPr="00892DA4">
        <w:rPr>
          <w:b w:val="0"/>
          <w:bCs/>
          <w:i w:val="0"/>
          <w:iCs/>
          <w:lang w:val="es-CO"/>
        </w:rPr>
        <w:t xml:space="preserve"> relacionados con la prese</w:t>
      </w:r>
      <w:r w:rsidR="006831D5" w:rsidRPr="00892DA4">
        <w:rPr>
          <w:b w:val="0"/>
          <w:bCs/>
          <w:i w:val="0"/>
          <w:iCs/>
          <w:lang w:val="es-CO"/>
        </w:rPr>
        <w:t>ntación</w:t>
      </w:r>
      <w:r w:rsidRPr="00892DA4">
        <w:rPr>
          <w:b w:val="0"/>
          <w:bCs/>
          <w:i w:val="0"/>
          <w:iCs/>
          <w:lang w:val="es-CO"/>
        </w:rPr>
        <w:t xml:space="preserve"> de diferentes valores de la consecuencia </w:t>
      </w:r>
      <w:r w:rsidR="006831D5" w:rsidRPr="00892DA4">
        <w:rPr>
          <w:b w:val="0"/>
          <w:bCs/>
          <w:i w:val="0"/>
          <w:iCs/>
          <w:lang w:val="es-CO"/>
        </w:rPr>
        <w:t>y diferentes contextos asociados a</w:t>
      </w:r>
      <w:r w:rsidRPr="00892DA4">
        <w:rPr>
          <w:b w:val="0"/>
          <w:bCs/>
          <w:i w:val="0"/>
          <w:iCs/>
          <w:lang w:val="es-CO"/>
        </w:rPr>
        <w:t xml:space="preserve"> un mismo estímulo a lo largo del aprendizaje en escenarios de consumo.</w:t>
      </w:r>
    </w:p>
    <w:p w14:paraId="7CCA4585" w14:textId="2134C0BD" w:rsidR="00CB0E1E" w:rsidRPr="00892DA4" w:rsidRDefault="008531D8" w:rsidP="004836CB">
      <w:pPr>
        <w:pStyle w:val="SubtituloInterno"/>
        <w:ind w:firstLine="720"/>
        <w:rPr>
          <w:b w:val="0"/>
          <w:bCs/>
          <w:i w:val="0"/>
          <w:iCs/>
          <w:lang w:val="es-CO"/>
        </w:rPr>
      </w:pPr>
      <w:r w:rsidRPr="00892DA4">
        <w:rPr>
          <w:b w:val="0"/>
          <w:bCs/>
          <w:i w:val="0"/>
          <w:iCs/>
          <w:lang w:val="es-CO"/>
        </w:rPr>
        <w:t xml:space="preserve">Conocer el efecto que tiene la </w:t>
      </w:r>
      <w:r w:rsidR="006831D5" w:rsidRPr="00892DA4">
        <w:rPr>
          <w:b w:val="0"/>
          <w:bCs/>
          <w:i w:val="0"/>
          <w:iCs/>
          <w:lang w:val="es-CO"/>
        </w:rPr>
        <w:t>asociación de</w:t>
      </w:r>
      <w:r w:rsidRPr="00892DA4">
        <w:rPr>
          <w:b w:val="0"/>
          <w:bCs/>
          <w:i w:val="0"/>
          <w:iCs/>
          <w:lang w:val="es-CO"/>
        </w:rPr>
        <w:t xml:space="preserve"> </w:t>
      </w:r>
      <w:r w:rsidR="006831D5" w:rsidRPr="00892DA4">
        <w:rPr>
          <w:b w:val="0"/>
          <w:bCs/>
          <w:i w:val="0"/>
          <w:iCs/>
          <w:lang w:val="es-CO"/>
        </w:rPr>
        <w:t xml:space="preserve">productos con </w:t>
      </w:r>
      <w:r w:rsidRPr="00892DA4">
        <w:rPr>
          <w:b w:val="0"/>
          <w:bCs/>
          <w:i w:val="0"/>
          <w:iCs/>
          <w:lang w:val="es-CO"/>
        </w:rPr>
        <w:t xml:space="preserve">valores diferenciales y valores constantes de descuento en la predicción de compra del consumidor, permitiría </w:t>
      </w:r>
      <w:r w:rsidR="006831D5" w:rsidRPr="00892DA4">
        <w:rPr>
          <w:b w:val="0"/>
          <w:bCs/>
          <w:i w:val="0"/>
          <w:iCs/>
          <w:lang w:val="es-CO"/>
        </w:rPr>
        <w:t xml:space="preserve">exponer cómo se orienta su atención durante el proceso de aprendizaje y cómo se afecta su juicio predictivo cuando se modifican las condiciones contextuales. Estos hallazgos constituyen un </w:t>
      </w:r>
      <w:r w:rsidR="00D1522D" w:rsidRPr="00892DA4">
        <w:rPr>
          <w:b w:val="0"/>
          <w:bCs/>
          <w:i w:val="0"/>
          <w:iCs/>
          <w:lang w:val="es-CO"/>
        </w:rPr>
        <w:t>punto de partida para establecer las mejores estrategias promocionales de descuento, facilitando el proceso de aprendizaje asociativo del consumidor.</w:t>
      </w:r>
    </w:p>
    <w:p w14:paraId="2254AC27" w14:textId="42674A65" w:rsidR="006F7E7E" w:rsidRPr="00166318" w:rsidRDefault="001516ED" w:rsidP="002E7852">
      <w:pPr>
        <w:pStyle w:val="Ttulosinternos"/>
      </w:pPr>
      <w:proofErr w:type="spellStart"/>
      <w:r w:rsidRPr="00166318">
        <w:t>M</w:t>
      </w:r>
      <w:r w:rsidR="00107993" w:rsidRPr="00166318">
        <w:t>étodo</w:t>
      </w:r>
      <w:proofErr w:type="spellEnd"/>
    </w:p>
    <w:p w14:paraId="2F19162A" w14:textId="324531C5" w:rsidR="006F7E7E" w:rsidRPr="00166318" w:rsidRDefault="005B24FF" w:rsidP="000A2954">
      <w:pPr>
        <w:pStyle w:val="SubtituloInterno"/>
        <w:rPr>
          <w:rFonts w:eastAsia="Calibri"/>
          <w:lang w:val="es-AR"/>
        </w:rPr>
      </w:pPr>
      <w:r w:rsidRPr="001D4637">
        <w:rPr>
          <w:rFonts w:eastAsia="Calibri"/>
          <w:lang w:val="es-CO"/>
        </w:rPr>
        <w:t>Participantes</w:t>
      </w:r>
    </w:p>
    <w:p w14:paraId="35B0EB99" w14:textId="01DFC737" w:rsidR="008E7947" w:rsidRDefault="00C17921" w:rsidP="0098023A">
      <w:pPr>
        <w:pStyle w:val="Prrafocomn"/>
        <w:jc w:val="left"/>
        <w:rPr>
          <w:lang w:val="es-AR"/>
        </w:rPr>
      </w:pPr>
      <w:r w:rsidRPr="62A61FD7">
        <w:rPr>
          <w:lang w:val="es-AR" w:eastAsia="en-US"/>
        </w:rPr>
        <w:t>La muestra estuvo conformada por 3</w:t>
      </w:r>
      <w:r w:rsidR="009D5DC8">
        <w:rPr>
          <w:lang w:val="es-AR" w:eastAsia="en-US"/>
        </w:rPr>
        <w:t>6</w:t>
      </w:r>
      <w:r w:rsidRPr="62A61FD7">
        <w:rPr>
          <w:lang w:val="es-AR" w:eastAsia="en-US"/>
        </w:rPr>
        <w:t xml:space="preserve"> personas (</w:t>
      </w:r>
      <w:r w:rsidR="00DD1BE7" w:rsidRPr="62A61FD7">
        <w:rPr>
          <w:lang w:val="es-AR" w:eastAsia="en-US"/>
        </w:rPr>
        <w:t>6</w:t>
      </w:r>
      <w:r w:rsidR="009D5DC8">
        <w:rPr>
          <w:lang w:val="es-AR" w:eastAsia="en-US"/>
        </w:rPr>
        <w:t>1</w:t>
      </w:r>
      <w:r w:rsidR="00DD1BE7" w:rsidRPr="62A61FD7">
        <w:rPr>
          <w:lang w:val="es-AR" w:eastAsia="en-US"/>
        </w:rPr>
        <w:t>%</w:t>
      </w:r>
      <w:r w:rsidRPr="62A61FD7">
        <w:rPr>
          <w:lang w:val="es-AR" w:eastAsia="en-US"/>
        </w:rPr>
        <w:t xml:space="preserve"> mujeres) de Bogotá, Colombia, con </w:t>
      </w:r>
      <w:r w:rsidR="00DD1BE7" w:rsidRPr="62A61FD7">
        <w:rPr>
          <w:lang w:val="es-AR" w:eastAsia="en-US"/>
        </w:rPr>
        <w:t>edad promedio de 22</w:t>
      </w:r>
      <w:r w:rsidR="001A6CB9">
        <w:rPr>
          <w:lang w:val="es-AR" w:eastAsia="en-US"/>
        </w:rPr>
        <w:t>.</w:t>
      </w:r>
      <w:r w:rsidR="00A17C40">
        <w:rPr>
          <w:lang w:val="es-AR" w:eastAsia="en-US"/>
        </w:rPr>
        <w:t>7</w:t>
      </w:r>
      <w:r w:rsidR="00DD1BE7" w:rsidRPr="62A61FD7">
        <w:rPr>
          <w:lang w:val="es-AR" w:eastAsia="en-US"/>
        </w:rPr>
        <w:t xml:space="preserve"> años</w:t>
      </w:r>
      <w:r w:rsidRPr="62A61FD7">
        <w:rPr>
          <w:lang w:val="es-AR" w:eastAsia="en-US"/>
        </w:rPr>
        <w:t xml:space="preserve">. Cada participante dio su consentimiento informado antes de comenzar el experimento y fue recompensado con $15.000 </w:t>
      </w:r>
      <w:r w:rsidR="006B5107" w:rsidRPr="62A61FD7">
        <w:rPr>
          <w:lang w:val="es-AR" w:eastAsia="en-US"/>
        </w:rPr>
        <w:t xml:space="preserve">COP </w:t>
      </w:r>
      <w:r w:rsidRPr="62A61FD7">
        <w:rPr>
          <w:lang w:val="es-AR" w:eastAsia="en-US"/>
        </w:rPr>
        <w:t xml:space="preserve">al finalizar la tarea experimental. </w:t>
      </w:r>
      <w:r w:rsidR="008E7947">
        <w:rPr>
          <w:lang w:val="es-AR" w:eastAsia="en-US"/>
        </w:rPr>
        <w:t xml:space="preserve">Se calculó el tamaño de la </w:t>
      </w:r>
      <w:r w:rsidR="008E7947" w:rsidRPr="008E7947">
        <w:rPr>
          <w:lang w:val="es-AR" w:eastAsia="en-US"/>
        </w:rPr>
        <w:t xml:space="preserve">muestra a partir del análisis </w:t>
      </w:r>
      <w:r w:rsidR="008E7947">
        <w:rPr>
          <w:lang w:val="es-AR" w:eastAsia="en-US"/>
        </w:rPr>
        <w:t xml:space="preserve">de potencia </w:t>
      </w:r>
      <w:r w:rsidR="008E7947" w:rsidRPr="008E7947">
        <w:rPr>
          <w:lang w:val="es-AR" w:eastAsia="en-US"/>
        </w:rPr>
        <w:t>con G*</w:t>
      </w:r>
      <w:proofErr w:type="spellStart"/>
      <w:r w:rsidR="008E7947" w:rsidRPr="008E7947">
        <w:rPr>
          <w:lang w:val="es-AR" w:eastAsia="en-US"/>
        </w:rPr>
        <w:t>Power</w:t>
      </w:r>
      <w:proofErr w:type="spellEnd"/>
      <w:r w:rsidR="008E7947" w:rsidRPr="008E7947">
        <w:rPr>
          <w:lang w:val="es-AR" w:eastAsia="en-US"/>
        </w:rPr>
        <w:t xml:space="preserve"> 3 (Faul et al., 2007)</w:t>
      </w:r>
      <w:r w:rsidR="008E7947">
        <w:rPr>
          <w:lang w:val="es-AR" w:eastAsia="en-US"/>
        </w:rPr>
        <w:t xml:space="preserve"> teniendo en cuenta tres parámetros: </w:t>
      </w:r>
      <w:r w:rsidR="000C2E47">
        <w:rPr>
          <w:lang w:val="es-AR" w:eastAsia="en-US"/>
        </w:rPr>
        <w:t xml:space="preserve">a) </w:t>
      </w:r>
      <w:r w:rsidR="00860C45">
        <w:rPr>
          <w:lang w:val="es-AR" w:eastAsia="en-US"/>
        </w:rPr>
        <w:t xml:space="preserve">tamaño del efecto </w:t>
      </w:r>
      <w:r w:rsidR="00E45836">
        <w:rPr>
          <w:lang w:val="es-AR" w:eastAsia="en-US"/>
        </w:rPr>
        <w:t>=</w:t>
      </w:r>
      <w:r w:rsidR="00947C2E">
        <w:rPr>
          <w:lang w:val="es-AR" w:eastAsia="en-US"/>
        </w:rPr>
        <w:t xml:space="preserve"> </w:t>
      </w:r>
      <w:r w:rsidR="00860C45">
        <w:rPr>
          <w:lang w:val="es-AR" w:eastAsia="en-US"/>
        </w:rPr>
        <w:t xml:space="preserve">0.25 </w:t>
      </w:r>
      <w:r w:rsidR="00947C2E">
        <w:rPr>
          <w:lang w:val="es-AR" w:eastAsia="en-US"/>
        </w:rPr>
        <w:t>(</w:t>
      </w:r>
      <w:r w:rsidR="00860C45">
        <w:rPr>
          <w:lang w:val="es-AR" w:eastAsia="en-US"/>
        </w:rPr>
        <w:t xml:space="preserve">equivalente a </w:t>
      </w:r>
      <w:r w:rsidR="00860C45" w:rsidRPr="00166318">
        <w:rPr>
          <w:lang w:val="es-AR"/>
        </w:rPr>
        <w:t>η2</w:t>
      </w:r>
      <w:r w:rsidR="00860C45">
        <w:rPr>
          <w:lang w:val="es-AR"/>
        </w:rPr>
        <w:t xml:space="preserve"> = 0.06</w:t>
      </w:r>
      <w:r w:rsidR="00947C2E">
        <w:rPr>
          <w:lang w:val="es-AR"/>
        </w:rPr>
        <w:t>) que corresponde a un tamaño del efecto medio (Cohen, 1988)</w:t>
      </w:r>
      <w:r w:rsidR="00860C45">
        <w:rPr>
          <w:lang w:val="es-AR"/>
        </w:rPr>
        <w:t xml:space="preserve">; </w:t>
      </w:r>
      <w:r w:rsidR="000C2E47">
        <w:rPr>
          <w:lang w:val="es-AR"/>
        </w:rPr>
        <w:t>b)</w:t>
      </w:r>
      <w:r w:rsidR="00E45836">
        <w:rPr>
          <w:lang w:val="es-AR"/>
        </w:rPr>
        <w:t xml:space="preserve"> </w:t>
      </w:r>
      <w:r w:rsidR="00860C45">
        <w:rPr>
          <w:lang w:val="es-AR"/>
        </w:rPr>
        <w:t xml:space="preserve">nivel de significancia </w:t>
      </w:r>
      <w:r w:rsidR="00AF3E4A">
        <w:rPr>
          <w:lang w:val="es-AR"/>
        </w:rPr>
        <w:t>&lt;</w:t>
      </w:r>
      <w:r w:rsidR="00860C45">
        <w:rPr>
          <w:lang w:val="es-AR"/>
        </w:rPr>
        <w:t xml:space="preserve"> 0.05; y </w:t>
      </w:r>
      <w:r w:rsidR="00E45836">
        <w:rPr>
          <w:lang w:val="es-AR"/>
        </w:rPr>
        <w:t xml:space="preserve">c) </w:t>
      </w:r>
      <w:r w:rsidR="00860C45">
        <w:rPr>
          <w:lang w:val="es-AR"/>
        </w:rPr>
        <w:t xml:space="preserve">potencia </w:t>
      </w:r>
      <w:r w:rsidR="00E45836">
        <w:rPr>
          <w:lang w:val="es-AR"/>
        </w:rPr>
        <w:t>=</w:t>
      </w:r>
      <w:r w:rsidR="00860C45">
        <w:rPr>
          <w:lang w:val="es-AR"/>
        </w:rPr>
        <w:t xml:space="preserve"> 0.9</w:t>
      </w:r>
      <w:r w:rsidR="00AF3E4A">
        <w:rPr>
          <w:lang w:val="es-AR"/>
        </w:rPr>
        <w:t>9</w:t>
      </w:r>
      <w:r w:rsidR="00860C45">
        <w:rPr>
          <w:lang w:val="es-AR"/>
        </w:rPr>
        <w:t>.</w:t>
      </w:r>
    </w:p>
    <w:p w14:paraId="428829C7" w14:textId="7C083166" w:rsidR="006B5107" w:rsidRDefault="00B87E9A" w:rsidP="00B87E9A">
      <w:pPr>
        <w:pStyle w:val="Prrafocomn"/>
        <w:jc w:val="left"/>
        <w:rPr>
          <w:lang w:val="es-AR" w:eastAsia="en-US"/>
        </w:rPr>
      </w:pPr>
      <w:r>
        <w:rPr>
          <w:lang w:val="es-AR"/>
        </w:rPr>
        <w:t xml:space="preserve">Estas </w:t>
      </w:r>
      <w:r w:rsidR="00DB1659" w:rsidRPr="00B87E9A">
        <w:rPr>
          <w:lang w:val="es-AR" w:eastAsia="en-US"/>
        </w:rPr>
        <w:t xml:space="preserve">estimaciones se apoyaron adicionalmente en estudios previos de aprendizaje predictivo con diseños intrasujeto que han mostrado que </w:t>
      </w:r>
      <w:r w:rsidR="00916ACF">
        <w:rPr>
          <w:lang w:val="es-AR" w:eastAsia="en-US"/>
        </w:rPr>
        <w:t xml:space="preserve">incluso una muestra inferior a la presentada </w:t>
      </w:r>
      <w:r w:rsidR="00DB1659" w:rsidRPr="00B87E9A">
        <w:rPr>
          <w:lang w:val="es-AR" w:eastAsia="en-US"/>
        </w:rPr>
        <w:t>es adecuada para identificar los efectos principales de cambio de contexto (A</w:t>
      </w:r>
      <w:r w:rsidR="00885923">
        <w:rPr>
          <w:lang w:val="es-AR" w:eastAsia="en-US"/>
        </w:rPr>
        <w:t xml:space="preserve">utor </w:t>
      </w:r>
      <w:r w:rsidR="00DB1659" w:rsidRPr="00B87E9A">
        <w:rPr>
          <w:lang w:val="es-AR" w:eastAsia="en-US"/>
        </w:rPr>
        <w:t xml:space="preserve">et al., 2016, 2017; León et al., 2011; Ogallar et al., 2019; Pearson &amp; Le </w:t>
      </w:r>
      <w:proofErr w:type="spellStart"/>
      <w:r w:rsidR="00DB1659" w:rsidRPr="00B87E9A">
        <w:rPr>
          <w:lang w:val="es-AR" w:eastAsia="en-US"/>
        </w:rPr>
        <w:t>Pelley</w:t>
      </w:r>
      <w:proofErr w:type="spellEnd"/>
      <w:r w:rsidR="00DB1659" w:rsidRPr="00B87E9A">
        <w:rPr>
          <w:lang w:val="es-AR" w:eastAsia="en-US"/>
        </w:rPr>
        <w:t xml:space="preserve">, 2020; Rosas &amp; Callejas-Aguilera, 2006). </w:t>
      </w:r>
    </w:p>
    <w:p w14:paraId="282F0AB9" w14:textId="5048A4ED" w:rsidR="009519FD" w:rsidRPr="00166318" w:rsidRDefault="009519FD" w:rsidP="00B87E9A">
      <w:pPr>
        <w:pStyle w:val="Prrafocomn"/>
        <w:jc w:val="left"/>
        <w:rPr>
          <w:lang w:val="es-AR" w:eastAsia="en-US"/>
        </w:rPr>
      </w:pPr>
      <w:r>
        <w:rPr>
          <w:lang w:val="es-AR" w:eastAsia="en-US"/>
        </w:rPr>
        <w:lastRenderedPageBreak/>
        <w:t>El análisis final se hizo con 35 participantes, debido a que fue necesario excluir un registro (hombre</w:t>
      </w:r>
      <w:r w:rsidR="00085691">
        <w:rPr>
          <w:lang w:val="es-AR" w:eastAsia="en-US"/>
        </w:rPr>
        <w:t xml:space="preserve"> de 20 </w:t>
      </w:r>
      <w:r w:rsidR="007653BC">
        <w:rPr>
          <w:lang w:val="es-AR" w:eastAsia="en-US"/>
        </w:rPr>
        <w:t>años</w:t>
      </w:r>
      <w:r>
        <w:rPr>
          <w:lang w:val="es-AR" w:eastAsia="en-US"/>
        </w:rPr>
        <w:t xml:space="preserve">) </w:t>
      </w:r>
      <w:r w:rsidR="00FD5E01">
        <w:rPr>
          <w:lang w:val="es-AR" w:eastAsia="en-US"/>
        </w:rPr>
        <w:t>al detectar un error</w:t>
      </w:r>
      <w:r>
        <w:rPr>
          <w:lang w:val="es-AR" w:eastAsia="en-US"/>
        </w:rPr>
        <w:t xml:space="preserve"> en </w:t>
      </w:r>
      <w:r w:rsidR="00FD5E01">
        <w:rPr>
          <w:lang w:val="es-AR" w:eastAsia="en-US"/>
        </w:rPr>
        <w:t>el registro de la información suministrada durante su participación en el experimento</w:t>
      </w:r>
      <w:r>
        <w:rPr>
          <w:lang w:val="es-AR" w:eastAsia="en-US"/>
        </w:rPr>
        <w:t>.</w:t>
      </w:r>
    </w:p>
    <w:p w14:paraId="0FA29A56" w14:textId="7473937B" w:rsidR="006F7E7E" w:rsidRPr="001D4637" w:rsidRDefault="005B24FF" w:rsidP="000A2954">
      <w:pPr>
        <w:pStyle w:val="SubtituloInterno"/>
        <w:rPr>
          <w:lang w:val="es-CO"/>
        </w:rPr>
      </w:pPr>
      <w:r w:rsidRPr="001D4637">
        <w:rPr>
          <w:lang w:val="es-CO"/>
        </w:rPr>
        <w:t>Diseño</w:t>
      </w:r>
    </w:p>
    <w:p w14:paraId="5F60B405" w14:textId="01699954" w:rsidR="00C17921" w:rsidRPr="00166318" w:rsidRDefault="00C17921" w:rsidP="00F0526D">
      <w:pPr>
        <w:pStyle w:val="Prrafocomn"/>
        <w:jc w:val="left"/>
        <w:rPr>
          <w:lang w:val="es-AR"/>
        </w:rPr>
      </w:pPr>
      <w:r w:rsidRPr="4A490D7B">
        <w:rPr>
          <w:lang w:val="es-AR"/>
        </w:rPr>
        <w:t xml:space="preserve">Se </w:t>
      </w:r>
      <w:r w:rsidR="00101901" w:rsidRPr="4A490D7B">
        <w:rPr>
          <w:lang w:val="es-AR"/>
        </w:rPr>
        <w:t>adaptó</w:t>
      </w:r>
      <w:r w:rsidRPr="4A490D7B">
        <w:rPr>
          <w:lang w:val="es-AR"/>
        </w:rPr>
        <w:t xml:space="preserve"> el diseño experimental de medidas repetidas intrasujeto </w:t>
      </w:r>
      <w:r w:rsidR="00101901" w:rsidRPr="4A490D7B">
        <w:rPr>
          <w:lang w:val="es-AR"/>
        </w:rPr>
        <w:t xml:space="preserve">en productos </w:t>
      </w:r>
      <w:r w:rsidR="0083435E" w:rsidRPr="4A490D7B">
        <w:rPr>
          <w:lang w:val="es-AR"/>
        </w:rPr>
        <w:t>funerarios</w:t>
      </w:r>
      <w:r w:rsidR="00101901" w:rsidRPr="4A490D7B">
        <w:rPr>
          <w:lang w:val="es-AR"/>
        </w:rPr>
        <w:t xml:space="preserve"> </w:t>
      </w:r>
      <w:r w:rsidRPr="4A490D7B">
        <w:rPr>
          <w:lang w:val="es-AR"/>
        </w:rPr>
        <w:t>empleado por A</w:t>
      </w:r>
      <w:r w:rsidR="00885923">
        <w:rPr>
          <w:lang w:val="es-AR"/>
        </w:rPr>
        <w:t>utor</w:t>
      </w:r>
      <w:r w:rsidRPr="4A490D7B">
        <w:rPr>
          <w:lang w:val="es-AR"/>
        </w:rPr>
        <w:t xml:space="preserve"> et al. (202</w:t>
      </w:r>
      <w:r w:rsidR="00FA2C55" w:rsidRPr="4A490D7B">
        <w:rPr>
          <w:lang w:val="es-AR"/>
        </w:rPr>
        <w:t>1</w:t>
      </w:r>
      <w:r w:rsidRPr="4A490D7B">
        <w:rPr>
          <w:lang w:val="es-AR"/>
        </w:rPr>
        <w:t xml:space="preserve">) en el experimento </w:t>
      </w:r>
      <w:r w:rsidR="007E0DE2" w:rsidRPr="4A490D7B">
        <w:rPr>
          <w:lang w:val="es-AR"/>
        </w:rPr>
        <w:t>1</w:t>
      </w:r>
      <w:r w:rsidRPr="4A490D7B">
        <w:rPr>
          <w:lang w:val="es-AR"/>
        </w:rPr>
        <w:t xml:space="preserve">; pero </w:t>
      </w:r>
      <w:r w:rsidR="00121E03" w:rsidRPr="4A490D7B">
        <w:rPr>
          <w:lang w:val="es-AR"/>
        </w:rPr>
        <w:t>para</w:t>
      </w:r>
      <w:r w:rsidRPr="4A490D7B">
        <w:rPr>
          <w:lang w:val="es-AR"/>
        </w:rPr>
        <w:t xml:space="preserve"> este caso, los participantes </w:t>
      </w:r>
      <w:r w:rsidR="00101901" w:rsidRPr="4A490D7B">
        <w:rPr>
          <w:lang w:val="es-AR"/>
        </w:rPr>
        <w:t>fueron expuestos a</w:t>
      </w:r>
      <w:r w:rsidRPr="4A490D7B">
        <w:rPr>
          <w:lang w:val="es-AR"/>
        </w:rPr>
        <w:t xml:space="preserve"> productos </w:t>
      </w:r>
      <w:r w:rsidR="00101901" w:rsidRPr="4A490D7B">
        <w:rPr>
          <w:lang w:val="es-AR"/>
        </w:rPr>
        <w:t xml:space="preserve">alimenticios </w:t>
      </w:r>
      <w:r w:rsidRPr="4A490D7B">
        <w:rPr>
          <w:lang w:val="es-AR"/>
        </w:rPr>
        <w:t xml:space="preserve">asociados a descuento variable (producto X), descuento </w:t>
      </w:r>
      <w:r w:rsidR="00121E03" w:rsidRPr="4A490D7B">
        <w:rPr>
          <w:lang w:val="es-AR"/>
        </w:rPr>
        <w:t>constante</w:t>
      </w:r>
      <w:r w:rsidRPr="4A490D7B">
        <w:rPr>
          <w:lang w:val="es-AR"/>
        </w:rPr>
        <w:t xml:space="preserve"> (producto Z) y sin descuento (producto Y) en dos tiendas diferentes (A y B)</w:t>
      </w:r>
      <w:r w:rsidR="00121E03" w:rsidRPr="4A490D7B">
        <w:rPr>
          <w:lang w:val="es-AR"/>
        </w:rPr>
        <w:t xml:space="preserve">, </w:t>
      </w:r>
      <w:r w:rsidRPr="4A490D7B">
        <w:rPr>
          <w:lang w:val="es-AR"/>
        </w:rPr>
        <w:t>para probabilizar la compra de estos productos</w:t>
      </w:r>
      <w:r w:rsidR="007E0DE2" w:rsidRPr="4A490D7B">
        <w:rPr>
          <w:lang w:val="es-AR"/>
        </w:rPr>
        <w:t xml:space="preserve"> </w:t>
      </w:r>
      <w:r w:rsidR="00101901" w:rsidRPr="4A490D7B">
        <w:rPr>
          <w:lang w:val="es-AR"/>
        </w:rPr>
        <w:t xml:space="preserve">en el mismo contexto de </w:t>
      </w:r>
      <w:r w:rsidR="00F93C86" w:rsidRPr="4A490D7B">
        <w:rPr>
          <w:lang w:val="es-AR"/>
        </w:rPr>
        <w:t>entrenamiento</w:t>
      </w:r>
      <w:r w:rsidR="00101901" w:rsidRPr="4A490D7B">
        <w:rPr>
          <w:lang w:val="es-AR"/>
        </w:rPr>
        <w:t xml:space="preserve"> y en un contexto diferente </w:t>
      </w:r>
      <w:r w:rsidR="007E0DE2" w:rsidRPr="4A490D7B">
        <w:rPr>
          <w:lang w:val="es-AR"/>
        </w:rPr>
        <w:t xml:space="preserve">(ver </w:t>
      </w:r>
      <w:r w:rsidR="414F80BC" w:rsidRPr="4A490D7B">
        <w:rPr>
          <w:lang w:val="es-AR"/>
        </w:rPr>
        <w:t xml:space="preserve">diseño experimental </w:t>
      </w:r>
      <w:r w:rsidR="00643B1E" w:rsidRPr="4A490D7B">
        <w:rPr>
          <w:lang w:val="es-AR"/>
        </w:rPr>
        <w:t>en la T</w:t>
      </w:r>
      <w:r w:rsidR="007E0DE2" w:rsidRPr="4A490D7B">
        <w:rPr>
          <w:lang w:val="es-AR"/>
        </w:rPr>
        <w:t>abla 1)</w:t>
      </w:r>
      <w:r w:rsidRPr="4A490D7B">
        <w:rPr>
          <w:lang w:val="es-AR"/>
        </w:rPr>
        <w:t>.</w:t>
      </w:r>
    </w:p>
    <w:p w14:paraId="2E264A0A" w14:textId="77777777" w:rsidR="000D4F8D" w:rsidRDefault="000D4F8D" w:rsidP="62A61FD7">
      <w:pPr>
        <w:pStyle w:val="Prrafocomn"/>
        <w:ind w:firstLine="0"/>
        <w:jc w:val="left"/>
        <w:rPr>
          <w:b/>
          <w:bCs/>
        </w:rPr>
      </w:pPr>
    </w:p>
    <w:p w14:paraId="290DC4E2" w14:textId="46BBCFF8" w:rsidR="00D54DE9" w:rsidRDefault="000016B0" w:rsidP="62A61FD7">
      <w:pPr>
        <w:pStyle w:val="Prrafocomn"/>
        <w:ind w:firstLine="0"/>
        <w:jc w:val="left"/>
        <w:rPr>
          <w:i/>
          <w:iCs/>
          <w:color w:val="00000A"/>
          <w14:textOutline w14:w="0" w14:cap="flat" w14:cmpd="sng" w14:algn="ctr">
            <w14:noFill/>
            <w14:prstDash w14:val="solid"/>
            <w14:bevel/>
          </w14:textOutline>
        </w:rPr>
      </w:pPr>
      <w:proofErr w:type="spellStart"/>
      <w:r w:rsidRPr="005148DA">
        <w:rPr>
          <w:b/>
          <w:bCs/>
        </w:rPr>
        <w:t>Tabla</w:t>
      </w:r>
      <w:proofErr w:type="spellEnd"/>
      <w:r w:rsidRPr="005148DA">
        <w:rPr>
          <w:b/>
          <w:bCs/>
        </w:rPr>
        <w:t xml:space="preserve"> 1</w:t>
      </w:r>
      <w:r w:rsidRPr="00166318">
        <w:rPr>
          <w:rFonts w:ascii="Arial Unicode MS" w:eastAsia="Arial Unicode MS" w:hAnsi="Arial Unicode MS" w:cs="Arial Unicode MS"/>
          <w:color w:val="00000A"/>
          <w:u w:color="00000A"/>
          <w14:textOutline w14:w="0" w14:cap="flat" w14:cmpd="sng" w14:algn="ctr">
            <w14:noFill/>
            <w14:prstDash w14:val="solid"/>
            <w14:bevel/>
          </w14:textOutline>
        </w:rPr>
        <w:br/>
      </w:r>
      <w:proofErr w:type="spellStart"/>
      <w:r w:rsidRPr="62A61FD7">
        <w:rPr>
          <w:i/>
          <w:iCs/>
          <w:color w:val="00000A"/>
          <w14:textOutline w14:w="0" w14:cap="flat" w14:cmpd="sng" w14:algn="ctr">
            <w14:noFill/>
            <w14:prstDash w14:val="solid"/>
            <w14:bevel/>
          </w14:textOutline>
        </w:rPr>
        <w:t>Diseño</w:t>
      </w:r>
      <w:proofErr w:type="spellEnd"/>
      <w:r w:rsidRPr="62A61FD7">
        <w:rPr>
          <w:i/>
          <w:iCs/>
          <w:color w:val="00000A"/>
          <w14:textOutline w14:w="0" w14:cap="flat" w14:cmpd="sng" w14:algn="ctr">
            <w14:noFill/>
            <w14:prstDash w14:val="solid"/>
            <w14:bevel/>
          </w14:textOutline>
        </w:rPr>
        <w:t xml:space="preserve"> Experimental de </w:t>
      </w:r>
      <w:proofErr w:type="spellStart"/>
      <w:r w:rsidRPr="62A61FD7">
        <w:rPr>
          <w:i/>
          <w:iCs/>
          <w:color w:val="00000A"/>
          <w14:textOutline w14:w="0" w14:cap="flat" w14:cmpd="sng" w14:algn="ctr">
            <w14:noFill/>
            <w14:prstDash w14:val="solid"/>
            <w14:bevel/>
          </w14:textOutline>
        </w:rPr>
        <w:t>Medidas</w:t>
      </w:r>
      <w:proofErr w:type="spellEnd"/>
      <w:r w:rsidRPr="62A61FD7">
        <w:rPr>
          <w:i/>
          <w:iCs/>
          <w:color w:val="00000A"/>
          <w14:textOutline w14:w="0" w14:cap="flat" w14:cmpd="sng" w14:algn="ctr">
            <w14:noFill/>
            <w14:prstDash w14:val="solid"/>
            <w14:bevel/>
          </w14:textOutline>
        </w:rPr>
        <w:t xml:space="preserve"> </w:t>
      </w:r>
      <w:proofErr w:type="spellStart"/>
      <w:r w:rsidRPr="62A61FD7">
        <w:rPr>
          <w:i/>
          <w:iCs/>
          <w:color w:val="00000A"/>
          <w14:textOutline w14:w="0" w14:cap="flat" w14:cmpd="sng" w14:algn="ctr">
            <w14:noFill/>
            <w14:prstDash w14:val="solid"/>
            <w14:bevel/>
          </w14:textOutline>
        </w:rPr>
        <w:t>Repetidas</w:t>
      </w:r>
      <w:proofErr w:type="spellEnd"/>
      <w:r w:rsidRPr="62A61FD7">
        <w:rPr>
          <w:i/>
          <w:iCs/>
          <w:color w:val="00000A"/>
          <w14:textOutline w14:w="0" w14:cap="flat" w14:cmpd="sng" w14:algn="ctr">
            <w14:noFill/>
            <w14:prstDash w14:val="solid"/>
            <w14:bevel/>
          </w14:textOutline>
        </w:rPr>
        <w:t xml:space="preserve"> Intrasujeto</w:t>
      </w:r>
    </w:p>
    <w:p w14:paraId="1919B0DF" w14:textId="77777777" w:rsidR="00C02194" w:rsidRDefault="00C02194" w:rsidP="62A61FD7">
      <w:pPr>
        <w:pStyle w:val="Prrafocomn"/>
        <w:ind w:firstLine="0"/>
        <w:jc w:val="left"/>
        <w:rPr>
          <w:i/>
          <w:iCs/>
          <w:color w:val="00000A"/>
          <w:lang w:val="es-CO"/>
          <w14:textOutline w14:w="0" w14:cap="flat" w14:cmpd="sng" w14:algn="ctr">
            <w14:noFill/>
            <w14:prstDash w14:val="solid"/>
            <w14:bevel/>
          </w14:textOutline>
        </w:rPr>
      </w:pPr>
    </w:p>
    <w:tbl>
      <w:tblPr>
        <w:tblW w:w="8902" w:type="dxa"/>
        <w:jc w:val="center"/>
        <w:tblCellMar>
          <w:left w:w="70" w:type="dxa"/>
          <w:right w:w="70" w:type="dxa"/>
        </w:tblCellMar>
        <w:tblLook w:val="04A0" w:firstRow="1" w:lastRow="0" w:firstColumn="1" w:lastColumn="0" w:noHBand="0" w:noVBand="1"/>
      </w:tblPr>
      <w:tblGrid>
        <w:gridCol w:w="874"/>
        <w:gridCol w:w="190"/>
        <w:gridCol w:w="1259"/>
        <w:gridCol w:w="190"/>
        <w:gridCol w:w="863"/>
        <w:gridCol w:w="190"/>
        <w:gridCol w:w="1820"/>
        <w:gridCol w:w="173"/>
        <w:gridCol w:w="190"/>
        <w:gridCol w:w="1622"/>
        <w:gridCol w:w="88"/>
        <w:gridCol w:w="108"/>
        <w:gridCol w:w="82"/>
        <w:gridCol w:w="1193"/>
        <w:gridCol w:w="7"/>
        <w:gridCol w:w="53"/>
      </w:tblGrid>
      <w:tr w:rsidR="0052351B" w:rsidRPr="0052351B" w14:paraId="663C038D" w14:textId="77777777" w:rsidTr="009B79BA">
        <w:trPr>
          <w:gridAfter w:val="1"/>
          <w:wAfter w:w="53" w:type="dxa"/>
          <w:trHeight w:val="361"/>
          <w:jc w:val="center"/>
        </w:trPr>
        <w:tc>
          <w:tcPr>
            <w:tcW w:w="8849" w:type="dxa"/>
            <w:gridSpan w:val="15"/>
            <w:tcBorders>
              <w:top w:val="single" w:sz="4" w:space="0" w:color="auto"/>
              <w:left w:val="nil"/>
              <w:bottom w:val="single" w:sz="4" w:space="0" w:color="auto"/>
              <w:right w:val="nil"/>
            </w:tcBorders>
            <w:shd w:val="clear" w:color="auto" w:fill="auto"/>
            <w:noWrap/>
            <w:vAlign w:val="center"/>
            <w:hideMark/>
          </w:tcPr>
          <w:p w14:paraId="3138AC70" w14:textId="6A5E48F7" w:rsidR="0052351B" w:rsidRPr="0052351B" w:rsidRDefault="0052351B" w:rsidP="0052351B">
            <w:pPr>
              <w:jc w:val="center"/>
              <w:rPr>
                <w:color w:val="000000"/>
                <w:sz w:val="20"/>
                <w:szCs w:val="20"/>
                <w:lang w:eastAsia="es-CO"/>
              </w:rPr>
            </w:pPr>
            <w:r>
              <w:rPr>
                <w:color w:val="000000"/>
                <w:sz w:val="20"/>
                <w:szCs w:val="20"/>
                <w:lang w:eastAsia="es-CO"/>
              </w:rPr>
              <w:t>Diseño Experimental</w:t>
            </w:r>
          </w:p>
        </w:tc>
      </w:tr>
      <w:tr w:rsidR="0052351B" w:rsidRPr="0052351B" w14:paraId="31E2AF13" w14:textId="77777777" w:rsidTr="009B79BA">
        <w:trPr>
          <w:gridAfter w:val="1"/>
          <w:wAfter w:w="53" w:type="dxa"/>
          <w:trHeight w:val="361"/>
          <w:jc w:val="center"/>
        </w:trPr>
        <w:tc>
          <w:tcPr>
            <w:tcW w:w="5559" w:type="dxa"/>
            <w:gridSpan w:val="8"/>
            <w:tcBorders>
              <w:top w:val="nil"/>
              <w:left w:val="nil"/>
              <w:bottom w:val="single" w:sz="4" w:space="0" w:color="auto"/>
              <w:right w:val="nil"/>
            </w:tcBorders>
            <w:shd w:val="clear" w:color="auto" w:fill="auto"/>
            <w:vAlign w:val="center"/>
            <w:hideMark/>
          </w:tcPr>
          <w:p w14:paraId="27612146" w14:textId="60A90973" w:rsidR="0052351B" w:rsidRPr="0052351B" w:rsidRDefault="0052351B" w:rsidP="0052351B">
            <w:pPr>
              <w:jc w:val="center"/>
              <w:rPr>
                <w:color w:val="000000"/>
                <w:sz w:val="20"/>
                <w:szCs w:val="20"/>
                <w:lang w:eastAsia="es-CO"/>
              </w:rPr>
            </w:pPr>
            <w:r>
              <w:rPr>
                <w:color w:val="000000"/>
                <w:sz w:val="20"/>
                <w:szCs w:val="20"/>
                <w:lang w:eastAsia="es-CO"/>
              </w:rPr>
              <w:t>Fase de Entrenamiento</w:t>
            </w:r>
          </w:p>
        </w:tc>
        <w:tc>
          <w:tcPr>
            <w:tcW w:w="190" w:type="dxa"/>
            <w:tcBorders>
              <w:top w:val="nil"/>
              <w:left w:val="nil"/>
              <w:bottom w:val="single" w:sz="4" w:space="0" w:color="auto"/>
              <w:right w:val="nil"/>
            </w:tcBorders>
            <w:shd w:val="clear" w:color="auto" w:fill="auto"/>
            <w:noWrap/>
            <w:vAlign w:val="center"/>
            <w:hideMark/>
          </w:tcPr>
          <w:p w14:paraId="5446473B" w14:textId="77777777" w:rsidR="0052351B" w:rsidRPr="0052351B" w:rsidRDefault="0052351B" w:rsidP="0052351B">
            <w:pPr>
              <w:rPr>
                <w:color w:val="000000"/>
                <w:sz w:val="20"/>
                <w:szCs w:val="20"/>
                <w:lang w:eastAsia="es-CO"/>
              </w:rPr>
            </w:pPr>
            <w:r w:rsidRPr="0052351B">
              <w:rPr>
                <w:color w:val="000000"/>
                <w:sz w:val="20"/>
                <w:szCs w:val="20"/>
                <w:lang w:eastAsia="es-CO"/>
              </w:rPr>
              <w:t> </w:t>
            </w:r>
          </w:p>
        </w:tc>
        <w:tc>
          <w:tcPr>
            <w:tcW w:w="3100" w:type="dxa"/>
            <w:gridSpan w:val="6"/>
            <w:tcBorders>
              <w:top w:val="nil"/>
              <w:left w:val="nil"/>
              <w:bottom w:val="single" w:sz="4" w:space="0" w:color="auto"/>
              <w:right w:val="nil"/>
            </w:tcBorders>
            <w:shd w:val="clear" w:color="auto" w:fill="auto"/>
            <w:noWrap/>
            <w:vAlign w:val="center"/>
            <w:hideMark/>
          </w:tcPr>
          <w:p w14:paraId="2727833E" w14:textId="0D034ADE" w:rsidR="0052351B" w:rsidRPr="0052351B" w:rsidRDefault="0052351B" w:rsidP="0052351B">
            <w:pPr>
              <w:jc w:val="center"/>
              <w:rPr>
                <w:color w:val="000000"/>
                <w:sz w:val="20"/>
                <w:szCs w:val="20"/>
                <w:lang w:eastAsia="es-CO"/>
              </w:rPr>
            </w:pPr>
            <w:r>
              <w:rPr>
                <w:color w:val="000000"/>
                <w:sz w:val="20"/>
                <w:szCs w:val="20"/>
                <w:lang w:eastAsia="es-CO"/>
              </w:rPr>
              <w:t>Fase de Prueba</w:t>
            </w:r>
          </w:p>
        </w:tc>
      </w:tr>
      <w:tr w:rsidR="009B79BA" w:rsidRPr="0052351B" w14:paraId="6CE6705D" w14:textId="77777777" w:rsidTr="009B79BA">
        <w:trPr>
          <w:gridAfter w:val="2"/>
          <w:wAfter w:w="60" w:type="dxa"/>
          <w:trHeight w:val="267"/>
          <w:jc w:val="center"/>
        </w:trPr>
        <w:tc>
          <w:tcPr>
            <w:tcW w:w="874" w:type="dxa"/>
            <w:tcBorders>
              <w:top w:val="nil"/>
              <w:left w:val="nil"/>
              <w:bottom w:val="nil"/>
              <w:right w:val="nil"/>
            </w:tcBorders>
            <w:shd w:val="clear" w:color="auto" w:fill="auto"/>
            <w:noWrap/>
            <w:vAlign w:val="bottom"/>
            <w:hideMark/>
          </w:tcPr>
          <w:p w14:paraId="606345AA"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bottom"/>
            <w:hideMark/>
          </w:tcPr>
          <w:p w14:paraId="5B747BD3" w14:textId="77777777" w:rsidR="0052351B" w:rsidRPr="0052351B" w:rsidRDefault="0052351B" w:rsidP="0052351B">
            <w:pPr>
              <w:rPr>
                <w:sz w:val="20"/>
                <w:szCs w:val="20"/>
                <w:lang w:eastAsia="es-CO"/>
              </w:rPr>
            </w:pPr>
          </w:p>
        </w:tc>
        <w:tc>
          <w:tcPr>
            <w:tcW w:w="1259" w:type="dxa"/>
            <w:tcBorders>
              <w:top w:val="nil"/>
              <w:left w:val="nil"/>
              <w:bottom w:val="nil"/>
              <w:right w:val="nil"/>
            </w:tcBorders>
            <w:shd w:val="clear" w:color="auto" w:fill="auto"/>
            <w:vAlign w:val="bottom"/>
            <w:hideMark/>
          </w:tcPr>
          <w:p w14:paraId="1EBF2B2A"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26E7B81C"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bottom"/>
            <w:hideMark/>
          </w:tcPr>
          <w:p w14:paraId="228ED973"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5D38CAFF" w14:textId="77777777" w:rsidR="0052351B" w:rsidRPr="0052351B" w:rsidRDefault="0052351B" w:rsidP="0052351B">
            <w:pPr>
              <w:rPr>
                <w:sz w:val="20"/>
                <w:szCs w:val="20"/>
                <w:lang w:eastAsia="es-CO"/>
              </w:rPr>
            </w:pPr>
          </w:p>
        </w:tc>
        <w:tc>
          <w:tcPr>
            <w:tcW w:w="1993" w:type="dxa"/>
            <w:gridSpan w:val="2"/>
            <w:tcBorders>
              <w:top w:val="nil"/>
              <w:left w:val="nil"/>
              <w:bottom w:val="nil"/>
              <w:right w:val="nil"/>
            </w:tcBorders>
            <w:shd w:val="clear" w:color="auto" w:fill="auto"/>
            <w:noWrap/>
            <w:vAlign w:val="bottom"/>
            <w:hideMark/>
          </w:tcPr>
          <w:p w14:paraId="66D077A5"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bottom"/>
            <w:hideMark/>
          </w:tcPr>
          <w:p w14:paraId="668ADB11" w14:textId="77777777" w:rsidR="0052351B" w:rsidRPr="0052351B" w:rsidRDefault="0052351B" w:rsidP="0052351B">
            <w:pPr>
              <w:rPr>
                <w:sz w:val="20"/>
                <w:szCs w:val="20"/>
                <w:lang w:eastAsia="es-CO"/>
              </w:rPr>
            </w:pPr>
          </w:p>
        </w:tc>
        <w:tc>
          <w:tcPr>
            <w:tcW w:w="1622" w:type="dxa"/>
            <w:tcBorders>
              <w:top w:val="nil"/>
              <w:left w:val="nil"/>
              <w:bottom w:val="nil"/>
              <w:right w:val="nil"/>
            </w:tcBorders>
            <w:shd w:val="clear" w:color="auto" w:fill="auto"/>
            <w:noWrap/>
            <w:vAlign w:val="bottom"/>
            <w:hideMark/>
          </w:tcPr>
          <w:p w14:paraId="78030B1E" w14:textId="77777777" w:rsidR="0052351B" w:rsidRPr="0052351B" w:rsidRDefault="0052351B" w:rsidP="0052351B">
            <w:pPr>
              <w:rPr>
                <w:sz w:val="20"/>
                <w:szCs w:val="20"/>
                <w:lang w:eastAsia="es-CO"/>
              </w:rPr>
            </w:pPr>
          </w:p>
        </w:tc>
        <w:tc>
          <w:tcPr>
            <w:tcW w:w="196" w:type="dxa"/>
            <w:gridSpan w:val="2"/>
            <w:tcBorders>
              <w:top w:val="nil"/>
              <w:left w:val="nil"/>
              <w:bottom w:val="nil"/>
              <w:right w:val="nil"/>
            </w:tcBorders>
            <w:shd w:val="clear" w:color="auto" w:fill="auto"/>
            <w:noWrap/>
            <w:vAlign w:val="bottom"/>
            <w:hideMark/>
          </w:tcPr>
          <w:p w14:paraId="27CE65FA" w14:textId="77777777" w:rsidR="0052351B" w:rsidRPr="0052351B" w:rsidRDefault="0052351B" w:rsidP="0052351B">
            <w:pPr>
              <w:rPr>
                <w:sz w:val="20"/>
                <w:szCs w:val="20"/>
                <w:lang w:eastAsia="es-CO"/>
              </w:rPr>
            </w:pPr>
          </w:p>
        </w:tc>
        <w:tc>
          <w:tcPr>
            <w:tcW w:w="1275" w:type="dxa"/>
            <w:gridSpan w:val="2"/>
            <w:tcBorders>
              <w:top w:val="nil"/>
              <w:left w:val="nil"/>
              <w:bottom w:val="nil"/>
              <w:right w:val="nil"/>
            </w:tcBorders>
            <w:shd w:val="clear" w:color="auto" w:fill="auto"/>
            <w:noWrap/>
            <w:vAlign w:val="bottom"/>
            <w:hideMark/>
          </w:tcPr>
          <w:p w14:paraId="342AE6D6" w14:textId="77777777" w:rsidR="0052351B" w:rsidRPr="0052351B" w:rsidRDefault="0052351B" w:rsidP="0052351B">
            <w:pPr>
              <w:rPr>
                <w:sz w:val="20"/>
                <w:szCs w:val="20"/>
                <w:lang w:eastAsia="es-CO"/>
              </w:rPr>
            </w:pPr>
          </w:p>
        </w:tc>
      </w:tr>
      <w:tr w:rsidR="0052351B" w:rsidRPr="0052351B" w14:paraId="778773D8" w14:textId="77777777" w:rsidTr="009B79BA">
        <w:trPr>
          <w:gridAfter w:val="1"/>
          <w:wAfter w:w="53" w:type="dxa"/>
          <w:trHeight w:val="441"/>
          <w:jc w:val="center"/>
        </w:trPr>
        <w:tc>
          <w:tcPr>
            <w:tcW w:w="5559" w:type="dxa"/>
            <w:gridSpan w:val="8"/>
            <w:tcBorders>
              <w:top w:val="nil"/>
              <w:left w:val="nil"/>
              <w:bottom w:val="nil"/>
              <w:right w:val="nil"/>
            </w:tcBorders>
            <w:shd w:val="clear" w:color="auto" w:fill="auto"/>
            <w:noWrap/>
            <w:vAlign w:val="center"/>
            <w:hideMark/>
          </w:tcPr>
          <w:p w14:paraId="5F718AB5"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 12 X</w:t>
            </w:r>
            <w:r w:rsidRPr="0052351B">
              <w:rPr>
                <w:color w:val="000000"/>
                <w:sz w:val="20"/>
                <w:szCs w:val="20"/>
                <w:vertAlign w:val="superscript"/>
                <w:lang w:eastAsia="es-CO"/>
              </w:rPr>
              <w:t>50%</w:t>
            </w:r>
            <w:r w:rsidRPr="0052351B">
              <w:rPr>
                <w:color w:val="000000"/>
                <w:sz w:val="20"/>
                <w:szCs w:val="20"/>
                <w:lang w:eastAsia="es-CO"/>
              </w:rPr>
              <w:t>, 12 X</w:t>
            </w:r>
            <w:r w:rsidRPr="0052351B">
              <w:rPr>
                <w:color w:val="000000"/>
                <w:sz w:val="20"/>
                <w:szCs w:val="20"/>
                <w:vertAlign w:val="superscript"/>
                <w:lang w:eastAsia="es-CO"/>
              </w:rPr>
              <w:t>30%</w:t>
            </w:r>
            <w:r w:rsidRPr="0052351B">
              <w:rPr>
                <w:color w:val="000000"/>
                <w:sz w:val="20"/>
                <w:szCs w:val="20"/>
                <w:lang w:eastAsia="es-CO"/>
              </w:rPr>
              <w:t>, 12 X</w:t>
            </w:r>
            <w:r w:rsidRPr="0052351B">
              <w:rPr>
                <w:color w:val="000000"/>
                <w:sz w:val="20"/>
                <w:szCs w:val="20"/>
                <w:vertAlign w:val="superscript"/>
                <w:lang w:eastAsia="es-CO"/>
              </w:rPr>
              <w:t>0%</w:t>
            </w:r>
            <w:r w:rsidRPr="0052351B">
              <w:rPr>
                <w:color w:val="000000"/>
                <w:sz w:val="20"/>
                <w:szCs w:val="20"/>
                <w:lang w:eastAsia="es-CO"/>
              </w:rPr>
              <w:t>, 12 F1</w:t>
            </w:r>
            <w:r w:rsidRPr="0052351B">
              <w:rPr>
                <w:color w:val="000000"/>
                <w:sz w:val="20"/>
                <w:szCs w:val="20"/>
                <w:vertAlign w:val="superscript"/>
                <w:lang w:eastAsia="es-CO"/>
              </w:rPr>
              <w:t>0%</w:t>
            </w:r>
            <w:r w:rsidRPr="0052351B">
              <w:rPr>
                <w:color w:val="000000"/>
                <w:sz w:val="20"/>
                <w:szCs w:val="20"/>
                <w:lang w:eastAsia="es-CO"/>
              </w:rPr>
              <w:t>, 12 Z</w:t>
            </w:r>
            <w:r w:rsidRPr="0052351B">
              <w:rPr>
                <w:color w:val="000000"/>
                <w:sz w:val="20"/>
                <w:szCs w:val="20"/>
                <w:vertAlign w:val="superscript"/>
                <w:lang w:eastAsia="es-CO"/>
              </w:rPr>
              <w:t>30%</w:t>
            </w:r>
          </w:p>
        </w:tc>
        <w:tc>
          <w:tcPr>
            <w:tcW w:w="190" w:type="dxa"/>
            <w:tcBorders>
              <w:top w:val="nil"/>
              <w:left w:val="nil"/>
              <w:bottom w:val="nil"/>
              <w:right w:val="nil"/>
            </w:tcBorders>
            <w:shd w:val="clear" w:color="auto" w:fill="auto"/>
            <w:noWrap/>
            <w:vAlign w:val="center"/>
            <w:hideMark/>
          </w:tcPr>
          <w:p w14:paraId="21E32363" w14:textId="77777777" w:rsidR="0052351B" w:rsidRPr="0052351B" w:rsidRDefault="0052351B" w:rsidP="0052351B">
            <w:pPr>
              <w:jc w:val="center"/>
              <w:rPr>
                <w:color w:val="000000"/>
                <w:sz w:val="20"/>
                <w:szCs w:val="20"/>
                <w:lang w:eastAsia="es-CO"/>
              </w:rPr>
            </w:pPr>
          </w:p>
        </w:tc>
        <w:tc>
          <w:tcPr>
            <w:tcW w:w="3100" w:type="dxa"/>
            <w:gridSpan w:val="6"/>
            <w:tcBorders>
              <w:top w:val="nil"/>
              <w:left w:val="nil"/>
              <w:bottom w:val="nil"/>
              <w:right w:val="nil"/>
            </w:tcBorders>
            <w:shd w:val="clear" w:color="auto" w:fill="auto"/>
            <w:noWrap/>
            <w:vAlign w:val="center"/>
            <w:hideMark/>
          </w:tcPr>
          <w:p w14:paraId="21D15A7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 X, Y, Z</w:t>
            </w:r>
          </w:p>
        </w:tc>
      </w:tr>
      <w:tr w:rsidR="0052351B" w:rsidRPr="0052351B" w14:paraId="77D24A26" w14:textId="77777777" w:rsidTr="009B79BA">
        <w:trPr>
          <w:gridAfter w:val="1"/>
          <w:wAfter w:w="53" w:type="dxa"/>
          <w:trHeight w:val="441"/>
          <w:jc w:val="center"/>
        </w:trPr>
        <w:tc>
          <w:tcPr>
            <w:tcW w:w="5559" w:type="dxa"/>
            <w:gridSpan w:val="8"/>
            <w:tcBorders>
              <w:top w:val="nil"/>
              <w:left w:val="nil"/>
              <w:bottom w:val="nil"/>
              <w:right w:val="nil"/>
            </w:tcBorders>
            <w:shd w:val="clear" w:color="auto" w:fill="auto"/>
            <w:noWrap/>
            <w:vAlign w:val="center"/>
            <w:hideMark/>
          </w:tcPr>
          <w:p w14:paraId="22741AA9" w14:textId="01778781" w:rsidR="0052351B" w:rsidRPr="0052351B" w:rsidRDefault="0052351B" w:rsidP="0052351B">
            <w:pPr>
              <w:rPr>
                <w:color w:val="000000"/>
                <w:sz w:val="20"/>
                <w:szCs w:val="20"/>
                <w:lang w:eastAsia="es-CO"/>
              </w:rPr>
            </w:pPr>
            <w:r w:rsidRPr="0052351B">
              <w:rPr>
                <w:color w:val="000000"/>
                <w:sz w:val="20"/>
                <w:szCs w:val="20"/>
                <w:lang w:eastAsia="es-CO"/>
              </w:rPr>
              <w:t xml:space="preserve">                 B: 12 Y</w:t>
            </w:r>
            <w:r w:rsidRPr="0052351B">
              <w:rPr>
                <w:color w:val="000000"/>
                <w:sz w:val="20"/>
                <w:szCs w:val="20"/>
                <w:vertAlign w:val="superscript"/>
                <w:lang w:eastAsia="es-CO"/>
              </w:rPr>
              <w:t>0%</w:t>
            </w:r>
            <w:r w:rsidRPr="0052351B">
              <w:rPr>
                <w:color w:val="000000"/>
                <w:sz w:val="20"/>
                <w:szCs w:val="20"/>
                <w:lang w:eastAsia="es-CO"/>
              </w:rPr>
              <w:t>, 12 F2</w:t>
            </w:r>
            <w:r w:rsidRPr="0052351B">
              <w:rPr>
                <w:color w:val="000000"/>
                <w:sz w:val="20"/>
                <w:szCs w:val="20"/>
                <w:vertAlign w:val="superscript"/>
                <w:lang w:eastAsia="es-CO"/>
              </w:rPr>
              <w:t>0%</w:t>
            </w:r>
          </w:p>
        </w:tc>
        <w:tc>
          <w:tcPr>
            <w:tcW w:w="190" w:type="dxa"/>
            <w:tcBorders>
              <w:top w:val="nil"/>
              <w:left w:val="nil"/>
              <w:bottom w:val="nil"/>
              <w:right w:val="nil"/>
            </w:tcBorders>
            <w:shd w:val="clear" w:color="auto" w:fill="auto"/>
            <w:noWrap/>
            <w:vAlign w:val="center"/>
            <w:hideMark/>
          </w:tcPr>
          <w:p w14:paraId="5B2F7C2A" w14:textId="77777777" w:rsidR="0052351B" w:rsidRPr="0052351B" w:rsidRDefault="0052351B" w:rsidP="0052351B">
            <w:pPr>
              <w:rPr>
                <w:color w:val="000000"/>
                <w:sz w:val="20"/>
                <w:szCs w:val="20"/>
                <w:lang w:eastAsia="es-CO"/>
              </w:rPr>
            </w:pPr>
          </w:p>
        </w:tc>
        <w:tc>
          <w:tcPr>
            <w:tcW w:w="3100" w:type="dxa"/>
            <w:gridSpan w:val="6"/>
            <w:tcBorders>
              <w:top w:val="nil"/>
              <w:left w:val="nil"/>
              <w:bottom w:val="nil"/>
              <w:right w:val="nil"/>
            </w:tcBorders>
            <w:shd w:val="clear" w:color="auto" w:fill="auto"/>
            <w:noWrap/>
            <w:vAlign w:val="center"/>
            <w:hideMark/>
          </w:tcPr>
          <w:p w14:paraId="47BB4EF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B: X, Y, Z</w:t>
            </w:r>
          </w:p>
        </w:tc>
      </w:tr>
      <w:tr w:rsidR="009B79BA" w:rsidRPr="0052351B" w14:paraId="11912344" w14:textId="77777777" w:rsidTr="009B79BA">
        <w:trPr>
          <w:gridAfter w:val="2"/>
          <w:wAfter w:w="60" w:type="dxa"/>
          <w:trHeight w:val="267"/>
          <w:jc w:val="center"/>
        </w:trPr>
        <w:tc>
          <w:tcPr>
            <w:tcW w:w="874" w:type="dxa"/>
            <w:tcBorders>
              <w:top w:val="nil"/>
              <w:left w:val="nil"/>
              <w:bottom w:val="nil"/>
              <w:right w:val="nil"/>
            </w:tcBorders>
            <w:shd w:val="clear" w:color="auto" w:fill="auto"/>
            <w:noWrap/>
            <w:vAlign w:val="center"/>
            <w:hideMark/>
          </w:tcPr>
          <w:p w14:paraId="597398E0"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42BCB9FE" w14:textId="77777777" w:rsidR="0052351B" w:rsidRPr="0052351B" w:rsidRDefault="0052351B" w:rsidP="0052351B">
            <w:pPr>
              <w:rPr>
                <w:sz w:val="20"/>
                <w:szCs w:val="20"/>
                <w:lang w:eastAsia="es-CO"/>
              </w:rPr>
            </w:pPr>
          </w:p>
        </w:tc>
        <w:tc>
          <w:tcPr>
            <w:tcW w:w="1259" w:type="dxa"/>
            <w:tcBorders>
              <w:top w:val="nil"/>
              <w:left w:val="nil"/>
              <w:bottom w:val="nil"/>
              <w:right w:val="nil"/>
            </w:tcBorders>
            <w:shd w:val="clear" w:color="auto" w:fill="auto"/>
            <w:noWrap/>
            <w:vAlign w:val="center"/>
            <w:hideMark/>
          </w:tcPr>
          <w:p w14:paraId="5D381F56"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4D170CD2"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0853A152"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0B606FC7" w14:textId="77777777" w:rsidR="0052351B" w:rsidRPr="0052351B" w:rsidRDefault="0052351B" w:rsidP="0052351B">
            <w:pP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0DACE67C" w14:textId="77777777" w:rsidR="0052351B" w:rsidRPr="0052351B" w:rsidRDefault="0052351B" w:rsidP="0052351B">
            <w:pPr>
              <w:rPr>
                <w:sz w:val="20"/>
                <w:szCs w:val="20"/>
                <w:lang w:eastAsia="es-CO"/>
              </w:rPr>
            </w:pPr>
          </w:p>
        </w:tc>
        <w:tc>
          <w:tcPr>
            <w:tcW w:w="190" w:type="dxa"/>
            <w:tcBorders>
              <w:top w:val="nil"/>
              <w:left w:val="nil"/>
              <w:bottom w:val="nil"/>
              <w:right w:val="nil"/>
            </w:tcBorders>
            <w:shd w:val="clear" w:color="auto" w:fill="auto"/>
            <w:noWrap/>
            <w:vAlign w:val="center"/>
            <w:hideMark/>
          </w:tcPr>
          <w:p w14:paraId="3D12D792" w14:textId="77777777" w:rsidR="0052351B" w:rsidRPr="0052351B" w:rsidRDefault="0052351B" w:rsidP="0052351B">
            <w:pPr>
              <w:rPr>
                <w:sz w:val="20"/>
                <w:szCs w:val="20"/>
                <w:lang w:eastAsia="es-CO"/>
              </w:rPr>
            </w:pPr>
          </w:p>
        </w:tc>
        <w:tc>
          <w:tcPr>
            <w:tcW w:w="1622" w:type="dxa"/>
            <w:tcBorders>
              <w:top w:val="nil"/>
              <w:left w:val="nil"/>
              <w:bottom w:val="nil"/>
              <w:right w:val="nil"/>
            </w:tcBorders>
            <w:shd w:val="clear" w:color="auto" w:fill="auto"/>
            <w:noWrap/>
            <w:vAlign w:val="center"/>
            <w:hideMark/>
          </w:tcPr>
          <w:p w14:paraId="16E4E28B" w14:textId="77777777" w:rsidR="0052351B" w:rsidRPr="0052351B" w:rsidRDefault="0052351B" w:rsidP="0052351B">
            <w:pP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65D3B48D"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05C27F0F" w14:textId="77777777" w:rsidR="0052351B" w:rsidRPr="0052351B" w:rsidRDefault="0052351B" w:rsidP="0052351B">
            <w:pPr>
              <w:jc w:val="center"/>
              <w:rPr>
                <w:sz w:val="20"/>
                <w:szCs w:val="20"/>
                <w:lang w:eastAsia="es-CO"/>
              </w:rPr>
            </w:pPr>
          </w:p>
        </w:tc>
      </w:tr>
      <w:tr w:rsidR="0052351B" w:rsidRPr="0052351B" w14:paraId="67B75D7E" w14:textId="77777777" w:rsidTr="009B79BA">
        <w:trPr>
          <w:gridAfter w:val="1"/>
          <w:wAfter w:w="53" w:type="dxa"/>
          <w:trHeight w:val="347"/>
          <w:jc w:val="center"/>
        </w:trPr>
        <w:tc>
          <w:tcPr>
            <w:tcW w:w="8849" w:type="dxa"/>
            <w:gridSpan w:val="15"/>
            <w:tcBorders>
              <w:top w:val="single" w:sz="4" w:space="0" w:color="auto"/>
              <w:left w:val="nil"/>
              <w:bottom w:val="single" w:sz="4" w:space="0" w:color="auto"/>
              <w:right w:val="nil"/>
            </w:tcBorders>
            <w:shd w:val="clear" w:color="auto" w:fill="auto"/>
            <w:noWrap/>
            <w:vAlign w:val="center"/>
            <w:hideMark/>
          </w:tcPr>
          <w:p w14:paraId="08029FC1" w14:textId="20A65904" w:rsidR="0052351B" w:rsidRPr="0052351B" w:rsidRDefault="0052351B" w:rsidP="0052351B">
            <w:pPr>
              <w:jc w:val="center"/>
              <w:rPr>
                <w:color w:val="000000"/>
                <w:sz w:val="20"/>
                <w:szCs w:val="20"/>
                <w:lang w:eastAsia="es-CO"/>
              </w:rPr>
            </w:pPr>
            <w:r>
              <w:rPr>
                <w:color w:val="000000"/>
                <w:sz w:val="20"/>
                <w:szCs w:val="20"/>
                <w:lang w:eastAsia="es-CO"/>
              </w:rPr>
              <w:t>Operacionalización del Diseño</w:t>
            </w:r>
          </w:p>
        </w:tc>
      </w:tr>
      <w:tr w:rsidR="00576004" w:rsidRPr="0052351B" w14:paraId="59052BC0" w14:textId="77777777" w:rsidTr="009B79BA">
        <w:trPr>
          <w:trHeight w:val="494"/>
          <w:jc w:val="center"/>
        </w:trPr>
        <w:tc>
          <w:tcPr>
            <w:tcW w:w="874" w:type="dxa"/>
            <w:tcBorders>
              <w:top w:val="nil"/>
              <w:left w:val="nil"/>
              <w:bottom w:val="single" w:sz="4" w:space="0" w:color="auto"/>
              <w:right w:val="nil"/>
            </w:tcBorders>
            <w:shd w:val="clear" w:color="auto" w:fill="auto"/>
            <w:noWrap/>
            <w:vAlign w:val="center"/>
            <w:hideMark/>
          </w:tcPr>
          <w:p w14:paraId="008A9553" w14:textId="28B1AE98" w:rsidR="0052351B" w:rsidRPr="0052351B" w:rsidRDefault="0052351B" w:rsidP="0052351B">
            <w:pPr>
              <w:jc w:val="center"/>
              <w:rPr>
                <w:color w:val="000000"/>
                <w:sz w:val="20"/>
                <w:szCs w:val="20"/>
                <w:lang w:eastAsia="es-CO"/>
              </w:rPr>
            </w:pPr>
            <w:r w:rsidRPr="0052351B">
              <w:rPr>
                <w:color w:val="000000"/>
                <w:sz w:val="20"/>
                <w:szCs w:val="20"/>
                <w:lang w:eastAsia="es-CO"/>
              </w:rPr>
              <w:t>Context</w:t>
            </w:r>
            <w:r>
              <w:rPr>
                <w:color w:val="000000"/>
                <w:sz w:val="20"/>
                <w:szCs w:val="20"/>
                <w:lang w:eastAsia="es-CO"/>
              </w:rPr>
              <w:t>o</w:t>
            </w:r>
          </w:p>
        </w:tc>
        <w:tc>
          <w:tcPr>
            <w:tcW w:w="190" w:type="dxa"/>
            <w:tcBorders>
              <w:top w:val="nil"/>
              <w:left w:val="nil"/>
              <w:bottom w:val="single" w:sz="4" w:space="0" w:color="auto"/>
              <w:right w:val="nil"/>
            </w:tcBorders>
            <w:shd w:val="clear" w:color="auto" w:fill="auto"/>
            <w:noWrap/>
            <w:vAlign w:val="center"/>
            <w:hideMark/>
          </w:tcPr>
          <w:p w14:paraId="5F8F4FD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noWrap/>
            <w:vAlign w:val="center"/>
            <w:hideMark/>
          </w:tcPr>
          <w:p w14:paraId="17F7D2C4" w14:textId="71B6A092" w:rsidR="0052351B" w:rsidRPr="0052351B" w:rsidRDefault="0052351B" w:rsidP="0052351B">
            <w:pPr>
              <w:jc w:val="center"/>
              <w:rPr>
                <w:color w:val="000000"/>
                <w:sz w:val="20"/>
                <w:szCs w:val="20"/>
                <w:lang w:eastAsia="es-CO"/>
              </w:rPr>
            </w:pPr>
            <w:r>
              <w:rPr>
                <w:color w:val="000000"/>
                <w:sz w:val="20"/>
                <w:szCs w:val="20"/>
                <w:lang w:eastAsia="es-CO"/>
              </w:rPr>
              <w:t>Nombre del Contexto</w:t>
            </w:r>
          </w:p>
        </w:tc>
        <w:tc>
          <w:tcPr>
            <w:tcW w:w="190" w:type="dxa"/>
            <w:tcBorders>
              <w:top w:val="nil"/>
              <w:left w:val="nil"/>
              <w:bottom w:val="single" w:sz="4" w:space="0" w:color="auto"/>
              <w:right w:val="nil"/>
            </w:tcBorders>
            <w:shd w:val="clear" w:color="auto" w:fill="auto"/>
            <w:noWrap/>
            <w:vAlign w:val="center"/>
            <w:hideMark/>
          </w:tcPr>
          <w:p w14:paraId="195D635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2EB92560" w14:textId="19741EF1" w:rsidR="0052351B" w:rsidRPr="0052351B" w:rsidRDefault="0052351B" w:rsidP="0052351B">
            <w:pPr>
              <w:jc w:val="center"/>
              <w:rPr>
                <w:color w:val="000000"/>
                <w:sz w:val="20"/>
                <w:szCs w:val="20"/>
                <w:lang w:eastAsia="es-CO"/>
              </w:rPr>
            </w:pPr>
            <w:r w:rsidRPr="0052351B">
              <w:rPr>
                <w:color w:val="000000"/>
                <w:sz w:val="20"/>
                <w:szCs w:val="20"/>
                <w:lang w:eastAsia="es-CO"/>
              </w:rPr>
              <w:t>Product</w:t>
            </w:r>
            <w:r>
              <w:rPr>
                <w:color w:val="000000"/>
                <w:sz w:val="20"/>
                <w:szCs w:val="20"/>
                <w:lang w:eastAsia="es-CO"/>
              </w:rPr>
              <w:t>o</w:t>
            </w:r>
          </w:p>
        </w:tc>
        <w:tc>
          <w:tcPr>
            <w:tcW w:w="190" w:type="dxa"/>
            <w:tcBorders>
              <w:top w:val="nil"/>
              <w:left w:val="nil"/>
              <w:bottom w:val="single" w:sz="4" w:space="0" w:color="auto"/>
              <w:right w:val="nil"/>
            </w:tcBorders>
            <w:shd w:val="clear" w:color="auto" w:fill="auto"/>
            <w:noWrap/>
            <w:vAlign w:val="center"/>
            <w:hideMark/>
          </w:tcPr>
          <w:p w14:paraId="0FDB97C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820" w:type="dxa"/>
            <w:tcBorders>
              <w:top w:val="nil"/>
              <w:left w:val="nil"/>
              <w:bottom w:val="single" w:sz="4" w:space="0" w:color="auto"/>
              <w:right w:val="nil"/>
            </w:tcBorders>
            <w:shd w:val="clear" w:color="auto" w:fill="auto"/>
            <w:noWrap/>
            <w:vAlign w:val="center"/>
            <w:hideMark/>
          </w:tcPr>
          <w:p w14:paraId="7659DD0B" w14:textId="5FA6A104" w:rsidR="0052351B" w:rsidRPr="0052351B" w:rsidRDefault="0052351B" w:rsidP="00357605">
            <w:pPr>
              <w:ind w:right="208"/>
              <w:jc w:val="center"/>
              <w:rPr>
                <w:color w:val="000000"/>
                <w:sz w:val="20"/>
                <w:szCs w:val="20"/>
                <w:lang w:eastAsia="es-CO"/>
              </w:rPr>
            </w:pPr>
            <w:r>
              <w:rPr>
                <w:color w:val="000000"/>
                <w:sz w:val="20"/>
                <w:szCs w:val="20"/>
                <w:lang w:eastAsia="es-CO"/>
              </w:rPr>
              <w:t>Nombre del Producto</w:t>
            </w:r>
          </w:p>
        </w:tc>
        <w:tc>
          <w:tcPr>
            <w:tcW w:w="173" w:type="dxa"/>
            <w:tcBorders>
              <w:top w:val="nil"/>
              <w:left w:val="nil"/>
              <w:bottom w:val="single" w:sz="4" w:space="0" w:color="auto"/>
              <w:right w:val="nil"/>
            </w:tcBorders>
            <w:shd w:val="clear" w:color="auto" w:fill="auto"/>
            <w:noWrap/>
            <w:vAlign w:val="center"/>
            <w:hideMark/>
          </w:tcPr>
          <w:p w14:paraId="7081DA97" w14:textId="77777777" w:rsidR="0052351B" w:rsidRPr="0052351B" w:rsidRDefault="0052351B" w:rsidP="00357605">
            <w:pPr>
              <w:ind w:left="-255"/>
              <w:jc w:val="center"/>
              <w:rPr>
                <w:color w:val="000000"/>
                <w:sz w:val="20"/>
                <w:szCs w:val="20"/>
                <w:lang w:eastAsia="es-CO"/>
              </w:rPr>
            </w:pPr>
            <w:r w:rsidRPr="0052351B">
              <w:rPr>
                <w:color w:val="000000"/>
                <w:sz w:val="20"/>
                <w:szCs w:val="20"/>
                <w:lang w:eastAsia="es-CO"/>
              </w:rPr>
              <w:t> </w:t>
            </w:r>
          </w:p>
        </w:tc>
        <w:tc>
          <w:tcPr>
            <w:tcW w:w="1900" w:type="dxa"/>
            <w:gridSpan w:val="3"/>
            <w:tcBorders>
              <w:top w:val="nil"/>
              <w:left w:val="nil"/>
              <w:bottom w:val="single" w:sz="4" w:space="0" w:color="auto"/>
              <w:right w:val="nil"/>
            </w:tcBorders>
            <w:shd w:val="clear" w:color="auto" w:fill="auto"/>
            <w:noWrap/>
            <w:vAlign w:val="center"/>
            <w:hideMark/>
          </w:tcPr>
          <w:p w14:paraId="40ABCCC4" w14:textId="34CAEEC2" w:rsidR="0052351B" w:rsidRPr="0052351B" w:rsidRDefault="0052351B" w:rsidP="00357605">
            <w:pPr>
              <w:ind w:right="490"/>
              <w:jc w:val="center"/>
              <w:rPr>
                <w:color w:val="000000"/>
                <w:sz w:val="20"/>
                <w:szCs w:val="20"/>
                <w:lang w:eastAsia="es-CO"/>
              </w:rPr>
            </w:pPr>
            <w:r>
              <w:rPr>
                <w:color w:val="000000"/>
                <w:sz w:val="20"/>
                <w:szCs w:val="20"/>
                <w:lang w:eastAsia="es-CO"/>
              </w:rPr>
              <w:t>Descuento</w:t>
            </w:r>
          </w:p>
        </w:tc>
        <w:tc>
          <w:tcPr>
            <w:tcW w:w="190" w:type="dxa"/>
            <w:gridSpan w:val="2"/>
            <w:tcBorders>
              <w:top w:val="nil"/>
              <w:left w:val="nil"/>
              <w:bottom w:val="single" w:sz="4" w:space="0" w:color="auto"/>
              <w:right w:val="nil"/>
            </w:tcBorders>
            <w:shd w:val="clear" w:color="auto" w:fill="auto"/>
            <w:noWrap/>
            <w:vAlign w:val="center"/>
            <w:hideMark/>
          </w:tcPr>
          <w:p w14:paraId="19DB431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3" w:type="dxa"/>
            <w:gridSpan w:val="3"/>
            <w:tcBorders>
              <w:top w:val="nil"/>
              <w:left w:val="nil"/>
              <w:bottom w:val="single" w:sz="4" w:space="0" w:color="auto"/>
              <w:right w:val="nil"/>
            </w:tcBorders>
            <w:shd w:val="clear" w:color="auto" w:fill="auto"/>
            <w:noWrap/>
            <w:vAlign w:val="center"/>
            <w:hideMark/>
          </w:tcPr>
          <w:p w14:paraId="0BA877B6" w14:textId="08B4B981" w:rsidR="0052351B" w:rsidRPr="0052351B" w:rsidRDefault="0052351B" w:rsidP="00357605">
            <w:pPr>
              <w:ind w:left="-73" w:firstLine="25"/>
              <w:jc w:val="center"/>
              <w:rPr>
                <w:color w:val="000000"/>
                <w:sz w:val="20"/>
                <w:szCs w:val="20"/>
                <w:lang w:eastAsia="es-CO"/>
              </w:rPr>
            </w:pPr>
            <w:r>
              <w:rPr>
                <w:color w:val="000000"/>
                <w:sz w:val="20"/>
                <w:szCs w:val="20"/>
                <w:lang w:eastAsia="es-CO"/>
              </w:rPr>
              <w:t>Porcentaje de Descuento</w:t>
            </w:r>
          </w:p>
        </w:tc>
      </w:tr>
      <w:tr w:rsidR="009B79BA" w:rsidRPr="0052351B" w14:paraId="2064AE82" w14:textId="77777777" w:rsidTr="009B79BA">
        <w:trPr>
          <w:gridAfter w:val="2"/>
          <w:wAfter w:w="60" w:type="dxa"/>
          <w:trHeight w:val="294"/>
          <w:jc w:val="center"/>
        </w:trPr>
        <w:tc>
          <w:tcPr>
            <w:tcW w:w="874" w:type="dxa"/>
            <w:tcBorders>
              <w:top w:val="nil"/>
              <w:left w:val="nil"/>
              <w:bottom w:val="nil"/>
              <w:right w:val="nil"/>
            </w:tcBorders>
            <w:shd w:val="clear" w:color="auto" w:fill="auto"/>
            <w:noWrap/>
            <w:vAlign w:val="center"/>
            <w:hideMark/>
          </w:tcPr>
          <w:p w14:paraId="366C4C27"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73B2411E" w14:textId="77777777" w:rsidR="0052351B" w:rsidRPr="0052351B" w:rsidRDefault="0052351B" w:rsidP="0052351B">
            <w:pPr>
              <w:jc w:val="center"/>
              <w:rPr>
                <w:sz w:val="20"/>
                <w:szCs w:val="20"/>
                <w:lang w:eastAsia="es-CO"/>
              </w:rPr>
            </w:pPr>
          </w:p>
        </w:tc>
        <w:tc>
          <w:tcPr>
            <w:tcW w:w="1259" w:type="dxa"/>
            <w:tcBorders>
              <w:top w:val="nil"/>
              <w:left w:val="nil"/>
              <w:bottom w:val="nil"/>
              <w:right w:val="nil"/>
            </w:tcBorders>
            <w:shd w:val="clear" w:color="auto" w:fill="auto"/>
            <w:vAlign w:val="center"/>
            <w:hideMark/>
          </w:tcPr>
          <w:p w14:paraId="18790AA5"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769A2166" w14:textId="77777777" w:rsidR="0052351B" w:rsidRPr="0052351B" w:rsidRDefault="0052351B" w:rsidP="0052351B">
            <w:pPr>
              <w:jc w:val="center"/>
              <w:rPr>
                <w:sz w:val="20"/>
                <w:szCs w:val="20"/>
                <w:lang w:eastAsia="es-CO"/>
              </w:rPr>
            </w:pPr>
          </w:p>
        </w:tc>
        <w:tc>
          <w:tcPr>
            <w:tcW w:w="863" w:type="dxa"/>
            <w:tcBorders>
              <w:top w:val="nil"/>
              <w:left w:val="nil"/>
              <w:bottom w:val="nil"/>
              <w:right w:val="nil"/>
            </w:tcBorders>
            <w:shd w:val="clear" w:color="auto" w:fill="auto"/>
            <w:noWrap/>
            <w:vAlign w:val="center"/>
            <w:hideMark/>
          </w:tcPr>
          <w:p w14:paraId="12002E82"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C04ECCC" w14:textId="77777777" w:rsidR="0052351B" w:rsidRPr="0052351B" w:rsidRDefault="0052351B" w:rsidP="0052351B">
            <w:pPr>
              <w:jc w:val="cente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53FD1118"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E85AE65" w14:textId="77777777" w:rsidR="0052351B" w:rsidRPr="0052351B" w:rsidRDefault="0052351B" w:rsidP="0052351B">
            <w:pPr>
              <w:jc w:val="center"/>
              <w:rPr>
                <w:sz w:val="20"/>
                <w:szCs w:val="20"/>
                <w:lang w:eastAsia="es-CO"/>
              </w:rPr>
            </w:pPr>
          </w:p>
        </w:tc>
        <w:tc>
          <w:tcPr>
            <w:tcW w:w="1622" w:type="dxa"/>
            <w:tcBorders>
              <w:top w:val="nil"/>
              <w:left w:val="nil"/>
              <w:bottom w:val="nil"/>
              <w:right w:val="nil"/>
            </w:tcBorders>
            <w:shd w:val="clear" w:color="auto" w:fill="auto"/>
            <w:noWrap/>
            <w:vAlign w:val="center"/>
            <w:hideMark/>
          </w:tcPr>
          <w:p w14:paraId="59802903" w14:textId="77777777" w:rsidR="0052351B" w:rsidRPr="0052351B" w:rsidRDefault="0052351B" w:rsidP="0052351B">
            <w:pPr>
              <w:jc w:val="cente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24B24D81"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754198A" w14:textId="77777777" w:rsidR="0052351B" w:rsidRPr="0052351B" w:rsidRDefault="0052351B" w:rsidP="0052351B">
            <w:pPr>
              <w:jc w:val="center"/>
              <w:rPr>
                <w:sz w:val="20"/>
                <w:szCs w:val="20"/>
                <w:lang w:eastAsia="es-CO"/>
              </w:rPr>
            </w:pPr>
          </w:p>
        </w:tc>
      </w:tr>
      <w:tr w:rsidR="009B79BA" w:rsidRPr="0052351B" w14:paraId="285AF183" w14:textId="77777777" w:rsidTr="009B79BA">
        <w:trPr>
          <w:gridAfter w:val="2"/>
          <w:wAfter w:w="60" w:type="dxa"/>
          <w:trHeight w:val="415"/>
          <w:jc w:val="center"/>
        </w:trPr>
        <w:tc>
          <w:tcPr>
            <w:tcW w:w="874" w:type="dxa"/>
            <w:vMerge w:val="restart"/>
            <w:tcBorders>
              <w:top w:val="nil"/>
              <w:left w:val="nil"/>
              <w:bottom w:val="nil"/>
              <w:right w:val="nil"/>
            </w:tcBorders>
            <w:shd w:val="clear" w:color="auto" w:fill="auto"/>
            <w:noWrap/>
            <w:vAlign w:val="center"/>
            <w:hideMark/>
          </w:tcPr>
          <w:p w14:paraId="51876FD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A</w:t>
            </w:r>
          </w:p>
        </w:tc>
        <w:tc>
          <w:tcPr>
            <w:tcW w:w="190" w:type="dxa"/>
            <w:tcBorders>
              <w:top w:val="nil"/>
              <w:left w:val="nil"/>
              <w:bottom w:val="nil"/>
              <w:right w:val="nil"/>
            </w:tcBorders>
            <w:shd w:val="clear" w:color="auto" w:fill="auto"/>
            <w:noWrap/>
            <w:vAlign w:val="center"/>
            <w:hideMark/>
          </w:tcPr>
          <w:p w14:paraId="53DB6BCB" w14:textId="77777777" w:rsidR="0052351B" w:rsidRPr="0052351B" w:rsidRDefault="0052351B" w:rsidP="0052351B">
            <w:pPr>
              <w:jc w:val="center"/>
              <w:rPr>
                <w:color w:val="000000"/>
                <w:sz w:val="20"/>
                <w:szCs w:val="20"/>
                <w:lang w:eastAsia="es-CO"/>
              </w:rPr>
            </w:pPr>
          </w:p>
        </w:tc>
        <w:tc>
          <w:tcPr>
            <w:tcW w:w="1259" w:type="dxa"/>
            <w:vMerge w:val="restart"/>
            <w:tcBorders>
              <w:top w:val="nil"/>
              <w:left w:val="nil"/>
              <w:bottom w:val="nil"/>
              <w:right w:val="nil"/>
            </w:tcBorders>
            <w:shd w:val="clear" w:color="auto" w:fill="auto"/>
            <w:vAlign w:val="center"/>
            <w:hideMark/>
          </w:tcPr>
          <w:p w14:paraId="23C323EA" w14:textId="70A2F6FA" w:rsidR="0052351B" w:rsidRPr="0052351B" w:rsidRDefault="00102C90" w:rsidP="0052351B">
            <w:pPr>
              <w:jc w:val="center"/>
              <w:rPr>
                <w:color w:val="000000"/>
                <w:sz w:val="20"/>
                <w:szCs w:val="20"/>
                <w:lang w:eastAsia="es-CO"/>
              </w:rPr>
            </w:pPr>
            <w:r>
              <w:rPr>
                <w:color w:val="000000"/>
                <w:sz w:val="20"/>
                <w:szCs w:val="20"/>
                <w:lang w:eastAsia="es-CO"/>
              </w:rPr>
              <w:t>Mercadona</w:t>
            </w:r>
            <w:r w:rsidR="0052351B" w:rsidRPr="0052351B">
              <w:rPr>
                <w:color w:val="000000"/>
                <w:sz w:val="20"/>
                <w:szCs w:val="20"/>
                <w:lang w:eastAsia="es-CO"/>
              </w:rPr>
              <w:t xml:space="preserve"> </w:t>
            </w:r>
            <w:r w:rsidR="0052351B" w:rsidRPr="0052351B">
              <w:rPr>
                <w:color w:val="000000"/>
                <w:sz w:val="20"/>
                <w:szCs w:val="20"/>
                <w:lang w:eastAsia="es-CO"/>
              </w:rPr>
              <w:br/>
            </w:r>
            <w:r w:rsidR="00387724">
              <w:rPr>
                <w:color w:val="000000"/>
                <w:sz w:val="20"/>
                <w:szCs w:val="20"/>
                <w:lang w:eastAsia="es-CO"/>
              </w:rPr>
              <w:t>o</w:t>
            </w:r>
            <w:r w:rsidR="0052351B" w:rsidRPr="0052351B">
              <w:rPr>
                <w:color w:val="000000"/>
                <w:sz w:val="20"/>
                <w:szCs w:val="20"/>
                <w:lang w:eastAsia="es-CO"/>
              </w:rPr>
              <w:t xml:space="preserve">  </w:t>
            </w:r>
            <w:r w:rsidR="0052351B" w:rsidRPr="0052351B">
              <w:rPr>
                <w:color w:val="000000"/>
                <w:sz w:val="20"/>
                <w:szCs w:val="20"/>
                <w:lang w:eastAsia="es-CO"/>
              </w:rPr>
              <w:br/>
            </w:r>
            <w:r>
              <w:rPr>
                <w:color w:val="000000"/>
                <w:sz w:val="20"/>
                <w:szCs w:val="20"/>
                <w:lang w:eastAsia="es-CO"/>
              </w:rPr>
              <w:t>Día</w:t>
            </w:r>
          </w:p>
        </w:tc>
        <w:tc>
          <w:tcPr>
            <w:tcW w:w="190" w:type="dxa"/>
            <w:tcBorders>
              <w:top w:val="nil"/>
              <w:left w:val="nil"/>
              <w:bottom w:val="nil"/>
              <w:right w:val="nil"/>
            </w:tcBorders>
            <w:shd w:val="clear" w:color="auto" w:fill="auto"/>
            <w:noWrap/>
            <w:vAlign w:val="center"/>
            <w:hideMark/>
          </w:tcPr>
          <w:p w14:paraId="10458155" w14:textId="77777777" w:rsidR="0052351B" w:rsidRPr="0052351B" w:rsidRDefault="0052351B" w:rsidP="0052351B">
            <w:pPr>
              <w:jc w:val="center"/>
              <w:rPr>
                <w:color w:val="000000"/>
                <w:sz w:val="20"/>
                <w:szCs w:val="20"/>
                <w:lang w:eastAsia="es-CO"/>
              </w:rPr>
            </w:pPr>
          </w:p>
        </w:tc>
        <w:tc>
          <w:tcPr>
            <w:tcW w:w="863" w:type="dxa"/>
            <w:tcBorders>
              <w:top w:val="nil"/>
              <w:left w:val="nil"/>
              <w:bottom w:val="nil"/>
              <w:right w:val="nil"/>
            </w:tcBorders>
            <w:shd w:val="clear" w:color="auto" w:fill="auto"/>
            <w:noWrap/>
            <w:vAlign w:val="center"/>
            <w:hideMark/>
          </w:tcPr>
          <w:p w14:paraId="557F4BA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X</w:t>
            </w:r>
          </w:p>
        </w:tc>
        <w:tc>
          <w:tcPr>
            <w:tcW w:w="190" w:type="dxa"/>
            <w:tcBorders>
              <w:top w:val="nil"/>
              <w:left w:val="nil"/>
              <w:bottom w:val="nil"/>
              <w:right w:val="nil"/>
            </w:tcBorders>
            <w:shd w:val="clear" w:color="auto" w:fill="auto"/>
            <w:noWrap/>
            <w:vAlign w:val="center"/>
            <w:hideMark/>
          </w:tcPr>
          <w:p w14:paraId="0F8550B5"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0875F4D7" w14:textId="7D1C606E" w:rsidR="0052351B" w:rsidRPr="0052351B" w:rsidRDefault="00A01B37" w:rsidP="0052351B">
            <w:pPr>
              <w:rPr>
                <w:color w:val="000000"/>
                <w:sz w:val="20"/>
                <w:szCs w:val="20"/>
                <w:lang w:eastAsia="es-CO"/>
              </w:rPr>
            </w:pPr>
            <w:r w:rsidRPr="00576004">
              <w:rPr>
                <w:color w:val="000000"/>
                <w:sz w:val="20"/>
                <w:szCs w:val="20"/>
                <w:lang w:eastAsia="es-CO"/>
              </w:rPr>
              <w:t>Café o cereal</w:t>
            </w:r>
          </w:p>
        </w:tc>
        <w:tc>
          <w:tcPr>
            <w:tcW w:w="190" w:type="dxa"/>
            <w:tcBorders>
              <w:top w:val="nil"/>
              <w:left w:val="nil"/>
              <w:bottom w:val="nil"/>
              <w:right w:val="nil"/>
            </w:tcBorders>
            <w:shd w:val="clear" w:color="auto" w:fill="auto"/>
            <w:noWrap/>
            <w:vAlign w:val="center"/>
            <w:hideMark/>
          </w:tcPr>
          <w:p w14:paraId="303EA1B7"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6DCEB980" w14:textId="5FB2D673" w:rsidR="0052351B" w:rsidRPr="0052351B" w:rsidRDefault="0052351B" w:rsidP="0052351B">
            <w:pPr>
              <w:rPr>
                <w:color w:val="000000"/>
                <w:sz w:val="20"/>
                <w:szCs w:val="20"/>
                <w:lang w:eastAsia="es-CO"/>
              </w:rPr>
            </w:pPr>
            <w:r w:rsidRPr="00576004">
              <w:rPr>
                <w:color w:val="000000"/>
                <w:sz w:val="20"/>
                <w:szCs w:val="20"/>
                <w:lang w:eastAsia="es-CO"/>
              </w:rPr>
              <w:t>Valor diferencial de descuento</w:t>
            </w:r>
          </w:p>
        </w:tc>
        <w:tc>
          <w:tcPr>
            <w:tcW w:w="196" w:type="dxa"/>
            <w:gridSpan w:val="2"/>
            <w:tcBorders>
              <w:top w:val="nil"/>
              <w:left w:val="nil"/>
              <w:bottom w:val="nil"/>
              <w:right w:val="nil"/>
            </w:tcBorders>
            <w:shd w:val="clear" w:color="auto" w:fill="auto"/>
            <w:noWrap/>
            <w:vAlign w:val="center"/>
            <w:hideMark/>
          </w:tcPr>
          <w:p w14:paraId="2EAF6367"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198542A8" w14:textId="77777777" w:rsidR="0052351B" w:rsidRPr="0052351B" w:rsidRDefault="0052351B" w:rsidP="009B79BA">
            <w:pPr>
              <w:ind w:right="-156"/>
              <w:rPr>
                <w:color w:val="000000"/>
                <w:sz w:val="20"/>
                <w:szCs w:val="20"/>
                <w:lang w:eastAsia="es-CO"/>
              </w:rPr>
            </w:pPr>
            <w:r w:rsidRPr="0052351B">
              <w:rPr>
                <w:color w:val="000000"/>
                <w:sz w:val="20"/>
                <w:szCs w:val="20"/>
                <w:lang w:eastAsia="es-CO"/>
              </w:rPr>
              <w:t>50%, 30%, 0%</w:t>
            </w:r>
          </w:p>
        </w:tc>
      </w:tr>
      <w:tr w:rsidR="009B79BA" w:rsidRPr="0052351B" w14:paraId="62B0C647"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43EFF732"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67EB1360"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40533E64"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548D471D"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4AEDF3A2" w14:textId="77777777" w:rsidR="0052351B" w:rsidRPr="0052351B" w:rsidRDefault="0052351B" w:rsidP="0052351B">
            <w:pPr>
              <w:jc w:val="center"/>
              <w:rPr>
                <w:color w:val="000000"/>
                <w:sz w:val="20"/>
                <w:szCs w:val="20"/>
                <w:lang w:eastAsia="es-CO"/>
              </w:rPr>
            </w:pPr>
            <w:r w:rsidRPr="0052351B">
              <w:rPr>
                <w:color w:val="000000"/>
                <w:sz w:val="20"/>
                <w:szCs w:val="20"/>
                <w:lang w:eastAsia="es-CO"/>
              </w:rPr>
              <w:t>F1</w:t>
            </w:r>
          </w:p>
        </w:tc>
        <w:tc>
          <w:tcPr>
            <w:tcW w:w="190" w:type="dxa"/>
            <w:tcBorders>
              <w:top w:val="nil"/>
              <w:left w:val="nil"/>
              <w:bottom w:val="nil"/>
              <w:right w:val="nil"/>
            </w:tcBorders>
            <w:shd w:val="clear" w:color="auto" w:fill="auto"/>
            <w:noWrap/>
            <w:vAlign w:val="center"/>
            <w:hideMark/>
          </w:tcPr>
          <w:p w14:paraId="25A86E5C"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499E9776" w14:textId="496635B3" w:rsidR="0052351B" w:rsidRPr="0052351B" w:rsidRDefault="00A01B37" w:rsidP="0052351B">
            <w:pPr>
              <w:rPr>
                <w:color w:val="000000"/>
                <w:sz w:val="20"/>
                <w:szCs w:val="20"/>
                <w:lang w:eastAsia="es-CO"/>
              </w:rPr>
            </w:pPr>
            <w:r>
              <w:rPr>
                <w:color w:val="000000"/>
                <w:sz w:val="20"/>
                <w:szCs w:val="20"/>
                <w:lang w:eastAsia="es-CO"/>
              </w:rPr>
              <w:t>Salsa de tomate</w:t>
            </w:r>
          </w:p>
        </w:tc>
        <w:tc>
          <w:tcPr>
            <w:tcW w:w="190" w:type="dxa"/>
            <w:tcBorders>
              <w:top w:val="nil"/>
              <w:left w:val="nil"/>
              <w:bottom w:val="nil"/>
              <w:right w:val="nil"/>
            </w:tcBorders>
            <w:shd w:val="clear" w:color="auto" w:fill="auto"/>
            <w:noWrap/>
            <w:vAlign w:val="center"/>
            <w:hideMark/>
          </w:tcPr>
          <w:p w14:paraId="6425741D"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0BE46C1B" w14:textId="53C8E414" w:rsidR="0052351B" w:rsidRPr="0052351B" w:rsidRDefault="0052351B" w:rsidP="0052351B">
            <w:pPr>
              <w:rPr>
                <w:color w:val="000000"/>
                <w:sz w:val="20"/>
                <w:szCs w:val="20"/>
                <w:lang w:eastAsia="es-CO"/>
              </w:rPr>
            </w:pPr>
            <w:r>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55140D0B"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D45328A"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25861C12"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32B36C3C"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284BF67E"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053BF833"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68AD6762"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5F6416E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Z</w:t>
            </w:r>
          </w:p>
        </w:tc>
        <w:tc>
          <w:tcPr>
            <w:tcW w:w="190" w:type="dxa"/>
            <w:tcBorders>
              <w:top w:val="nil"/>
              <w:left w:val="nil"/>
              <w:bottom w:val="nil"/>
              <w:right w:val="nil"/>
            </w:tcBorders>
            <w:shd w:val="clear" w:color="auto" w:fill="auto"/>
            <w:noWrap/>
            <w:vAlign w:val="center"/>
            <w:hideMark/>
          </w:tcPr>
          <w:p w14:paraId="1DCFA93C"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429C2C4D" w14:textId="008C38EA" w:rsidR="0052351B" w:rsidRPr="0052351B" w:rsidRDefault="00A01B37" w:rsidP="0052351B">
            <w:pPr>
              <w:rPr>
                <w:color w:val="000000"/>
                <w:sz w:val="20"/>
                <w:szCs w:val="20"/>
                <w:lang w:eastAsia="es-CO"/>
              </w:rPr>
            </w:pPr>
            <w:r w:rsidRPr="00576004">
              <w:rPr>
                <w:color w:val="000000"/>
                <w:sz w:val="20"/>
                <w:szCs w:val="20"/>
                <w:lang w:eastAsia="es-CO"/>
              </w:rPr>
              <w:t>Margarina o galletas</w:t>
            </w:r>
          </w:p>
        </w:tc>
        <w:tc>
          <w:tcPr>
            <w:tcW w:w="190" w:type="dxa"/>
            <w:tcBorders>
              <w:top w:val="nil"/>
              <w:left w:val="nil"/>
              <w:bottom w:val="nil"/>
              <w:right w:val="nil"/>
            </w:tcBorders>
            <w:shd w:val="clear" w:color="auto" w:fill="auto"/>
            <w:noWrap/>
            <w:vAlign w:val="center"/>
            <w:hideMark/>
          </w:tcPr>
          <w:p w14:paraId="7C5C6714"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7FEB53B0" w14:textId="0652BD9F" w:rsidR="0052351B" w:rsidRPr="0052351B" w:rsidRDefault="0052351B" w:rsidP="0052351B">
            <w:pPr>
              <w:rPr>
                <w:color w:val="000000"/>
                <w:sz w:val="20"/>
                <w:szCs w:val="20"/>
                <w:lang w:eastAsia="es-CO"/>
              </w:rPr>
            </w:pPr>
            <w:r w:rsidRPr="00576004">
              <w:rPr>
                <w:color w:val="000000"/>
                <w:sz w:val="20"/>
                <w:szCs w:val="20"/>
                <w:lang w:eastAsia="es-CO"/>
              </w:rPr>
              <w:t>Descuento constante</w:t>
            </w:r>
          </w:p>
        </w:tc>
        <w:tc>
          <w:tcPr>
            <w:tcW w:w="196" w:type="dxa"/>
            <w:gridSpan w:val="2"/>
            <w:tcBorders>
              <w:top w:val="nil"/>
              <w:left w:val="nil"/>
              <w:bottom w:val="nil"/>
              <w:right w:val="nil"/>
            </w:tcBorders>
            <w:shd w:val="clear" w:color="auto" w:fill="auto"/>
            <w:noWrap/>
            <w:vAlign w:val="center"/>
            <w:hideMark/>
          </w:tcPr>
          <w:p w14:paraId="01F676A9"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732DE46" w14:textId="77777777" w:rsidR="0052351B" w:rsidRPr="0052351B" w:rsidRDefault="0052351B" w:rsidP="0052351B">
            <w:pPr>
              <w:rPr>
                <w:color w:val="000000"/>
                <w:sz w:val="20"/>
                <w:szCs w:val="20"/>
                <w:lang w:eastAsia="es-CO"/>
              </w:rPr>
            </w:pPr>
            <w:r w:rsidRPr="0052351B">
              <w:rPr>
                <w:color w:val="000000"/>
                <w:sz w:val="20"/>
                <w:szCs w:val="20"/>
                <w:lang w:eastAsia="es-CO"/>
              </w:rPr>
              <w:t>30%</w:t>
            </w:r>
          </w:p>
        </w:tc>
      </w:tr>
      <w:tr w:rsidR="009B79BA" w:rsidRPr="0052351B" w14:paraId="61C5E597" w14:textId="77777777" w:rsidTr="009B79BA">
        <w:trPr>
          <w:gridAfter w:val="2"/>
          <w:wAfter w:w="60" w:type="dxa"/>
          <w:trHeight w:val="294"/>
          <w:jc w:val="center"/>
        </w:trPr>
        <w:tc>
          <w:tcPr>
            <w:tcW w:w="874" w:type="dxa"/>
            <w:tcBorders>
              <w:top w:val="nil"/>
              <w:left w:val="nil"/>
              <w:bottom w:val="single" w:sz="4" w:space="0" w:color="auto"/>
              <w:right w:val="nil"/>
            </w:tcBorders>
            <w:shd w:val="clear" w:color="auto" w:fill="auto"/>
            <w:noWrap/>
            <w:vAlign w:val="center"/>
            <w:hideMark/>
          </w:tcPr>
          <w:p w14:paraId="24EF9397"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15FDD269"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vAlign w:val="center"/>
            <w:hideMark/>
          </w:tcPr>
          <w:p w14:paraId="457DD5B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077CC9F1"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595BCAB6"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317C8FB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93" w:type="dxa"/>
            <w:gridSpan w:val="2"/>
            <w:tcBorders>
              <w:top w:val="nil"/>
              <w:left w:val="nil"/>
              <w:bottom w:val="single" w:sz="4" w:space="0" w:color="auto"/>
              <w:right w:val="nil"/>
            </w:tcBorders>
            <w:shd w:val="clear" w:color="auto" w:fill="auto"/>
            <w:noWrap/>
            <w:vAlign w:val="center"/>
            <w:hideMark/>
          </w:tcPr>
          <w:p w14:paraId="12A34DE2"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1DEF931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622" w:type="dxa"/>
            <w:tcBorders>
              <w:top w:val="nil"/>
              <w:left w:val="nil"/>
              <w:bottom w:val="single" w:sz="4" w:space="0" w:color="auto"/>
              <w:right w:val="nil"/>
            </w:tcBorders>
            <w:shd w:val="clear" w:color="auto" w:fill="auto"/>
            <w:noWrap/>
            <w:vAlign w:val="center"/>
            <w:hideMark/>
          </w:tcPr>
          <w:p w14:paraId="0AEBD2B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6" w:type="dxa"/>
            <w:gridSpan w:val="2"/>
            <w:tcBorders>
              <w:top w:val="nil"/>
              <w:left w:val="nil"/>
              <w:bottom w:val="single" w:sz="4" w:space="0" w:color="auto"/>
              <w:right w:val="nil"/>
            </w:tcBorders>
            <w:shd w:val="clear" w:color="auto" w:fill="auto"/>
            <w:noWrap/>
            <w:vAlign w:val="center"/>
            <w:hideMark/>
          </w:tcPr>
          <w:p w14:paraId="13FEC69E"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75" w:type="dxa"/>
            <w:gridSpan w:val="2"/>
            <w:tcBorders>
              <w:top w:val="nil"/>
              <w:left w:val="nil"/>
              <w:bottom w:val="single" w:sz="4" w:space="0" w:color="auto"/>
              <w:right w:val="nil"/>
            </w:tcBorders>
            <w:shd w:val="clear" w:color="auto" w:fill="auto"/>
            <w:noWrap/>
            <w:vAlign w:val="center"/>
            <w:hideMark/>
          </w:tcPr>
          <w:p w14:paraId="3016479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r>
      <w:tr w:rsidR="009B79BA" w:rsidRPr="0052351B" w14:paraId="637933A7" w14:textId="77777777" w:rsidTr="009B79BA">
        <w:trPr>
          <w:gridAfter w:val="2"/>
          <w:wAfter w:w="60" w:type="dxa"/>
          <w:trHeight w:val="294"/>
          <w:jc w:val="center"/>
        </w:trPr>
        <w:tc>
          <w:tcPr>
            <w:tcW w:w="874" w:type="dxa"/>
            <w:tcBorders>
              <w:top w:val="nil"/>
              <w:left w:val="nil"/>
              <w:bottom w:val="nil"/>
              <w:right w:val="nil"/>
            </w:tcBorders>
            <w:shd w:val="clear" w:color="auto" w:fill="auto"/>
            <w:noWrap/>
            <w:vAlign w:val="center"/>
            <w:hideMark/>
          </w:tcPr>
          <w:p w14:paraId="0005BB5C" w14:textId="77777777" w:rsidR="0052351B" w:rsidRPr="0052351B" w:rsidRDefault="0052351B" w:rsidP="0052351B">
            <w:pPr>
              <w:jc w:val="cente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76F1624E" w14:textId="77777777" w:rsidR="0052351B" w:rsidRPr="0052351B" w:rsidRDefault="0052351B" w:rsidP="0052351B">
            <w:pPr>
              <w:jc w:val="center"/>
              <w:rPr>
                <w:sz w:val="20"/>
                <w:szCs w:val="20"/>
                <w:lang w:eastAsia="es-CO"/>
              </w:rPr>
            </w:pPr>
          </w:p>
        </w:tc>
        <w:tc>
          <w:tcPr>
            <w:tcW w:w="1259" w:type="dxa"/>
            <w:tcBorders>
              <w:top w:val="nil"/>
              <w:left w:val="nil"/>
              <w:bottom w:val="nil"/>
              <w:right w:val="nil"/>
            </w:tcBorders>
            <w:shd w:val="clear" w:color="auto" w:fill="auto"/>
            <w:vAlign w:val="center"/>
            <w:hideMark/>
          </w:tcPr>
          <w:p w14:paraId="255538C9"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51702E64" w14:textId="77777777" w:rsidR="0052351B" w:rsidRPr="0052351B" w:rsidRDefault="0052351B" w:rsidP="0052351B">
            <w:pPr>
              <w:jc w:val="center"/>
              <w:rPr>
                <w:sz w:val="20"/>
                <w:szCs w:val="20"/>
                <w:lang w:eastAsia="es-CO"/>
              </w:rPr>
            </w:pPr>
          </w:p>
        </w:tc>
        <w:tc>
          <w:tcPr>
            <w:tcW w:w="863" w:type="dxa"/>
            <w:tcBorders>
              <w:top w:val="nil"/>
              <w:left w:val="nil"/>
              <w:bottom w:val="nil"/>
              <w:right w:val="nil"/>
            </w:tcBorders>
            <w:shd w:val="clear" w:color="auto" w:fill="auto"/>
            <w:noWrap/>
            <w:vAlign w:val="center"/>
            <w:hideMark/>
          </w:tcPr>
          <w:p w14:paraId="57B09515"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2C542FE8" w14:textId="77777777" w:rsidR="0052351B" w:rsidRPr="0052351B" w:rsidRDefault="0052351B" w:rsidP="0052351B">
            <w:pPr>
              <w:jc w:val="center"/>
              <w:rPr>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34BE92A0" w14:textId="77777777" w:rsidR="0052351B" w:rsidRPr="0052351B" w:rsidRDefault="0052351B" w:rsidP="0052351B">
            <w:pPr>
              <w:jc w:val="center"/>
              <w:rPr>
                <w:sz w:val="20"/>
                <w:szCs w:val="20"/>
                <w:lang w:eastAsia="es-CO"/>
              </w:rPr>
            </w:pPr>
          </w:p>
        </w:tc>
        <w:tc>
          <w:tcPr>
            <w:tcW w:w="190" w:type="dxa"/>
            <w:tcBorders>
              <w:top w:val="nil"/>
              <w:left w:val="nil"/>
              <w:bottom w:val="nil"/>
              <w:right w:val="nil"/>
            </w:tcBorders>
            <w:shd w:val="clear" w:color="auto" w:fill="auto"/>
            <w:noWrap/>
            <w:vAlign w:val="center"/>
            <w:hideMark/>
          </w:tcPr>
          <w:p w14:paraId="0E0BD893" w14:textId="77777777" w:rsidR="0052351B" w:rsidRPr="0052351B" w:rsidRDefault="0052351B" w:rsidP="0052351B">
            <w:pPr>
              <w:jc w:val="center"/>
              <w:rPr>
                <w:sz w:val="20"/>
                <w:szCs w:val="20"/>
                <w:lang w:eastAsia="es-CO"/>
              </w:rPr>
            </w:pPr>
          </w:p>
        </w:tc>
        <w:tc>
          <w:tcPr>
            <w:tcW w:w="1622" w:type="dxa"/>
            <w:tcBorders>
              <w:top w:val="nil"/>
              <w:left w:val="nil"/>
              <w:bottom w:val="nil"/>
              <w:right w:val="nil"/>
            </w:tcBorders>
            <w:shd w:val="clear" w:color="auto" w:fill="auto"/>
            <w:noWrap/>
            <w:vAlign w:val="center"/>
            <w:hideMark/>
          </w:tcPr>
          <w:p w14:paraId="778027B6" w14:textId="77777777" w:rsidR="0052351B" w:rsidRPr="0052351B" w:rsidRDefault="0052351B" w:rsidP="0052351B">
            <w:pPr>
              <w:jc w:val="center"/>
              <w:rPr>
                <w:sz w:val="20"/>
                <w:szCs w:val="20"/>
                <w:lang w:eastAsia="es-CO"/>
              </w:rPr>
            </w:pPr>
          </w:p>
        </w:tc>
        <w:tc>
          <w:tcPr>
            <w:tcW w:w="196" w:type="dxa"/>
            <w:gridSpan w:val="2"/>
            <w:tcBorders>
              <w:top w:val="nil"/>
              <w:left w:val="nil"/>
              <w:bottom w:val="nil"/>
              <w:right w:val="nil"/>
            </w:tcBorders>
            <w:shd w:val="clear" w:color="auto" w:fill="auto"/>
            <w:noWrap/>
            <w:vAlign w:val="center"/>
            <w:hideMark/>
          </w:tcPr>
          <w:p w14:paraId="0A8066AF" w14:textId="77777777" w:rsidR="0052351B" w:rsidRPr="0052351B" w:rsidRDefault="0052351B" w:rsidP="0052351B">
            <w:pPr>
              <w:jc w:val="center"/>
              <w:rPr>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AEFFAE6" w14:textId="77777777" w:rsidR="0052351B" w:rsidRPr="0052351B" w:rsidRDefault="0052351B" w:rsidP="0052351B">
            <w:pPr>
              <w:jc w:val="center"/>
              <w:rPr>
                <w:sz w:val="20"/>
                <w:szCs w:val="20"/>
                <w:lang w:eastAsia="es-CO"/>
              </w:rPr>
            </w:pPr>
          </w:p>
        </w:tc>
      </w:tr>
      <w:tr w:rsidR="009B79BA" w:rsidRPr="0052351B" w14:paraId="6F8EDDF2" w14:textId="77777777" w:rsidTr="009B79BA">
        <w:trPr>
          <w:gridAfter w:val="2"/>
          <w:wAfter w:w="60" w:type="dxa"/>
          <w:trHeight w:val="415"/>
          <w:jc w:val="center"/>
        </w:trPr>
        <w:tc>
          <w:tcPr>
            <w:tcW w:w="874" w:type="dxa"/>
            <w:vMerge w:val="restart"/>
            <w:tcBorders>
              <w:top w:val="nil"/>
              <w:left w:val="nil"/>
              <w:bottom w:val="nil"/>
              <w:right w:val="nil"/>
            </w:tcBorders>
            <w:shd w:val="clear" w:color="auto" w:fill="auto"/>
            <w:noWrap/>
            <w:vAlign w:val="center"/>
            <w:hideMark/>
          </w:tcPr>
          <w:p w14:paraId="3BBF6F4D" w14:textId="77777777" w:rsidR="0052351B" w:rsidRPr="0052351B" w:rsidRDefault="0052351B" w:rsidP="0052351B">
            <w:pPr>
              <w:jc w:val="center"/>
              <w:rPr>
                <w:color w:val="000000"/>
                <w:sz w:val="20"/>
                <w:szCs w:val="20"/>
                <w:lang w:eastAsia="es-CO"/>
              </w:rPr>
            </w:pPr>
            <w:r w:rsidRPr="0052351B">
              <w:rPr>
                <w:color w:val="000000"/>
                <w:sz w:val="20"/>
                <w:szCs w:val="20"/>
                <w:lang w:eastAsia="es-CO"/>
              </w:rPr>
              <w:t>B</w:t>
            </w:r>
          </w:p>
        </w:tc>
        <w:tc>
          <w:tcPr>
            <w:tcW w:w="190" w:type="dxa"/>
            <w:tcBorders>
              <w:top w:val="nil"/>
              <w:left w:val="nil"/>
              <w:bottom w:val="nil"/>
              <w:right w:val="nil"/>
            </w:tcBorders>
            <w:shd w:val="clear" w:color="auto" w:fill="auto"/>
            <w:noWrap/>
            <w:vAlign w:val="center"/>
            <w:hideMark/>
          </w:tcPr>
          <w:p w14:paraId="3A1DAA73" w14:textId="77777777" w:rsidR="0052351B" w:rsidRPr="0052351B" w:rsidRDefault="0052351B" w:rsidP="0052351B">
            <w:pPr>
              <w:jc w:val="center"/>
              <w:rPr>
                <w:color w:val="000000"/>
                <w:sz w:val="20"/>
                <w:szCs w:val="20"/>
                <w:lang w:eastAsia="es-CO"/>
              </w:rPr>
            </w:pPr>
          </w:p>
        </w:tc>
        <w:tc>
          <w:tcPr>
            <w:tcW w:w="1259" w:type="dxa"/>
            <w:vMerge w:val="restart"/>
            <w:tcBorders>
              <w:top w:val="nil"/>
              <w:left w:val="nil"/>
              <w:bottom w:val="nil"/>
              <w:right w:val="nil"/>
            </w:tcBorders>
            <w:shd w:val="clear" w:color="auto" w:fill="auto"/>
            <w:vAlign w:val="center"/>
            <w:hideMark/>
          </w:tcPr>
          <w:p w14:paraId="1F20D093" w14:textId="5CF04B29" w:rsidR="0052351B" w:rsidRPr="0052351B" w:rsidRDefault="00102C90" w:rsidP="0052351B">
            <w:pPr>
              <w:jc w:val="center"/>
              <w:rPr>
                <w:color w:val="000000"/>
                <w:sz w:val="20"/>
                <w:szCs w:val="20"/>
                <w:lang w:eastAsia="es-CO"/>
              </w:rPr>
            </w:pPr>
            <w:r>
              <w:rPr>
                <w:color w:val="000000"/>
                <w:sz w:val="20"/>
                <w:szCs w:val="20"/>
                <w:lang w:eastAsia="es-CO"/>
              </w:rPr>
              <w:t>Día</w:t>
            </w:r>
            <w:r w:rsidR="0052351B" w:rsidRPr="0052351B">
              <w:rPr>
                <w:color w:val="000000"/>
                <w:sz w:val="20"/>
                <w:szCs w:val="20"/>
                <w:lang w:eastAsia="es-CO"/>
              </w:rPr>
              <w:br/>
              <w:t>o</w:t>
            </w:r>
            <w:r w:rsidR="0052351B" w:rsidRPr="0052351B">
              <w:rPr>
                <w:color w:val="000000"/>
                <w:sz w:val="20"/>
                <w:szCs w:val="20"/>
                <w:lang w:eastAsia="es-CO"/>
              </w:rPr>
              <w:br/>
            </w:r>
            <w:r>
              <w:rPr>
                <w:color w:val="000000"/>
                <w:sz w:val="20"/>
                <w:szCs w:val="20"/>
                <w:lang w:eastAsia="es-CO"/>
              </w:rPr>
              <w:t>Mercadona</w:t>
            </w:r>
          </w:p>
        </w:tc>
        <w:tc>
          <w:tcPr>
            <w:tcW w:w="190" w:type="dxa"/>
            <w:tcBorders>
              <w:top w:val="nil"/>
              <w:left w:val="nil"/>
              <w:bottom w:val="nil"/>
              <w:right w:val="nil"/>
            </w:tcBorders>
            <w:shd w:val="clear" w:color="auto" w:fill="auto"/>
            <w:noWrap/>
            <w:vAlign w:val="center"/>
            <w:hideMark/>
          </w:tcPr>
          <w:p w14:paraId="48EE663A" w14:textId="77777777" w:rsidR="0052351B" w:rsidRPr="0052351B" w:rsidRDefault="0052351B" w:rsidP="0052351B">
            <w:pPr>
              <w:jc w:val="center"/>
              <w:rPr>
                <w:color w:val="000000"/>
                <w:sz w:val="20"/>
                <w:szCs w:val="20"/>
                <w:lang w:eastAsia="es-CO"/>
              </w:rPr>
            </w:pPr>
          </w:p>
        </w:tc>
        <w:tc>
          <w:tcPr>
            <w:tcW w:w="863" w:type="dxa"/>
            <w:tcBorders>
              <w:top w:val="nil"/>
              <w:left w:val="nil"/>
              <w:bottom w:val="nil"/>
              <w:right w:val="nil"/>
            </w:tcBorders>
            <w:shd w:val="clear" w:color="auto" w:fill="auto"/>
            <w:noWrap/>
            <w:vAlign w:val="center"/>
            <w:hideMark/>
          </w:tcPr>
          <w:p w14:paraId="7CD49C3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Y</w:t>
            </w:r>
          </w:p>
        </w:tc>
        <w:tc>
          <w:tcPr>
            <w:tcW w:w="190" w:type="dxa"/>
            <w:tcBorders>
              <w:top w:val="nil"/>
              <w:left w:val="nil"/>
              <w:bottom w:val="nil"/>
              <w:right w:val="nil"/>
            </w:tcBorders>
            <w:shd w:val="clear" w:color="auto" w:fill="auto"/>
            <w:noWrap/>
            <w:vAlign w:val="center"/>
            <w:hideMark/>
          </w:tcPr>
          <w:p w14:paraId="03796EA1"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6495D427" w14:textId="603C4672" w:rsidR="0052351B" w:rsidRPr="0052351B" w:rsidRDefault="00A01B37" w:rsidP="0052351B">
            <w:pPr>
              <w:rPr>
                <w:color w:val="000000"/>
                <w:sz w:val="20"/>
                <w:szCs w:val="20"/>
                <w:lang w:eastAsia="es-CO"/>
              </w:rPr>
            </w:pPr>
            <w:r w:rsidRPr="00576004">
              <w:rPr>
                <w:color w:val="000000"/>
                <w:sz w:val="20"/>
                <w:szCs w:val="20"/>
                <w:lang w:eastAsia="es-CO"/>
              </w:rPr>
              <w:t>Cereal o café</w:t>
            </w:r>
          </w:p>
        </w:tc>
        <w:tc>
          <w:tcPr>
            <w:tcW w:w="190" w:type="dxa"/>
            <w:tcBorders>
              <w:top w:val="nil"/>
              <w:left w:val="nil"/>
              <w:bottom w:val="nil"/>
              <w:right w:val="nil"/>
            </w:tcBorders>
            <w:shd w:val="clear" w:color="auto" w:fill="auto"/>
            <w:noWrap/>
            <w:vAlign w:val="center"/>
            <w:hideMark/>
          </w:tcPr>
          <w:p w14:paraId="62F8C8D0"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7D3CBBEF" w14:textId="4258E7F3" w:rsidR="0052351B" w:rsidRPr="0052351B" w:rsidRDefault="0052351B" w:rsidP="0052351B">
            <w:pPr>
              <w:rPr>
                <w:color w:val="000000"/>
                <w:sz w:val="20"/>
                <w:szCs w:val="20"/>
                <w:lang w:eastAsia="es-CO"/>
              </w:rPr>
            </w:pPr>
            <w:r w:rsidRPr="00576004">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1E02C101"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6AB2FC88"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5379D523" w14:textId="77777777" w:rsidTr="009B79BA">
        <w:trPr>
          <w:gridAfter w:val="2"/>
          <w:wAfter w:w="60" w:type="dxa"/>
          <w:trHeight w:val="415"/>
          <w:jc w:val="center"/>
        </w:trPr>
        <w:tc>
          <w:tcPr>
            <w:tcW w:w="874" w:type="dxa"/>
            <w:vMerge/>
            <w:tcBorders>
              <w:top w:val="nil"/>
              <w:left w:val="nil"/>
              <w:bottom w:val="nil"/>
              <w:right w:val="nil"/>
            </w:tcBorders>
            <w:vAlign w:val="center"/>
            <w:hideMark/>
          </w:tcPr>
          <w:p w14:paraId="56E5865F"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3E60D549" w14:textId="77777777" w:rsidR="0052351B" w:rsidRPr="0052351B" w:rsidRDefault="0052351B" w:rsidP="0052351B">
            <w:pPr>
              <w:rPr>
                <w:color w:val="000000"/>
                <w:sz w:val="20"/>
                <w:szCs w:val="20"/>
                <w:lang w:eastAsia="es-CO"/>
              </w:rPr>
            </w:pPr>
          </w:p>
        </w:tc>
        <w:tc>
          <w:tcPr>
            <w:tcW w:w="1259" w:type="dxa"/>
            <w:vMerge/>
            <w:tcBorders>
              <w:top w:val="nil"/>
              <w:left w:val="nil"/>
              <w:bottom w:val="nil"/>
              <w:right w:val="nil"/>
            </w:tcBorders>
            <w:vAlign w:val="center"/>
            <w:hideMark/>
          </w:tcPr>
          <w:p w14:paraId="23E32524" w14:textId="77777777" w:rsidR="0052351B" w:rsidRPr="0052351B" w:rsidRDefault="0052351B" w:rsidP="0052351B">
            <w:pPr>
              <w:rPr>
                <w:color w:val="000000"/>
                <w:sz w:val="20"/>
                <w:szCs w:val="20"/>
                <w:lang w:eastAsia="es-CO"/>
              </w:rPr>
            </w:pPr>
          </w:p>
        </w:tc>
        <w:tc>
          <w:tcPr>
            <w:tcW w:w="190" w:type="dxa"/>
            <w:tcBorders>
              <w:top w:val="nil"/>
              <w:left w:val="nil"/>
              <w:bottom w:val="nil"/>
              <w:right w:val="nil"/>
            </w:tcBorders>
            <w:shd w:val="clear" w:color="auto" w:fill="auto"/>
            <w:noWrap/>
            <w:vAlign w:val="center"/>
            <w:hideMark/>
          </w:tcPr>
          <w:p w14:paraId="5C14A4D4" w14:textId="77777777" w:rsidR="0052351B" w:rsidRPr="0052351B" w:rsidRDefault="0052351B" w:rsidP="0052351B">
            <w:pPr>
              <w:rPr>
                <w:sz w:val="20"/>
                <w:szCs w:val="20"/>
                <w:lang w:eastAsia="es-CO"/>
              </w:rPr>
            </w:pPr>
          </w:p>
        </w:tc>
        <w:tc>
          <w:tcPr>
            <w:tcW w:w="863" w:type="dxa"/>
            <w:tcBorders>
              <w:top w:val="nil"/>
              <w:left w:val="nil"/>
              <w:bottom w:val="nil"/>
              <w:right w:val="nil"/>
            </w:tcBorders>
            <w:shd w:val="clear" w:color="auto" w:fill="auto"/>
            <w:noWrap/>
            <w:vAlign w:val="center"/>
            <w:hideMark/>
          </w:tcPr>
          <w:p w14:paraId="1F042F2F" w14:textId="77777777" w:rsidR="0052351B" w:rsidRPr="0052351B" w:rsidRDefault="0052351B" w:rsidP="0052351B">
            <w:pPr>
              <w:jc w:val="center"/>
              <w:rPr>
                <w:color w:val="000000"/>
                <w:sz w:val="20"/>
                <w:szCs w:val="20"/>
                <w:lang w:eastAsia="es-CO"/>
              </w:rPr>
            </w:pPr>
            <w:r w:rsidRPr="0052351B">
              <w:rPr>
                <w:color w:val="000000"/>
                <w:sz w:val="20"/>
                <w:szCs w:val="20"/>
                <w:lang w:eastAsia="es-CO"/>
              </w:rPr>
              <w:t>F2</w:t>
            </w:r>
          </w:p>
        </w:tc>
        <w:tc>
          <w:tcPr>
            <w:tcW w:w="190" w:type="dxa"/>
            <w:tcBorders>
              <w:top w:val="nil"/>
              <w:left w:val="nil"/>
              <w:bottom w:val="nil"/>
              <w:right w:val="nil"/>
            </w:tcBorders>
            <w:shd w:val="clear" w:color="auto" w:fill="auto"/>
            <w:noWrap/>
            <w:vAlign w:val="center"/>
            <w:hideMark/>
          </w:tcPr>
          <w:p w14:paraId="7E92F390" w14:textId="77777777" w:rsidR="0052351B" w:rsidRPr="0052351B" w:rsidRDefault="0052351B" w:rsidP="0052351B">
            <w:pPr>
              <w:jc w:val="center"/>
              <w:rPr>
                <w:color w:val="000000"/>
                <w:sz w:val="20"/>
                <w:szCs w:val="20"/>
                <w:lang w:eastAsia="es-CO"/>
              </w:rPr>
            </w:pPr>
          </w:p>
        </w:tc>
        <w:tc>
          <w:tcPr>
            <w:tcW w:w="1993" w:type="dxa"/>
            <w:gridSpan w:val="2"/>
            <w:tcBorders>
              <w:top w:val="nil"/>
              <w:left w:val="nil"/>
              <w:bottom w:val="nil"/>
              <w:right w:val="nil"/>
            </w:tcBorders>
            <w:shd w:val="clear" w:color="auto" w:fill="auto"/>
            <w:noWrap/>
            <w:vAlign w:val="center"/>
            <w:hideMark/>
          </w:tcPr>
          <w:p w14:paraId="6696E52E" w14:textId="238C0141" w:rsidR="0052351B" w:rsidRPr="0052351B" w:rsidRDefault="00A01B37" w:rsidP="0052351B">
            <w:pPr>
              <w:rPr>
                <w:color w:val="000000"/>
                <w:sz w:val="20"/>
                <w:szCs w:val="20"/>
                <w:lang w:eastAsia="es-CO"/>
              </w:rPr>
            </w:pPr>
            <w:r>
              <w:rPr>
                <w:color w:val="000000"/>
                <w:sz w:val="20"/>
                <w:szCs w:val="20"/>
                <w:lang w:eastAsia="es-CO"/>
              </w:rPr>
              <w:t>Azúcar</w:t>
            </w:r>
          </w:p>
        </w:tc>
        <w:tc>
          <w:tcPr>
            <w:tcW w:w="190" w:type="dxa"/>
            <w:tcBorders>
              <w:top w:val="nil"/>
              <w:left w:val="nil"/>
              <w:bottom w:val="nil"/>
              <w:right w:val="nil"/>
            </w:tcBorders>
            <w:shd w:val="clear" w:color="auto" w:fill="auto"/>
            <w:noWrap/>
            <w:vAlign w:val="center"/>
            <w:hideMark/>
          </w:tcPr>
          <w:p w14:paraId="45E2F7F1" w14:textId="77777777" w:rsidR="0052351B" w:rsidRPr="0052351B" w:rsidRDefault="0052351B" w:rsidP="0052351B">
            <w:pPr>
              <w:rPr>
                <w:color w:val="000000"/>
                <w:sz w:val="20"/>
                <w:szCs w:val="20"/>
                <w:lang w:eastAsia="es-CO"/>
              </w:rPr>
            </w:pPr>
          </w:p>
        </w:tc>
        <w:tc>
          <w:tcPr>
            <w:tcW w:w="1622" w:type="dxa"/>
            <w:tcBorders>
              <w:top w:val="nil"/>
              <w:left w:val="nil"/>
              <w:bottom w:val="nil"/>
              <w:right w:val="nil"/>
            </w:tcBorders>
            <w:shd w:val="clear" w:color="auto" w:fill="auto"/>
            <w:noWrap/>
            <w:vAlign w:val="center"/>
            <w:hideMark/>
          </w:tcPr>
          <w:p w14:paraId="2F4EB769" w14:textId="7B62585E" w:rsidR="0052351B" w:rsidRPr="0052351B" w:rsidRDefault="0052351B" w:rsidP="0052351B">
            <w:pPr>
              <w:rPr>
                <w:color w:val="000000"/>
                <w:sz w:val="20"/>
                <w:szCs w:val="20"/>
                <w:lang w:eastAsia="es-CO"/>
              </w:rPr>
            </w:pPr>
            <w:r>
              <w:rPr>
                <w:color w:val="000000"/>
                <w:sz w:val="20"/>
                <w:szCs w:val="20"/>
                <w:lang w:eastAsia="es-CO"/>
              </w:rPr>
              <w:t>Sin descuento</w:t>
            </w:r>
          </w:p>
        </w:tc>
        <w:tc>
          <w:tcPr>
            <w:tcW w:w="196" w:type="dxa"/>
            <w:gridSpan w:val="2"/>
            <w:tcBorders>
              <w:top w:val="nil"/>
              <w:left w:val="nil"/>
              <w:bottom w:val="nil"/>
              <w:right w:val="nil"/>
            </w:tcBorders>
            <w:shd w:val="clear" w:color="auto" w:fill="auto"/>
            <w:noWrap/>
            <w:vAlign w:val="center"/>
            <w:hideMark/>
          </w:tcPr>
          <w:p w14:paraId="79DF0F55" w14:textId="77777777" w:rsidR="0052351B" w:rsidRPr="0052351B" w:rsidRDefault="0052351B" w:rsidP="0052351B">
            <w:pPr>
              <w:rPr>
                <w:color w:val="000000"/>
                <w:sz w:val="20"/>
                <w:szCs w:val="20"/>
                <w:lang w:eastAsia="es-CO"/>
              </w:rPr>
            </w:pPr>
          </w:p>
        </w:tc>
        <w:tc>
          <w:tcPr>
            <w:tcW w:w="1275" w:type="dxa"/>
            <w:gridSpan w:val="2"/>
            <w:tcBorders>
              <w:top w:val="nil"/>
              <w:left w:val="nil"/>
              <w:bottom w:val="nil"/>
              <w:right w:val="nil"/>
            </w:tcBorders>
            <w:shd w:val="clear" w:color="auto" w:fill="auto"/>
            <w:noWrap/>
            <w:vAlign w:val="center"/>
            <w:hideMark/>
          </w:tcPr>
          <w:p w14:paraId="7D5C280F" w14:textId="77777777" w:rsidR="0052351B" w:rsidRPr="0052351B" w:rsidRDefault="0052351B" w:rsidP="0052351B">
            <w:pPr>
              <w:rPr>
                <w:color w:val="000000"/>
                <w:sz w:val="20"/>
                <w:szCs w:val="20"/>
                <w:lang w:eastAsia="es-CO"/>
              </w:rPr>
            </w:pPr>
            <w:r w:rsidRPr="0052351B">
              <w:rPr>
                <w:color w:val="000000"/>
                <w:sz w:val="20"/>
                <w:szCs w:val="20"/>
                <w:lang w:eastAsia="es-CO"/>
              </w:rPr>
              <w:t>0%</w:t>
            </w:r>
          </w:p>
        </w:tc>
      </w:tr>
      <w:tr w:rsidR="009B79BA" w:rsidRPr="0052351B" w14:paraId="7853D58E" w14:textId="77777777" w:rsidTr="009B79BA">
        <w:trPr>
          <w:gridAfter w:val="2"/>
          <w:wAfter w:w="60" w:type="dxa"/>
          <w:trHeight w:val="294"/>
          <w:jc w:val="center"/>
        </w:trPr>
        <w:tc>
          <w:tcPr>
            <w:tcW w:w="874" w:type="dxa"/>
            <w:tcBorders>
              <w:top w:val="nil"/>
              <w:left w:val="nil"/>
              <w:bottom w:val="single" w:sz="4" w:space="0" w:color="auto"/>
              <w:right w:val="nil"/>
            </w:tcBorders>
            <w:shd w:val="clear" w:color="auto" w:fill="auto"/>
            <w:noWrap/>
            <w:vAlign w:val="center"/>
            <w:hideMark/>
          </w:tcPr>
          <w:p w14:paraId="03F28C2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0AF6EE3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59" w:type="dxa"/>
            <w:tcBorders>
              <w:top w:val="nil"/>
              <w:left w:val="nil"/>
              <w:bottom w:val="single" w:sz="4" w:space="0" w:color="auto"/>
              <w:right w:val="nil"/>
            </w:tcBorders>
            <w:shd w:val="clear" w:color="auto" w:fill="auto"/>
            <w:vAlign w:val="center"/>
            <w:hideMark/>
          </w:tcPr>
          <w:p w14:paraId="3E1C6840"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62D83DA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863" w:type="dxa"/>
            <w:tcBorders>
              <w:top w:val="nil"/>
              <w:left w:val="nil"/>
              <w:bottom w:val="single" w:sz="4" w:space="0" w:color="auto"/>
              <w:right w:val="nil"/>
            </w:tcBorders>
            <w:shd w:val="clear" w:color="auto" w:fill="auto"/>
            <w:noWrap/>
            <w:vAlign w:val="center"/>
            <w:hideMark/>
          </w:tcPr>
          <w:p w14:paraId="1CC25124"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65AF9643"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93" w:type="dxa"/>
            <w:gridSpan w:val="2"/>
            <w:tcBorders>
              <w:top w:val="nil"/>
              <w:left w:val="nil"/>
              <w:bottom w:val="single" w:sz="4" w:space="0" w:color="auto"/>
              <w:right w:val="nil"/>
            </w:tcBorders>
            <w:shd w:val="clear" w:color="auto" w:fill="auto"/>
            <w:noWrap/>
            <w:vAlign w:val="center"/>
            <w:hideMark/>
          </w:tcPr>
          <w:p w14:paraId="1C246D6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0" w:type="dxa"/>
            <w:tcBorders>
              <w:top w:val="nil"/>
              <w:left w:val="nil"/>
              <w:bottom w:val="single" w:sz="4" w:space="0" w:color="auto"/>
              <w:right w:val="nil"/>
            </w:tcBorders>
            <w:shd w:val="clear" w:color="auto" w:fill="auto"/>
            <w:noWrap/>
            <w:vAlign w:val="center"/>
            <w:hideMark/>
          </w:tcPr>
          <w:p w14:paraId="3C867CFC"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622" w:type="dxa"/>
            <w:tcBorders>
              <w:top w:val="nil"/>
              <w:left w:val="nil"/>
              <w:bottom w:val="single" w:sz="4" w:space="0" w:color="auto"/>
              <w:right w:val="nil"/>
            </w:tcBorders>
            <w:shd w:val="clear" w:color="auto" w:fill="auto"/>
            <w:noWrap/>
            <w:vAlign w:val="center"/>
            <w:hideMark/>
          </w:tcPr>
          <w:p w14:paraId="0E75A498"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96" w:type="dxa"/>
            <w:gridSpan w:val="2"/>
            <w:tcBorders>
              <w:top w:val="nil"/>
              <w:left w:val="nil"/>
              <w:bottom w:val="single" w:sz="4" w:space="0" w:color="auto"/>
              <w:right w:val="nil"/>
            </w:tcBorders>
            <w:shd w:val="clear" w:color="auto" w:fill="auto"/>
            <w:noWrap/>
            <w:vAlign w:val="center"/>
            <w:hideMark/>
          </w:tcPr>
          <w:p w14:paraId="523814E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c>
          <w:tcPr>
            <w:tcW w:w="1275" w:type="dxa"/>
            <w:gridSpan w:val="2"/>
            <w:tcBorders>
              <w:top w:val="nil"/>
              <w:left w:val="nil"/>
              <w:bottom w:val="single" w:sz="4" w:space="0" w:color="auto"/>
              <w:right w:val="nil"/>
            </w:tcBorders>
            <w:shd w:val="clear" w:color="auto" w:fill="auto"/>
            <w:noWrap/>
            <w:vAlign w:val="center"/>
            <w:hideMark/>
          </w:tcPr>
          <w:p w14:paraId="4C87299A" w14:textId="77777777" w:rsidR="0052351B" w:rsidRPr="0052351B" w:rsidRDefault="0052351B" w:rsidP="0052351B">
            <w:pPr>
              <w:jc w:val="center"/>
              <w:rPr>
                <w:color w:val="000000"/>
                <w:sz w:val="20"/>
                <w:szCs w:val="20"/>
                <w:lang w:eastAsia="es-CO"/>
              </w:rPr>
            </w:pPr>
            <w:r w:rsidRPr="0052351B">
              <w:rPr>
                <w:color w:val="000000"/>
                <w:sz w:val="20"/>
                <w:szCs w:val="20"/>
                <w:lang w:eastAsia="es-CO"/>
              </w:rPr>
              <w:t> </w:t>
            </w:r>
          </w:p>
        </w:tc>
      </w:tr>
    </w:tbl>
    <w:p w14:paraId="62040219" w14:textId="77777777" w:rsidR="009510ED" w:rsidRDefault="009510ED" w:rsidP="008531D8">
      <w:pPr>
        <w:pStyle w:val="Prrafocomn"/>
        <w:ind w:firstLine="0"/>
        <w:jc w:val="left"/>
        <w:rPr>
          <w:i/>
          <w:sz w:val="20"/>
          <w:szCs w:val="20"/>
          <w:lang w:val="es-AR"/>
        </w:rPr>
      </w:pPr>
    </w:p>
    <w:p w14:paraId="655B8A44" w14:textId="24548759" w:rsidR="000016B0" w:rsidRPr="00166318" w:rsidRDefault="00D54DE9" w:rsidP="008531D8">
      <w:pPr>
        <w:pStyle w:val="Prrafocomn"/>
        <w:ind w:firstLine="0"/>
        <w:jc w:val="left"/>
        <w:rPr>
          <w:iCs/>
          <w:sz w:val="20"/>
          <w:szCs w:val="20"/>
          <w:lang w:val="es-AR"/>
        </w:rPr>
      </w:pPr>
      <w:r w:rsidRPr="00166318">
        <w:rPr>
          <w:i/>
          <w:sz w:val="20"/>
          <w:szCs w:val="20"/>
          <w:lang w:val="es-AR"/>
        </w:rPr>
        <w:t>Nota</w:t>
      </w:r>
      <w:r w:rsidR="005148DA">
        <w:rPr>
          <w:i/>
          <w:sz w:val="20"/>
          <w:szCs w:val="20"/>
          <w:lang w:val="es-AR"/>
        </w:rPr>
        <w:t>.</w:t>
      </w:r>
      <w:r w:rsidRPr="00166318">
        <w:rPr>
          <w:iCs/>
          <w:sz w:val="20"/>
          <w:szCs w:val="20"/>
          <w:lang w:val="es-AR"/>
        </w:rPr>
        <w:t xml:space="preserve"> A y B: dos contextos físicamente diferentes pero relacionados (</w:t>
      </w:r>
      <w:r w:rsidR="00442A33" w:rsidRPr="00166318">
        <w:rPr>
          <w:iCs/>
          <w:sz w:val="20"/>
          <w:szCs w:val="20"/>
          <w:lang w:val="es-AR"/>
        </w:rPr>
        <w:t>s</w:t>
      </w:r>
      <w:r w:rsidRPr="00166318">
        <w:rPr>
          <w:iCs/>
          <w:sz w:val="20"/>
          <w:szCs w:val="20"/>
          <w:lang w:val="es-AR"/>
        </w:rPr>
        <w:t xml:space="preserve">upermercado y </w:t>
      </w:r>
      <w:proofErr w:type="spellStart"/>
      <w:r w:rsidR="00442A33" w:rsidRPr="00166318">
        <w:rPr>
          <w:i/>
          <w:sz w:val="20"/>
          <w:szCs w:val="20"/>
          <w:lang w:val="es-AR"/>
        </w:rPr>
        <w:t>h</w:t>
      </w:r>
      <w:r w:rsidRPr="00166318">
        <w:rPr>
          <w:i/>
          <w:sz w:val="20"/>
          <w:szCs w:val="20"/>
          <w:lang w:val="es-AR"/>
        </w:rPr>
        <w:t>ard</w:t>
      </w:r>
      <w:proofErr w:type="spellEnd"/>
      <w:r w:rsidRPr="00166318">
        <w:rPr>
          <w:i/>
          <w:sz w:val="20"/>
          <w:szCs w:val="20"/>
          <w:lang w:val="es-AR"/>
        </w:rPr>
        <w:t xml:space="preserve"> </w:t>
      </w:r>
      <w:proofErr w:type="spellStart"/>
      <w:r w:rsidR="00DF17A6" w:rsidRPr="00166318">
        <w:rPr>
          <w:i/>
          <w:sz w:val="20"/>
          <w:szCs w:val="20"/>
          <w:lang w:val="es-AR"/>
        </w:rPr>
        <w:t>d</w:t>
      </w:r>
      <w:r w:rsidRPr="00166318">
        <w:rPr>
          <w:i/>
          <w:sz w:val="20"/>
          <w:szCs w:val="20"/>
          <w:lang w:val="es-AR"/>
        </w:rPr>
        <w:t>iscount</w:t>
      </w:r>
      <w:proofErr w:type="spellEnd"/>
      <w:r w:rsidRPr="00166318">
        <w:rPr>
          <w:iCs/>
          <w:sz w:val="20"/>
          <w:szCs w:val="20"/>
          <w:lang w:val="es-AR"/>
        </w:rPr>
        <w:t>), contrabalanceados entre participantes. Los productos clave</w:t>
      </w:r>
      <w:r w:rsidR="00576004">
        <w:rPr>
          <w:iCs/>
          <w:sz w:val="20"/>
          <w:szCs w:val="20"/>
          <w:lang w:val="es-AR"/>
        </w:rPr>
        <w:t xml:space="preserve"> fueron</w:t>
      </w:r>
      <w:r w:rsidRPr="00166318">
        <w:rPr>
          <w:iCs/>
          <w:sz w:val="20"/>
          <w:szCs w:val="20"/>
          <w:lang w:val="es-AR"/>
        </w:rPr>
        <w:t>: X, Y (</w:t>
      </w:r>
      <w:r w:rsidR="00DF17A6" w:rsidRPr="00166318">
        <w:rPr>
          <w:iCs/>
          <w:sz w:val="20"/>
          <w:szCs w:val="20"/>
          <w:lang w:val="es-AR"/>
        </w:rPr>
        <w:t>café en polvo</w:t>
      </w:r>
      <w:r w:rsidRPr="00166318">
        <w:rPr>
          <w:iCs/>
          <w:sz w:val="20"/>
          <w:szCs w:val="20"/>
          <w:lang w:val="es-AR"/>
        </w:rPr>
        <w:t xml:space="preserve">, </w:t>
      </w:r>
      <w:r w:rsidR="00DF17A6" w:rsidRPr="00166318">
        <w:rPr>
          <w:iCs/>
          <w:sz w:val="20"/>
          <w:szCs w:val="20"/>
          <w:lang w:val="es-AR"/>
        </w:rPr>
        <w:t>caja de cereal</w:t>
      </w:r>
      <w:r w:rsidRPr="00166318">
        <w:rPr>
          <w:iCs/>
          <w:sz w:val="20"/>
          <w:szCs w:val="20"/>
          <w:lang w:val="es-AR"/>
        </w:rPr>
        <w:t>) y Z (</w:t>
      </w:r>
      <w:r w:rsidR="00DF17A6" w:rsidRPr="00166318">
        <w:rPr>
          <w:iCs/>
          <w:sz w:val="20"/>
          <w:szCs w:val="20"/>
          <w:lang w:val="es-AR"/>
        </w:rPr>
        <w:t>margarina en barra</w:t>
      </w:r>
      <w:r w:rsidRPr="00166318">
        <w:rPr>
          <w:iCs/>
          <w:sz w:val="20"/>
          <w:szCs w:val="20"/>
          <w:lang w:val="es-AR"/>
        </w:rPr>
        <w:t xml:space="preserve">, </w:t>
      </w:r>
      <w:r w:rsidR="00DF17A6" w:rsidRPr="00166318">
        <w:rPr>
          <w:iCs/>
          <w:sz w:val="20"/>
          <w:szCs w:val="20"/>
          <w:lang w:val="es-AR"/>
        </w:rPr>
        <w:t>paquete de galletas</w:t>
      </w:r>
      <w:r w:rsidRPr="00166318">
        <w:rPr>
          <w:iCs/>
          <w:sz w:val="20"/>
          <w:szCs w:val="20"/>
          <w:lang w:val="es-AR"/>
        </w:rPr>
        <w:t xml:space="preserve">) </w:t>
      </w:r>
      <w:r w:rsidR="00DF17A6" w:rsidRPr="00166318">
        <w:rPr>
          <w:iCs/>
          <w:sz w:val="20"/>
          <w:szCs w:val="20"/>
          <w:lang w:val="es-AR"/>
        </w:rPr>
        <w:t xml:space="preserve">que </w:t>
      </w:r>
      <w:r w:rsidRPr="00166318">
        <w:rPr>
          <w:iCs/>
          <w:sz w:val="20"/>
          <w:szCs w:val="20"/>
          <w:lang w:val="es-AR"/>
        </w:rPr>
        <w:t xml:space="preserve">también fueron contrabalanceados entre participantes. F1 y F2: </w:t>
      </w:r>
      <w:r w:rsidRPr="00166318">
        <w:rPr>
          <w:iCs/>
          <w:sz w:val="20"/>
          <w:szCs w:val="20"/>
          <w:lang w:val="es-AR"/>
        </w:rPr>
        <w:lastRenderedPageBreak/>
        <w:t xml:space="preserve">productos de </w:t>
      </w:r>
      <w:r w:rsidR="00E17239" w:rsidRPr="00166318">
        <w:rPr>
          <w:iCs/>
          <w:sz w:val="20"/>
          <w:szCs w:val="20"/>
          <w:lang w:val="es-AR"/>
        </w:rPr>
        <w:t>control</w:t>
      </w:r>
      <w:r w:rsidRPr="00166318">
        <w:rPr>
          <w:iCs/>
          <w:sz w:val="20"/>
          <w:szCs w:val="20"/>
          <w:lang w:val="es-AR"/>
        </w:rPr>
        <w:t xml:space="preserve"> (</w:t>
      </w:r>
      <w:r w:rsidR="00DF17A6" w:rsidRPr="00166318">
        <w:rPr>
          <w:iCs/>
          <w:sz w:val="20"/>
          <w:szCs w:val="20"/>
          <w:lang w:val="es-AR"/>
        </w:rPr>
        <w:t>salsa de tomate y azúcar</w:t>
      </w:r>
      <w:r w:rsidRPr="00166318">
        <w:rPr>
          <w:iCs/>
          <w:sz w:val="20"/>
          <w:szCs w:val="20"/>
          <w:lang w:val="es-AR"/>
        </w:rPr>
        <w:t xml:space="preserve">, respectivamente). El número antes de cada producto </w:t>
      </w:r>
      <w:r w:rsidR="009510ED">
        <w:rPr>
          <w:iCs/>
          <w:sz w:val="20"/>
          <w:szCs w:val="20"/>
          <w:lang w:val="es-AR"/>
        </w:rPr>
        <w:t xml:space="preserve">en el diseño </w:t>
      </w:r>
      <w:r w:rsidRPr="00166318">
        <w:rPr>
          <w:iCs/>
          <w:sz w:val="20"/>
          <w:szCs w:val="20"/>
          <w:lang w:val="es-AR"/>
        </w:rPr>
        <w:t>indica el número de repeticiones de</w:t>
      </w:r>
      <w:r w:rsidR="00DF17A6" w:rsidRPr="00166318">
        <w:rPr>
          <w:iCs/>
          <w:sz w:val="20"/>
          <w:szCs w:val="20"/>
          <w:lang w:val="es-AR"/>
        </w:rPr>
        <w:t xml:space="preserve"> ese</w:t>
      </w:r>
      <w:r w:rsidRPr="00166318">
        <w:rPr>
          <w:iCs/>
          <w:sz w:val="20"/>
          <w:szCs w:val="20"/>
          <w:lang w:val="es-AR"/>
        </w:rPr>
        <w:t xml:space="preserve"> producto </w:t>
      </w:r>
      <w:r w:rsidR="00DF17A6" w:rsidRPr="00166318">
        <w:rPr>
          <w:iCs/>
          <w:sz w:val="20"/>
          <w:szCs w:val="20"/>
          <w:lang w:val="es-AR"/>
        </w:rPr>
        <w:t xml:space="preserve">en el contexto de </w:t>
      </w:r>
      <w:r w:rsidR="00D94413" w:rsidRPr="00166318">
        <w:rPr>
          <w:iCs/>
          <w:sz w:val="20"/>
          <w:szCs w:val="20"/>
          <w:lang w:val="es-AR"/>
        </w:rPr>
        <w:t>entrenamiento</w:t>
      </w:r>
      <w:r w:rsidR="00DF17A6" w:rsidRPr="00166318">
        <w:rPr>
          <w:iCs/>
          <w:sz w:val="20"/>
          <w:szCs w:val="20"/>
          <w:lang w:val="es-AR"/>
        </w:rPr>
        <w:t xml:space="preserve"> </w:t>
      </w:r>
      <w:r w:rsidRPr="00166318">
        <w:rPr>
          <w:iCs/>
          <w:sz w:val="20"/>
          <w:szCs w:val="20"/>
          <w:lang w:val="es-AR"/>
        </w:rPr>
        <w:t xml:space="preserve">que fue </w:t>
      </w:r>
      <w:r w:rsidR="00DF17A6" w:rsidRPr="00166318">
        <w:rPr>
          <w:iCs/>
          <w:sz w:val="20"/>
          <w:szCs w:val="20"/>
          <w:lang w:val="es-AR"/>
        </w:rPr>
        <w:t>presentado a</w:t>
      </w:r>
      <w:r w:rsidRPr="00166318">
        <w:rPr>
          <w:iCs/>
          <w:sz w:val="20"/>
          <w:szCs w:val="20"/>
          <w:lang w:val="es-AR"/>
        </w:rPr>
        <w:t xml:space="preserve"> cada participante. Para el caso del producto con valor diferencial de descuento (X), durante la fase de </w:t>
      </w:r>
      <w:r w:rsidR="00D94413" w:rsidRPr="00166318">
        <w:rPr>
          <w:iCs/>
          <w:sz w:val="20"/>
          <w:szCs w:val="20"/>
          <w:lang w:val="es-AR"/>
        </w:rPr>
        <w:t>entrenamiento</w:t>
      </w:r>
      <w:r w:rsidRPr="00166318">
        <w:rPr>
          <w:iCs/>
          <w:sz w:val="20"/>
          <w:szCs w:val="20"/>
          <w:lang w:val="es-AR"/>
        </w:rPr>
        <w:t xml:space="preserve"> fue presentado 36 veces (12 veces con cada descuento: 50%, 30%, 0%). La mitad de los participantes fueron expuestos a los productos en los contextos bajo la modalidad ABBAAB, y la otra mitad bajo la modalidad BAABBA. En la fase de prueba, los tres productos clave fueron presentados en el mismo contexto de aprendizaje y en el contexto diferente, una vez cada uno, sin información de descuento asociado.</w:t>
      </w:r>
    </w:p>
    <w:p w14:paraId="42256443" w14:textId="51280F35" w:rsidR="005B24FF" w:rsidRPr="001D4637" w:rsidRDefault="005B24FF" w:rsidP="000A2954">
      <w:pPr>
        <w:pStyle w:val="SubtituloInterno"/>
        <w:rPr>
          <w:lang w:val="es-CO"/>
        </w:rPr>
      </w:pPr>
      <w:r w:rsidRPr="001D4637">
        <w:rPr>
          <w:lang w:val="es-CO"/>
        </w:rPr>
        <w:t>Materiales</w:t>
      </w:r>
      <w:r w:rsidR="56437814" w:rsidRPr="001D4637">
        <w:rPr>
          <w:lang w:val="es-CO"/>
        </w:rPr>
        <w:t xml:space="preserve"> y aparatos </w:t>
      </w:r>
    </w:p>
    <w:p w14:paraId="69B05D47" w14:textId="45F91B24" w:rsidR="002C6DD4" w:rsidRDefault="000B6411" w:rsidP="002C6DD4">
      <w:pPr>
        <w:pStyle w:val="Prrafocomn"/>
        <w:ind w:firstLine="0"/>
        <w:jc w:val="left"/>
        <w:rPr>
          <w:i/>
          <w:iCs/>
          <w:lang w:val="es-AR"/>
        </w:rPr>
      </w:pPr>
      <w:r w:rsidRPr="000B6411">
        <w:rPr>
          <w:i/>
          <w:iCs/>
          <w:lang w:val="es-AR"/>
        </w:rPr>
        <w:t>Salas</w:t>
      </w:r>
    </w:p>
    <w:p w14:paraId="3C7A5DF4" w14:textId="4400B1C3" w:rsidR="56437814" w:rsidRDefault="02E73162">
      <w:pPr>
        <w:pStyle w:val="Prrafocomn"/>
        <w:jc w:val="left"/>
        <w:rPr>
          <w:lang w:val="es-AR"/>
        </w:rPr>
      </w:pPr>
      <w:r w:rsidRPr="5BA67741">
        <w:rPr>
          <w:lang w:val="es-AR"/>
        </w:rPr>
        <w:t>Los participantes realizaron la tarea</w:t>
      </w:r>
      <w:r w:rsidR="0053529E" w:rsidRPr="5BA67741">
        <w:rPr>
          <w:lang w:val="es-AR" w:eastAsia="en-US"/>
        </w:rPr>
        <w:t xml:space="preserve"> </w:t>
      </w:r>
      <w:r w:rsidR="003F1E57">
        <w:rPr>
          <w:lang w:val="es-AR" w:eastAsia="en-US"/>
        </w:rPr>
        <w:t xml:space="preserve">en </w:t>
      </w:r>
      <w:r w:rsidR="0053529E" w:rsidRPr="5BA67741">
        <w:rPr>
          <w:lang w:val="es-AR" w:eastAsia="en-US"/>
        </w:rPr>
        <w:t>una</w:t>
      </w:r>
      <w:r w:rsidR="6332BAD0" w:rsidRPr="5BA67741">
        <w:rPr>
          <w:lang w:val="es-AR" w:eastAsia="en-US"/>
        </w:rPr>
        <w:t xml:space="preserve"> </w:t>
      </w:r>
      <w:r w:rsidR="00065049">
        <w:rPr>
          <w:lang w:val="es-AR" w:eastAsia="en-US"/>
        </w:rPr>
        <w:t>sala</w:t>
      </w:r>
      <w:r w:rsidR="6332BAD0" w:rsidRPr="5BA67741">
        <w:rPr>
          <w:lang w:val="es-AR" w:eastAsia="en-US"/>
        </w:rPr>
        <w:t xml:space="preserve"> </w:t>
      </w:r>
      <w:r w:rsidR="0053529E" w:rsidRPr="5BA67741">
        <w:rPr>
          <w:lang w:val="es-AR" w:eastAsia="en-US"/>
        </w:rPr>
        <w:t xml:space="preserve">equipada con un PC conectado a una pantalla de 22’’ con resolución de 1920 x 1080 pixeles para la presentación del experimento. En esta sala las condiciones de luz y temperatura se mantuvieron estándar para todos los participantes. </w:t>
      </w:r>
      <w:r w:rsidR="003F1E57">
        <w:rPr>
          <w:lang w:val="es-AR" w:eastAsia="en-US"/>
        </w:rPr>
        <w:t>Otra</w:t>
      </w:r>
      <w:r w:rsidR="0053529E" w:rsidRPr="5BA67741">
        <w:rPr>
          <w:lang w:val="es-AR" w:eastAsia="en-US"/>
        </w:rPr>
        <w:t xml:space="preserve"> sala estaba equipada con un ordenador para el registro de las respuestas conductuales. Para programar, conducir y registrar las respuestas del experimento se utilizó el software</w:t>
      </w:r>
      <w:r w:rsidR="003F1E57">
        <w:rPr>
          <w:lang w:val="es-AR" w:eastAsia="en-US"/>
        </w:rPr>
        <w:t xml:space="preserve"> E-Prime 2.0 versión profesional </w:t>
      </w:r>
      <w:r w:rsidR="02B7DEF7" w:rsidRPr="5BA67741">
        <w:rPr>
          <w:lang w:val="es-AR" w:eastAsia="en-US"/>
        </w:rPr>
        <w:t>(</w:t>
      </w:r>
      <w:r w:rsidR="0018641B" w:rsidRPr="0018641B">
        <w:rPr>
          <w:lang w:val="es-AR"/>
        </w:rPr>
        <w:t>Taylor &amp; Marsh, 2017</w:t>
      </w:r>
      <w:r w:rsidR="02B7DEF7" w:rsidRPr="5BA67741">
        <w:rPr>
          <w:lang w:val="es-AR"/>
        </w:rPr>
        <w:t>).</w:t>
      </w:r>
    </w:p>
    <w:p w14:paraId="6BB19302" w14:textId="77777777" w:rsidR="002C6DD4" w:rsidRDefault="002C6DD4" w:rsidP="002C6DD4">
      <w:pPr>
        <w:pStyle w:val="Prrafocomn"/>
        <w:ind w:firstLine="0"/>
        <w:jc w:val="left"/>
        <w:rPr>
          <w:i/>
          <w:iCs/>
          <w:lang w:val="es-AR"/>
        </w:rPr>
      </w:pPr>
    </w:p>
    <w:p w14:paraId="287681F2" w14:textId="238CCD6D" w:rsidR="002C6DD4" w:rsidRDefault="000B6411" w:rsidP="002C6DD4">
      <w:pPr>
        <w:pStyle w:val="Prrafocomn"/>
        <w:ind w:firstLine="0"/>
        <w:jc w:val="left"/>
        <w:rPr>
          <w:i/>
          <w:iCs/>
          <w:lang w:val="es-AR"/>
        </w:rPr>
      </w:pPr>
      <w:r w:rsidRPr="4A490D7B">
        <w:rPr>
          <w:i/>
          <w:iCs/>
          <w:lang w:val="es-AR"/>
        </w:rPr>
        <w:t>Estímulos</w:t>
      </w:r>
    </w:p>
    <w:p w14:paraId="6DD0C998" w14:textId="4C3F0382" w:rsidR="00BC2E6C" w:rsidRDefault="0053529E" w:rsidP="00BC2E6C">
      <w:pPr>
        <w:pStyle w:val="Prrafocomn"/>
        <w:jc w:val="left"/>
        <w:rPr>
          <w:lang w:val="es-AR" w:eastAsia="en-US"/>
        </w:rPr>
      </w:pPr>
      <w:r w:rsidRPr="4A490D7B">
        <w:rPr>
          <w:lang w:val="es-AR" w:eastAsia="en-US"/>
        </w:rPr>
        <w:t xml:space="preserve">Como estímulos se utilizaron 6 imágenes de productos alimenticios pertenecientes a la canasta familiar colombiana (café, azúcar, cereal, mantequilla, salsa de tomate y galletas). Como descuento se </w:t>
      </w:r>
      <w:r w:rsidR="002E2D0C" w:rsidRPr="4A490D7B">
        <w:rPr>
          <w:lang w:val="es-AR" w:eastAsia="en-US"/>
        </w:rPr>
        <w:t>crearon</w:t>
      </w:r>
      <w:r w:rsidRPr="4A490D7B">
        <w:rPr>
          <w:lang w:val="es-AR" w:eastAsia="en-US"/>
        </w:rPr>
        <w:t xml:space="preserve"> 3 imágenes en forma de etiqueta con una cantidad escrita en porcentaje (</w:t>
      </w:r>
      <w:r w:rsidR="00815EF1" w:rsidRPr="4A490D7B">
        <w:rPr>
          <w:lang w:val="es-AR" w:eastAsia="en-US"/>
        </w:rPr>
        <w:t>5</w:t>
      </w:r>
      <w:r w:rsidRPr="4A490D7B">
        <w:rPr>
          <w:lang w:val="es-AR" w:eastAsia="en-US"/>
        </w:rPr>
        <w:t xml:space="preserve">0%, 30%, 0%) que correspondía al descuento asociado a cada producto. Como contextos se </w:t>
      </w:r>
      <w:r w:rsidR="00D90BBB" w:rsidRPr="4A490D7B">
        <w:rPr>
          <w:lang w:val="es-AR" w:eastAsia="en-US"/>
        </w:rPr>
        <w:t>utilizaron</w:t>
      </w:r>
      <w:r w:rsidRPr="4A490D7B">
        <w:rPr>
          <w:lang w:val="es-AR" w:eastAsia="en-US"/>
        </w:rPr>
        <w:t xml:space="preserve"> 2 imágenes de tiendas en donde podrían encontrarse los productos seleccionados (supermercado y </w:t>
      </w:r>
      <w:proofErr w:type="spellStart"/>
      <w:r w:rsidRPr="00EB7B83">
        <w:rPr>
          <w:i/>
          <w:iCs/>
          <w:lang w:val="es-AR" w:eastAsia="en-US"/>
        </w:rPr>
        <w:t>hard</w:t>
      </w:r>
      <w:proofErr w:type="spellEnd"/>
      <w:r w:rsidRPr="00EB7B83">
        <w:rPr>
          <w:i/>
          <w:iCs/>
          <w:lang w:val="es-AR" w:eastAsia="en-US"/>
        </w:rPr>
        <w:t xml:space="preserve"> </w:t>
      </w:r>
      <w:proofErr w:type="spellStart"/>
      <w:r w:rsidRPr="00EB7B83">
        <w:rPr>
          <w:i/>
          <w:iCs/>
          <w:lang w:val="es-AR" w:eastAsia="en-US"/>
        </w:rPr>
        <w:t>discount</w:t>
      </w:r>
      <w:proofErr w:type="spellEnd"/>
      <w:r w:rsidRPr="4A490D7B">
        <w:rPr>
          <w:lang w:val="es-AR" w:eastAsia="en-US"/>
        </w:rPr>
        <w:t xml:space="preserve">). Todas las imágenes fueron composiciones hechas entre los contextos y los productos según correspondía con el diseño experimental, mediante el software Adobe Photoshop CC </w:t>
      </w:r>
      <w:proofErr w:type="spellStart"/>
      <w:r w:rsidRPr="4A490D7B">
        <w:rPr>
          <w:lang w:val="es-AR" w:eastAsia="en-US"/>
        </w:rPr>
        <w:t>Latest</w:t>
      </w:r>
      <w:proofErr w:type="spellEnd"/>
      <w:r w:rsidR="00E17852" w:rsidRPr="4A490D7B">
        <w:rPr>
          <w:lang w:val="es-AR" w:eastAsia="en-US"/>
        </w:rPr>
        <w:t xml:space="preserve"> (ver Figura 1)</w:t>
      </w:r>
      <w:r w:rsidRPr="4A490D7B">
        <w:rPr>
          <w:lang w:val="es-AR" w:eastAsia="en-US"/>
        </w:rPr>
        <w:t>.</w:t>
      </w:r>
    </w:p>
    <w:p w14:paraId="6D081786" w14:textId="0EFBD2C0" w:rsidR="1BD30B80" w:rsidRDefault="1BD30B80" w:rsidP="00BC2E6C">
      <w:pPr>
        <w:pStyle w:val="Prrafocomn"/>
        <w:jc w:val="left"/>
        <w:rPr>
          <w:lang w:val="es-AR"/>
        </w:rPr>
      </w:pPr>
      <w:r w:rsidRPr="4A490D7B">
        <w:rPr>
          <w:lang w:val="es-AR"/>
        </w:rPr>
        <w:t xml:space="preserve">Cada ensayo comenzaba con el nombre aleatorio de un cliente hasta que el participante pulsaba en el botón de continuar. A continuación, aparecía la pantalla de presentación del producto en un contexto durante 3000 ms. Transcurrido el tiempo de presentación, desaparecía esta información y en su lugar aparecía la escala en el que se le indicaba en un escrito “Haz </w:t>
      </w:r>
      <w:proofErr w:type="spellStart"/>
      <w:r w:rsidRPr="4A490D7B">
        <w:rPr>
          <w:lang w:val="es-AR"/>
        </w:rPr>
        <w:t>click</w:t>
      </w:r>
      <w:proofErr w:type="spellEnd"/>
      <w:r w:rsidRPr="4A490D7B">
        <w:rPr>
          <w:lang w:val="es-AR"/>
        </w:rPr>
        <w:t xml:space="preserve"> con el ratón sobre la escala para indicar la probabilidad de que el cliente compre el producto”</w:t>
      </w:r>
      <w:r w:rsidRPr="4A490D7B">
        <w:rPr>
          <w:i/>
          <w:iCs/>
          <w:lang w:val="es-AR"/>
        </w:rPr>
        <w:t xml:space="preserve">. </w:t>
      </w:r>
      <w:r w:rsidRPr="4A490D7B">
        <w:rPr>
          <w:lang w:val="es-AR"/>
        </w:rPr>
        <w:t>Debajo de esta frase aparecía una escala de 0 a 100, compuesta por 21 botones de color verde. Cada botón contenía un número de la escala a intervalos de 5 puntos. En la parte superior de la escala, y de manera equidistante, aparecían cuatro etiquetas:</w:t>
      </w:r>
      <w:r w:rsidRPr="4A490D7B">
        <w:rPr>
          <w:i/>
          <w:iCs/>
          <w:lang w:val="es-AR"/>
        </w:rPr>
        <w:t xml:space="preserve"> nada, poco, bastante, </w:t>
      </w:r>
      <w:r w:rsidRPr="4A490D7B">
        <w:rPr>
          <w:lang w:val="es-AR"/>
        </w:rPr>
        <w:t xml:space="preserve">y </w:t>
      </w:r>
      <w:r w:rsidRPr="4A490D7B">
        <w:rPr>
          <w:i/>
          <w:iCs/>
          <w:lang w:val="es-AR"/>
        </w:rPr>
        <w:t xml:space="preserve">mucho, </w:t>
      </w:r>
      <w:r w:rsidRPr="4A490D7B">
        <w:rPr>
          <w:lang w:val="es-AR"/>
        </w:rPr>
        <w:t xml:space="preserve">escritas en color negro. La escala </w:t>
      </w:r>
      <w:r w:rsidRPr="4A490D7B">
        <w:rPr>
          <w:lang w:val="es-AR"/>
        </w:rPr>
        <w:lastRenderedPageBreak/>
        <w:t>correspondió a la adaptación de la utilizada por A</w:t>
      </w:r>
      <w:r w:rsidR="001A4186">
        <w:rPr>
          <w:lang w:val="es-AR"/>
        </w:rPr>
        <w:t>utor</w:t>
      </w:r>
      <w:r w:rsidRPr="4A490D7B">
        <w:rPr>
          <w:lang w:val="es-AR"/>
        </w:rPr>
        <w:t>, et al. (2017); A</w:t>
      </w:r>
      <w:r w:rsidR="00FC53EE">
        <w:rPr>
          <w:lang w:val="es-AR"/>
        </w:rPr>
        <w:t>utor</w:t>
      </w:r>
      <w:r w:rsidRPr="4A490D7B">
        <w:rPr>
          <w:lang w:val="es-AR"/>
        </w:rPr>
        <w:t xml:space="preserve"> et al. (2021); Balea et al. (2020); León et al. (2011) y Ogallar et al. (2019). Una vez el participante respondía, aparecía el </w:t>
      </w:r>
      <w:proofErr w:type="spellStart"/>
      <w:r w:rsidRPr="4A490D7B">
        <w:rPr>
          <w:i/>
          <w:iCs/>
          <w:lang w:val="es-AR"/>
        </w:rPr>
        <w:t>feedback</w:t>
      </w:r>
      <w:proofErr w:type="spellEnd"/>
      <w:r w:rsidRPr="4A490D7B">
        <w:rPr>
          <w:lang w:val="es-AR"/>
        </w:rPr>
        <w:t xml:space="preserve"> o tipo de descuento con una duración de 3000 ms.</w:t>
      </w:r>
    </w:p>
    <w:p w14:paraId="7F1F03A6" w14:textId="3854E991" w:rsidR="005B24FF" w:rsidRDefault="005B24FF" w:rsidP="00E33C5F">
      <w:pPr>
        <w:pStyle w:val="SubtituloInterno"/>
        <w:spacing w:before="240" w:beforeAutospacing="0"/>
        <w:rPr>
          <w:lang w:val="es-CO"/>
        </w:rPr>
      </w:pPr>
      <w:r w:rsidRPr="001D4637">
        <w:rPr>
          <w:lang w:val="es-CO"/>
        </w:rPr>
        <w:t>Procedimiento</w:t>
      </w:r>
    </w:p>
    <w:p w14:paraId="6828960F" w14:textId="77777777" w:rsidR="00F67AB8" w:rsidRDefault="001E088A" w:rsidP="00F67AB8">
      <w:pPr>
        <w:pStyle w:val="Prrafocomn"/>
        <w:jc w:val="left"/>
        <w:rPr>
          <w:lang w:val="es-AR"/>
        </w:rPr>
      </w:pPr>
      <w:r w:rsidRPr="00166318">
        <w:rPr>
          <w:lang w:val="es-AR"/>
        </w:rPr>
        <w:t xml:space="preserve">Una vez que los participantes llegaban al laboratorio, hacían la lectura y firma del consentimiento informado. Después, cada participante </w:t>
      </w:r>
      <w:r w:rsidR="009A33C7" w:rsidRPr="00166318">
        <w:rPr>
          <w:lang w:val="es-AR"/>
        </w:rPr>
        <w:t>fue</w:t>
      </w:r>
      <w:r w:rsidRPr="00166318">
        <w:rPr>
          <w:lang w:val="es-AR"/>
        </w:rPr>
        <w:t xml:space="preserve"> conducido a la sala experimental individual para ubicarlo frente a la pantalla.</w:t>
      </w:r>
    </w:p>
    <w:p w14:paraId="36AA58D5" w14:textId="77777777" w:rsidR="002C6DD4" w:rsidRDefault="002C6DD4" w:rsidP="002C6DD4">
      <w:pPr>
        <w:pStyle w:val="Prrafocomn"/>
        <w:ind w:firstLine="0"/>
        <w:jc w:val="left"/>
        <w:rPr>
          <w:i/>
          <w:iCs/>
          <w:lang w:val="es-AR"/>
        </w:rPr>
      </w:pPr>
    </w:p>
    <w:p w14:paraId="56D892AC" w14:textId="4D7FB0B1" w:rsidR="002C6DD4" w:rsidRDefault="00F67AB8" w:rsidP="002C6DD4">
      <w:pPr>
        <w:pStyle w:val="Prrafocomn"/>
        <w:ind w:firstLine="0"/>
        <w:jc w:val="left"/>
        <w:rPr>
          <w:i/>
          <w:iCs/>
          <w:lang w:val="es-AR"/>
        </w:rPr>
      </w:pPr>
      <w:r w:rsidRPr="00F67AB8">
        <w:rPr>
          <w:i/>
          <w:iCs/>
          <w:lang w:val="es-AR"/>
        </w:rPr>
        <w:t>Instrucciones</w:t>
      </w:r>
    </w:p>
    <w:p w14:paraId="4EC85E77" w14:textId="408559F3" w:rsidR="00F33B66" w:rsidRPr="00166318" w:rsidRDefault="00F67AB8" w:rsidP="008531D8">
      <w:pPr>
        <w:pStyle w:val="Prrafocomn"/>
        <w:jc w:val="left"/>
        <w:rPr>
          <w:lang w:val="es-AR"/>
        </w:rPr>
      </w:pPr>
      <w:r>
        <w:rPr>
          <w:lang w:val="es-AR"/>
        </w:rPr>
        <w:t>S</w:t>
      </w:r>
      <w:r w:rsidR="001E088A" w:rsidRPr="00166318">
        <w:rPr>
          <w:lang w:val="es-AR"/>
        </w:rPr>
        <w:t>e le p</w:t>
      </w:r>
      <w:r w:rsidR="009A33C7" w:rsidRPr="00166318">
        <w:rPr>
          <w:lang w:val="es-AR"/>
        </w:rPr>
        <w:t>idió</w:t>
      </w:r>
      <w:r w:rsidR="001E088A" w:rsidRPr="00166318">
        <w:rPr>
          <w:lang w:val="es-AR"/>
        </w:rPr>
        <w:t xml:space="preserve"> </w:t>
      </w:r>
      <w:r>
        <w:rPr>
          <w:lang w:val="es-AR"/>
        </w:rPr>
        <w:t xml:space="preserve">al participante </w:t>
      </w:r>
      <w:r w:rsidR="001E088A" w:rsidRPr="00166318">
        <w:rPr>
          <w:lang w:val="es-AR"/>
        </w:rPr>
        <w:t>que leyera las instrucciones que aparec</w:t>
      </w:r>
      <w:r w:rsidR="009A33C7" w:rsidRPr="00166318">
        <w:rPr>
          <w:lang w:val="es-AR"/>
        </w:rPr>
        <w:t>ían</w:t>
      </w:r>
      <w:r w:rsidR="001E088A" w:rsidRPr="00166318">
        <w:rPr>
          <w:lang w:val="es-AR"/>
        </w:rPr>
        <w:t xml:space="preserve"> en la pantalla del ordenador. Para pasar de una pantalla a la siguiente se dispuso en la parte inferior de la pantalla un botón con la etiqueta </w:t>
      </w:r>
      <w:r w:rsidR="001E088A" w:rsidRPr="00166318">
        <w:rPr>
          <w:i/>
          <w:iCs/>
          <w:lang w:val="es-AR"/>
        </w:rPr>
        <w:t>continuar</w:t>
      </w:r>
      <w:r w:rsidR="001E088A" w:rsidRPr="00166318">
        <w:rPr>
          <w:lang w:val="es-AR"/>
        </w:rPr>
        <w:t xml:space="preserve">. </w:t>
      </w:r>
      <w:r w:rsidR="009A33C7" w:rsidRPr="00166318">
        <w:rPr>
          <w:lang w:val="es-AR"/>
        </w:rPr>
        <w:t>El</w:t>
      </w:r>
      <w:r w:rsidR="001E088A" w:rsidRPr="00166318">
        <w:rPr>
          <w:lang w:val="es-AR"/>
        </w:rPr>
        <w:t xml:space="preserve"> participante debía hacer </w:t>
      </w:r>
      <w:proofErr w:type="spellStart"/>
      <w:r w:rsidR="001E088A" w:rsidRPr="00166318">
        <w:rPr>
          <w:lang w:val="es-AR"/>
        </w:rPr>
        <w:t>click</w:t>
      </w:r>
      <w:proofErr w:type="spellEnd"/>
      <w:r w:rsidR="001E088A" w:rsidRPr="00166318">
        <w:rPr>
          <w:lang w:val="es-AR"/>
        </w:rPr>
        <w:t xml:space="preserve"> sobre ese botón para pasar a la siguiente pantalla. </w:t>
      </w:r>
      <w:r w:rsidR="00F33B66" w:rsidRPr="00166318">
        <w:rPr>
          <w:lang w:val="es-AR"/>
        </w:rPr>
        <w:t xml:space="preserve">Dentro de las instrucciones se le indicó al participante que su tarea consistía en ayudar a identificar qué tan probable era que un cliente (ficticio) comprara un producto al visualizarlo en una tienda específica y asociado a un descuento; por esta razón, la primera pantalla de cada ensayo mostraba un nombre aleatorizado de un cliente. </w:t>
      </w:r>
    </w:p>
    <w:p w14:paraId="45648B8F" w14:textId="77777777" w:rsidR="002C6DD4" w:rsidRDefault="002C6DD4" w:rsidP="002C6DD4">
      <w:pPr>
        <w:pStyle w:val="Prrafocomn"/>
        <w:ind w:firstLine="0"/>
        <w:jc w:val="left"/>
        <w:rPr>
          <w:i/>
          <w:iCs/>
          <w:lang w:val="es-AR"/>
        </w:rPr>
      </w:pPr>
    </w:p>
    <w:p w14:paraId="3EFFCEE4" w14:textId="3DBE3784" w:rsidR="002C6DD4" w:rsidRDefault="00F67AB8" w:rsidP="002C6DD4">
      <w:pPr>
        <w:pStyle w:val="Prrafocomn"/>
        <w:ind w:firstLine="0"/>
        <w:jc w:val="left"/>
        <w:rPr>
          <w:i/>
          <w:iCs/>
          <w:lang w:val="es-AR"/>
        </w:rPr>
      </w:pPr>
      <w:r w:rsidRPr="00F67AB8">
        <w:rPr>
          <w:i/>
          <w:iCs/>
          <w:lang w:val="es-AR"/>
        </w:rPr>
        <w:t>Entrenamiento</w:t>
      </w:r>
    </w:p>
    <w:p w14:paraId="3CF0A9AE" w14:textId="325D43D3" w:rsidR="001E088A" w:rsidRDefault="00F67AB8" w:rsidP="008531D8">
      <w:pPr>
        <w:pStyle w:val="Prrafocomn"/>
        <w:jc w:val="left"/>
        <w:rPr>
          <w:lang w:val="es-AR"/>
        </w:rPr>
      </w:pPr>
      <w:r>
        <w:rPr>
          <w:lang w:val="es-AR"/>
        </w:rPr>
        <w:t>E</w:t>
      </w:r>
      <w:r w:rsidR="009A33C7" w:rsidRPr="00166318">
        <w:rPr>
          <w:lang w:val="es-AR"/>
        </w:rPr>
        <w:t>l</w:t>
      </w:r>
      <w:r w:rsidR="001E088A" w:rsidRPr="00166318">
        <w:rPr>
          <w:lang w:val="es-AR"/>
        </w:rPr>
        <w:t xml:space="preserve"> participante inici</w:t>
      </w:r>
      <w:r w:rsidR="009A33C7" w:rsidRPr="00166318">
        <w:rPr>
          <w:lang w:val="es-AR"/>
        </w:rPr>
        <w:t>ó</w:t>
      </w:r>
      <w:r w:rsidR="001E088A" w:rsidRPr="00166318">
        <w:rPr>
          <w:lang w:val="es-AR"/>
        </w:rPr>
        <w:t xml:space="preserve"> la tarea experimental en dos fases; la primera, de entrenamiento, incluía la presentación de un ejemplo de la secuencia que se presentaría, pero con contextos y productos diferentes a los establecidos para el experimento. El objetivo era que el participante se familiarizara con la secuencia de imágenes y los momentos en los que debía registrar su respuesta de predicción de compra. Posteriormente, se present</w:t>
      </w:r>
      <w:r w:rsidR="009A33C7" w:rsidRPr="00166318">
        <w:rPr>
          <w:lang w:val="es-AR"/>
        </w:rPr>
        <w:t>ó</w:t>
      </w:r>
      <w:r w:rsidR="001E088A" w:rsidRPr="00166318">
        <w:rPr>
          <w:lang w:val="es-AR"/>
        </w:rPr>
        <w:t xml:space="preserve"> la secuencia de ensayos en donde el participante obser</w:t>
      </w:r>
      <w:r w:rsidR="009A33C7" w:rsidRPr="00166318">
        <w:rPr>
          <w:lang w:val="es-AR"/>
        </w:rPr>
        <w:t>vó</w:t>
      </w:r>
      <w:r w:rsidR="001E088A" w:rsidRPr="00166318">
        <w:rPr>
          <w:lang w:val="es-AR"/>
        </w:rPr>
        <w:t xml:space="preserve"> 12 veces aleatorizadas cada producto en una tienda específica. Los 12 ensayos fueron divididos en 3 bloques de 4 ensayos contrabalanceados entre participantes, de tal manera que la mitad de los participantes recibieron entrenamiento tipo ABBAAB y la otra mitad BAABBA. En cada ensayo se asoci</w:t>
      </w:r>
      <w:r w:rsidR="00A530CA" w:rsidRPr="00166318">
        <w:rPr>
          <w:lang w:val="es-AR"/>
        </w:rPr>
        <w:t>ó</w:t>
      </w:r>
      <w:r w:rsidR="001E088A" w:rsidRPr="00166318">
        <w:rPr>
          <w:lang w:val="es-AR"/>
        </w:rPr>
        <w:t xml:space="preserve"> el descuento correspondiente al producto, de acuerdo con el diseño experimental (Tabla 1). Un ejemplo de la secuencia del entrenamiento se puede observar en la </w:t>
      </w:r>
      <w:r w:rsidR="00F93C86" w:rsidRPr="00166318">
        <w:rPr>
          <w:lang w:val="es-AR"/>
        </w:rPr>
        <w:t>F</w:t>
      </w:r>
      <w:r w:rsidR="001E088A" w:rsidRPr="00166318">
        <w:rPr>
          <w:lang w:val="es-AR"/>
        </w:rPr>
        <w:t>igura 1.</w:t>
      </w:r>
    </w:p>
    <w:p w14:paraId="336A7854" w14:textId="77777777" w:rsidR="002C6DD4" w:rsidRDefault="002C6DD4" w:rsidP="002C6DD4">
      <w:pPr>
        <w:pStyle w:val="Prrafocomn"/>
        <w:ind w:firstLine="0"/>
        <w:jc w:val="left"/>
        <w:rPr>
          <w:i/>
          <w:iCs/>
          <w:lang w:val="es-AR"/>
        </w:rPr>
      </w:pPr>
    </w:p>
    <w:p w14:paraId="54EC7EB5" w14:textId="0FC5D434" w:rsidR="002C6DD4" w:rsidRDefault="00F67AB8" w:rsidP="002C6DD4">
      <w:pPr>
        <w:pStyle w:val="Prrafocomn"/>
        <w:ind w:firstLine="0"/>
        <w:jc w:val="left"/>
        <w:rPr>
          <w:i/>
          <w:iCs/>
          <w:lang w:val="es-AR"/>
        </w:rPr>
      </w:pPr>
      <w:r w:rsidRPr="00F67AB8">
        <w:rPr>
          <w:i/>
          <w:iCs/>
          <w:lang w:val="es-AR"/>
        </w:rPr>
        <w:t>Prueba</w:t>
      </w:r>
    </w:p>
    <w:p w14:paraId="67CC76D4" w14:textId="1463D4EF" w:rsidR="00706047" w:rsidRPr="00166318" w:rsidRDefault="00706047" w:rsidP="008531D8">
      <w:pPr>
        <w:pStyle w:val="Prrafocomn"/>
        <w:jc w:val="left"/>
        <w:rPr>
          <w:lang w:val="es-AR"/>
        </w:rPr>
      </w:pPr>
      <w:r w:rsidRPr="00166318">
        <w:rPr>
          <w:lang w:val="es-AR"/>
        </w:rPr>
        <w:t xml:space="preserve">En la segunda fase, de prueba, se presentaron los productos objetivo bajo la misma secuencia del entrenamiento, pero sin brindar la información sobre el descuento asociado al </w:t>
      </w:r>
      <w:r w:rsidRPr="00166318">
        <w:rPr>
          <w:lang w:val="es-AR"/>
        </w:rPr>
        <w:lastRenderedPageBreak/>
        <w:t xml:space="preserve">producto en cada ensayo. Se presentaron los productos objetivo (X, Y </w:t>
      </w:r>
      <w:proofErr w:type="spellStart"/>
      <w:r w:rsidRPr="00166318">
        <w:rPr>
          <w:lang w:val="es-AR"/>
        </w:rPr>
        <w:t>y</w:t>
      </w:r>
      <w:proofErr w:type="spellEnd"/>
      <w:r w:rsidRPr="00166318">
        <w:rPr>
          <w:lang w:val="es-AR"/>
        </w:rPr>
        <w:t xml:space="preserve"> Z) en el mismo contexto en el que se entrenó la asociación (contexto de aprendizaje) y en otro contexto que resultaba familiar (contexto diferente).</w:t>
      </w:r>
    </w:p>
    <w:p w14:paraId="0604D5FB" w14:textId="27CCD881" w:rsidR="007704BE" w:rsidRDefault="007704BE" w:rsidP="007704BE">
      <w:pPr>
        <w:pStyle w:val="Prrafocomn"/>
        <w:jc w:val="left"/>
        <w:rPr>
          <w:lang w:val="es-AR"/>
        </w:rPr>
      </w:pPr>
      <w:r w:rsidRPr="00166318">
        <w:rPr>
          <w:lang w:val="es-AR"/>
        </w:rPr>
        <w:t>Finalmente, se agradeció por la participación y se entregó el incentivo económico acordado. Este procedimiento se aplicó de la misma manera a todos los participantes, teniendo una duración promedio de 20 minutos.</w:t>
      </w:r>
    </w:p>
    <w:p w14:paraId="789A892D" w14:textId="77777777" w:rsidR="00E33C5F" w:rsidRDefault="00E33C5F" w:rsidP="007704BE">
      <w:pPr>
        <w:pStyle w:val="Prrafocomn"/>
        <w:jc w:val="left"/>
        <w:rPr>
          <w:lang w:val="es-AR"/>
        </w:rPr>
      </w:pPr>
    </w:p>
    <w:p w14:paraId="6082072B" w14:textId="6A8A9BE7" w:rsidR="003C6EAE" w:rsidRPr="00EF3AAD" w:rsidRDefault="00EF3AAD" w:rsidP="00EF3AAD">
      <w:pPr>
        <w:pStyle w:val="Prrafocomn"/>
        <w:ind w:firstLine="0"/>
        <w:jc w:val="left"/>
        <w:rPr>
          <w:b/>
          <w:bCs/>
          <w:lang w:val="es-AR"/>
        </w:rPr>
      </w:pPr>
      <w:r w:rsidRPr="00EF3AAD">
        <w:rPr>
          <w:b/>
          <w:bCs/>
          <w:lang w:val="es-AR"/>
        </w:rPr>
        <w:t>Figura 1</w:t>
      </w:r>
    </w:p>
    <w:p w14:paraId="7C6C41A5" w14:textId="12FC369B" w:rsidR="00EF3AAD" w:rsidRPr="00C02194" w:rsidRDefault="00EF3AAD" w:rsidP="00EF3AAD">
      <w:pPr>
        <w:pStyle w:val="Prrafocomn"/>
        <w:ind w:firstLine="0"/>
        <w:jc w:val="left"/>
        <w:rPr>
          <w:i/>
          <w:iCs/>
          <w:lang w:val="es-AR"/>
        </w:rPr>
      </w:pPr>
      <w:r w:rsidRPr="00C02194">
        <w:rPr>
          <w:i/>
          <w:iCs/>
          <w:lang w:val="es-AR"/>
        </w:rPr>
        <w:t>Ejemplo de una Secuencia de Ensayo en la Fase de Entrenamiento</w:t>
      </w:r>
    </w:p>
    <w:p w14:paraId="5DC3F18B" w14:textId="41164168" w:rsidR="003B5AFE" w:rsidRPr="00166318" w:rsidRDefault="003B5AFE" w:rsidP="003B5AFE">
      <w:pPr>
        <w:pStyle w:val="Prrafocomn"/>
        <w:ind w:firstLine="0"/>
        <w:jc w:val="left"/>
        <w:rPr>
          <w:lang w:val="es-AR"/>
        </w:rPr>
      </w:pPr>
    </w:p>
    <w:p w14:paraId="0DD7F971" w14:textId="3CB1B0C7" w:rsidR="003B5AFE" w:rsidRPr="00166318" w:rsidRDefault="001D36AF" w:rsidP="003B5AFE">
      <w:pPr>
        <w:pStyle w:val="Prrafocomn"/>
        <w:ind w:firstLine="0"/>
        <w:jc w:val="center"/>
        <w:rPr>
          <w:lang w:val="es-AR"/>
        </w:rPr>
      </w:pPr>
      <w:r>
        <w:rPr>
          <w:noProof/>
        </w:rPr>
        <w:drawing>
          <wp:inline distT="0" distB="0" distL="0" distR="0" wp14:anchorId="36F11954" wp14:editId="7C10B84B">
            <wp:extent cx="5009009" cy="31432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026777" cy="3154400"/>
                    </a:xfrm>
                    <a:prstGeom prst="rect">
                      <a:avLst/>
                    </a:prstGeom>
                  </pic:spPr>
                </pic:pic>
              </a:graphicData>
            </a:graphic>
          </wp:inline>
        </w:drawing>
      </w:r>
    </w:p>
    <w:p w14:paraId="3F3D1808" w14:textId="77777777" w:rsidR="001D36AF" w:rsidRDefault="001D36AF" w:rsidP="00E00C41">
      <w:pPr>
        <w:spacing w:line="360" w:lineRule="auto"/>
        <w:contextualSpacing/>
        <w:rPr>
          <w:i/>
          <w:iCs/>
          <w:sz w:val="20"/>
          <w:szCs w:val="20"/>
          <w:lang w:val="es-AR"/>
        </w:rPr>
      </w:pPr>
    </w:p>
    <w:p w14:paraId="48556B77" w14:textId="49475321" w:rsidR="00E12D0D" w:rsidRDefault="003B5AFE" w:rsidP="00E00C41">
      <w:pPr>
        <w:spacing w:line="360" w:lineRule="auto"/>
        <w:contextualSpacing/>
        <w:rPr>
          <w:sz w:val="20"/>
          <w:szCs w:val="20"/>
          <w:lang w:val="es-AR"/>
        </w:rPr>
      </w:pPr>
      <w:r w:rsidRPr="008F3ED7">
        <w:rPr>
          <w:i/>
          <w:iCs/>
          <w:sz w:val="20"/>
          <w:szCs w:val="20"/>
          <w:lang w:val="es-AR"/>
        </w:rPr>
        <w:t>Nota</w:t>
      </w:r>
      <w:r w:rsidR="00C02194" w:rsidRPr="008F3ED7">
        <w:rPr>
          <w:i/>
          <w:iCs/>
          <w:sz w:val="20"/>
          <w:szCs w:val="20"/>
          <w:lang w:val="es-AR"/>
        </w:rPr>
        <w:t>.</w:t>
      </w:r>
      <w:r w:rsidRPr="008F3ED7">
        <w:rPr>
          <w:i/>
          <w:iCs/>
          <w:sz w:val="20"/>
          <w:szCs w:val="20"/>
          <w:lang w:val="es-AR"/>
        </w:rPr>
        <w:t xml:space="preserve"> </w:t>
      </w:r>
      <w:r w:rsidR="00BE01EE" w:rsidRPr="008F3ED7">
        <w:rPr>
          <w:sz w:val="20"/>
          <w:szCs w:val="20"/>
          <w:lang w:val="es-AR"/>
        </w:rPr>
        <w:t>Cada ensayo del entrenamiento incluyó la presentación de 4 pantallas</w:t>
      </w:r>
      <w:r w:rsidR="007803C0" w:rsidRPr="008F3ED7">
        <w:rPr>
          <w:sz w:val="20"/>
          <w:szCs w:val="20"/>
          <w:lang w:val="es-AR"/>
        </w:rPr>
        <w:t>: nombre de un cliente</w:t>
      </w:r>
      <w:r w:rsidR="00D3169E">
        <w:rPr>
          <w:sz w:val="20"/>
          <w:szCs w:val="20"/>
          <w:lang w:val="es-AR"/>
        </w:rPr>
        <w:t xml:space="preserve"> (1)</w:t>
      </w:r>
      <w:r w:rsidR="007803C0" w:rsidRPr="008F3ED7">
        <w:rPr>
          <w:sz w:val="20"/>
          <w:szCs w:val="20"/>
          <w:lang w:val="es-AR"/>
        </w:rPr>
        <w:t>, producto en el contexto</w:t>
      </w:r>
      <w:r w:rsidR="00D3169E">
        <w:rPr>
          <w:sz w:val="20"/>
          <w:szCs w:val="20"/>
          <w:lang w:val="es-AR"/>
        </w:rPr>
        <w:t xml:space="preserve"> (2)</w:t>
      </w:r>
      <w:r w:rsidR="007803C0" w:rsidRPr="008F3ED7">
        <w:rPr>
          <w:sz w:val="20"/>
          <w:szCs w:val="20"/>
          <w:lang w:val="es-AR"/>
        </w:rPr>
        <w:t>, escala de probabilidad de compra</w:t>
      </w:r>
      <w:r w:rsidR="00D3169E">
        <w:rPr>
          <w:sz w:val="20"/>
          <w:szCs w:val="20"/>
          <w:lang w:val="es-AR"/>
        </w:rPr>
        <w:t xml:space="preserve"> (3)</w:t>
      </w:r>
      <w:r w:rsidR="007803C0" w:rsidRPr="008F3ED7">
        <w:rPr>
          <w:sz w:val="20"/>
          <w:szCs w:val="20"/>
          <w:lang w:val="es-AR"/>
        </w:rPr>
        <w:t xml:space="preserve"> y el porcentaje de descuento</w:t>
      </w:r>
      <w:r w:rsidR="00D3169E">
        <w:rPr>
          <w:sz w:val="20"/>
          <w:szCs w:val="20"/>
          <w:lang w:val="es-AR"/>
        </w:rPr>
        <w:t xml:space="preserve"> (4)</w:t>
      </w:r>
      <w:r w:rsidR="00BE01EE" w:rsidRPr="008F3ED7">
        <w:rPr>
          <w:sz w:val="20"/>
          <w:szCs w:val="20"/>
          <w:lang w:val="es-AR"/>
        </w:rPr>
        <w:t>. Para la fase de prueba, se excluyó la última pantalla</w:t>
      </w:r>
      <w:r w:rsidR="00E109F3">
        <w:rPr>
          <w:sz w:val="20"/>
          <w:szCs w:val="20"/>
          <w:lang w:val="es-AR"/>
        </w:rPr>
        <w:t xml:space="preserve"> (4) </w:t>
      </w:r>
      <w:r w:rsidR="00BE01EE" w:rsidRPr="008F3ED7">
        <w:rPr>
          <w:sz w:val="20"/>
          <w:szCs w:val="20"/>
          <w:lang w:val="es-AR"/>
        </w:rPr>
        <w:t>que contenía la información sobre el descuento.</w:t>
      </w:r>
      <w:r w:rsidR="003706D6" w:rsidRPr="008F3ED7">
        <w:rPr>
          <w:sz w:val="20"/>
          <w:szCs w:val="20"/>
          <w:lang w:val="es-AR"/>
        </w:rPr>
        <w:t xml:space="preserve"> Debajo de cada pantalla se indica la duración de presentación al participante.</w:t>
      </w:r>
      <w:r w:rsidR="00E00C41">
        <w:rPr>
          <w:sz w:val="20"/>
          <w:szCs w:val="20"/>
          <w:lang w:val="es-AR"/>
        </w:rPr>
        <w:t xml:space="preserve"> El contexto </w:t>
      </w:r>
      <w:r w:rsidR="00D3169E">
        <w:rPr>
          <w:sz w:val="20"/>
          <w:szCs w:val="20"/>
          <w:lang w:val="es-AR"/>
        </w:rPr>
        <w:t xml:space="preserve">presentado </w:t>
      </w:r>
      <w:r w:rsidR="00E00C41">
        <w:rPr>
          <w:sz w:val="20"/>
          <w:szCs w:val="20"/>
          <w:lang w:val="es-AR"/>
        </w:rPr>
        <w:t xml:space="preserve">en la pantalla 2 </w:t>
      </w:r>
      <w:r w:rsidR="00D3169E">
        <w:rPr>
          <w:sz w:val="20"/>
          <w:szCs w:val="20"/>
          <w:lang w:val="es-AR"/>
        </w:rPr>
        <w:t xml:space="preserve">de esta figura </w:t>
      </w:r>
      <w:r w:rsidR="00E00C41">
        <w:rPr>
          <w:sz w:val="20"/>
          <w:szCs w:val="20"/>
          <w:lang w:val="es-AR"/>
        </w:rPr>
        <w:t>es una imagen de referencia (</w:t>
      </w:r>
      <w:hyperlink r:id="rId12" w:history="1">
        <w:r w:rsidR="000550DB" w:rsidRPr="000550DB">
          <w:rPr>
            <w:rStyle w:val="Hipervnculo"/>
            <w:color w:val="auto"/>
            <w:sz w:val="20"/>
            <w:szCs w:val="20"/>
            <w:lang w:val="es-AR"/>
          </w:rPr>
          <w:t>https://es.m.wikipedia.org/wiki/Archivo:Casa_santiveri_tienda.jpg</w:t>
        </w:r>
      </w:hyperlink>
      <w:r w:rsidR="00E00C41">
        <w:rPr>
          <w:sz w:val="20"/>
          <w:szCs w:val="20"/>
          <w:lang w:val="es-AR"/>
        </w:rPr>
        <w:t>).</w:t>
      </w:r>
    </w:p>
    <w:p w14:paraId="0F4ED851" w14:textId="512B67DE" w:rsidR="007C3C14" w:rsidRPr="001D4637" w:rsidRDefault="005B24FF" w:rsidP="000A2954">
      <w:pPr>
        <w:pStyle w:val="SubtituloInterno"/>
        <w:rPr>
          <w:lang w:val="es-CO"/>
        </w:rPr>
      </w:pPr>
      <w:r w:rsidRPr="001D4637">
        <w:rPr>
          <w:lang w:val="es-CO"/>
        </w:rPr>
        <w:t>Análisis de datos</w:t>
      </w:r>
    </w:p>
    <w:p w14:paraId="58A62A19" w14:textId="14F2B5B1" w:rsidR="0019274B" w:rsidRPr="00166318" w:rsidRDefault="0019274B" w:rsidP="00D804EE">
      <w:pPr>
        <w:pStyle w:val="Prrafocomn"/>
        <w:jc w:val="left"/>
        <w:rPr>
          <w:lang w:val="es-AR"/>
        </w:rPr>
      </w:pPr>
      <w:r w:rsidRPr="00166318">
        <w:rPr>
          <w:lang w:val="es-AR"/>
        </w:rPr>
        <w:t>Se realiz</w:t>
      </w:r>
      <w:r w:rsidR="00AE6D6C" w:rsidRPr="00166318">
        <w:rPr>
          <w:lang w:val="es-AR"/>
        </w:rPr>
        <w:t>ó</w:t>
      </w:r>
      <w:r w:rsidRPr="00166318">
        <w:rPr>
          <w:lang w:val="es-AR"/>
        </w:rPr>
        <w:t xml:space="preserve"> análisis de varianza (ANOVA) de medidas repetidas con nivel de significancia de 0.05</w:t>
      </w:r>
      <w:r w:rsidR="00EC6E6D" w:rsidRPr="00166318">
        <w:rPr>
          <w:lang w:val="es-AR"/>
        </w:rPr>
        <w:t>,</w:t>
      </w:r>
      <w:r w:rsidRPr="00166318">
        <w:rPr>
          <w:lang w:val="es-AR"/>
        </w:rPr>
        <w:t xml:space="preserve"> </w:t>
      </w:r>
      <w:r w:rsidR="000A798E" w:rsidRPr="00166318">
        <w:rPr>
          <w:lang w:val="es-AR"/>
        </w:rPr>
        <w:t>tomando como factores</w:t>
      </w:r>
      <w:r w:rsidR="00EC6E6D" w:rsidRPr="00166318">
        <w:rPr>
          <w:lang w:val="es-AR"/>
        </w:rPr>
        <w:t xml:space="preserve"> l</w:t>
      </w:r>
      <w:r w:rsidR="008918E4" w:rsidRPr="00166318">
        <w:rPr>
          <w:lang w:val="es-AR"/>
        </w:rPr>
        <w:t>os valores</w:t>
      </w:r>
      <w:r w:rsidR="00EC6E6D" w:rsidRPr="00166318">
        <w:rPr>
          <w:lang w:val="es-AR"/>
        </w:rPr>
        <w:t xml:space="preserve"> medi</w:t>
      </w:r>
      <w:r w:rsidR="008918E4" w:rsidRPr="00166318">
        <w:rPr>
          <w:lang w:val="es-AR"/>
        </w:rPr>
        <w:t>os</w:t>
      </w:r>
      <w:r w:rsidR="00EC6E6D" w:rsidRPr="00166318">
        <w:rPr>
          <w:lang w:val="es-AR"/>
        </w:rPr>
        <w:t xml:space="preserve"> de los juicios predictivos de compra </w:t>
      </w:r>
      <w:r w:rsidR="000A798E" w:rsidRPr="00166318">
        <w:rPr>
          <w:lang w:val="es-AR"/>
        </w:rPr>
        <w:t>durante</w:t>
      </w:r>
      <w:r w:rsidR="00EC6E6D" w:rsidRPr="00166318">
        <w:rPr>
          <w:lang w:val="es-AR"/>
        </w:rPr>
        <w:t xml:space="preserve"> los 12 ensayos de la fase de entrenamiento para cada producto objetivo (X, Y </w:t>
      </w:r>
      <w:proofErr w:type="spellStart"/>
      <w:r w:rsidR="00EC6E6D" w:rsidRPr="00166318">
        <w:rPr>
          <w:lang w:val="es-AR"/>
        </w:rPr>
        <w:t>y</w:t>
      </w:r>
      <w:proofErr w:type="spellEnd"/>
      <w:r w:rsidR="00EC6E6D" w:rsidRPr="00166318">
        <w:rPr>
          <w:lang w:val="es-AR"/>
        </w:rPr>
        <w:t xml:space="preserve"> Z). Para la fase de prueba se analizaron l</w:t>
      </w:r>
      <w:r w:rsidR="008918E4" w:rsidRPr="00166318">
        <w:rPr>
          <w:lang w:val="es-AR"/>
        </w:rPr>
        <w:t xml:space="preserve">os valores </w:t>
      </w:r>
      <w:r w:rsidR="00EC6E6D" w:rsidRPr="00166318">
        <w:rPr>
          <w:lang w:val="es-AR"/>
        </w:rPr>
        <w:t>medi</w:t>
      </w:r>
      <w:r w:rsidR="008918E4" w:rsidRPr="00166318">
        <w:rPr>
          <w:lang w:val="es-AR"/>
        </w:rPr>
        <w:t>o</w:t>
      </w:r>
      <w:r w:rsidR="00EC6E6D" w:rsidRPr="00166318">
        <w:rPr>
          <w:lang w:val="es-AR"/>
        </w:rPr>
        <w:t xml:space="preserve">s de los juicios predictivos de compra en los productos objetivo (X, Y </w:t>
      </w:r>
      <w:proofErr w:type="spellStart"/>
      <w:r w:rsidR="00EC6E6D" w:rsidRPr="00166318">
        <w:rPr>
          <w:lang w:val="es-AR"/>
        </w:rPr>
        <w:t>y</w:t>
      </w:r>
      <w:proofErr w:type="spellEnd"/>
      <w:r w:rsidR="00EC6E6D" w:rsidRPr="00166318">
        <w:rPr>
          <w:lang w:val="es-AR"/>
        </w:rPr>
        <w:t xml:space="preserve"> Z) presentados en el contexto en el que fueron </w:t>
      </w:r>
      <w:r w:rsidR="00EC6E6D" w:rsidRPr="00166318">
        <w:rPr>
          <w:lang w:val="es-AR"/>
        </w:rPr>
        <w:lastRenderedPageBreak/>
        <w:t>entrenados (</w:t>
      </w:r>
      <w:r w:rsidR="00AE0C67" w:rsidRPr="00166318">
        <w:rPr>
          <w:lang w:val="es-AR"/>
        </w:rPr>
        <w:t>contexto de aprendizaje</w:t>
      </w:r>
      <w:r w:rsidR="00EC6E6D" w:rsidRPr="00166318">
        <w:rPr>
          <w:lang w:val="es-AR"/>
        </w:rPr>
        <w:t xml:space="preserve">) y en un contexto </w:t>
      </w:r>
      <w:r w:rsidR="00AE0C67" w:rsidRPr="00166318">
        <w:rPr>
          <w:lang w:val="es-AR"/>
        </w:rPr>
        <w:t xml:space="preserve">diferente, aunque familiar </w:t>
      </w:r>
      <w:r w:rsidR="00EC6E6D" w:rsidRPr="00166318">
        <w:rPr>
          <w:lang w:val="es-AR"/>
        </w:rPr>
        <w:t>(</w:t>
      </w:r>
      <w:r w:rsidR="00AE0C67" w:rsidRPr="00166318">
        <w:rPr>
          <w:lang w:val="es-AR"/>
        </w:rPr>
        <w:t xml:space="preserve">contexto </w:t>
      </w:r>
      <w:r w:rsidR="00EC6E6D" w:rsidRPr="00166318">
        <w:rPr>
          <w:lang w:val="es-AR"/>
        </w:rPr>
        <w:t>diferente)</w:t>
      </w:r>
      <w:r w:rsidR="00AE0C67" w:rsidRPr="00166318">
        <w:rPr>
          <w:lang w:val="es-AR"/>
        </w:rPr>
        <w:t>.</w:t>
      </w:r>
      <w:r w:rsidR="002548AA" w:rsidRPr="00166318">
        <w:rPr>
          <w:lang w:val="es-AR"/>
        </w:rPr>
        <w:t xml:space="preserve"> </w:t>
      </w:r>
      <w:r w:rsidRPr="00166318">
        <w:rPr>
          <w:lang w:val="es-AR"/>
        </w:rPr>
        <w:t xml:space="preserve">Para los análisis de datos se utilizó el software </w:t>
      </w:r>
      <w:proofErr w:type="spellStart"/>
      <w:r w:rsidR="008918E4" w:rsidRPr="00166318">
        <w:rPr>
          <w:lang w:val="es-AR"/>
        </w:rPr>
        <w:t>Jamovi</w:t>
      </w:r>
      <w:proofErr w:type="spellEnd"/>
      <w:r w:rsidRPr="00166318">
        <w:rPr>
          <w:lang w:val="es-AR"/>
        </w:rPr>
        <w:t xml:space="preserve"> (</w:t>
      </w:r>
      <w:proofErr w:type="spellStart"/>
      <w:r w:rsidR="008918E4" w:rsidRPr="00166318">
        <w:rPr>
          <w:lang w:val="es-AR"/>
        </w:rPr>
        <w:t>The</w:t>
      </w:r>
      <w:proofErr w:type="spellEnd"/>
      <w:r w:rsidR="008918E4" w:rsidRPr="00166318">
        <w:rPr>
          <w:lang w:val="es-AR"/>
        </w:rPr>
        <w:t xml:space="preserve"> </w:t>
      </w:r>
      <w:proofErr w:type="spellStart"/>
      <w:r w:rsidR="008918E4" w:rsidRPr="00166318">
        <w:rPr>
          <w:lang w:val="es-AR"/>
        </w:rPr>
        <w:t>Jamovi</w:t>
      </w:r>
      <w:proofErr w:type="spellEnd"/>
      <w:r w:rsidR="008918E4" w:rsidRPr="00166318">
        <w:rPr>
          <w:lang w:val="es-AR"/>
        </w:rPr>
        <w:t xml:space="preserve"> Project, 2021</w:t>
      </w:r>
      <w:r w:rsidRPr="00166318">
        <w:rPr>
          <w:lang w:val="es-AR"/>
        </w:rPr>
        <w:t>).</w:t>
      </w:r>
    </w:p>
    <w:p w14:paraId="4E1AE28B" w14:textId="4539C18A" w:rsidR="005B24FF" w:rsidRPr="001D4637" w:rsidRDefault="005B24FF" w:rsidP="000A2954">
      <w:pPr>
        <w:pStyle w:val="SubtituloInterno"/>
        <w:rPr>
          <w:lang w:val="es-CO"/>
        </w:rPr>
      </w:pPr>
      <w:r w:rsidRPr="001D4637">
        <w:rPr>
          <w:lang w:val="es-CO"/>
        </w:rPr>
        <w:t>Consideraciones éticas</w:t>
      </w:r>
    </w:p>
    <w:p w14:paraId="098AF513" w14:textId="5F0FD847" w:rsidR="00626919" w:rsidRPr="00166318" w:rsidRDefault="0015602A" w:rsidP="00E61C85">
      <w:pPr>
        <w:spacing w:line="360" w:lineRule="auto"/>
        <w:ind w:firstLine="720"/>
      </w:pPr>
      <w:r w:rsidRPr="00166318">
        <w:t xml:space="preserve">El proceso investigativo y la participación de las personas en el experimento </w:t>
      </w:r>
      <w:r w:rsidR="00626919" w:rsidRPr="00166318">
        <w:t xml:space="preserve">contó con el aval del Comité de Ética de la </w:t>
      </w:r>
      <w:r w:rsidR="00FC53EE">
        <w:t>Institución de Educación Superior correspondiente</w:t>
      </w:r>
      <w:r w:rsidR="00626919" w:rsidRPr="00166318">
        <w:t xml:space="preserve">. Adicionalmente, estuvo </w:t>
      </w:r>
      <w:r w:rsidRPr="00166318">
        <w:t>delimitado por los principios de respeto y dignidad de acuerdo con lo establecido en la Ley 1090 de 2006</w:t>
      </w:r>
      <w:r w:rsidR="00BD5635" w:rsidRPr="00166318">
        <w:t>, por la cual se reglamenta el ejercicio de la profesión de Psicología en Colombia, se dicta el Código Deontológico y Bioético y otras disposiciones</w:t>
      </w:r>
      <w:r w:rsidRPr="00166318">
        <w:t>. Se hizo uso adecuado de las instalaciones donde se llevó a cabo el experimento, se presentó a cada participante el consentimiento informado y su participación fue completamente voluntaria. Sólo participaron personas mayores de edad (18 años en adelante) y se le</w:t>
      </w:r>
      <w:r w:rsidR="00626919" w:rsidRPr="00166318">
        <w:t>s</w:t>
      </w:r>
      <w:r w:rsidRPr="00166318">
        <w:t xml:space="preserve"> suministró toda la información relacionada con la tarea a realizar durante la sesión experimental. Los participantes tuvieron la libertad de retirar su consentimiento de participación en cualquier momento durante la sesión sin ningún tipo de consecuencia negativa para ellos.</w:t>
      </w:r>
      <w:r w:rsidR="00626919" w:rsidRPr="00166318">
        <w:t xml:space="preserve"> </w:t>
      </w:r>
    </w:p>
    <w:p w14:paraId="50E18481" w14:textId="6A7BA532" w:rsidR="00237250" w:rsidRPr="00166318" w:rsidRDefault="00626919" w:rsidP="00E61C85">
      <w:pPr>
        <w:spacing w:line="360" w:lineRule="auto"/>
        <w:ind w:firstLine="720"/>
      </w:pPr>
      <w:r w:rsidRPr="00166318">
        <w:t xml:space="preserve">De acuerdo con la Resolución 8430 de 1993, </w:t>
      </w:r>
      <w:r w:rsidR="00A95301" w:rsidRPr="00166318">
        <w:t xml:space="preserve">por la cual se establecen las normas científicas, técnicas y administrativas para la investigación en salud en Colombia, </w:t>
      </w:r>
      <w:r w:rsidRPr="00166318">
        <w:t xml:space="preserve">esta investigación está clasificada como de riesgo mínimo al </w:t>
      </w:r>
      <w:r w:rsidR="00A95301" w:rsidRPr="00166318">
        <w:t xml:space="preserve">desarrollar </w:t>
      </w:r>
      <w:r w:rsidRPr="00166318">
        <w:t xml:space="preserve">el procedimiento </w:t>
      </w:r>
      <w:r w:rsidR="00A95301" w:rsidRPr="00166318">
        <w:t>mediante la exposición del participante a una pantalla de computador durante aproximadamente 20 minutos</w:t>
      </w:r>
      <w:r w:rsidRPr="00166318">
        <w:t xml:space="preserve">. </w:t>
      </w:r>
      <w:r w:rsidR="00A95301" w:rsidRPr="00166318">
        <w:t>Esta exposición</w:t>
      </w:r>
      <w:r w:rsidRPr="00166318">
        <w:t xml:space="preserve"> no genera ningún tipo de daño a las personas; sin embargo, podría presentarse algún tipo de sensibilidad </w:t>
      </w:r>
      <w:r w:rsidR="00A95301" w:rsidRPr="00166318">
        <w:t xml:space="preserve">visual </w:t>
      </w:r>
      <w:r w:rsidRPr="00166318">
        <w:t xml:space="preserve">en </w:t>
      </w:r>
      <w:r w:rsidR="00A95301" w:rsidRPr="00166318">
        <w:t>el</w:t>
      </w:r>
      <w:r w:rsidRPr="00166318">
        <w:t xml:space="preserve"> participante, razón por la cual se le informa de la necesidad de </w:t>
      </w:r>
      <w:r w:rsidR="00A95301" w:rsidRPr="00166318">
        <w:t>realizar el experimento en una sala de laboratorio</w:t>
      </w:r>
      <w:r w:rsidRPr="00166318">
        <w:t xml:space="preserve"> y la manera en que</w:t>
      </w:r>
      <w:r w:rsidR="00A95301" w:rsidRPr="00166318">
        <w:t xml:space="preserve"> podrá interactuar con los investigadores en caso de sentir alguna molestia que le impida continuar con la tarea</w:t>
      </w:r>
      <w:r w:rsidRPr="00166318">
        <w:t xml:space="preserve">. Después de conocer toda la información relacionada con el estudio, </w:t>
      </w:r>
      <w:r w:rsidR="00A95301" w:rsidRPr="00166318">
        <w:t>el</w:t>
      </w:r>
      <w:r w:rsidRPr="00166318">
        <w:t xml:space="preserve"> participante consiente voluntariamente su participación.</w:t>
      </w:r>
      <w:r w:rsidR="00237250" w:rsidRPr="00166318">
        <w:tab/>
      </w:r>
    </w:p>
    <w:p w14:paraId="61754C2A" w14:textId="04F11712" w:rsidR="006F7E7E" w:rsidRPr="00166318" w:rsidRDefault="005B5614" w:rsidP="002E7852">
      <w:pPr>
        <w:pStyle w:val="Ttulosinternos"/>
      </w:pPr>
      <w:proofErr w:type="spellStart"/>
      <w:r w:rsidRPr="00166318">
        <w:t>Result</w:t>
      </w:r>
      <w:r w:rsidR="005B24FF" w:rsidRPr="00166318">
        <w:t>ados</w:t>
      </w:r>
      <w:proofErr w:type="spellEnd"/>
    </w:p>
    <w:p w14:paraId="536B36DB" w14:textId="4B770E6D" w:rsidR="006B294A" w:rsidRPr="00166318" w:rsidRDefault="007B6625" w:rsidP="008531D8">
      <w:pPr>
        <w:pStyle w:val="Prrafocomn"/>
        <w:jc w:val="left"/>
        <w:rPr>
          <w:lang w:val="es-AR"/>
        </w:rPr>
      </w:pPr>
      <w:r w:rsidRPr="00166318">
        <w:rPr>
          <w:lang w:val="es-AR"/>
        </w:rPr>
        <w:t xml:space="preserve">Para el análisis del juicio predictivo se tuvo en cuenta la selección del valor en la escala que cada participante hizo durante los ensayos de entrenamiento y en la prueba. En la figura 2 se puede observar la media del juicio predictivo de compra para los productos X, Y </w:t>
      </w:r>
      <w:proofErr w:type="spellStart"/>
      <w:r w:rsidRPr="00166318">
        <w:rPr>
          <w:lang w:val="es-AR"/>
        </w:rPr>
        <w:t>y</w:t>
      </w:r>
      <w:proofErr w:type="spellEnd"/>
      <w:r w:rsidRPr="00166318">
        <w:rPr>
          <w:lang w:val="es-AR"/>
        </w:rPr>
        <w:t xml:space="preserve"> Z durante los ensayos de entrenamiento.</w:t>
      </w:r>
    </w:p>
    <w:p w14:paraId="1E1E4324" w14:textId="77777777" w:rsidR="00876369" w:rsidRPr="00166318" w:rsidRDefault="00876369" w:rsidP="00876369">
      <w:pPr>
        <w:pStyle w:val="Prrafocomn"/>
        <w:jc w:val="left"/>
        <w:rPr>
          <w:lang w:val="es-AR"/>
        </w:rPr>
      </w:pPr>
      <w:r w:rsidRPr="00166318">
        <w:rPr>
          <w:lang w:val="es-AR"/>
        </w:rPr>
        <w:t xml:space="preserve">El ANOVA de 3 (productos X, Y, Z) x 12 (ensayos) mostró efecto significativo para la interacción producto x ensayo [F (22, 748) = 1.69; MSE = 364; η2 = 0.047; p &lt; 0.05]. </w:t>
      </w:r>
      <w:r w:rsidRPr="00166318">
        <w:rPr>
          <w:lang w:val="es-AR"/>
        </w:rPr>
        <w:lastRenderedPageBreak/>
        <w:t>Análisis posteriores en búsqueda de interacciones específicas entre los productos en cada ensayo fueron significativos para el ensayo 1 [F (2, 68) = 6.03; MSE = 1271; η2 = 0.151; p &lt; 0.01], cuyos análisis post hoc indicaron que la principal diferencia en este ensayo fue entre el producto X (con valor diferencial de descuento) y el producto Z (con valor constante de descuento) [</w:t>
      </w:r>
      <w:proofErr w:type="spellStart"/>
      <w:r w:rsidRPr="00166318">
        <w:rPr>
          <w:lang w:val="es-AR"/>
        </w:rPr>
        <w:t>T</w:t>
      </w:r>
      <w:r w:rsidRPr="00166318">
        <w:rPr>
          <w:sz w:val="16"/>
          <w:szCs w:val="16"/>
          <w:lang w:val="es-AR"/>
        </w:rPr>
        <w:t>Bonferroni</w:t>
      </w:r>
      <w:proofErr w:type="spellEnd"/>
      <w:r w:rsidRPr="00166318">
        <w:rPr>
          <w:lang w:val="es-AR"/>
        </w:rPr>
        <w:t xml:space="preserve"> (68.0) = 3.42; p = 0.003].</w:t>
      </w:r>
    </w:p>
    <w:p w14:paraId="6E9C45BF" w14:textId="77777777" w:rsidR="00BC2E6C" w:rsidRDefault="00BC2E6C" w:rsidP="008531D8">
      <w:pPr>
        <w:pStyle w:val="Prrafocomn"/>
        <w:jc w:val="left"/>
        <w:rPr>
          <w:lang w:val="es-AR"/>
        </w:rPr>
      </w:pPr>
    </w:p>
    <w:p w14:paraId="223E46EF" w14:textId="77777777" w:rsidR="006D0CC1" w:rsidRPr="00D60749" w:rsidRDefault="006D0CC1" w:rsidP="006D0CC1">
      <w:pPr>
        <w:pStyle w:val="Prrafocomn"/>
        <w:ind w:firstLine="0"/>
        <w:jc w:val="left"/>
        <w:rPr>
          <w:b/>
          <w:bCs/>
          <w:lang w:val="es-AR"/>
        </w:rPr>
      </w:pPr>
      <w:r w:rsidRPr="00D60749">
        <w:rPr>
          <w:b/>
          <w:bCs/>
          <w:lang w:val="es-AR"/>
        </w:rPr>
        <w:t>Figura 2</w:t>
      </w:r>
    </w:p>
    <w:p w14:paraId="5F1B6A0D" w14:textId="42E698BF" w:rsidR="00D60749" w:rsidRPr="00D60749" w:rsidRDefault="00D60749" w:rsidP="006D0CC1">
      <w:pPr>
        <w:pStyle w:val="Prrafocomn"/>
        <w:ind w:firstLine="0"/>
        <w:jc w:val="left"/>
        <w:rPr>
          <w:i/>
          <w:iCs/>
          <w:lang w:val="es-AR"/>
        </w:rPr>
      </w:pPr>
      <w:r w:rsidRPr="00D60749">
        <w:rPr>
          <w:i/>
          <w:iCs/>
          <w:lang w:val="es-AR"/>
        </w:rPr>
        <w:t xml:space="preserve">Juicio </w:t>
      </w:r>
      <w:r>
        <w:rPr>
          <w:i/>
          <w:iCs/>
          <w:lang w:val="es-AR"/>
        </w:rPr>
        <w:t>P</w:t>
      </w:r>
      <w:r w:rsidRPr="00D60749">
        <w:rPr>
          <w:i/>
          <w:iCs/>
          <w:lang w:val="es-AR"/>
        </w:rPr>
        <w:t xml:space="preserve">redictivo durante el </w:t>
      </w:r>
      <w:r>
        <w:rPr>
          <w:i/>
          <w:iCs/>
          <w:lang w:val="es-AR"/>
        </w:rPr>
        <w:t>E</w:t>
      </w:r>
      <w:r w:rsidRPr="00D60749">
        <w:rPr>
          <w:i/>
          <w:iCs/>
          <w:lang w:val="es-AR"/>
        </w:rPr>
        <w:t xml:space="preserve">ntrenamiento para los </w:t>
      </w:r>
      <w:r>
        <w:rPr>
          <w:i/>
          <w:iCs/>
          <w:lang w:val="es-AR"/>
        </w:rPr>
        <w:t>P</w:t>
      </w:r>
      <w:r w:rsidRPr="00D60749">
        <w:rPr>
          <w:i/>
          <w:iCs/>
          <w:lang w:val="es-AR"/>
        </w:rPr>
        <w:t xml:space="preserve">roductos </w:t>
      </w:r>
      <w:r>
        <w:rPr>
          <w:i/>
          <w:iCs/>
          <w:lang w:val="es-AR"/>
        </w:rPr>
        <w:t>C</w:t>
      </w:r>
      <w:r w:rsidRPr="00D60749">
        <w:rPr>
          <w:i/>
          <w:iCs/>
          <w:lang w:val="es-AR"/>
        </w:rPr>
        <w:t>lave</w:t>
      </w:r>
    </w:p>
    <w:p w14:paraId="007698FE" w14:textId="05176290" w:rsidR="006B294A" w:rsidRPr="00166318" w:rsidRDefault="00B732AD" w:rsidP="00B732AD">
      <w:pPr>
        <w:pStyle w:val="Prrafocomn"/>
        <w:ind w:firstLine="0"/>
        <w:jc w:val="center"/>
        <w:rPr>
          <w:lang w:val="es-AR"/>
        </w:rPr>
      </w:pPr>
      <w:r w:rsidRPr="00166318">
        <w:rPr>
          <w:noProof/>
        </w:rPr>
        <w:drawing>
          <wp:inline distT="0" distB="0" distL="0" distR="0" wp14:anchorId="6D2CD460" wp14:editId="6293D78F">
            <wp:extent cx="4986020" cy="3190875"/>
            <wp:effectExtent l="0" t="0" r="5080" b="0"/>
            <wp:docPr id="4" name="Gráfico 4">
              <a:extLst xmlns:a="http://schemas.openxmlformats.org/drawingml/2006/main">
                <a:ext uri="{FF2B5EF4-FFF2-40B4-BE49-F238E27FC236}">
                  <a16:creationId xmlns:a16="http://schemas.microsoft.com/office/drawing/2014/main" id="{40D2E16B-FD41-44BF-A4B8-0E66A5FB0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1947AA" w14:textId="7CBE6E12" w:rsidR="006E3260" w:rsidRPr="008F3ED7" w:rsidRDefault="006E3260" w:rsidP="006E3260">
      <w:pPr>
        <w:spacing w:line="360" w:lineRule="auto"/>
        <w:contextualSpacing/>
        <w:rPr>
          <w:sz w:val="20"/>
          <w:szCs w:val="20"/>
          <w:lang w:val="es-AR"/>
        </w:rPr>
      </w:pPr>
      <w:r w:rsidRPr="008F3ED7">
        <w:rPr>
          <w:i/>
          <w:iCs/>
          <w:sz w:val="20"/>
          <w:szCs w:val="20"/>
          <w:lang w:val="es-AR"/>
        </w:rPr>
        <w:t>Nota</w:t>
      </w:r>
      <w:r w:rsidR="00D60749" w:rsidRPr="008F3ED7">
        <w:rPr>
          <w:i/>
          <w:iCs/>
          <w:sz w:val="20"/>
          <w:szCs w:val="20"/>
          <w:lang w:val="es-AR"/>
        </w:rPr>
        <w:t>.</w:t>
      </w:r>
      <w:r w:rsidRPr="008F3ED7">
        <w:rPr>
          <w:i/>
          <w:iCs/>
          <w:sz w:val="20"/>
          <w:szCs w:val="20"/>
          <w:lang w:val="es-AR"/>
        </w:rPr>
        <w:t xml:space="preserve"> </w:t>
      </w:r>
      <w:r w:rsidRPr="008F3ED7">
        <w:rPr>
          <w:sz w:val="20"/>
          <w:szCs w:val="20"/>
          <w:lang w:val="es-AR"/>
        </w:rPr>
        <w:t>El producto X fue presentado con valores diferenciales de descuento (50%, 30%, 0%), el producto Y fue presentado sin descuento y el producto Z fue presentado con descuento constante (3</w:t>
      </w:r>
      <w:r w:rsidR="00762C91" w:rsidRPr="008F3ED7">
        <w:rPr>
          <w:sz w:val="20"/>
          <w:szCs w:val="20"/>
          <w:lang w:val="es-AR"/>
        </w:rPr>
        <w:t>0</w:t>
      </w:r>
      <w:r w:rsidRPr="008F3ED7">
        <w:rPr>
          <w:sz w:val="20"/>
          <w:szCs w:val="20"/>
          <w:lang w:val="es-AR"/>
        </w:rPr>
        <w:t>%).</w:t>
      </w:r>
    </w:p>
    <w:p w14:paraId="57D561E4" w14:textId="77777777" w:rsidR="006E3260" w:rsidRPr="00166318" w:rsidRDefault="006E3260" w:rsidP="008531D8">
      <w:pPr>
        <w:pStyle w:val="Prrafocomn"/>
        <w:jc w:val="left"/>
        <w:rPr>
          <w:lang w:val="es-AR"/>
        </w:rPr>
      </w:pPr>
    </w:p>
    <w:p w14:paraId="3AA16E87" w14:textId="0B5C600F" w:rsidR="006B294A" w:rsidRPr="00166318" w:rsidRDefault="00E875A7" w:rsidP="008531D8">
      <w:pPr>
        <w:pStyle w:val="Prrafocomn"/>
        <w:jc w:val="left"/>
        <w:rPr>
          <w:lang w:val="es-AR"/>
        </w:rPr>
      </w:pPr>
      <w:r w:rsidRPr="2DED40EB">
        <w:rPr>
          <w:lang w:val="es-AR"/>
        </w:rPr>
        <w:t>El efecto también fue significativo para el</w:t>
      </w:r>
      <w:r w:rsidR="003B535F" w:rsidRPr="2DED40EB">
        <w:rPr>
          <w:lang w:val="es-AR"/>
        </w:rPr>
        <w:t xml:space="preserve"> ensayo 5 [F (</w:t>
      </w:r>
      <w:r w:rsidRPr="2DED40EB">
        <w:rPr>
          <w:lang w:val="es-AR"/>
        </w:rPr>
        <w:t>2, 68</w:t>
      </w:r>
      <w:r w:rsidR="003B535F" w:rsidRPr="2DED40EB">
        <w:rPr>
          <w:lang w:val="es-AR"/>
        </w:rPr>
        <w:t xml:space="preserve">) = </w:t>
      </w:r>
      <w:r w:rsidRPr="2DED40EB">
        <w:rPr>
          <w:lang w:val="es-AR"/>
        </w:rPr>
        <w:t>3.34</w:t>
      </w:r>
      <w:r w:rsidR="003B535F" w:rsidRPr="2DED40EB">
        <w:rPr>
          <w:lang w:val="es-AR"/>
        </w:rPr>
        <w:t xml:space="preserve">; MSE = </w:t>
      </w:r>
      <w:r w:rsidRPr="2DED40EB">
        <w:rPr>
          <w:lang w:val="es-AR"/>
        </w:rPr>
        <w:t>1036</w:t>
      </w:r>
      <w:r w:rsidR="003B535F" w:rsidRPr="2DED40EB">
        <w:rPr>
          <w:lang w:val="es-AR"/>
        </w:rPr>
        <w:t>; η2 = 0.0</w:t>
      </w:r>
      <w:r w:rsidRPr="2DED40EB">
        <w:rPr>
          <w:lang w:val="es-AR"/>
        </w:rPr>
        <w:t>90</w:t>
      </w:r>
      <w:r w:rsidR="003B535F" w:rsidRPr="2DED40EB">
        <w:rPr>
          <w:lang w:val="es-AR"/>
        </w:rPr>
        <w:t>; p &lt; 0.05]</w:t>
      </w:r>
      <w:r w:rsidRPr="2DED40EB">
        <w:rPr>
          <w:lang w:val="es-AR"/>
        </w:rPr>
        <w:t xml:space="preserve">, encontrando </w:t>
      </w:r>
      <w:r w:rsidR="1D385111" w:rsidRPr="2DED40EB">
        <w:rPr>
          <w:lang w:val="es-AR"/>
        </w:rPr>
        <w:t>la principal diferencia</w:t>
      </w:r>
      <w:r w:rsidRPr="2DED40EB">
        <w:rPr>
          <w:lang w:val="es-AR"/>
        </w:rPr>
        <w:t xml:space="preserve"> entre los productos Y (sin descuento) y Z (con descuento constante) [</w:t>
      </w:r>
      <w:proofErr w:type="spellStart"/>
      <w:r w:rsidRPr="2DED40EB">
        <w:rPr>
          <w:lang w:val="es-AR"/>
        </w:rPr>
        <w:t>T</w:t>
      </w:r>
      <w:r w:rsidRPr="2DED40EB">
        <w:rPr>
          <w:sz w:val="16"/>
          <w:szCs w:val="16"/>
          <w:lang w:val="es-AR"/>
        </w:rPr>
        <w:t>Bonferroni</w:t>
      </w:r>
      <w:proofErr w:type="spellEnd"/>
      <w:r w:rsidRPr="2DED40EB">
        <w:rPr>
          <w:lang w:val="es-AR"/>
        </w:rPr>
        <w:t xml:space="preserve"> (68.0) = -2.58; p = 0.036]</w:t>
      </w:r>
      <w:r w:rsidR="00744B85" w:rsidRPr="2DED40EB">
        <w:rPr>
          <w:lang w:val="es-AR"/>
        </w:rPr>
        <w:t>; y para el ensayo 9 [F (2, 68) = 3.16; MSE = 1195; η2 = 0.085; p &lt; 0.05]</w:t>
      </w:r>
      <w:r w:rsidR="00C16DCF" w:rsidRPr="2DED40EB">
        <w:rPr>
          <w:lang w:val="es-AR"/>
        </w:rPr>
        <w:t>, con principal diferencia entre el producto X (con valor diferencial de descuento) y el producto Y (sin descuento) [</w:t>
      </w:r>
      <w:proofErr w:type="spellStart"/>
      <w:r w:rsidR="00C16DCF" w:rsidRPr="2DED40EB">
        <w:rPr>
          <w:lang w:val="es-AR"/>
        </w:rPr>
        <w:t>T</w:t>
      </w:r>
      <w:r w:rsidR="00C16DCF" w:rsidRPr="2DED40EB">
        <w:rPr>
          <w:sz w:val="16"/>
          <w:szCs w:val="16"/>
          <w:lang w:val="es-AR"/>
        </w:rPr>
        <w:t>Bonferroni</w:t>
      </w:r>
      <w:proofErr w:type="spellEnd"/>
      <w:r w:rsidR="00C16DCF" w:rsidRPr="2DED40EB">
        <w:rPr>
          <w:lang w:val="es-AR"/>
        </w:rPr>
        <w:t xml:space="preserve"> (68.0) = 2.51; p = 0.043]</w:t>
      </w:r>
      <w:r w:rsidR="00B25EAB" w:rsidRPr="2DED40EB">
        <w:rPr>
          <w:lang w:val="es-AR"/>
        </w:rPr>
        <w:t>.</w:t>
      </w:r>
      <w:r w:rsidR="00C16DCF" w:rsidRPr="2DED40EB">
        <w:rPr>
          <w:lang w:val="es-AR"/>
        </w:rPr>
        <w:t xml:space="preserve"> </w:t>
      </w:r>
    </w:p>
    <w:p w14:paraId="2CB3CC05" w14:textId="7470CE88" w:rsidR="003D3897" w:rsidRPr="00166318" w:rsidRDefault="003D3897" w:rsidP="008531D8">
      <w:pPr>
        <w:pStyle w:val="Prrafocomn"/>
        <w:jc w:val="left"/>
        <w:rPr>
          <w:lang w:val="es-AR"/>
        </w:rPr>
      </w:pPr>
      <w:r w:rsidRPr="00166318">
        <w:rPr>
          <w:lang w:val="es-AR"/>
        </w:rPr>
        <w:t xml:space="preserve">En la figura 3 se muestra el juicio emitido por los participantes en la fase de prueba, cuando se presentaron los productos X, Y </w:t>
      </w:r>
      <w:proofErr w:type="spellStart"/>
      <w:r w:rsidRPr="00166318">
        <w:rPr>
          <w:lang w:val="es-AR"/>
        </w:rPr>
        <w:t>y</w:t>
      </w:r>
      <w:proofErr w:type="spellEnd"/>
      <w:r w:rsidRPr="00166318">
        <w:rPr>
          <w:lang w:val="es-AR"/>
        </w:rPr>
        <w:t xml:space="preserve"> Z en el mismo contexto en el que se entrenaron (</w:t>
      </w:r>
      <w:r w:rsidR="00C96591" w:rsidRPr="00166318">
        <w:rPr>
          <w:lang w:val="es-AR"/>
        </w:rPr>
        <w:t>contexto de aprendizaje</w:t>
      </w:r>
      <w:r w:rsidRPr="00166318">
        <w:rPr>
          <w:lang w:val="es-AR"/>
        </w:rPr>
        <w:t>) y en el contexto alternativo, pero igualmente familiar (</w:t>
      </w:r>
      <w:r w:rsidR="00C96591" w:rsidRPr="00166318">
        <w:rPr>
          <w:lang w:val="es-AR"/>
        </w:rPr>
        <w:t>contexto d</w:t>
      </w:r>
      <w:r w:rsidRPr="00166318">
        <w:rPr>
          <w:lang w:val="es-AR"/>
        </w:rPr>
        <w:t xml:space="preserve">iferente). El ANOVA de 3 (productos X, Y </w:t>
      </w:r>
      <w:proofErr w:type="spellStart"/>
      <w:r w:rsidRPr="00166318">
        <w:rPr>
          <w:lang w:val="es-AR"/>
        </w:rPr>
        <w:t>y</w:t>
      </w:r>
      <w:proofErr w:type="spellEnd"/>
      <w:r w:rsidRPr="00166318">
        <w:rPr>
          <w:lang w:val="es-AR"/>
        </w:rPr>
        <w:t xml:space="preserve"> Z) x 2 (contexto igual y diferente) mostró </w:t>
      </w:r>
      <w:r w:rsidRPr="00166318">
        <w:rPr>
          <w:lang w:val="es-AR"/>
        </w:rPr>
        <w:lastRenderedPageBreak/>
        <w:t xml:space="preserve">efecto principal de contexto [F (1, </w:t>
      </w:r>
      <w:r w:rsidR="000A2621" w:rsidRPr="00166318">
        <w:rPr>
          <w:lang w:val="es-AR"/>
        </w:rPr>
        <w:t>34</w:t>
      </w:r>
      <w:r w:rsidRPr="00166318">
        <w:rPr>
          <w:lang w:val="es-AR"/>
        </w:rPr>
        <w:t xml:space="preserve">) = </w:t>
      </w:r>
      <w:r w:rsidR="000A2621" w:rsidRPr="00166318">
        <w:rPr>
          <w:lang w:val="es-AR"/>
        </w:rPr>
        <w:t>8.65</w:t>
      </w:r>
      <w:r w:rsidRPr="00166318">
        <w:rPr>
          <w:lang w:val="es-AR"/>
        </w:rPr>
        <w:t xml:space="preserve">; MSE = </w:t>
      </w:r>
      <w:r w:rsidR="000A2621" w:rsidRPr="00166318">
        <w:rPr>
          <w:lang w:val="es-AR"/>
        </w:rPr>
        <w:t>2400</w:t>
      </w:r>
      <w:r w:rsidRPr="00166318">
        <w:rPr>
          <w:lang w:val="es-AR"/>
        </w:rPr>
        <w:t>; η2 = 0.</w:t>
      </w:r>
      <w:r w:rsidR="000A2621" w:rsidRPr="00166318">
        <w:rPr>
          <w:lang w:val="es-AR"/>
        </w:rPr>
        <w:t>203</w:t>
      </w:r>
      <w:r w:rsidRPr="00166318">
        <w:rPr>
          <w:lang w:val="es-AR"/>
        </w:rPr>
        <w:t>; p &lt; 0.01]</w:t>
      </w:r>
      <w:r w:rsidR="000A2621" w:rsidRPr="00166318">
        <w:rPr>
          <w:lang w:val="es-AR"/>
        </w:rPr>
        <w:t>, y de la interacción producto x contexto [F (2, 68) = 3.24; MSE = 1213; η2 = 0.087; p &lt; 0.05]</w:t>
      </w:r>
      <w:r w:rsidR="007D4338" w:rsidRPr="00166318">
        <w:rPr>
          <w:lang w:val="es-AR"/>
        </w:rPr>
        <w:t>.</w:t>
      </w:r>
    </w:p>
    <w:p w14:paraId="63135E89" w14:textId="77777777" w:rsidR="008F3ED7" w:rsidRPr="00166318" w:rsidRDefault="008F3ED7" w:rsidP="008F3ED7">
      <w:pPr>
        <w:pStyle w:val="Prrafocomn"/>
        <w:jc w:val="left"/>
        <w:rPr>
          <w:lang w:val="es-AR"/>
        </w:rPr>
      </w:pPr>
      <w:r w:rsidRPr="00166318">
        <w:rPr>
          <w:lang w:val="es-AR"/>
        </w:rPr>
        <w:t xml:space="preserve">Análisis posteriores para explorar la interacción de cada producto clave en los dos contextos de prueba mostraron diferencias significativas para el producto X (entrenado con valor diferencial de descuento) [F (1, 34) = 7.16; MSE = 3156; η2 = 0.174; p &lt; 0.05] y para el producto Z (entrenado con valor de descuento constante) [F (1, 34) = 4.66; MSE = 1556; η2 = 0.121; p &lt; 0.05]. </w:t>
      </w:r>
    </w:p>
    <w:p w14:paraId="3EE83885" w14:textId="791E873B" w:rsidR="008B6977" w:rsidRPr="00166318" w:rsidRDefault="008F3ED7" w:rsidP="008F3ED7">
      <w:pPr>
        <w:pStyle w:val="Prrafocomn"/>
        <w:jc w:val="left"/>
        <w:rPr>
          <w:lang w:val="es-AR"/>
        </w:rPr>
      </w:pPr>
      <w:r w:rsidRPr="00166318">
        <w:rPr>
          <w:lang w:val="es-AR"/>
        </w:rPr>
        <w:t>Al comparar los productos cuando fueron presentados en el mismo contexto en el que fueron entrenados; es decir, el contexto de aprendizaje, se encontraron diferencias significativas [F (2, 68) = 4.30; MSE = 2294; η2 = 0.112; p &lt; 0.05]; sin embargo, los análisis post hoc identificaron que las diferencias se encuentran específicamente entre el producto X (entrenado con valor diferencial de descuento) y el producto Y (entrenado sin descuento) [</w:t>
      </w:r>
      <w:proofErr w:type="spellStart"/>
      <w:r w:rsidRPr="00166318">
        <w:rPr>
          <w:lang w:val="es-AR"/>
        </w:rPr>
        <w:t>T</w:t>
      </w:r>
      <w:r w:rsidRPr="00166318">
        <w:rPr>
          <w:sz w:val="16"/>
          <w:szCs w:val="16"/>
          <w:lang w:val="es-AR"/>
        </w:rPr>
        <w:t>Bonferroni</w:t>
      </w:r>
      <w:proofErr w:type="spellEnd"/>
      <w:r w:rsidRPr="00166318">
        <w:rPr>
          <w:lang w:val="es-AR"/>
        </w:rPr>
        <w:t xml:space="preserve"> (68.0) = 2.690; p = 0.027]. Las comparaciones de los productos en el contexto diferente no fueron significativas.</w:t>
      </w:r>
    </w:p>
    <w:p w14:paraId="03186F61" w14:textId="77777777" w:rsidR="008F3ED7" w:rsidRDefault="008F3ED7" w:rsidP="008F3ED7">
      <w:pPr>
        <w:pStyle w:val="Prrafocomn"/>
        <w:ind w:firstLine="0"/>
        <w:jc w:val="left"/>
        <w:rPr>
          <w:b/>
          <w:bCs/>
          <w:lang w:val="es-AR"/>
        </w:rPr>
      </w:pPr>
    </w:p>
    <w:p w14:paraId="2E66A181" w14:textId="3F6AE87A" w:rsidR="008F3ED7" w:rsidRPr="008F3ED7" w:rsidRDefault="008F3ED7" w:rsidP="008F3ED7">
      <w:pPr>
        <w:pStyle w:val="Prrafocomn"/>
        <w:ind w:firstLine="0"/>
        <w:jc w:val="left"/>
        <w:rPr>
          <w:b/>
          <w:bCs/>
          <w:lang w:val="es-AR"/>
        </w:rPr>
      </w:pPr>
      <w:r w:rsidRPr="008F3ED7">
        <w:rPr>
          <w:b/>
          <w:bCs/>
          <w:lang w:val="es-AR"/>
        </w:rPr>
        <w:t>Figura 3</w:t>
      </w:r>
    </w:p>
    <w:p w14:paraId="5B0B693B" w14:textId="4230F5B8" w:rsidR="008F3ED7" w:rsidRPr="008F3ED7" w:rsidRDefault="008F3ED7" w:rsidP="008F3ED7">
      <w:pPr>
        <w:pStyle w:val="Prrafocomn"/>
        <w:ind w:firstLine="0"/>
        <w:jc w:val="left"/>
        <w:rPr>
          <w:i/>
          <w:iCs/>
          <w:lang w:val="es-AR"/>
        </w:rPr>
      </w:pPr>
      <w:r w:rsidRPr="008F3ED7">
        <w:rPr>
          <w:i/>
          <w:iCs/>
          <w:lang w:val="es-AR"/>
        </w:rPr>
        <w:t xml:space="preserve">Juicio </w:t>
      </w:r>
      <w:r>
        <w:rPr>
          <w:i/>
          <w:iCs/>
          <w:lang w:val="es-AR"/>
        </w:rPr>
        <w:t>P</w:t>
      </w:r>
      <w:r w:rsidRPr="008F3ED7">
        <w:rPr>
          <w:i/>
          <w:iCs/>
          <w:lang w:val="es-AR"/>
        </w:rPr>
        <w:t xml:space="preserve">redictivo durante la </w:t>
      </w:r>
      <w:r>
        <w:rPr>
          <w:i/>
          <w:iCs/>
          <w:lang w:val="es-AR"/>
        </w:rPr>
        <w:t>P</w:t>
      </w:r>
      <w:r w:rsidRPr="008F3ED7">
        <w:rPr>
          <w:i/>
          <w:iCs/>
          <w:lang w:val="es-AR"/>
        </w:rPr>
        <w:t xml:space="preserve">rueba para los </w:t>
      </w:r>
      <w:r>
        <w:rPr>
          <w:i/>
          <w:iCs/>
          <w:lang w:val="es-AR"/>
        </w:rPr>
        <w:t>P</w:t>
      </w:r>
      <w:r w:rsidRPr="008F3ED7">
        <w:rPr>
          <w:i/>
          <w:iCs/>
          <w:lang w:val="es-AR"/>
        </w:rPr>
        <w:t xml:space="preserve">roductos </w:t>
      </w:r>
      <w:r>
        <w:rPr>
          <w:i/>
          <w:iCs/>
          <w:lang w:val="es-AR"/>
        </w:rPr>
        <w:t>C</w:t>
      </w:r>
      <w:r w:rsidRPr="008F3ED7">
        <w:rPr>
          <w:i/>
          <w:iCs/>
          <w:lang w:val="es-AR"/>
        </w:rPr>
        <w:t>lave</w:t>
      </w:r>
    </w:p>
    <w:p w14:paraId="707CFA07" w14:textId="09B1C305" w:rsidR="008B6977" w:rsidRPr="00166318" w:rsidRDefault="008B6977" w:rsidP="008B6977">
      <w:pPr>
        <w:pStyle w:val="Prrafocomn"/>
        <w:ind w:firstLine="0"/>
        <w:jc w:val="center"/>
        <w:rPr>
          <w:lang w:val="es-AR"/>
        </w:rPr>
      </w:pPr>
      <w:r w:rsidRPr="0006131E">
        <w:rPr>
          <w:noProof/>
          <w:shd w:val="clear" w:color="auto" w:fill="000000" w:themeFill="text1"/>
        </w:rPr>
        <w:drawing>
          <wp:inline distT="0" distB="0" distL="0" distR="0" wp14:anchorId="3C2B1F8D" wp14:editId="0716BDFE">
            <wp:extent cx="4895850" cy="3000375"/>
            <wp:effectExtent l="0" t="0" r="0" b="0"/>
            <wp:docPr id="5" name="Gráfico 5">
              <a:extLst xmlns:a="http://schemas.openxmlformats.org/drawingml/2006/main">
                <a:ext uri="{FF2B5EF4-FFF2-40B4-BE49-F238E27FC236}">
                  <a16:creationId xmlns:a16="http://schemas.microsoft.com/office/drawing/2014/main" id="{4F56728F-C158-47B8-98E1-45D297B8C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E9B0BF" w14:textId="2C7862C5" w:rsidR="008B6977" w:rsidRPr="008F3ED7" w:rsidRDefault="008B6977" w:rsidP="008B6977">
      <w:pPr>
        <w:spacing w:line="360" w:lineRule="auto"/>
        <w:contextualSpacing/>
        <w:rPr>
          <w:sz w:val="20"/>
          <w:szCs w:val="20"/>
          <w:lang w:val="es-AR"/>
        </w:rPr>
      </w:pPr>
      <w:r w:rsidRPr="008F3ED7">
        <w:rPr>
          <w:i/>
          <w:iCs/>
          <w:sz w:val="20"/>
          <w:szCs w:val="20"/>
          <w:lang w:val="es-AR"/>
        </w:rPr>
        <w:t>Nota</w:t>
      </w:r>
      <w:r w:rsidR="00D75C6D" w:rsidRPr="008F3ED7">
        <w:rPr>
          <w:i/>
          <w:iCs/>
          <w:sz w:val="20"/>
          <w:szCs w:val="20"/>
          <w:lang w:val="es-AR"/>
        </w:rPr>
        <w:t>.</w:t>
      </w:r>
      <w:r w:rsidRPr="008F3ED7">
        <w:rPr>
          <w:i/>
          <w:iCs/>
          <w:sz w:val="20"/>
          <w:szCs w:val="20"/>
          <w:lang w:val="es-AR"/>
        </w:rPr>
        <w:t xml:space="preserve"> </w:t>
      </w:r>
      <w:r w:rsidRPr="008F3ED7">
        <w:rPr>
          <w:sz w:val="20"/>
          <w:szCs w:val="20"/>
          <w:lang w:val="es-AR"/>
        </w:rPr>
        <w:t xml:space="preserve">Los productos clave X, Y </w:t>
      </w:r>
      <w:proofErr w:type="spellStart"/>
      <w:r w:rsidRPr="008F3ED7">
        <w:rPr>
          <w:sz w:val="20"/>
          <w:szCs w:val="20"/>
          <w:lang w:val="es-AR"/>
        </w:rPr>
        <w:t>y</w:t>
      </w:r>
      <w:proofErr w:type="spellEnd"/>
      <w:r w:rsidRPr="008F3ED7">
        <w:rPr>
          <w:sz w:val="20"/>
          <w:szCs w:val="20"/>
          <w:lang w:val="es-AR"/>
        </w:rPr>
        <w:t xml:space="preserve"> Z fueron presentados una vez en el mismo contexto en el que fueron entrenados y una vez en un contexto diferente pero familiar. Después de emitir el juicio no se presentó información sobre descuento para ninguno de los tres productos.</w:t>
      </w:r>
    </w:p>
    <w:p w14:paraId="4DF637A8" w14:textId="45919C88" w:rsidR="00E23C9E" w:rsidRPr="00166318" w:rsidRDefault="00E23C9E" w:rsidP="008531D8">
      <w:pPr>
        <w:pStyle w:val="Prrafocomn"/>
        <w:ind w:firstLine="0"/>
        <w:jc w:val="left"/>
        <w:rPr>
          <w:lang w:val="es-AR"/>
        </w:rPr>
      </w:pPr>
    </w:p>
    <w:p w14:paraId="50B8F6F4" w14:textId="77777777" w:rsidR="001D6B70" w:rsidRDefault="001D6B70" w:rsidP="00A1320C">
      <w:pPr>
        <w:pStyle w:val="Prrafocomn"/>
        <w:ind w:firstLine="0"/>
        <w:jc w:val="center"/>
        <w:rPr>
          <w:b/>
          <w:bCs/>
          <w:lang w:val="es-CO"/>
        </w:rPr>
      </w:pPr>
    </w:p>
    <w:p w14:paraId="220C813D" w14:textId="06644BB4" w:rsidR="00CE7D65" w:rsidRPr="00A1320C" w:rsidRDefault="00CE7D65" w:rsidP="00A1320C">
      <w:pPr>
        <w:pStyle w:val="Prrafocomn"/>
        <w:ind w:firstLine="0"/>
        <w:jc w:val="center"/>
        <w:rPr>
          <w:b/>
          <w:bCs/>
          <w:lang w:val="es-CO"/>
        </w:rPr>
      </w:pPr>
      <w:r w:rsidRPr="00A1320C">
        <w:rPr>
          <w:b/>
          <w:bCs/>
          <w:lang w:val="es-CO"/>
        </w:rPr>
        <w:lastRenderedPageBreak/>
        <w:t>Discusi</w:t>
      </w:r>
      <w:r w:rsidR="00E23C9E" w:rsidRPr="00A1320C">
        <w:rPr>
          <w:b/>
          <w:bCs/>
          <w:lang w:val="es-CO"/>
        </w:rPr>
        <w:t>ó</w:t>
      </w:r>
      <w:r w:rsidRPr="00A1320C">
        <w:rPr>
          <w:b/>
          <w:bCs/>
          <w:lang w:val="es-CO"/>
        </w:rPr>
        <w:t>n</w:t>
      </w:r>
    </w:p>
    <w:p w14:paraId="56C003C1" w14:textId="58862C8B" w:rsidR="00EF56A6" w:rsidRPr="00166318" w:rsidRDefault="00EF56A6" w:rsidP="008531D8">
      <w:pPr>
        <w:pStyle w:val="Prrafocomn"/>
        <w:jc w:val="left"/>
        <w:rPr>
          <w:lang w:val="es-CO"/>
        </w:rPr>
      </w:pPr>
      <w:r w:rsidRPr="2DED40EB">
        <w:rPr>
          <w:lang w:val="es-CO"/>
        </w:rPr>
        <w:t>Cuando el consumidor se encuentra en un escenario de compra está expuesto a diferentes estímulos que le proveen información que debe procesar para tomar la decisión y elección final. Como la capacidad para atender y procesar la información es limitada, el consumidor debe seleccionar aquellos estímulos que le presenten la información más relevante para tomar decisiones; sin embargo, es normal que mientras se encuentra en el proceso de aprendizaje; es decir, en las primeras experiencias similares, se preste atención a todo lo que está alrededor de la situación: productos, tienda, muebles, etiquetas, marcas, sonidos</w:t>
      </w:r>
      <w:r w:rsidR="00731257" w:rsidRPr="2DED40EB">
        <w:rPr>
          <w:lang w:val="es-CO"/>
        </w:rPr>
        <w:t>; es decir, la atmósfera de la situación (</w:t>
      </w:r>
      <w:proofErr w:type="spellStart"/>
      <w:r w:rsidR="00731257" w:rsidRPr="2DED40EB">
        <w:rPr>
          <w:lang w:val="es-CO"/>
        </w:rPr>
        <w:t>Turley</w:t>
      </w:r>
      <w:proofErr w:type="spellEnd"/>
      <w:r w:rsidR="00731257" w:rsidRPr="2DED40EB">
        <w:rPr>
          <w:lang w:val="es-CO"/>
        </w:rPr>
        <w:t xml:space="preserve"> &amp; </w:t>
      </w:r>
      <w:proofErr w:type="spellStart"/>
      <w:r w:rsidR="00731257" w:rsidRPr="2DED40EB">
        <w:rPr>
          <w:lang w:val="es-CO"/>
        </w:rPr>
        <w:t>Milliman</w:t>
      </w:r>
      <w:proofErr w:type="spellEnd"/>
      <w:r w:rsidR="00731257" w:rsidRPr="2DED40EB">
        <w:rPr>
          <w:lang w:val="es-CO"/>
        </w:rPr>
        <w:t>, 2000)</w:t>
      </w:r>
      <w:r w:rsidRPr="2DED40EB">
        <w:rPr>
          <w:lang w:val="es-CO"/>
        </w:rPr>
        <w:t xml:space="preserve">. Con el tiempo y la mayor experiencia, el consumidor prestará atención a los estímulos que ya ha asociado con información predictora de la aparición de otros estímulos, y esta selectividad de estímulos varía, pues en algunos casos la información relevante provendrá del producto y en otras, del contexto (Le </w:t>
      </w:r>
      <w:proofErr w:type="spellStart"/>
      <w:r w:rsidRPr="2DED40EB">
        <w:rPr>
          <w:lang w:val="es-CO"/>
        </w:rPr>
        <w:t>Pelley</w:t>
      </w:r>
      <w:proofErr w:type="spellEnd"/>
      <w:r w:rsidRPr="2DED40EB">
        <w:rPr>
          <w:lang w:val="es-CO"/>
        </w:rPr>
        <w:t xml:space="preserve"> et al., 201</w:t>
      </w:r>
      <w:r w:rsidR="00024F46">
        <w:rPr>
          <w:lang w:val="es-CO"/>
        </w:rPr>
        <w:t>3</w:t>
      </w:r>
      <w:r w:rsidRPr="2DED40EB">
        <w:rPr>
          <w:lang w:val="es-CO"/>
        </w:rPr>
        <w:t>, 201</w:t>
      </w:r>
      <w:r w:rsidR="00024F46">
        <w:rPr>
          <w:lang w:val="es-CO"/>
        </w:rPr>
        <w:t>6</w:t>
      </w:r>
      <w:r w:rsidRPr="2DED40EB">
        <w:rPr>
          <w:lang w:val="es-CO"/>
        </w:rPr>
        <w:t>).</w:t>
      </w:r>
    </w:p>
    <w:p w14:paraId="4C33E6CD" w14:textId="34498A8E" w:rsidR="00C97161" w:rsidRPr="00166318" w:rsidRDefault="002635A7" w:rsidP="00C97161">
      <w:pPr>
        <w:pStyle w:val="Prrafocomn"/>
        <w:jc w:val="left"/>
        <w:rPr>
          <w:lang w:val="es-CO"/>
        </w:rPr>
      </w:pPr>
      <w:r w:rsidRPr="00166318">
        <w:rPr>
          <w:lang w:val="es-CO"/>
        </w:rPr>
        <w:tab/>
      </w:r>
      <w:r w:rsidR="00C97161" w:rsidRPr="00166318">
        <w:rPr>
          <w:lang w:val="es-CO"/>
        </w:rPr>
        <w:t>De esta manera, cuando un consumidor aprende que un producto puede tener descuentos variables en una misma tienda (caso del producto X), la probabilidad de comprar en esa tienda el producto es alta, en comparación con la probabilidad de comprarlo en otra tienda, aunque resulte familiar para el consumidor (Figura 2). En este caso, la mayor parte de la atención del consumidor está centrada en el producto y sus atributos, y con el tiempo, esta atención decrece por efecto del aprendizaje y del paso del tiempo (</w:t>
      </w:r>
      <w:proofErr w:type="spellStart"/>
      <w:r w:rsidR="00C97161" w:rsidRPr="00166318">
        <w:rPr>
          <w:lang w:val="es-CO"/>
        </w:rPr>
        <w:t>Bouton</w:t>
      </w:r>
      <w:proofErr w:type="spellEnd"/>
      <w:r w:rsidR="00327ECB">
        <w:rPr>
          <w:lang w:val="es-CO"/>
        </w:rPr>
        <w:t>,</w:t>
      </w:r>
      <w:r w:rsidR="00C97161" w:rsidRPr="00166318">
        <w:rPr>
          <w:lang w:val="es-CO"/>
        </w:rPr>
        <w:t xml:space="preserve"> 1993, 1997). Si el consumidor cambia de tienda, aunque vea el mismo producto allí, la probabilidad de compra disminuye como efecto de la atención que la nueva tienda (contexto diferente) requiere para procesar la información y vincularla al aprendizaje previo. El mismo efecto ocurre cuando la tienda mantiene un valor de descuento constante para un producto (caso del producto Z), aunque se observa con menor intensidad, debido a que, ante la ausencia de ambigüedad en el valor del descuento, menor esfuerzo para procesar información se requiere (Rosas et al., 2006).</w:t>
      </w:r>
    </w:p>
    <w:p w14:paraId="4082246D" w14:textId="3E4F0C61" w:rsidR="00BC53F6" w:rsidRPr="00166318" w:rsidRDefault="00BC53F6" w:rsidP="002E6EE3">
      <w:pPr>
        <w:pStyle w:val="Prrafocomn"/>
        <w:jc w:val="left"/>
        <w:rPr>
          <w:lang w:val="es-CO"/>
        </w:rPr>
      </w:pPr>
      <w:r w:rsidRPr="00166318">
        <w:rPr>
          <w:lang w:val="es-CO"/>
        </w:rPr>
        <w:t xml:space="preserve">Los estudios previos derivados de la TAPC (Rosas et al., 2006) han demostrado que se recupera más fácilmente la información en el mismo contexto en el que se aprende que en otro donde la respuesta decrece como efecto del cambio de contexto; para el caso de este estudio, se evidencia este efecto en el producto </w:t>
      </w:r>
      <w:r w:rsidR="004B3806" w:rsidRPr="00166318">
        <w:rPr>
          <w:lang w:val="es-CO"/>
        </w:rPr>
        <w:t>aprendido</w:t>
      </w:r>
      <w:r w:rsidRPr="00166318">
        <w:rPr>
          <w:lang w:val="es-CO"/>
        </w:rPr>
        <w:t xml:space="preserve"> con valores diferenciales de descuento (producto X)</w:t>
      </w:r>
      <w:r w:rsidR="004B3806" w:rsidRPr="00166318">
        <w:rPr>
          <w:lang w:val="es-CO"/>
        </w:rPr>
        <w:t xml:space="preserve"> y para el producto aprendido con descuento constante (producto Z), pero no se observó este efecto en el producto entrenado sin descuento y en un contexto diferente a los demás (producto Y) (ver Figura 3).</w:t>
      </w:r>
    </w:p>
    <w:p w14:paraId="453089DB" w14:textId="62F74FDC" w:rsidR="00A1320C" w:rsidRDefault="000C7138" w:rsidP="00A1320C">
      <w:pPr>
        <w:pStyle w:val="Prrafocomn"/>
        <w:jc w:val="left"/>
        <w:rPr>
          <w:lang w:val="es-CO"/>
        </w:rPr>
      </w:pPr>
      <w:r w:rsidRPr="00166318">
        <w:rPr>
          <w:lang w:val="es-CO"/>
        </w:rPr>
        <w:lastRenderedPageBreak/>
        <w:t xml:space="preserve">La TAPC propone, </w:t>
      </w:r>
      <w:r w:rsidR="00BC53F6" w:rsidRPr="00166318">
        <w:rPr>
          <w:lang w:val="es-CO"/>
        </w:rPr>
        <w:t xml:space="preserve">además, que este efecto disminuye con la mayor cantidad de entrenamiento debido a la habituación al contexto. </w:t>
      </w:r>
      <w:r w:rsidRPr="00166318">
        <w:rPr>
          <w:lang w:val="es-CO"/>
        </w:rPr>
        <w:t xml:space="preserve">En nuestro caso, </w:t>
      </w:r>
      <w:r w:rsidR="00051F1B" w:rsidRPr="00166318">
        <w:rPr>
          <w:lang w:val="es-CO"/>
        </w:rPr>
        <w:t xml:space="preserve">al exponer a los participantes a los dos contextos, pero cada uno asociado a productos diferentes (productos X y Z en el contexto A y producto Y en el contexto B), </w:t>
      </w:r>
      <w:r w:rsidR="00EC0080" w:rsidRPr="00166318">
        <w:rPr>
          <w:lang w:val="es-CO"/>
        </w:rPr>
        <w:t xml:space="preserve">se observa que la atención al contexto y a los productos </w:t>
      </w:r>
      <w:r w:rsidR="003A68A0" w:rsidRPr="00166318">
        <w:rPr>
          <w:lang w:val="es-CO"/>
        </w:rPr>
        <w:t xml:space="preserve">impacta el juicio predictivo de compra </w:t>
      </w:r>
      <w:r w:rsidR="00EC0080" w:rsidRPr="00166318">
        <w:rPr>
          <w:lang w:val="es-CO"/>
        </w:rPr>
        <w:t>casi de forma equitativa durante los ensayos</w:t>
      </w:r>
      <w:r w:rsidR="007059D6" w:rsidRPr="00166318">
        <w:rPr>
          <w:lang w:val="es-CO"/>
        </w:rPr>
        <w:t xml:space="preserve"> (ver Figura 2)</w:t>
      </w:r>
      <w:r w:rsidR="00EC0080" w:rsidRPr="00166318">
        <w:rPr>
          <w:lang w:val="es-CO"/>
        </w:rPr>
        <w:t>; no obstante</w:t>
      </w:r>
      <w:r w:rsidR="007059D6" w:rsidRPr="00166318">
        <w:rPr>
          <w:lang w:val="es-CO"/>
        </w:rPr>
        <w:t xml:space="preserve">, el consumidor muestra cierta selectividad por </w:t>
      </w:r>
      <w:r w:rsidR="003A68A0" w:rsidRPr="00166318">
        <w:rPr>
          <w:lang w:val="es-CO"/>
        </w:rPr>
        <w:t>diferenciar los productos en sus</w:t>
      </w:r>
      <w:r w:rsidR="007059D6" w:rsidRPr="00166318">
        <w:rPr>
          <w:lang w:val="es-CO"/>
        </w:rPr>
        <w:t xml:space="preserve"> contexto</w:t>
      </w:r>
      <w:r w:rsidR="003A68A0" w:rsidRPr="00166318">
        <w:rPr>
          <w:lang w:val="es-CO"/>
        </w:rPr>
        <w:t>s</w:t>
      </w:r>
      <w:r w:rsidR="007059D6" w:rsidRPr="00166318">
        <w:rPr>
          <w:lang w:val="es-CO"/>
        </w:rPr>
        <w:t xml:space="preserve">, como es el caso de la diferencias significativas encontradas en el ensayo 1 entre los productos X y Z, en el ensayo 5 entre los productos Y </w:t>
      </w:r>
      <w:proofErr w:type="spellStart"/>
      <w:r w:rsidR="007059D6" w:rsidRPr="00166318">
        <w:rPr>
          <w:lang w:val="es-CO"/>
        </w:rPr>
        <w:t>y</w:t>
      </w:r>
      <w:proofErr w:type="spellEnd"/>
      <w:r w:rsidR="007059D6" w:rsidRPr="00166318">
        <w:rPr>
          <w:lang w:val="es-CO"/>
        </w:rPr>
        <w:t xml:space="preserve"> Z, y en el ensayo 9 entre los productos X y </w:t>
      </w:r>
      <w:proofErr w:type="spellStart"/>
      <w:r w:rsidR="007059D6" w:rsidRPr="00166318">
        <w:rPr>
          <w:lang w:val="es-CO"/>
        </w:rPr>
        <w:t>Y</w:t>
      </w:r>
      <w:proofErr w:type="spellEnd"/>
      <w:r w:rsidR="007059D6" w:rsidRPr="00166318">
        <w:rPr>
          <w:lang w:val="es-CO"/>
        </w:rPr>
        <w:t xml:space="preserve">. </w:t>
      </w:r>
      <w:r w:rsidR="008F0FC0" w:rsidRPr="00166318">
        <w:rPr>
          <w:lang w:val="es-CO"/>
        </w:rPr>
        <w:t xml:space="preserve">Nótese que hay cierta </w:t>
      </w:r>
      <w:r w:rsidR="003A68A0" w:rsidRPr="00166318">
        <w:rPr>
          <w:lang w:val="es-CO"/>
        </w:rPr>
        <w:t>periodicidad en estas diferencias (cada 4 ensayos); t</w:t>
      </w:r>
      <w:r w:rsidR="007059D6" w:rsidRPr="00166318">
        <w:rPr>
          <w:lang w:val="es-CO"/>
        </w:rPr>
        <w:t>al vez</w:t>
      </w:r>
      <w:r w:rsidR="003A68A0" w:rsidRPr="00166318">
        <w:rPr>
          <w:lang w:val="es-CO"/>
        </w:rPr>
        <w:t>,</w:t>
      </w:r>
      <w:r w:rsidR="007059D6" w:rsidRPr="00166318">
        <w:rPr>
          <w:lang w:val="es-CO"/>
        </w:rPr>
        <w:t xml:space="preserve"> esto se deba a la necesidad del consumidor de optimizar sus recursos de procesamiento de información para resolver la ambigüedad a la que es expuesto cuando se hacen diferentes asociaciones de un mismo producto </w:t>
      </w:r>
      <w:r w:rsidR="003A68A0" w:rsidRPr="00166318">
        <w:rPr>
          <w:lang w:val="es-CO"/>
        </w:rPr>
        <w:t>diferentes</w:t>
      </w:r>
      <w:r w:rsidR="007059D6" w:rsidRPr="00166318">
        <w:rPr>
          <w:lang w:val="es-CO"/>
        </w:rPr>
        <w:t xml:space="preserve"> descuentos</w:t>
      </w:r>
      <w:r w:rsidR="003A68A0" w:rsidRPr="00166318">
        <w:rPr>
          <w:lang w:val="es-CO"/>
        </w:rPr>
        <w:t xml:space="preserve"> </w:t>
      </w:r>
      <w:r w:rsidR="007059D6" w:rsidRPr="00166318">
        <w:rPr>
          <w:lang w:val="es-CO"/>
        </w:rPr>
        <w:t>(A</w:t>
      </w:r>
      <w:r w:rsidR="00261367">
        <w:rPr>
          <w:lang w:val="es-CO"/>
        </w:rPr>
        <w:t>utor</w:t>
      </w:r>
      <w:r w:rsidR="007059D6" w:rsidRPr="00166318">
        <w:rPr>
          <w:lang w:val="es-CO"/>
        </w:rPr>
        <w:t xml:space="preserve"> et al., 2016, 2017; </w:t>
      </w:r>
      <w:proofErr w:type="spellStart"/>
      <w:r w:rsidR="007059D6" w:rsidRPr="00166318">
        <w:rPr>
          <w:lang w:val="es-CO"/>
        </w:rPr>
        <w:t>Bouton</w:t>
      </w:r>
      <w:proofErr w:type="spellEnd"/>
      <w:r w:rsidR="00327ECB">
        <w:rPr>
          <w:lang w:val="es-CO"/>
        </w:rPr>
        <w:t>,</w:t>
      </w:r>
      <w:r w:rsidR="007059D6" w:rsidRPr="00166318">
        <w:rPr>
          <w:lang w:val="es-CO"/>
        </w:rPr>
        <w:t xml:space="preserve"> 1997; Rosas et al.</w:t>
      </w:r>
      <w:r w:rsidR="00327ECB">
        <w:rPr>
          <w:lang w:val="es-CO"/>
        </w:rPr>
        <w:t>,</w:t>
      </w:r>
      <w:r w:rsidR="007059D6" w:rsidRPr="00166318">
        <w:rPr>
          <w:lang w:val="es-CO"/>
        </w:rPr>
        <w:t xml:space="preserve"> 2006).</w:t>
      </w:r>
    </w:p>
    <w:p w14:paraId="361A8E49" w14:textId="75B1E87A" w:rsidR="00C97161" w:rsidRPr="00166318" w:rsidRDefault="00C97161" w:rsidP="00A1320C">
      <w:pPr>
        <w:pStyle w:val="Prrafocomn"/>
        <w:jc w:val="left"/>
        <w:rPr>
          <w:lang w:val="es-CO"/>
        </w:rPr>
      </w:pPr>
      <w:r w:rsidRPr="00166318">
        <w:rPr>
          <w:lang w:val="es-CO"/>
        </w:rPr>
        <w:t>De otro lado, cuando el consumidor aprende que en una tienda específica encuentra un producto que nunca tiene descuento (</w:t>
      </w:r>
      <w:r w:rsidR="003949FE" w:rsidRPr="00166318">
        <w:rPr>
          <w:lang w:val="es-CO"/>
        </w:rPr>
        <w:t xml:space="preserve">caso del </w:t>
      </w:r>
      <w:r w:rsidRPr="00166318">
        <w:rPr>
          <w:lang w:val="es-CO"/>
        </w:rPr>
        <w:t>producto Y), la probabilidad de compra de este producto es menor (aunque no necesariamente baja) y esta probabilidad de compra no se afecta de manera importante cuando el producto es visto en una tienda diferente</w:t>
      </w:r>
      <w:r w:rsidR="00A77AF6" w:rsidRPr="00166318">
        <w:rPr>
          <w:lang w:val="es-CO"/>
        </w:rPr>
        <w:t xml:space="preserve"> (ver Figura 3)</w:t>
      </w:r>
      <w:r w:rsidR="00D26BFE" w:rsidRPr="00166318">
        <w:rPr>
          <w:lang w:val="es-CO"/>
        </w:rPr>
        <w:t>, aunque se observe un ligero incremento en el juicio de compra de este producto al presentarlo en el contexto diferente, que resultaría ser en el que se entrenaron los dos productos con valor diferencial de descuento y con descuento constante</w:t>
      </w:r>
      <w:r w:rsidRPr="00166318">
        <w:rPr>
          <w:lang w:val="es-CO"/>
        </w:rPr>
        <w:t>. Esto podría explicar que la mera presencia de un valor de descuento genera expectativas en el consumidor que espera cumplir al asociar productos con contextos y con descuentos (</w:t>
      </w:r>
      <w:proofErr w:type="spellStart"/>
      <w:r w:rsidRPr="00166318">
        <w:rPr>
          <w:lang w:val="es-CO"/>
        </w:rPr>
        <w:t>Hoch</w:t>
      </w:r>
      <w:proofErr w:type="spellEnd"/>
      <w:r w:rsidRPr="00166318">
        <w:rPr>
          <w:lang w:val="es-CO"/>
        </w:rPr>
        <w:t xml:space="preserve"> &amp; </w:t>
      </w:r>
      <w:proofErr w:type="spellStart"/>
      <w:r w:rsidRPr="00166318">
        <w:rPr>
          <w:lang w:val="es-CO"/>
        </w:rPr>
        <w:t>Deighton</w:t>
      </w:r>
      <w:proofErr w:type="spellEnd"/>
      <w:r w:rsidRPr="00166318">
        <w:rPr>
          <w:lang w:val="es-CO"/>
        </w:rPr>
        <w:t xml:space="preserve">, 1989). Así las cosas, el vincular un producto a la ausencia de descuento, podría facilitar el procesamiento de la información en el consumidor al no generarle expectativas; de tal manera que cambiar el contexto de este producto (encontrarlo en tiendas diferentes) no implica cambios atencionales importantes por lo que la probabilidad de compra se mantiene.   </w:t>
      </w:r>
    </w:p>
    <w:p w14:paraId="7FC139BE" w14:textId="5E77AFC8" w:rsidR="00C97161" w:rsidRPr="00166318" w:rsidRDefault="00C97161" w:rsidP="00FB471A">
      <w:pPr>
        <w:pStyle w:val="Prrafocomn"/>
        <w:jc w:val="left"/>
        <w:rPr>
          <w:lang w:val="es-CO"/>
        </w:rPr>
      </w:pPr>
      <w:r w:rsidRPr="00166318">
        <w:rPr>
          <w:lang w:val="es-CO"/>
        </w:rPr>
        <w:t>Ahora bien, como estrategia promocional de venta, desde la perspectiva del estudio de la atención que el consumidor presta a las diferentes fuentes de información (estímulos), incluidos los productos y los contextos a los que es expuesto</w:t>
      </w:r>
      <w:r w:rsidR="00FB471A" w:rsidRPr="00166318">
        <w:rPr>
          <w:lang w:val="es-CO"/>
        </w:rPr>
        <w:t xml:space="preserve"> durante el aprendizaje, nuestros resultados muestran que</w:t>
      </w:r>
      <w:r w:rsidRPr="00166318">
        <w:rPr>
          <w:lang w:val="es-CO"/>
        </w:rPr>
        <w:t xml:space="preserve"> alternar los valores de descuento podría ser vista como la mejor estrategia para mantener alta la probabilidad de compra desde la perspectiva del producto (incluida la marca), pues si se piensa en la tienda, la expectativa generada en el consumidor de encontrar descuentos en un punto de venta particular, afecta disminuyendo la probabilidad de compra en puntos de venta diferentes. Sin embargo, si lo que se busca es tener cierta </w:t>
      </w:r>
      <w:r w:rsidRPr="00166318">
        <w:rPr>
          <w:lang w:val="es-CO"/>
        </w:rPr>
        <w:lastRenderedPageBreak/>
        <w:t>estabilidad en la probabilidad de compra se puede considerar la no presentación de descuento, pues no generaría un impacto importante el cambio de tienda, aunque esto no sea lo que más les interese a los puntos de venta que desean destacar entre los consumidores</w:t>
      </w:r>
      <w:r w:rsidR="00990B32" w:rsidRPr="00166318">
        <w:rPr>
          <w:lang w:val="es-CO"/>
        </w:rPr>
        <w:t>, pues los mantendría bajo una valoración neutral</w:t>
      </w:r>
      <w:r w:rsidRPr="00166318">
        <w:rPr>
          <w:lang w:val="es-CO"/>
        </w:rPr>
        <w:t>.</w:t>
      </w:r>
    </w:p>
    <w:p w14:paraId="45F46650" w14:textId="3231ED32" w:rsidR="00CC00BE" w:rsidRDefault="00223506" w:rsidP="00C97161">
      <w:pPr>
        <w:pStyle w:val="Prrafocomn"/>
        <w:jc w:val="left"/>
        <w:rPr>
          <w:lang w:val="es-CO"/>
        </w:rPr>
      </w:pPr>
      <w:r>
        <w:rPr>
          <w:lang w:val="es-CO"/>
        </w:rPr>
        <w:t>Una de las principales implicaciones de estos hallazgos apunta hacia la evidencia de que el consumidor</w:t>
      </w:r>
      <w:r w:rsidR="00C97161" w:rsidRPr="62A61FD7">
        <w:rPr>
          <w:lang w:val="es-CO"/>
        </w:rPr>
        <w:t xml:space="preserve"> atiende a </w:t>
      </w:r>
      <w:r>
        <w:rPr>
          <w:lang w:val="es-CO"/>
        </w:rPr>
        <w:t>los</w:t>
      </w:r>
      <w:r w:rsidR="00C97161" w:rsidRPr="62A61FD7">
        <w:rPr>
          <w:lang w:val="es-CO"/>
        </w:rPr>
        <w:t xml:space="preserve"> estímulos que le ofrecen información</w:t>
      </w:r>
      <w:r w:rsidR="00CC00BE">
        <w:rPr>
          <w:lang w:val="es-CO"/>
        </w:rPr>
        <w:t>,</w:t>
      </w:r>
      <w:r w:rsidR="00C97161" w:rsidRPr="62A61FD7">
        <w:rPr>
          <w:lang w:val="es-CO"/>
        </w:rPr>
        <w:t xml:space="preserve"> y en situaciones de decisión su atención </w:t>
      </w:r>
      <w:r>
        <w:rPr>
          <w:lang w:val="es-CO"/>
        </w:rPr>
        <w:t xml:space="preserve">puede dividirse </w:t>
      </w:r>
      <w:r w:rsidR="00C97161" w:rsidRPr="62A61FD7">
        <w:rPr>
          <w:lang w:val="es-CO"/>
        </w:rPr>
        <w:t xml:space="preserve">entre aquellos estímulos que selecciona como mejores proveedores de información novedosa para aprender (Mackintosh, 1975) </w:t>
      </w:r>
      <w:r>
        <w:rPr>
          <w:lang w:val="es-CO"/>
        </w:rPr>
        <w:t>y</w:t>
      </w:r>
      <w:r w:rsidR="00C97161" w:rsidRPr="62A61FD7">
        <w:rPr>
          <w:lang w:val="es-CO"/>
        </w:rPr>
        <w:t xml:space="preserve"> entre aquellos que le ofrecen información que le resulte más familiar y </w:t>
      </w:r>
      <w:r w:rsidR="00990B32" w:rsidRPr="62A61FD7">
        <w:rPr>
          <w:lang w:val="es-CO"/>
        </w:rPr>
        <w:t xml:space="preserve">se </w:t>
      </w:r>
      <w:r w:rsidR="00C97161" w:rsidRPr="62A61FD7">
        <w:rPr>
          <w:lang w:val="es-CO"/>
        </w:rPr>
        <w:t>le</w:t>
      </w:r>
      <w:r w:rsidR="00990B32" w:rsidRPr="62A61FD7">
        <w:rPr>
          <w:lang w:val="es-CO"/>
        </w:rPr>
        <w:t>s</w:t>
      </w:r>
      <w:r w:rsidR="00C97161" w:rsidRPr="62A61FD7">
        <w:rPr>
          <w:lang w:val="es-CO"/>
        </w:rPr>
        <w:t xml:space="preserve"> </w:t>
      </w:r>
      <w:r w:rsidR="00990B32" w:rsidRPr="62A61FD7">
        <w:rPr>
          <w:lang w:val="es-CO"/>
        </w:rPr>
        <w:t>facilite</w:t>
      </w:r>
      <w:r w:rsidR="00C97161" w:rsidRPr="62A61FD7">
        <w:rPr>
          <w:lang w:val="es-CO"/>
        </w:rPr>
        <w:t xml:space="preserve"> reconocer (Pearce &amp; Hall, 1980). </w:t>
      </w:r>
      <w:r w:rsidR="00DE7D00">
        <w:rPr>
          <w:lang w:val="es-CO"/>
        </w:rPr>
        <w:t>Desde la perspectiva de las estrategias promocionales de venta, esta información es valiosa en cuanto sugiere que, desde la selección de la estrategia, pasando por el valor del descuento</w:t>
      </w:r>
      <w:r w:rsidR="00A43CE8">
        <w:rPr>
          <w:lang w:val="es-CO"/>
        </w:rPr>
        <w:t>, la periodicidad de presentación</w:t>
      </w:r>
      <w:r w:rsidR="00DE7D00">
        <w:rPr>
          <w:lang w:val="es-CO"/>
        </w:rPr>
        <w:t xml:space="preserve"> y la forma de presentación, debe considerarse </w:t>
      </w:r>
      <w:r w:rsidR="00A43CE8">
        <w:rPr>
          <w:lang w:val="es-CO"/>
        </w:rPr>
        <w:t>la cantidad y calidad de información que será presentada al consumidor, pues de esto dependerá si el procesamiento atencional se orienta hacia la novedad o la familiaridad y así, el consumidor tome la decisión que corresponda con su aprendizaje.</w:t>
      </w:r>
    </w:p>
    <w:p w14:paraId="40655C66" w14:textId="19D41223" w:rsidR="00A43CE8" w:rsidRDefault="005D4332" w:rsidP="00C97161">
      <w:pPr>
        <w:pStyle w:val="Prrafocomn"/>
        <w:jc w:val="left"/>
        <w:rPr>
          <w:lang w:val="es-CO"/>
        </w:rPr>
      </w:pPr>
      <w:r>
        <w:rPr>
          <w:lang w:val="es-CO"/>
        </w:rPr>
        <w:t>De otro lado, se puede evidenciar que el contexto de presentación de los productos y los descuentos hace parte de la información que es procesada por el consumidor como estímulos adicionales (claves contextuales) que participan en el procesamiento atencional</w:t>
      </w:r>
      <w:r w:rsidR="008C1FE7">
        <w:rPr>
          <w:lang w:val="es-CO"/>
        </w:rPr>
        <w:t xml:space="preserve"> (</w:t>
      </w:r>
      <w:r w:rsidR="008C1FE7" w:rsidRPr="00166318">
        <w:rPr>
          <w:lang w:val="es-CO"/>
        </w:rPr>
        <w:t xml:space="preserve">Le </w:t>
      </w:r>
      <w:proofErr w:type="spellStart"/>
      <w:r w:rsidR="008C1FE7" w:rsidRPr="00166318">
        <w:rPr>
          <w:lang w:val="es-CO"/>
        </w:rPr>
        <w:t>Pelley</w:t>
      </w:r>
      <w:proofErr w:type="spellEnd"/>
      <w:r w:rsidR="008C1FE7" w:rsidRPr="00166318">
        <w:rPr>
          <w:lang w:val="es-CO"/>
        </w:rPr>
        <w:t xml:space="preserve"> et al., 2016, 2013</w:t>
      </w:r>
      <w:r w:rsidR="008C1FE7">
        <w:rPr>
          <w:lang w:val="es-CO"/>
        </w:rPr>
        <w:t xml:space="preserve">; </w:t>
      </w:r>
      <w:r w:rsidR="008C1FE7" w:rsidRPr="00166318">
        <w:rPr>
          <w:lang w:val="es-CO"/>
        </w:rPr>
        <w:t>Rosas et al., 2006</w:t>
      </w:r>
      <w:r w:rsidR="008C1FE7">
        <w:rPr>
          <w:lang w:val="es-CO"/>
        </w:rPr>
        <w:t>)</w:t>
      </w:r>
      <w:r>
        <w:rPr>
          <w:lang w:val="es-CO"/>
        </w:rPr>
        <w:t xml:space="preserve">. Con la exposición repetida a situaciones de compra en condiciones similares, el consumidor </w:t>
      </w:r>
      <w:r w:rsidR="008C1FE7">
        <w:rPr>
          <w:lang w:val="es-CO"/>
        </w:rPr>
        <w:t xml:space="preserve">adquiere experiencia y </w:t>
      </w:r>
      <w:r>
        <w:rPr>
          <w:lang w:val="es-CO"/>
        </w:rPr>
        <w:t>aprende en qué tienda puede encontrar productos con descuentos específicos; e incluso, a probabilizar en qué circunstancias contextuales (día de la semana, tienda, horario) compraría el producto</w:t>
      </w:r>
      <w:r w:rsidR="008C1FE7">
        <w:rPr>
          <w:lang w:val="es-CO"/>
        </w:rPr>
        <w:t>.</w:t>
      </w:r>
      <w:r w:rsidR="00E93D8C">
        <w:rPr>
          <w:lang w:val="es-CO"/>
        </w:rPr>
        <w:t xml:space="preserve"> Esta información podría ser de interés para las empresas al momento de establecer o modificar sus estrategias promocionales de venta teniendo en cuenta lo que le han enseñado a su consumidor (experiencia) y lo que esperan entregar como valor agregado (novedad).  </w:t>
      </w:r>
    </w:p>
    <w:p w14:paraId="1FC682E3" w14:textId="77777777" w:rsidR="00681CF5" w:rsidRDefault="006B6A15" w:rsidP="00C97161">
      <w:pPr>
        <w:pStyle w:val="Prrafocomn"/>
        <w:jc w:val="left"/>
        <w:rPr>
          <w:lang w:val="es-CO"/>
        </w:rPr>
      </w:pPr>
      <w:r>
        <w:rPr>
          <w:lang w:val="es-CO"/>
        </w:rPr>
        <w:t>Finalmente</w:t>
      </w:r>
      <w:r w:rsidR="00C97161" w:rsidRPr="62A61FD7">
        <w:rPr>
          <w:lang w:val="es-CO"/>
        </w:rPr>
        <w:t xml:space="preserve">, </w:t>
      </w:r>
      <w:r w:rsidR="00E62506">
        <w:rPr>
          <w:lang w:val="es-CO"/>
        </w:rPr>
        <w:t>el</w:t>
      </w:r>
      <w:r w:rsidR="00C97161" w:rsidRPr="62A61FD7">
        <w:rPr>
          <w:lang w:val="es-CO"/>
        </w:rPr>
        <w:t xml:space="preserve"> estudio de</w:t>
      </w:r>
      <w:r w:rsidR="00990B32" w:rsidRPr="62A61FD7">
        <w:rPr>
          <w:lang w:val="es-CO"/>
        </w:rPr>
        <w:t xml:space="preserve">l aprendizaje asociativo </w:t>
      </w:r>
      <w:r w:rsidR="00E62506">
        <w:rPr>
          <w:lang w:val="es-CO"/>
        </w:rPr>
        <w:t xml:space="preserve">en </w:t>
      </w:r>
      <w:r w:rsidR="00C97161" w:rsidRPr="62A61FD7">
        <w:rPr>
          <w:lang w:val="es-CO"/>
        </w:rPr>
        <w:t>el consum</w:t>
      </w:r>
      <w:r w:rsidR="00990B32" w:rsidRPr="62A61FD7">
        <w:rPr>
          <w:lang w:val="es-CO"/>
        </w:rPr>
        <w:t>idor</w:t>
      </w:r>
      <w:r w:rsidR="00C97161" w:rsidRPr="62A61FD7">
        <w:rPr>
          <w:lang w:val="es-CO"/>
        </w:rPr>
        <w:t xml:space="preserve"> aún se encuentra en una etapa temprana que promete desarrollos importantes (</w:t>
      </w:r>
      <w:proofErr w:type="spellStart"/>
      <w:r w:rsidR="00C97161" w:rsidRPr="62A61FD7">
        <w:rPr>
          <w:lang w:val="es-CO"/>
        </w:rPr>
        <w:t>Sozuer</w:t>
      </w:r>
      <w:proofErr w:type="spellEnd"/>
      <w:r w:rsidR="00C97161" w:rsidRPr="62A61FD7">
        <w:rPr>
          <w:lang w:val="es-CO"/>
        </w:rPr>
        <w:t xml:space="preserve"> et al., 2020)</w:t>
      </w:r>
      <w:r w:rsidR="00DC6AF7" w:rsidRPr="62A61FD7">
        <w:rPr>
          <w:lang w:val="es-CO"/>
        </w:rPr>
        <w:t>. Resulta</w:t>
      </w:r>
      <w:r w:rsidR="00CE4EA0" w:rsidRPr="62A61FD7">
        <w:rPr>
          <w:lang w:val="es-CO"/>
        </w:rPr>
        <w:t>ría</w:t>
      </w:r>
      <w:r w:rsidR="00DC6AF7" w:rsidRPr="62A61FD7">
        <w:rPr>
          <w:lang w:val="es-CO"/>
        </w:rPr>
        <w:t xml:space="preserve"> interesante continuar la</w:t>
      </w:r>
      <w:r w:rsidR="00C97161" w:rsidRPr="62A61FD7">
        <w:rPr>
          <w:lang w:val="es-CO"/>
        </w:rPr>
        <w:t xml:space="preserve"> aproxima</w:t>
      </w:r>
      <w:r w:rsidR="00DC6AF7" w:rsidRPr="62A61FD7">
        <w:rPr>
          <w:lang w:val="es-CO"/>
        </w:rPr>
        <w:t>ción entre</w:t>
      </w:r>
      <w:r w:rsidR="00C97161" w:rsidRPr="62A61FD7">
        <w:rPr>
          <w:lang w:val="es-CO"/>
        </w:rPr>
        <w:t xml:space="preserve"> l</w:t>
      </w:r>
      <w:r w:rsidR="009C44D1">
        <w:rPr>
          <w:lang w:val="es-CO"/>
        </w:rPr>
        <w:t>os procesos de la</w:t>
      </w:r>
      <w:r w:rsidR="00C97161" w:rsidRPr="62A61FD7">
        <w:rPr>
          <w:lang w:val="es-CO"/>
        </w:rPr>
        <w:t xml:space="preserve"> psicología básica y el marketing como ejes de una nueva perspectiva de estudio del comportamiento del consumidor</w:t>
      </w:r>
      <w:r w:rsidR="00DC6AF7" w:rsidRPr="62A61FD7">
        <w:rPr>
          <w:lang w:val="es-CO"/>
        </w:rPr>
        <w:t xml:space="preserve"> que puede proveerse de otras técnicas de obtención de información que apoye</w:t>
      </w:r>
      <w:r w:rsidR="00CE4EA0" w:rsidRPr="62A61FD7">
        <w:rPr>
          <w:lang w:val="es-CO"/>
        </w:rPr>
        <w:t>n</w:t>
      </w:r>
      <w:r w:rsidR="00DC6AF7" w:rsidRPr="62A61FD7">
        <w:rPr>
          <w:lang w:val="es-CO"/>
        </w:rPr>
        <w:t xml:space="preserve"> la medición independiente de la atención en el aprendizaje; por ejemplo, desde </w:t>
      </w:r>
      <w:r w:rsidR="00C97161" w:rsidRPr="62A61FD7">
        <w:rPr>
          <w:lang w:val="es-CO"/>
        </w:rPr>
        <w:t>las neurociencias aplicadas</w:t>
      </w:r>
      <w:r w:rsidR="00DC6AF7" w:rsidRPr="62A61FD7">
        <w:rPr>
          <w:lang w:val="es-CO"/>
        </w:rPr>
        <w:t xml:space="preserve"> y su </w:t>
      </w:r>
      <w:r w:rsidR="00CE4EA0" w:rsidRPr="62A61FD7">
        <w:rPr>
          <w:lang w:val="es-CO"/>
        </w:rPr>
        <w:t>inclusión</w:t>
      </w:r>
      <w:r w:rsidR="00DC6AF7" w:rsidRPr="62A61FD7">
        <w:rPr>
          <w:lang w:val="es-CO"/>
        </w:rPr>
        <w:t xml:space="preserve"> </w:t>
      </w:r>
      <w:r w:rsidR="00CE4EA0" w:rsidRPr="62A61FD7">
        <w:rPr>
          <w:lang w:val="es-CO"/>
        </w:rPr>
        <w:t>en</w:t>
      </w:r>
      <w:r w:rsidR="00DC6AF7" w:rsidRPr="62A61FD7">
        <w:rPr>
          <w:lang w:val="es-CO"/>
        </w:rPr>
        <w:t xml:space="preserve"> escenarios digitales </w:t>
      </w:r>
      <w:r w:rsidR="00CE4EA0" w:rsidRPr="62A61FD7">
        <w:rPr>
          <w:lang w:val="es-CO"/>
        </w:rPr>
        <w:t>para</w:t>
      </w:r>
      <w:r w:rsidR="00DC6AF7" w:rsidRPr="62A61FD7">
        <w:rPr>
          <w:lang w:val="es-CO"/>
        </w:rPr>
        <w:t xml:space="preserve"> el estudio del consumo online</w:t>
      </w:r>
      <w:r w:rsidR="00C97161" w:rsidRPr="62A61FD7">
        <w:rPr>
          <w:lang w:val="es-CO"/>
        </w:rPr>
        <w:t>.</w:t>
      </w:r>
      <w:r w:rsidR="00EF56A6" w:rsidRPr="62A61FD7">
        <w:rPr>
          <w:lang w:val="es-CO"/>
        </w:rPr>
        <w:t xml:space="preserve"> </w:t>
      </w:r>
    </w:p>
    <w:p w14:paraId="6DAD083B" w14:textId="77777777" w:rsidR="00681CF5" w:rsidRDefault="00681CF5" w:rsidP="00C97161">
      <w:pPr>
        <w:pStyle w:val="Prrafocomn"/>
        <w:jc w:val="left"/>
        <w:rPr>
          <w:lang w:val="es-CO"/>
        </w:rPr>
      </w:pPr>
    </w:p>
    <w:p w14:paraId="02A22EE6" w14:textId="77777777" w:rsidR="00681CF5" w:rsidRDefault="00681CF5" w:rsidP="00C97161">
      <w:pPr>
        <w:pStyle w:val="Prrafocomn"/>
        <w:jc w:val="left"/>
        <w:rPr>
          <w:lang w:val="es-CO"/>
        </w:rPr>
      </w:pPr>
    </w:p>
    <w:p w14:paraId="6CD8B4A8" w14:textId="5A6F9E3F" w:rsidR="006F7E7E" w:rsidRPr="001D4637" w:rsidRDefault="00CE7D65" w:rsidP="002E7852">
      <w:pPr>
        <w:pStyle w:val="Ttulosinternos"/>
      </w:pPr>
      <w:proofErr w:type="spellStart"/>
      <w:r w:rsidRPr="001D4637">
        <w:lastRenderedPageBreak/>
        <w:t>Referenc</w:t>
      </w:r>
      <w:r w:rsidR="00E23C9E" w:rsidRPr="001D4637">
        <w:t>ias</w:t>
      </w:r>
      <w:proofErr w:type="spellEnd"/>
    </w:p>
    <w:p w14:paraId="2F1AE32D" w14:textId="6F82332B" w:rsidR="00000514" w:rsidRDefault="00000514" w:rsidP="00000514">
      <w:pPr>
        <w:ind w:left="720" w:hanging="720"/>
      </w:pPr>
      <w:r w:rsidRPr="00000514">
        <w:t>Abad, M. J., Ramos-</w:t>
      </w:r>
      <w:proofErr w:type="spellStart"/>
      <w:r w:rsidRPr="00000514">
        <w:t>Alvarez</w:t>
      </w:r>
      <w:proofErr w:type="spellEnd"/>
      <w:r w:rsidRPr="00000514">
        <w:t xml:space="preserve">, M. M., &amp; Rosas, J. M. (2009). </w:t>
      </w:r>
      <w:proofErr w:type="spellStart"/>
      <w:r w:rsidRPr="00000514">
        <w:t>Partial</w:t>
      </w:r>
      <w:proofErr w:type="spellEnd"/>
      <w:r w:rsidRPr="00000514">
        <w:t xml:space="preserve"> </w:t>
      </w:r>
      <w:proofErr w:type="spellStart"/>
      <w:r w:rsidRPr="00000514">
        <w:t>reinforcement</w:t>
      </w:r>
      <w:proofErr w:type="spellEnd"/>
      <w:r w:rsidRPr="00000514">
        <w:t xml:space="preserve"> and </w:t>
      </w:r>
      <w:proofErr w:type="spellStart"/>
      <w:r w:rsidRPr="00000514">
        <w:t>context</w:t>
      </w:r>
      <w:proofErr w:type="spellEnd"/>
      <w:r w:rsidRPr="00000514">
        <w:t xml:space="preserve"> </w:t>
      </w:r>
      <w:proofErr w:type="spellStart"/>
      <w:r w:rsidRPr="00000514">
        <w:t>switch</w:t>
      </w:r>
      <w:proofErr w:type="spellEnd"/>
      <w:r w:rsidRPr="00000514">
        <w:t xml:space="preserve"> </w:t>
      </w:r>
      <w:proofErr w:type="spellStart"/>
      <w:r w:rsidRPr="00000514">
        <w:t>effects</w:t>
      </w:r>
      <w:proofErr w:type="spellEnd"/>
      <w:r w:rsidRPr="00000514">
        <w:t xml:space="preserve"> in human </w:t>
      </w:r>
      <w:proofErr w:type="spellStart"/>
      <w:r w:rsidRPr="00000514">
        <w:t>predictive</w:t>
      </w:r>
      <w:proofErr w:type="spellEnd"/>
      <w:r w:rsidRPr="00000514">
        <w:t xml:space="preserve"> </w:t>
      </w:r>
      <w:proofErr w:type="spellStart"/>
      <w:r w:rsidRPr="00000514">
        <w:t>learning</w:t>
      </w:r>
      <w:proofErr w:type="spellEnd"/>
      <w:r w:rsidRPr="00000514">
        <w:t xml:space="preserve">. </w:t>
      </w:r>
      <w:proofErr w:type="spellStart"/>
      <w:r w:rsidRPr="00000514">
        <w:rPr>
          <w:i/>
          <w:iCs/>
        </w:rPr>
        <w:t>Quarterly</w:t>
      </w:r>
      <w:proofErr w:type="spellEnd"/>
      <w:r w:rsidRPr="00000514">
        <w:rPr>
          <w:i/>
          <w:iCs/>
        </w:rPr>
        <w:t xml:space="preserve"> </w:t>
      </w:r>
      <w:proofErr w:type="spellStart"/>
      <w:r w:rsidRPr="00000514">
        <w:rPr>
          <w:i/>
          <w:iCs/>
        </w:rPr>
        <w:t>journal</w:t>
      </w:r>
      <w:proofErr w:type="spellEnd"/>
      <w:r w:rsidRPr="00000514">
        <w:rPr>
          <w:i/>
          <w:iCs/>
        </w:rPr>
        <w:t xml:space="preserve"> </w:t>
      </w:r>
      <w:proofErr w:type="spellStart"/>
      <w:r w:rsidRPr="00000514">
        <w:rPr>
          <w:i/>
          <w:iCs/>
        </w:rPr>
        <w:t>of</w:t>
      </w:r>
      <w:proofErr w:type="spellEnd"/>
      <w:r w:rsidRPr="00000514">
        <w:rPr>
          <w:i/>
          <w:iCs/>
        </w:rPr>
        <w:t xml:space="preserve"> experimental </w:t>
      </w:r>
      <w:proofErr w:type="spellStart"/>
      <w:r w:rsidRPr="00000514">
        <w:rPr>
          <w:i/>
          <w:iCs/>
        </w:rPr>
        <w:t>psychology</w:t>
      </w:r>
      <w:proofErr w:type="spellEnd"/>
      <w:r w:rsidRPr="00000514">
        <w:t xml:space="preserve">, </w:t>
      </w:r>
      <w:r w:rsidRPr="00000514">
        <w:rPr>
          <w:i/>
          <w:iCs/>
        </w:rPr>
        <w:t>62</w:t>
      </w:r>
      <w:r w:rsidRPr="00000514">
        <w:t xml:space="preserve">(1), 174-188. </w:t>
      </w:r>
      <w:hyperlink r:id="rId15" w:history="1">
        <w:r w:rsidRPr="00FD1667">
          <w:rPr>
            <w:rStyle w:val="Hipervnculo"/>
          </w:rPr>
          <w:t>https://doi.org/10.1080%2F17470210701855561</w:t>
        </w:r>
      </w:hyperlink>
    </w:p>
    <w:p w14:paraId="0B811715" w14:textId="75A91026" w:rsidR="00D1102A" w:rsidRDefault="00D1102A" w:rsidP="008531D8">
      <w:pPr>
        <w:ind w:left="720" w:hanging="720"/>
        <w:rPr>
          <w:lang w:val="en-US"/>
        </w:rPr>
      </w:pPr>
      <w:proofErr w:type="spellStart"/>
      <w:r w:rsidRPr="00AF0AA3">
        <w:rPr>
          <w:lang w:val="en-US"/>
        </w:rPr>
        <w:t>Alimpic</w:t>
      </w:r>
      <w:proofErr w:type="spellEnd"/>
      <w:r w:rsidRPr="00AF0AA3">
        <w:rPr>
          <w:lang w:val="en-US"/>
        </w:rPr>
        <w:t>,</w:t>
      </w:r>
      <w:r w:rsidRPr="00D1102A">
        <w:rPr>
          <w:lang w:val="en-US"/>
        </w:rPr>
        <w:t xml:space="preserve"> S. (2014). The effectiveness of sales promotion tools: customers' perspective. </w:t>
      </w:r>
      <w:proofErr w:type="spellStart"/>
      <w:r w:rsidRPr="00D1102A">
        <w:rPr>
          <w:i/>
          <w:iCs/>
          <w:lang w:val="en-US"/>
        </w:rPr>
        <w:t>Актуальні</w:t>
      </w:r>
      <w:proofErr w:type="spellEnd"/>
      <w:r w:rsidRPr="00D1102A">
        <w:rPr>
          <w:i/>
          <w:iCs/>
          <w:lang w:val="en-US"/>
        </w:rPr>
        <w:t xml:space="preserve"> </w:t>
      </w:r>
      <w:proofErr w:type="spellStart"/>
      <w:r w:rsidRPr="00D1102A">
        <w:rPr>
          <w:i/>
          <w:iCs/>
          <w:lang w:val="en-US"/>
        </w:rPr>
        <w:t>проблеми</w:t>
      </w:r>
      <w:proofErr w:type="spellEnd"/>
      <w:r w:rsidRPr="00D1102A">
        <w:rPr>
          <w:i/>
          <w:iCs/>
          <w:lang w:val="en-US"/>
        </w:rPr>
        <w:t xml:space="preserve"> </w:t>
      </w:r>
      <w:proofErr w:type="spellStart"/>
      <w:r w:rsidRPr="00D1102A">
        <w:rPr>
          <w:i/>
          <w:iCs/>
          <w:lang w:val="en-US"/>
        </w:rPr>
        <w:t>економіки</w:t>
      </w:r>
      <w:proofErr w:type="spellEnd"/>
      <w:r w:rsidRPr="00D1102A">
        <w:rPr>
          <w:lang w:val="en-US"/>
        </w:rPr>
        <w:t xml:space="preserve">, </w:t>
      </w:r>
      <w:r w:rsidRPr="00D1102A">
        <w:rPr>
          <w:i/>
          <w:iCs/>
          <w:lang w:val="en-US"/>
        </w:rPr>
        <w:t>12</w:t>
      </w:r>
      <w:r>
        <w:rPr>
          <w:lang w:val="en-US"/>
        </w:rPr>
        <w:t>(162</w:t>
      </w:r>
      <w:r w:rsidRPr="00D1102A">
        <w:rPr>
          <w:lang w:val="en-US"/>
        </w:rPr>
        <w:t xml:space="preserve">), 142-151. </w:t>
      </w:r>
    </w:p>
    <w:p w14:paraId="16CE82A1" w14:textId="71AAA6AB" w:rsidR="00594317" w:rsidRPr="00DB15B8" w:rsidRDefault="00D1102A" w:rsidP="008531D8">
      <w:pPr>
        <w:ind w:left="720" w:hanging="720"/>
        <w:rPr>
          <w:lang w:val="en-US"/>
        </w:rPr>
      </w:pPr>
      <w:r w:rsidRPr="00AF0AA3">
        <w:rPr>
          <w:lang w:val="en-US"/>
        </w:rPr>
        <w:t>Allen,</w:t>
      </w:r>
      <w:r w:rsidRPr="00D1102A">
        <w:rPr>
          <w:lang w:val="en-US"/>
        </w:rPr>
        <w:t xml:space="preserve"> C. T., &amp; </w:t>
      </w:r>
      <w:proofErr w:type="spellStart"/>
      <w:r w:rsidRPr="00D1102A">
        <w:rPr>
          <w:lang w:val="en-US"/>
        </w:rPr>
        <w:t>Shimp</w:t>
      </w:r>
      <w:proofErr w:type="spellEnd"/>
      <w:r w:rsidRPr="00D1102A">
        <w:rPr>
          <w:lang w:val="en-US"/>
        </w:rPr>
        <w:t xml:space="preserve">, T. A. (1990). On using classical conditioning methods for researching the impact of ad-evoked feelings. </w:t>
      </w:r>
      <w:r w:rsidR="00E5005B">
        <w:rPr>
          <w:lang w:val="en-US"/>
        </w:rPr>
        <w:t xml:space="preserve">In B. G. </w:t>
      </w:r>
      <w:proofErr w:type="spellStart"/>
      <w:r w:rsidR="00E5005B">
        <w:rPr>
          <w:lang w:val="en-US"/>
        </w:rPr>
        <w:t>Englis</w:t>
      </w:r>
      <w:proofErr w:type="spellEnd"/>
      <w:r w:rsidR="00E5005B">
        <w:rPr>
          <w:lang w:val="en-US"/>
        </w:rPr>
        <w:t xml:space="preserve"> (Ed.), </w:t>
      </w:r>
      <w:r w:rsidRPr="00D1102A">
        <w:rPr>
          <w:i/>
          <w:iCs/>
          <w:lang w:val="en-US"/>
        </w:rPr>
        <w:t>Emotion in advertising: Theoretical and practical explorations</w:t>
      </w:r>
      <w:r w:rsidRPr="00D1102A">
        <w:rPr>
          <w:lang w:val="en-US"/>
        </w:rPr>
        <w:t xml:space="preserve"> </w:t>
      </w:r>
      <w:r w:rsidR="00E5005B">
        <w:rPr>
          <w:lang w:val="en-US"/>
        </w:rPr>
        <w:t xml:space="preserve">(pp. </w:t>
      </w:r>
      <w:r w:rsidRPr="00D1102A">
        <w:rPr>
          <w:lang w:val="en-US"/>
        </w:rPr>
        <w:t>19-34</w:t>
      </w:r>
      <w:r w:rsidR="00E5005B">
        <w:rPr>
          <w:lang w:val="en-US"/>
        </w:rPr>
        <w:t>)</w:t>
      </w:r>
      <w:r w:rsidRPr="00D1102A">
        <w:rPr>
          <w:lang w:val="en-US"/>
        </w:rPr>
        <w:t>.</w:t>
      </w:r>
      <w:r w:rsidR="00E5005B">
        <w:rPr>
          <w:lang w:val="en-US"/>
        </w:rPr>
        <w:t xml:space="preserve"> Praeger.</w:t>
      </w:r>
    </w:p>
    <w:p w14:paraId="23096342" w14:textId="23E84860" w:rsidR="0064556F" w:rsidRDefault="0064556F" w:rsidP="009855D4">
      <w:pPr>
        <w:ind w:left="720" w:hanging="720"/>
        <w:rPr>
          <w:lang w:val="en-US"/>
        </w:rPr>
      </w:pPr>
      <w:r w:rsidRPr="0064556F">
        <w:rPr>
          <w:lang w:val="en-US"/>
        </w:rPr>
        <w:t>A</w:t>
      </w:r>
      <w:r w:rsidR="00261367">
        <w:rPr>
          <w:lang w:val="en-US"/>
        </w:rPr>
        <w:t>utor</w:t>
      </w:r>
      <w:r w:rsidRPr="0064556F">
        <w:rPr>
          <w:lang w:val="en-US"/>
        </w:rPr>
        <w:t xml:space="preserve">, </w:t>
      </w:r>
      <w:r w:rsidR="00261367">
        <w:rPr>
          <w:lang w:val="en-US"/>
        </w:rPr>
        <w:t>et al. (</w:t>
      </w:r>
      <w:r w:rsidRPr="0064556F">
        <w:rPr>
          <w:lang w:val="en-US"/>
        </w:rPr>
        <w:t xml:space="preserve">2016). </w:t>
      </w:r>
      <w:r w:rsidR="00261367">
        <w:rPr>
          <w:lang w:val="en-US"/>
        </w:rPr>
        <w:t>[</w:t>
      </w:r>
      <w:proofErr w:type="spellStart"/>
      <w:r w:rsidR="00261367">
        <w:rPr>
          <w:lang w:val="en-US"/>
        </w:rPr>
        <w:t>Información</w:t>
      </w:r>
      <w:proofErr w:type="spellEnd"/>
      <w:r w:rsidR="00261367">
        <w:rPr>
          <w:lang w:val="en-US"/>
        </w:rPr>
        <w:t xml:space="preserve"> </w:t>
      </w:r>
      <w:proofErr w:type="spellStart"/>
      <w:r w:rsidR="00261367">
        <w:rPr>
          <w:lang w:val="en-US"/>
        </w:rPr>
        <w:t>omitida</w:t>
      </w:r>
      <w:proofErr w:type="spellEnd"/>
      <w:r w:rsidR="00261367">
        <w:rPr>
          <w:lang w:val="en-US"/>
        </w:rPr>
        <w:t xml:space="preserve"> para la </w:t>
      </w:r>
      <w:proofErr w:type="spellStart"/>
      <w:r w:rsidR="00261367">
        <w:rPr>
          <w:lang w:val="en-US"/>
        </w:rPr>
        <w:t>revisi</w:t>
      </w:r>
      <w:r w:rsidR="00193ABD">
        <w:rPr>
          <w:lang w:val="en-US"/>
        </w:rPr>
        <w:t>ó</w:t>
      </w:r>
      <w:r w:rsidR="00261367">
        <w:rPr>
          <w:lang w:val="en-US"/>
        </w:rPr>
        <w:t>n</w:t>
      </w:r>
      <w:proofErr w:type="spellEnd"/>
      <w:r w:rsidR="00261367">
        <w:rPr>
          <w:lang w:val="en-US"/>
        </w:rPr>
        <w:t>].</w:t>
      </w:r>
    </w:p>
    <w:p w14:paraId="7AF41511" w14:textId="601CB019" w:rsidR="009855D4" w:rsidRDefault="00261367" w:rsidP="009855D4">
      <w:pPr>
        <w:ind w:left="720" w:hanging="720"/>
      </w:pPr>
      <w:r>
        <w:t>Autor, et al</w:t>
      </w:r>
      <w:r w:rsidR="0064556F" w:rsidRPr="0064556F">
        <w:t xml:space="preserve">. (2017). </w:t>
      </w:r>
      <w:r>
        <w:rPr>
          <w:lang w:val="en-US"/>
        </w:rPr>
        <w:t>[</w:t>
      </w:r>
      <w:proofErr w:type="spellStart"/>
      <w:r>
        <w:rPr>
          <w:lang w:val="en-US"/>
        </w:rPr>
        <w:t>Información</w:t>
      </w:r>
      <w:proofErr w:type="spellEnd"/>
      <w:r>
        <w:rPr>
          <w:lang w:val="en-US"/>
        </w:rPr>
        <w:t xml:space="preserve"> </w:t>
      </w:r>
      <w:proofErr w:type="spellStart"/>
      <w:r>
        <w:rPr>
          <w:lang w:val="en-US"/>
        </w:rPr>
        <w:t>omitida</w:t>
      </w:r>
      <w:proofErr w:type="spellEnd"/>
      <w:r>
        <w:rPr>
          <w:lang w:val="en-US"/>
        </w:rPr>
        <w:t xml:space="preserve"> para la </w:t>
      </w:r>
      <w:proofErr w:type="spellStart"/>
      <w:r>
        <w:rPr>
          <w:lang w:val="en-US"/>
        </w:rPr>
        <w:t>revisi</w:t>
      </w:r>
      <w:r w:rsidR="00193ABD">
        <w:rPr>
          <w:lang w:val="en-US"/>
        </w:rPr>
        <w:t>ó</w:t>
      </w:r>
      <w:r>
        <w:rPr>
          <w:lang w:val="en-US"/>
        </w:rPr>
        <w:t>n</w:t>
      </w:r>
      <w:proofErr w:type="spellEnd"/>
      <w:r>
        <w:rPr>
          <w:lang w:val="en-US"/>
        </w:rPr>
        <w:t>].</w:t>
      </w:r>
    </w:p>
    <w:p w14:paraId="0D9AB402" w14:textId="5DCA1A0C" w:rsidR="0023343E" w:rsidRPr="00DB15B8" w:rsidRDefault="00261367" w:rsidP="008531D8">
      <w:pPr>
        <w:ind w:left="720" w:hanging="720"/>
      </w:pPr>
      <w:r>
        <w:t>Autor, et al</w:t>
      </w:r>
      <w:r w:rsidR="0023343E" w:rsidRPr="00DB15B8">
        <w:t xml:space="preserve">. (2021). </w:t>
      </w:r>
      <w:r>
        <w:rPr>
          <w:lang w:val="en-US"/>
        </w:rPr>
        <w:t>[</w:t>
      </w:r>
      <w:proofErr w:type="spellStart"/>
      <w:r>
        <w:rPr>
          <w:lang w:val="en-US"/>
        </w:rPr>
        <w:t>Información</w:t>
      </w:r>
      <w:proofErr w:type="spellEnd"/>
      <w:r>
        <w:rPr>
          <w:lang w:val="en-US"/>
        </w:rPr>
        <w:t xml:space="preserve"> </w:t>
      </w:r>
      <w:proofErr w:type="spellStart"/>
      <w:r>
        <w:rPr>
          <w:lang w:val="en-US"/>
        </w:rPr>
        <w:t>omitida</w:t>
      </w:r>
      <w:proofErr w:type="spellEnd"/>
      <w:r>
        <w:rPr>
          <w:lang w:val="en-US"/>
        </w:rPr>
        <w:t xml:space="preserve"> para la </w:t>
      </w:r>
      <w:proofErr w:type="spellStart"/>
      <w:r>
        <w:rPr>
          <w:lang w:val="en-US"/>
        </w:rPr>
        <w:t>revisi</w:t>
      </w:r>
      <w:r w:rsidR="00193ABD">
        <w:rPr>
          <w:lang w:val="en-US"/>
        </w:rPr>
        <w:t>ó</w:t>
      </w:r>
      <w:r>
        <w:rPr>
          <w:lang w:val="en-US"/>
        </w:rPr>
        <w:t>n</w:t>
      </w:r>
      <w:proofErr w:type="spellEnd"/>
      <w:r>
        <w:rPr>
          <w:lang w:val="en-US"/>
        </w:rPr>
        <w:t>].</w:t>
      </w:r>
    </w:p>
    <w:p w14:paraId="163C4501" w14:textId="7886E49D" w:rsidR="002B22D8" w:rsidRDefault="002B22D8" w:rsidP="008531D8">
      <w:pPr>
        <w:ind w:left="720" w:hanging="720"/>
      </w:pPr>
      <w:r w:rsidRPr="00DB15B8">
        <w:t xml:space="preserve">Balea, P., Nelson, J. B., Ogallar, P. M., </w:t>
      </w:r>
      <w:proofErr w:type="spellStart"/>
      <w:r w:rsidRPr="00DB15B8">
        <w:t>Lamoureux</w:t>
      </w:r>
      <w:proofErr w:type="spellEnd"/>
      <w:r w:rsidRPr="00DB15B8">
        <w:t>, J. A., Aranzubia-</w:t>
      </w:r>
      <w:proofErr w:type="spellStart"/>
      <w:r w:rsidRPr="00DB15B8">
        <w:t>Olasolo</w:t>
      </w:r>
      <w:proofErr w:type="spellEnd"/>
      <w:r w:rsidRPr="00DB15B8">
        <w:t xml:space="preserve">, M., &amp; Sanjuan, M. D. C. (2020). </w:t>
      </w:r>
      <w:proofErr w:type="spellStart"/>
      <w:r w:rsidRPr="00DB15B8">
        <w:t>Extinction</w:t>
      </w:r>
      <w:proofErr w:type="spellEnd"/>
      <w:r w:rsidRPr="00DB15B8">
        <w:t xml:space="preserve"> </w:t>
      </w:r>
      <w:proofErr w:type="spellStart"/>
      <w:r w:rsidRPr="00DB15B8">
        <w:t>contexts</w:t>
      </w:r>
      <w:proofErr w:type="spellEnd"/>
      <w:r w:rsidRPr="00DB15B8">
        <w:t xml:space="preserve"> </w:t>
      </w:r>
      <w:proofErr w:type="spellStart"/>
      <w:r w:rsidRPr="00DB15B8">
        <w:t>fail</w:t>
      </w:r>
      <w:proofErr w:type="spellEnd"/>
      <w:r w:rsidRPr="00DB15B8">
        <w:t xml:space="preserve"> </w:t>
      </w:r>
      <w:proofErr w:type="spellStart"/>
      <w:r w:rsidRPr="00DB15B8">
        <w:t>to</w:t>
      </w:r>
      <w:proofErr w:type="spellEnd"/>
      <w:r w:rsidRPr="00DB15B8">
        <w:t xml:space="preserve"> transfer control: </w:t>
      </w:r>
      <w:proofErr w:type="spellStart"/>
      <w:r w:rsidRPr="00DB15B8">
        <w:t>Implications</w:t>
      </w:r>
      <w:proofErr w:type="spellEnd"/>
      <w:r w:rsidRPr="00DB15B8">
        <w:t xml:space="preserve"> </w:t>
      </w:r>
      <w:proofErr w:type="spellStart"/>
      <w:r w:rsidRPr="00DB15B8">
        <w:t>for</w:t>
      </w:r>
      <w:proofErr w:type="spellEnd"/>
      <w:r w:rsidRPr="00DB15B8">
        <w:t xml:space="preserve"> </w:t>
      </w:r>
      <w:proofErr w:type="spellStart"/>
      <w:r w:rsidRPr="00DB15B8">
        <w:t>conditioned</w:t>
      </w:r>
      <w:proofErr w:type="spellEnd"/>
      <w:r w:rsidRPr="00DB15B8">
        <w:t xml:space="preserve"> </w:t>
      </w:r>
      <w:proofErr w:type="spellStart"/>
      <w:r w:rsidRPr="00DB15B8">
        <w:t>inhibition</w:t>
      </w:r>
      <w:proofErr w:type="spellEnd"/>
      <w:r w:rsidRPr="00DB15B8">
        <w:t xml:space="preserve"> and </w:t>
      </w:r>
      <w:proofErr w:type="spellStart"/>
      <w:r w:rsidRPr="00DB15B8">
        <w:t>occasion-setting</w:t>
      </w:r>
      <w:proofErr w:type="spellEnd"/>
      <w:r w:rsidRPr="00DB15B8">
        <w:t xml:space="preserve"> </w:t>
      </w:r>
      <w:proofErr w:type="spellStart"/>
      <w:r w:rsidRPr="00DB15B8">
        <w:t>accounts</w:t>
      </w:r>
      <w:proofErr w:type="spellEnd"/>
      <w:r w:rsidRPr="00DB15B8">
        <w:t xml:space="preserve"> </w:t>
      </w:r>
      <w:proofErr w:type="spellStart"/>
      <w:r w:rsidRPr="00DB15B8">
        <w:t>of</w:t>
      </w:r>
      <w:proofErr w:type="spellEnd"/>
      <w:r w:rsidRPr="00DB15B8">
        <w:t xml:space="preserve"> </w:t>
      </w:r>
      <w:proofErr w:type="spellStart"/>
      <w:r w:rsidRPr="00DB15B8">
        <w:t>renewal</w:t>
      </w:r>
      <w:proofErr w:type="spellEnd"/>
      <w:r w:rsidRPr="00DB15B8">
        <w:t xml:space="preserve">. </w:t>
      </w:r>
      <w:proofErr w:type="spellStart"/>
      <w:r w:rsidRPr="00AE5D69">
        <w:rPr>
          <w:i/>
          <w:iCs/>
        </w:rPr>
        <w:t>Journal</w:t>
      </w:r>
      <w:proofErr w:type="spellEnd"/>
      <w:r w:rsidRPr="00AE5D69">
        <w:rPr>
          <w:i/>
          <w:iCs/>
        </w:rPr>
        <w:t xml:space="preserve"> </w:t>
      </w:r>
      <w:proofErr w:type="spellStart"/>
      <w:r w:rsidRPr="00AE5D69">
        <w:rPr>
          <w:i/>
          <w:iCs/>
        </w:rPr>
        <w:t>of</w:t>
      </w:r>
      <w:proofErr w:type="spellEnd"/>
      <w:r w:rsidRPr="00AE5D69">
        <w:rPr>
          <w:i/>
          <w:iCs/>
        </w:rPr>
        <w:t xml:space="preserve"> Experimental </w:t>
      </w:r>
      <w:proofErr w:type="spellStart"/>
      <w:r w:rsidRPr="00AE5D69">
        <w:rPr>
          <w:i/>
          <w:iCs/>
        </w:rPr>
        <w:t>Psychology</w:t>
      </w:r>
      <w:proofErr w:type="spellEnd"/>
      <w:r w:rsidRPr="00AE5D69">
        <w:rPr>
          <w:i/>
          <w:iCs/>
        </w:rPr>
        <w:t xml:space="preserve">: Animal </w:t>
      </w:r>
      <w:proofErr w:type="spellStart"/>
      <w:r w:rsidRPr="00AE5D69">
        <w:rPr>
          <w:i/>
          <w:iCs/>
        </w:rPr>
        <w:t>Learning</w:t>
      </w:r>
      <w:proofErr w:type="spellEnd"/>
      <w:r w:rsidRPr="00AE5D69">
        <w:rPr>
          <w:i/>
          <w:iCs/>
        </w:rPr>
        <w:t xml:space="preserve"> and </w:t>
      </w:r>
      <w:proofErr w:type="spellStart"/>
      <w:r w:rsidRPr="00AE5D69">
        <w:rPr>
          <w:i/>
          <w:iCs/>
        </w:rPr>
        <w:t>Cognition</w:t>
      </w:r>
      <w:proofErr w:type="spellEnd"/>
      <w:r w:rsidRPr="00AE5D69">
        <w:rPr>
          <w:i/>
          <w:iCs/>
        </w:rPr>
        <w:t>, 46</w:t>
      </w:r>
      <w:r w:rsidRPr="00DB15B8">
        <w:t>(4), 422</w:t>
      </w:r>
      <w:r w:rsidR="00AE5D69">
        <w:t>-442</w:t>
      </w:r>
      <w:r w:rsidRPr="00DB15B8">
        <w:t>.</w:t>
      </w:r>
      <w:r w:rsidR="00AE5D69">
        <w:t xml:space="preserve"> </w:t>
      </w:r>
      <w:hyperlink r:id="rId16" w:history="1">
        <w:r w:rsidR="00AE5D69" w:rsidRPr="00533653">
          <w:rPr>
            <w:rStyle w:val="Hipervnculo"/>
          </w:rPr>
          <w:t>https://doi.org/10.1037/xan0000273</w:t>
        </w:r>
      </w:hyperlink>
    </w:p>
    <w:p w14:paraId="051A037B" w14:textId="3F2B6B61" w:rsidR="00392FBF" w:rsidRDefault="00392FBF" w:rsidP="008531D8">
      <w:pPr>
        <w:ind w:left="720" w:hanging="720"/>
        <w:rPr>
          <w:lang w:val="en-US"/>
        </w:rPr>
      </w:pPr>
      <w:r w:rsidRPr="00DB15B8">
        <w:rPr>
          <w:lang w:val="en-US"/>
        </w:rPr>
        <w:t xml:space="preserve">Bouton, M. E. (1993). Context, time, and memory retrieval in the interference paradigms of Pavlovian learning. </w:t>
      </w:r>
      <w:r w:rsidRPr="001448D2">
        <w:rPr>
          <w:i/>
          <w:iCs/>
          <w:lang w:val="en-US"/>
        </w:rPr>
        <w:t>Psychological Bulletin, 114</w:t>
      </w:r>
      <w:r w:rsidR="001448D2">
        <w:rPr>
          <w:lang w:val="en-US"/>
        </w:rPr>
        <w:t>(1)</w:t>
      </w:r>
      <w:r w:rsidRPr="00DB15B8">
        <w:rPr>
          <w:lang w:val="en-US"/>
        </w:rPr>
        <w:t xml:space="preserve">, 80-99. </w:t>
      </w:r>
      <w:hyperlink r:id="rId17" w:history="1">
        <w:r w:rsidR="001448D2" w:rsidRPr="00533653">
          <w:rPr>
            <w:rStyle w:val="Hipervnculo"/>
            <w:lang w:val="en-US"/>
          </w:rPr>
          <w:t>https://doi.org/10.1037/0033-2909.114.1.80</w:t>
        </w:r>
      </w:hyperlink>
    </w:p>
    <w:p w14:paraId="5A8A8D1E" w14:textId="0C101B9E" w:rsidR="00001033" w:rsidRDefault="00001033" w:rsidP="008531D8">
      <w:pPr>
        <w:ind w:left="720" w:hanging="720"/>
        <w:rPr>
          <w:lang w:val="en-US"/>
        </w:rPr>
      </w:pPr>
      <w:r w:rsidRPr="00001033">
        <w:rPr>
          <w:lang w:val="en-US"/>
        </w:rPr>
        <w:t xml:space="preserve">Bouton, M. E. (1997). Signals for whether versus when an event will occur. In M. E. Bouton &amp; M. S. </w:t>
      </w:r>
      <w:proofErr w:type="spellStart"/>
      <w:r w:rsidRPr="00001033">
        <w:rPr>
          <w:lang w:val="en-US"/>
        </w:rPr>
        <w:t>Fanselow</w:t>
      </w:r>
      <w:proofErr w:type="spellEnd"/>
      <w:r w:rsidRPr="00001033">
        <w:rPr>
          <w:lang w:val="en-US"/>
        </w:rPr>
        <w:t xml:space="preserve"> (Eds.), </w:t>
      </w:r>
      <w:r w:rsidRPr="005F06A8">
        <w:rPr>
          <w:i/>
          <w:iCs/>
          <w:lang w:val="en-US"/>
        </w:rPr>
        <w:t xml:space="preserve">Learning, motivation, and cognition: The functional behaviorism of Robert C. </w:t>
      </w:r>
      <w:proofErr w:type="spellStart"/>
      <w:r w:rsidRPr="005F06A8">
        <w:rPr>
          <w:i/>
          <w:iCs/>
          <w:lang w:val="en-US"/>
        </w:rPr>
        <w:t>Bolles</w:t>
      </w:r>
      <w:proofErr w:type="spellEnd"/>
      <w:r w:rsidRPr="00001033">
        <w:rPr>
          <w:lang w:val="en-US"/>
        </w:rPr>
        <w:t xml:space="preserve"> (p</w:t>
      </w:r>
      <w:r w:rsidR="005F06A8">
        <w:rPr>
          <w:lang w:val="en-US"/>
        </w:rPr>
        <w:t>p</w:t>
      </w:r>
      <w:r w:rsidRPr="00001033">
        <w:rPr>
          <w:lang w:val="en-US"/>
        </w:rPr>
        <w:t xml:space="preserve">. 385–409). American Psychological Association. </w:t>
      </w:r>
      <w:hyperlink r:id="rId18" w:history="1">
        <w:r w:rsidRPr="00533653">
          <w:rPr>
            <w:rStyle w:val="Hipervnculo"/>
            <w:lang w:val="en-US"/>
          </w:rPr>
          <w:t>https://doi.org/10.1037/10223-019</w:t>
        </w:r>
      </w:hyperlink>
    </w:p>
    <w:p w14:paraId="43BE5784" w14:textId="112F9B87" w:rsidR="00EE3CC8" w:rsidRDefault="0007493C" w:rsidP="008531D8">
      <w:pPr>
        <w:ind w:left="720" w:hanging="720"/>
        <w:rPr>
          <w:lang w:val="en-US"/>
        </w:rPr>
      </w:pPr>
      <w:proofErr w:type="spellStart"/>
      <w:r w:rsidRPr="00DB15B8">
        <w:rPr>
          <w:lang w:val="en-US"/>
        </w:rPr>
        <w:t>Brucks</w:t>
      </w:r>
      <w:proofErr w:type="spellEnd"/>
      <w:r w:rsidRPr="00DB15B8">
        <w:rPr>
          <w:lang w:val="en-US"/>
        </w:rPr>
        <w:t xml:space="preserve">, M. (1985). The effects of product class knowledge on information search behavior. </w:t>
      </w:r>
      <w:r w:rsidRPr="00001033">
        <w:rPr>
          <w:i/>
          <w:iCs/>
          <w:lang w:val="en-US"/>
        </w:rPr>
        <w:t>Journal of Consumer Research, 12</w:t>
      </w:r>
      <w:r w:rsidRPr="00DB15B8">
        <w:rPr>
          <w:lang w:val="en-US"/>
        </w:rPr>
        <w:t>(1), 1–16.</w:t>
      </w:r>
      <w:r w:rsidR="00A71CB0">
        <w:rPr>
          <w:lang w:val="en-US"/>
        </w:rPr>
        <w:t xml:space="preserve"> </w:t>
      </w:r>
      <w:hyperlink r:id="rId19" w:history="1">
        <w:r w:rsidR="00A71CB0" w:rsidRPr="00533653">
          <w:rPr>
            <w:rStyle w:val="Hipervnculo"/>
            <w:lang w:val="en-US"/>
          </w:rPr>
          <w:t>https://doi.org/10.1086/209031</w:t>
        </w:r>
      </w:hyperlink>
    </w:p>
    <w:p w14:paraId="1FD38185" w14:textId="476DAEE9" w:rsidR="001671B0" w:rsidRDefault="001671B0" w:rsidP="008531D8">
      <w:pPr>
        <w:ind w:left="720" w:hanging="720"/>
        <w:rPr>
          <w:lang w:val="en-US"/>
        </w:rPr>
      </w:pPr>
      <w:r w:rsidRPr="00DB15B8">
        <w:rPr>
          <w:lang w:val="en-US"/>
        </w:rPr>
        <w:t xml:space="preserve">Cacciatore, M. A., </w:t>
      </w:r>
      <w:proofErr w:type="spellStart"/>
      <w:r w:rsidRPr="00DB15B8">
        <w:rPr>
          <w:lang w:val="en-US"/>
        </w:rPr>
        <w:t>Scheufele</w:t>
      </w:r>
      <w:proofErr w:type="spellEnd"/>
      <w:r w:rsidRPr="00DB15B8">
        <w:rPr>
          <w:lang w:val="en-US"/>
        </w:rPr>
        <w:t xml:space="preserve">, D. A., &amp; Iyengar, S. (2016). The end of framing as we know it… and the future of media effects. </w:t>
      </w:r>
      <w:r w:rsidRPr="00654AA4">
        <w:rPr>
          <w:i/>
          <w:iCs/>
          <w:lang w:val="en-US"/>
        </w:rPr>
        <w:t>Mass Communication and Society, 19</w:t>
      </w:r>
      <w:r w:rsidRPr="00DB15B8">
        <w:rPr>
          <w:lang w:val="en-US"/>
        </w:rPr>
        <w:t>(1), 7–23.</w:t>
      </w:r>
      <w:r w:rsidR="00654AA4">
        <w:rPr>
          <w:lang w:val="en-US"/>
        </w:rPr>
        <w:t xml:space="preserve"> </w:t>
      </w:r>
      <w:hyperlink r:id="rId20" w:history="1">
        <w:r w:rsidR="00654AA4" w:rsidRPr="00533653">
          <w:rPr>
            <w:rStyle w:val="Hipervnculo"/>
            <w:lang w:val="en-US"/>
          </w:rPr>
          <w:t>https://doi.org/10.1080/15205436.2015.1068811</w:t>
        </w:r>
      </w:hyperlink>
    </w:p>
    <w:p w14:paraId="78B0F547" w14:textId="287EF1B3" w:rsidR="00F35987" w:rsidRDefault="00F35987" w:rsidP="008531D8">
      <w:pPr>
        <w:ind w:left="720" w:hanging="720"/>
        <w:rPr>
          <w:lang w:val="en-US"/>
        </w:rPr>
      </w:pPr>
      <w:proofErr w:type="spellStart"/>
      <w:r w:rsidRPr="00F35987">
        <w:rPr>
          <w:lang w:val="en-US"/>
        </w:rPr>
        <w:t>Callejas</w:t>
      </w:r>
      <w:proofErr w:type="spellEnd"/>
      <w:r w:rsidRPr="00F35987">
        <w:rPr>
          <w:lang w:val="en-US"/>
        </w:rPr>
        <w:t xml:space="preserve">-Aguilera, J. E., </w:t>
      </w:r>
      <w:proofErr w:type="spellStart"/>
      <w:r w:rsidRPr="00F35987">
        <w:rPr>
          <w:lang w:val="en-US"/>
        </w:rPr>
        <w:t>Cubillas</w:t>
      </w:r>
      <w:proofErr w:type="spellEnd"/>
      <w:r w:rsidRPr="00F35987">
        <w:rPr>
          <w:lang w:val="en-US"/>
        </w:rPr>
        <w:t xml:space="preserve">, C. P., &amp; Rosas, J. M. (2019). Attentional instructions modulate differential context-switch effects after short and long training in human predictive learning. </w:t>
      </w:r>
      <w:r w:rsidRPr="00F35987">
        <w:rPr>
          <w:i/>
          <w:iCs/>
          <w:lang w:val="en-US"/>
        </w:rPr>
        <w:t>Journal of Experimental Psychology: Animal Learning and Cognition, 45</w:t>
      </w:r>
      <w:r w:rsidRPr="00F35987">
        <w:rPr>
          <w:lang w:val="en-US"/>
        </w:rPr>
        <w:t xml:space="preserve">(4), 474–484. </w:t>
      </w:r>
      <w:hyperlink r:id="rId21" w:history="1">
        <w:r w:rsidRPr="00533653">
          <w:rPr>
            <w:rStyle w:val="Hipervnculo"/>
            <w:lang w:val="en-US"/>
          </w:rPr>
          <w:t>https://doi.org/10.1037/xan0000214</w:t>
        </w:r>
      </w:hyperlink>
    </w:p>
    <w:p w14:paraId="373EF493" w14:textId="6A81C39F" w:rsidR="00F1125B" w:rsidRDefault="00F1125B" w:rsidP="008531D8">
      <w:pPr>
        <w:ind w:left="720" w:hanging="720"/>
        <w:rPr>
          <w:lang w:val="en-US"/>
        </w:rPr>
      </w:pPr>
      <w:proofErr w:type="spellStart"/>
      <w:r w:rsidRPr="00DB15B8">
        <w:rPr>
          <w:lang w:val="en-US"/>
        </w:rPr>
        <w:t>Callejas</w:t>
      </w:r>
      <w:proofErr w:type="spellEnd"/>
      <w:r w:rsidRPr="00DB15B8">
        <w:rPr>
          <w:lang w:val="en-US"/>
        </w:rPr>
        <w:t xml:space="preserve">-Aguilera, J. E., &amp; Rosas, J. M. (2010). Ambiguity and context processing in human predictive learning. </w:t>
      </w:r>
      <w:r w:rsidRPr="006D1552">
        <w:rPr>
          <w:i/>
          <w:iCs/>
          <w:lang w:val="en-US"/>
        </w:rPr>
        <w:t>Journal of Experimental Psychology: Animal Behavior Processes, 36</w:t>
      </w:r>
      <w:r w:rsidRPr="00DB15B8">
        <w:rPr>
          <w:lang w:val="en-US"/>
        </w:rPr>
        <w:t xml:space="preserve">(4), 482–494. </w:t>
      </w:r>
      <w:hyperlink r:id="rId22" w:history="1">
        <w:r w:rsidR="006D1552" w:rsidRPr="00533653">
          <w:rPr>
            <w:rStyle w:val="Hipervnculo"/>
            <w:lang w:val="en-US"/>
          </w:rPr>
          <w:t>https://doi.org/10.1037/a0018527</w:t>
        </w:r>
      </w:hyperlink>
    </w:p>
    <w:p w14:paraId="7BD864E4" w14:textId="7DF42B7F" w:rsidR="000E2861" w:rsidRPr="00DB15B8" w:rsidRDefault="000E2861" w:rsidP="000E2861">
      <w:pPr>
        <w:ind w:left="720" w:hanging="720"/>
        <w:rPr>
          <w:lang w:val="en-US"/>
        </w:rPr>
      </w:pPr>
      <w:r w:rsidRPr="009E1677">
        <w:rPr>
          <w:lang w:val="en-US"/>
        </w:rPr>
        <w:t>Cohen</w:t>
      </w:r>
      <w:r w:rsidRPr="00DB15B8">
        <w:rPr>
          <w:lang w:val="en-US"/>
        </w:rPr>
        <w:t xml:space="preserve">, J. (1988). </w:t>
      </w:r>
      <w:r w:rsidRPr="00210B9B">
        <w:rPr>
          <w:i/>
          <w:iCs/>
          <w:lang w:val="en-US"/>
        </w:rPr>
        <w:t>Statistical power analysis for the behavioral sciences</w:t>
      </w:r>
      <w:r w:rsidR="00143C84">
        <w:rPr>
          <w:i/>
          <w:iCs/>
          <w:lang w:val="en-US"/>
        </w:rPr>
        <w:t xml:space="preserve"> </w:t>
      </w:r>
      <w:r w:rsidR="00143C84">
        <w:rPr>
          <w:lang w:val="en-US"/>
        </w:rPr>
        <w:t>(Revised Edition)</w:t>
      </w:r>
      <w:r w:rsidRPr="00DB15B8">
        <w:rPr>
          <w:lang w:val="en-US"/>
        </w:rPr>
        <w:t xml:space="preserve">. </w:t>
      </w:r>
      <w:r w:rsidR="00143C84">
        <w:rPr>
          <w:lang w:val="en-US"/>
        </w:rPr>
        <w:t>Academic Press</w:t>
      </w:r>
      <w:r w:rsidR="00210B9B">
        <w:rPr>
          <w:lang w:val="en-US"/>
        </w:rPr>
        <w:t>.</w:t>
      </w:r>
    </w:p>
    <w:p w14:paraId="033BDD59" w14:textId="4C08C561" w:rsidR="0023343E" w:rsidRDefault="0023343E" w:rsidP="008531D8">
      <w:pPr>
        <w:ind w:left="720" w:hanging="720"/>
        <w:rPr>
          <w:lang w:val="en-US"/>
        </w:rPr>
      </w:pPr>
      <w:proofErr w:type="spellStart"/>
      <w:r w:rsidRPr="00DB15B8">
        <w:rPr>
          <w:lang w:val="en-US"/>
        </w:rPr>
        <w:t>Faul</w:t>
      </w:r>
      <w:proofErr w:type="spellEnd"/>
      <w:r w:rsidRPr="00DB15B8">
        <w:rPr>
          <w:lang w:val="en-US"/>
        </w:rPr>
        <w:t xml:space="preserve">, F., </w:t>
      </w:r>
      <w:proofErr w:type="spellStart"/>
      <w:r w:rsidRPr="00DB15B8">
        <w:rPr>
          <w:lang w:val="en-US"/>
        </w:rPr>
        <w:t>Erdfelder</w:t>
      </w:r>
      <w:proofErr w:type="spellEnd"/>
      <w:r w:rsidRPr="00DB15B8">
        <w:rPr>
          <w:lang w:val="en-US"/>
        </w:rPr>
        <w:t xml:space="preserve">, E., Lang, A.-G., &amp; Buchner, A. (2007). G* Power 3: A flexible statistical power analysis program for the social, behavioral, and biomedical sciences. </w:t>
      </w:r>
      <w:r w:rsidRPr="003178CF">
        <w:rPr>
          <w:i/>
          <w:iCs/>
          <w:lang w:val="en-US"/>
        </w:rPr>
        <w:t>Behavior Research Methods, 39</w:t>
      </w:r>
      <w:r w:rsidRPr="00DB15B8">
        <w:rPr>
          <w:lang w:val="en-US"/>
        </w:rPr>
        <w:t>(2), 175–191.</w:t>
      </w:r>
      <w:r w:rsidR="003178CF">
        <w:rPr>
          <w:lang w:val="en-US"/>
        </w:rPr>
        <w:t xml:space="preserve"> </w:t>
      </w:r>
      <w:hyperlink r:id="rId23" w:history="1">
        <w:r w:rsidR="003178CF" w:rsidRPr="00533653">
          <w:rPr>
            <w:rStyle w:val="Hipervnculo"/>
            <w:lang w:val="en-US"/>
          </w:rPr>
          <w:t>https://doi.org/10.3758/BF03193146</w:t>
        </w:r>
      </w:hyperlink>
    </w:p>
    <w:p w14:paraId="355E7204" w14:textId="091C7828" w:rsidR="00205AAC" w:rsidRPr="00DB15B8" w:rsidRDefault="00205AAC" w:rsidP="008531D8">
      <w:pPr>
        <w:ind w:left="720" w:hanging="720"/>
        <w:rPr>
          <w:lang w:val="en-US"/>
        </w:rPr>
      </w:pPr>
      <w:proofErr w:type="spellStart"/>
      <w:r w:rsidRPr="00DB15B8">
        <w:rPr>
          <w:lang w:val="en-US"/>
        </w:rPr>
        <w:t>Foxall</w:t>
      </w:r>
      <w:proofErr w:type="spellEnd"/>
      <w:r w:rsidRPr="00DB15B8">
        <w:rPr>
          <w:lang w:val="en-US"/>
        </w:rPr>
        <w:t xml:space="preserve">, G. (2016). </w:t>
      </w:r>
      <w:r w:rsidRPr="00B434FE">
        <w:rPr>
          <w:i/>
          <w:iCs/>
          <w:lang w:val="en-US"/>
        </w:rPr>
        <w:t>Consumers in context: The BPM research program</w:t>
      </w:r>
      <w:r w:rsidRPr="00DB15B8">
        <w:rPr>
          <w:lang w:val="en-US"/>
        </w:rPr>
        <w:t>. Routledge</w:t>
      </w:r>
      <w:r w:rsidR="00B434FE">
        <w:rPr>
          <w:lang w:val="en-US"/>
        </w:rPr>
        <w:t>.</w:t>
      </w:r>
    </w:p>
    <w:p w14:paraId="445A442D" w14:textId="02A1162D" w:rsidR="00335918" w:rsidRDefault="00335918" w:rsidP="008531D8">
      <w:pPr>
        <w:ind w:left="720" w:hanging="720"/>
        <w:rPr>
          <w:lang w:val="en-US"/>
        </w:rPr>
      </w:pPr>
      <w:r w:rsidRPr="00DB15B8">
        <w:t xml:space="preserve">García-Madariaga, J., López, M.-F. B., Burgos, I. M., &amp; </w:t>
      </w:r>
      <w:proofErr w:type="spellStart"/>
      <w:r w:rsidRPr="00DB15B8">
        <w:t>Virto</w:t>
      </w:r>
      <w:proofErr w:type="spellEnd"/>
      <w:r w:rsidRPr="00DB15B8">
        <w:t xml:space="preserve">, N. R. (2019). </w:t>
      </w:r>
      <w:r w:rsidRPr="00DB15B8">
        <w:rPr>
          <w:lang w:val="en-US"/>
        </w:rPr>
        <w:t xml:space="preserve">Do isolated packaging variables influence consumers’ attention and preferences? </w:t>
      </w:r>
      <w:r w:rsidRPr="00066897">
        <w:rPr>
          <w:i/>
          <w:iCs/>
          <w:lang w:val="en-US"/>
        </w:rPr>
        <w:t>Physiology &amp; Behavior, 200</w:t>
      </w:r>
      <w:r w:rsidR="00066897">
        <w:rPr>
          <w:lang w:val="en-US"/>
        </w:rPr>
        <w:t>(1)</w:t>
      </w:r>
      <w:r w:rsidRPr="00DB15B8">
        <w:rPr>
          <w:lang w:val="en-US"/>
        </w:rPr>
        <w:t>, 96–103.</w:t>
      </w:r>
      <w:r w:rsidR="00066897">
        <w:rPr>
          <w:lang w:val="en-US"/>
        </w:rPr>
        <w:t xml:space="preserve"> </w:t>
      </w:r>
      <w:hyperlink r:id="rId24" w:history="1">
        <w:r w:rsidR="00066897" w:rsidRPr="00533653">
          <w:rPr>
            <w:rStyle w:val="Hipervnculo"/>
            <w:lang w:val="en-US"/>
          </w:rPr>
          <w:t>https://doi.org/10.1016/j.physbeh.2018.04.030</w:t>
        </w:r>
      </w:hyperlink>
    </w:p>
    <w:p w14:paraId="5CA55FC8" w14:textId="159CBA5E" w:rsidR="00CE7D65" w:rsidRDefault="0007493C" w:rsidP="008531D8">
      <w:pPr>
        <w:ind w:left="720" w:hanging="720"/>
        <w:rPr>
          <w:lang w:val="en-US"/>
        </w:rPr>
      </w:pPr>
      <w:r w:rsidRPr="00DB15B8">
        <w:rPr>
          <w:lang w:val="en-US"/>
        </w:rPr>
        <w:t xml:space="preserve">Hoch, S. J., &amp; Deighton, J. (1989). Managing what consumers learn from experience. </w:t>
      </w:r>
      <w:r w:rsidRPr="00F84DC8">
        <w:rPr>
          <w:i/>
          <w:iCs/>
          <w:lang w:val="en-US"/>
        </w:rPr>
        <w:t>Journal of Marketing, 53</w:t>
      </w:r>
      <w:r w:rsidRPr="00DB15B8">
        <w:rPr>
          <w:lang w:val="en-US"/>
        </w:rPr>
        <w:t>(2), 1–20.</w:t>
      </w:r>
      <w:r w:rsidR="00F84DC8">
        <w:rPr>
          <w:lang w:val="en-US"/>
        </w:rPr>
        <w:t xml:space="preserve"> </w:t>
      </w:r>
      <w:hyperlink r:id="rId25" w:history="1">
        <w:r w:rsidR="00F84DC8" w:rsidRPr="00533653">
          <w:rPr>
            <w:rStyle w:val="Hipervnculo"/>
            <w:lang w:val="en-US"/>
          </w:rPr>
          <w:t>https://doi.org/10.1177/002224298905300201</w:t>
        </w:r>
      </w:hyperlink>
    </w:p>
    <w:p w14:paraId="31B985D1" w14:textId="0A6165C2" w:rsidR="002F02BF" w:rsidRPr="00DB15B8" w:rsidRDefault="0007493C" w:rsidP="008531D8">
      <w:pPr>
        <w:ind w:left="720" w:hanging="720"/>
        <w:rPr>
          <w:lang w:val="en-US"/>
        </w:rPr>
      </w:pPr>
      <w:r w:rsidRPr="006D38E8">
        <w:rPr>
          <w:lang w:val="en-US"/>
        </w:rPr>
        <w:t>Hoyer,</w:t>
      </w:r>
      <w:r w:rsidRPr="00DB15B8">
        <w:rPr>
          <w:lang w:val="en-US"/>
        </w:rPr>
        <w:t xml:space="preserve"> W., </w:t>
      </w:r>
      <w:proofErr w:type="spellStart"/>
      <w:r w:rsidRPr="00DB15B8">
        <w:rPr>
          <w:lang w:val="en-US"/>
        </w:rPr>
        <w:t>Maclnnis</w:t>
      </w:r>
      <w:proofErr w:type="spellEnd"/>
      <w:r w:rsidRPr="00DB15B8">
        <w:rPr>
          <w:lang w:val="en-US"/>
        </w:rPr>
        <w:t xml:space="preserve">, D., &amp; Pieters, R. (2013). Attitudes based on high effort. In </w:t>
      </w:r>
      <w:r w:rsidRPr="00505EA3">
        <w:rPr>
          <w:i/>
          <w:iCs/>
          <w:lang w:val="en-US"/>
        </w:rPr>
        <w:t>Consumer Behavior</w:t>
      </w:r>
      <w:r w:rsidRPr="00DB15B8">
        <w:rPr>
          <w:lang w:val="en-US"/>
        </w:rPr>
        <w:t xml:space="preserve"> (</w:t>
      </w:r>
      <w:r w:rsidR="00D645A9">
        <w:rPr>
          <w:lang w:val="en-US"/>
        </w:rPr>
        <w:t xml:space="preserve">6th ed., </w:t>
      </w:r>
      <w:r w:rsidRPr="00DB15B8">
        <w:rPr>
          <w:lang w:val="en-US"/>
        </w:rPr>
        <w:t>pp. 127–156). South</w:t>
      </w:r>
      <w:r w:rsidR="00D645A9">
        <w:rPr>
          <w:lang w:val="en-US"/>
        </w:rPr>
        <w:t>-</w:t>
      </w:r>
      <w:r w:rsidRPr="00DB15B8">
        <w:rPr>
          <w:lang w:val="en-US"/>
        </w:rPr>
        <w:t>Western Cengage Learning.</w:t>
      </w:r>
    </w:p>
    <w:p w14:paraId="542DD322" w14:textId="06A19399" w:rsidR="0007493C" w:rsidRDefault="0007493C" w:rsidP="008531D8">
      <w:pPr>
        <w:ind w:left="720" w:hanging="720"/>
        <w:rPr>
          <w:lang w:val="en-US"/>
        </w:rPr>
      </w:pPr>
      <w:r w:rsidRPr="00DB15B8">
        <w:rPr>
          <w:lang w:val="en-US"/>
        </w:rPr>
        <w:lastRenderedPageBreak/>
        <w:t xml:space="preserve">Kahneman, D. (2003). Maps of bounded rationality: Psychology for behavioral economics. </w:t>
      </w:r>
      <w:r w:rsidRPr="00FD7057">
        <w:rPr>
          <w:i/>
          <w:iCs/>
          <w:lang w:val="en-US"/>
        </w:rPr>
        <w:t>American Economic Review, 93</w:t>
      </w:r>
      <w:r w:rsidRPr="00DB15B8">
        <w:rPr>
          <w:lang w:val="en-US"/>
        </w:rPr>
        <w:t>(5), 1449–1475.</w:t>
      </w:r>
      <w:r w:rsidR="00775E97">
        <w:rPr>
          <w:lang w:val="en-US"/>
        </w:rPr>
        <w:t xml:space="preserve"> </w:t>
      </w:r>
      <w:hyperlink r:id="rId26" w:history="1">
        <w:r w:rsidR="00775E97" w:rsidRPr="00533653">
          <w:rPr>
            <w:rStyle w:val="Hipervnculo"/>
            <w:lang w:val="en-US"/>
          </w:rPr>
          <w:t>https://doi.org/10.1257/000282803322655392</w:t>
        </w:r>
      </w:hyperlink>
    </w:p>
    <w:p w14:paraId="30F6F5F7" w14:textId="58821EBD" w:rsidR="00BB4ACF" w:rsidRDefault="00BB4ACF" w:rsidP="00BB4ACF">
      <w:pPr>
        <w:ind w:left="720" w:hanging="720"/>
        <w:rPr>
          <w:lang w:val="en-US"/>
        </w:rPr>
      </w:pPr>
      <w:proofErr w:type="spellStart"/>
      <w:r w:rsidRPr="00DB15B8">
        <w:rPr>
          <w:lang w:val="en-US"/>
        </w:rPr>
        <w:t>Kruschke</w:t>
      </w:r>
      <w:proofErr w:type="spellEnd"/>
      <w:r w:rsidRPr="00DB15B8">
        <w:rPr>
          <w:lang w:val="en-US"/>
        </w:rPr>
        <w:t xml:space="preserve">, J. K. (2001). Toward a unified model of attention in associative learning. </w:t>
      </w:r>
      <w:r w:rsidRPr="00ED7D65">
        <w:rPr>
          <w:i/>
          <w:iCs/>
          <w:lang w:val="en-US"/>
        </w:rPr>
        <w:t>Journal of Mathematical Psychology, 45</w:t>
      </w:r>
      <w:r w:rsidRPr="00DB15B8">
        <w:rPr>
          <w:lang w:val="en-US"/>
        </w:rPr>
        <w:t>(6), 812–863.</w:t>
      </w:r>
      <w:r w:rsidR="00ED7D65">
        <w:rPr>
          <w:lang w:val="en-US"/>
        </w:rPr>
        <w:t xml:space="preserve"> </w:t>
      </w:r>
      <w:hyperlink r:id="rId27" w:history="1">
        <w:r w:rsidR="00ED7D65" w:rsidRPr="00533653">
          <w:rPr>
            <w:rStyle w:val="Hipervnculo"/>
            <w:lang w:val="en-US"/>
          </w:rPr>
          <w:t>https://doi.org/10.1006/jmps.2000.1354</w:t>
        </w:r>
      </w:hyperlink>
    </w:p>
    <w:p w14:paraId="36369FBF" w14:textId="36C141C8" w:rsidR="00BB4ACF" w:rsidRDefault="00BB4ACF" w:rsidP="00BB4ACF">
      <w:pPr>
        <w:ind w:left="720" w:hanging="720"/>
        <w:rPr>
          <w:lang w:val="en-US"/>
        </w:rPr>
      </w:pPr>
      <w:proofErr w:type="spellStart"/>
      <w:r w:rsidRPr="00DB15B8">
        <w:rPr>
          <w:lang w:val="en-US"/>
        </w:rPr>
        <w:t>Kruschke</w:t>
      </w:r>
      <w:proofErr w:type="spellEnd"/>
      <w:r w:rsidRPr="00DB15B8">
        <w:rPr>
          <w:lang w:val="en-US"/>
        </w:rPr>
        <w:t xml:space="preserve">, J. K. (2003). Attention in learning. </w:t>
      </w:r>
      <w:r w:rsidRPr="006B0AF4">
        <w:rPr>
          <w:i/>
          <w:iCs/>
          <w:lang w:val="en-US"/>
        </w:rPr>
        <w:t>Current Directions in Psychological Science, 12</w:t>
      </w:r>
      <w:r w:rsidRPr="00DB15B8">
        <w:rPr>
          <w:lang w:val="en-US"/>
        </w:rPr>
        <w:t>(5), 171–175.</w:t>
      </w:r>
      <w:r w:rsidR="006B0AF4">
        <w:rPr>
          <w:lang w:val="en-US"/>
        </w:rPr>
        <w:t xml:space="preserve"> </w:t>
      </w:r>
      <w:hyperlink r:id="rId28" w:history="1">
        <w:r w:rsidR="006B0AF4" w:rsidRPr="00533653">
          <w:rPr>
            <w:rStyle w:val="Hipervnculo"/>
            <w:lang w:val="en-US"/>
          </w:rPr>
          <w:t>https://doi.org/10.1111/1467-8721.01254</w:t>
        </w:r>
      </w:hyperlink>
    </w:p>
    <w:p w14:paraId="07B934F6" w14:textId="32B888E3" w:rsidR="001671B0" w:rsidRPr="00DB15B8" w:rsidRDefault="001671B0" w:rsidP="008531D8">
      <w:pPr>
        <w:ind w:left="720" w:hanging="720"/>
        <w:rPr>
          <w:lang w:val="en-US"/>
        </w:rPr>
      </w:pPr>
      <w:proofErr w:type="spellStart"/>
      <w:r w:rsidRPr="00DB15B8">
        <w:rPr>
          <w:lang w:val="en-US"/>
        </w:rPr>
        <w:t>Kruschke</w:t>
      </w:r>
      <w:proofErr w:type="spellEnd"/>
      <w:r w:rsidRPr="00DB15B8">
        <w:rPr>
          <w:lang w:val="en-US"/>
        </w:rPr>
        <w:t xml:space="preserve">, J. K., &amp; </w:t>
      </w:r>
      <w:proofErr w:type="spellStart"/>
      <w:r w:rsidRPr="00DB15B8">
        <w:rPr>
          <w:lang w:val="en-US"/>
        </w:rPr>
        <w:t>Hullinger</w:t>
      </w:r>
      <w:proofErr w:type="spellEnd"/>
      <w:r w:rsidRPr="00DB15B8">
        <w:rPr>
          <w:lang w:val="en-US"/>
        </w:rPr>
        <w:t xml:space="preserve">, R. A. (2010). Evolution of attention in learning. </w:t>
      </w:r>
      <w:r w:rsidR="00DF5852">
        <w:rPr>
          <w:lang w:val="en-US"/>
        </w:rPr>
        <w:t xml:space="preserve">In N. </w:t>
      </w:r>
      <w:proofErr w:type="spellStart"/>
      <w:r w:rsidR="00DF5852">
        <w:rPr>
          <w:lang w:val="en-US"/>
        </w:rPr>
        <w:t>Schmajuk</w:t>
      </w:r>
      <w:proofErr w:type="spellEnd"/>
      <w:r w:rsidR="00DF5852">
        <w:rPr>
          <w:lang w:val="en-US"/>
        </w:rPr>
        <w:t xml:space="preserve"> (Ed.), </w:t>
      </w:r>
      <w:r w:rsidRPr="00DF5852">
        <w:rPr>
          <w:i/>
          <w:iCs/>
          <w:lang w:val="en-US"/>
        </w:rPr>
        <w:t>Computational Models of Conditioning</w:t>
      </w:r>
      <w:r w:rsidRPr="00DB15B8">
        <w:rPr>
          <w:lang w:val="en-US"/>
        </w:rPr>
        <w:t xml:space="preserve"> </w:t>
      </w:r>
      <w:r w:rsidR="00DF5852">
        <w:rPr>
          <w:lang w:val="en-US"/>
        </w:rPr>
        <w:t xml:space="preserve">(pp. </w:t>
      </w:r>
      <w:r w:rsidRPr="00DB15B8">
        <w:rPr>
          <w:lang w:val="en-US"/>
        </w:rPr>
        <w:t>10–52</w:t>
      </w:r>
      <w:r w:rsidR="00DF5852">
        <w:rPr>
          <w:lang w:val="en-US"/>
        </w:rPr>
        <w:t>)</w:t>
      </w:r>
      <w:r w:rsidRPr="00DB15B8">
        <w:rPr>
          <w:lang w:val="en-US"/>
        </w:rPr>
        <w:t>.</w:t>
      </w:r>
      <w:r w:rsidR="00DF5852">
        <w:rPr>
          <w:lang w:val="en-US"/>
        </w:rPr>
        <w:t xml:space="preserve"> Cambridge University Press.</w:t>
      </w:r>
    </w:p>
    <w:p w14:paraId="6EC8A9E8" w14:textId="22DAF39B" w:rsidR="005675A3" w:rsidRDefault="005675A3" w:rsidP="008531D8">
      <w:pPr>
        <w:ind w:left="720" w:hanging="720"/>
        <w:rPr>
          <w:lang w:val="en-US"/>
        </w:rPr>
      </w:pPr>
      <w:r w:rsidRPr="00DB15B8">
        <w:rPr>
          <w:lang w:val="en-US"/>
        </w:rPr>
        <w:t xml:space="preserve">Le Pelley, M., </w:t>
      </w:r>
      <w:proofErr w:type="spellStart"/>
      <w:r w:rsidRPr="00DB15B8">
        <w:rPr>
          <w:lang w:val="en-US"/>
        </w:rPr>
        <w:t>Beesley</w:t>
      </w:r>
      <w:proofErr w:type="spellEnd"/>
      <w:r w:rsidRPr="00DB15B8">
        <w:rPr>
          <w:lang w:val="en-US"/>
        </w:rPr>
        <w:t xml:space="preserve">, T., &amp; Griffiths, O. (2011). Overt Attention and Predictiveness in Human Contingency Learning. </w:t>
      </w:r>
      <w:r w:rsidRPr="00981D61">
        <w:rPr>
          <w:i/>
          <w:iCs/>
          <w:lang w:val="en-US"/>
        </w:rPr>
        <w:t>Journal of Experimental Psychology</w:t>
      </w:r>
      <w:r w:rsidR="00981D61">
        <w:rPr>
          <w:i/>
          <w:iCs/>
          <w:lang w:val="en-US"/>
        </w:rPr>
        <w:t>:</w:t>
      </w:r>
      <w:r w:rsidRPr="00981D61">
        <w:rPr>
          <w:i/>
          <w:iCs/>
          <w:lang w:val="en-US"/>
        </w:rPr>
        <w:t xml:space="preserve"> Animal Behavior Processes, 37</w:t>
      </w:r>
      <w:r w:rsidR="00394E67">
        <w:rPr>
          <w:lang w:val="en-US"/>
        </w:rPr>
        <w:t>(2)</w:t>
      </w:r>
      <w:r w:rsidRPr="00DB15B8">
        <w:rPr>
          <w:lang w:val="en-US"/>
        </w:rPr>
        <w:t xml:space="preserve">, 220–229. </w:t>
      </w:r>
      <w:hyperlink r:id="rId29" w:history="1">
        <w:r w:rsidR="00981D61" w:rsidRPr="00533653">
          <w:rPr>
            <w:rStyle w:val="Hipervnculo"/>
            <w:lang w:val="en-US"/>
          </w:rPr>
          <w:t>https://doi.org/10.1037/a0021384</w:t>
        </w:r>
      </w:hyperlink>
    </w:p>
    <w:p w14:paraId="60C19B8B" w14:textId="1401AC00" w:rsidR="005675A3" w:rsidRDefault="005675A3" w:rsidP="008531D8">
      <w:pPr>
        <w:ind w:left="720" w:hanging="720"/>
        <w:rPr>
          <w:lang w:val="en-US"/>
        </w:rPr>
      </w:pPr>
      <w:r w:rsidRPr="00DB15B8">
        <w:rPr>
          <w:lang w:val="en-US"/>
        </w:rPr>
        <w:t xml:space="preserve">Le Pelley, M. E., Mitchell, C. J., </w:t>
      </w:r>
      <w:proofErr w:type="spellStart"/>
      <w:r w:rsidRPr="00DB15B8">
        <w:rPr>
          <w:lang w:val="en-US"/>
        </w:rPr>
        <w:t>Beesley</w:t>
      </w:r>
      <w:proofErr w:type="spellEnd"/>
      <w:r w:rsidRPr="00DB15B8">
        <w:rPr>
          <w:lang w:val="en-US"/>
        </w:rPr>
        <w:t xml:space="preserve">, T., George, D. N., &amp; Wills, A. J. (2016). Attention and associative learning in humans: An integrative review. </w:t>
      </w:r>
      <w:r w:rsidRPr="00692A60">
        <w:rPr>
          <w:i/>
          <w:iCs/>
          <w:lang w:val="en-US"/>
        </w:rPr>
        <w:t>Psychological Bulletin, 142</w:t>
      </w:r>
      <w:r w:rsidRPr="00DB15B8">
        <w:rPr>
          <w:lang w:val="en-US"/>
        </w:rPr>
        <w:t>(10), 1111</w:t>
      </w:r>
      <w:r w:rsidR="00692A60">
        <w:rPr>
          <w:lang w:val="en-US"/>
        </w:rPr>
        <w:t>-1140</w:t>
      </w:r>
      <w:r w:rsidRPr="00DB15B8">
        <w:rPr>
          <w:lang w:val="en-US"/>
        </w:rPr>
        <w:t>.</w:t>
      </w:r>
      <w:r w:rsidR="00692A60">
        <w:rPr>
          <w:lang w:val="en-US"/>
        </w:rPr>
        <w:t xml:space="preserve"> </w:t>
      </w:r>
      <w:hyperlink r:id="rId30" w:history="1">
        <w:r w:rsidR="00692A60" w:rsidRPr="00533653">
          <w:rPr>
            <w:rStyle w:val="Hipervnculo"/>
            <w:lang w:val="en-US"/>
          </w:rPr>
          <w:t>https://doi.org/10.1037/bul0000064</w:t>
        </w:r>
      </w:hyperlink>
    </w:p>
    <w:p w14:paraId="121DE847" w14:textId="5E21D04A" w:rsidR="00872A48" w:rsidRDefault="00872A48" w:rsidP="008531D8">
      <w:pPr>
        <w:ind w:left="720" w:hanging="720"/>
        <w:rPr>
          <w:lang w:val="en-US"/>
        </w:rPr>
      </w:pPr>
      <w:r w:rsidRPr="00DB15B8">
        <w:rPr>
          <w:lang w:val="en-US"/>
        </w:rPr>
        <w:t xml:space="preserve">Le Pelley, M. E., Mitchell, C. J., &amp; Johnson, A. M. (2013). Outcome value influences attentional biases in human associative learning: Dissociable effects of training and instruction. </w:t>
      </w:r>
      <w:r w:rsidRPr="009730DF">
        <w:rPr>
          <w:i/>
          <w:iCs/>
          <w:lang w:val="en-US"/>
        </w:rPr>
        <w:t>Journal of Experimental Psychology: Animal Behavior Processes, 39</w:t>
      </w:r>
      <w:r w:rsidRPr="00DB15B8">
        <w:rPr>
          <w:lang w:val="en-US"/>
        </w:rPr>
        <w:t xml:space="preserve">(1), 39–55. </w:t>
      </w:r>
      <w:hyperlink r:id="rId31" w:history="1">
        <w:r w:rsidR="009730DF" w:rsidRPr="00533653">
          <w:rPr>
            <w:rStyle w:val="Hipervnculo"/>
            <w:lang w:val="en-US"/>
          </w:rPr>
          <w:t>https://doi.org/10.1037/a0031230</w:t>
        </w:r>
      </w:hyperlink>
    </w:p>
    <w:p w14:paraId="6BCA81E8" w14:textId="636807DD" w:rsidR="00E5251F" w:rsidRDefault="00E5251F" w:rsidP="008531D8">
      <w:pPr>
        <w:ind w:left="720" w:hanging="720"/>
      </w:pPr>
      <w:r w:rsidRPr="00DB15B8">
        <w:t>León, S.</w:t>
      </w:r>
      <w:r w:rsidR="0047583E">
        <w:t xml:space="preserve"> </w:t>
      </w:r>
      <w:r w:rsidRPr="00DB15B8">
        <w:t>P., Abad, M.</w:t>
      </w:r>
      <w:r w:rsidR="0047583E">
        <w:t xml:space="preserve"> </w:t>
      </w:r>
      <w:r w:rsidRPr="00DB15B8">
        <w:t>J., &amp; Rosas, J.</w:t>
      </w:r>
      <w:r w:rsidR="0047583E">
        <w:t xml:space="preserve"> </w:t>
      </w:r>
      <w:r w:rsidRPr="00DB15B8">
        <w:t xml:space="preserve">M. (2008). </w:t>
      </w:r>
      <w:proofErr w:type="spellStart"/>
      <w:r w:rsidRPr="00DB15B8">
        <w:t>Retrieval</w:t>
      </w:r>
      <w:proofErr w:type="spellEnd"/>
      <w:r w:rsidRPr="00DB15B8">
        <w:t xml:space="preserve"> </w:t>
      </w:r>
      <w:proofErr w:type="spellStart"/>
      <w:r w:rsidRPr="00DB15B8">
        <w:t>of</w:t>
      </w:r>
      <w:proofErr w:type="spellEnd"/>
      <w:r w:rsidRPr="00DB15B8">
        <w:t xml:space="preserve"> simple cue-</w:t>
      </w:r>
      <w:proofErr w:type="spellStart"/>
      <w:r w:rsidRPr="00DB15B8">
        <w:t>outcome</w:t>
      </w:r>
      <w:proofErr w:type="spellEnd"/>
      <w:r w:rsidRPr="00DB15B8">
        <w:t xml:space="preserve"> </w:t>
      </w:r>
      <w:proofErr w:type="spellStart"/>
      <w:r w:rsidRPr="00DB15B8">
        <w:t>relationships</w:t>
      </w:r>
      <w:proofErr w:type="spellEnd"/>
      <w:r w:rsidRPr="00DB15B8">
        <w:t xml:space="preserve"> </w:t>
      </w:r>
      <w:proofErr w:type="spellStart"/>
      <w:r w:rsidRPr="00DB15B8">
        <w:t>is</w:t>
      </w:r>
      <w:proofErr w:type="spellEnd"/>
      <w:r w:rsidRPr="00DB15B8">
        <w:t xml:space="preserve"> </w:t>
      </w:r>
      <w:proofErr w:type="spellStart"/>
      <w:r w:rsidRPr="00DB15B8">
        <w:t>context-specific</w:t>
      </w:r>
      <w:proofErr w:type="spellEnd"/>
      <w:r w:rsidRPr="00DB15B8">
        <w:t xml:space="preserve"> </w:t>
      </w:r>
      <w:proofErr w:type="spellStart"/>
      <w:r w:rsidRPr="00DB15B8">
        <w:t>within</w:t>
      </w:r>
      <w:proofErr w:type="spellEnd"/>
      <w:r w:rsidRPr="00DB15B8">
        <w:t xml:space="preserve"> </w:t>
      </w:r>
      <w:proofErr w:type="spellStart"/>
      <w:r w:rsidRPr="00DB15B8">
        <w:t>informative</w:t>
      </w:r>
      <w:proofErr w:type="spellEnd"/>
      <w:r w:rsidRPr="00DB15B8">
        <w:t xml:space="preserve"> </w:t>
      </w:r>
      <w:proofErr w:type="spellStart"/>
      <w:r w:rsidRPr="00DB15B8">
        <w:t>contexts</w:t>
      </w:r>
      <w:proofErr w:type="spellEnd"/>
      <w:r w:rsidRPr="00DB15B8">
        <w:t xml:space="preserve">. </w:t>
      </w:r>
      <w:r w:rsidRPr="0047583E">
        <w:rPr>
          <w:i/>
          <w:iCs/>
        </w:rPr>
        <w:t>Escritos de Psicología</w:t>
      </w:r>
      <w:r w:rsidR="0047583E" w:rsidRPr="0047583E">
        <w:rPr>
          <w:i/>
          <w:iCs/>
        </w:rPr>
        <w:t xml:space="preserve"> - </w:t>
      </w:r>
      <w:proofErr w:type="spellStart"/>
      <w:r w:rsidRPr="0047583E">
        <w:rPr>
          <w:i/>
          <w:iCs/>
        </w:rPr>
        <w:t>Psychological</w:t>
      </w:r>
      <w:proofErr w:type="spellEnd"/>
      <w:r w:rsidRPr="0047583E">
        <w:rPr>
          <w:i/>
          <w:iCs/>
        </w:rPr>
        <w:t xml:space="preserve"> </w:t>
      </w:r>
      <w:proofErr w:type="spellStart"/>
      <w:r w:rsidRPr="0047583E">
        <w:rPr>
          <w:i/>
          <w:iCs/>
        </w:rPr>
        <w:t>Writings</w:t>
      </w:r>
      <w:proofErr w:type="spellEnd"/>
      <w:r w:rsidRPr="0047583E">
        <w:rPr>
          <w:i/>
          <w:iCs/>
        </w:rPr>
        <w:t>, 2</w:t>
      </w:r>
      <w:r w:rsidR="0047583E">
        <w:t>(1)</w:t>
      </w:r>
      <w:r w:rsidRPr="00DB15B8">
        <w:t>, 65-73</w:t>
      </w:r>
      <w:r w:rsidR="0047583E">
        <w:t xml:space="preserve">. </w:t>
      </w:r>
      <w:hyperlink r:id="rId32" w:history="1">
        <w:r w:rsidR="0047583E" w:rsidRPr="00533653">
          <w:rPr>
            <w:rStyle w:val="Hipervnculo"/>
          </w:rPr>
          <w:t>https://www.redalyc.org/articulo.oa?id=271020194008</w:t>
        </w:r>
      </w:hyperlink>
    </w:p>
    <w:p w14:paraId="2649AE00" w14:textId="3F57E4A9" w:rsidR="00024FED" w:rsidRDefault="00024FED" w:rsidP="008531D8">
      <w:pPr>
        <w:ind w:left="720" w:hanging="720"/>
      </w:pPr>
      <w:r w:rsidRPr="00DB15B8">
        <w:t>León, S.</w:t>
      </w:r>
      <w:r w:rsidR="0079717F">
        <w:t xml:space="preserve"> </w:t>
      </w:r>
      <w:r w:rsidRPr="00DB15B8">
        <w:t>P., Abad, M.</w:t>
      </w:r>
      <w:r w:rsidR="0079717F">
        <w:t xml:space="preserve"> </w:t>
      </w:r>
      <w:r w:rsidRPr="00DB15B8">
        <w:t>J.</w:t>
      </w:r>
      <w:r w:rsidR="0079717F">
        <w:t xml:space="preserve"> </w:t>
      </w:r>
      <w:r w:rsidRPr="00DB15B8">
        <w:t>F., &amp; Rosas, J.</w:t>
      </w:r>
      <w:r w:rsidR="0079717F">
        <w:t xml:space="preserve"> </w:t>
      </w:r>
      <w:r w:rsidRPr="00DB15B8">
        <w:t xml:space="preserve">M. (2010a). </w:t>
      </w:r>
      <w:proofErr w:type="spellStart"/>
      <w:r w:rsidRPr="00DB15B8">
        <w:t>Giving</w:t>
      </w:r>
      <w:proofErr w:type="spellEnd"/>
      <w:r w:rsidRPr="00DB15B8">
        <w:t xml:space="preserve"> </w:t>
      </w:r>
      <w:proofErr w:type="spellStart"/>
      <w:r w:rsidRPr="00DB15B8">
        <w:t>contexts</w:t>
      </w:r>
      <w:proofErr w:type="spellEnd"/>
      <w:r w:rsidRPr="00DB15B8">
        <w:t xml:space="preserve"> </w:t>
      </w:r>
      <w:proofErr w:type="spellStart"/>
      <w:r w:rsidRPr="00DB15B8">
        <w:t>informative</w:t>
      </w:r>
      <w:proofErr w:type="spellEnd"/>
      <w:r w:rsidRPr="00DB15B8">
        <w:t xml:space="preserve"> </w:t>
      </w:r>
      <w:proofErr w:type="spellStart"/>
      <w:r w:rsidRPr="00DB15B8">
        <w:t>value</w:t>
      </w:r>
      <w:proofErr w:type="spellEnd"/>
      <w:r w:rsidRPr="00DB15B8">
        <w:t xml:space="preserve"> </w:t>
      </w:r>
      <w:proofErr w:type="spellStart"/>
      <w:r w:rsidRPr="00DB15B8">
        <w:t>makes</w:t>
      </w:r>
      <w:proofErr w:type="spellEnd"/>
      <w:r w:rsidRPr="00DB15B8">
        <w:t xml:space="preserve"> </w:t>
      </w:r>
      <w:proofErr w:type="spellStart"/>
      <w:r w:rsidRPr="00DB15B8">
        <w:t>information</w:t>
      </w:r>
      <w:proofErr w:type="spellEnd"/>
      <w:r w:rsidRPr="00DB15B8">
        <w:t xml:space="preserve"> </w:t>
      </w:r>
      <w:proofErr w:type="spellStart"/>
      <w:r w:rsidRPr="00DB15B8">
        <w:t>context</w:t>
      </w:r>
      <w:proofErr w:type="spellEnd"/>
      <w:r w:rsidRPr="00DB15B8">
        <w:t xml:space="preserve"> </w:t>
      </w:r>
      <w:proofErr w:type="spellStart"/>
      <w:r w:rsidRPr="00DB15B8">
        <w:t>specific</w:t>
      </w:r>
      <w:proofErr w:type="spellEnd"/>
      <w:r w:rsidRPr="00DB15B8">
        <w:t xml:space="preserve">. </w:t>
      </w:r>
      <w:r w:rsidRPr="0079717F">
        <w:rPr>
          <w:i/>
          <w:iCs/>
        </w:rPr>
        <w:t xml:space="preserve">Experimental </w:t>
      </w:r>
      <w:proofErr w:type="spellStart"/>
      <w:r w:rsidRPr="0079717F">
        <w:rPr>
          <w:i/>
          <w:iCs/>
        </w:rPr>
        <w:t>Psychology</w:t>
      </w:r>
      <w:proofErr w:type="spellEnd"/>
      <w:r w:rsidRPr="0079717F">
        <w:rPr>
          <w:i/>
          <w:iCs/>
        </w:rPr>
        <w:t>, 57</w:t>
      </w:r>
      <w:r w:rsidR="00E52762">
        <w:t>(1)</w:t>
      </w:r>
      <w:r w:rsidRPr="00DB15B8">
        <w:t>, 46-53.</w:t>
      </w:r>
      <w:r w:rsidR="0079717F">
        <w:t xml:space="preserve"> </w:t>
      </w:r>
      <w:hyperlink r:id="rId33" w:history="1">
        <w:r w:rsidR="0079717F" w:rsidRPr="00533653">
          <w:rPr>
            <w:rStyle w:val="Hipervnculo"/>
          </w:rPr>
          <w:t>https://doi.org/10.1027/1618-3169/a000006</w:t>
        </w:r>
      </w:hyperlink>
    </w:p>
    <w:p w14:paraId="17DD7999" w14:textId="27AE2C1A" w:rsidR="00E5251F" w:rsidRDefault="00E5251F" w:rsidP="008531D8">
      <w:pPr>
        <w:ind w:left="720" w:hanging="720"/>
      </w:pPr>
      <w:r w:rsidRPr="00DB15B8">
        <w:t>León, S.</w:t>
      </w:r>
      <w:r w:rsidR="009940DC">
        <w:t xml:space="preserve"> </w:t>
      </w:r>
      <w:r w:rsidRPr="00DB15B8">
        <w:t>P., Abad, M.</w:t>
      </w:r>
      <w:r w:rsidR="009940DC">
        <w:t xml:space="preserve"> </w:t>
      </w:r>
      <w:r w:rsidRPr="00DB15B8">
        <w:t>J.</w:t>
      </w:r>
      <w:r w:rsidR="009940DC">
        <w:t xml:space="preserve"> </w:t>
      </w:r>
      <w:r w:rsidRPr="00DB15B8">
        <w:t>F., &amp; Rosas, J.</w:t>
      </w:r>
      <w:r w:rsidR="009940DC">
        <w:t xml:space="preserve"> </w:t>
      </w:r>
      <w:r w:rsidRPr="00DB15B8">
        <w:t xml:space="preserve">M. (2010b). </w:t>
      </w:r>
      <w:proofErr w:type="spellStart"/>
      <w:r w:rsidRPr="00DB15B8">
        <w:t>The</w:t>
      </w:r>
      <w:proofErr w:type="spellEnd"/>
      <w:r w:rsidRPr="00DB15B8">
        <w:t xml:space="preserve"> </w:t>
      </w:r>
      <w:proofErr w:type="spellStart"/>
      <w:r w:rsidRPr="00DB15B8">
        <w:t>effect</w:t>
      </w:r>
      <w:proofErr w:type="spellEnd"/>
      <w:r w:rsidRPr="00DB15B8">
        <w:t xml:space="preserve"> </w:t>
      </w:r>
      <w:proofErr w:type="spellStart"/>
      <w:r w:rsidRPr="00DB15B8">
        <w:t>of</w:t>
      </w:r>
      <w:proofErr w:type="spellEnd"/>
      <w:r w:rsidRPr="00DB15B8">
        <w:t xml:space="preserve"> </w:t>
      </w:r>
      <w:proofErr w:type="spellStart"/>
      <w:r w:rsidRPr="00DB15B8">
        <w:t>context</w:t>
      </w:r>
      <w:proofErr w:type="spellEnd"/>
      <w:r w:rsidRPr="00DB15B8">
        <w:t xml:space="preserve"> </w:t>
      </w:r>
      <w:proofErr w:type="spellStart"/>
      <w:r w:rsidRPr="00DB15B8">
        <w:t>change</w:t>
      </w:r>
      <w:proofErr w:type="spellEnd"/>
      <w:r w:rsidRPr="00DB15B8">
        <w:t xml:space="preserve"> </w:t>
      </w:r>
      <w:proofErr w:type="spellStart"/>
      <w:r w:rsidRPr="00DB15B8">
        <w:t>on</w:t>
      </w:r>
      <w:proofErr w:type="spellEnd"/>
      <w:r w:rsidRPr="00DB15B8">
        <w:t xml:space="preserve"> simple </w:t>
      </w:r>
      <w:proofErr w:type="spellStart"/>
      <w:r w:rsidRPr="00DB15B8">
        <w:t>acquisition</w:t>
      </w:r>
      <w:proofErr w:type="spellEnd"/>
      <w:r w:rsidRPr="00DB15B8">
        <w:t xml:space="preserve"> </w:t>
      </w:r>
      <w:proofErr w:type="spellStart"/>
      <w:r w:rsidRPr="00DB15B8">
        <w:t>disappears</w:t>
      </w:r>
      <w:proofErr w:type="spellEnd"/>
      <w:r w:rsidRPr="00DB15B8">
        <w:t xml:space="preserve"> </w:t>
      </w:r>
      <w:proofErr w:type="spellStart"/>
      <w:r w:rsidRPr="00DB15B8">
        <w:t>with</w:t>
      </w:r>
      <w:proofErr w:type="spellEnd"/>
      <w:r w:rsidRPr="00DB15B8">
        <w:t xml:space="preserve"> </w:t>
      </w:r>
      <w:proofErr w:type="spellStart"/>
      <w:r w:rsidRPr="00DB15B8">
        <w:t>increased</w:t>
      </w:r>
      <w:proofErr w:type="spellEnd"/>
      <w:r w:rsidRPr="00DB15B8">
        <w:t xml:space="preserve"> training. </w:t>
      </w:r>
      <w:r w:rsidRPr="009940DC">
        <w:rPr>
          <w:i/>
          <w:iCs/>
        </w:rPr>
        <w:t>Psicológica, 31</w:t>
      </w:r>
      <w:r w:rsidR="009940DC">
        <w:t>(1)</w:t>
      </w:r>
      <w:r w:rsidRPr="00DB15B8">
        <w:t>, 49-63</w:t>
      </w:r>
      <w:r w:rsidR="009940DC">
        <w:t xml:space="preserve">. </w:t>
      </w:r>
      <w:hyperlink r:id="rId34" w:history="1">
        <w:r w:rsidR="009940DC" w:rsidRPr="00533653">
          <w:rPr>
            <w:rStyle w:val="Hipervnculo"/>
          </w:rPr>
          <w:t>https://www.redalyc.org/articulo.oa?id=16912881003</w:t>
        </w:r>
      </w:hyperlink>
    </w:p>
    <w:p w14:paraId="3CE81D3E" w14:textId="72BFBFA1" w:rsidR="001D6741" w:rsidRDefault="001D6741" w:rsidP="008531D8">
      <w:pPr>
        <w:ind w:left="720" w:hanging="720"/>
      </w:pPr>
      <w:r w:rsidRPr="00DB15B8">
        <w:t xml:space="preserve">León, S. P., Abad, M. J., &amp; Rosas, J. M. (2011). </w:t>
      </w:r>
      <w:r w:rsidRPr="00DB15B8">
        <w:rPr>
          <w:lang w:val="en-US"/>
        </w:rPr>
        <w:t xml:space="preserve">Context–outcome associations mediate context-switch effects in a human predictive learning task. </w:t>
      </w:r>
      <w:proofErr w:type="spellStart"/>
      <w:r w:rsidRPr="00461A0C">
        <w:rPr>
          <w:i/>
          <w:iCs/>
        </w:rPr>
        <w:t>Learning</w:t>
      </w:r>
      <w:proofErr w:type="spellEnd"/>
      <w:r w:rsidRPr="00461A0C">
        <w:rPr>
          <w:i/>
          <w:iCs/>
        </w:rPr>
        <w:t xml:space="preserve"> and </w:t>
      </w:r>
      <w:proofErr w:type="spellStart"/>
      <w:r w:rsidRPr="00461A0C">
        <w:rPr>
          <w:i/>
          <w:iCs/>
        </w:rPr>
        <w:t>Motivation</w:t>
      </w:r>
      <w:proofErr w:type="spellEnd"/>
      <w:r w:rsidRPr="00461A0C">
        <w:rPr>
          <w:i/>
          <w:iCs/>
        </w:rPr>
        <w:t>, 42</w:t>
      </w:r>
      <w:r w:rsidRPr="00DB15B8">
        <w:t>(1), 84–98.</w:t>
      </w:r>
      <w:r w:rsidR="00461A0C">
        <w:t xml:space="preserve"> </w:t>
      </w:r>
      <w:hyperlink r:id="rId35" w:history="1">
        <w:r w:rsidR="00461A0C" w:rsidRPr="00533653">
          <w:rPr>
            <w:rStyle w:val="Hipervnculo"/>
          </w:rPr>
          <w:t>https://doi.org/10.1016/j.lmot.2010.10.001</w:t>
        </w:r>
      </w:hyperlink>
    </w:p>
    <w:p w14:paraId="41B16499" w14:textId="7AE89394" w:rsidR="00392FBF" w:rsidRDefault="00392FBF" w:rsidP="008531D8">
      <w:pPr>
        <w:ind w:left="720" w:hanging="720"/>
      </w:pPr>
      <w:r w:rsidRPr="003C7793">
        <w:t>Ley 1090</w:t>
      </w:r>
      <w:r w:rsidRPr="00DB15B8">
        <w:t xml:space="preserve"> </w:t>
      </w:r>
      <w:r w:rsidR="00193E17">
        <w:t>(</w:t>
      </w:r>
      <w:r w:rsidRPr="00DB15B8">
        <w:t>2006</w:t>
      </w:r>
      <w:r w:rsidR="00193E17">
        <w:t>)</w:t>
      </w:r>
      <w:r w:rsidRPr="00DB15B8">
        <w:t>. Por la cual se reglamenta el ejercicio de la profesión de Psicología, se dicta el Código Deontológico y Bioético y otras disposiciones.</w:t>
      </w:r>
      <w:r w:rsidR="003C7793">
        <w:t xml:space="preserve"> </w:t>
      </w:r>
      <w:hyperlink r:id="rId36" w:history="1">
        <w:r w:rsidR="007F6A18" w:rsidRPr="00533653">
          <w:rPr>
            <w:rStyle w:val="Hipervnculo"/>
          </w:rPr>
          <w:t>https://www.colpsic.org.co/wp-content/uploads/2021/02/Ley_1090_2006_-_Psicologia_.pdf</w:t>
        </w:r>
      </w:hyperlink>
    </w:p>
    <w:p w14:paraId="319014F2" w14:textId="0D10E143" w:rsidR="001D6741" w:rsidRDefault="001D6741" w:rsidP="008531D8">
      <w:pPr>
        <w:ind w:left="720" w:hanging="720"/>
        <w:rPr>
          <w:lang w:val="en-US"/>
        </w:rPr>
      </w:pPr>
      <w:r w:rsidRPr="00DB15B8">
        <w:t xml:space="preserve">Lucke, S., </w:t>
      </w:r>
      <w:proofErr w:type="spellStart"/>
      <w:r w:rsidRPr="00DB15B8">
        <w:t>Lachnit</w:t>
      </w:r>
      <w:proofErr w:type="spellEnd"/>
      <w:r w:rsidRPr="00DB15B8">
        <w:t xml:space="preserve">, H., </w:t>
      </w:r>
      <w:proofErr w:type="spellStart"/>
      <w:r w:rsidRPr="00DB15B8">
        <w:t>Stüttgen</w:t>
      </w:r>
      <w:proofErr w:type="spellEnd"/>
      <w:r w:rsidRPr="00DB15B8">
        <w:t xml:space="preserve">, M. C., &amp; </w:t>
      </w:r>
      <w:proofErr w:type="spellStart"/>
      <w:r w:rsidRPr="00DB15B8">
        <w:t>Uengoer</w:t>
      </w:r>
      <w:proofErr w:type="spellEnd"/>
      <w:r w:rsidRPr="00DB15B8">
        <w:t xml:space="preserve">, M. (2014). </w:t>
      </w:r>
      <w:r w:rsidRPr="00DB15B8">
        <w:rPr>
          <w:lang w:val="en-US"/>
        </w:rPr>
        <w:t xml:space="preserve">The impact of context relevance during extinction learning. </w:t>
      </w:r>
      <w:r w:rsidRPr="007605FB">
        <w:rPr>
          <w:i/>
          <w:iCs/>
          <w:lang w:val="en-US"/>
        </w:rPr>
        <w:t>Learning &amp; Behavior, 42</w:t>
      </w:r>
      <w:r w:rsidRPr="00DB15B8">
        <w:rPr>
          <w:lang w:val="en-US"/>
        </w:rPr>
        <w:t>(3), 256–269.</w:t>
      </w:r>
      <w:r w:rsidR="0013313D">
        <w:rPr>
          <w:lang w:val="en-US"/>
        </w:rPr>
        <w:t xml:space="preserve"> </w:t>
      </w:r>
      <w:hyperlink r:id="rId37" w:history="1">
        <w:r w:rsidR="0013313D" w:rsidRPr="00533653">
          <w:rPr>
            <w:rStyle w:val="Hipervnculo"/>
            <w:lang w:val="en-US"/>
          </w:rPr>
          <w:t>https://doi.org/10.3758/s13420-014-0143-0</w:t>
        </w:r>
      </w:hyperlink>
    </w:p>
    <w:p w14:paraId="785AF98F" w14:textId="19DB9F9D" w:rsidR="005E5C0A" w:rsidRDefault="005E5C0A" w:rsidP="008531D8">
      <w:pPr>
        <w:ind w:left="720" w:hanging="720"/>
        <w:rPr>
          <w:lang w:val="en-US"/>
        </w:rPr>
      </w:pPr>
      <w:r w:rsidRPr="00DB15B8">
        <w:rPr>
          <w:lang w:val="en-US"/>
        </w:rPr>
        <w:t xml:space="preserve">Mackintosh, N. J. (1975). A theory of attention: Variations in the associability of stimuli with reinforcement. </w:t>
      </w:r>
      <w:r w:rsidRPr="00D65315">
        <w:rPr>
          <w:i/>
          <w:iCs/>
          <w:lang w:val="en-US"/>
        </w:rPr>
        <w:t>Psychological Review, 82</w:t>
      </w:r>
      <w:r w:rsidRPr="00DB15B8">
        <w:rPr>
          <w:lang w:val="en-US"/>
        </w:rPr>
        <w:t>(4), 276</w:t>
      </w:r>
      <w:r w:rsidR="001502D6">
        <w:rPr>
          <w:lang w:val="en-US"/>
        </w:rPr>
        <w:t>-298</w:t>
      </w:r>
      <w:r w:rsidRPr="00DB15B8">
        <w:rPr>
          <w:lang w:val="en-US"/>
        </w:rPr>
        <w:t>.</w:t>
      </w:r>
      <w:r w:rsidR="001502D6">
        <w:rPr>
          <w:lang w:val="en-US"/>
        </w:rPr>
        <w:t xml:space="preserve"> </w:t>
      </w:r>
      <w:hyperlink r:id="rId38" w:history="1">
        <w:r w:rsidR="001502D6" w:rsidRPr="00533653">
          <w:rPr>
            <w:rStyle w:val="Hipervnculo"/>
            <w:lang w:val="en-US"/>
          </w:rPr>
          <w:t>https://doi.org/10.1037/h0076778</w:t>
        </w:r>
      </w:hyperlink>
    </w:p>
    <w:p w14:paraId="4CACD51A" w14:textId="5F00AE13" w:rsidR="00F1125B" w:rsidRDefault="00F1125B" w:rsidP="008531D8">
      <w:pPr>
        <w:ind w:left="720" w:hanging="720"/>
        <w:rPr>
          <w:lang w:val="en-US"/>
        </w:rPr>
      </w:pPr>
      <w:r w:rsidRPr="00DB15B8">
        <w:rPr>
          <w:lang w:val="en-US"/>
        </w:rPr>
        <w:t xml:space="preserve">McKechnie, S., Devlin, J., </w:t>
      </w:r>
      <w:proofErr w:type="spellStart"/>
      <w:r w:rsidRPr="00DB15B8">
        <w:rPr>
          <w:lang w:val="en-US"/>
        </w:rPr>
        <w:t>Ennew</w:t>
      </w:r>
      <w:proofErr w:type="spellEnd"/>
      <w:r w:rsidRPr="00DB15B8">
        <w:rPr>
          <w:lang w:val="en-US"/>
        </w:rPr>
        <w:t xml:space="preserve">, C., &amp; Smith, A. (2012). Effects of discount framing in comparative price advertising. </w:t>
      </w:r>
      <w:r w:rsidRPr="00D847E2">
        <w:rPr>
          <w:i/>
          <w:iCs/>
          <w:lang w:val="en-US"/>
        </w:rPr>
        <w:t>European Journal of Marketing</w:t>
      </w:r>
      <w:r w:rsidR="00D847E2" w:rsidRPr="00D847E2">
        <w:rPr>
          <w:i/>
          <w:iCs/>
          <w:lang w:val="en-US"/>
        </w:rPr>
        <w:t>, 46</w:t>
      </w:r>
      <w:r w:rsidR="00D847E2">
        <w:rPr>
          <w:lang w:val="en-US"/>
        </w:rPr>
        <w:t xml:space="preserve">(11/12), 1501-1522. </w:t>
      </w:r>
      <w:hyperlink r:id="rId39" w:history="1">
        <w:r w:rsidR="00D847E2" w:rsidRPr="00533653">
          <w:rPr>
            <w:rStyle w:val="Hipervnculo"/>
            <w:lang w:val="en-US"/>
          </w:rPr>
          <w:t>https://doi.org/10.1108/03090561211259952</w:t>
        </w:r>
      </w:hyperlink>
    </w:p>
    <w:p w14:paraId="7632B12B" w14:textId="4675C7F0" w:rsidR="005675A3" w:rsidRDefault="005675A3" w:rsidP="008531D8">
      <w:pPr>
        <w:ind w:left="720" w:hanging="720"/>
        <w:rPr>
          <w:lang w:val="en-US"/>
        </w:rPr>
      </w:pPr>
      <w:proofErr w:type="spellStart"/>
      <w:r w:rsidRPr="00DB15B8">
        <w:rPr>
          <w:lang w:val="en-US"/>
        </w:rPr>
        <w:t>Nusair</w:t>
      </w:r>
      <w:proofErr w:type="spellEnd"/>
      <w:r w:rsidRPr="00DB15B8">
        <w:rPr>
          <w:lang w:val="en-US"/>
        </w:rPr>
        <w:t xml:space="preserve">, K., Yoon, H. J., Naipaul, S., &amp; </w:t>
      </w:r>
      <w:proofErr w:type="spellStart"/>
      <w:r w:rsidRPr="00DB15B8">
        <w:rPr>
          <w:lang w:val="en-US"/>
        </w:rPr>
        <w:t>Parsa</w:t>
      </w:r>
      <w:proofErr w:type="spellEnd"/>
      <w:r w:rsidRPr="00DB15B8">
        <w:rPr>
          <w:lang w:val="en-US"/>
        </w:rPr>
        <w:t xml:space="preserve">, H. (2010). Effect of price discount frames and levels on consumers’ perceptions in low‐end service industries. </w:t>
      </w:r>
      <w:r w:rsidRPr="001E70EF">
        <w:rPr>
          <w:i/>
          <w:iCs/>
          <w:lang w:val="en-US"/>
        </w:rPr>
        <w:t>International Journal of Contemporary Hospitality Management</w:t>
      </w:r>
      <w:r w:rsidR="001E70EF" w:rsidRPr="001E70EF">
        <w:rPr>
          <w:i/>
          <w:iCs/>
          <w:lang w:val="en-US"/>
        </w:rPr>
        <w:t>, 22</w:t>
      </w:r>
      <w:r w:rsidR="001E70EF">
        <w:rPr>
          <w:lang w:val="en-US"/>
        </w:rPr>
        <w:t xml:space="preserve">(6), 814-835. </w:t>
      </w:r>
      <w:hyperlink r:id="rId40" w:history="1">
        <w:r w:rsidR="001E70EF" w:rsidRPr="00533653">
          <w:rPr>
            <w:rStyle w:val="Hipervnculo"/>
            <w:lang w:val="en-US"/>
          </w:rPr>
          <w:t>https://doi.org/10.1108/09596111011063106</w:t>
        </w:r>
      </w:hyperlink>
    </w:p>
    <w:p w14:paraId="54536B22" w14:textId="0DFED3E9" w:rsidR="0023343E" w:rsidRDefault="0023343E" w:rsidP="008531D8">
      <w:pPr>
        <w:ind w:left="720" w:hanging="720"/>
        <w:rPr>
          <w:lang w:val="en-US"/>
        </w:rPr>
      </w:pPr>
      <w:r w:rsidRPr="00DB15B8">
        <w:rPr>
          <w:lang w:val="en-US"/>
        </w:rPr>
        <w:lastRenderedPageBreak/>
        <w:t xml:space="preserve">Ogallar, P. M., Rosas, J. M., Ramos-Álvarez, M. M., </w:t>
      </w:r>
      <w:proofErr w:type="spellStart"/>
      <w:r w:rsidRPr="00DB15B8">
        <w:rPr>
          <w:lang w:val="en-US"/>
        </w:rPr>
        <w:t>Alcalá</w:t>
      </w:r>
      <w:proofErr w:type="spellEnd"/>
      <w:r w:rsidRPr="00DB15B8">
        <w:rPr>
          <w:lang w:val="en-US"/>
        </w:rPr>
        <w:t xml:space="preserve">, J. A., Nelson, J. B., </w:t>
      </w:r>
      <w:proofErr w:type="spellStart"/>
      <w:r w:rsidRPr="00DB15B8">
        <w:rPr>
          <w:lang w:val="en-US"/>
        </w:rPr>
        <w:t>Aranzubia</w:t>
      </w:r>
      <w:proofErr w:type="spellEnd"/>
      <w:r w:rsidRPr="00DB15B8">
        <w:rPr>
          <w:lang w:val="en-US"/>
        </w:rPr>
        <w:t xml:space="preserve">, M., &amp; </w:t>
      </w:r>
      <w:proofErr w:type="spellStart"/>
      <w:r w:rsidRPr="00DB15B8">
        <w:rPr>
          <w:lang w:val="en-US"/>
        </w:rPr>
        <w:t>Callejas</w:t>
      </w:r>
      <w:proofErr w:type="spellEnd"/>
      <w:r w:rsidRPr="00DB15B8">
        <w:rPr>
          <w:lang w:val="en-US"/>
        </w:rPr>
        <w:t xml:space="preserve">-Aguilera, J. E. (2019). Prior extinction increases acquisition context specificity in human predictive learning. </w:t>
      </w:r>
      <w:proofErr w:type="spellStart"/>
      <w:r w:rsidRPr="001229B2">
        <w:rPr>
          <w:i/>
          <w:iCs/>
          <w:lang w:val="en-US"/>
        </w:rPr>
        <w:t>Behavioural</w:t>
      </w:r>
      <w:proofErr w:type="spellEnd"/>
      <w:r w:rsidRPr="001229B2">
        <w:rPr>
          <w:i/>
          <w:iCs/>
          <w:lang w:val="en-US"/>
        </w:rPr>
        <w:t xml:space="preserve"> Processes, 169</w:t>
      </w:r>
      <w:r w:rsidRPr="00DB15B8">
        <w:rPr>
          <w:lang w:val="en-US"/>
        </w:rPr>
        <w:t>, 103984.</w:t>
      </w:r>
      <w:r w:rsidR="001229B2">
        <w:rPr>
          <w:lang w:val="en-US"/>
        </w:rPr>
        <w:t xml:space="preserve"> </w:t>
      </w:r>
      <w:hyperlink r:id="rId41" w:history="1">
        <w:r w:rsidR="001229B2" w:rsidRPr="00533653">
          <w:rPr>
            <w:rStyle w:val="Hipervnculo"/>
            <w:lang w:val="en-US"/>
          </w:rPr>
          <w:t>https://doi.org/10.1016/j.beproc.2019.103984</w:t>
        </w:r>
      </w:hyperlink>
    </w:p>
    <w:p w14:paraId="431E8022" w14:textId="4FCF2372" w:rsidR="005E5C0A" w:rsidRDefault="005E5C0A" w:rsidP="008531D8">
      <w:pPr>
        <w:ind w:left="720" w:hanging="720"/>
        <w:rPr>
          <w:lang w:val="en-US"/>
        </w:rPr>
      </w:pPr>
      <w:r w:rsidRPr="00DB15B8">
        <w:rPr>
          <w:lang w:val="en-US"/>
        </w:rPr>
        <w:t xml:space="preserve">Pearce, J. M., &amp; Hall, G. (1980). A model for Pavlovian learning: Variations in the effectiveness of conditioned but not of unconditioned stimuli. </w:t>
      </w:r>
      <w:r w:rsidRPr="00223014">
        <w:rPr>
          <w:i/>
          <w:iCs/>
          <w:lang w:val="en-US"/>
        </w:rPr>
        <w:t>Psychological Review, 87</w:t>
      </w:r>
      <w:r w:rsidRPr="00DB15B8">
        <w:rPr>
          <w:lang w:val="en-US"/>
        </w:rPr>
        <w:t>(6), 532</w:t>
      </w:r>
      <w:r w:rsidR="00223014">
        <w:rPr>
          <w:lang w:val="en-US"/>
        </w:rPr>
        <w:t>-552</w:t>
      </w:r>
      <w:r w:rsidRPr="00DB15B8">
        <w:rPr>
          <w:lang w:val="en-US"/>
        </w:rPr>
        <w:t>.</w:t>
      </w:r>
      <w:r w:rsidR="00223014">
        <w:rPr>
          <w:lang w:val="en-US"/>
        </w:rPr>
        <w:t xml:space="preserve"> </w:t>
      </w:r>
      <w:hyperlink r:id="rId42" w:history="1">
        <w:r w:rsidR="00223014" w:rsidRPr="00533653">
          <w:rPr>
            <w:rStyle w:val="Hipervnculo"/>
            <w:lang w:val="en-US"/>
          </w:rPr>
          <w:t>https://doi.org/10.1037/0033-295X.87.6.532</w:t>
        </w:r>
      </w:hyperlink>
    </w:p>
    <w:p w14:paraId="7B79E510" w14:textId="303BD1DC" w:rsidR="0023343E" w:rsidRDefault="0023343E" w:rsidP="008531D8">
      <w:pPr>
        <w:ind w:left="720" w:hanging="720"/>
        <w:rPr>
          <w:lang w:val="en-US"/>
        </w:rPr>
      </w:pPr>
      <w:r w:rsidRPr="00DB15B8">
        <w:rPr>
          <w:lang w:val="en-US"/>
        </w:rPr>
        <w:t xml:space="preserve">Pearson, D., &amp; Le Pelley, M. E. (2020). Learning to avoid looking: Competing influences of reward on overt attentional selection. </w:t>
      </w:r>
      <w:r w:rsidRPr="001F57B9">
        <w:rPr>
          <w:i/>
          <w:iCs/>
          <w:lang w:val="en-US"/>
        </w:rPr>
        <w:t xml:space="preserve">Psychonomic Bulletin &amp; Review, </w:t>
      </w:r>
      <w:r w:rsidR="001F57B9" w:rsidRPr="001F57B9">
        <w:rPr>
          <w:i/>
          <w:iCs/>
          <w:lang w:val="en-US"/>
        </w:rPr>
        <w:t>27</w:t>
      </w:r>
      <w:r w:rsidR="001F57B9">
        <w:rPr>
          <w:lang w:val="en-US"/>
        </w:rPr>
        <w:t>, 998-1005</w:t>
      </w:r>
      <w:r w:rsidRPr="00DB15B8">
        <w:rPr>
          <w:lang w:val="en-US"/>
        </w:rPr>
        <w:t>.</w:t>
      </w:r>
      <w:r w:rsidR="001F57B9">
        <w:rPr>
          <w:lang w:val="en-US"/>
        </w:rPr>
        <w:t xml:space="preserve"> </w:t>
      </w:r>
      <w:hyperlink r:id="rId43" w:history="1">
        <w:r w:rsidR="001F57B9" w:rsidRPr="00533653">
          <w:rPr>
            <w:rStyle w:val="Hipervnculo"/>
            <w:lang w:val="en-US"/>
          </w:rPr>
          <w:t>https://doi.org/10.3758/s13423-020-01770-3</w:t>
        </w:r>
      </w:hyperlink>
    </w:p>
    <w:p w14:paraId="7C392816" w14:textId="2DCFBAC1" w:rsidR="00F92A40" w:rsidRDefault="00F92A40" w:rsidP="008531D8">
      <w:pPr>
        <w:ind w:left="720" w:hanging="720"/>
        <w:rPr>
          <w:lang w:val="en-US"/>
        </w:rPr>
      </w:pPr>
      <w:proofErr w:type="spellStart"/>
      <w:r w:rsidRPr="00DB15B8">
        <w:rPr>
          <w:lang w:val="en-US"/>
        </w:rPr>
        <w:t>Peschel</w:t>
      </w:r>
      <w:proofErr w:type="spellEnd"/>
      <w:r w:rsidRPr="00DB15B8">
        <w:rPr>
          <w:lang w:val="en-US"/>
        </w:rPr>
        <w:t xml:space="preserve">, A. O., </w:t>
      </w:r>
      <w:proofErr w:type="spellStart"/>
      <w:r w:rsidRPr="00DB15B8">
        <w:rPr>
          <w:lang w:val="en-US"/>
        </w:rPr>
        <w:t>Orquin</w:t>
      </w:r>
      <w:proofErr w:type="spellEnd"/>
      <w:r w:rsidRPr="00DB15B8">
        <w:rPr>
          <w:lang w:val="en-US"/>
        </w:rPr>
        <w:t xml:space="preserve">, J. L., &amp; Loose, S. M. (2019). Increasing consumers’ attention capture and food choice through bottom-up effects. </w:t>
      </w:r>
      <w:r w:rsidRPr="001E2854">
        <w:rPr>
          <w:i/>
          <w:iCs/>
          <w:lang w:val="en-US"/>
        </w:rPr>
        <w:t>Appetite, 132</w:t>
      </w:r>
      <w:r w:rsidR="001E2854">
        <w:rPr>
          <w:lang w:val="en-US"/>
        </w:rPr>
        <w:t>(1)</w:t>
      </w:r>
      <w:r w:rsidRPr="00DB15B8">
        <w:rPr>
          <w:lang w:val="en-US"/>
        </w:rPr>
        <w:t>, 1–7.</w:t>
      </w:r>
      <w:r w:rsidR="001E2854">
        <w:rPr>
          <w:lang w:val="en-US"/>
        </w:rPr>
        <w:t xml:space="preserve"> </w:t>
      </w:r>
      <w:hyperlink r:id="rId44" w:history="1">
        <w:r w:rsidR="001E2854" w:rsidRPr="00533653">
          <w:rPr>
            <w:rStyle w:val="Hipervnculo"/>
            <w:lang w:val="en-US"/>
          </w:rPr>
          <w:t>https://doi.org/10.1016/j.appet.2018.09.015</w:t>
        </w:r>
      </w:hyperlink>
    </w:p>
    <w:p w14:paraId="262A2B3B" w14:textId="1DB5DBF6" w:rsidR="005E5C0A" w:rsidRPr="00DB15B8" w:rsidRDefault="008A359A" w:rsidP="008531D8">
      <w:pPr>
        <w:ind w:left="720" w:hanging="720"/>
      </w:pPr>
      <w:r w:rsidRPr="00DB15B8">
        <w:rPr>
          <w:lang w:val="en-US"/>
        </w:rPr>
        <w:t>Rescorla, R.A., &amp; Wagner, A. (1972). A theory of Pavlovian conditioning: Variations in the effectiveness of reinforcement and non-reinforcement. In: A.</w:t>
      </w:r>
      <w:r w:rsidR="004B3E4D">
        <w:rPr>
          <w:lang w:val="en-US"/>
        </w:rPr>
        <w:t xml:space="preserve"> </w:t>
      </w:r>
      <w:r w:rsidRPr="00DB15B8">
        <w:rPr>
          <w:lang w:val="en-US"/>
        </w:rPr>
        <w:t xml:space="preserve">H. </w:t>
      </w:r>
      <w:r w:rsidR="004B3E4D">
        <w:rPr>
          <w:lang w:val="en-US"/>
        </w:rPr>
        <w:t>Black &amp;</w:t>
      </w:r>
      <w:r w:rsidRPr="00DB15B8">
        <w:rPr>
          <w:lang w:val="en-US"/>
        </w:rPr>
        <w:t xml:space="preserve"> </w:t>
      </w:r>
      <w:r w:rsidR="004B3E4D">
        <w:rPr>
          <w:lang w:val="en-US"/>
        </w:rPr>
        <w:t xml:space="preserve">W. F. </w:t>
      </w:r>
      <w:proofErr w:type="spellStart"/>
      <w:r w:rsidRPr="00DB15B8">
        <w:rPr>
          <w:lang w:val="en-US"/>
        </w:rPr>
        <w:t>Prokasy</w:t>
      </w:r>
      <w:proofErr w:type="spellEnd"/>
      <w:r w:rsidR="004B3E4D">
        <w:rPr>
          <w:lang w:val="en-US"/>
        </w:rPr>
        <w:t xml:space="preserve"> </w:t>
      </w:r>
      <w:r w:rsidRPr="00DB15B8">
        <w:rPr>
          <w:lang w:val="en-US"/>
        </w:rPr>
        <w:t xml:space="preserve">(Eds.), </w:t>
      </w:r>
      <w:r w:rsidRPr="004B3E4D">
        <w:rPr>
          <w:i/>
          <w:iCs/>
          <w:lang w:val="en-US"/>
        </w:rPr>
        <w:t>Classical conditioning II: current research and theory</w:t>
      </w:r>
      <w:r w:rsidR="004B3E4D">
        <w:rPr>
          <w:i/>
          <w:iCs/>
          <w:lang w:val="en-US"/>
        </w:rPr>
        <w:t xml:space="preserve"> </w:t>
      </w:r>
      <w:r w:rsidR="004B3E4D">
        <w:rPr>
          <w:lang w:val="en-US"/>
        </w:rPr>
        <w:t>(</w:t>
      </w:r>
      <w:r w:rsidR="00941DEC">
        <w:rPr>
          <w:lang w:val="en-US"/>
        </w:rPr>
        <w:t xml:space="preserve">pp. </w:t>
      </w:r>
      <w:r w:rsidR="004B3E4D">
        <w:rPr>
          <w:lang w:val="en-US"/>
        </w:rPr>
        <w:t>64-99)</w:t>
      </w:r>
      <w:r w:rsidRPr="00DB15B8">
        <w:rPr>
          <w:lang w:val="en-US"/>
        </w:rPr>
        <w:t>. Appleton-Century- Crofts</w:t>
      </w:r>
      <w:r w:rsidR="005E5C0A" w:rsidRPr="00DB15B8">
        <w:t>.</w:t>
      </w:r>
    </w:p>
    <w:p w14:paraId="120F02A3" w14:textId="312C1C77" w:rsidR="00392FBF" w:rsidRDefault="00392FBF" w:rsidP="008531D8">
      <w:pPr>
        <w:ind w:left="720" w:hanging="720"/>
      </w:pPr>
      <w:r w:rsidRPr="0059353E">
        <w:t>Resolución 8430</w:t>
      </w:r>
      <w:r w:rsidRPr="00DB15B8">
        <w:t xml:space="preserve"> </w:t>
      </w:r>
      <w:r w:rsidR="0059353E">
        <w:t>(</w:t>
      </w:r>
      <w:r w:rsidRPr="00DB15B8">
        <w:t>1993</w:t>
      </w:r>
      <w:r w:rsidR="0059353E">
        <w:t>)</w:t>
      </w:r>
      <w:r w:rsidRPr="00DB15B8">
        <w:t xml:space="preserve">. Por la cual se establecen las normas académicas, técnicas y administrativas para la investigación en salud. </w:t>
      </w:r>
      <w:hyperlink r:id="rId45" w:history="1">
        <w:r w:rsidR="00981894" w:rsidRPr="00533653">
          <w:rPr>
            <w:rStyle w:val="Hipervnculo"/>
          </w:rPr>
          <w:t>https://www.minsalud.gov.co/sites/rid/Lists/BibliotecaDigital/RIDE/DE/DIJ/RESOLUCION-8430-DE-1993.pdf</w:t>
        </w:r>
      </w:hyperlink>
    </w:p>
    <w:p w14:paraId="364C7079" w14:textId="7366B9B6" w:rsidR="00F15DC5" w:rsidRDefault="00F15DC5" w:rsidP="008531D8">
      <w:pPr>
        <w:ind w:left="720" w:hanging="720"/>
        <w:rPr>
          <w:lang w:val="en-US"/>
        </w:rPr>
      </w:pPr>
      <w:r w:rsidRPr="00DB15B8">
        <w:t xml:space="preserve">Rosas, J. M., </w:t>
      </w:r>
      <w:r w:rsidR="003320ED">
        <w:t>Callejas</w:t>
      </w:r>
      <w:r w:rsidRPr="00DB15B8">
        <w:t xml:space="preserve">, J. E., </w:t>
      </w:r>
      <w:r w:rsidR="003320ED">
        <w:t>Ramos</w:t>
      </w:r>
      <w:r w:rsidRPr="00DB15B8">
        <w:t xml:space="preserve">, M. M., &amp; </w:t>
      </w:r>
      <w:r w:rsidR="003320ED">
        <w:t>Fernández</w:t>
      </w:r>
      <w:r w:rsidRPr="00DB15B8">
        <w:t xml:space="preserve">, M. J. (2006). </w:t>
      </w:r>
      <w:r w:rsidRPr="00DB15B8">
        <w:rPr>
          <w:lang w:val="en-US"/>
        </w:rPr>
        <w:t xml:space="preserve">Revision of retrieval theory of forgetting: What does make information context-specific? </w:t>
      </w:r>
      <w:r w:rsidRPr="003320ED">
        <w:rPr>
          <w:i/>
          <w:iCs/>
          <w:lang w:val="en-US"/>
        </w:rPr>
        <w:t>International Journal of Psychology and Psychological Therapy, 6</w:t>
      </w:r>
      <w:r w:rsidRPr="00DB15B8">
        <w:rPr>
          <w:lang w:val="en-US"/>
        </w:rPr>
        <w:t>(2), 147–166.</w:t>
      </w:r>
      <w:r w:rsidR="003320ED">
        <w:rPr>
          <w:lang w:val="en-US"/>
        </w:rPr>
        <w:t xml:space="preserve"> </w:t>
      </w:r>
      <w:hyperlink r:id="rId46" w:history="1">
        <w:r w:rsidR="003320ED" w:rsidRPr="00533653">
          <w:rPr>
            <w:rStyle w:val="Hipervnculo"/>
            <w:lang w:val="en-US"/>
          </w:rPr>
          <w:t>https://www.redalyc.org/articulo.oa?id=560/56060203</w:t>
        </w:r>
      </w:hyperlink>
    </w:p>
    <w:p w14:paraId="76987037" w14:textId="5D05CAEA" w:rsidR="006736F7" w:rsidRDefault="006736F7" w:rsidP="008531D8">
      <w:pPr>
        <w:ind w:left="720" w:hanging="720"/>
        <w:rPr>
          <w:lang w:val="en-US"/>
        </w:rPr>
      </w:pPr>
      <w:r w:rsidRPr="00DB15B8">
        <w:rPr>
          <w:lang w:val="en-US"/>
        </w:rPr>
        <w:t xml:space="preserve">Rosas, J. M., &amp; </w:t>
      </w:r>
      <w:proofErr w:type="spellStart"/>
      <w:r w:rsidRPr="00DB15B8">
        <w:rPr>
          <w:lang w:val="en-US"/>
        </w:rPr>
        <w:t>Callejas</w:t>
      </w:r>
      <w:proofErr w:type="spellEnd"/>
      <w:r w:rsidRPr="00DB15B8">
        <w:rPr>
          <w:lang w:val="en-US"/>
        </w:rPr>
        <w:t xml:space="preserve">-Aguilera, J. E. (2006). Context switch effects on acquisition and extinction in human predictive learning. </w:t>
      </w:r>
      <w:r w:rsidRPr="001043AB">
        <w:rPr>
          <w:i/>
          <w:iCs/>
          <w:lang w:val="en-US"/>
        </w:rPr>
        <w:t>Journal of Experimental Psychology: Learning, Memory, and Cognition, 32</w:t>
      </w:r>
      <w:r w:rsidRPr="00DB15B8">
        <w:rPr>
          <w:lang w:val="en-US"/>
        </w:rPr>
        <w:t>(3), 461</w:t>
      </w:r>
      <w:r w:rsidR="004535FC">
        <w:rPr>
          <w:lang w:val="en-US"/>
        </w:rPr>
        <w:t>-474</w:t>
      </w:r>
      <w:r w:rsidRPr="00DB15B8">
        <w:rPr>
          <w:lang w:val="en-US"/>
        </w:rPr>
        <w:t>.</w:t>
      </w:r>
      <w:r w:rsidR="004535FC">
        <w:rPr>
          <w:lang w:val="en-US"/>
        </w:rPr>
        <w:t xml:space="preserve"> </w:t>
      </w:r>
      <w:hyperlink r:id="rId47" w:history="1">
        <w:r w:rsidR="004535FC" w:rsidRPr="00533653">
          <w:rPr>
            <w:rStyle w:val="Hipervnculo"/>
            <w:lang w:val="en-US"/>
          </w:rPr>
          <w:t>https://doi.org/10.1037/0278-7393.32.3.461</w:t>
        </w:r>
      </w:hyperlink>
    </w:p>
    <w:p w14:paraId="51C2FA31" w14:textId="4333528A" w:rsidR="00CD12BC" w:rsidRDefault="00CD12BC" w:rsidP="008531D8">
      <w:pPr>
        <w:ind w:left="720" w:hanging="720"/>
        <w:rPr>
          <w:lang w:val="en-US"/>
        </w:rPr>
      </w:pPr>
      <w:r w:rsidRPr="00DB15B8">
        <w:rPr>
          <w:lang w:val="en-US"/>
        </w:rPr>
        <w:t xml:space="preserve">Sinha, I., &amp; Smith, M. F. (2000). Consumers’ perceptions of promotional framing of price. </w:t>
      </w:r>
      <w:r w:rsidRPr="00982E56">
        <w:rPr>
          <w:i/>
          <w:iCs/>
          <w:lang w:val="en-US"/>
        </w:rPr>
        <w:t>Psychology &amp; Marketing, 17</w:t>
      </w:r>
      <w:r w:rsidRPr="00DB15B8">
        <w:rPr>
          <w:lang w:val="en-US"/>
        </w:rPr>
        <w:t>(3), 257–275.</w:t>
      </w:r>
      <w:r w:rsidR="00940090">
        <w:rPr>
          <w:lang w:val="en-US"/>
        </w:rPr>
        <w:t xml:space="preserve"> </w:t>
      </w:r>
      <w:hyperlink r:id="rId48" w:history="1">
        <w:r w:rsidR="00940090" w:rsidRPr="00533653">
          <w:rPr>
            <w:rStyle w:val="Hipervnculo"/>
            <w:lang w:val="en-US"/>
          </w:rPr>
          <w:t>https://doi.org/10.1002/(SICI)1520-6793(200003)17:3&lt;257::AID-MAR4&gt;3.0.CO;2-P</w:t>
        </w:r>
      </w:hyperlink>
    </w:p>
    <w:p w14:paraId="57F185F1" w14:textId="3A789504" w:rsidR="000F264F" w:rsidRDefault="000F264F" w:rsidP="000F264F">
      <w:pPr>
        <w:ind w:left="720" w:hanging="720"/>
        <w:rPr>
          <w:lang w:val="en-US"/>
        </w:rPr>
      </w:pPr>
      <w:r w:rsidRPr="000F264F">
        <w:rPr>
          <w:lang w:val="en-US"/>
        </w:rPr>
        <w:t>Souza, C., Flores, E. P., &amp; de Oliveira Castro-Neto, J. M. (2015). TRANSFERENCIA DE APRENDIZAJE Y COMPLEJIDAD DE TAREAS:</w:t>
      </w:r>
      <w:r>
        <w:rPr>
          <w:lang w:val="en-US"/>
        </w:rPr>
        <w:t xml:space="preserve"> </w:t>
      </w:r>
      <w:r w:rsidRPr="000F264F">
        <w:rPr>
          <w:lang w:val="en-US"/>
        </w:rPr>
        <w:t xml:space="preserve">“LA CARRETA DELANTE DE LOS BUEYES”. </w:t>
      </w:r>
      <w:proofErr w:type="spellStart"/>
      <w:r w:rsidRPr="000F264F">
        <w:rPr>
          <w:lang w:val="en-US"/>
        </w:rPr>
        <w:t>Revista</w:t>
      </w:r>
      <w:proofErr w:type="spellEnd"/>
      <w:r w:rsidRPr="000F264F">
        <w:rPr>
          <w:lang w:val="en-US"/>
        </w:rPr>
        <w:t xml:space="preserve"> </w:t>
      </w:r>
      <w:proofErr w:type="spellStart"/>
      <w:r w:rsidRPr="000F264F">
        <w:rPr>
          <w:lang w:val="en-US"/>
        </w:rPr>
        <w:t>Interamericana</w:t>
      </w:r>
      <w:proofErr w:type="spellEnd"/>
      <w:r w:rsidRPr="000F264F">
        <w:rPr>
          <w:lang w:val="en-US"/>
        </w:rPr>
        <w:t xml:space="preserve"> de </w:t>
      </w:r>
      <w:proofErr w:type="spellStart"/>
      <w:r w:rsidRPr="000F264F">
        <w:rPr>
          <w:lang w:val="en-US"/>
        </w:rPr>
        <w:t>Psicología</w:t>
      </w:r>
      <w:proofErr w:type="spellEnd"/>
      <w:r w:rsidRPr="000F264F">
        <w:rPr>
          <w:lang w:val="en-US"/>
        </w:rPr>
        <w:t xml:space="preserve">/Interamerican Journal of Psychology, 49(3), 294-301. </w:t>
      </w:r>
      <w:hyperlink r:id="rId49" w:history="1">
        <w:r w:rsidRPr="00533653">
          <w:rPr>
            <w:rStyle w:val="Hipervnculo"/>
            <w:lang w:val="en-US"/>
          </w:rPr>
          <w:t>https://www.redalyc.org/articulo.oa?id=28446020002</w:t>
        </w:r>
      </w:hyperlink>
    </w:p>
    <w:p w14:paraId="65E16AB8" w14:textId="0875B64E" w:rsidR="00540E57" w:rsidRDefault="0007493C" w:rsidP="008531D8">
      <w:pPr>
        <w:ind w:left="720" w:hanging="720"/>
        <w:rPr>
          <w:lang w:val="en-US"/>
        </w:rPr>
      </w:pPr>
      <w:proofErr w:type="spellStart"/>
      <w:r w:rsidRPr="00DB15B8">
        <w:rPr>
          <w:lang w:val="en-US"/>
        </w:rPr>
        <w:t>Sozuer</w:t>
      </w:r>
      <w:proofErr w:type="spellEnd"/>
      <w:r w:rsidRPr="00DB15B8">
        <w:rPr>
          <w:lang w:val="en-US"/>
        </w:rPr>
        <w:t xml:space="preserve">, S., Carpenter, G. S., </w:t>
      </w:r>
      <w:proofErr w:type="spellStart"/>
      <w:r w:rsidRPr="00DB15B8">
        <w:rPr>
          <w:lang w:val="en-US"/>
        </w:rPr>
        <w:t>Kopalle</w:t>
      </w:r>
      <w:proofErr w:type="spellEnd"/>
      <w:r w:rsidRPr="00DB15B8">
        <w:rPr>
          <w:lang w:val="en-US"/>
        </w:rPr>
        <w:t xml:space="preserve">, P. K., McAlister, L. M., &amp; Lehmann, D. R. (2020). The past, present, and future of marketing strategy. </w:t>
      </w:r>
      <w:r w:rsidRPr="00720C3E">
        <w:rPr>
          <w:i/>
          <w:iCs/>
          <w:lang w:val="en-US"/>
        </w:rPr>
        <w:t xml:space="preserve">Marketing Letters, </w:t>
      </w:r>
      <w:r w:rsidR="00944B23" w:rsidRPr="00720C3E">
        <w:rPr>
          <w:i/>
          <w:iCs/>
          <w:lang w:val="en-US"/>
        </w:rPr>
        <w:t>31</w:t>
      </w:r>
      <w:r w:rsidR="00944B23">
        <w:rPr>
          <w:lang w:val="en-US"/>
        </w:rPr>
        <w:t>, 163-174</w:t>
      </w:r>
      <w:r w:rsidRPr="00DB15B8">
        <w:rPr>
          <w:lang w:val="en-US"/>
        </w:rPr>
        <w:t>.</w:t>
      </w:r>
      <w:r w:rsidR="00944B23">
        <w:rPr>
          <w:lang w:val="en-US"/>
        </w:rPr>
        <w:t xml:space="preserve"> </w:t>
      </w:r>
      <w:hyperlink r:id="rId50" w:history="1">
        <w:r w:rsidR="00944B23" w:rsidRPr="00533653">
          <w:rPr>
            <w:rStyle w:val="Hipervnculo"/>
            <w:lang w:val="en-US"/>
          </w:rPr>
          <w:t>https://doi.org/10.1007/s11002-020-09529-5</w:t>
        </w:r>
      </w:hyperlink>
    </w:p>
    <w:p w14:paraId="7E32F2B6" w14:textId="72609991" w:rsidR="00B46C47" w:rsidRDefault="00B46C47" w:rsidP="008531D8">
      <w:pPr>
        <w:ind w:left="720" w:hanging="720"/>
        <w:rPr>
          <w:lang w:val="en-US"/>
        </w:rPr>
      </w:pPr>
      <w:r w:rsidRPr="00371142">
        <w:rPr>
          <w:lang w:val="en-US"/>
        </w:rPr>
        <w:t>Taylor,</w:t>
      </w:r>
      <w:r w:rsidRPr="00DB15B8">
        <w:rPr>
          <w:lang w:val="en-US"/>
        </w:rPr>
        <w:t xml:space="preserve"> P. J., &amp; Marsh, J. E. (2017). E‐Prime (Software). </w:t>
      </w:r>
      <w:r w:rsidRPr="000A5641">
        <w:rPr>
          <w:i/>
          <w:iCs/>
          <w:lang w:val="en-US"/>
        </w:rPr>
        <w:t>The International Encyclopedia of Communication Research Methods</w:t>
      </w:r>
      <w:r w:rsidR="000A5641">
        <w:rPr>
          <w:lang w:val="en-US"/>
        </w:rPr>
        <w:t xml:space="preserve"> (pp. </w:t>
      </w:r>
      <w:r w:rsidRPr="00DB15B8">
        <w:rPr>
          <w:lang w:val="en-US"/>
        </w:rPr>
        <w:t>1-3</w:t>
      </w:r>
      <w:r w:rsidR="000A5641">
        <w:rPr>
          <w:lang w:val="en-US"/>
        </w:rPr>
        <w:t>)</w:t>
      </w:r>
      <w:r w:rsidRPr="00DB15B8">
        <w:rPr>
          <w:lang w:val="en-US"/>
        </w:rPr>
        <w:t>.</w:t>
      </w:r>
      <w:r w:rsidR="00682F65">
        <w:rPr>
          <w:lang w:val="en-US"/>
        </w:rPr>
        <w:t xml:space="preserve"> </w:t>
      </w:r>
      <w:r w:rsidR="000A5641">
        <w:rPr>
          <w:lang w:val="en-US"/>
        </w:rPr>
        <w:t xml:space="preserve">Wiley Publishing. </w:t>
      </w:r>
      <w:hyperlink r:id="rId51" w:history="1">
        <w:r w:rsidR="008945D5" w:rsidRPr="00533653">
          <w:rPr>
            <w:rStyle w:val="Hipervnculo"/>
            <w:lang w:val="en-US"/>
          </w:rPr>
          <w:t>https://doi.org/10.1002/9781118901731.iecrm0085</w:t>
        </w:r>
      </w:hyperlink>
    </w:p>
    <w:p w14:paraId="3C76A21C" w14:textId="0DA8601B" w:rsidR="003C6840" w:rsidRDefault="003C6840" w:rsidP="008531D8">
      <w:pPr>
        <w:ind w:left="720" w:hanging="720"/>
        <w:rPr>
          <w:lang w:val="en-US"/>
        </w:rPr>
      </w:pPr>
      <w:r w:rsidRPr="00AF455E">
        <w:rPr>
          <w:lang w:val="en-US"/>
        </w:rPr>
        <w:t xml:space="preserve">The </w:t>
      </w:r>
      <w:proofErr w:type="spellStart"/>
      <w:r w:rsidRPr="00AF455E">
        <w:rPr>
          <w:lang w:val="en-US"/>
        </w:rPr>
        <w:t>jamovi</w:t>
      </w:r>
      <w:proofErr w:type="spellEnd"/>
      <w:r w:rsidRPr="00AF455E">
        <w:rPr>
          <w:lang w:val="en-US"/>
        </w:rPr>
        <w:t xml:space="preserve"> project</w:t>
      </w:r>
      <w:r w:rsidRPr="00DB15B8">
        <w:rPr>
          <w:lang w:val="en-US"/>
        </w:rPr>
        <w:t xml:space="preserve"> (2021). </w:t>
      </w:r>
      <w:proofErr w:type="spellStart"/>
      <w:r w:rsidRPr="00DB15B8">
        <w:rPr>
          <w:lang w:val="en-US"/>
        </w:rPr>
        <w:t>jamovi</w:t>
      </w:r>
      <w:proofErr w:type="spellEnd"/>
      <w:r w:rsidRPr="00DB15B8">
        <w:rPr>
          <w:lang w:val="en-US"/>
        </w:rPr>
        <w:t xml:space="preserve"> (Version 1.6) [Computer </w:t>
      </w:r>
      <w:r w:rsidR="004C5F74">
        <w:rPr>
          <w:lang w:val="en-US"/>
        </w:rPr>
        <w:t>s</w:t>
      </w:r>
      <w:r w:rsidRPr="00DB15B8">
        <w:rPr>
          <w:lang w:val="en-US"/>
        </w:rPr>
        <w:t>oftware].</w:t>
      </w:r>
      <w:r w:rsidR="00AF455E">
        <w:rPr>
          <w:lang w:val="en-US"/>
        </w:rPr>
        <w:t xml:space="preserve"> </w:t>
      </w:r>
      <w:hyperlink r:id="rId52" w:history="1">
        <w:r w:rsidR="00AF455E" w:rsidRPr="00533653">
          <w:rPr>
            <w:rStyle w:val="Hipervnculo"/>
            <w:lang w:val="en-US"/>
          </w:rPr>
          <w:t>https://www.jamovi.org</w:t>
        </w:r>
      </w:hyperlink>
    </w:p>
    <w:p w14:paraId="79DF3C98" w14:textId="2BC4E0C6" w:rsidR="00C16FF8" w:rsidRDefault="00C16FF8" w:rsidP="008531D8">
      <w:pPr>
        <w:ind w:left="720" w:hanging="720"/>
        <w:rPr>
          <w:lang w:val="en-US"/>
        </w:rPr>
      </w:pPr>
      <w:r w:rsidRPr="00DB15B8">
        <w:rPr>
          <w:lang w:val="en-US"/>
        </w:rPr>
        <w:t xml:space="preserve">Turley, L. W., &amp; Milliman, R. E. (2000). Atmospheric effects on shopping behavior: a review of the experimental evidence. </w:t>
      </w:r>
      <w:r w:rsidRPr="001B44BD">
        <w:rPr>
          <w:i/>
          <w:iCs/>
          <w:lang w:val="en-US"/>
        </w:rPr>
        <w:t xml:space="preserve">Journal of </w:t>
      </w:r>
      <w:r w:rsidR="00F551F6" w:rsidRPr="001B44BD">
        <w:rPr>
          <w:i/>
          <w:iCs/>
          <w:lang w:val="en-US"/>
        </w:rPr>
        <w:t>B</w:t>
      </w:r>
      <w:r w:rsidRPr="001B44BD">
        <w:rPr>
          <w:i/>
          <w:iCs/>
          <w:lang w:val="en-US"/>
        </w:rPr>
        <w:t xml:space="preserve">usiness </w:t>
      </w:r>
      <w:r w:rsidR="00F551F6" w:rsidRPr="001B44BD">
        <w:rPr>
          <w:i/>
          <w:iCs/>
          <w:lang w:val="en-US"/>
        </w:rPr>
        <w:t>R</w:t>
      </w:r>
      <w:r w:rsidRPr="001B44BD">
        <w:rPr>
          <w:i/>
          <w:iCs/>
          <w:lang w:val="en-US"/>
        </w:rPr>
        <w:t>esearch, 49</w:t>
      </w:r>
      <w:r w:rsidRPr="00DB15B8">
        <w:rPr>
          <w:lang w:val="en-US"/>
        </w:rPr>
        <w:t>(2), 193-211.</w:t>
      </w:r>
      <w:r w:rsidR="00F551F6">
        <w:rPr>
          <w:lang w:val="en-US"/>
        </w:rPr>
        <w:t xml:space="preserve"> </w:t>
      </w:r>
      <w:hyperlink r:id="rId53" w:history="1">
        <w:r w:rsidR="00F551F6" w:rsidRPr="00533653">
          <w:rPr>
            <w:rStyle w:val="Hipervnculo"/>
            <w:lang w:val="en-US"/>
          </w:rPr>
          <w:t>https://doi.org/10.1016/S0148-2963(99)00010-7</w:t>
        </w:r>
      </w:hyperlink>
    </w:p>
    <w:p w14:paraId="65728D93" w14:textId="49761772" w:rsidR="002F02BF" w:rsidRDefault="002F02BF" w:rsidP="008531D8">
      <w:pPr>
        <w:ind w:left="720" w:hanging="720"/>
        <w:rPr>
          <w:lang w:val="en-US"/>
        </w:rPr>
      </w:pPr>
    </w:p>
    <w:p w14:paraId="526E459B" w14:textId="77777777" w:rsidR="00B37CAA" w:rsidRPr="00E25900" w:rsidRDefault="00B37CAA" w:rsidP="008531D8">
      <w:pPr>
        <w:ind w:left="720" w:hanging="720"/>
        <w:rPr>
          <w:lang w:val="en-US"/>
        </w:rPr>
      </w:pPr>
    </w:p>
    <w:p w14:paraId="2B09FC6A" w14:textId="57CE0D8E" w:rsidR="00594317" w:rsidRPr="00E25900" w:rsidRDefault="00594317" w:rsidP="005676F1">
      <w:pPr>
        <w:shd w:val="clear" w:color="auto" w:fill="FFFFFF"/>
        <w:jc w:val="right"/>
        <w:rPr>
          <w:i/>
          <w:iCs/>
          <w:sz w:val="20"/>
          <w:szCs w:val="20"/>
          <w:lang w:val="es-AR"/>
        </w:rPr>
      </w:pPr>
      <w:proofErr w:type="spellStart"/>
      <w:r w:rsidRPr="004976CE">
        <w:rPr>
          <w:i/>
          <w:iCs/>
          <w:sz w:val="20"/>
          <w:szCs w:val="20"/>
        </w:rPr>
        <w:t>Received</w:t>
      </w:r>
      <w:proofErr w:type="spellEnd"/>
      <w:r w:rsidRPr="00E25900">
        <w:rPr>
          <w:i/>
          <w:iCs/>
          <w:sz w:val="20"/>
          <w:szCs w:val="20"/>
          <w:lang w:val="pt-BR"/>
        </w:rPr>
        <w:t xml:space="preserve">: </w:t>
      </w:r>
    </w:p>
    <w:p w14:paraId="4E83660D" w14:textId="1D5BD37D" w:rsidR="003D21B8" w:rsidRPr="00540E57" w:rsidRDefault="00594317" w:rsidP="005676F1">
      <w:pPr>
        <w:shd w:val="clear" w:color="auto" w:fill="FFFFFF"/>
        <w:jc w:val="right"/>
        <w:rPr>
          <w:i/>
          <w:iCs/>
          <w:sz w:val="20"/>
          <w:szCs w:val="20"/>
          <w:lang w:val="es-AR"/>
        </w:rPr>
      </w:pPr>
      <w:proofErr w:type="spellStart"/>
      <w:r w:rsidRPr="00E25900">
        <w:rPr>
          <w:i/>
          <w:iCs/>
          <w:sz w:val="20"/>
          <w:szCs w:val="20"/>
          <w:lang w:val="es-AR"/>
        </w:rPr>
        <w:t>Accepted</w:t>
      </w:r>
      <w:proofErr w:type="spellEnd"/>
      <w:r w:rsidRPr="00E25900">
        <w:rPr>
          <w:i/>
          <w:iCs/>
          <w:sz w:val="20"/>
          <w:szCs w:val="20"/>
          <w:lang w:val="es-AR"/>
        </w:rPr>
        <w:t>:</w:t>
      </w:r>
    </w:p>
    <w:sectPr w:rsidR="003D21B8" w:rsidRPr="00540E57" w:rsidSect="00F65AE6">
      <w:headerReference w:type="even" r:id="rId54"/>
      <w:headerReference w:type="default" r:id="rId55"/>
      <w:footerReference w:type="even" r:id="rId56"/>
      <w:footerReference w:type="default" r:id="rId57"/>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2812F" w14:textId="77777777" w:rsidR="00261E23" w:rsidRDefault="00261E23" w:rsidP="00C413D4">
      <w:r>
        <w:separator/>
      </w:r>
    </w:p>
  </w:endnote>
  <w:endnote w:type="continuationSeparator" w:id="0">
    <w:p w14:paraId="626273AB" w14:textId="77777777" w:rsidR="00261E23" w:rsidRDefault="00261E23"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08070B" w:rsidRDefault="0008070B"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08070B" w:rsidRDefault="000807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08070B" w:rsidRDefault="0008070B"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08070B" w:rsidRDefault="000807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58E51" w14:textId="77777777" w:rsidR="00261E23" w:rsidRDefault="00261E23" w:rsidP="00C413D4">
      <w:r>
        <w:separator/>
      </w:r>
    </w:p>
  </w:footnote>
  <w:footnote w:type="continuationSeparator" w:id="0">
    <w:p w14:paraId="0F0DE1AD" w14:textId="77777777" w:rsidR="00261E23" w:rsidRDefault="00261E23"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12332247" w:rsidR="0008070B" w:rsidRPr="001566F6" w:rsidRDefault="0008070B"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08070B" w:rsidRDefault="0008070B"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1"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2DED40EB" w:rsidRPr="2DED40EB">
      <w:rPr>
        <w:rFonts w:ascii="Times" w:hAnsi="Times"/>
        <w:b/>
        <w:bCs/>
        <w:i/>
        <w:iCs/>
        <w:sz w:val="18"/>
        <w:szCs w:val="18"/>
        <w:lang w:val="es-ES"/>
      </w:rPr>
      <w:t>Revista Interamericana de Psicología/</w:t>
    </w:r>
    <w:proofErr w:type="spellStart"/>
    <w:r w:rsidR="2DED40EB" w:rsidRPr="2DED40EB">
      <w:rPr>
        <w:rFonts w:ascii="Times" w:hAnsi="Times"/>
        <w:b/>
        <w:bCs/>
        <w:i/>
        <w:iCs/>
        <w:sz w:val="18"/>
        <w:szCs w:val="18"/>
        <w:lang w:val="es-ES"/>
      </w:rPr>
      <w:t>Interamerican</w:t>
    </w:r>
    <w:proofErr w:type="spellEnd"/>
    <w:r w:rsidR="2DED40EB" w:rsidRPr="2DED40EB">
      <w:rPr>
        <w:rFonts w:ascii="Times" w:hAnsi="Times"/>
        <w:b/>
        <w:bCs/>
        <w:i/>
        <w:iCs/>
        <w:sz w:val="18"/>
        <w:szCs w:val="18"/>
        <w:lang w:val="es-ES"/>
      </w:rPr>
      <w:t xml:space="preserve"> </w:t>
    </w:r>
    <w:proofErr w:type="spellStart"/>
    <w:r w:rsidR="2DED40EB" w:rsidRPr="2DED40EB">
      <w:rPr>
        <w:rFonts w:ascii="Times" w:hAnsi="Times"/>
        <w:b/>
        <w:bCs/>
        <w:i/>
        <w:iCs/>
        <w:sz w:val="18"/>
        <w:szCs w:val="18"/>
        <w:lang w:val="es-ES"/>
      </w:rPr>
      <w:t>Journal</w:t>
    </w:r>
    <w:proofErr w:type="spellEnd"/>
    <w:r w:rsidR="2DED40EB" w:rsidRPr="2DED40EB">
      <w:rPr>
        <w:rFonts w:ascii="Times" w:hAnsi="Times"/>
        <w:b/>
        <w:bCs/>
        <w:i/>
        <w:iCs/>
        <w:sz w:val="18"/>
        <w:szCs w:val="18"/>
        <w:lang w:val="es-ES"/>
      </w:rPr>
      <w:t xml:space="preserve"> </w:t>
    </w:r>
    <w:proofErr w:type="spellStart"/>
    <w:r w:rsidR="2DED40EB" w:rsidRPr="2DED40EB">
      <w:rPr>
        <w:rFonts w:ascii="Times" w:hAnsi="Times"/>
        <w:b/>
        <w:bCs/>
        <w:i/>
        <w:iCs/>
        <w:sz w:val="18"/>
        <w:szCs w:val="18"/>
        <w:lang w:val="es-ES"/>
      </w:rPr>
      <w:t>of</w:t>
    </w:r>
    <w:proofErr w:type="spellEnd"/>
    <w:r w:rsidR="2DED40EB" w:rsidRPr="2DED40EB">
      <w:rPr>
        <w:rFonts w:ascii="Times" w:hAnsi="Times"/>
        <w:b/>
        <w:bCs/>
        <w:i/>
        <w:iCs/>
        <w:sz w:val="18"/>
        <w:szCs w:val="18"/>
        <w:lang w:val="es-ES"/>
      </w:rPr>
      <w:t xml:space="preserve"> </w:t>
    </w:r>
    <w:proofErr w:type="spellStart"/>
    <w:r w:rsidR="2DED40EB" w:rsidRPr="2DED40EB">
      <w:rPr>
        <w:rFonts w:ascii="Times" w:hAnsi="Times"/>
        <w:b/>
        <w:bCs/>
        <w:i/>
        <w:iCs/>
        <w:sz w:val="18"/>
        <w:szCs w:val="18"/>
        <w:lang w:val="es-ES"/>
      </w:rPr>
      <w:t>Psychology</w:t>
    </w:r>
    <w:proofErr w:type="spellEnd"/>
  </w:p>
  <w:p w14:paraId="4669E1FB" w14:textId="64E673DE" w:rsidR="0008070B" w:rsidRPr="0027261B" w:rsidRDefault="0008070B"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0220520"/>
    <w:lvl w:ilvl="0" w:tplc="6B60C74C">
      <w:start w:val="1"/>
      <w:numFmt w:val="decimal"/>
      <w:lvlText w:val="%1."/>
      <w:lvlJc w:val="left"/>
      <w:pPr>
        <w:tabs>
          <w:tab w:val="num" w:pos="1209"/>
        </w:tabs>
        <w:ind w:left="1209" w:hanging="360"/>
      </w:pPr>
    </w:lvl>
    <w:lvl w:ilvl="1" w:tplc="249AA2B6">
      <w:numFmt w:val="decimal"/>
      <w:lvlText w:val=""/>
      <w:lvlJc w:val="left"/>
    </w:lvl>
    <w:lvl w:ilvl="2" w:tplc="B6601144">
      <w:numFmt w:val="decimal"/>
      <w:lvlText w:val=""/>
      <w:lvlJc w:val="left"/>
    </w:lvl>
    <w:lvl w:ilvl="3" w:tplc="9FCCEC42">
      <w:numFmt w:val="decimal"/>
      <w:lvlText w:val=""/>
      <w:lvlJc w:val="left"/>
    </w:lvl>
    <w:lvl w:ilvl="4" w:tplc="67FA65F0">
      <w:numFmt w:val="decimal"/>
      <w:lvlText w:val=""/>
      <w:lvlJc w:val="left"/>
    </w:lvl>
    <w:lvl w:ilvl="5" w:tplc="06401BEE">
      <w:numFmt w:val="decimal"/>
      <w:lvlText w:val=""/>
      <w:lvlJc w:val="left"/>
    </w:lvl>
    <w:lvl w:ilvl="6" w:tplc="D8E69B38">
      <w:numFmt w:val="decimal"/>
      <w:lvlText w:val=""/>
      <w:lvlJc w:val="left"/>
    </w:lvl>
    <w:lvl w:ilvl="7" w:tplc="1E864540">
      <w:numFmt w:val="decimal"/>
      <w:lvlText w:val=""/>
      <w:lvlJc w:val="left"/>
    </w:lvl>
    <w:lvl w:ilvl="8" w:tplc="3D7E6674">
      <w:numFmt w:val="decimal"/>
      <w:lvlText w:val=""/>
      <w:lvlJc w:val="left"/>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hybridMultilevel"/>
    <w:tmpl w:val="D72AF8DA"/>
    <w:lvl w:ilvl="0" w:tplc="270074A0">
      <w:start w:val="1"/>
      <w:numFmt w:val="decimal"/>
      <w:lvlText w:val="%1."/>
      <w:lvlJc w:val="left"/>
      <w:pPr>
        <w:tabs>
          <w:tab w:val="num" w:pos="360"/>
        </w:tabs>
        <w:ind w:left="360" w:hanging="360"/>
      </w:pPr>
    </w:lvl>
    <w:lvl w:ilvl="1" w:tplc="79FAF852">
      <w:numFmt w:val="decimal"/>
      <w:lvlText w:val=""/>
      <w:lvlJc w:val="left"/>
    </w:lvl>
    <w:lvl w:ilvl="2" w:tplc="040CB1BA">
      <w:numFmt w:val="decimal"/>
      <w:lvlText w:val=""/>
      <w:lvlJc w:val="left"/>
    </w:lvl>
    <w:lvl w:ilvl="3" w:tplc="B71C47FE">
      <w:numFmt w:val="decimal"/>
      <w:lvlText w:val=""/>
      <w:lvlJc w:val="left"/>
    </w:lvl>
    <w:lvl w:ilvl="4" w:tplc="38160700">
      <w:numFmt w:val="decimal"/>
      <w:lvlText w:val=""/>
      <w:lvlJc w:val="left"/>
    </w:lvl>
    <w:lvl w:ilvl="5" w:tplc="FE2694F8">
      <w:numFmt w:val="decimal"/>
      <w:lvlText w:val=""/>
      <w:lvlJc w:val="left"/>
    </w:lvl>
    <w:lvl w:ilvl="6" w:tplc="5386C59E">
      <w:numFmt w:val="decimal"/>
      <w:lvlText w:val=""/>
      <w:lvlJc w:val="left"/>
    </w:lvl>
    <w:lvl w:ilvl="7" w:tplc="F2DC9D78">
      <w:numFmt w:val="decimal"/>
      <w:lvlText w:val=""/>
      <w:lvlJc w:val="left"/>
    </w:lvl>
    <w:lvl w:ilvl="8" w:tplc="900CB964">
      <w:numFmt w:val="decimal"/>
      <w:lvlText w:val=""/>
      <w:lvlJc w:val="left"/>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0514"/>
    <w:rsid w:val="00001033"/>
    <w:rsid w:val="000016B0"/>
    <w:rsid w:val="000040E2"/>
    <w:rsid w:val="00006BB7"/>
    <w:rsid w:val="0002297A"/>
    <w:rsid w:val="00024F46"/>
    <w:rsid w:val="00024FED"/>
    <w:rsid w:val="00030070"/>
    <w:rsid w:val="0003162A"/>
    <w:rsid w:val="00034E5D"/>
    <w:rsid w:val="000365CA"/>
    <w:rsid w:val="000401BA"/>
    <w:rsid w:val="00042463"/>
    <w:rsid w:val="00046EA5"/>
    <w:rsid w:val="00051B8D"/>
    <w:rsid w:val="00051F1B"/>
    <w:rsid w:val="000550DB"/>
    <w:rsid w:val="0006131E"/>
    <w:rsid w:val="00065049"/>
    <w:rsid w:val="000653A1"/>
    <w:rsid w:val="00065504"/>
    <w:rsid w:val="00066897"/>
    <w:rsid w:val="0007263F"/>
    <w:rsid w:val="0007493C"/>
    <w:rsid w:val="00076F0A"/>
    <w:rsid w:val="0008070B"/>
    <w:rsid w:val="00084DA8"/>
    <w:rsid w:val="00085691"/>
    <w:rsid w:val="000913FE"/>
    <w:rsid w:val="00091C3A"/>
    <w:rsid w:val="000A2621"/>
    <w:rsid w:val="000A2954"/>
    <w:rsid w:val="000A5641"/>
    <w:rsid w:val="000A798E"/>
    <w:rsid w:val="000B6411"/>
    <w:rsid w:val="000C2E47"/>
    <w:rsid w:val="000C7138"/>
    <w:rsid w:val="000C764A"/>
    <w:rsid w:val="000D35CD"/>
    <w:rsid w:val="000D4F8D"/>
    <w:rsid w:val="000E1E32"/>
    <w:rsid w:val="000E2861"/>
    <w:rsid w:val="000E3B16"/>
    <w:rsid w:val="000F1679"/>
    <w:rsid w:val="000F264F"/>
    <w:rsid w:val="00101901"/>
    <w:rsid w:val="00102C90"/>
    <w:rsid w:val="001043AB"/>
    <w:rsid w:val="00107993"/>
    <w:rsid w:val="00120BFA"/>
    <w:rsid w:val="00121E03"/>
    <w:rsid w:val="001229B2"/>
    <w:rsid w:val="001253E7"/>
    <w:rsid w:val="00127870"/>
    <w:rsid w:val="0013313D"/>
    <w:rsid w:val="00137983"/>
    <w:rsid w:val="00141131"/>
    <w:rsid w:val="00143C84"/>
    <w:rsid w:val="001448D2"/>
    <w:rsid w:val="0014614B"/>
    <w:rsid w:val="001502D6"/>
    <w:rsid w:val="001516ED"/>
    <w:rsid w:val="00152F03"/>
    <w:rsid w:val="00153C2F"/>
    <w:rsid w:val="00153DC5"/>
    <w:rsid w:val="0015602A"/>
    <w:rsid w:val="001566F6"/>
    <w:rsid w:val="001632B3"/>
    <w:rsid w:val="00165CB1"/>
    <w:rsid w:val="00166318"/>
    <w:rsid w:val="001671B0"/>
    <w:rsid w:val="00171F5A"/>
    <w:rsid w:val="00172339"/>
    <w:rsid w:val="00180443"/>
    <w:rsid w:val="00184825"/>
    <w:rsid w:val="00185AA3"/>
    <w:rsid w:val="0018641B"/>
    <w:rsid w:val="0019274B"/>
    <w:rsid w:val="0019282E"/>
    <w:rsid w:val="00193ABD"/>
    <w:rsid w:val="00193E17"/>
    <w:rsid w:val="001970BB"/>
    <w:rsid w:val="001A09C9"/>
    <w:rsid w:val="001A4186"/>
    <w:rsid w:val="001A5475"/>
    <w:rsid w:val="001A6CB9"/>
    <w:rsid w:val="001B44BD"/>
    <w:rsid w:val="001B5619"/>
    <w:rsid w:val="001C3C8D"/>
    <w:rsid w:val="001C5C62"/>
    <w:rsid w:val="001D113A"/>
    <w:rsid w:val="001D36AF"/>
    <w:rsid w:val="001D4637"/>
    <w:rsid w:val="001D4A42"/>
    <w:rsid w:val="001D6741"/>
    <w:rsid w:val="001D6B70"/>
    <w:rsid w:val="001E088A"/>
    <w:rsid w:val="001E1BEA"/>
    <w:rsid w:val="001E2854"/>
    <w:rsid w:val="001E371C"/>
    <w:rsid w:val="001E3A25"/>
    <w:rsid w:val="001E70EF"/>
    <w:rsid w:val="001F57B9"/>
    <w:rsid w:val="001F7509"/>
    <w:rsid w:val="00205AAC"/>
    <w:rsid w:val="0020685F"/>
    <w:rsid w:val="00207C8F"/>
    <w:rsid w:val="00210B9B"/>
    <w:rsid w:val="00216AFF"/>
    <w:rsid w:val="00223014"/>
    <w:rsid w:val="00223506"/>
    <w:rsid w:val="00225B2F"/>
    <w:rsid w:val="00227260"/>
    <w:rsid w:val="0023343E"/>
    <w:rsid w:val="00234E5C"/>
    <w:rsid w:val="00237250"/>
    <w:rsid w:val="00244281"/>
    <w:rsid w:val="00246D04"/>
    <w:rsid w:val="002548AA"/>
    <w:rsid w:val="00255FB4"/>
    <w:rsid w:val="0026102B"/>
    <w:rsid w:val="00261367"/>
    <w:rsid w:val="00261E23"/>
    <w:rsid w:val="002624E0"/>
    <w:rsid w:val="00262B56"/>
    <w:rsid w:val="002635A7"/>
    <w:rsid w:val="00271502"/>
    <w:rsid w:val="00271E59"/>
    <w:rsid w:val="0027251B"/>
    <w:rsid w:val="0027261B"/>
    <w:rsid w:val="002874C9"/>
    <w:rsid w:val="0029427A"/>
    <w:rsid w:val="00294547"/>
    <w:rsid w:val="00297AFB"/>
    <w:rsid w:val="002A0629"/>
    <w:rsid w:val="002A06B1"/>
    <w:rsid w:val="002A371A"/>
    <w:rsid w:val="002B207F"/>
    <w:rsid w:val="002B2297"/>
    <w:rsid w:val="002B22D8"/>
    <w:rsid w:val="002C009C"/>
    <w:rsid w:val="002C1EB1"/>
    <w:rsid w:val="002C3A8D"/>
    <w:rsid w:val="002C6DD4"/>
    <w:rsid w:val="002C7C6D"/>
    <w:rsid w:val="002C7DF0"/>
    <w:rsid w:val="002C7ED0"/>
    <w:rsid w:val="002D1053"/>
    <w:rsid w:val="002D23FD"/>
    <w:rsid w:val="002D559D"/>
    <w:rsid w:val="002E0320"/>
    <w:rsid w:val="002E2D0C"/>
    <w:rsid w:val="002E6EE3"/>
    <w:rsid w:val="002E7852"/>
    <w:rsid w:val="002F02BF"/>
    <w:rsid w:val="002F070D"/>
    <w:rsid w:val="002F257B"/>
    <w:rsid w:val="002F38C8"/>
    <w:rsid w:val="0030085D"/>
    <w:rsid w:val="00302341"/>
    <w:rsid w:val="00302C5C"/>
    <w:rsid w:val="003050DC"/>
    <w:rsid w:val="00310A5C"/>
    <w:rsid w:val="0031255D"/>
    <w:rsid w:val="003178CF"/>
    <w:rsid w:val="00327ECB"/>
    <w:rsid w:val="0033175E"/>
    <w:rsid w:val="003320ED"/>
    <w:rsid w:val="00333102"/>
    <w:rsid w:val="00333B32"/>
    <w:rsid w:val="00334271"/>
    <w:rsid w:val="0033439B"/>
    <w:rsid w:val="00335918"/>
    <w:rsid w:val="00345CE9"/>
    <w:rsid w:val="00357605"/>
    <w:rsid w:val="003706D6"/>
    <w:rsid w:val="00371142"/>
    <w:rsid w:val="00381FFF"/>
    <w:rsid w:val="00387724"/>
    <w:rsid w:val="003909A7"/>
    <w:rsid w:val="00392FBF"/>
    <w:rsid w:val="003949FE"/>
    <w:rsid w:val="00394E67"/>
    <w:rsid w:val="00397A31"/>
    <w:rsid w:val="003A68A0"/>
    <w:rsid w:val="003B3780"/>
    <w:rsid w:val="003B3A89"/>
    <w:rsid w:val="003B535F"/>
    <w:rsid w:val="003B5AFE"/>
    <w:rsid w:val="003C00E8"/>
    <w:rsid w:val="003C036C"/>
    <w:rsid w:val="003C4AA4"/>
    <w:rsid w:val="003C6840"/>
    <w:rsid w:val="003C6EAE"/>
    <w:rsid w:val="003C7793"/>
    <w:rsid w:val="003D0A28"/>
    <w:rsid w:val="003D21B8"/>
    <w:rsid w:val="003D3897"/>
    <w:rsid w:val="003E438F"/>
    <w:rsid w:val="003E4B06"/>
    <w:rsid w:val="003F1E57"/>
    <w:rsid w:val="003F60D5"/>
    <w:rsid w:val="003F6AEB"/>
    <w:rsid w:val="004202C1"/>
    <w:rsid w:val="0042142D"/>
    <w:rsid w:val="00421570"/>
    <w:rsid w:val="00422E10"/>
    <w:rsid w:val="00430C97"/>
    <w:rsid w:val="00431A0A"/>
    <w:rsid w:val="00442A33"/>
    <w:rsid w:val="00447E89"/>
    <w:rsid w:val="00450F90"/>
    <w:rsid w:val="004535FC"/>
    <w:rsid w:val="00461A0C"/>
    <w:rsid w:val="00463001"/>
    <w:rsid w:val="00464748"/>
    <w:rsid w:val="004661FE"/>
    <w:rsid w:val="00475391"/>
    <w:rsid w:val="0047583E"/>
    <w:rsid w:val="00475FC0"/>
    <w:rsid w:val="004836CB"/>
    <w:rsid w:val="00483D6B"/>
    <w:rsid w:val="0048651A"/>
    <w:rsid w:val="0049173F"/>
    <w:rsid w:val="004958B7"/>
    <w:rsid w:val="00496DCC"/>
    <w:rsid w:val="004976CE"/>
    <w:rsid w:val="004A0A99"/>
    <w:rsid w:val="004A67E6"/>
    <w:rsid w:val="004A7E64"/>
    <w:rsid w:val="004B3806"/>
    <w:rsid w:val="004B3A84"/>
    <w:rsid w:val="004B3E4D"/>
    <w:rsid w:val="004B4FA2"/>
    <w:rsid w:val="004C0823"/>
    <w:rsid w:val="004C5F74"/>
    <w:rsid w:val="004D1E2D"/>
    <w:rsid w:val="004D2A74"/>
    <w:rsid w:val="004D5719"/>
    <w:rsid w:val="004E3C82"/>
    <w:rsid w:val="004E59C0"/>
    <w:rsid w:val="004E79B1"/>
    <w:rsid w:val="004F59E2"/>
    <w:rsid w:val="004F5C3E"/>
    <w:rsid w:val="0050110A"/>
    <w:rsid w:val="00502CD9"/>
    <w:rsid w:val="00505EA3"/>
    <w:rsid w:val="00510E52"/>
    <w:rsid w:val="0051135D"/>
    <w:rsid w:val="005145FB"/>
    <w:rsid w:val="005148DA"/>
    <w:rsid w:val="0052125D"/>
    <w:rsid w:val="0052351B"/>
    <w:rsid w:val="00523696"/>
    <w:rsid w:val="0053529E"/>
    <w:rsid w:val="00536176"/>
    <w:rsid w:val="00540E57"/>
    <w:rsid w:val="00542090"/>
    <w:rsid w:val="00543CEC"/>
    <w:rsid w:val="00544C82"/>
    <w:rsid w:val="00551C1C"/>
    <w:rsid w:val="00556550"/>
    <w:rsid w:val="005671E6"/>
    <w:rsid w:val="005675A3"/>
    <w:rsid w:val="005676F1"/>
    <w:rsid w:val="00571C23"/>
    <w:rsid w:val="00576004"/>
    <w:rsid w:val="00576894"/>
    <w:rsid w:val="0059034C"/>
    <w:rsid w:val="0059353E"/>
    <w:rsid w:val="00594317"/>
    <w:rsid w:val="005953F4"/>
    <w:rsid w:val="005A1418"/>
    <w:rsid w:val="005A7438"/>
    <w:rsid w:val="005B24FF"/>
    <w:rsid w:val="005B2FD1"/>
    <w:rsid w:val="005B5614"/>
    <w:rsid w:val="005B7252"/>
    <w:rsid w:val="005C0B46"/>
    <w:rsid w:val="005C18B7"/>
    <w:rsid w:val="005D4332"/>
    <w:rsid w:val="005D4BA8"/>
    <w:rsid w:val="005E3213"/>
    <w:rsid w:val="005E4C63"/>
    <w:rsid w:val="005E58ED"/>
    <w:rsid w:val="005E5C0A"/>
    <w:rsid w:val="005F06A8"/>
    <w:rsid w:val="00606C6C"/>
    <w:rsid w:val="0061199D"/>
    <w:rsid w:val="00613E75"/>
    <w:rsid w:val="00616573"/>
    <w:rsid w:val="00621FD7"/>
    <w:rsid w:val="0062295C"/>
    <w:rsid w:val="00625183"/>
    <w:rsid w:val="00626919"/>
    <w:rsid w:val="00631B55"/>
    <w:rsid w:val="006360D0"/>
    <w:rsid w:val="0064356F"/>
    <w:rsid w:val="00643B1E"/>
    <w:rsid w:val="0064556F"/>
    <w:rsid w:val="00650760"/>
    <w:rsid w:val="00654AA4"/>
    <w:rsid w:val="006668BF"/>
    <w:rsid w:val="00670D28"/>
    <w:rsid w:val="006736F7"/>
    <w:rsid w:val="00675D9B"/>
    <w:rsid w:val="00681CF5"/>
    <w:rsid w:val="00682F65"/>
    <w:rsid w:val="006831D5"/>
    <w:rsid w:val="00692A60"/>
    <w:rsid w:val="00692ABB"/>
    <w:rsid w:val="006937D3"/>
    <w:rsid w:val="0069404D"/>
    <w:rsid w:val="006A1BA2"/>
    <w:rsid w:val="006A3A42"/>
    <w:rsid w:val="006B0812"/>
    <w:rsid w:val="006B088F"/>
    <w:rsid w:val="006B0AF4"/>
    <w:rsid w:val="006B294A"/>
    <w:rsid w:val="006B3578"/>
    <w:rsid w:val="006B4BA3"/>
    <w:rsid w:val="006B5107"/>
    <w:rsid w:val="006B6A15"/>
    <w:rsid w:val="006B6C12"/>
    <w:rsid w:val="006C18F8"/>
    <w:rsid w:val="006C21BC"/>
    <w:rsid w:val="006C7BCE"/>
    <w:rsid w:val="006C7DBA"/>
    <w:rsid w:val="006D0CC1"/>
    <w:rsid w:val="006D1552"/>
    <w:rsid w:val="006D38E8"/>
    <w:rsid w:val="006D4D14"/>
    <w:rsid w:val="006D7004"/>
    <w:rsid w:val="006E3260"/>
    <w:rsid w:val="006E62A0"/>
    <w:rsid w:val="006F398A"/>
    <w:rsid w:val="006F6924"/>
    <w:rsid w:val="006F7E7E"/>
    <w:rsid w:val="00700F77"/>
    <w:rsid w:val="00704ECD"/>
    <w:rsid w:val="007059D6"/>
    <w:rsid w:val="00706047"/>
    <w:rsid w:val="0071263B"/>
    <w:rsid w:val="007148E3"/>
    <w:rsid w:val="00720C3E"/>
    <w:rsid w:val="00724F5C"/>
    <w:rsid w:val="00726EBD"/>
    <w:rsid w:val="00731257"/>
    <w:rsid w:val="00734139"/>
    <w:rsid w:val="0073466B"/>
    <w:rsid w:val="00742E4A"/>
    <w:rsid w:val="00744B85"/>
    <w:rsid w:val="007605FB"/>
    <w:rsid w:val="00762C91"/>
    <w:rsid w:val="007653BC"/>
    <w:rsid w:val="007704BE"/>
    <w:rsid w:val="00770AE4"/>
    <w:rsid w:val="00771CCA"/>
    <w:rsid w:val="00775E97"/>
    <w:rsid w:val="007803C0"/>
    <w:rsid w:val="00795D57"/>
    <w:rsid w:val="0079717F"/>
    <w:rsid w:val="007A18A5"/>
    <w:rsid w:val="007A419E"/>
    <w:rsid w:val="007A7C7C"/>
    <w:rsid w:val="007A7CDC"/>
    <w:rsid w:val="007B6625"/>
    <w:rsid w:val="007C1650"/>
    <w:rsid w:val="007C3C14"/>
    <w:rsid w:val="007D4338"/>
    <w:rsid w:val="007E0DE2"/>
    <w:rsid w:val="007E34D6"/>
    <w:rsid w:val="007E3B8D"/>
    <w:rsid w:val="007F6A18"/>
    <w:rsid w:val="008060D0"/>
    <w:rsid w:val="00810FC0"/>
    <w:rsid w:val="008114AC"/>
    <w:rsid w:val="008151AB"/>
    <w:rsid w:val="00815EF1"/>
    <w:rsid w:val="00816268"/>
    <w:rsid w:val="00824D3A"/>
    <w:rsid w:val="008257C5"/>
    <w:rsid w:val="008304B5"/>
    <w:rsid w:val="0083435E"/>
    <w:rsid w:val="0084314A"/>
    <w:rsid w:val="00843CAE"/>
    <w:rsid w:val="008531D8"/>
    <w:rsid w:val="00860C45"/>
    <w:rsid w:val="00862FDC"/>
    <w:rsid w:val="00863414"/>
    <w:rsid w:val="0086449C"/>
    <w:rsid w:val="008664E3"/>
    <w:rsid w:val="0086722B"/>
    <w:rsid w:val="00872A48"/>
    <w:rsid w:val="00872CE8"/>
    <w:rsid w:val="00872EFD"/>
    <w:rsid w:val="00876369"/>
    <w:rsid w:val="00880120"/>
    <w:rsid w:val="00885923"/>
    <w:rsid w:val="00885E28"/>
    <w:rsid w:val="008918E4"/>
    <w:rsid w:val="00892DA4"/>
    <w:rsid w:val="008945D5"/>
    <w:rsid w:val="00894977"/>
    <w:rsid w:val="0089608B"/>
    <w:rsid w:val="008A359A"/>
    <w:rsid w:val="008B064D"/>
    <w:rsid w:val="008B0F10"/>
    <w:rsid w:val="008B6977"/>
    <w:rsid w:val="008C01FB"/>
    <w:rsid w:val="008C1FE7"/>
    <w:rsid w:val="008C409A"/>
    <w:rsid w:val="008C6FBB"/>
    <w:rsid w:val="008C717B"/>
    <w:rsid w:val="008C775E"/>
    <w:rsid w:val="008D509E"/>
    <w:rsid w:val="008E1744"/>
    <w:rsid w:val="008E7947"/>
    <w:rsid w:val="008F0FC0"/>
    <w:rsid w:val="008F1E20"/>
    <w:rsid w:val="008F3ED7"/>
    <w:rsid w:val="008F4660"/>
    <w:rsid w:val="0090296D"/>
    <w:rsid w:val="009032D5"/>
    <w:rsid w:val="00903DEB"/>
    <w:rsid w:val="00905234"/>
    <w:rsid w:val="009118D5"/>
    <w:rsid w:val="00914031"/>
    <w:rsid w:val="00914FB2"/>
    <w:rsid w:val="00916ACF"/>
    <w:rsid w:val="00930BED"/>
    <w:rsid w:val="009310BA"/>
    <w:rsid w:val="00940090"/>
    <w:rsid w:val="00941DEC"/>
    <w:rsid w:val="00944B23"/>
    <w:rsid w:val="0094672D"/>
    <w:rsid w:val="00947C2E"/>
    <w:rsid w:val="009510ED"/>
    <w:rsid w:val="009519FD"/>
    <w:rsid w:val="0095529B"/>
    <w:rsid w:val="009603DE"/>
    <w:rsid w:val="00965BF0"/>
    <w:rsid w:val="009662A3"/>
    <w:rsid w:val="009672D5"/>
    <w:rsid w:val="00970F10"/>
    <w:rsid w:val="009730DF"/>
    <w:rsid w:val="00977250"/>
    <w:rsid w:val="0098023A"/>
    <w:rsid w:val="00981894"/>
    <w:rsid w:val="00981D61"/>
    <w:rsid w:val="00982E56"/>
    <w:rsid w:val="00985179"/>
    <w:rsid w:val="009855D4"/>
    <w:rsid w:val="00990B32"/>
    <w:rsid w:val="00993241"/>
    <w:rsid w:val="00993DBC"/>
    <w:rsid w:val="009940DC"/>
    <w:rsid w:val="009A1900"/>
    <w:rsid w:val="009A33C7"/>
    <w:rsid w:val="009A583F"/>
    <w:rsid w:val="009B16FB"/>
    <w:rsid w:val="009B3EF3"/>
    <w:rsid w:val="009B535D"/>
    <w:rsid w:val="009B79BA"/>
    <w:rsid w:val="009C44D1"/>
    <w:rsid w:val="009D2551"/>
    <w:rsid w:val="009D5DC8"/>
    <w:rsid w:val="009D645B"/>
    <w:rsid w:val="009E1677"/>
    <w:rsid w:val="00A01B37"/>
    <w:rsid w:val="00A131DA"/>
    <w:rsid w:val="00A1320C"/>
    <w:rsid w:val="00A17C40"/>
    <w:rsid w:val="00A21226"/>
    <w:rsid w:val="00A27063"/>
    <w:rsid w:val="00A30790"/>
    <w:rsid w:val="00A35F24"/>
    <w:rsid w:val="00A43CE8"/>
    <w:rsid w:val="00A43F8F"/>
    <w:rsid w:val="00A457D0"/>
    <w:rsid w:val="00A516C7"/>
    <w:rsid w:val="00A530CA"/>
    <w:rsid w:val="00A53EDD"/>
    <w:rsid w:val="00A57099"/>
    <w:rsid w:val="00A62218"/>
    <w:rsid w:val="00A63443"/>
    <w:rsid w:val="00A71CB0"/>
    <w:rsid w:val="00A741BB"/>
    <w:rsid w:val="00A75F5D"/>
    <w:rsid w:val="00A77AF6"/>
    <w:rsid w:val="00A80F41"/>
    <w:rsid w:val="00A845F1"/>
    <w:rsid w:val="00A856FA"/>
    <w:rsid w:val="00A86C54"/>
    <w:rsid w:val="00A871FB"/>
    <w:rsid w:val="00A90C18"/>
    <w:rsid w:val="00A95301"/>
    <w:rsid w:val="00A9649A"/>
    <w:rsid w:val="00AC0FD7"/>
    <w:rsid w:val="00AD3238"/>
    <w:rsid w:val="00AE0C67"/>
    <w:rsid w:val="00AE42CE"/>
    <w:rsid w:val="00AE48D4"/>
    <w:rsid w:val="00AE5D69"/>
    <w:rsid w:val="00AE6D6C"/>
    <w:rsid w:val="00AF0AA3"/>
    <w:rsid w:val="00AF3E4A"/>
    <w:rsid w:val="00AF3E56"/>
    <w:rsid w:val="00AF455E"/>
    <w:rsid w:val="00B02133"/>
    <w:rsid w:val="00B02909"/>
    <w:rsid w:val="00B04EB3"/>
    <w:rsid w:val="00B06283"/>
    <w:rsid w:val="00B07F9F"/>
    <w:rsid w:val="00B2103E"/>
    <w:rsid w:val="00B25409"/>
    <w:rsid w:val="00B2544C"/>
    <w:rsid w:val="00B25EAB"/>
    <w:rsid w:val="00B3146A"/>
    <w:rsid w:val="00B318D4"/>
    <w:rsid w:val="00B3558A"/>
    <w:rsid w:val="00B35B61"/>
    <w:rsid w:val="00B37CAA"/>
    <w:rsid w:val="00B434FE"/>
    <w:rsid w:val="00B44D34"/>
    <w:rsid w:val="00B46C47"/>
    <w:rsid w:val="00B511FB"/>
    <w:rsid w:val="00B57B27"/>
    <w:rsid w:val="00B60E75"/>
    <w:rsid w:val="00B6522A"/>
    <w:rsid w:val="00B67440"/>
    <w:rsid w:val="00B732AD"/>
    <w:rsid w:val="00B74D71"/>
    <w:rsid w:val="00B7776C"/>
    <w:rsid w:val="00B83A6E"/>
    <w:rsid w:val="00B845A1"/>
    <w:rsid w:val="00B85FBC"/>
    <w:rsid w:val="00B87E9A"/>
    <w:rsid w:val="00B9678D"/>
    <w:rsid w:val="00BA7610"/>
    <w:rsid w:val="00BB08A4"/>
    <w:rsid w:val="00BB2341"/>
    <w:rsid w:val="00BB4ACF"/>
    <w:rsid w:val="00BB535A"/>
    <w:rsid w:val="00BC2AFB"/>
    <w:rsid w:val="00BC2E6C"/>
    <w:rsid w:val="00BC45AE"/>
    <w:rsid w:val="00BC53F6"/>
    <w:rsid w:val="00BD26F5"/>
    <w:rsid w:val="00BD5635"/>
    <w:rsid w:val="00BE01EE"/>
    <w:rsid w:val="00BF0E9A"/>
    <w:rsid w:val="00BF59E7"/>
    <w:rsid w:val="00C02194"/>
    <w:rsid w:val="00C04A0F"/>
    <w:rsid w:val="00C16DCF"/>
    <w:rsid w:val="00C16FF8"/>
    <w:rsid w:val="00C17921"/>
    <w:rsid w:val="00C413D4"/>
    <w:rsid w:val="00C417DA"/>
    <w:rsid w:val="00C43335"/>
    <w:rsid w:val="00C45680"/>
    <w:rsid w:val="00C46E2B"/>
    <w:rsid w:val="00C60586"/>
    <w:rsid w:val="00C62CE4"/>
    <w:rsid w:val="00C64ECF"/>
    <w:rsid w:val="00C67BF0"/>
    <w:rsid w:val="00C73349"/>
    <w:rsid w:val="00C82412"/>
    <w:rsid w:val="00C84812"/>
    <w:rsid w:val="00C87199"/>
    <w:rsid w:val="00C94214"/>
    <w:rsid w:val="00C956B2"/>
    <w:rsid w:val="00C96591"/>
    <w:rsid w:val="00C97161"/>
    <w:rsid w:val="00C97423"/>
    <w:rsid w:val="00CA31C4"/>
    <w:rsid w:val="00CA3BFF"/>
    <w:rsid w:val="00CA3C92"/>
    <w:rsid w:val="00CB0E1E"/>
    <w:rsid w:val="00CC00BE"/>
    <w:rsid w:val="00CD12BC"/>
    <w:rsid w:val="00CD1D0D"/>
    <w:rsid w:val="00CE1811"/>
    <w:rsid w:val="00CE3602"/>
    <w:rsid w:val="00CE4EA0"/>
    <w:rsid w:val="00CE70AF"/>
    <w:rsid w:val="00CE7D65"/>
    <w:rsid w:val="00CF4E1F"/>
    <w:rsid w:val="00CF5D21"/>
    <w:rsid w:val="00D1102A"/>
    <w:rsid w:val="00D140A6"/>
    <w:rsid w:val="00D147C6"/>
    <w:rsid w:val="00D1522D"/>
    <w:rsid w:val="00D26BFE"/>
    <w:rsid w:val="00D3169E"/>
    <w:rsid w:val="00D37CEC"/>
    <w:rsid w:val="00D5227B"/>
    <w:rsid w:val="00D54DE9"/>
    <w:rsid w:val="00D56EA0"/>
    <w:rsid w:val="00D60749"/>
    <w:rsid w:val="00D609BB"/>
    <w:rsid w:val="00D645A9"/>
    <w:rsid w:val="00D65315"/>
    <w:rsid w:val="00D70357"/>
    <w:rsid w:val="00D75C6D"/>
    <w:rsid w:val="00D774CF"/>
    <w:rsid w:val="00D804EE"/>
    <w:rsid w:val="00D8063D"/>
    <w:rsid w:val="00D82782"/>
    <w:rsid w:val="00D847E2"/>
    <w:rsid w:val="00D84FD1"/>
    <w:rsid w:val="00D90BBB"/>
    <w:rsid w:val="00D94413"/>
    <w:rsid w:val="00D94436"/>
    <w:rsid w:val="00D94A3F"/>
    <w:rsid w:val="00D95A1F"/>
    <w:rsid w:val="00DA2CF1"/>
    <w:rsid w:val="00DB15B8"/>
    <w:rsid w:val="00DB1659"/>
    <w:rsid w:val="00DB300B"/>
    <w:rsid w:val="00DB4A71"/>
    <w:rsid w:val="00DB6400"/>
    <w:rsid w:val="00DC4F05"/>
    <w:rsid w:val="00DC68CF"/>
    <w:rsid w:val="00DC6AF7"/>
    <w:rsid w:val="00DD17D7"/>
    <w:rsid w:val="00DD1BE7"/>
    <w:rsid w:val="00DD5CDD"/>
    <w:rsid w:val="00DD6191"/>
    <w:rsid w:val="00DE1119"/>
    <w:rsid w:val="00DE1DA8"/>
    <w:rsid w:val="00DE7D00"/>
    <w:rsid w:val="00DE7EB8"/>
    <w:rsid w:val="00DF17A6"/>
    <w:rsid w:val="00DF5015"/>
    <w:rsid w:val="00DF5852"/>
    <w:rsid w:val="00DF7728"/>
    <w:rsid w:val="00E00C41"/>
    <w:rsid w:val="00E05496"/>
    <w:rsid w:val="00E10746"/>
    <w:rsid w:val="00E109F3"/>
    <w:rsid w:val="00E12D0D"/>
    <w:rsid w:val="00E15B0F"/>
    <w:rsid w:val="00E17239"/>
    <w:rsid w:val="00E17852"/>
    <w:rsid w:val="00E23C9E"/>
    <w:rsid w:val="00E24EA1"/>
    <w:rsid w:val="00E25900"/>
    <w:rsid w:val="00E26883"/>
    <w:rsid w:val="00E33C5F"/>
    <w:rsid w:val="00E35240"/>
    <w:rsid w:val="00E3671F"/>
    <w:rsid w:val="00E416F6"/>
    <w:rsid w:val="00E449A9"/>
    <w:rsid w:val="00E45836"/>
    <w:rsid w:val="00E5005B"/>
    <w:rsid w:val="00E5251F"/>
    <w:rsid w:val="00E52762"/>
    <w:rsid w:val="00E55124"/>
    <w:rsid w:val="00E61C85"/>
    <w:rsid w:val="00E62506"/>
    <w:rsid w:val="00E63C16"/>
    <w:rsid w:val="00E6453C"/>
    <w:rsid w:val="00E6484C"/>
    <w:rsid w:val="00E704F4"/>
    <w:rsid w:val="00E7153F"/>
    <w:rsid w:val="00E7542F"/>
    <w:rsid w:val="00E82490"/>
    <w:rsid w:val="00E875A7"/>
    <w:rsid w:val="00E93C35"/>
    <w:rsid w:val="00E93D8C"/>
    <w:rsid w:val="00E9576B"/>
    <w:rsid w:val="00E97D42"/>
    <w:rsid w:val="00EA25BF"/>
    <w:rsid w:val="00EA4CC2"/>
    <w:rsid w:val="00EA6646"/>
    <w:rsid w:val="00EB11AB"/>
    <w:rsid w:val="00EB1470"/>
    <w:rsid w:val="00EB213C"/>
    <w:rsid w:val="00EB5130"/>
    <w:rsid w:val="00EB7048"/>
    <w:rsid w:val="00EB7B83"/>
    <w:rsid w:val="00EC0080"/>
    <w:rsid w:val="00EC14BA"/>
    <w:rsid w:val="00EC6E6D"/>
    <w:rsid w:val="00ED2663"/>
    <w:rsid w:val="00ED76EC"/>
    <w:rsid w:val="00ED7D65"/>
    <w:rsid w:val="00EE0160"/>
    <w:rsid w:val="00EE154D"/>
    <w:rsid w:val="00EE1F6B"/>
    <w:rsid w:val="00EE3CC8"/>
    <w:rsid w:val="00EE51AD"/>
    <w:rsid w:val="00EF05A7"/>
    <w:rsid w:val="00EF0907"/>
    <w:rsid w:val="00EF3AAD"/>
    <w:rsid w:val="00EF56A6"/>
    <w:rsid w:val="00F0526D"/>
    <w:rsid w:val="00F10AAB"/>
    <w:rsid w:val="00F1125B"/>
    <w:rsid w:val="00F15DC5"/>
    <w:rsid w:val="00F21272"/>
    <w:rsid w:val="00F272D5"/>
    <w:rsid w:val="00F33B66"/>
    <w:rsid w:val="00F35987"/>
    <w:rsid w:val="00F41D94"/>
    <w:rsid w:val="00F447BB"/>
    <w:rsid w:val="00F551F6"/>
    <w:rsid w:val="00F57AEF"/>
    <w:rsid w:val="00F617AF"/>
    <w:rsid w:val="00F65AE6"/>
    <w:rsid w:val="00F67AB8"/>
    <w:rsid w:val="00F84DC8"/>
    <w:rsid w:val="00F91F3C"/>
    <w:rsid w:val="00F92A40"/>
    <w:rsid w:val="00F92F1A"/>
    <w:rsid w:val="00F93C86"/>
    <w:rsid w:val="00F94A26"/>
    <w:rsid w:val="00F95B1E"/>
    <w:rsid w:val="00FA2C55"/>
    <w:rsid w:val="00FB0419"/>
    <w:rsid w:val="00FB471A"/>
    <w:rsid w:val="00FB5188"/>
    <w:rsid w:val="00FC1A7B"/>
    <w:rsid w:val="00FC3CD1"/>
    <w:rsid w:val="00FC53EE"/>
    <w:rsid w:val="00FC5C57"/>
    <w:rsid w:val="00FD2D27"/>
    <w:rsid w:val="00FD5E01"/>
    <w:rsid w:val="00FD7057"/>
    <w:rsid w:val="00FF1166"/>
    <w:rsid w:val="00FF745A"/>
    <w:rsid w:val="0198371C"/>
    <w:rsid w:val="01A779B5"/>
    <w:rsid w:val="01DE83AE"/>
    <w:rsid w:val="01FD2B81"/>
    <w:rsid w:val="02B7DEF7"/>
    <w:rsid w:val="02BE49CE"/>
    <w:rsid w:val="02E73162"/>
    <w:rsid w:val="042554BD"/>
    <w:rsid w:val="0479C8FA"/>
    <w:rsid w:val="051DEA48"/>
    <w:rsid w:val="05CF7230"/>
    <w:rsid w:val="05EFBFEC"/>
    <w:rsid w:val="06A8A596"/>
    <w:rsid w:val="06AF4A00"/>
    <w:rsid w:val="0740CD71"/>
    <w:rsid w:val="07DB1D1F"/>
    <w:rsid w:val="083EB82E"/>
    <w:rsid w:val="08E9C353"/>
    <w:rsid w:val="0A5C2D3C"/>
    <w:rsid w:val="0AB8CE15"/>
    <w:rsid w:val="0AC95BB3"/>
    <w:rsid w:val="0B1E1A22"/>
    <w:rsid w:val="0C651983"/>
    <w:rsid w:val="0D8AE4B7"/>
    <w:rsid w:val="0EBDA5DA"/>
    <w:rsid w:val="0ED059C9"/>
    <w:rsid w:val="0FCB0DCB"/>
    <w:rsid w:val="135218CD"/>
    <w:rsid w:val="13DD0658"/>
    <w:rsid w:val="1430C36C"/>
    <w:rsid w:val="148341D1"/>
    <w:rsid w:val="14C34891"/>
    <w:rsid w:val="14DD89D2"/>
    <w:rsid w:val="14E246ED"/>
    <w:rsid w:val="14EDE92E"/>
    <w:rsid w:val="162DF461"/>
    <w:rsid w:val="1642FC38"/>
    <w:rsid w:val="169A6C53"/>
    <w:rsid w:val="184E9FE6"/>
    <w:rsid w:val="1A2E0575"/>
    <w:rsid w:val="1AB7E20F"/>
    <w:rsid w:val="1AEFDECD"/>
    <w:rsid w:val="1BD30B80"/>
    <w:rsid w:val="1CAB576B"/>
    <w:rsid w:val="1CE7247B"/>
    <w:rsid w:val="1CF7B4F6"/>
    <w:rsid w:val="1D385111"/>
    <w:rsid w:val="20113120"/>
    <w:rsid w:val="201C6282"/>
    <w:rsid w:val="2049C337"/>
    <w:rsid w:val="20F20D61"/>
    <w:rsid w:val="21080777"/>
    <w:rsid w:val="240B689F"/>
    <w:rsid w:val="240DEC25"/>
    <w:rsid w:val="2415B00D"/>
    <w:rsid w:val="25559029"/>
    <w:rsid w:val="258F3D4E"/>
    <w:rsid w:val="2604E7B5"/>
    <w:rsid w:val="272537B0"/>
    <w:rsid w:val="27276D57"/>
    <w:rsid w:val="2949FD5D"/>
    <w:rsid w:val="2A22DA17"/>
    <w:rsid w:val="2A8CB8DF"/>
    <w:rsid w:val="2C42C12E"/>
    <w:rsid w:val="2DED40EB"/>
    <w:rsid w:val="2E13E7D7"/>
    <w:rsid w:val="2E7F1244"/>
    <w:rsid w:val="2F71D0D8"/>
    <w:rsid w:val="324412F7"/>
    <w:rsid w:val="36939465"/>
    <w:rsid w:val="39EF9A23"/>
    <w:rsid w:val="3A74285F"/>
    <w:rsid w:val="3A7B311B"/>
    <w:rsid w:val="3AB6D8BE"/>
    <w:rsid w:val="3C46940E"/>
    <w:rsid w:val="3C4AE47F"/>
    <w:rsid w:val="3D27E6E0"/>
    <w:rsid w:val="40D38E65"/>
    <w:rsid w:val="414F80BC"/>
    <w:rsid w:val="417DD5B4"/>
    <w:rsid w:val="421A0DD6"/>
    <w:rsid w:val="42A73DF3"/>
    <w:rsid w:val="435DA0E5"/>
    <w:rsid w:val="4418192C"/>
    <w:rsid w:val="4422E0BE"/>
    <w:rsid w:val="452F074E"/>
    <w:rsid w:val="47F32B12"/>
    <w:rsid w:val="4A24EF1A"/>
    <w:rsid w:val="4A490D7B"/>
    <w:rsid w:val="4AC321AD"/>
    <w:rsid w:val="4B549660"/>
    <w:rsid w:val="4C626692"/>
    <w:rsid w:val="4DA2DDA6"/>
    <w:rsid w:val="52058948"/>
    <w:rsid w:val="530A8712"/>
    <w:rsid w:val="557F3293"/>
    <w:rsid w:val="563BD1E3"/>
    <w:rsid w:val="56437814"/>
    <w:rsid w:val="58500129"/>
    <w:rsid w:val="5BA67741"/>
    <w:rsid w:val="5C88FE62"/>
    <w:rsid w:val="5D324F43"/>
    <w:rsid w:val="5D3FF0EA"/>
    <w:rsid w:val="62A61FD7"/>
    <w:rsid w:val="6332BAD0"/>
    <w:rsid w:val="641C0CF4"/>
    <w:rsid w:val="6629271B"/>
    <w:rsid w:val="6A1A16AC"/>
    <w:rsid w:val="6A424A74"/>
    <w:rsid w:val="6A4BE471"/>
    <w:rsid w:val="6AC72182"/>
    <w:rsid w:val="6CFA1A4A"/>
    <w:rsid w:val="6E6F427E"/>
    <w:rsid w:val="6F7CD282"/>
    <w:rsid w:val="6F9481A1"/>
    <w:rsid w:val="70C7063C"/>
    <w:rsid w:val="713DB3DA"/>
    <w:rsid w:val="72692361"/>
    <w:rsid w:val="730C6B72"/>
    <w:rsid w:val="73503371"/>
    <w:rsid w:val="73695BCE"/>
    <w:rsid w:val="744BF772"/>
    <w:rsid w:val="75941140"/>
    <w:rsid w:val="7656E3B9"/>
    <w:rsid w:val="774DC99F"/>
    <w:rsid w:val="775FF4BB"/>
    <w:rsid w:val="77AC9C31"/>
    <w:rsid w:val="796C3887"/>
    <w:rsid w:val="7A7D1EEB"/>
    <w:rsid w:val="7BED9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CO"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000000"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2E7852"/>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0A2954"/>
    <w:pPr>
      <w:spacing w:before="100" w:beforeAutospacing="1" w:line="360" w:lineRule="auto"/>
      <w:contextualSpacing/>
      <w:outlineLvl w:val="1"/>
    </w:pPr>
    <w:rPr>
      <w:b/>
      <w:i/>
      <w:lang w:val="en-US"/>
    </w:rPr>
  </w:style>
  <w:style w:type="paragraph" w:customStyle="1" w:styleId="TtuloResumen">
    <w:name w:val="Título Resumen"/>
    <w:basedOn w:val="Normal"/>
    <w:link w:val="TtuloResumenCar"/>
    <w:autoRedefine/>
    <w:qFormat/>
    <w:rsid w:val="008531D8"/>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2E7852"/>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000000"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E05496"/>
    <w:pPr>
      <w:spacing w:line="360" w:lineRule="auto"/>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E05496"/>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8531D8"/>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NormalTable0">
    <w:name w:val="Normal Table0"/>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_tradnl" w:eastAsia="es-ES_tradnl"/>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3F1E57"/>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E24EA1"/>
    <w:rPr>
      <w:b/>
      <w:bCs/>
    </w:rPr>
  </w:style>
  <w:style w:type="character" w:customStyle="1" w:styleId="AsuntodelcomentarioCar">
    <w:name w:val="Asunto del comentario Car"/>
    <w:basedOn w:val="TextocomentarioCar"/>
    <w:link w:val="Asuntodelcomentario"/>
    <w:uiPriority w:val="99"/>
    <w:semiHidden/>
    <w:rsid w:val="00E24EA1"/>
    <w:rPr>
      <w:rFonts w:ascii="Times New Roman" w:eastAsia="Times New Roman" w:hAnsi="Times New Roman" w:cs="Times New Roman"/>
      <w:b/>
      <w:bCs/>
      <w:sz w:val="20"/>
      <w:szCs w:val="20"/>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59668790">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791020382">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910504054">
      <w:bodyDiv w:val="1"/>
      <w:marLeft w:val="0"/>
      <w:marRight w:val="0"/>
      <w:marTop w:val="0"/>
      <w:marBottom w:val="0"/>
      <w:divBdr>
        <w:top w:val="none" w:sz="0" w:space="0" w:color="auto"/>
        <w:left w:val="none" w:sz="0" w:space="0" w:color="auto"/>
        <w:bottom w:val="none" w:sz="0" w:space="0" w:color="auto"/>
        <w:right w:val="none" w:sz="0" w:space="0" w:color="auto"/>
      </w:divBdr>
    </w:div>
    <w:div w:id="996497184">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97976622">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37/10223-019" TargetMode="External"/><Relationship Id="rId26" Type="http://schemas.openxmlformats.org/officeDocument/2006/relationships/hyperlink" Target="https://doi.org/10.1257/000282803322655392" TargetMode="External"/><Relationship Id="rId39" Type="http://schemas.openxmlformats.org/officeDocument/2006/relationships/hyperlink" Target="https://doi.org/10.1108/03090561211259952" TargetMode="External"/><Relationship Id="rId21" Type="http://schemas.openxmlformats.org/officeDocument/2006/relationships/hyperlink" Target="https://doi.org/10.1037/xan0000214" TargetMode="External"/><Relationship Id="rId34" Type="http://schemas.openxmlformats.org/officeDocument/2006/relationships/hyperlink" Target="https://www.redalyc.org/articulo.oa?id=16912881003" TargetMode="External"/><Relationship Id="rId42" Type="http://schemas.openxmlformats.org/officeDocument/2006/relationships/hyperlink" Target="https://doi.org/10.1037/0033-295X.87.6.532" TargetMode="External"/><Relationship Id="rId47" Type="http://schemas.openxmlformats.org/officeDocument/2006/relationships/hyperlink" Target="https://doi.org/10.1037/0278-7393.32.3.461" TargetMode="External"/><Relationship Id="rId50" Type="http://schemas.openxmlformats.org/officeDocument/2006/relationships/hyperlink" Target="https://doi.org/10.1007/s11002-020-09529-5"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s.m.wikipedia.org/wiki/Archivo:Casa_santiveri_tienda.jpg" TargetMode="External"/><Relationship Id="rId17" Type="http://schemas.openxmlformats.org/officeDocument/2006/relationships/hyperlink" Target="https://doi.org/10.1037/0033-2909.114.1.80" TargetMode="External"/><Relationship Id="rId25" Type="http://schemas.openxmlformats.org/officeDocument/2006/relationships/hyperlink" Target="https://doi.org/10.1177/002224298905300201" TargetMode="External"/><Relationship Id="rId33" Type="http://schemas.openxmlformats.org/officeDocument/2006/relationships/hyperlink" Target="https://doi.org/10.1027/1618-3169/a000006" TargetMode="External"/><Relationship Id="rId38" Type="http://schemas.openxmlformats.org/officeDocument/2006/relationships/hyperlink" Target="https://doi.org/10.1037/h0076778" TargetMode="External"/><Relationship Id="rId46" Type="http://schemas.openxmlformats.org/officeDocument/2006/relationships/hyperlink" Target="https://www.redalyc.org/articulo.oa?id=560/5606020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37/xan0000273" TargetMode="External"/><Relationship Id="rId20" Type="http://schemas.openxmlformats.org/officeDocument/2006/relationships/hyperlink" Target="https://doi.org/10.1080/15205436.2015.1068811" TargetMode="External"/><Relationship Id="rId29" Type="http://schemas.openxmlformats.org/officeDocument/2006/relationships/hyperlink" Target="https://doi.org/10.1037/a0021384" TargetMode="External"/><Relationship Id="rId41" Type="http://schemas.openxmlformats.org/officeDocument/2006/relationships/hyperlink" Target="https://doi.org/10.1016/j.beproc.2019.103984"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physbeh.2018.04.030" TargetMode="External"/><Relationship Id="rId32" Type="http://schemas.openxmlformats.org/officeDocument/2006/relationships/hyperlink" Target="https://www.redalyc.org/articulo.oa?id=271020194008" TargetMode="External"/><Relationship Id="rId37" Type="http://schemas.openxmlformats.org/officeDocument/2006/relationships/hyperlink" Target="https://doi.org/10.3758/s13420-014-0143-0" TargetMode="External"/><Relationship Id="rId40" Type="http://schemas.openxmlformats.org/officeDocument/2006/relationships/hyperlink" Target="https://doi.org/10.1108/09596111011063106" TargetMode="External"/><Relationship Id="rId45" Type="http://schemas.openxmlformats.org/officeDocument/2006/relationships/hyperlink" Target="https://www.minsalud.gov.co/sites/rid/Lists/BibliotecaDigital/RIDE/DE/DIJ/RESOLUCION-8430-DE-1993.pdf" TargetMode="External"/><Relationship Id="rId53" Type="http://schemas.openxmlformats.org/officeDocument/2006/relationships/hyperlink" Target="https://doi.org/10.1016/S0148-2963(99)00010-7"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2F17470210701855561" TargetMode="External"/><Relationship Id="rId23" Type="http://schemas.openxmlformats.org/officeDocument/2006/relationships/hyperlink" Target="https://doi.org/10.3758/BF03193146" TargetMode="External"/><Relationship Id="rId28" Type="http://schemas.openxmlformats.org/officeDocument/2006/relationships/hyperlink" Target="https://doi.org/10.1111/1467-8721.01254" TargetMode="External"/><Relationship Id="rId36" Type="http://schemas.openxmlformats.org/officeDocument/2006/relationships/hyperlink" Target="https://www.colpsic.org.co/wp-content/uploads/2021/02/Ley_1090_2006_-_Psicologia_.pdf" TargetMode="External"/><Relationship Id="rId49" Type="http://schemas.openxmlformats.org/officeDocument/2006/relationships/hyperlink" Target="https://www.redalyc.org/articulo.oa?id=28446020002" TargetMode="External"/><Relationship Id="rId57"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hyperlink" Target="https://doi.org/10.1086/209031" TargetMode="External"/><Relationship Id="rId31" Type="http://schemas.openxmlformats.org/officeDocument/2006/relationships/hyperlink" Target="https://doi.org/10.1037/a0031230" TargetMode="External"/><Relationship Id="rId44" Type="http://schemas.openxmlformats.org/officeDocument/2006/relationships/hyperlink" Target="https://doi.org/10.1016/j.appet.2018.09.015" TargetMode="External"/><Relationship Id="rId52" Type="http://schemas.openxmlformats.org/officeDocument/2006/relationships/hyperlink" Target="https://www.jamovi.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doi.org/10.1037/a0018527" TargetMode="External"/><Relationship Id="rId27" Type="http://schemas.openxmlformats.org/officeDocument/2006/relationships/hyperlink" Target="https://doi.org/10.1006/jmps.2000.1354" TargetMode="External"/><Relationship Id="rId30" Type="http://schemas.openxmlformats.org/officeDocument/2006/relationships/hyperlink" Target="https://doi.org/10.1037/bul0000064" TargetMode="External"/><Relationship Id="rId35" Type="http://schemas.openxmlformats.org/officeDocument/2006/relationships/hyperlink" Target="https://doi.org/10.1016/j.lmot.2010.10.001" TargetMode="External"/><Relationship Id="rId43" Type="http://schemas.openxmlformats.org/officeDocument/2006/relationships/hyperlink" Target="https://doi.org/10.3758/s13423-020-01770-3" TargetMode="External"/><Relationship Id="rId48" Type="http://schemas.openxmlformats.org/officeDocument/2006/relationships/hyperlink" Target="https://doi.org/10.1002/(SICI)1520-6793(200003)17:3%3c257::AID-MAR4%3e3.0.CO;2-P" TargetMode="External"/><Relationship Id="rId56" Type="http://schemas.openxmlformats.org/officeDocument/2006/relationships/footer" Target="footer1.xml"/><Relationship Id="rId8" Type="http://schemas.openxmlformats.org/officeDocument/2006/relationships/hyperlink" Target="https://sipsych.org/" TargetMode="External"/><Relationship Id="rId51" Type="http://schemas.openxmlformats.org/officeDocument/2006/relationships/hyperlink" Target="https://doi.org/10.1002/9781118901731.iecrm0085"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ESIS\TESIS_FINAL_LILIANA_2021\ART&#205;CULO_2\Revista%20Interamericana%20de%20Psicolog&#237;a%20-%20RIP_IJP\Figuras_Juicio%20Predictiv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ESIS\TESIS_FINAL_LILIANA_2021\ART&#205;CULO_2\Revista%20Interamericana%20de%20Psicolog&#237;a%20-%20RIP_IJP\Figuras_Juicio%20Predictiv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'Jamovi_Juicio predictivo'!$AO$42</c:f>
              <c:strCache>
                <c:ptCount val="1"/>
                <c:pt idx="0">
                  <c:v>X</c:v>
                </c:pt>
              </c:strCache>
            </c:strRef>
          </c:tx>
          <c:spPr>
            <a:ln w="12700" cap="rnd">
              <a:solidFill>
                <a:schemeClr val="tx1"/>
              </a:solidFill>
              <a:round/>
            </a:ln>
            <a:effectLst/>
          </c:spPr>
          <c:marker>
            <c:symbol val="diamond"/>
            <c:size val="6"/>
            <c:spPr>
              <a:solidFill>
                <a:schemeClr val="tx1"/>
              </a:solidFill>
              <a:ln w="9525">
                <a:solidFill>
                  <a:schemeClr val="tx1"/>
                </a:solidFill>
                <a:round/>
              </a:ln>
              <a:effectLst/>
            </c:spPr>
          </c:marker>
          <c:errBars>
            <c:errDir val="y"/>
            <c:errBarType val="both"/>
            <c:errValType val="cust"/>
            <c:noEndCap val="0"/>
            <c:plus>
              <c:numRef>
                <c:f>'Jamovi_Juicio predictivo'!$AZ$57:$BK$57</c:f>
                <c:numCache>
                  <c:formatCode>General</c:formatCode>
                  <c:ptCount val="12"/>
                  <c:pt idx="0">
                    <c:v>2.9816923934478838</c:v>
                  </c:pt>
                  <c:pt idx="1">
                    <c:v>2.7526406980070877</c:v>
                  </c:pt>
                  <c:pt idx="2">
                    <c:v>3.5067913683233343</c:v>
                  </c:pt>
                  <c:pt idx="3">
                    <c:v>3.3473694078755507</c:v>
                  </c:pt>
                  <c:pt idx="4">
                    <c:v>3.343182727327255</c:v>
                  </c:pt>
                  <c:pt idx="5">
                    <c:v>3.0570145788422511</c:v>
                  </c:pt>
                  <c:pt idx="6">
                    <c:v>3.2749590546128102</c:v>
                  </c:pt>
                  <c:pt idx="7">
                    <c:v>2.6439609575694303</c:v>
                  </c:pt>
                  <c:pt idx="8">
                    <c:v>2.9738534241522396</c:v>
                  </c:pt>
                  <c:pt idx="9">
                    <c:v>3.0305016486983942</c:v>
                  </c:pt>
                  <c:pt idx="10">
                    <c:v>3.3608706482009749</c:v>
                  </c:pt>
                  <c:pt idx="11">
                    <c:v>3.0391821242773767</c:v>
                  </c:pt>
                </c:numCache>
              </c:numRef>
            </c:plus>
            <c:minus>
              <c:numRef>
                <c:f>'Jamovi_Juicio predictivo'!$AZ$57:$BK$57</c:f>
                <c:numCache>
                  <c:formatCode>General</c:formatCode>
                  <c:ptCount val="12"/>
                  <c:pt idx="0">
                    <c:v>2.9816923934478838</c:v>
                  </c:pt>
                  <c:pt idx="1">
                    <c:v>2.7526406980070877</c:v>
                  </c:pt>
                  <c:pt idx="2">
                    <c:v>3.5067913683233343</c:v>
                  </c:pt>
                  <c:pt idx="3">
                    <c:v>3.3473694078755507</c:v>
                  </c:pt>
                  <c:pt idx="4">
                    <c:v>3.343182727327255</c:v>
                  </c:pt>
                  <c:pt idx="5">
                    <c:v>3.0570145788422511</c:v>
                  </c:pt>
                  <c:pt idx="6">
                    <c:v>3.2749590546128102</c:v>
                  </c:pt>
                  <c:pt idx="7">
                    <c:v>2.6439609575694303</c:v>
                  </c:pt>
                  <c:pt idx="8">
                    <c:v>2.9738534241522396</c:v>
                  </c:pt>
                  <c:pt idx="9">
                    <c:v>3.0305016486983942</c:v>
                  </c:pt>
                  <c:pt idx="10">
                    <c:v>3.3608706482009749</c:v>
                  </c:pt>
                  <c:pt idx="11">
                    <c:v>3.0391821242773767</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predictivo'!$AP$42:$BA$42</c:f>
              <c:numCache>
                <c:formatCode>0</c:formatCode>
                <c:ptCount val="12"/>
                <c:pt idx="0">
                  <c:v>61.238095238095241</c:v>
                </c:pt>
                <c:pt idx="1">
                  <c:v>66.666666666666671</c:v>
                </c:pt>
                <c:pt idx="2">
                  <c:v>63.571428571428569</c:v>
                </c:pt>
                <c:pt idx="3">
                  <c:v>60.619047619047613</c:v>
                </c:pt>
                <c:pt idx="4">
                  <c:v>57.047619047619051</c:v>
                </c:pt>
                <c:pt idx="5">
                  <c:v>60.523809523809526</c:v>
                </c:pt>
                <c:pt idx="6">
                  <c:v>61.809523809523803</c:v>
                </c:pt>
                <c:pt idx="7">
                  <c:v>60.142857142857132</c:v>
                </c:pt>
                <c:pt idx="8">
                  <c:v>64.095238095238102</c:v>
                </c:pt>
                <c:pt idx="9">
                  <c:v>62.333333333333357</c:v>
                </c:pt>
                <c:pt idx="10">
                  <c:v>61.619047619047628</c:v>
                </c:pt>
                <c:pt idx="11">
                  <c:v>63.619047619047613</c:v>
                </c:pt>
              </c:numCache>
            </c:numRef>
          </c:val>
          <c:smooth val="0"/>
          <c:extLst>
            <c:ext xmlns:c16="http://schemas.microsoft.com/office/drawing/2014/chart" uri="{C3380CC4-5D6E-409C-BE32-E72D297353CC}">
              <c16:uniqueId val="{00000000-158D-4178-8186-BFE3854175E4}"/>
            </c:ext>
          </c:extLst>
        </c:ser>
        <c:ser>
          <c:idx val="1"/>
          <c:order val="1"/>
          <c:tx>
            <c:strRef>
              <c:f>'Jamovi_Juicio predictivo'!$AO$43</c:f>
              <c:strCache>
                <c:ptCount val="1"/>
                <c:pt idx="0">
                  <c:v>Y</c:v>
                </c:pt>
              </c:strCache>
            </c:strRef>
          </c:tx>
          <c:spPr>
            <a:ln w="12700" cap="rnd">
              <a:solidFill>
                <a:schemeClr val="tx1"/>
              </a:solidFill>
              <a:round/>
            </a:ln>
            <a:effectLst/>
          </c:spPr>
          <c:marker>
            <c:symbol val="square"/>
            <c:size val="6"/>
            <c:spPr>
              <a:solidFill>
                <a:schemeClr val="dk1">
                  <a:tint val="55000"/>
                </a:schemeClr>
              </a:solidFill>
              <a:ln w="9525">
                <a:solidFill>
                  <a:schemeClr val="tx1"/>
                </a:solidFill>
                <a:round/>
              </a:ln>
              <a:effectLst/>
            </c:spPr>
          </c:marker>
          <c:errBars>
            <c:errDir val="y"/>
            <c:errBarType val="both"/>
            <c:errValType val="cust"/>
            <c:noEndCap val="0"/>
            <c:plus>
              <c:numRef>
                <c:f>'Jamovi_Juicio predictivo'!$AZ$58:$BK$58</c:f>
                <c:numCache>
                  <c:formatCode>General</c:formatCode>
                  <c:ptCount val="12"/>
                  <c:pt idx="0">
                    <c:v>3.2341589190337321</c:v>
                  </c:pt>
                  <c:pt idx="1">
                    <c:v>4.9517479664426842</c:v>
                  </c:pt>
                  <c:pt idx="2">
                    <c:v>4.2593023680721558</c:v>
                  </c:pt>
                  <c:pt idx="3">
                    <c:v>4.6508334845315993</c:v>
                  </c:pt>
                  <c:pt idx="4">
                    <c:v>4.7624229409941705</c:v>
                  </c:pt>
                  <c:pt idx="5">
                    <c:v>4.9753292916775109</c:v>
                  </c:pt>
                  <c:pt idx="6">
                    <c:v>5.1119519580223409</c:v>
                  </c:pt>
                  <c:pt idx="7">
                    <c:v>5.1112473956927573</c:v>
                  </c:pt>
                  <c:pt idx="8">
                    <c:v>4.6080466184116435</c:v>
                  </c:pt>
                  <c:pt idx="9">
                    <c:v>4.8566485166136504</c:v>
                  </c:pt>
                  <c:pt idx="10">
                    <c:v>4.6802950830931511</c:v>
                  </c:pt>
                  <c:pt idx="11">
                    <c:v>5.1951126723365011</c:v>
                  </c:pt>
                </c:numCache>
              </c:numRef>
            </c:plus>
            <c:minus>
              <c:numRef>
                <c:f>'Jamovi_Juicio predictivo'!$AZ$58:$BK$58</c:f>
                <c:numCache>
                  <c:formatCode>General</c:formatCode>
                  <c:ptCount val="12"/>
                  <c:pt idx="0">
                    <c:v>3.2341589190337321</c:v>
                  </c:pt>
                  <c:pt idx="1">
                    <c:v>4.9517479664426842</c:v>
                  </c:pt>
                  <c:pt idx="2">
                    <c:v>4.2593023680721558</c:v>
                  </c:pt>
                  <c:pt idx="3">
                    <c:v>4.6508334845315993</c:v>
                  </c:pt>
                  <c:pt idx="4">
                    <c:v>4.7624229409941705</c:v>
                  </c:pt>
                  <c:pt idx="5">
                    <c:v>4.9753292916775109</c:v>
                  </c:pt>
                  <c:pt idx="6">
                    <c:v>5.1119519580223409</c:v>
                  </c:pt>
                  <c:pt idx="7">
                    <c:v>5.1112473956927573</c:v>
                  </c:pt>
                  <c:pt idx="8">
                    <c:v>4.6080466184116435</c:v>
                  </c:pt>
                  <c:pt idx="9">
                    <c:v>4.8566485166136504</c:v>
                  </c:pt>
                  <c:pt idx="10">
                    <c:v>4.6802950830931511</c:v>
                  </c:pt>
                  <c:pt idx="11">
                    <c:v>5.1951126723365011</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predictivo'!$AP$43:$BA$43</c:f>
              <c:numCache>
                <c:formatCode>0</c:formatCode>
                <c:ptCount val="12"/>
                <c:pt idx="0">
                  <c:v>65.285714285714292</c:v>
                </c:pt>
                <c:pt idx="1">
                  <c:v>61.428571428571431</c:v>
                </c:pt>
                <c:pt idx="2">
                  <c:v>56.571428571428569</c:v>
                </c:pt>
                <c:pt idx="3">
                  <c:v>51</c:v>
                </c:pt>
                <c:pt idx="4">
                  <c:v>51</c:v>
                </c:pt>
                <c:pt idx="5">
                  <c:v>55.714285714285715</c:v>
                </c:pt>
                <c:pt idx="6">
                  <c:v>53.285714285714285</c:v>
                </c:pt>
                <c:pt idx="7">
                  <c:v>56.571428571428569</c:v>
                </c:pt>
                <c:pt idx="8">
                  <c:v>52.428571428571431</c:v>
                </c:pt>
                <c:pt idx="9">
                  <c:v>55.428571428571431</c:v>
                </c:pt>
                <c:pt idx="10">
                  <c:v>51.285714285714285</c:v>
                </c:pt>
                <c:pt idx="11">
                  <c:v>53.714285714285715</c:v>
                </c:pt>
              </c:numCache>
            </c:numRef>
          </c:val>
          <c:smooth val="0"/>
          <c:extLst>
            <c:ext xmlns:c16="http://schemas.microsoft.com/office/drawing/2014/chart" uri="{C3380CC4-5D6E-409C-BE32-E72D297353CC}">
              <c16:uniqueId val="{00000001-158D-4178-8186-BFE3854175E4}"/>
            </c:ext>
          </c:extLst>
        </c:ser>
        <c:ser>
          <c:idx val="2"/>
          <c:order val="2"/>
          <c:tx>
            <c:strRef>
              <c:f>'Jamovi_Juicio predictivo'!$AO$44</c:f>
              <c:strCache>
                <c:ptCount val="1"/>
                <c:pt idx="0">
                  <c:v>Z</c:v>
                </c:pt>
              </c:strCache>
            </c:strRef>
          </c:tx>
          <c:spPr>
            <a:ln w="12700" cap="rnd">
              <a:solidFill>
                <a:schemeClr val="tx1"/>
              </a:solidFill>
              <a:round/>
            </a:ln>
            <a:effectLst/>
          </c:spPr>
          <c:marker>
            <c:symbol val="triangle"/>
            <c:size val="6"/>
            <c:spPr>
              <a:solidFill>
                <a:schemeClr val="bg1"/>
              </a:solidFill>
              <a:ln w="9525">
                <a:solidFill>
                  <a:schemeClr val="tx1"/>
                </a:solidFill>
                <a:round/>
              </a:ln>
              <a:effectLst/>
            </c:spPr>
          </c:marker>
          <c:errBars>
            <c:errDir val="y"/>
            <c:errBarType val="both"/>
            <c:errValType val="cust"/>
            <c:noEndCap val="0"/>
            <c:plus>
              <c:numRef>
                <c:f>'Jamovi_Juicio predictivo'!$AZ$59:$BK$59</c:f>
                <c:numCache>
                  <c:formatCode>General</c:formatCode>
                  <c:ptCount val="12"/>
                  <c:pt idx="0">
                    <c:v>3.9469775084969814</c:v>
                  </c:pt>
                  <c:pt idx="1">
                    <c:v>3.7370022845095745</c:v>
                  </c:pt>
                  <c:pt idx="2">
                    <c:v>3.3019329345766208</c:v>
                  </c:pt>
                  <c:pt idx="3">
                    <c:v>3.7257418671969749</c:v>
                  </c:pt>
                  <c:pt idx="4">
                    <c:v>3.5861879897349334</c:v>
                  </c:pt>
                  <c:pt idx="5">
                    <c:v>3.6515385104634128</c:v>
                  </c:pt>
                  <c:pt idx="6">
                    <c:v>3.5312020269452224</c:v>
                  </c:pt>
                  <c:pt idx="7">
                    <c:v>3.7584638378156665</c:v>
                  </c:pt>
                  <c:pt idx="8">
                    <c:v>4.161072675443692</c:v>
                  </c:pt>
                  <c:pt idx="9">
                    <c:v>3.9127642261649029</c:v>
                  </c:pt>
                  <c:pt idx="10">
                    <c:v>3.8858255050815629</c:v>
                  </c:pt>
                  <c:pt idx="11">
                    <c:v>4.0764012092441888</c:v>
                  </c:pt>
                </c:numCache>
              </c:numRef>
            </c:plus>
            <c:minus>
              <c:numRef>
                <c:f>'Jamovi_Juicio predictivo'!$AZ$59:$BK$59</c:f>
                <c:numCache>
                  <c:formatCode>General</c:formatCode>
                  <c:ptCount val="12"/>
                  <c:pt idx="0">
                    <c:v>3.9469775084969814</c:v>
                  </c:pt>
                  <c:pt idx="1">
                    <c:v>3.7370022845095745</c:v>
                  </c:pt>
                  <c:pt idx="2">
                    <c:v>3.3019329345766208</c:v>
                  </c:pt>
                  <c:pt idx="3">
                    <c:v>3.7257418671969749</c:v>
                  </c:pt>
                  <c:pt idx="4">
                    <c:v>3.5861879897349334</c:v>
                  </c:pt>
                  <c:pt idx="5">
                    <c:v>3.6515385104634128</c:v>
                  </c:pt>
                  <c:pt idx="6">
                    <c:v>3.5312020269452224</c:v>
                  </c:pt>
                  <c:pt idx="7">
                    <c:v>3.7584638378156665</c:v>
                  </c:pt>
                  <c:pt idx="8">
                    <c:v>4.161072675443692</c:v>
                  </c:pt>
                  <c:pt idx="9">
                    <c:v>3.9127642261649029</c:v>
                  </c:pt>
                  <c:pt idx="10">
                    <c:v>3.8858255050815629</c:v>
                  </c:pt>
                  <c:pt idx="11">
                    <c:v>4.0764012092441888</c:v>
                  </c:pt>
                </c:numCache>
              </c:numRef>
            </c:minus>
            <c:spPr>
              <a:noFill/>
              <a:ln w="9525">
                <a:solidFill>
                  <a:schemeClr val="tx1"/>
                </a:solidFill>
                <a:round/>
              </a:ln>
              <a:effectLst/>
            </c:spPr>
          </c:errBars>
          <c:cat>
            <c:numRef>
              <c:f>'Jamovi_Juicio predictivo'!$AP$41:$BA$41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'Jamovi_Juicio predictivo'!$AP$44:$BA$44</c:f>
              <c:numCache>
                <c:formatCode>0</c:formatCode>
                <c:ptCount val="12"/>
                <c:pt idx="0">
                  <c:v>53.428571428571431</c:v>
                </c:pt>
                <c:pt idx="1">
                  <c:v>57.571428571428569</c:v>
                </c:pt>
                <c:pt idx="2">
                  <c:v>59.857142857142854</c:v>
                </c:pt>
                <c:pt idx="3">
                  <c:v>52.428571428571431</c:v>
                </c:pt>
                <c:pt idx="4">
                  <c:v>61.857142857142854</c:v>
                </c:pt>
                <c:pt idx="5">
                  <c:v>56.285714285714285</c:v>
                </c:pt>
                <c:pt idx="6">
                  <c:v>58.428571428571431</c:v>
                </c:pt>
                <c:pt idx="7">
                  <c:v>58</c:v>
                </c:pt>
                <c:pt idx="8">
                  <c:v>58.857142857142854</c:v>
                </c:pt>
                <c:pt idx="9">
                  <c:v>57.428571428571431</c:v>
                </c:pt>
                <c:pt idx="10">
                  <c:v>55.428571428571431</c:v>
                </c:pt>
                <c:pt idx="11">
                  <c:v>55.857142857142854</c:v>
                </c:pt>
              </c:numCache>
            </c:numRef>
          </c:val>
          <c:smooth val="0"/>
          <c:extLst>
            <c:ext xmlns:c16="http://schemas.microsoft.com/office/drawing/2014/chart" uri="{C3380CC4-5D6E-409C-BE32-E72D297353CC}">
              <c16:uniqueId val="{00000002-158D-4178-8186-BFE3854175E4}"/>
            </c:ext>
          </c:extLst>
        </c:ser>
        <c:dLbls>
          <c:showLegendKey val="0"/>
          <c:showVal val="0"/>
          <c:showCatName val="0"/>
          <c:showSerName val="0"/>
          <c:showPercent val="0"/>
          <c:showBubbleSize val="0"/>
        </c:dLbls>
        <c:marker val="1"/>
        <c:smooth val="0"/>
        <c:axId val="555815144"/>
        <c:axId val="555818752"/>
      </c:lineChart>
      <c:catAx>
        <c:axId val="555815144"/>
        <c:scaling>
          <c:orientation val="minMax"/>
        </c:scaling>
        <c:delete val="0"/>
        <c:axPos val="b"/>
        <c:title>
          <c:tx>
            <c:rich>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CO" b="1" cap="none"/>
                  <a:t>Ensayo</a:t>
                </a:r>
              </a:p>
            </c:rich>
          </c:tx>
          <c:overlay val="0"/>
          <c:spPr>
            <a:noFill/>
            <a:ln>
              <a:noFill/>
            </a:ln>
            <a:effectLst/>
          </c:spPr>
          <c:txPr>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555818752"/>
        <c:crosses val="autoZero"/>
        <c:auto val="1"/>
        <c:lblAlgn val="ctr"/>
        <c:lblOffset val="100"/>
        <c:noMultiLvlLbl val="0"/>
      </c:catAx>
      <c:valAx>
        <c:axId val="555818752"/>
        <c:scaling>
          <c:orientation val="minMax"/>
          <c:max val="100"/>
        </c:scaling>
        <c:delete val="0"/>
        <c:axPos val="l"/>
        <c:title>
          <c:tx>
            <c:rich>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s-CO" b="1" cap="none"/>
                  <a:t>Media Juicio Predictivo</a:t>
                </a:r>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555815144"/>
        <c:crosses val="autoZero"/>
        <c:crossBetween val="between"/>
        <c:majorUnit val="10"/>
      </c:valAx>
      <c:spPr>
        <a:noFill/>
        <a:ln>
          <a:noFill/>
        </a:ln>
        <a:effectLst/>
      </c:spPr>
    </c:plotArea>
    <c:legend>
      <c:legendPos val="t"/>
      <c:layout>
        <c:manualLayout>
          <c:xMode val="edge"/>
          <c:yMode val="edge"/>
          <c:x val="0.39167091186958741"/>
          <c:y val="8.7562189054726375E-2"/>
          <c:w val="0.2828833418237392"/>
          <c:h val="6.7519097426254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'Jamovi_Juicio predictivo'!$DB$41</c:f>
              <c:strCache>
                <c:ptCount val="1"/>
                <c:pt idx="0">
                  <c:v>Contexto de aprendizaje</c:v>
                </c:pt>
              </c:strCache>
            </c:strRef>
          </c:tx>
          <c:spPr>
            <a:solidFill>
              <a:schemeClr val="tx1"/>
            </a:solidFill>
            <a:ln>
              <a:solidFill>
                <a:schemeClr val="tx1"/>
              </a:solidFill>
            </a:ln>
            <a:effectLst/>
          </c:spPr>
          <c:invertIfNegative val="0"/>
          <c:errBars>
            <c:errBarType val="both"/>
            <c:errValType val="cust"/>
            <c:noEndCap val="0"/>
            <c:plus>
              <c:numRef>
                <c:f>'Jamovi_Juicio predictivo'!$DB$52:$DB$54</c:f>
                <c:numCache>
                  <c:formatCode>General</c:formatCode>
                  <c:ptCount val="3"/>
                  <c:pt idx="0">
                    <c:v>3.9150646345158817</c:v>
                  </c:pt>
                  <c:pt idx="1">
                    <c:v>5.1346807085145372</c:v>
                  </c:pt>
                  <c:pt idx="2">
                    <c:v>3.9762198291407205</c:v>
                  </c:pt>
                </c:numCache>
              </c:numRef>
            </c:plus>
            <c:minus>
              <c:numRef>
                <c:f>'Jamovi_Juicio predictivo'!$DB$52:$DB$54</c:f>
                <c:numCache>
                  <c:formatCode>General</c:formatCode>
                  <c:ptCount val="3"/>
                  <c:pt idx="0">
                    <c:v>3.9150646345158817</c:v>
                  </c:pt>
                  <c:pt idx="1">
                    <c:v>5.1346807085145372</c:v>
                  </c:pt>
                  <c:pt idx="2">
                    <c:v>3.9762198291407205</c:v>
                  </c:pt>
                </c:numCache>
              </c:numRef>
            </c:minus>
            <c:spPr>
              <a:noFill/>
              <a:ln w="9525" cap="flat" cmpd="sng" algn="ctr">
                <a:solidFill>
                  <a:schemeClr val="tx1"/>
                </a:solidFill>
                <a:round/>
              </a:ln>
              <a:effectLst/>
            </c:spPr>
          </c:errBars>
          <c:cat>
            <c:strRef>
              <c:f>'Jamovi_Juicio predictivo'!$DA$42:$DA$44</c:f>
              <c:strCache>
                <c:ptCount val="3"/>
                <c:pt idx="0">
                  <c:v>X</c:v>
                </c:pt>
                <c:pt idx="1">
                  <c:v>Y</c:v>
                </c:pt>
                <c:pt idx="2">
                  <c:v>Z</c:v>
                </c:pt>
              </c:strCache>
            </c:strRef>
          </c:cat>
          <c:val>
            <c:numRef>
              <c:f>'Jamovi_Juicio predictivo'!$DB$42:$DB$44</c:f>
              <c:numCache>
                <c:formatCode>0</c:formatCode>
                <c:ptCount val="3"/>
                <c:pt idx="0">
                  <c:v>64</c:v>
                </c:pt>
                <c:pt idx="1">
                  <c:v>49.142857142857146</c:v>
                </c:pt>
                <c:pt idx="2">
                  <c:v>62.142857142857146</c:v>
                </c:pt>
              </c:numCache>
            </c:numRef>
          </c:val>
          <c:extLst>
            <c:ext xmlns:c16="http://schemas.microsoft.com/office/drawing/2014/chart" uri="{C3380CC4-5D6E-409C-BE32-E72D297353CC}">
              <c16:uniqueId val="{00000000-992E-4078-87F5-B50355D751C6}"/>
            </c:ext>
          </c:extLst>
        </c:ser>
        <c:ser>
          <c:idx val="1"/>
          <c:order val="1"/>
          <c:tx>
            <c:strRef>
              <c:f>'Jamovi_Juicio predictivo'!$DC$41</c:f>
              <c:strCache>
                <c:ptCount val="1"/>
                <c:pt idx="0">
                  <c:v>Contexto diferente</c:v>
                </c:pt>
              </c:strCache>
            </c:strRef>
          </c:tx>
          <c:spPr>
            <a:solidFill>
              <a:schemeClr val="bg1"/>
            </a:solidFill>
            <a:ln>
              <a:solidFill>
                <a:schemeClr val="tx1"/>
              </a:solidFill>
            </a:ln>
            <a:effectLst/>
          </c:spPr>
          <c:invertIfNegative val="0"/>
          <c:errBars>
            <c:errBarType val="both"/>
            <c:errValType val="cust"/>
            <c:noEndCap val="0"/>
            <c:plus>
              <c:numRef>
                <c:f>'Jamovi_Juicio predictivo'!$DC$52:$DC$54</c:f>
                <c:numCache>
                  <c:formatCode>General</c:formatCode>
                  <c:ptCount val="3"/>
                  <c:pt idx="0">
                    <c:v>4.6777294129721101</c:v>
                  </c:pt>
                  <c:pt idx="1">
                    <c:v>4.6333775234606085</c:v>
                  </c:pt>
                  <c:pt idx="2">
                    <c:v>4.6577975515486374</c:v>
                  </c:pt>
                </c:numCache>
              </c:numRef>
            </c:plus>
            <c:minus>
              <c:numRef>
                <c:f>'Jamovi_Juicio predictivo'!$DC$52:$DC$54</c:f>
                <c:numCache>
                  <c:formatCode>General</c:formatCode>
                  <c:ptCount val="3"/>
                  <c:pt idx="0">
                    <c:v>4.6777294129721101</c:v>
                  </c:pt>
                  <c:pt idx="1">
                    <c:v>4.6333775234606085</c:v>
                  </c:pt>
                  <c:pt idx="2">
                    <c:v>4.6577975515486374</c:v>
                  </c:pt>
                </c:numCache>
              </c:numRef>
            </c:minus>
            <c:spPr>
              <a:noFill/>
              <a:ln w="9525" cap="flat" cmpd="sng" algn="ctr">
                <a:solidFill>
                  <a:schemeClr val="tx1"/>
                </a:solidFill>
                <a:round/>
              </a:ln>
              <a:effectLst/>
            </c:spPr>
          </c:errBars>
          <c:cat>
            <c:strRef>
              <c:f>'Jamovi_Juicio predictivo'!$DA$42:$DA$44</c:f>
              <c:strCache>
                <c:ptCount val="3"/>
                <c:pt idx="0">
                  <c:v>X</c:v>
                </c:pt>
                <c:pt idx="1">
                  <c:v>Y</c:v>
                </c:pt>
                <c:pt idx="2">
                  <c:v>Z</c:v>
                </c:pt>
              </c:strCache>
            </c:strRef>
          </c:cat>
          <c:val>
            <c:numRef>
              <c:f>'Jamovi_Juicio predictivo'!$DC$42:$DC$44</c:f>
              <c:numCache>
                <c:formatCode>0</c:formatCode>
                <c:ptCount val="3"/>
                <c:pt idx="0">
                  <c:v>50.571428571428569</c:v>
                </c:pt>
                <c:pt idx="1">
                  <c:v>51.714285714285715</c:v>
                </c:pt>
                <c:pt idx="2">
                  <c:v>52.714285714285715</c:v>
                </c:pt>
              </c:numCache>
            </c:numRef>
          </c:val>
          <c:extLst>
            <c:ext xmlns:c16="http://schemas.microsoft.com/office/drawing/2014/chart" uri="{C3380CC4-5D6E-409C-BE32-E72D297353CC}">
              <c16:uniqueId val="{00000001-992E-4078-87F5-B50355D751C6}"/>
            </c:ext>
          </c:extLst>
        </c:ser>
        <c:dLbls>
          <c:showLegendKey val="0"/>
          <c:showVal val="0"/>
          <c:showCatName val="0"/>
          <c:showSerName val="0"/>
          <c:showPercent val="0"/>
          <c:showBubbleSize val="0"/>
        </c:dLbls>
        <c:gapWidth val="219"/>
        <c:overlap val="-27"/>
        <c:axId val="743032160"/>
        <c:axId val="743032488"/>
      </c:barChart>
      <c:catAx>
        <c:axId val="7430321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Productos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743032488"/>
        <c:crosses val="autoZero"/>
        <c:auto val="1"/>
        <c:lblAlgn val="ctr"/>
        <c:lblOffset val="100"/>
        <c:noMultiLvlLbl val="0"/>
      </c:catAx>
      <c:valAx>
        <c:axId val="743032488"/>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b="1"/>
                  <a:t>Media Juicio Predictivo</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743032160"/>
        <c:crosses val="autoZero"/>
        <c:crossBetween val="between"/>
      </c:valAx>
      <c:spPr>
        <a:noFill/>
        <a:ln>
          <a:noFill/>
        </a:ln>
        <a:effectLst/>
      </c:spPr>
    </c:plotArea>
    <c:legend>
      <c:legendPos val="t"/>
      <c:layout>
        <c:manualLayout>
          <c:xMode val="edge"/>
          <c:yMode val="edge"/>
          <c:x val="0.26244717464791606"/>
          <c:y val="8.8888888888888892E-2"/>
          <c:w val="0.5373622557880654"/>
          <c:h val="6.715493896596258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ersonalizado 2">
      <a:dk1>
        <a:srgbClr val="000000"/>
      </a:dk1>
      <a:lt1>
        <a:srgbClr val="FFFFFF"/>
      </a:lt1>
      <a:dk2>
        <a:srgbClr val="44546A"/>
      </a:dk2>
      <a:lt2>
        <a:srgbClr val="E7E6E6"/>
      </a:lt2>
      <a:accent1>
        <a:srgbClr val="000000"/>
      </a:accent1>
      <a:accent2>
        <a:srgbClr val="FFFFF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7D431-5EDD-4CEE-8A62-534A7381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8325</Words>
  <Characters>45793</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2021-03-27T16:58:00Z</dcterms:created>
  <dcterms:modified xsi:type="dcterms:W3CDTF">2021-03-29T15:47:00Z</dcterms:modified>
</cp:coreProperties>
</file>