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42DCA" w14:textId="27FEDE02" w:rsidR="00B845A1" w:rsidRDefault="008F5231" w:rsidP="008F5231">
      <w:pPr>
        <w:jc w:val="center"/>
        <w:rPr>
          <w:b/>
          <w:noProof/>
          <w:sz w:val="36"/>
          <w:szCs w:val="36"/>
        </w:rPr>
      </w:pPr>
      <w:r w:rsidRPr="008F5231">
        <w:rPr>
          <w:b/>
          <w:noProof/>
          <w:sz w:val="36"/>
          <w:szCs w:val="36"/>
        </w:rPr>
        <w:t>Facebook addiction, Phubbing and cell phone conflicts as predictors of couple relationship communication during the COVID-19 pandemic in Peruvian adults.</w:t>
      </w:r>
    </w:p>
    <w:p w14:paraId="7797B08A" w14:textId="77777777" w:rsidR="008F5231" w:rsidRPr="00CA7992" w:rsidRDefault="008F5231" w:rsidP="008F5231">
      <w:pPr>
        <w:jc w:val="center"/>
        <w:rPr>
          <w:i/>
          <w:sz w:val="28"/>
          <w:szCs w:val="28"/>
        </w:rPr>
      </w:pPr>
    </w:p>
    <w:p w14:paraId="0BAD9FA3" w14:textId="098C1666" w:rsidR="00C413D4" w:rsidRPr="00CA7992" w:rsidRDefault="00C413D4" w:rsidP="00C413D4">
      <w:pPr>
        <w:rPr>
          <w:rFonts w:ascii="Times" w:hAnsi="Times"/>
          <w:i/>
          <w:sz w:val="28"/>
          <w:szCs w:val="28"/>
        </w:rPr>
      </w:pPr>
      <w:r w:rsidRPr="00CA7992">
        <w:rPr>
          <w:noProof/>
          <w:lang w:eastAsia="es-PE"/>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CA7992" w:rsidRDefault="00C413D4" w:rsidP="00C413D4">
      <w:pPr>
        <w:rPr>
          <w:b/>
          <w:sz w:val="20"/>
          <w:szCs w:val="20"/>
        </w:rPr>
      </w:pPr>
    </w:p>
    <w:p w14:paraId="3AB5DFB1" w14:textId="77777777" w:rsidR="003325D2" w:rsidRPr="00CA7992" w:rsidRDefault="003325D2" w:rsidP="003325D2">
      <w:pPr>
        <w:pBdr>
          <w:top w:val="nil"/>
          <w:left w:val="nil"/>
          <w:bottom w:val="nil"/>
          <w:right w:val="nil"/>
          <w:between w:val="nil"/>
        </w:pBdr>
        <w:spacing w:after="120"/>
        <w:jc w:val="center"/>
        <w:rPr>
          <w:b/>
          <w:smallCaps/>
          <w:color w:val="000000"/>
          <w:sz w:val="20"/>
          <w:szCs w:val="20"/>
        </w:rPr>
      </w:pPr>
      <w:r>
        <w:rPr>
          <w:b/>
          <w:smallCaps/>
          <w:color w:val="000000"/>
          <w:sz w:val="20"/>
          <w:szCs w:val="20"/>
        </w:rPr>
        <w:t>Abstract</w:t>
      </w:r>
    </w:p>
    <w:p w14:paraId="6E534F22" w14:textId="77777777" w:rsidR="003325D2" w:rsidRPr="008F5231" w:rsidRDefault="003325D2" w:rsidP="003325D2">
      <w:pPr>
        <w:jc w:val="both"/>
        <w:rPr>
          <w:sz w:val="20"/>
          <w:szCs w:val="20"/>
        </w:rPr>
      </w:pPr>
      <w:r w:rsidRPr="008F5231">
        <w:rPr>
          <w:sz w:val="20"/>
          <w:szCs w:val="20"/>
        </w:rPr>
        <w:t xml:space="preserve">Because of the confinement during the COVID-19 pandemic, there have been repercussions in the family dynamics; therefore, the objective was to determine if Facebook addiction, Phubbing and cell phone conflicts predict communication in the couple's relationship. This study corresponds to a cross-sectional predictive design, with the participation of 535 adults of both sexes from 10 cities in Peru, who were selected by non-probabilistic purposive sampling. The instruments applied were the Facebook intrusion questionnaire (FIQ-S), the Phubbing scale, the scale of conflicts related to cell phone use and the scale of self-perceived communication in the couple's relationship (CARP). As results, the structural equation analysis shows that conflicts due to cell phone use and Phubbing have a direct effect on communication in the couple relationship, while Facebook addiction has an effect on conflicts due to cell phone use, and the latter, on Phubbing. It is concluded that, during confinement, the frequency of cell phone conflicts and being cell phone dependent predicts the quality of communication in the couple's relationship, while Facebook addiction indirectly influences it. </w:t>
      </w:r>
    </w:p>
    <w:p w14:paraId="0D0FB049" w14:textId="77777777" w:rsidR="003325D2" w:rsidRPr="008F5231" w:rsidRDefault="003325D2" w:rsidP="003325D2">
      <w:pPr>
        <w:jc w:val="both"/>
        <w:rPr>
          <w:sz w:val="20"/>
          <w:szCs w:val="20"/>
        </w:rPr>
      </w:pPr>
    </w:p>
    <w:p w14:paraId="2DEA8769" w14:textId="77777777" w:rsidR="003325D2" w:rsidRPr="00CA7992" w:rsidRDefault="003325D2" w:rsidP="003325D2">
      <w:pPr>
        <w:jc w:val="both"/>
        <w:rPr>
          <w:b/>
          <w:sz w:val="20"/>
          <w:szCs w:val="20"/>
        </w:rPr>
      </w:pPr>
      <w:r w:rsidRPr="00CA7992">
        <w:rPr>
          <w:b/>
          <w:sz w:val="20"/>
          <w:szCs w:val="20"/>
        </w:rPr>
        <w:t>Palabras clave</w:t>
      </w:r>
    </w:p>
    <w:p w14:paraId="1959850A" w14:textId="77777777" w:rsidR="003325D2" w:rsidRPr="00CA7992" w:rsidRDefault="003325D2" w:rsidP="003325D2">
      <w:pPr>
        <w:rPr>
          <w:b/>
        </w:rPr>
      </w:pPr>
      <w:r w:rsidRPr="003325D2">
        <w:rPr>
          <w:sz w:val="20"/>
          <w:szCs w:val="20"/>
        </w:rPr>
        <w:t>Facebook addiction; Phubbing; cell phone dependency; marital communication; Peru.</w:t>
      </w:r>
    </w:p>
    <w:p w14:paraId="73DE98AE" w14:textId="77777777" w:rsidR="003325D2" w:rsidRDefault="003325D2" w:rsidP="00C43335">
      <w:pPr>
        <w:pStyle w:val="TtuloResumen"/>
        <w:rPr>
          <w:lang w:val="es-419"/>
        </w:rPr>
      </w:pPr>
    </w:p>
    <w:p w14:paraId="61F0B918" w14:textId="01FD7783" w:rsidR="00C43335" w:rsidRPr="00CA7992" w:rsidRDefault="00CA7992" w:rsidP="00C43335">
      <w:pPr>
        <w:pStyle w:val="TtuloResumen"/>
        <w:rPr>
          <w:lang w:val="es-419"/>
        </w:rPr>
      </w:pPr>
      <w:r>
        <w:rPr>
          <w:lang w:val="es-419"/>
        </w:rPr>
        <w:t>Resumen</w:t>
      </w:r>
    </w:p>
    <w:p w14:paraId="0BF1C075" w14:textId="19AC9AD2" w:rsidR="00C413D4" w:rsidRPr="00CA7992" w:rsidRDefault="00E77BF8" w:rsidP="00E77BF8">
      <w:pPr>
        <w:jc w:val="both"/>
        <w:rPr>
          <w:sz w:val="20"/>
          <w:szCs w:val="20"/>
        </w:rPr>
      </w:pPr>
      <w:r w:rsidRPr="00CA7992">
        <w:rPr>
          <w:sz w:val="20"/>
          <w:szCs w:val="20"/>
        </w:rPr>
        <w:t>A</w:t>
      </w:r>
      <w:r w:rsidRPr="00CA7992">
        <w:rPr>
          <w:sz w:val="20"/>
          <w:szCs w:val="20"/>
        </w:rPr>
        <w:t xml:space="preserve"> causa del confinamiento durante la pandemia COVID-19 </w:t>
      </w:r>
      <w:r w:rsidR="00EA36C5" w:rsidRPr="00CA7992">
        <w:rPr>
          <w:sz w:val="20"/>
          <w:szCs w:val="20"/>
        </w:rPr>
        <w:t xml:space="preserve">han surgido repercusiones en la </w:t>
      </w:r>
      <w:r w:rsidR="0062693E" w:rsidRPr="00CA7992">
        <w:rPr>
          <w:sz w:val="20"/>
          <w:szCs w:val="20"/>
        </w:rPr>
        <w:t>dinámica</w:t>
      </w:r>
      <w:r w:rsidR="00EA36C5" w:rsidRPr="00CA7992">
        <w:rPr>
          <w:sz w:val="20"/>
          <w:szCs w:val="20"/>
        </w:rPr>
        <w:t xml:space="preserve"> familiar</w:t>
      </w:r>
      <w:r w:rsidR="009B096B" w:rsidRPr="00CA7992">
        <w:rPr>
          <w:sz w:val="20"/>
          <w:szCs w:val="20"/>
        </w:rPr>
        <w:t>; por ello</w:t>
      </w:r>
      <w:r w:rsidR="00EA36C5" w:rsidRPr="00CA7992">
        <w:rPr>
          <w:sz w:val="20"/>
          <w:szCs w:val="20"/>
        </w:rPr>
        <w:t xml:space="preserve"> se tuvo el objetivo de </w:t>
      </w:r>
      <w:r w:rsidRPr="00CA7992">
        <w:rPr>
          <w:sz w:val="20"/>
          <w:szCs w:val="20"/>
        </w:rPr>
        <w:t>determinar si la adicción a Facebook, Phubbing y conflictos por causa del celular predicen la comuni</w:t>
      </w:r>
      <w:r w:rsidR="00EA36C5" w:rsidRPr="00CA7992">
        <w:rPr>
          <w:sz w:val="20"/>
          <w:szCs w:val="20"/>
        </w:rPr>
        <w:t>cación en la relación de pa</w:t>
      </w:r>
      <w:r w:rsidR="00CA7992" w:rsidRPr="00CA7992">
        <w:rPr>
          <w:sz w:val="20"/>
          <w:szCs w:val="20"/>
        </w:rPr>
        <w:t xml:space="preserve">reja. </w:t>
      </w:r>
      <w:r w:rsidR="005B3ED2">
        <w:rPr>
          <w:sz w:val="20"/>
          <w:szCs w:val="20"/>
        </w:rPr>
        <w:t>Este estudio corresponde a</w:t>
      </w:r>
      <w:r w:rsidR="00CA7992" w:rsidRPr="00CA7992">
        <w:rPr>
          <w:sz w:val="20"/>
          <w:szCs w:val="20"/>
        </w:rPr>
        <w:t xml:space="preserve"> un diseño</w:t>
      </w:r>
      <w:r w:rsidR="0062693E">
        <w:rPr>
          <w:sz w:val="20"/>
          <w:szCs w:val="20"/>
        </w:rPr>
        <w:t xml:space="preserve"> predictivo</w:t>
      </w:r>
      <w:r w:rsidRPr="00CA7992">
        <w:rPr>
          <w:sz w:val="20"/>
          <w:szCs w:val="20"/>
        </w:rPr>
        <w:t xml:space="preserve"> tra</w:t>
      </w:r>
      <w:r w:rsidR="0062693E">
        <w:rPr>
          <w:sz w:val="20"/>
          <w:szCs w:val="20"/>
        </w:rPr>
        <w:t xml:space="preserve">nsversal, donde participaron </w:t>
      </w:r>
      <w:r w:rsidRPr="00CA7992">
        <w:rPr>
          <w:sz w:val="20"/>
          <w:szCs w:val="20"/>
        </w:rPr>
        <w:t xml:space="preserve">535 adultos de ambos sexos </w:t>
      </w:r>
      <w:r w:rsidR="0062693E">
        <w:rPr>
          <w:sz w:val="20"/>
          <w:szCs w:val="20"/>
        </w:rPr>
        <w:t xml:space="preserve">de 10 ciudades del Perú, quienes </w:t>
      </w:r>
      <w:r w:rsidRPr="00CA7992">
        <w:rPr>
          <w:sz w:val="20"/>
          <w:szCs w:val="20"/>
        </w:rPr>
        <w:t>fueron seleccionados mediante un muestreo no probabilístico intencional. Los instrumentos aplicados fueron el cuestionario de intrusión del Facebook (FIQ-S), la escala de Phubbing, la escala de conflictos relacionados al uso del celular y la escala de comunicación auto percibida e</w:t>
      </w:r>
      <w:r w:rsidR="00556064" w:rsidRPr="00CA7992">
        <w:rPr>
          <w:sz w:val="20"/>
          <w:szCs w:val="20"/>
        </w:rPr>
        <w:t xml:space="preserve">n la relación de pareja (CARP). </w:t>
      </w:r>
      <w:r w:rsidR="0062693E">
        <w:rPr>
          <w:sz w:val="20"/>
          <w:szCs w:val="20"/>
        </w:rPr>
        <w:t xml:space="preserve">Como resultados, </w:t>
      </w:r>
      <w:r w:rsidRPr="00CA7992">
        <w:rPr>
          <w:sz w:val="20"/>
          <w:szCs w:val="20"/>
        </w:rPr>
        <w:t>el análisis me</w:t>
      </w:r>
      <w:r w:rsidR="00B61107">
        <w:rPr>
          <w:sz w:val="20"/>
          <w:szCs w:val="20"/>
        </w:rPr>
        <w:t>diante ecuaciones estructurales</w:t>
      </w:r>
      <w:r w:rsidRPr="00CA7992">
        <w:rPr>
          <w:sz w:val="20"/>
          <w:szCs w:val="20"/>
        </w:rPr>
        <w:t xml:space="preserve"> evidencia que los conflictos por causa del celular y Phubbing tienen un efecto directo sobre la comunicación </w:t>
      </w:r>
      <w:r w:rsidR="00B61107">
        <w:rPr>
          <w:sz w:val="20"/>
          <w:szCs w:val="20"/>
        </w:rPr>
        <w:t xml:space="preserve">en la relación de pareja, mientras que </w:t>
      </w:r>
      <w:r w:rsidRPr="00CA7992">
        <w:rPr>
          <w:sz w:val="20"/>
          <w:szCs w:val="20"/>
        </w:rPr>
        <w:t>la adicción a Facebo</w:t>
      </w:r>
      <w:r w:rsidR="00B61107">
        <w:rPr>
          <w:sz w:val="20"/>
          <w:szCs w:val="20"/>
        </w:rPr>
        <w:t>ok tiene un efecto</w:t>
      </w:r>
      <w:r w:rsidRPr="00CA7992">
        <w:rPr>
          <w:sz w:val="20"/>
          <w:szCs w:val="20"/>
        </w:rPr>
        <w:t xml:space="preserve"> sobre los conflictos por causa del celular, y este, sobre el Phubbing. </w:t>
      </w:r>
      <w:r w:rsidR="00556064" w:rsidRPr="00CA7992">
        <w:rPr>
          <w:sz w:val="20"/>
          <w:szCs w:val="20"/>
        </w:rPr>
        <w:t>Se concluye que,</w:t>
      </w:r>
      <w:r w:rsidR="00690BCF">
        <w:rPr>
          <w:sz w:val="20"/>
          <w:szCs w:val="20"/>
        </w:rPr>
        <w:t xml:space="preserve"> durante el confinamiento</w:t>
      </w:r>
      <w:r w:rsidRPr="00CA7992">
        <w:rPr>
          <w:sz w:val="20"/>
          <w:szCs w:val="20"/>
        </w:rPr>
        <w:t xml:space="preserve">, </w:t>
      </w:r>
      <w:r w:rsidR="00690BCF">
        <w:rPr>
          <w:sz w:val="20"/>
          <w:szCs w:val="20"/>
        </w:rPr>
        <w:t>la frecuencia de</w:t>
      </w:r>
      <w:r w:rsidR="00AF010F">
        <w:rPr>
          <w:sz w:val="20"/>
          <w:szCs w:val="20"/>
        </w:rPr>
        <w:t xml:space="preserve"> </w:t>
      </w:r>
      <w:r w:rsidRPr="00CA7992">
        <w:rPr>
          <w:sz w:val="20"/>
          <w:szCs w:val="20"/>
        </w:rPr>
        <w:t>confl</w:t>
      </w:r>
      <w:r w:rsidR="00AF010F">
        <w:rPr>
          <w:sz w:val="20"/>
          <w:szCs w:val="20"/>
        </w:rPr>
        <w:t>ictos por causa del celular y ser dependiente del móvil predice</w:t>
      </w:r>
      <w:r w:rsidRPr="00CA7992">
        <w:rPr>
          <w:sz w:val="20"/>
          <w:szCs w:val="20"/>
        </w:rPr>
        <w:t xml:space="preserve"> </w:t>
      </w:r>
      <w:r w:rsidR="00AF010F">
        <w:rPr>
          <w:sz w:val="20"/>
          <w:szCs w:val="20"/>
        </w:rPr>
        <w:t>l</w:t>
      </w:r>
      <w:r w:rsidRPr="00CA7992">
        <w:rPr>
          <w:sz w:val="20"/>
          <w:szCs w:val="20"/>
        </w:rPr>
        <w:t xml:space="preserve">a calidad de comunicación </w:t>
      </w:r>
      <w:r w:rsidR="00AF010F">
        <w:rPr>
          <w:sz w:val="20"/>
          <w:szCs w:val="20"/>
        </w:rPr>
        <w:t>en la relación de pareja</w:t>
      </w:r>
      <w:r w:rsidRPr="00CA7992">
        <w:rPr>
          <w:sz w:val="20"/>
          <w:szCs w:val="20"/>
        </w:rPr>
        <w:t xml:space="preserve">, mientras que la adicción a </w:t>
      </w:r>
      <w:r w:rsidR="00556064" w:rsidRPr="00CA7992">
        <w:rPr>
          <w:sz w:val="20"/>
          <w:szCs w:val="20"/>
        </w:rPr>
        <w:t xml:space="preserve">Facebook </w:t>
      </w:r>
      <w:r w:rsidR="00AF010F">
        <w:rPr>
          <w:sz w:val="20"/>
          <w:szCs w:val="20"/>
        </w:rPr>
        <w:t xml:space="preserve">influye indirectamente sobre esta. </w:t>
      </w:r>
    </w:p>
    <w:p w14:paraId="547103FF" w14:textId="77777777" w:rsidR="00C413D4" w:rsidRPr="00CA7992" w:rsidRDefault="00C413D4" w:rsidP="00C413D4">
      <w:pPr>
        <w:rPr>
          <w:sz w:val="20"/>
          <w:szCs w:val="20"/>
        </w:rPr>
      </w:pPr>
    </w:p>
    <w:p w14:paraId="0EB33005" w14:textId="77777777" w:rsidR="00C413D4" w:rsidRPr="00CA7992" w:rsidRDefault="00C413D4" w:rsidP="00C413D4">
      <w:pPr>
        <w:rPr>
          <w:b/>
          <w:sz w:val="20"/>
          <w:szCs w:val="20"/>
        </w:rPr>
      </w:pPr>
      <w:r w:rsidRPr="00CA7992">
        <w:rPr>
          <w:b/>
          <w:sz w:val="20"/>
          <w:szCs w:val="20"/>
        </w:rPr>
        <w:t>Keywords</w:t>
      </w:r>
    </w:p>
    <w:p w14:paraId="120FF658" w14:textId="11A54AF7" w:rsidR="00153DC5" w:rsidRPr="00CA7992" w:rsidRDefault="007A5FBD" w:rsidP="007A7C7C">
      <w:pPr>
        <w:jc w:val="both"/>
        <w:rPr>
          <w:bCs/>
          <w:sz w:val="20"/>
          <w:szCs w:val="20"/>
        </w:rPr>
      </w:pPr>
      <w:r>
        <w:rPr>
          <w:bCs/>
          <w:sz w:val="20"/>
          <w:szCs w:val="20"/>
        </w:rPr>
        <w:t>Adicción a Facebook</w:t>
      </w:r>
      <w:r w:rsidR="00B02133" w:rsidRPr="00CA7992">
        <w:rPr>
          <w:bCs/>
          <w:sz w:val="20"/>
          <w:szCs w:val="20"/>
        </w:rPr>
        <w:t xml:space="preserve">; </w:t>
      </w:r>
      <w:r>
        <w:rPr>
          <w:bCs/>
          <w:sz w:val="20"/>
          <w:szCs w:val="20"/>
        </w:rPr>
        <w:t>Phubbing</w:t>
      </w:r>
      <w:r w:rsidR="00B02133" w:rsidRPr="00CA7992">
        <w:rPr>
          <w:bCs/>
          <w:sz w:val="20"/>
          <w:szCs w:val="20"/>
        </w:rPr>
        <w:t xml:space="preserve">; </w:t>
      </w:r>
      <w:r>
        <w:rPr>
          <w:bCs/>
          <w:sz w:val="20"/>
          <w:szCs w:val="20"/>
        </w:rPr>
        <w:t>dependencia al móvil</w:t>
      </w:r>
      <w:r w:rsidR="00B02133" w:rsidRPr="00CA7992">
        <w:rPr>
          <w:bCs/>
          <w:sz w:val="20"/>
          <w:szCs w:val="20"/>
        </w:rPr>
        <w:t xml:space="preserve">; </w:t>
      </w:r>
      <w:r>
        <w:rPr>
          <w:bCs/>
          <w:sz w:val="20"/>
          <w:szCs w:val="20"/>
        </w:rPr>
        <w:t>comunicación conyugal</w:t>
      </w:r>
      <w:r w:rsidR="00B02133" w:rsidRPr="00CA7992">
        <w:rPr>
          <w:bCs/>
          <w:sz w:val="20"/>
          <w:szCs w:val="20"/>
        </w:rPr>
        <w:t xml:space="preserve">; </w:t>
      </w:r>
      <w:r>
        <w:rPr>
          <w:bCs/>
          <w:sz w:val="20"/>
          <w:szCs w:val="20"/>
        </w:rPr>
        <w:t>Perú</w:t>
      </w:r>
    </w:p>
    <w:p w14:paraId="3C2A8692" w14:textId="46796CA0" w:rsidR="00153DC5" w:rsidRPr="00CA7992" w:rsidRDefault="00153DC5" w:rsidP="007A7C7C">
      <w:pPr>
        <w:jc w:val="both"/>
        <w:rPr>
          <w:bCs/>
          <w:sz w:val="20"/>
          <w:szCs w:val="20"/>
        </w:rPr>
      </w:pPr>
    </w:p>
    <w:p w14:paraId="3F538DA7" w14:textId="7901E97B" w:rsidR="00153DC5" w:rsidRPr="00CA7992" w:rsidRDefault="0059034C" w:rsidP="007A7CDC">
      <w:pPr>
        <w:pStyle w:val="Ttuloprincipiodeartculo"/>
        <w:rPr>
          <w:lang w:val="es-419"/>
        </w:rPr>
      </w:pPr>
      <w:r w:rsidRPr="00CA7992">
        <w:rPr>
          <w:lang w:val="es-419"/>
        </w:rPr>
        <w:br w:type="page"/>
      </w:r>
      <w:r w:rsidR="003325D2" w:rsidRPr="003325D2">
        <w:rPr>
          <w:lang w:val="es-419"/>
        </w:rPr>
        <w:lastRenderedPageBreak/>
        <w:t>Adicción a Facebook, Phubbing y conflictos por causa del celular como predictores de la comunicación en la relación de pareja durante la Pandemia COVID-19 en adultos peruanos.</w:t>
      </w:r>
    </w:p>
    <w:p w14:paraId="4FA726CB" w14:textId="7B12B3E3" w:rsidR="006A1BA2" w:rsidRPr="00CA7992" w:rsidRDefault="00153DC5" w:rsidP="00CE7D65">
      <w:pPr>
        <w:pStyle w:val="Ttulosinternos"/>
        <w:rPr>
          <w:bCs/>
          <w:lang w:val="es-419"/>
        </w:rPr>
      </w:pPr>
      <w:r w:rsidRPr="00CA7992">
        <w:rPr>
          <w:lang w:val="es-419"/>
        </w:rPr>
        <w:t>Introd</w:t>
      </w:r>
      <w:r w:rsidR="003A57E4">
        <w:rPr>
          <w:lang w:val="es-419"/>
        </w:rPr>
        <w:t>ucción</w:t>
      </w:r>
    </w:p>
    <w:p w14:paraId="02228B31" w14:textId="77777777" w:rsidR="003A57E4" w:rsidRPr="003A57E4" w:rsidRDefault="003A57E4" w:rsidP="003A57E4">
      <w:pPr>
        <w:pStyle w:val="Prrafocomn"/>
        <w:rPr>
          <w:lang w:val="es-419"/>
        </w:rPr>
      </w:pPr>
      <w:r w:rsidRPr="003A57E4">
        <w:rPr>
          <w:lang w:val="es-419"/>
        </w:rPr>
        <w:t xml:space="preserve">La relación de pareja tiene un carácter único dentro de las relaciones humanas; cuando funcionan satisfactoriamente generan apoyo emocional y social que aporta al desarrollo de la identidad de un individuo, mejorando el componente social incluso la salud física (Iglesias-García et al., 2019). </w:t>
      </w:r>
    </w:p>
    <w:p w14:paraId="02427B72" w14:textId="77777777" w:rsidR="003A57E4" w:rsidRPr="003A57E4" w:rsidRDefault="003A57E4" w:rsidP="003A57E4">
      <w:pPr>
        <w:pStyle w:val="Prrafocomn"/>
        <w:rPr>
          <w:lang w:val="es-419"/>
        </w:rPr>
      </w:pPr>
      <w:r w:rsidRPr="003A57E4">
        <w:rPr>
          <w:lang w:val="es-419"/>
        </w:rPr>
        <w:t>Dentro de este ámbito, una de las variables más importantes para lograr buenas relaciones de pareja es la calidad de la comunicación (Tomuletiu et al., 2014); la misma, que influye sobre el juicio que se brinda sobre la satisfacción en la pareja (Lavner et al., 2016), además, es reconocida como una variable moderadora durante los conflictos en la vida conyugal (Overall &amp; McNulty, 2017).</w:t>
      </w:r>
    </w:p>
    <w:p w14:paraId="4B867113" w14:textId="77777777" w:rsidR="003A57E4" w:rsidRPr="003A57E4" w:rsidRDefault="003A57E4" w:rsidP="003A57E4">
      <w:pPr>
        <w:pStyle w:val="Prrafocomn"/>
        <w:rPr>
          <w:lang w:val="es-419"/>
        </w:rPr>
      </w:pPr>
      <w:r w:rsidRPr="003A57E4">
        <w:rPr>
          <w:lang w:val="es-419"/>
        </w:rPr>
        <w:t xml:space="preserve">La comunicación en la pareja se puede definir como aquel proceso que implica la producción, emisión y procesamiento de mensajes verbales y no verbales que permiten compartir significados entre personas; de esta forma, orientan las pautas de interacción durante la relación conyugal (Villanueva et al., 2012). La literatura científica da cuenta de diversos constructos asociados con la comunicación en la pareja, en esta investigación se precisan la adicción a Facebook, Phubbing y conflictos por causa del celular. </w:t>
      </w:r>
    </w:p>
    <w:p w14:paraId="7FACBA43" w14:textId="77777777" w:rsidR="003A57E4" w:rsidRPr="003A57E4" w:rsidRDefault="003A57E4" w:rsidP="003A57E4">
      <w:pPr>
        <w:pStyle w:val="Prrafocomn"/>
        <w:rPr>
          <w:lang w:val="es-419"/>
        </w:rPr>
      </w:pPr>
      <w:r w:rsidRPr="003A57E4">
        <w:rPr>
          <w:lang w:val="es-419"/>
        </w:rPr>
        <w:t>En relación a la adicción a Facebook, esta se puede definir como la dependencia excesiva a la hora de hacer uso de esta red social (Bendayan &amp; Blanca, 2019), por lo que tiene similitud significativa con las adicciones químicas, que en este caso, actúan como comportamientos excesivos que no son químicos (Rajesh &amp; Rangaiah, 2020). Las investigaciones sugieren que esta plataforma online puede ser beneficiosa como perjudicial para el bienestar psicológico de los usuarios, sobre todo cuando se desarrollan relaciones de pareja (Hu et al., 2017). Aunado a esto, hallazgos reportados dan cuenta que existe una relación significativa entre la desconexión romántica en una relación con la adicción a facebook, es decir, que las parejas que ya no sentían una conexión emocional con el otro eran propensas a generar dependencia a esta red social (Saeed, 2018). A pesar de que Facebook es uno de los medios modernos para establecer relaciones de pareja, con el mal uso se convierte en un factor que perjudica la comunicación (Ryan et al., 2014), llegando a desarrollar percepciones de insatisfacción dentro de una relación de pareja (Antezana &amp; Alfaro, 2019).</w:t>
      </w:r>
    </w:p>
    <w:p w14:paraId="2072A922" w14:textId="77777777" w:rsidR="003A57E4" w:rsidRPr="003A57E4" w:rsidRDefault="003A57E4" w:rsidP="003A57E4">
      <w:pPr>
        <w:pStyle w:val="Prrafocomn"/>
        <w:rPr>
          <w:lang w:val="es-419"/>
        </w:rPr>
      </w:pPr>
      <w:r w:rsidRPr="003A57E4">
        <w:rPr>
          <w:lang w:val="es-419"/>
        </w:rPr>
        <w:lastRenderedPageBreak/>
        <w:t>En cuanto al Phubbing, este se define como el acto de ignorar a la pareja por concentrarse en la tecnología móvil, tableta, PC portátil, u otro objeto inteligente (González-Rivera et al., 2018). Al respecto, algunas investigaciones hallaron que esta variable tiene un efecto negativo sobre la percepción de la satisfacción en la pareja (Roberts &amp; David, 2016), aunque otros estudios revelan que el efecto no es directo, sino, aparecen variables moderadoras como son la autoestima y el estado civil (Wang et al., 2019). En tal sentido, a pesar de que los teléfonos móviles se han convertido en las principales herramientas de comunicación, su mal uso puede afectar la comunicación con el conyugue, que es considerado un componente vital para gozar de la convivencia en el matrimonio (Cizmeci, 2017). Por otra parte, los efectos de esta variable fueron estudiados incluso en grupos etarios de menor edad concluyendo que el Phubbing genera una desconexión social (Ang et al., 2019). Esto es corroborado por estudios recientes que dan cuenta que el aumento del Phubbing afecta negativamente la calidad de la comunicación (Chotpitayasunondh &amp; Douglas, 2018).</w:t>
      </w:r>
    </w:p>
    <w:p w14:paraId="69CF3C84" w14:textId="77777777" w:rsidR="003A57E4" w:rsidRPr="003A57E4" w:rsidRDefault="003A57E4" w:rsidP="003A57E4">
      <w:pPr>
        <w:pStyle w:val="Prrafocomn"/>
        <w:rPr>
          <w:lang w:val="es-419"/>
        </w:rPr>
      </w:pPr>
      <w:r w:rsidRPr="003A57E4">
        <w:rPr>
          <w:lang w:val="es-419"/>
        </w:rPr>
        <w:t>Por último, la variable conflictos por causa del celular se refiere a la frecuencia con que los individuos perciben que el uso del celular causa conflictos en la relación de pareja (González-Rivera et al., 2018). Así, un uso problemático, desmedido y sin control genera conflictos con el conyugue en la medida que no se pueda priorizar a la pareja. Esta situación puede desencadenar síntomas depresivos e insatisfacción, no solo en la relación de pareja, también en la vida familiar (B. McDaniel &amp; Coyne, 2016). A pesar de que el celular representa un recurso que siempre está a disposición de las personas, ponerle determinada prioridad por sobre otras actividades o necesidades que interfieren constantemente con la interacción de la pareja, desnaturaliza la comunicación sincera con la pareja (Jarvenpaa &amp; Lang, 2005).</w:t>
      </w:r>
    </w:p>
    <w:p w14:paraId="4E517283" w14:textId="77777777" w:rsidR="003A57E4" w:rsidRPr="003A57E4" w:rsidRDefault="003A57E4" w:rsidP="003A57E4">
      <w:pPr>
        <w:pStyle w:val="Prrafocomn"/>
        <w:rPr>
          <w:lang w:val="es-419"/>
        </w:rPr>
      </w:pPr>
      <w:r w:rsidRPr="003A57E4">
        <w:rPr>
          <w:lang w:val="es-419"/>
        </w:rPr>
        <w:t>Por lo visto hasta este punto, el efecto que generan las variables en discusión parecen recaer en mayor proporción sobre la satisfacción conyugal, no obstante, un factor para gozar de satisfacción es la calidad de comunicación en la pareja (Aponte et al., 2020). Además, en el Perú, país de donde provienen los participantes, existe un índice critico de prevalencia de violencia en la pareja; precisamente, por falta de educación emocional, normalización de la violencia y falta de estrategias de resolución de problemas, no utilizando un estilo de comunicación asertivo (Quispe et al., 2018).</w:t>
      </w:r>
    </w:p>
    <w:p w14:paraId="542A3D32" w14:textId="7C8ED66C" w:rsidR="00CE7D65" w:rsidRPr="00CA7992" w:rsidRDefault="003A57E4" w:rsidP="003A57E4">
      <w:pPr>
        <w:pStyle w:val="Prrafocomn"/>
        <w:rPr>
          <w:lang w:val="es-419"/>
        </w:rPr>
      </w:pPr>
      <w:r w:rsidRPr="003A57E4">
        <w:rPr>
          <w:lang w:val="es-419"/>
        </w:rPr>
        <w:lastRenderedPageBreak/>
        <w:t>Ante ello, la presente investigación tiene por objetivo determinar si la adicción a Facebook, Phubbing y conflictos por causa del celular predicen la calidad de la comunicación conyugal en adultos peruanos.</w:t>
      </w:r>
    </w:p>
    <w:p w14:paraId="2254AC27" w14:textId="4FF21D24" w:rsidR="006F7E7E" w:rsidRPr="00CA7992" w:rsidRDefault="003A57E4" w:rsidP="001516ED">
      <w:pPr>
        <w:pStyle w:val="Ttulosinternos"/>
        <w:rPr>
          <w:lang w:val="es-419"/>
        </w:rPr>
      </w:pPr>
      <w:r>
        <w:rPr>
          <w:lang w:val="es-419"/>
        </w:rPr>
        <w:t>Mé</w:t>
      </w:r>
      <w:r w:rsidR="001516ED" w:rsidRPr="00CA7992">
        <w:rPr>
          <w:lang w:val="es-419"/>
        </w:rPr>
        <w:t>t</w:t>
      </w:r>
      <w:r>
        <w:rPr>
          <w:lang w:val="es-419"/>
        </w:rPr>
        <w:t>odo</w:t>
      </w:r>
    </w:p>
    <w:p w14:paraId="2F19162A" w14:textId="2CF2CC7B" w:rsidR="006F7E7E" w:rsidRPr="00CA7992" w:rsidRDefault="003A57E4" w:rsidP="007E3B8D">
      <w:pPr>
        <w:pStyle w:val="SubtituloInterno"/>
        <w:rPr>
          <w:rFonts w:eastAsia="Calibri"/>
          <w:lang w:val="es-419"/>
        </w:rPr>
      </w:pPr>
      <w:r>
        <w:rPr>
          <w:rFonts w:eastAsia="Calibri"/>
          <w:lang w:val="es-419"/>
        </w:rPr>
        <w:t>Participantes</w:t>
      </w:r>
    </w:p>
    <w:p w14:paraId="2ECD28CA" w14:textId="37F2EE89" w:rsidR="006F7E7E" w:rsidRPr="00CA7992" w:rsidRDefault="003A57E4" w:rsidP="00CE7D65">
      <w:pPr>
        <w:pStyle w:val="Prrafocomn"/>
        <w:rPr>
          <w:rFonts w:eastAsia="Calibri"/>
          <w:lang w:val="es-419" w:eastAsia="en-US"/>
        </w:rPr>
      </w:pPr>
      <w:r w:rsidRPr="003A57E4">
        <w:rPr>
          <w:lang w:val="es-419" w:eastAsia="en-US"/>
        </w:rPr>
        <w:t>Bajo un muestreo no probabilístico intencional, se contó con la participación de 535 adul</w:t>
      </w:r>
      <w:r>
        <w:rPr>
          <w:lang w:val="es-419" w:eastAsia="en-US"/>
        </w:rPr>
        <w:t>tos peruanos de ambos sexos (50.3% mujeres y 49.</w:t>
      </w:r>
      <w:r w:rsidRPr="003A57E4">
        <w:rPr>
          <w:lang w:val="es-419" w:eastAsia="en-US"/>
        </w:rPr>
        <w:t>7% varones) de entre 18 a 70 años de edad (ME=32</w:t>
      </w:r>
      <w:r>
        <w:rPr>
          <w:lang w:val="es-419" w:eastAsia="en-US"/>
        </w:rPr>
        <w:t>.</w:t>
      </w:r>
      <w:r w:rsidRPr="003A57E4">
        <w:rPr>
          <w:lang w:val="es-419" w:eastAsia="en-US"/>
        </w:rPr>
        <w:t>35, DS=12</w:t>
      </w:r>
      <w:r>
        <w:rPr>
          <w:lang w:val="es-419" w:eastAsia="en-US"/>
        </w:rPr>
        <w:t>.</w:t>
      </w:r>
      <w:r w:rsidRPr="003A57E4">
        <w:rPr>
          <w:lang w:val="es-419" w:eastAsia="en-US"/>
        </w:rPr>
        <w:t>25). 61</w:t>
      </w:r>
      <w:r>
        <w:rPr>
          <w:lang w:val="es-419" w:eastAsia="en-US"/>
        </w:rPr>
        <w:t>.</w:t>
      </w:r>
      <w:r w:rsidRPr="003A57E4">
        <w:rPr>
          <w:lang w:val="es-419" w:eastAsia="en-US"/>
        </w:rPr>
        <w:t>5% tiene grado de instrucción superior, 19</w:t>
      </w:r>
      <w:r>
        <w:rPr>
          <w:lang w:val="es-419" w:eastAsia="en-US"/>
        </w:rPr>
        <w:t>.</w:t>
      </w:r>
      <w:r w:rsidRPr="003A57E4">
        <w:rPr>
          <w:lang w:val="es-419" w:eastAsia="en-US"/>
        </w:rPr>
        <w:t>4% secundario, 17</w:t>
      </w:r>
      <w:r>
        <w:rPr>
          <w:lang w:val="es-419" w:eastAsia="en-US"/>
        </w:rPr>
        <w:t>.</w:t>
      </w:r>
      <w:r w:rsidRPr="003A57E4">
        <w:rPr>
          <w:lang w:val="es-419" w:eastAsia="en-US"/>
        </w:rPr>
        <w:t>8% técnico y 1</w:t>
      </w:r>
      <w:r>
        <w:rPr>
          <w:lang w:val="es-419" w:eastAsia="en-US"/>
        </w:rPr>
        <w:t>.</w:t>
      </w:r>
      <w:r w:rsidRPr="003A57E4">
        <w:rPr>
          <w:lang w:val="es-419" w:eastAsia="en-US"/>
        </w:rPr>
        <w:t>3% primario. 65</w:t>
      </w:r>
      <w:r>
        <w:rPr>
          <w:lang w:val="es-419" w:eastAsia="en-US"/>
        </w:rPr>
        <w:t>.</w:t>
      </w:r>
      <w:r w:rsidRPr="003A57E4">
        <w:rPr>
          <w:lang w:val="es-419" w:eastAsia="en-US"/>
        </w:rPr>
        <w:t>6% es conviviente y 34</w:t>
      </w:r>
      <w:r>
        <w:rPr>
          <w:lang w:val="es-419" w:eastAsia="en-US"/>
        </w:rPr>
        <w:t>.</w:t>
      </w:r>
      <w:r w:rsidRPr="003A57E4">
        <w:rPr>
          <w:lang w:val="es-419" w:eastAsia="en-US"/>
        </w:rPr>
        <w:t>4% son casados, además, 32% profesa la religión adventista, 30</w:t>
      </w:r>
      <w:r>
        <w:rPr>
          <w:lang w:val="es-419" w:eastAsia="en-US"/>
        </w:rPr>
        <w:t>.</w:t>
      </w:r>
      <w:r w:rsidRPr="003A57E4">
        <w:rPr>
          <w:lang w:val="es-419" w:eastAsia="en-US"/>
        </w:rPr>
        <w:t>7% son católicos, 30</w:t>
      </w:r>
      <w:r>
        <w:rPr>
          <w:lang w:val="es-419" w:eastAsia="en-US"/>
        </w:rPr>
        <w:t>.</w:t>
      </w:r>
      <w:r w:rsidRPr="003A57E4">
        <w:rPr>
          <w:lang w:val="es-419" w:eastAsia="en-US"/>
        </w:rPr>
        <w:t>1% evangélicos 7</w:t>
      </w:r>
      <w:r>
        <w:rPr>
          <w:lang w:val="es-419" w:eastAsia="en-US"/>
        </w:rPr>
        <w:t>.</w:t>
      </w:r>
      <w:r w:rsidRPr="003A57E4">
        <w:rPr>
          <w:lang w:val="es-419" w:eastAsia="en-US"/>
        </w:rPr>
        <w:t>3% otras religiones. Por ultimo, 21</w:t>
      </w:r>
      <w:r>
        <w:rPr>
          <w:lang w:val="es-419" w:eastAsia="en-US"/>
        </w:rPr>
        <w:t>.</w:t>
      </w:r>
      <w:r w:rsidRPr="003A57E4">
        <w:rPr>
          <w:lang w:val="es-419" w:eastAsia="en-US"/>
        </w:rPr>
        <w:t>5% residen en la ciudad Trujillo, 19</w:t>
      </w:r>
      <w:r>
        <w:rPr>
          <w:lang w:val="es-419" w:eastAsia="en-US"/>
        </w:rPr>
        <w:t>.</w:t>
      </w:r>
      <w:r w:rsidRPr="003A57E4">
        <w:rPr>
          <w:lang w:val="es-419" w:eastAsia="en-US"/>
        </w:rPr>
        <w:t>3% en Lima, 15</w:t>
      </w:r>
      <w:r>
        <w:rPr>
          <w:lang w:val="es-419" w:eastAsia="en-US"/>
        </w:rPr>
        <w:t>.</w:t>
      </w:r>
      <w:r w:rsidRPr="003A57E4">
        <w:rPr>
          <w:lang w:val="es-419" w:eastAsia="en-US"/>
        </w:rPr>
        <w:t>5% en Puno, 10</w:t>
      </w:r>
      <w:r>
        <w:rPr>
          <w:lang w:val="es-419" w:eastAsia="en-US"/>
        </w:rPr>
        <w:t>.</w:t>
      </w:r>
      <w:r w:rsidRPr="003A57E4">
        <w:rPr>
          <w:lang w:val="es-419" w:eastAsia="en-US"/>
        </w:rPr>
        <w:t>8% en Cusco, 8</w:t>
      </w:r>
      <w:r>
        <w:rPr>
          <w:lang w:val="es-419" w:eastAsia="en-US"/>
        </w:rPr>
        <w:t>.</w:t>
      </w:r>
      <w:r w:rsidRPr="003A57E4">
        <w:rPr>
          <w:lang w:val="es-419" w:eastAsia="en-US"/>
        </w:rPr>
        <w:t>8% en Tarapoto, 7</w:t>
      </w:r>
      <w:r>
        <w:rPr>
          <w:lang w:val="es-419" w:eastAsia="en-US"/>
        </w:rPr>
        <w:t>.</w:t>
      </w:r>
      <w:r w:rsidRPr="003A57E4">
        <w:rPr>
          <w:lang w:val="es-419" w:eastAsia="en-US"/>
        </w:rPr>
        <w:t>5% en Huancayo, 5</w:t>
      </w:r>
      <w:r>
        <w:rPr>
          <w:lang w:val="es-419" w:eastAsia="en-US"/>
        </w:rPr>
        <w:t>.</w:t>
      </w:r>
      <w:r w:rsidRPr="003A57E4">
        <w:rPr>
          <w:lang w:val="es-419" w:eastAsia="en-US"/>
        </w:rPr>
        <w:t>6% en Iquitos, 5% en Ica, 3</w:t>
      </w:r>
      <w:r>
        <w:rPr>
          <w:lang w:val="es-419" w:eastAsia="en-US"/>
        </w:rPr>
        <w:t>.</w:t>
      </w:r>
      <w:r w:rsidRPr="003A57E4">
        <w:rPr>
          <w:lang w:val="es-419" w:eastAsia="en-US"/>
        </w:rPr>
        <w:t>4% en Arequipa y 2</w:t>
      </w:r>
      <w:r>
        <w:rPr>
          <w:lang w:val="es-419" w:eastAsia="en-US"/>
        </w:rPr>
        <w:t>.</w:t>
      </w:r>
      <w:r w:rsidR="000B7EBB">
        <w:rPr>
          <w:lang w:val="es-419" w:eastAsia="en-US"/>
        </w:rPr>
        <w:t>6% en Tacna</w:t>
      </w:r>
      <w:r w:rsidR="00507B29" w:rsidRPr="003A57E4">
        <w:rPr>
          <w:lang w:val="es-419" w:eastAsia="en-US"/>
        </w:rPr>
        <w:t>.</w:t>
      </w:r>
    </w:p>
    <w:p w14:paraId="0FA29A56" w14:textId="7AE73E0C" w:rsidR="006F7E7E" w:rsidRPr="00CA7992" w:rsidRDefault="000B7EBB" w:rsidP="007E3B8D">
      <w:pPr>
        <w:pStyle w:val="SubtituloInterno"/>
        <w:rPr>
          <w:lang w:val="es-419"/>
        </w:rPr>
      </w:pPr>
      <w:r>
        <w:rPr>
          <w:lang w:val="es-419"/>
        </w:rPr>
        <w:t>Diseño</w:t>
      </w:r>
    </w:p>
    <w:p w14:paraId="7B36C86E" w14:textId="7637A70F" w:rsidR="006F7E7E" w:rsidRPr="00CA7992" w:rsidRDefault="000B7EBB" w:rsidP="007C3C14">
      <w:pPr>
        <w:pStyle w:val="Prrafocomn"/>
        <w:rPr>
          <w:iCs/>
          <w:lang w:val="es-419" w:eastAsia="en-US"/>
        </w:rPr>
      </w:pPr>
      <w:r>
        <w:rPr>
          <w:iCs/>
          <w:lang w:val="es-419" w:eastAsia="en-US"/>
        </w:rPr>
        <w:t>Corresponde a un estudio de diseño</w:t>
      </w:r>
      <w:r w:rsidRPr="000B7EBB">
        <w:rPr>
          <w:iCs/>
          <w:lang w:val="es-419" w:eastAsia="en-US"/>
        </w:rPr>
        <w:t xml:space="preserve"> predictivo y</w:t>
      </w:r>
      <w:r>
        <w:rPr>
          <w:iCs/>
          <w:lang w:val="es-419" w:eastAsia="en-US"/>
        </w:rPr>
        <w:t xml:space="preserve"> corte transversal (Ato et al., 2013)</w:t>
      </w:r>
      <w:r w:rsidR="00507B29" w:rsidRPr="00CA7992">
        <w:rPr>
          <w:iCs/>
          <w:lang w:val="es-419" w:eastAsia="en-US"/>
        </w:rPr>
        <w:t>.</w:t>
      </w:r>
    </w:p>
    <w:p w14:paraId="526EC9AE" w14:textId="356CA51F" w:rsidR="00507B29" w:rsidRPr="00CA7992" w:rsidRDefault="0007572E" w:rsidP="00507B29">
      <w:pPr>
        <w:pStyle w:val="SubtituloInterno"/>
        <w:rPr>
          <w:lang w:val="es-419"/>
        </w:rPr>
      </w:pPr>
      <w:r>
        <w:rPr>
          <w:lang w:val="es-419"/>
        </w:rPr>
        <w:t>Instrumentos</w:t>
      </w:r>
    </w:p>
    <w:p w14:paraId="513003AE" w14:textId="272F946D" w:rsidR="0007572E" w:rsidRPr="0007572E" w:rsidRDefault="0007572E" w:rsidP="0007572E">
      <w:pPr>
        <w:pStyle w:val="Prrafocomn"/>
        <w:rPr>
          <w:lang w:val="es-419" w:eastAsia="en-US"/>
        </w:rPr>
      </w:pPr>
      <w:r w:rsidRPr="0007572E">
        <w:rPr>
          <w:i/>
          <w:lang w:val="es-419" w:eastAsia="en-US"/>
        </w:rPr>
        <w:t>Spanish version of the Facebook Intrusion Questionnaire</w:t>
      </w:r>
      <w:r>
        <w:rPr>
          <w:lang w:val="es-419" w:eastAsia="en-US"/>
        </w:rPr>
        <w:t xml:space="preserve"> (FIQ-S; </w:t>
      </w:r>
      <w:r w:rsidRPr="0007572E">
        <w:rPr>
          <w:lang w:val="es-419" w:eastAsia="en-US"/>
        </w:rPr>
        <w:t>Bendayan &amp; Blanca</w:t>
      </w:r>
      <w:r>
        <w:rPr>
          <w:lang w:val="es-419" w:eastAsia="en-US"/>
        </w:rPr>
        <w:t xml:space="preserve">, 2019). </w:t>
      </w:r>
      <w:r w:rsidRPr="0007572E">
        <w:rPr>
          <w:lang w:val="es-419" w:eastAsia="en-US"/>
        </w:rPr>
        <w:t>Es un cuestionario breve que enfatiza los componentes y consecuencias sociales del uso excesivo del facebook. Está compuesta por ocho ítems distribuidos en una sola dimensión, que se puntúan en base a opciones de respuesta de tipo Likert, desde 1 (t</w:t>
      </w:r>
      <w:r>
        <w:rPr>
          <w:lang w:val="es-419" w:eastAsia="en-US"/>
        </w:rPr>
        <w:t>otalmente en desacuerdo) hasta siete</w:t>
      </w:r>
      <w:r w:rsidRPr="0007572E">
        <w:rPr>
          <w:lang w:val="es-419" w:eastAsia="en-US"/>
        </w:rPr>
        <w:t xml:space="preserve"> (totalmente de acuerdo). En la presente investigación, se validó el contenido d</w:t>
      </w:r>
      <w:r>
        <w:rPr>
          <w:lang w:val="es-419" w:eastAsia="en-US"/>
        </w:rPr>
        <w:t>el mismo mediante el juicio de seis</w:t>
      </w:r>
      <w:r w:rsidRPr="0007572E">
        <w:rPr>
          <w:lang w:val="es-419" w:eastAsia="en-US"/>
        </w:rPr>
        <w:t xml:space="preserve"> expertos (psicólogos y terapeutas) quienes evaluaron la claridad, relevancia y pertinencia de los ítems, obten</w:t>
      </w:r>
      <w:r>
        <w:rPr>
          <w:lang w:val="es-419" w:eastAsia="en-US"/>
        </w:rPr>
        <w:t>iendo un V de Aiken de .</w:t>
      </w:r>
      <w:r w:rsidRPr="0007572E">
        <w:rPr>
          <w:lang w:val="es-419" w:eastAsia="en-US"/>
        </w:rPr>
        <w:t>96, además, el valor de coeficiente alfa de Cronbach para estimar l</w:t>
      </w:r>
      <w:r>
        <w:rPr>
          <w:lang w:val="es-419" w:eastAsia="en-US"/>
        </w:rPr>
        <w:t>a confiabilidad fue bueno (α= .85 [IC 95%: .76 – 1.</w:t>
      </w:r>
      <w:r w:rsidRPr="0007572E">
        <w:rPr>
          <w:lang w:val="es-419" w:eastAsia="en-US"/>
        </w:rPr>
        <w:t>00]).</w:t>
      </w:r>
    </w:p>
    <w:p w14:paraId="3A0A16EF" w14:textId="4DB841A4" w:rsidR="0007572E" w:rsidRPr="0007572E" w:rsidRDefault="0007572E" w:rsidP="0007572E">
      <w:pPr>
        <w:pStyle w:val="Prrafocomn"/>
        <w:rPr>
          <w:lang w:val="es-419" w:eastAsia="en-US"/>
        </w:rPr>
      </w:pPr>
      <w:r w:rsidRPr="0007572E">
        <w:rPr>
          <w:i/>
          <w:lang w:val="es-419" w:eastAsia="en-US"/>
        </w:rPr>
        <w:t>Escala de Phubbing en la pareja</w:t>
      </w:r>
      <w:r>
        <w:rPr>
          <w:lang w:val="es-419" w:eastAsia="en-US"/>
        </w:rPr>
        <w:t xml:space="preserve"> </w:t>
      </w:r>
      <w:r w:rsidRPr="0007572E">
        <w:rPr>
          <w:lang w:val="es-419" w:eastAsia="en-US"/>
        </w:rPr>
        <w:t>(Roberts &amp; David, 2016)</w:t>
      </w:r>
      <w:r>
        <w:rPr>
          <w:lang w:val="es-419" w:eastAsia="en-US"/>
        </w:rPr>
        <w:t>.</w:t>
      </w:r>
      <w:r w:rsidRPr="0007572E">
        <w:rPr>
          <w:lang w:val="es-419" w:eastAsia="en-US"/>
        </w:rPr>
        <w:t xml:space="preserve"> Evalúa cuánto una persona percibe que su pareja la menosprecia o ignora por estar prestando más atención al celular (s</w:t>
      </w:r>
      <w:r>
        <w:rPr>
          <w:lang w:val="es-419" w:eastAsia="en-US"/>
        </w:rPr>
        <w:t>martphone). Está compuesta por nueve</w:t>
      </w:r>
      <w:r w:rsidRPr="0007572E">
        <w:rPr>
          <w:lang w:val="es-419" w:eastAsia="en-US"/>
        </w:rPr>
        <w:t xml:space="preserve"> ítems distribuidos en una sola dimensión, que se puntúan en base a opciones de respuesta de tipo Likert, desde 1 (Nunca) hasta 5 (Todo el tiempo). En la </w:t>
      </w:r>
      <w:r w:rsidRPr="0007572E">
        <w:rPr>
          <w:lang w:val="es-419" w:eastAsia="en-US"/>
        </w:rPr>
        <w:lastRenderedPageBreak/>
        <w:t>presente investigación, se validó el contenido del mismo mediante el juicio de seis expertos (psicólogos y terapeutas) quienes evaluaron la claridad, relevancia y pertinencia de los ítems</w:t>
      </w:r>
      <w:r w:rsidR="00E555E4">
        <w:rPr>
          <w:lang w:val="es-419" w:eastAsia="en-US"/>
        </w:rPr>
        <w:t>, obteniendo un V de Aiken de .</w:t>
      </w:r>
      <w:r w:rsidRPr="0007572E">
        <w:rPr>
          <w:lang w:val="es-419" w:eastAsia="en-US"/>
        </w:rPr>
        <w:t>89, además, el valor de coeficiente alfa de Cronbach para estimar la confiabilida</w:t>
      </w:r>
      <w:r w:rsidR="00E555E4">
        <w:rPr>
          <w:lang w:val="es-419" w:eastAsia="en-US"/>
        </w:rPr>
        <w:t>d fue bueno (α= .86 [IC 95%: .76 – 1.</w:t>
      </w:r>
      <w:r w:rsidRPr="0007572E">
        <w:rPr>
          <w:lang w:val="es-419" w:eastAsia="en-US"/>
        </w:rPr>
        <w:t>00]).</w:t>
      </w:r>
    </w:p>
    <w:p w14:paraId="301E97CE" w14:textId="1CA82AEF" w:rsidR="0007572E" w:rsidRPr="0007572E" w:rsidRDefault="0007572E" w:rsidP="0007572E">
      <w:pPr>
        <w:pStyle w:val="Prrafocomn"/>
        <w:rPr>
          <w:lang w:val="es-419" w:eastAsia="en-US"/>
        </w:rPr>
      </w:pPr>
      <w:r w:rsidRPr="00E555E4">
        <w:rPr>
          <w:i/>
          <w:lang w:val="es-419" w:eastAsia="en-US"/>
        </w:rPr>
        <w:t>Escala de conflictos relacionados al uso del celular</w:t>
      </w:r>
      <w:r w:rsidR="00E555E4">
        <w:rPr>
          <w:i/>
          <w:lang w:val="es-419" w:eastAsia="en-US"/>
        </w:rPr>
        <w:t xml:space="preserve"> </w:t>
      </w:r>
      <w:r w:rsidRPr="0007572E">
        <w:rPr>
          <w:lang w:val="es-419" w:eastAsia="en-US"/>
        </w:rPr>
        <w:t>(Roberts &amp; David, 2016)</w:t>
      </w:r>
      <w:r w:rsidR="00E555E4">
        <w:rPr>
          <w:lang w:val="es-419" w:eastAsia="en-US"/>
        </w:rPr>
        <w:t>.</w:t>
      </w:r>
      <w:r w:rsidRPr="0007572E">
        <w:rPr>
          <w:lang w:val="es-419" w:eastAsia="en-US"/>
        </w:rPr>
        <w:t xml:space="preserve"> Mide la frecuencia con que los participantes perciben que el uso del celular causa conflictos en su relación de pareja. Está compuesta por 10 ítems distribuidos en una sola dimensión, que se puntúan en base a opciones de respuesta de tipo Likert, desde 1 (Nunca) hasta 5 (Todo el tiempo). En la presente investigación, se validó el contenido del mismo mediante el juicio de seis expertos (psicólogos y terapeutas) quienes evaluaron la claridad, relevancia y pertinencia de los ítems</w:t>
      </w:r>
      <w:r w:rsidR="00E555E4">
        <w:rPr>
          <w:lang w:val="es-419" w:eastAsia="en-US"/>
        </w:rPr>
        <w:t>, obteniendo un V de Aiken de .</w:t>
      </w:r>
      <w:r w:rsidRPr="0007572E">
        <w:rPr>
          <w:lang w:val="es-419" w:eastAsia="en-US"/>
        </w:rPr>
        <w:t>98, además el valor de coeficiente alfa de Cronbach para estimar la confiabilidad fue bue</w:t>
      </w:r>
      <w:r w:rsidR="00E555E4">
        <w:rPr>
          <w:lang w:val="es-419" w:eastAsia="en-US"/>
        </w:rPr>
        <w:t>no (α= .79 [IC 95%: .76 – 1.</w:t>
      </w:r>
      <w:r w:rsidRPr="0007572E">
        <w:rPr>
          <w:lang w:val="es-419" w:eastAsia="en-US"/>
        </w:rPr>
        <w:t>00]).</w:t>
      </w:r>
    </w:p>
    <w:p w14:paraId="7E1C10E4" w14:textId="4FD77D94" w:rsidR="00507B29" w:rsidRPr="00CA7992" w:rsidRDefault="0007572E" w:rsidP="0007572E">
      <w:pPr>
        <w:pStyle w:val="Prrafocomn"/>
        <w:rPr>
          <w:lang w:val="es-419" w:eastAsia="en-US"/>
        </w:rPr>
      </w:pPr>
      <w:r w:rsidRPr="00E555E4">
        <w:rPr>
          <w:i/>
          <w:lang w:val="es-419" w:eastAsia="en-US"/>
        </w:rPr>
        <w:t>Escala de comunicación auto percibida e</w:t>
      </w:r>
      <w:r w:rsidR="00E555E4" w:rsidRPr="00E555E4">
        <w:rPr>
          <w:i/>
          <w:lang w:val="es-419" w:eastAsia="en-US"/>
        </w:rPr>
        <w:t>n la relación de pareja</w:t>
      </w:r>
      <w:r w:rsidR="00E555E4">
        <w:rPr>
          <w:lang w:val="es-419" w:eastAsia="en-US"/>
        </w:rPr>
        <w:t xml:space="preserve"> (CARP; </w:t>
      </w:r>
      <w:r w:rsidRPr="0007572E">
        <w:rPr>
          <w:lang w:val="es-419" w:eastAsia="en-US"/>
        </w:rPr>
        <w:t>Iglesias-García et al., 2019)</w:t>
      </w:r>
      <w:r w:rsidR="00E555E4">
        <w:rPr>
          <w:lang w:val="es-419" w:eastAsia="en-US"/>
        </w:rPr>
        <w:t>.</w:t>
      </w:r>
      <w:r w:rsidRPr="0007572E">
        <w:rPr>
          <w:lang w:val="es-419" w:eastAsia="en-US"/>
        </w:rPr>
        <w:t xml:space="preserve"> Se encarga de medir los estilos de comunicación. Sin embargo, los mismos autores mencionan que puede ser útil en el campo de la detección, prevención e intervención en situaciones de conflicto entre la pareja. Está compuesta por ocho ítems y distribuida en dos dimensiones: comunicación positiva y negativa. Su puntuación está basada en opciones de respuestas de tipo Likert, desde 1 (Totalmente en desacuerdo) hasta 4 (totalmente de acuerdo). En la presente investigación, se validó el contenido del mismo mediante el juicio de seis expertos (psicólogos y terapeutas) quienes evaluaron la claridad, relevancia y pertinencia de los ítems</w:t>
      </w:r>
      <w:r w:rsidR="00E555E4">
        <w:rPr>
          <w:lang w:val="es-419" w:eastAsia="en-US"/>
        </w:rPr>
        <w:t>, obteniendo un V de Aiken de .</w:t>
      </w:r>
      <w:r w:rsidRPr="0007572E">
        <w:rPr>
          <w:lang w:val="es-419" w:eastAsia="en-US"/>
        </w:rPr>
        <w:t>80, además, el valor de coeficiente alfa de Cronbach para estimar l</w:t>
      </w:r>
      <w:r w:rsidR="00E555E4">
        <w:rPr>
          <w:lang w:val="es-419" w:eastAsia="en-US"/>
        </w:rPr>
        <w:t>a confiabilidad fue bueno (α= .76 [IC 95%: .76 – 1.</w:t>
      </w:r>
      <w:r w:rsidRPr="0007572E">
        <w:rPr>
          <w:lang w:val="es-419" w:eastAsia="en-US"/>
        </w:rPr>
        <w:t>00]).</w:t>
      </w:r>
    </w:p>
    <w:p w14:paraId="788EC80D" w14:textId="26FA042B" w:rsidR="004C1FD8" w:rsidRPr="00CA7992" w:rsidRDefault="00CB1E3B" w:rsidP="007E3B8D">
      <w:pPr>
        <w:pStyle w:val="SubtituloInterno"/>
        <w:rPr>
          <w:lang w:val="es-419"/>
        </w:rPr>
      </w:pPr>
      <w:r>
        <w:rPr>
          <w:lang w:val="es-419"/>
        </w:rPr>
        <w:t>Procedimientos</w:t>
      </w:r>
      <w:r w:rsidR="007C3C14" w:rsidRPr="00CA7992">
        <w:rPr>
          <w:lang w:val="es-419"/>
        </w:rPr>
        <w:t xml:space="preserve"> </w:t>
      </w:r>
    </w:p>
    <w:p w14:paraId="2D23E3C8" w14:textId="71A11F99" w:rsidR="004C1FD8" w:rsidRPr="00CA7992" w:rsidRDefault="00CB1E3B" w:rsidP="004C1FD8">
      <w:pPr>
        <w:pStyle w:val="Prrafocomn"/>
        <w:rPr>
          <w:lang w:val="es-419"/>
        </w:rPr>
      </w:pPr>
      <w:r w:rsidRPr="00CB1E3B">
        <w:rPr>
          <w:lang w:val="es-419"/>
        </w:rPr>
        <w:t>El estudio se realizó entre junio a noviembre del 2020. Haciendo uso de la plataforma Google Form, se diseñó y se compartió a través de correo electrónico y redes sociales (WhatsApp y Facebook) las medidas de autoinforme. A través del cuestionario virtual, todos los participantes del estudio recibieron información respecto al objetivo del estudio, el uso de datos y el acuerdo de confidencialidad. La participación fue voluntaria y solo se consideró a aquellos que brinda</w:t>
      </w:r>
      <w:r>
        <w:rPr>
          <w:lang w:val="es-419"/>
        </w:rPr>
        <w:t>ron su consentimiento informado</w:t>
      </w:r>
      <w:r w:rsidR="004C1FD8" w:rsidRPr="00CA7992">
        <w:rPr>
          <w:lang w:val="es-419"/>
        </w:rPr>
        <w:t>.</w:t>
      </w:r>
    </w:p>
    <w:p w14:paraId="0F4ED851" w14:textId="410FA0C1" w:rsidR="007C3C14" w:rsidRPr="00CA7992" w:rsidRDefault="00CB1E3B" w:rsidP="007C3C14">
      <w:pPr>
        <w:pStyle w:val="SubtituloInterno"/>
        <w:rPr>
          <w:lang w:val="es-419"/>
        </w:rPr>
      </w:pPr>
      <w:r>
        <w:rPr>
          <w:lang w:val="es-419"/>
        </w:rPr>
        <w:lastRenderedPageBreak/>
        <w:t>Análisis de datos</w:t>
      </w:r>
    </w:p>
    <w:p w14:paraId="6C032FBE" w14:textId="78899869" w:rsidR="007C3C14" w:rsidRPr="00CA7992" w:rsidRDefault="00CB1E3B" w:rsidP="007C3C14">
      <w:pPr>
        <w:pStyle w:val="Prrafocomn"/>
        <w:rPr>
          <w:lang w:val="es-419"/>
        </w:rPr>
      </w:pPr>
      <w:r w:rsidRPr="00CB1E3B">
        <w:rPr>
          <w:lang w:val="es-419"/>
        </w:rPr>
        <w:t>Respecto a los análisis estadísticos. En primer lugar, se calcularon las frecuencias y porcentajes de las variables demográficas. En segundo lugar, se realizó un análisis de correlación de Pearson entre las variables, dond</w:t>
      </w:r>
      <w:r w:rsidR="00827B49">
        <w:rPr>
          <w:lang w:val="es-419"/>
        </w:rPr>
        <w:t>e valores de r ≥ .20, r ≥ .50 y r ≥ .</w:t>
      </w:r>
      <w:r w:rsidRPr="00CB1E3B">
        <w:rPr>
          <w:lang w:val="es-419"/>
        </w:rPr>
        <w:t>80 expresan un tamaño del efecto mínimo, moderado y fuerte, respectivamente. En tercer lugar, se realizó un Modelamiento con Ecuaciones Estructurales (SEM), para ello se empleó la medida de Kaiser-Meyer-Olkin (K-M-O) y el Test de Esfericidad de Barlett. Los análisis estadísticos se realizaron con el programa e</w:t>
      </w:r>
      <w:r w:rsidR="00827B49">
        <w:rPr>
          <w:lang w:val="es-419"/>
        </w:rPr>
        <w:t>stadístico SPSS Amos versión 25.</w:t>
      </w:r>
      <w:r w:rsidRPr="00CB1E3B">
        <w:rPr>
          <w:lang w:val="es-419"/>
        </w:rPr>
        <w:t>0</w:t>
      </w:r>
      <w:r w:rsidR="004C1FD8" w:rsidRPr="00CA7992">
        <w:rPr>
          <w:lang w:val="es-419"/>
        </w:rPr>
        <w:t>.</w:t>
      </w:r>
    </w:p>
    <w:p w14:paraId="681BC02D" w14:textId="05D0E62D" w:rsidR="004C1FD8" w:rsidRPr="00CA7992" w:rsidRDefault="00CB1E3B" w:rsidP="004C1FD8">
      <w:pPr>
        <w:pStyle w:val="SubtituloInterno"/>
        <w:rPr>
          <w:lang w:val="es-419"/>
        </w:rPr>
      </w:pPr>
      <w:r>
        <w:rPr>
          <w:lang w:val="es-419"/>
        </w:rPr>
        <w:t>Consideraciones éticas</w:t>
      </w:r>
    </w:p>
    <w:p w14:paraId="336975B6" w14:textId="030AC4E2" w:rsidR="00076F0A" w:rsidRPr="00CA7992" w:rsidRDefault="00CB1E3B" w:rsidP="004C1FD8">
      <w:pPr>
        <w:pStyle w:val="Prrafocomn"/>
        <w:rPr>
          <w:lang w:val="es-419"/>
        </w:rPr>
      </w:pPr>
      <w:r w:rsidRPr="00CB1E3B">
        <w:rPr>
          <w:lang w:val="es-419"/>
        </w:rPr>
        <w:t>El estudio cuenta con la autorización del comité de ética de investigación de la Universidad Peruana Unión (Número 2020-CEUPeU-00070)</w:t>
      </w:r>
      <w:r w:rsidR="004C1FD8" w:rsidRPr="00CA7992">
        <w:rPr>
          <w:lang w:val="es-419"/>
        </w:rPr>
        <w:t>.</w:t>
      </w:r>
    </w:p>
    <w:p w14:paraId="61754C2A" w14:textId="47F1E508" w:rsidR="006F7E7E" w:rsidRPr="00CA7992" w:rsidRDefault="005B5614" w:rsidP="00CE7D65">
      <w:pPr>
        <w:pStyle w:val="Ttulosinternos"/>
        <w:rPr>
          <w:lang w:val="es-419"/>
        </w:rPr>
      </w:pPr>
      <w:r w:rsidRPr="00CA7992">
        <w:rPr>
          <w:lang w:val="es-419"/>
        </w:rPr>
        <w:t>Result</w:t>
      </w:r>
      <w:r w:rsidR="00EB73CB">
        <w:rPr>
          <w:lang w:val="es-419"/>
        </w:rPr>
        <w:t>ado</w:t>
      </w:r>
      <w:r w:rsidRPr="00CA7992">
        <w:rPr>
          <w:lang w:val="es-419"/>
        </w:rPr>
        <w:t>s</w:t>
      </w:r>
    </w:p>
    <w:p w14:paraId="5AC65240" w14:textId="6B65E122" w:rsidR="00A93146" w:rsidRDefault="005D18DF" w:rsidP="00575541">
      <w:pPr>
        <w:pStyle w:val="Prrafocomn"/>
        <w:rPr>
          <w:lang w:val="es-419"/>
        </w:rPr>
      </w:pPr>
      <w:r w:rsidRPr="005D18DF">
        <w:rPr>
          <w:lang w:val="es-419"/>
        </w:rPr>
        <w:t>En la Tabla 1, se presenta el análisis de correlación entre las variables adicción a Facebook (URS), Phubbing (DM), conflictos por causa del celular (CPC) y comunicación conyugal (CC). Los resultados, demuestran una baja relación de URS con DM y CC, mientras que con CPC, se halló una relación medianamente fuerte y</w:t>
      </w:r>
      <w:r w:rsidR="00DA19FB">
        <w:rPr>
          <w:lang w:val="es-419"/>
        </w:rPr>
        <w:t xml:space="preserve"> altamente significativa (r = .390, p &lt; .</w:t>
      </w:r>
      <w:r w:rsidRPr="005D18DF">
        <w:rPr>
          <w:lang w:val="es-419"/>
        </w:rPr>
        <w:t>01), mientras que la variable DM si tuvo una relación medianamente fu</w:t>
      </w:r>
      <w:r w:rsidR="00DA19FB">
        <w:rPr>
          <w:lang w:val="es-419"/>
        </w:rPr>
        <w:t>erte con la variable CPC (r = .49, p &lt; .</w:t>
      </w:r>
      <w:r w:rsidRPr="005D18DF">
        <w:rPr>
          <w:lang w:val="es-419"/>
        </w:rPr>
        <w:t>01), y una relación inversa y altamente significativa con la v</w:t>
      </w:r>
      <w:r w:rsidR="00DA19FB">
        <w:rPr>
          <w:lang w:val="es-419"/>
        </w:rPr>
        <w:t>ariable CC (r  =  -.184, p &lt; .</w:t>
      </w:r>
      <w:r w:rsidRPr="005D18DF">
        <w:rPr>
          <w:lang w:val="es-419"/>
        </w:rPr>
        <w:t>01). Finalmente, la variable CPC se relaciona de manera inversa y altamente significativa con l</w:t>
      </w:r>
      <w:r w:rsidR="00DA19FB">
        <w:rPr>
          <w:lang w:val="es-419"/>
        </w:rPr>
        <w:t>a variable CC (r = -.168, p&lt; .</w:t>
      </w:r>
      <w:r w:rsidRPr="005D18DF">
        <w:rPr>
          <w:lang w:val="es-419"/>
        </w:rPr>
        <w:t>01).</w:t>
      </w:r>
    </w:p>
    <w:p w14:paraId="6B46CF45" w14:textId="77777777" w:rsidR="00DA19FB" w:rsidRDefault="00DA19FB" w:rsidP="00DA19FB">
      <w:pPr>
        <w:autoSpaceDE w:val="0"/>
        <w:autoSpaceDN w:val="0"/>
        <w:adjustRightInd w:val="0"/>
        <w:spacing w:line="360" w:lineRule="auto"/>
        <w:rPr>
          <w:sz w:val="20"/>
          <w:szCs w:val="20"/>
        </w:rPr>
      </w:pPr>
      <w:r w:rsidRPr="00DA19FB">
        <w:rPr>
          <w:sz w:val="20"/>
          <w:szCs w:val="20"/>
        </w:rPr>
        <w:t>Tabla 1</w:t>
      </w:r>
      <w:r>
        <w:rPr>
          <w:sz w:val="20"/>
          <w:szCs w:val="20"/>
        </w:rPr>
        <w:t>.</w:t>
      </w:r>
    </w:p>
    <w:p w14:paraId="16F25ED9" w14:textId="1D1FE2A7" w:rsidR="00DA19FB" w:rsidRPr="00DA19FB" w:rsidRDefault="00DA19FB" w:rsidP="00DA19FB">
      <w:pPr>
        <w:autoSpaceDE w:val="0"/>
        <w:autoSpaceDN w:val="0"/>
        <w:adjustRightInd w:val="0"/>
        <w:spacing w:line="360" w:lineRule="auto"/>
        <w:rPr>
          <w:i/>
          <w:iCs/>
          <w:sz w:val="20"/>
          <w:szCs w:val="20"/>
        </w:rPr>
      </w:pPr>
      <w:r w:rsidRPr="00DA19FB">
        <w:rPr>
          <w:i/>
          <w:iCs/>
          <w:sz w:val="20"/>
          <w:szCs w:val="20"/>
        </w:rPr>
        <w:t>Análisis de correlación entre las variables de estudio</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872"/>
        <w:gridCol w:w="1872"/>
        <w:gridCol w:w="1872"/>
        <w:gridCol w:w="1872"/>
        <w:gridCol w:w="1872"/>
      </w:tblGrid>
      <w:tr w:rsidR="00DA19FB" w:rsidRPr="00DA19FB" w14:paraId="14281303" w14:textId="77777777" w:rsidTr="00DA19FB">
        <w:trPr>
          <w:trHeight w:val="300"/>
        </w:trPr>
        <w:tc>
          <w:tcPr>
            <w:tcW w:w="1000" w:type="pct"/>
            <w:tcBorders>
              <w:top w:val="single" w:sz="4" w:space="0" w:color="auto"/>
              <w:bottom w:val="single" w:sz="4" w:space="0" w:color="auto"/>
            </w:tcBorders>
            <w:shd w:val="clear" w:color="auto" w:fill="auto"/>
            <w:vAlign w:val="bottom"/>
            <w:hideMark/>
          </w:tcPr>
          <w:p w14:paraId="6B2D7409" w14:textId="77777777" w:rsidR="00DA19FB" w:rsidRPr="00DA19FB" w:rsidRDefault="00DA19FB" w:rsidP="00600296">
            <w:pPr>
              <w:rPr>
                <w:color w:val="000000"/>
                <w:sz w:val="20"/>
                <w:szCs w:val="20"/>
                <w:lang w:eastAsia="es-PE"/>
              </w:rPr>
            </w:pPr>
            <w:r w:rsidRPr="00DA19FB">
              <w:rPr>
                <w:color w:val="000000"/>
                <w:sz w:val="20"/>
                <w:szCs w:val="20"/>
                <w:lang w:eastAsia="es-PE"/>
              </w:rPr>
              <w:t> </w:t>
            </w:r>
          </w:p>
        </w:tc>
        <w:tc>
          <w:tcPr>
            <w:tcW w:w="1000" w:type="pct"/>
            <w:tcBorders>
              <w:top w:val="single" w:sz="4" w:space="0" w:color="auto"/>
              <w:bottom w:val="single" w:sz="4" w:space="0" w:color="auto"/>
            </w:tcBorders>
            <w:shd w:val="clear" w:color="auto" w:fill="auto"/>
            <w:vAlign w:val="center"/>
            <w:hideMark/>
          </w:tcPr>
          <w:p w14:paraId="49C968DE" w14:textId="77777777" w:rsidR="00DA19FB" w:rsidRPr="00DA19FB" w:rsidRDefault="00DA19FB" w:rsidP="00600296">
            <w:pPr>
              <w:jc w:val="center"/>
              <w:rPr>
                <w:color w:val="000000"/>
                <w:sz w:val="20"/>
                <w:szCs w:val="20"/>
                <w:lang w:eastAsia="es-PE"/>
              </w:rPr>
            </w:pPr>
            <w:r w:rsidRPr="00DA19FB">
              <w:rPr>
                <w:color w:val="000000"/>
                <w:sz w:val="20"/>
                <w:szCs w:val="20"/>
                <w:lang w:eastAsia="es-PE"/>
              </w:rPr>
              <w:t>URS</w:t>
            </w:r>
          </w:p>
        </w:tc>
        <w:tc>
          <w:tcPr>
            <w:tcW w:w="1000" w:type="pct"/>
            <w:tcBorders>
              <w:top w:val="single" w:sz="4" w:space="0" w:color="auto"/>
              <w:bottom w:val="single" w:sz="4" w:space="0" w:color="auto"/>
            </w:tcBorders>
            <w:shd w:val="clear" w:color="auto" w:fill="auto"/>
            <w:vAlign w:val="center"/>
            <w:hideMark/>
          </w:tcPr>
          <w:p w14:paraId="4EC8E031" w14:textId="77777777" w:rsidR="00DA19FB" w:rsidRPr="00DA19FB" w:rsidRDefault="00DA19FB" w:rsidP="00600296">
            <w:pPr>
              <w:jc w:val="center"/>
              <w:rPr>
                <w:color w:val="000000"/>
                <w:sz w:val="20"/>
                <w:szCs w:val="20"/>
                <w:lang w:eastAsia="es-PE"/>
              </w:rPr>
            </w:pPr>
            <w:r w:rsidRPr="00DA19FB">
              <w:rPr>
                <w:color w:val="000000"/>
                <w:sz w:val="20"/>
                <w:szCs w:val="20"/>
                <w:lang w:eastAsia="es-PE"/>
              </w:rPr>
              <w:t>DM</w:t>
            </w:r>
          </w:p>
        </w:tc>
        <w:tc>
          <w:tcPr>
            <w:tcW w:w="1000" w:type="pct"/>
            <w:tcBorders>
              <w:top w:val="single" w:sz="4" w:space="0" w:color="auto"/>
              <w:bottom w:val="single" w:sz="4" w:space="0" w:color="auto"/>
            </w:tcBorders>
            <w:shd w:val="clear" w:color="auto" w:fill="auto"/>
            <w:vAlign w:val="center"/>
            <w:hideMark/>
          </w:tcPr>
          <w:p w14:paraId="0B4DA5F3" w14:textId="77777777" w:rsidR="00DA19FB" w:rsidRPr="00DA19FB" w:rsidRDefault="00DA19FB" w:rsidP="00600296">
            <w:pPr>
              <w:jc w:val="center"/>
              <w:rPr>
                <w:color w:val="000000"/>
                <w:sz w:val="20"/>
                <w:szCs w:val="20"/>
                <w:lang w:eastAsia="es-PE"/>
              </w:rPr>
            </w:pPr>
            <w:r w:rsidRPr="00DA19FB">
              <w:rPr>
                <w:color w:val="000000"/>
                <w:sz w:val="20"/>
                <w:szCs w:val="20"/>
                <w:lang w:eastAsia="es-PE"/>
              </w:rPr>
              <w:t>CPC</w:t>
            </w:r>
          </w:p>
        </w:tc>
        <w:tc>
          <w:tcPr>
            <w:tcW w:w="1000" w:type="pct"/>
            <w:tcBorders>
              <w:top w:val="single" w:sz="4" w:space="0" w:color="auto"/>
              <w:bottom w:val="single" w:sz="4" w:space="0" w:color="auto"/>
            </w:tcBorders>
            <w:shd w:val="clear" w:color="auto" w:fill="auto"/>
            <w:vAlign w:val="center"/>
            <w:hideMark/>
          </w:tcPr>
          <w:p w14:paraId="3CE40F34" w14:textId="77777777" w:rsidR="00DA19FB" w:rsidRPr="00DA19FB" w:rsidRDefault="00DA19FB" w:rsidP="00600296">
            <w:pPr>
              <w:jc w:val="center"/>
              <w:rPr>
                <w:color w:val="000000"/>
                <w:sz w:val="20"/>
                <w:szCs w:val="20"/>
                <w:lang w:eastAsia="es-PE"/>
              </w:rPr>
            </w:pPr>
            <w:r w:rsidRPr="00DA19FB">
              <w:rPr>
                <w:color w:val="000000"/>
                <w:sz w:val="20"/>
                <w:szCs w:val="20"/>
                <w:lang w:eastAsia="es-PE"/>
              </w:rPr>
              <w:t>CC</w:t>
            </w:r>
          </w:p>
        </w:tc>
      </w:tr>
      <w:tr w:rsidR="00DA19FB" w:rsidRPr="00DA19FB" w14:paraId="335769AB" w14:textId="77777777" w:rsidTr="00DA19FB">
        <w:trPr>
          <w:trHeight w:val="300"/>
        </w:trPr>
        <w:tc>
          <w:tcPr>
            <w:tcW w:w="1000" w:type="pct"/>
            <w:tcBorders>
              <w:top w:val="single" w:sz="4" w:space="0" w:color="auto"/>
            </w:tcBorders>
            <w:shd w:val="clear" w:color="auto" w:fill="auto"/>
            <w:hideMark/>
          </w:tcPr>
          <w:p w14:paraId="606E1AC0" w14:textId="77777777" w:rsidR="00DA19FB" w:rsidRPr="00DA19FB" w:rsidRDefault="00DA19FB" w:rsidP="00600296">
            <w:pPr>
              <w:rPr>
                <w:color w:val="000000"/>
                <w:sz w:val="20"/>
                <w:szCs w:val="20"/>
                <w:lang w:eastAsia="es-PE"/>
              </w:rPr>
            </w:pPr>
            <w:r w:rsidRPr="00DA19FB">
              <w:rPr>
                <w:color w:val="000000"/>
                <w:sz w:val="20"/>
                <w:szCs w:val="20"/>
                <w:lang w:eastAsia="es-PE"/>
              </w:rPr>
              <w:t>URS</w:t>
            </w:r>
          </w:p>
        </w:tc>
        <w:tc>
          <w:tcPr>
            <w:tcW w:w="1000" w:type="pct"/>
            <w:tcBorders>
              <w:top w:val="single" w:sz="4" w:space="0" w:color="auto"/>
            </w:tcBorders>
            <w:shd w:val="clear" w:color="auto" w:fill="auto"/>
            <w:noWrap/>
            <w:vAlign w:val="center"/>
            <w:hideMark/>
          </w:tcPr>
          <w:p w14:paraId="7B052E95" w14:textId="77777777" w:rsidR="00DA19FB" w:rsidRPr="00DA19FB" w:rsidRDefault="00DA19FB" w:rsidP="00600296">
            <w:pPr>
              <w:jc w:val="center"/>
              <w:rPr>
                <w:color w:val="000000"/>
                <w:sz w:val="20"/>
                <w:szCs w:val="20"/>
                <w:lang w:eastAsia="es-PE"/>
              </w:rPr>
            </w:pPr>
            <w:r w:rsidRPr="00DA19FB">
              <w:rPr>
                <w:color w:val="000000"/>
                <w:sz w:val="20"/>
                <w:szCs w:val="20"/>
                <w:lang w:eastAsia="es-PE"/>
              </w:rPr>
              <w:t>1</w:t>
            </w:r>
          </w:p>
        </w:tc>
        <w:tc>
          <w:tcPr>
            <w:tcW w:w="1000" w:type="pct"/>
            <w:tcBorders>
              <w:top w:val="single" w:sz="4" w:space="0" w:color="auto"/>
            </w:tcBorders>
            <w:shd w:val="clear" w:color="auto" w:fill="auto"/>
            <w:noWrap/>
            <w:vAlign w:val="center"/>
            <w:hideMark/>
          </w:tcPr>
          <w:p w14:paraId="10D90D7B" w14:textId="77777777" w:rsidR="00DA19FB" w:rsidRPr="00DA19FB" w:rsidRDefault="00DA19FB" w:rsidP="00600296">
            <w:pPr>
              <w:jc w:val="center"/>
              <w:rPr>
                <w:color w:val="000000"/>
                <w:sz w:val="20"/>
                <w:szCs w:val="20"/>
                <w:lang w:eastAsia="es-PE"/>
              </w:rPr>
            </w:pPr>
            <w:r w:rsidRPr="00DA19FB">
              <w:rPr>
                <w:color w:val="000000"/>
                <w:sz w:val="20"/>
                <w:szCs w:val="20"/>
                <w:lang w:eastAsia="es-PE"/>
              </w:rPr>
              <w:t> </w:t>
            </w:r>
          </w:p>
        </w:tc>
        <w:tc>
          <w:tcPr>
            <w:tcW w:w="1000" w:type="pct"/>
            <w:tcBorders>
              <w:top w:val="single" w:sz="4" w:space="0" w:color="auto"/>
            </w:tcBorders>
            <w:shd w:val="clear" w:color="auto" w:fill="auto"/>
            <w:noWrap/>
            <w:vAlign w:val="center"/>
            <w:hideMark/>
          </w:tcPr>
          <w:p w14:paraId="71E6EB31" w14:textId="77777777" w:rsidR="00DA19FB" w:rsidRPr="00DA19FB" w:rsidRDefault="00DA19FB" w:rsidP="00600296">
            <w:pPr>
              <w:jc w:val="center"/>
              <w:rPr>
                <w:color w:val="000000"/>
                <w:sz w:val="20"/>
                <w:szCs w:val="20"/>
                <w:lang w:eastAsia="es-PE"/>
              </w:rPr>
            </w:pPr>
            <w:r w:rsidRPr="00DA19FB">
              <w:rPr>
                <w:color w:val="000000"/>
                <w:sz w:val="20"/>
                <w:szCs w:val="20"/>
                <w:lang w:eastAsia="es-PE"/>
              </w:rPr>
              <w:t> </w:t>
            </w:r>
          </w:p>
        </w:tc>
        <w:tc>
          <w:tcPr>
            <w:tcW w:w="1000" w:type="pct"/>
            <w:tcBorders>
              <w:top w:val="single" w:sz="4" w:space="0" w:color="auto"/>
            </w:tcBorders>
            <w:shd w:val="clear" w:color="auto" w:fill="auto"/>
            <w:noWrap/>
            <w:vAlign w:val="center"/>
            <w:hideMark/>
          </w:tcPr>
          <w:p w14:paraId="42D9A9E4" w14:textId="77777777" w:rsidR="00DA19FB" w:rsidRPr="00DA19FB" w:rsidRDefault="00DA19FB" w:rsidP="00600296">
            <w:pPr>
              <w:jc w:val="center"/>
              <w:rPr>
                <w:color w:val="000000"/>
                <w:sz w:val="20"/>
                <w:szCs w:val="20"/>
                <w:lang w:eastAsia="es-PE"/>
              </w:rPr>
            </w:pPr>
            <w:r w:rsidRPr="00DA19FB">
              <w:rPr>
                <w:color w:val="000000"/>
                <w:sz w:val="20"/>
                <w:szCs w:val="20"/>
                <w:lang w:eastAsia="es-PE"/>
              </w:rPr>
              <w:t> </w:t>
            </w:r>
          </w:p>
        </w:tc>
      </w:tr>
      <w:tr w:rsidR="00DA19FB" w:rsidRPr="00DA19FB" w14:paraId="5F0E49F1" w14:textId="77777777" w:rsidTr="00DA19FB">
        <w:trPr>
          <w:trHeight w:val="300"/>
        </w:trPr>
        <w:tc>
          <w:tcPr>
            <w:tcW w:w="1000" w:type="pct"/>
            <w:shd w:val="clear" w:color="auto" w:fill="auto"/>
            <w:hideMark/>
          </w:tcPr>
          <w:p w14:paraId="3B7D96CB" w14:textId="77777777" w:rsidR="00DA19FB" w:rsidRPr="00DA19FB" w:rsidRDefault="00DA19FB" w:rsidP="00600296">
            <w:pPr>
              <w:rPr>
                <w:color w:val="000000"/>
                <w:sz w:val="20"/>
                <w:szCs w:val="20"/>
                <w:lang w:eastAsia="es-PE"/>
              </w:rPr>
            </w:pPr>
            <w:r w:rsidRPr="00DA19FB">
              <w:rPr>
                <w:color w:val="000000"/>
                <w:sz w:val="20"/>
                <w:szCs w:val="20"/>
                <w:lang w:eastAsia="es-PE"/>
              </w:rPr>
              <w:t>DM</w:t>
            </w:r>
          </w:p>
        </w:tc>
        <w:tc>
          <w:tcPr>
            <w:tcW w:w="1000" w:type="pct"/>
            <w:shd w:val="clear" w:color="auto" w:fill="auto"/>
            <w:noWrap/>
            <w:vAlign w:val="center"/>
            <w:hideMark/>
          </w:tcPr>
          <w:p w14:paraId="5C0EC322" w14:textId="77777777" w:rsidR="00DA19FB" w:rsidRPr="00DA19FB" w:rsidRDefault="00DA19FB" w:rsidP="00600296">
            <w:pPr>
              <w:jc w:val="center"/>
              <w:rPr>
                <w:color w:val="000000"/>
                <w:sz w:val="20"/>
                <w:szCs w:val="20"/>
                <w:lang w:eastAsia="es-PE"/>
              </w:rPr>
            </w:pPr>
            <w:r w:rsidRPr="00DA19FB">
              <w:rPr>
                <w:sz w:val="20"/>
                <w:szCs w:val="20"/>
              </w:rPr>
              <w:t>0,</w:t>
            </w:r>
            <w:r w:rsidRPr="00DA19FB">
              <w:rPr>
                <w:color w:val="000000"/>
                <w:sz w:val="20"/>
                <w:szCs w:val="20"/>
                <w:lang w:eastAsia="es-PE"/>
              </w:rPr>
              <w:t>054</w:t>
            </w:r>
          </w:p>
        </w:tc>
        <w:tc>
          <w:tcPr>
            <w:tcW w:w="1000" w:type="pct"/>
            <w:shd w:val="clear" w:color="auto" w:fill="auto"/>
            <w:noWrap/>
            <w:vAlign w:val="center"/>
            <w:hideMark/>
          </w:tcPr>
          <w:p w14:paraId="3D60E3F1" w14:textId="77777777" w:rsidR="00DA19FB" w:rsidRPr="00DA19FB" w:rsidRDefault="00DA19FB" w:rsidP="00600296">
            <w:pPr>
              <w:jc w:val="center"/>
              <w:rPr>
                <w:color w:val="000000"/>
                <w:sz w:val="20"/>
                <w:szCs w:val="20"/>
                <w:lang w:eastAsia="es-PE"/>
              </w:rPr>
            </w:pPr>
            <w:r w:rsidRPr="00DA19FB">
              <w:rPr>
                <w:color w:val="000000"/>
                <w:sz w:val="20"/>
                <w:szCs w:val="20"/>
                <w:lang w:eastAsia="es-PE"/>
              </w:rPr>
              <w:t>1</w:t>
            </w:r>
          </w:p>
        </w:tc>
        <w:tc>
          <w:tcPr>
            <w:tcW w:w="1000" w:type="pct"/>
            <w:shd w:val="clear" w:color="auto" w:fill="auto"/>
            <w:noWrap/>
            <w:vAlign w:val="center"/>
            <w:hideMark/>
          </w:tcPr>
          <w:p w14:paraId="4915604E" w14:textId="77777777" w:rsidR="00DA19FB" w:rsidRPr="00DA19FB" w:rsidRDefault="00DA19FB" w:rsidP="00600296">
            <w:pPr>
              <w:jc w:val="center"/>
              <w:rPr>
                <w:color w:val="000000"/>
                <w:sz w:val="20"/>
                <w:szCs w:val="20"/>
                <w:lang w:eastAsia="es-PE"/>
              </w:rPr>
            </w:pPr>
          </w:p>
        </w:tc>
        <w:tc>
          <w:tcPr>
            <w:tcW w:w="1000" w:type="pct"/>
            <w:shd w:val="clear" w:color="auto" w:fill="auto"/>
            <w:noWrap/>
            <w:vAlign w:val="center"/>
            <w:hideMark/>
          </w:tcPr>
          <w:p w14:paraId="541C5C50" w14:textId="77777777" w:rsidR="00DA19FB" w:rsidRPr="00DA19FB" w:rsidRDefault="00DA19FB" w:rsidP="00600296">
            <w:pPr>
              <w:jc w:val="center"/>
              <w:rPr>
                <w:sz w:val="20"/>
                <w:szCs w:val="20"/>
                <w:lang w:eastAsia="es-PE"/>
              </w:rPr>
            </w:pPr>
          </w:p>
        </w:tc>
      </w:tr>
      <w:tr w:rsidR="00DA19FB" w:rsidRPr="00DA19FB" w14:paraId="1234CF54" w14:textId="77777777" w:rsidTr="00DA19FB">
        <w:trPr>
          <w:trHeight w:val="360"/>
        </w:trPr>
        <w:tc>
          <w:tcPr>
            <w:tcW w:w="1000" w:type="pct"/>
            <w:shd w:val="clear" w:color="auto" w:fill="auto"/>
            <w:hideMark/>
          </w:tcPr>
          <w:p w14:paraId="42379D6F" w14:textId="77777777" w:rsidR="00DA19FB" w:rsidRPr="00DA19FB" w:rsidRDefault="00DA19FB" w:rsidP="00600296">
            <w:pPr>
              <w:rPr>
                <w:color w:val="000000"/>
                <w:sz w:val="20"/>
                <w:szCs w:val="20"/>
                <w:lang w:eastAsia="es-PE"/>
              </w:rPr>
            </w:pPr>
            <w:r w:rsidRPr="00DA19FB">
              <w:rPr>
                <w:color w:val="000000"/>
                <w:sz w:val="20"/>
                <w:szCs w:val="20"/>
                <w:lang w:eastAsia="es-PE"/>
              </w:rPr>
              <w:t>CPC</w:t>
            </w:r>
          </w:p>
        </w:tc>
        <w:tc>
          <w:tcPr>
            <w:tcW w:w="1000" w:type="pct"/>
            <w:shd w:val="clear" w:color="auto" w:fill="auto"/>
            <w:noWrap/>
            <w:vAlign w:val="center"/>
            <w:hideMark/>
          </w:tcPr>
          <w:p w14:paraId="6A9F80F7" w14:textId="77777777" w:rsidR="00DA19FB" w:rsidRPr="00DA19FB" w:rsidRDefault="00DA19FB" w:rsidP="00600296">
            <w:pPr>
              <w:jc w:val="center"/>
              <w:rPr>
                <w:color w:val="000000"/>
                <w:sz w:val="20"/>
                <w:szCs w:val="20"/>
                <w:lang w:eastAsia="es-PE"/>
              </w:rPr>
            </w:pPr>
            <w:r w:rsidRPr="00DA19FB">
              <w:rPr>
                <w:sz w:val="20"/>
                <w:szCs w:val="20"/>
              </w:rPr>
              <w:t>0,</w:t>
            </w:r>
            <w:r w:rsidRPr="00DA19FB">
              <w:rPr>
                <w:color w:val="000000"/>
                <w:sz w:val="20"/>
                <w:szCs w:val="20"/>
                <w:lang w:eastAsia="es-PE"/>
              </w:rPr>
              <w:t>390</w:t>
            </w:r>
            <w:r w:rsidRPr="00DA19FB">
              <w:rPr>
                <w:color w:val="000000"/>
                <w:sz w:val="20"/>
                <w:szCs w:val="20"/>
                <w:vertAlign w:val="superscript"/>
                <w:lang w:eastAsia="es-PE"/>
              </w:rPr>
              <w:t>**</w:t>
            </w:r>
          </w:p>
        </w:tc>
        <w:tc>
          <w:tcPr>
            <w:tcW w:w="1000" w:type="pct"/>
            <w:shd w:val="clear" w:color="auto" w:fill="auto"/>
            <w:noWrap/>
            <w:vAlign w:val="center"/>
            <w:hideMark/>
          </w:tcPr>
          <w:p w14:paraId="0423752D" w14:textId="77777777" w:rsidR="00DA19FB" w:rsidRPr="00DA19FB" w:rsidRDefault="00DA19FB" w:rsidP="00600296">
            <w:pPr>
              <w:jc w:val="center"/>
              <w:rPr>
                <w:color w:val="000000"/>
                <w:sz w:val="20"/>
                <w:szCs w:val="20"/>
                <w:lang w:eastAsia="es-PE"/>
              </w:rPr>
            </w:pPr>
            <w:r w:rsidRPr="00DA19FB">
              <w:rPr>
                <w:sz w:val="20"/>
                <w:szCs w:val="20"/>
              </w:rPr>
              <w:t>0,</w:t>
            </w:r>
            <w:r w:rsidRPr="00DA19FB">
              <w:rPr>
                <w:color w:val="000000"/>
                <w:sz w:val="20"/>
                <w:szCs w:val="20"/>
                <w:lang w:eastAsia="es-PE"/>
              </w:rPr>
              <w:t>491</w:t>
            </w:r>
            <w:r w:rsidRPr="00DA19FB">
              <w:rPr>
                <w:color w:val="000000"/>
                <w:sz w:val="20"/>
                <w:szCs w:val="20"/>
                <w:vertAlign w:val="superscript"/>
                <w:lang w:eastAsia="es-PE"/>
              </w:rPr>
              <w:t>**</w:t>
            </w:r>
          </w:p>
        </w:tc>
        <w:tc>
          <w:tcPr>
            <w:tcW w:w="1000" w:type="pct"/>
            <w:shd w:val="clear" w:color="auto" w:fill="auto"/>
            <w:noWrap/>
            <w:vAlign w:val="center"/>
            <w:hideMark/>
          </w:tcPr>
          <w:p w14:paraId="5F52F2F9" w14:textId="77777777" w:rsidR="00DA19FB" w:rsidRPr="00DA19FB" w:rsidRDefault="00DA19FB" w:rsidP="00600296">
            <w:pPr>
              <w:jc w:val="center"/>
              <w:rPr>
                <w:color w:val="000000"/>
                <w:sz w:val="20"/>
                <w:szCs w:val="20"/>
                <w:lang w:eastAsia="es-PE"/>
              </w:rPr>
            </w:pPr>
            <w:r w:rsidRPr="00DA19FB">
              <w:rPr>
                <w:color w:val="000000"/>
                <w:sz w:val="20"/>
                <w:szCs w:val="20"/>
                <w:lang w:eastAsia="es-PE"/>
              </w:rPr>
              <w:t>1</w:t>
            </w:r>
          </w:p>
        </w:tc>
        <w:tc>
          <w:tcPr>
            <w:tcW w:w="1000" w:type="pct"/>
            <w:shd w:val="clear" w:color="auto" w:fill="auto"/>
            <w:noWrap/>
            <w:vAlign w:val="center"/>
            <w:hideMark/>
          </w:tcPr>
          <w:p w14:paraId="0C401A12" w14:textId="77777777" w:rsidR="00DA19FB" w:rsidRPr="00DA19FB" w:rsidRDefault="00DA19FB" w:rsidP="00600296">
            <w:pPr>
              <w:jc w:val="center"/>
              <w:rPr>
                <w:color w:val="000000"/>
                <w:sz w:val="20"/>
                <w:szCs w:val="20"/>
                <w:lang w:eastAsia="es-PE"/>
              </w:rPr>
            </w:pPr>
          </w:p>
        </w:tc>
      </w:tr>
      <w:tr w:rsidR="00DA19FB" w:rsidRPr="00DA19FB" w14:paraId="072C4EB9" w14:textId="77777777" w:rsidTr="00DA19FB">
        <w:trPr>
          <w:trHeight w:val="375"/>
        </w:trPr>
        <w:tc>
          <w:tcPr>
            <w:tcW w:w="1000" w:type="pct"/>
            <w:shd w:val="clear" w:color="auto" w:fill="auto"/>
            <w:hideMark/>
          </w:tcPr>
          <w:p w14:paraId="0F027221" w14:textId="77777777" w:rsidR="00DA19FB" w:rsidRPr="00DA19FB" w:rsidRDefault="00DA19FB" w:rsidP="00600296">
            <w:pPr>
              <w:rPr>
                <w:color w:val="000000"/>
                <w:sz w:val="20"/>
                <w:szCs w:val="20"/>
                <w:lang w:eastAsia="es-PE"/>
              </w:rPr>
            </w:pPr>
            <w:r w:rsidRPr="00DA19FB">
              <w:rPr>
                <w:color w:val="000000"/>
                <w:sz w:val="20"/>
                <w:szCs w:val="20"/>
                <w:lang w:eastAsia="es-PE"/>
              </w:rPr>
              <w:t>CC</w:t>
            </w:r>
          </w:p>
        </w:tc>
        <w:tc>
          <w:tcPr>
            <w:tcW w:w="1000" w:type="pct"/>
            <w:shd w:val="clear" w:color="auto" w:fill="auto"/>
            <w:noWrap/>
            <w:vAlign w:val="center"/>
            <w:hideMark/>
          </w:tcPr>
          <w:p w14:paraId="6BE120B2" w14:textId="77777777" w:rsidR="00DA19FB" w:rsidRPr="00DA19FB" w:rsidRDefault="00DA19FB" w:rsidP="00600296">
            <w:pPr>
              <w:jc w:val="center"/>
              <w:rPr>
                <w:color w:val="000000"/>
                <w:sz w:val="20"/>
                <w:szCs w:val="20"/>
                <w:lang w:eastAsia="es-PE"/>
              </w:rPr>
            </w:pPr>
            <w:r w:rsidRPr="00DA19FB">
              <w:rPr>
                <w:color w:val="000000"/>
                <w:sz w:val="20"/>
                <w:szCs w:val="20"/>
                <w:lang w:eastAsia="es-PE"/>
              </w:rPr>
              <w:t>-</w:t>
            </w:r>
            <w:r w:rsidRPr="00DA19FB">
              <w:rPr>
                <w:sz w:val="20"/>
                <w:szCs w:val="20"/>
              </w:rPr>
              <w:t>0,</w:t>
            </w:r>
            <w:r w:rsidRPr="00DA19FB">
              <w:rPr>
                <w:color w:val="000000"/>
                <w:sz w:val="20"/>
                <w:szCs w:val="20"/>
                <w:lang w:eastAsia="es-PE"/>
              </w:rPr>
              <w:t>043</w:t>
            </w:r>
          </w:p>
        </w:tc>
        <w:tc>
          <w:tcPr>
            <w:tcW w:w="1000" w:type="pct"/>
            <w:shd w:val="clear" w:color="auto" w:fill="auto"/>
            <w:noWrap/>
            <w:vAlign w:val="center"/>
            <w:hideMark/>
          </w:tcPr>
          <w:p w14:paraId="36B03C29" w14:textId="77777777" w:rsidR="00DA19FB" w:rsidRPr="00DA19FB" w:rsidRDefault="00DA19FB" w:rsidP="00600296">
            <w:pPr>
              <w:jc w:val="center"/>
              <w:rPr>
                <w:color w:val="000000"/>
                <w:sz w:val="20"/>
                <w:szCs w:val="20"/>
                <w:lang w:eastAsia="es-PE"/>
              </w:rPr>
            </w:pPr>
            <w:r w:rsidRPr="00DA19FB">
              <w:rPr>
                <w:color w:val="000000"/>
                <w:sz w:val="20"/>
                <w:szCs w:val="20"/>
                <w:lang w:eastAsia="es-PE"/>
              </w:rPr>
              <w:t>-</w:t>
            </w:r>
            <w:r w:rsidRPr="00DA19FB">
              <w:rPr>
                <w:sz w:val="20"/>
                <w:szCs w:val="20"/>
              </w:rPr>
              <w:t>0,</w:t>
            </w:r>
            <w:r w:rsidRPr="00DA19FB">
              <w:rPr>
                <w:color w:val="000000"/>
                <w:sz w:val="20"/>
                <w:szCs w:val="20"/>
                <w:lang w:eastAsia="es-PE"/>
              </w:rPr>
              <w:t>184</w:t>
            </w:r>
            <w:r w:rsidRPr="00DA19FB">
              <w:rPr>
                <w:color w:val="000000"/>
                <w:sz w:val="20"/>
                <w:szCs w:val="20"/>
                <w:vertAlign w:val="superscript"/>
                <w:lang w:eastAsia="es-PE"/>
              </w:rPr>
              <w:t>**</w:t>
            </w:r>
          </w:p>
        </w:tc>
        <w:tc>
          <w:tcPr>
            <w:tcW w:w="1000" w:type="pct"/>
            <w:shd w:val="clear" w:color="auto" w:fill="auto"/>
            <w:noWrap/>
            <w:vAlign w:val="center"/>
            <w:hideMark/>
          </w:tcPr>
          <w:p w14:paraId="2200AF29" w14:textId="77777777" w:rsidR="00DA19FB" w:rsidRPr="00DA19FB" w:rsidRDefault="00DA19FB" w:rsidP="00600296">
            <w:pPr>
              <w:jc w:val="center"/>
              <w:rPr>
                <w:color w:val="000000"/>
                <w:sz w:val="20"/>
                <w:szCs w:val="20"/>
                <w:lang w:eastAsia="es-PE"/>
              </w:rPr>
            </w:pPr>
            <w:r w:rsidRPr="00DA19FB">
              <w:rPr>
                <w:color w:val="000000"/>
                <w:sz w:val="20"/>
                <w:szCs w:val="20"/>
                <w:lang w:eastAsia="es-PE"/>
              </w:rPr>
              <w:t>-</w:t>
            </w:r>
            <w:r w:rsidRPr="00DA19FB">
              <w:rPr>
                <w:sz w:val="20"/>
                <w:szCs w:val="20"/>
              </w:rPr>
              <w:t>0,</w:t>
            </w:r>
            <w:r w:rsidRPr="00DA19FB">
              <w:rPr>
                <w:color w:val="000000"/>
                <w:sz w:val="20"/>
                <w:szCs w:val="20"/>
                <w:lang w:eastAsia="es-PE"/>
              </w:rPr>
              <w:t>168</w:t>
            </w:r>
            <w:r w:rsidRPr="00DA19FB">
              <w:rPr>
                <w:color w:val="000000"/>
                <w:sz w:val="20"/>
                <w:szCs w:val="20"/>
                <w:vertAlign w:val="superscript"/>
                <w:lang w:eastAsia="es-PE"/>
              </w:rPr>
              <w:t>**</w:t>
            </w:r>
          </w:p>
        </w:tc>
        <w:tc>
          <w:tcPr>
            <w:tcW w:w="1000" w:type="pct"/>
            <w:shd w:val="clear" w:color="auto" w:fill="auto"/>
            <w:noWrap/>
            <w:vAlign w:val="center"/>
            <w:hideMark/>
          </w:tcPr>
          <w:p w14:paraId="0F4C8F90" w14:textId="77777777" w:rsidR="00DA19FB" w:rsidRPr="00DA19FB" w:rsidRDefault="00DA19FB" w:rsidP="00600296">
            <w:pPr>
              <w:jc w:val="center"/>
              <w:rPr>
                <w:color w:val="000000"/>
                <w:sz w:val="20"/>
                <w:szCs w:val="20"/>
                <w:lang w:eastAsia="es-PE"/>
              </w:rPr>
            </w:pPr>
            <w:r w:rsidRPr="00DA19FB">
              <w:rPr>
                <w:color w:val="000000"/>
                <w:sz w:val="20"/>
                <w:szCs w:val="20"/>
                <w:lang w:eastAsia="es-PE"/>
              </w:rPr>
              <w:t>1</w:t>
            </w:r>
          </w:p>
        </w:tc>
      </w:tr>
    </w:tbl>
    <w:p w14:paraId="49D4C6A7" w14:textId="77777777" w:rsidR="00DA19FB" w:rsidRPr="00DA19FB" w:rsidRDefault="00DA19FB" w:rsidP="00DA19FB">
      <w:pPr>
        <w:autoSpaceDE w:val="0"/>
        <w:autoSpaceDN w:val="0"/>
        <w:adjustRightInd w:val="0"/>
        <w:spacing w:after="100" w:afterAutospacing="1" w:line="360" w:lineRule="auto"/>
        <w:jc w:val="both"/>
        <w:rPr>
          <w:rFonts w:ascii="Arial" w:hAnsi="Arial" w:cs="Arial"/>
          <w:sz w:val="20"/>
        </w:rPr>
      </w:pPr>
      <w:r w:rsidRPr="00DA19FB">
        <w:rPr>
          <w:color w:val="000000"/>
          <w:sz w:val="16"/>
          <w:szCs w:val="20"/>
          <w:lang w:eastAsia="es-PE"/>
        </w:rPr>
        <w:t>**. La correlación es significativa en el nivel 0,01 (bilateral).</w:t>
      </w:r>
    </w:p>
    <w:p w14:paraId="3E7AD913" w14:textId="0872211B" w:rsidR="00DA19FB" w:rsidRPr="00CA7992" w:rsidRDefault="004C432F" w:rsidP="00575541">
      <w:pPr>
        <w:pStyle w:val="Prrafocomn"/>
        <w:rPr>
          <w:lang w:val="es-419"/>
        </w:rPr>
      </w:pPr>
      <w:r w:rsidRPr="004C432F">
        <w:rPr>
          <w:lang w:val="es-419"/>
        </w:rPr>
        <w:lastRenderedPageBreak/>
        <w:t>Con el propósito de realizar un Modelo de Ecuación Estructural (SEM), se empleó la medida de Kaiser-Meyer-Olkin (K-M-O) y el Test de Esfericidad de Barlett. La medida de adecuación K-M-O obtuvo una punt</w:t>
      </w:r>
      <w:r>
        <w:rPr>
          <w:lang w:val="es-419"/>
        </w:rPr>
        <w:t>uación de .</w:t>
      </w:r>
      <w:r w:rsidRPr="004C432F">
        <w:rPr>
          <w:lang w:val="es-419"/>
        </w:rPr>
        <w:t>851, valor considerado adecuado, mientras que el test de Esfericidad de Bar</w:t>
      </w:r>
      <w:r>
        <w:rPr>
          <w:lang w:val="es-419"/>
        </w:rPr>
        <w:t>lett presenta un valor de 10771.51 y significativo (p = .</w:t>
      </w:r>
      <w:r w:rsidRPr="004C432F">
        <w:rPr>
          <w:lang w:val="es-419"/>
        </w:rPr>
        <w:t>000). Estos hallazgos indican que es adecuado poder realizar un Análisis de Ecuaciones (Tabla 2).</w:t>
      </w:r>
    </w:p>
    <w:p w14:paraId="3254CC66" w14:textId="77777777" w:rsidR="00432258" w:rsidRDefault="004C432F" w:rsidP="00432258">
      <w:pPr>
        <w:spacing w:line="360" w:lineRule="auto"/>
        <w:rPr>
          <w:sz w:val="20"/>
          <w:szCs w:val="20"/>
        </w:rPr>
      </w:pPr>
      <w:r w:rsidRPr="004C432F">
        <w:rPr>
          <w:sz w:val="20"/>
          <w:szCs w:val="20"/>
        </w:rPr>
        <w:t>Tabla 2</w:t>
      </w:r>
      <w:r w:rsidR="00432258">
        <w:rPr>
          <w:sz w:val="20"/>
          <w:szCs w:val="20"/>
        </w:rPr>
        <w:t xml:space="preserve">. </w:t>
      </w:r>
    </w:p>
    <w:p w14:paraId="266A3DAF" w14:textId="007C0EEA" w:rsidR="004C432F" w:rsidRPr="00432258" w:rsidRDefault="004C432F" w:rsidP="00432258">
      <w:pPr>
        <w:spacing w:line="360" w:lineRule="auto"/>
        <w:rPr>
          <w:i/>
          <w:iCs/>
          <w:sz w:val="20"/>
          <w:szCs w:val="20"/>
        </w:rPr>
      </w:pPr>
      <w:r w:rsidRPr="00432258">
        <w:rPr>
          <w:i/>
          <w:iCs/>
          <w:sz w:val="20"/>
          <w:szCs w:val="20"/>
        </w:rPr>
        <w:t>Análisis factorial exploratorio</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609"/>
        <w:gridCol w:w="3609"/>
        <w:gridCol w:w="2142"/>
      </w:tblGrid>
      <w:tr w:rsidR="004C432F" w:rsidRPr="004C432F" w14:paraId="13E17725" w14:textId="77777777" w:rsidTr="00432258">
        <w:trPr>
          <w:cantSplit/>
        </w:trPr>
        <w:tc>
          <w:tcPr>
            <w:tcW w:w="3856" w:type="pct"/>
            <w:gridSpan w:val="2"/>
            <w:tcBorders>
              <w:top w:val="single" w:sz="4" w:space="0" w:color="auto"/>
              <w:bottom w:val="single" w:sz="4" w:space="0" w:color="auto"/>
            </w:tcBorders>
            <w:shd w:val="clear" w:color="auto" w:fill="FFFFFF"/>
          </w:tcPr>
          <w:p w14:paraId="54CD34D8" w14:textId="77777777" w:rsidR="004C432F" w:rsidRPr="004C432F" w:rsidRDefault="004C432F" w:rsidP="00600296">
            <w:pPr>
              <w:autoSpaceDE w:val="0"/>
              <w:autoSpaceDN w:val="0"/>
              <w:adjustRightInd w:val="0"/>
              <w:spacing w:line="360" w:lineRule="auto"/>
              <w:ind w:left="60" w:right="60"/>
              <w:jc w:val="center"/>
              <w:rPr>
                <w:color w:val="000000"/>
                <w:sz w:val="20"/>
                <w:szCs w:val="20"/>
              </w:rPr>
            </w:pPr>
            <w:r w:rsidRPr="004C432F">
              <w:rPr>
                <w:color w:val="000000"/>
                <w:sz w:val="20"/>
                <w:szCs w:val="20"/>
              </w:rPr>
              <w:t>Medida Kaiser-Meyer-Olkin de adecuación de muestreo</w:t>
            </w:r>
          </w:p>
        </w:tc>
        <w:tc>
          <w:tcPr>
            <w:tcW w:w="1144" w:type="pct"/>
            <w:tcBorders>
              <w:top w:val="single" w:sz="4" w:space="0" w:color="auto"/>
              <w:bottom w:val="single" w:sz="4" w:space="0" w:color="auto"/>
            </w:tcBorders>
            <w:shd w:val="clear" w:color="auto" w:fill="FFFFFF"/>
          </w:tcPr>
          <w:p w14:paraId="5F712D3D" w14:textId="77777777" w:rsidR="004C432F" w:rsidRPr="004C432F" w:rsidRDefault="004C432F" w:rsidP="00600296">
            <w:pPr>
              <w:autoSpaceDE w:val="0"/>
              <w:autoSpaceDN w:val="0"/>
              <w:adjustRightInd w:val="0"/>
              <w:spacing w:line="360" w:lineRule="auto"/>
              <w:ind w:left="60" w:right="60"/>
              <w:jc w:val="center"/>
              <w:rPr>
                <w:color w:val="000000"/>
                <w:sz w:val="20"/>
                <w:szCs w:val="20"/>
              </w:rPr>
            </w:pPr>
            <w:r w:rsidRPr="004C432F">
              <w:rPr>
                <w:sz w:val="20"/>
                <w:szCs w:val="20"/>
              </w:rPr>
              <w:t>0,</w:t>
            </w:r>
            <w:r w:rsidRPr="004C432F">
              <w:rPr>
                <w:color w:val="000000"/>
                <w:sz w:val="20"/>
                <w:szCs w:val="20"/>
              </w:rPr>
              <w:t>851</w:t>
            </w:r>
          </w:p>
        </w:tc>
      </w:tr>
      <w:tr w:rsidR="004C432F" w:rsidRPr="004C432F" w14:paraId="00D63F00" w14:textId="77777777" w:rsidTr="00432258">
        <w:trPr>
          <w:cantSplit/>
        </w:trPr>
        <w:tc>
          <w:tcPr>
            <w:tcW w:w="1928" w:type="pct"/>
            <w:vMerge w:val="restart"/>
            <w:tcBorders>
              <w:top w:val="single" w:sz="4" w:space="0" w:color="auto"/>
            </w:tcBorders>
            <w:shd w:val="clear" w:color="auto" w:fill="FFFFFF"/>
          </w:tcPr>
          <w:p w14:paraId="4BA49531" w14:textId="77777777" w:rsidR="004C432F" w:rsidRPr="004C432F" w:rsidRDefault="004C432F" w:rsidP="00600296">
            <w:pPr>
              <w:autoSpaceDE w:val="0"/>
              <w:autoSpaceDN w:val="0"/>
              <w:adjustRightInd w:val="0"/>
              <w:spacing w:line="360" w:lineRule="auto"/>
              <w:ind w:left="60" w:right="60"/>
              <w:jc w:val="center"/>
              <w:rPr>
                <w:color w:val="000000"/>
                <w:sz w:val="20"/>
                <w:szCs w:val="20"/>
              </w:rPr>
            </w:pPr>
            <w:r w:rsidRPr="004C432F">
              <w:rPr>
                <w:color w:val="000000"/>
                <w:sz w:val="20"/>
                <w:szCs w:val="20"/>
              </w:rPr>
              <w:t>Prueba de esfericidad de Bartlett</w:t>
            </w:r>
          </w:p>
        </w:tc>
        <w:tc>
          <w:tcPr>
            <w:tcW w:w="1928" w:type="pct"/>
            <w:tcBorders>
              <w:top w:val="single" w:sz="4" w:space="0" w:color="auto"/>
            </w:tcBorders>
            <w:shd w:val="clear" w:color="auto" w:fill="FFFFFF"/>
          </w:tcPr>
          <w:p w14:paraId="03FC4EF9" w14:textId="77777777" w:rsidR="004C432F" w:rsidRPr="004C432F" w:rsidRDefault="004C432F" w:rsidP="00600296">
            <w:pPr>
              <w:autoSpaceDE w:val="0"/>
              <w:autoSpaceDN w:val="0"/>
              <w:adjustRightInd w:val="0"/>
              <w:spacing w:line="360" w:lineRule="auto"/>
              <w:ind w:left="60" w:right="60"/>
              <w:jc w:val="center"/>
              <w:rPr>
                <w:color w:val="000000"/>
                <w:sz w:val="20"/>
                <w:szCs w:val="20"/>
              </w:rPr>
            </w:pPr>
            <w:r w:rsidRPr="004C432F">
              <w:rPr>
                <w:color w:val="000000"/>
                <w:sz w:val="20"/>
                <w:szCs w:val="20"/>
              </w:rPr>
              <w:t>Aprox. Chi-cuadrado</w:t>
            </w:r>
          </w:p>
        </w:tc>
        <w:tc>
          <w:tcPr>
            <w:tcW w:w="1144" w:type="pct"/>
            <w:tcBorders>
              <w:top w:val="single" w:sz="4" w:space="0" w:color="auto"/>
            </w:tcBorders>
            <w:shd w:val="clear" w:color="auto" w:fill="FFFFFF"/>
          </w:tcPr>
          <w:p w14:paraId="016E5597" w14:textId="77777777" w:rsidR="004C432F" w:rsidRPr="004C432F" w:rsidRDefault="004C432F" w:rsidP="00600296">
            <w:pPr>
              <w:autoSpaceDE w:val="0"/>
              <w:autoSpaceDN w:val="0"/>
              <w:adjustRightInd w:val="0"/>
              <w:spacing w:line="360" w:lineRule="auto"/>
              <w:ind w:left="60" w:right="60"/>
              <w:jc w:val="center"/>
              <w:rPr>
                <w:color w:val="000000"/>
                <w:sz w:val="20"/>
                <w:szCs w:val="20"/>
              </w:rPr>
            </w:pPr>
            <w:r w:rsidRPr="004C432F">
              <w:rPr>
                <w:color w:val="000000"/>
                <w:sz w:val="20"/>
                <w:szCs w:val="20"/>
              </w:rPr>
              <w:t>10771,51</w:t>
            </w:r>
          </w:p>
        </w:tc>
      </w:tr>
      <w:tr w:rsidR="004C432F" w:rsidRPr="004C432F" w14:paraId="3E9F088C" w14:textId="77777777" w:rsidTr="00432258">
        <w:trPr>
          <w:cantSplit/>
        </w:trPr>
        <w:tc>
          <w:tcPr>
            <w:tcW w:w="1928" w:type="pct"/>
            <w:vMerge/>
            <w:shd w:val="clear" w:color="auto" w:fill="FFFFFF"/>
          </w:tcPr>
          <w:p w14:paraId="363B9EDF" w14:textId="77777777" w:rsidR="004C432F" w:rsidRPr="004C432F" w:rsidRDefault="004C432F" w:rsidP="00600296">
            <w:pPr>
              <w:autoSpaceDE w:val="0"/>
              <w:autoSpaceDN w:val="0"/>
              <w:adjustRightInd w:val="0"/>
              <w:spacing w:line="360" w:lineRule="auto"/>
              <w:jc w:val="center"/>
              <w:rPr>
                <w:color w:val="000000"/>
                <w:sz w:val="20"/>
                <w:szCs w:val="20"/>
              </w:rPr>
            </w:pPr>
          </w:p>
        </w:tc>
        <w:tc>
          <w:tcPr>
            <w:tcW w:w="1928" w:type="pct"/>
            <w:shd w:val="clear" w:color="auto" w:fill="FFFFFF"/>
          </w:tcPr>
          <w:p w14:paraId="284A9502" w14:textId="77777777" w:rsidR="004C432F" w:rsidRPr="004C432F" w:rsidRDefault="004C432F" w:rsidP="00600296">
            <w:pPr>
              <w:autoSpaceDE w:val="0"/>
              <w:autoSpaceDN w:val="0"/>
              <w:adjustRightInd w:val="0"/>
              <w:spacing w:line="360" w:lineRule="auto"/>
              <w:ind w:left="60" w:right="60"/>
              <w:jc w:val="center"/>
              <w:rPr>
                <w:color w:val="000000"/>
                <w:sz w:val="20"/>
                <w:szCs w:val="20"/>
              </w:rPr>
            </w:pPr>
            <w:r w:rsidRPr="004C432F">
              <w:rPr>
                <w:color w:val="000000"/>
                <w:sz w:val="20"/>
                <w:szCs w:val="20"/>
              </w:rPr>
              <w:t>Gl</w:t>
            </w:r>
          </w:p>
        </w:tc>
        <w:tc>
          <w:tcPr>
            <w:tcW w:w="1144" w:type="pct"/>
            <w:shd w:val="clear" w:color="auto" w:fill="FFFFFF"/>
          </w:tcPr>
          <w:p w14:paraId="50433D99" w14:textId="77777777" w:rsidR="004C432F" w:rsidRPr="004C432F" w:rsidRDefault="004C432F" w:rsidP="00600296">
            <w:pPr>
              <w:autoSpaceDE w:val="0"/>
              <w:autoSpaceDN w:val="0"/>
              <w:adjustRightInd w:val="0"/>
              <w:spacing w:line="360" w:lineRule="auto"/>
              <w:ind w:left="60" w:right="60"/>
              <w:jc w:val="center"/>
              <w:rPr>
                <w:color w:val="000000"/>
                <w:sz w:val="20"/>
                <w:szCs w:val="20"/>
              </w:rPr>
            </w:pPr>
            <w:r w:rsidRPr="004C432F">
              <w:rPr>
                <w:color w:val="000000"/>
                <w:sz w:val="20"/>
                <w:szCs w:val="20"/>
              </w:rPr>
              <w:t>435</w:t>
            </w:r>
          </w:p>
        </w:tc>
      </w:tr>
      <w:tr w:rsidR="004C432F" w:rsidRPr="004C432F" w14:paraId="6CA3CF8E" w14:textId="77777777" w:rsidTr="00432258">
        <w:trPr>
          <w:cantSplit/>
        </w:trPr>
        <w:tc>
          <w:tcPr>
            <w:tcW w:w="1928" w:type="pct"/>
            <w:vMerge/>
            <w:shd w:val="clear" w:color="auto" w:fill="FFFFFF"/>
          </w:tcPr>
          <w:p w14:paraId="7617C743" w14:textId="77777777" w:rsidR="004C432F" w:rsidRPr="004C432F" w:rsidRDefault="004C432F" w:rsidP="00600296">
            <w:pPr>
              <w:autoSpaceDE w:val="0"/>
              <w:autoSpaceDN w:val="0"/>
              <w:adjustRightInd w:val="0"/>
              <w:spacing w:line="360" w:lineRule="auto"/>
              <w:jc w:val="center"/>
              <w:rPr>
                <w:color w:val="000000"/>
                <w:sz w:val="20"/>
                <w:szCs w:val="20"/>
              </w:rPr>
            </w:pPr>
          </w:p>
        </w:tc>
        <w:tc>
          <w:tcPr>
            <w:tcW w:w="1928" w:type="pct"/>
            <w:shd w:val="clear" w:color="auto" w:fill="FFFFFF"/>
          </w:tcPr>
          <w:p w14:paraId="09443E78" w14:textId="77777777" w:rsidR="004C432F" w:rsidRPr="004C432F" w:rsidRDefault="004C432F" w:rsidP="00600296">
            <w:pPr>
              <w:autoSpaceDE w:val="0"/>
              <w:autoSpaceDN w:val="0"/>
              <w:adjustRightInd w:val="0"/>
              <w:spacing w:line="360" w:lineRule="auto"/>
              <w:ind w:left="60" w:right="60"/>
              <w:jc w:val="center"/>
              <w:rPr>
                <w:color w:val="000000"/>
                <w:sz w:val="20"/>
                <w:szCs w:val="20"/>
              </w:rPr>
            </w:pPr>
            <w:r w:rsidRPr="004C432F">
              <w:rPr>
                <w:color w:val="000000"/>
                <w:sz w:val="20"/>
                <w:szCs w:val="20"/>
              </w:rPr>
              <w:t>p valor</w:t>
            </w:r>
          </w:p>
        </w:tc>
        <w:tc>
          <w:tcPr>
            <w:tcW w:w="1144" w:type="pct"/>
            <w:shd w:val="clear" w:color="auto" w:fill="FFFFFF"/>
          </w:tcPr>
          <w:p w14:paraId="1A1D2F14" w14:textId="77777777" w:rsidR="004C432F" w:rsidRPr="004C432F" w:rsidRDefault="004C432F" w:rsidP="00600296">
            <w:pPr>
              <w:autoSpaceDE w:val="0"/>
              <w:autoSpaceDN w:val="0"/>
              <w:adjustRightInd w:val="0"/>
              <w:spacing w:line="360" w:lineRule="auto"/>
              <w:ind w:left="60" w:right="60"/>
              <w:jc w:val="center"/>
              <w:rPr>
                <w:color w:val="000000"/>
                <w:sz w:val="20"/>
                <w:szCs w:val="20"/>
              </w:rPr>
            </w:pPr>
            <w:r w:rsidRPr="004C432F">
              <w:rPr>
                <w:sz w:val="20"/>
                <w:szCs w:val="20"/>
              </w:rPr>
              <w:t>0,</w:t>
            </w:r>
            <w:r w:rsidRPr="004C432F">
              <w:rPr>
                <w:color w:val="000000"/>
                <w:sz w:val="20"/>
                <w:szCs w:val="20"/>
              </w:rPr>
              <w:t>000</w:t>
            </w:r>
          </w:p>
        </w:tc>
      </w:tr>
    </w:tbl>
    <w:p w14:paraId="34014535" w14:textId="2FC8DAF8" w:rsidR="00575541" w:rsidRPr="00CA7992" w:rsidRDefault="00575541" w:rsidP="00575541">
      <w:pPr>
        <w:pStyle w:val="Prrafocomn"/>
        <w:rPr>
          <w:lang w:val="es-419"/>
        </w:rPr>
      </w:pPr>
    </w:p>
    <w:p w14:paraId="52FF46F1" w14:textId="2C2C3686" w:rsidR="00432258" w:rsidRDefault="00432258" w:rsidP="00432258">
      <w:pPr>
        <w:spacing w:after="100" w:afterAutospacing="1" w:line="360" w:lineRule="auto"/>
        <w:ind w:firstLine="720"/>
        <w:jc w:val="both"/>
      </w:pPr>
      <w:r w:rsidRPr="00432258">
        <w:t>Con base en los resultados, y considerando los valores adecuados para cada indicador, los valores obtenidos en el modelo son los siguientes (Tabla 3):</w:t>
      </w:r>
      <w:r>
        <w:t xml:space="preserve"> Chi cuadrado = 759.</w:t>
      </w:r>
      <w:r w:rsidRPr="00432258">
        <w:t xml:space="preserve">44, RMSEA = </w:t>
      </w:r>
      <w:r>
        <w:t>.</w:t>
      </w:r>
      <w:r w:rsidRPr="00432258">
        <w:t xml:space="preserve">061 que es menor al </w:t>
      </w:r>
      <w:r>
        <w:t>.</w:t>
      </w:r>
      <w:r w:rsidRPr="00432258">
        <w:t xml:space="preserve">08 recomendable, además, el GFI = </w:t>
      </w:r>
      <w:r>
        <w:t>.</w:t>
      </w:r>
      <w:r w:rsidRPr="00432258">
        <w:t xml:space="preserve">836 y CFI = </w:t>
      </w:r>
      <w:r>
        <w:t>.</w:t>
      </w:r>
      <w:r w:rsidRPr="00432258">
        <w:t xml:space="preserve">907 donde ambos se acercan a la unidad, indican que se puede concluir que el modelo cumple las especificas necesarias. Por lo tanto, en la Figura 1 se puede observar que el conflicto a causa del celular (CPC) y Phubbing (DM) tienen un efecto menor, pero nada despreciable sobre la variable comunicación conyugal (CC); así mismo, se observa un efecto grande de conflictos a causa del celular (CPC) sobre el Phubbing (DM). Finalmente, adicción a Facebook (URS) tiene un efecto menor sobre conflictos a causa del celular (CPC). </w:t>
      </w:r>
    </w:p>
    <w:p w14:paraId="591A28D6" w14:textId="77777777" w:rsidR="00432258" w:rsidRDefault="00432258" w:rsidP="00432258">
      <w:pPr>
        <w:spacing w:line="360" w:lineRule="auto"/>
        <w:rPr>
          <w:sz w:val="20"/>
          <w:szCs w:val="20"/>
        </w:rPr>
      </w:pPr>
      <w:r>
        <w:rPr>
          <w:sz w:val="20"/>
          <w:szCs w:val="20"/>
        </w:rPr>
        <w:t>Tabla 3</w:t>
      </w:r>
    </w:p>
    <w:p w14:paraId="2284A0FA" w14:textId="4D949B64" w:rsidR="00432258" w:rsidRPr="00432258" w:rsidRDefault="00432258" w:rsidP="00432258">
      <w:pPr>
        <w:spacing w:line="360" w:lineRule="auto"/>
        <w:rPr>
          <w:i/>
          <w:iCs/>
          <w:sz w:val="20"/>
          <w:szCs w:val="20"/>
        </w:rPr>
      </w:pPr>
      <w:r w:rsidRPr="00432258">
        <w:rPr>
          <w:i/>
          <w:iCs/>
          <w:sz w:val="20"/>
          <w:szCs w:val="20"/>
        </w:rPr>
        <w:t>Índices de ajustes del modelo explicativo</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201"/>
        <w:gridCol w:w="1189"/>
        <w:gridCol w:w="743"/>
        <w:gridCol w:w="942"/>
        <w:gridCol w:w="1009"/>
        <w:gridCol w:w="1009"/>
        <w:gridCol w:w="831"/>
        <w:gridCol w:w="1436"/>
      </w:tblGrid>
      <w:tr w:rsidR="00432258" w:rsidRPr="00432258" w14:paraId="6BA70999" w14:textId="77777777" w:rsidTr="00432258">
        <w:trPr>
          <w:trHeight w:val="300"/>
        </w:trPr>
        <w:tc>
          <w:tcPr>
            <w:tcW w:w="1175" w:type="pct"/>
            <w:tcBorders>
              <w:top w:val="single" w:sz="4" w:space="0" w:color="auto"/>
              <w:bottom w:val="single" w:sz="4" w:space="0" w:color="auto"/>
            </w:tcBorders>
            <w:shd w:val="clear" w:color="auto" w:fill="auto"/>
            <w:noWrap/>
            <w:vAlign w:val="center"/>
            <w:hideMark/>
          </w:tcPr>
          <w:p w14:paraId="552066C5" w14:textId="77777777" w:rsidR="00432258" w:rsidRPr="00432258" w:rsidRDefault="00432258" w:rsidP="00600296">
            <w:pPr>
              <w:spacing w:line="360" w:lineRule="auto"/>
              <w:jc w:val="center"/>
              <w:rPr>
                <w:color w:val="000000"/>
                <w:sz w:val="20"/>
                <w:szCs w:val="20"/>
                <w:lang w:eastAsia="es-PE"/>
              </w:rPr>
            </w:pPr>
            <w:r w:rsidRPr="00432258">
              <w:rPr>
                <w:color w:val="000000"/>
                <w:sz w:val="20"/>
                <w:szCs w:val="20"/>
                <w:lang w:eastAsia="es-PE"/>
              </w:rPr>
              <w:t>Total (n=535)</w:t>
            </w:r>
          </w:p>
        </w:tc>
        <w:tc>
          <w:tcPr>
            <w:tcW w:w="635" w:type="pct"/>
            <w:tcBorders>
              <w:top w:val="single" w:sz="4" w:space="0" w:color="auto"/>
              <w:bottom w:val="single" w:sz="4" w:space="0" w:color="auto"/>
            </w:tcBorders>
            <w:shd w:val="clear" w:color="auto" w:fill="auto"/>
            <w:noWrap/>
            <w:vAlign w:val="center"/>
            <w:hideMark/>
          </w:tcPr>
          <w:p w14:paraId="57136623" w14:textId="77777777" w:rsidR="00432258" w:rsidRPr="00432258" w:rsidRDefault="00432258" w:rsidP="00600296">
            <w:pPr>
              <w:spacing w:line="360" w:lineRule="auto"/>
              <w:jc w:val="center"/>
              <w:rPr>
                <w:color w:val="000000"/>
                <w:sz w:val="20"/>
                <w:szCs w:val="20"/>
                <w:lang w:eastAsia="es-PE"/>
              </w:rPr>
            </w:pPr>
            <w:r w:rsidRPr="00432258">
              <w:rPr>
                <w:color w:val="000000"/>
                <w:sz w:val="20"/>
                <w:szCs w:val="20"/>
                <w:lang w:eastAsia="es-PE"/>
              </w:rPr>
              <w:t>x2</w:t>
            </w:r>
          </w:p>
        </w:tc>
        <w:tc>
          <w:tcPr>
            <w:tcW w:w="397" w:type="pct"/>
            <w:tcBorders>
              <w:top w:val="single" w:sz="4" w:space="0" w:color="auto"/>
              <w:bottom w:val="single" w:sz="4" w:space="0" w:color="auto"/>
            </w:tcBorders>
            <w:shd w:val="clear" w:color="auto" w:fill="auto"/>
            <w:noWrap/>
            <w:vAlign w:val="center"/>
            <w:hideMark/>
          </w:tcPr>
          <w:p w14:paraId="1E422D00" w14:textId="77777777" w:rsidR="00432258" w:rsidRPr="00432258" w:rsidRDefault="00432258" w:rsidP="00600296">
            <w:pPr>
              <w:spacing w:line="360" w:lineRule="auto"/>
              <w:jc w:val="center"/>
              <w:rPr>
                <w:color w:val="000000"/>
                <w:sz w:val="20"/>
                <w:szCs w:val="20"/>
                <w:lang w:eastAsia="es-PE"/>
              </w:rPr>
            </w:pPr>
            <w:r w:rsidRPr="00432258">
              <w:rPr>
                <w:color w:val="000000"/>
                <w:sz w:val="20"/>
                <w:szCs w:val="20"/>
                <w:lang w:eastAsia="es-PE"/>
              </w:rPr>
              <w:t>gl.</w:t>
            </w:r>
          </w:p>
        </w:tc>
        <w:tc>
          <w:tcPr>
            <w:tcW w:w="503" w:type="pct"/>
            <w:tcBorders>
              <w:top w:val="single" w:sz="4" w:space="0" w:color="auto"/>
              <w:bottom w:val="single" w:sz="4" w:space="0" w:color="auto"/>
            </w:tcBorders>
            <w:shd w:val="clear" w:color="auto" w:fill="auto"/>
            <w:noWrap/>
            <w:vAlign w:val="center"/>
            <w:hideMark/>
          </w:tcPr>
          <w:p w14:paraId="6BC51C22" w14:textId="77777777" w:rsidR="00432258" w:rsidRPr="00432258" w:rsidRDefault="00432258" w:rsidP="00600296">
            <w:pPr>
              <w:spacing w:line="360" w:lineRule="auto"/>
              <w:jc w:val="center"/>
              <w:rPr>
                <w:color w:val="000000"/>
                <w:sz w:val="20"/>
                <w:szCs w:val="20"/>
                <w:lang w:eastAsia="es-PE"/>
              </w:rPr>
            </w:pPr>
            <w:r w:rsidRPr="00432258">
              <w:rPr>
                <w:color w:val="000000"/>
                <w:sz w:val="20"/>
                <w:szCs w:val="20"/>
                <w:lang w:eastAsia="es-PE"/>
              </w:rPr>
              <w:t>x2/gl</w:t>
            </w:r>
          </w:p>
        </w:tc>
        <w:tc>
          <w:tcPr>
            <w:tcW w:w="539" w:type="pct"/>
            <w:tcBorders>
              <w:top w:val="single" w:sz="4" w:space="0" w:color="auto"/>
              <w:bottom w:val="single" w:sz="4" w:space="0" w:color="auto"/>
            </w:tcBorders>
            <w:shd w:val="clear" w:color="auto" w:fill="auto"/>
            <w:noWrap/>
            <w:vAlign w:val="center"/>
            <w:hideMark/>
          </w:tcPr>
          <w:p w14:paraId="03D53AF8" w14:textId="77777777" w:rsidR="00432258" w:rsidRPr="00432258" w:rsidRDefault="00432258" w:rsidP="00600296">
            <w:pPr>
              <w:spacing w:line="360" w:lineRule="auto"/>
              <w:jc w:val="center"/>
              <w:rPr>
                <w:color w:val="000000"/>
                <w:sz w:val="20"/>
                <w:szCs w:val="20"/>
                <w:lang w:eastAsia="es-PE"/>
              </w:rPr>
            </w:pPr>
            <w:r w:rsidRPr="00432258">
              <w:rPr>
                <w:color w:val="000000"/>
                <w:sz w:val="20"/>
                <w:szCs w:val="20"/>
                <w:lang w:eastAsia="es-PE"/>
              </w:rPr>
              <w:t>p</w:t>
            </w:r>
          </w:p>
        </w:tc>
        <w:tc>
          <w:tcPr>
            <w:tcW w:w="539" w:type="pct"/>
            <w:tcBorders>
              <w:top w:val="single" w:sz="4" w:space="0" w:color="auto"/>
              <w:bottom w:val="single" w:sz="4" w:space="0" w:color="auto"/>
            </w:tcBorders>
            <w:shd w:val="clear" w:color="auto" w:fill="auto"/>
            <w:noWrap/>
            <w:vAlign w:val="center"/>
            <w:hideMark/>
          </w:tcPr>
          <w:p w14:paraId="2643DDE3" w14:textId="77777777" w:rsidR="00432258" w:rsidRPr="00432258" w:rsidRDefault="00432258" w:rsidP="00600296">
            <w:pPr>
              <w:spacing w:line="360" w:lineRule="auto"/>
              <w:jc w:val="center"/>
              <w:rPr>
                <w:color w:val="000000"/>
                <w:sz w:val="20"/>
                <w:szCs w:val="20"/>
                <w:lang w:eastAsia="es-PE"/>
              </w:rPr>
            </w:pPr>
            <w:r w:rsidRPr="00432258">
              <w:rPr>
                <w:color w:val="000000"/>
                <w:sz w:val="20"/>
                <w:szCs w:val="20"/>
                <w:lang w:eastAsia="es-PE"/>
              </w:rPr>
              <w:t>GFI</w:t>
            </w:r>
          </w:p>
        </w:tc>
        <w:tc>
          <w:tcPr>
            <w:tcW w:w="444" w:type="pct"/>
            <w:tcBorders>
              <w:top w:val="single" w:sz="4" w:space="0" w:color="auto"/>
              <w:bottom w:val="single" w:sz="4" w:space="0" w:color="auto"/>
            </w:tcBorders>
            <w:shd w:val="clear" w:color="auto" w:fill="auto"/>
            <w:noWrap/>
            <w:vAlign w:val="center"/>
            <w:hideMark/>
          </w:tcPr>
          <w:p w14:paraId="14A4243C" w14:textId="77777777" w:rsidR="00432258" w:rsidRPr="00432258" w:rsidRDefault="00432258" w:rsidP="00600296">
            <w:pPr>
              <w:spacing w:line="360" w:lineRule="auto"/>
              <w:jc w:val="center"/>
              <w:rPr>
                <w:color w:val="000000"/>
                <w:sz w:val="20"/>
                <w:szCs w:val="20"/>
                <w:lang w:eastAsia="es-PE"/>
              </w:rPr>
            </w:pPr>
            <w:r w:rsidRPr="00432258">
              <w:rPr>
                <w:color w:val="000000"/>
                <w:sz w:val="20"/>
                <w:szCs w:val="20"/>
                <w:lang w:eastAsia="es-PE"/>
              </w:rPr>
              <w:t>CFI</w:t>
            </w:r>
          </w:p>
        </w:tc>
        <w:tc>
          <w:tcPr>
            <w:tcW w:w="767" w:type="pct"/>
            <w:tcBorders>
              <w:top w:val="single" w:sz="4" w:space="0" w:color="auto"/>
              <w:bottom w:val="single" w:sz="4" w:space="0" w:color="auto"/>
            </w:tcBorders>
            <w:shd w:val="clear" w:color="auto" w:fill="auto"/>
            <w:noWrap/>
            <w:vAlign w:val="center"/>
            <w:hideMark/>
          </w:tcPr>
          <w:p w14:paraId="780ED24F" w14:textId="77777777" w:rsidR="00432258" w:rsidRPr="00432258" w:rsidRDefault="00432258" w:rsidP="00600296">
            <w:pPr>
              <w:spacing w:line="360" w:lineRule="auto"/>
              <w:jc w:val="center"/>
              <w:rPr>
                <w:color w:val="000000"/>
                <w:sz w:val="20"/>
                <w:szCs w:val="20"/>
                <w:lang w:eastAsia="es-PE"/>
              </w:rPr>
            </w:pPr>
            <w:r w:rsidRPr="00432258">
              <w:rPr>
                <w:color w:val="000000"/>
                <w:sz w:val="20"/>
                <w:szCs w:val="20"/>
                <w:lang w:eastAsia="es-PE"/>
              </w:rPr>
              <w:t>RMSEA</w:t>
            </w:r>
          </w:p>
        </w:tc>
      </w:tr>
      <w:tr w:rsidR="00432258" w:rsidRPr="00432258" w14:paraId="0E1C0ED2" w14:textId="77777777" w:rsidTr="00432258">
        <w:trPr>
          <w:trHeight w:val="300"/>
        </w:trPr>
        <w:tc>
          <w:tcPr>
            <w:tcW w:w="1175" w:type="pct"/>
            <w:tcBorders>
              <w:top w:val="single" w:sz="4" w:space="0" w:color="auto"/>
            </w:tcBorders>
            <w:shd w:val="clear" w:color="auto" w:fill="auto"/>
            <w:noWrap/>
            <w:vAlign w:val="center"/>
            <w:hideMark/>
          </w:tcPr>
          <w:p w14:paraId="022817D0" w14:textId="77777777" w:rsidR="00432258" w:rsidRPr="00432258" w:rsidRDefault="00432258" w:rsidP="00600296">
            <w:pPr>
              <w:spacing w:line="360" w:lineRule="auto"/>
              <w:jc w:val="center"/>
              <w:rPr>
                <w:color w:val="000000"/>
                <w:sz w:val="20"/>
                <w:szCs w:val="20"/>
                <w:lang w:eastAsia="es-PE"/>
              </w:rPr>
            </w:pPr>
            <w:r w:rsidRPr="00432258">
              <w:rPr>
                <w:color w:val="000000"/>
                <w:sz w:val="20"/>
                <w:szCs w:val="20"/>
                <w:lang w:eastAsia="es-PE"/>
              </w:rPr>
              <w:t>Modelo</w:t>
            </w:r>
          </w:p>
        </w:tc>
        <w:tc>
          <w:tcPr>
            <w:tcW w:w="635" w:type="pct"/>
            <w:tcBorders>
              <w:top w:val="single" w:sz="4" w:space="0" w:color="auto"/>
            </w:tcBorders>
            <w:shd w:val="clear" w:color="auto" w:fill="auto"/>
            <w:noWrap/>
            <w:vAlign w:val="center"/>
            <w:hideMark/>
          </w:tcPr>
          <w:p w14:paraId="57264953" w14:textId="2E98C419" w:rsidR="00432258" w:rsidRPr="00432258" w:rsidRDefault="00EB73CB" w:rsidP="00600296">
            <w:pPr>
              <w:spacing w:line="360" w:lineRule="auto"/>
              <w:jc w:val="center"/>
              <w:rPr>
                <w:color w:val="000000"/>
                <w:sz w:val="20"/>
                <w:szCs w:val="20"/>
                <w:lang w:eastAsia="es-PE"/>
              </w:rPr>
            </w:pPr>
            <w:r>
              <w:rPr>
                <w:color w:val="000000"/>
                <w:sz w:val="20"/>
                <w:szCs w:val="20"/>
                <w:lang w:eastAsia="es-PE"/>
              </w:rPr>
              <w:t>759.</w:t>
            </w:r>
            <w:r w:rsidR="00432258" w:rsidRPr="00432258">
              <w:rPr>
                <w:color w:val="000000"/>
                <w:sz w:val="20"/>
                <w:szCs w:val="20"/>
                <w:lang w:eastAsia="es-PE"/>
              </w:rPr>
              <w:t>44</w:t>
            </w:r>
          </w:p>
        </w:tc>
        <w:tc>
          <w:tcPr>
            <w:tcW w:w="397" w:type="pct"/>
            <w:tcBorders>
              <w:top w:val="single" w:sz="4" w:space="0" w:color="auto"/>
            </w:tcBorders>
            <w:shd w:val="clear" w:color="auto" w:fill="auto"/>
            <w:noWrap/>
            <w:vAlign w:val="center"/>
            <w:hideMark/>
          </w:tcPr>
          <w:p w14:paraId="72D7C8EC" w14:textId="77777777" w:rsidR="00432258" w:rsidRPr="00432258" w:rsidRDefault="00432258" w:rsidP="00600296">
            <w:pPr>
              <w:spacing w:line="360" w:lineRule="auto"/>
              <w:jc w:val="center"/>
              <w:rPr>
                <w:color w:val="000000"/>
                <w:sz w:val="20"/>
                <w:szCs w:val="20"/>
                <w:lang w:eastAsia="es-PE"/>
              </w:rPr>
            </w:pPr>
            <w:r w:rsidRPr="00432258">
              <w:rPr>
                <w:color w:val="000000"/>
                <w:sz w:val="20"/>
                <w:szCs w:val="20"/>
                <w:lang w:eastAsia="es-PE"/>
              </w:rPr>
              <w:t>396</w:t>
            </w:r>
          </w:p>
        </w:tc>
        <w:tc>
          <w:tcPr>
            <w:tcW w:w="503" w:type="pct"/>
            <w:tcBorders>
              <w:top w:val="single" w:sz="4" w:space="0" w:color="auto"/>
            </w:tcBorders>
            <w:shd w:val="clear" w:color="auto" w:fill="auto"/>
            <w:noWrap/>
            <w:vAlign w:val="center"/>
            <w:hideMark/>
          </w:tcPr>
          <w:p w14:paraId="5B43F96C" w14:textId="67ED969C" w:rsidR="00432258" w:rsidRPr="00432258" w:rsidRDefault="00EB73CB" w:rsidP="00600296">
            <w:pPr>
              <w:spacing w:line="360" w:lineRule="auto"/>
              <w:jc w:val="center"/>
              <w:rPr>
                <w:color w:val="000000"/>
                <w:sz w:val="20"/>
                <w:szCs w:val="20"/>
                <w:lang w:eastAsia="es-PE"/>
              </w:rPr>
            </w:pPr>
            <w:r>
              <w:rPr>
                <w:color w:val="000000"/>
                <w:sz w:val="20"/>
                <w:szCs w:val="20"/>
                <w:lang w:eastAsia="es-PE"/>
              </w:rPr>
              <w:t>1.</w:t>
            </w:r>
            <w:r w:rsidR="00432258" w:rsidRPr="00432258">
              <w:rPr>
                <w:color w:val="000000"/>
                <w:sz w:val="20"/>
                <w:szCs w:val="20"/>
                <w:lang w:eastAsia="es-PE"/>
              </w:rPr>
              <w:t>92</w:t>
            </w:r>
          </w:p>
        </w:tc>
        <w:tc>
          <w:tcPr>
            <w:tcW w:w="539" w:type="pct"/>
            <w:tcBorders>
              <w:top w:val="single" w:sz="4" w:space="0" w:color="auto"/>
            </w:tcBorders>
            <w:shd w:val="clear" w:color="auto" w:fill="auto"/>
            <w:noWrap/>
            <w:vAlign w:val="center"/>
            <w:hideMark/>
          </w:tcPr>
          <w:p w14:paraId="59C48F75" w14:textId="3A46BCBD" w:rsidR="00432258" w:rsidRPr="00432258" w:rsidRDefault="00EB73CB" w:rsidP="00600296">
            <w:pPr>
              <w:spacing w:line="360" w:lineRule="auto"/>
              <w:jc w:val="center"/>
              <w:rPr>
                <w:color w:val="000000"/>
                <w:sz w:val="20"/>
                <w:szCs w:val="20"/>
                <w:lang w:eastAsia="es-PE"/>
              </w:rPr>
            </w:pPr>
            <w:r>
              <w:rPr>
                <w:sz w:val="20"/>
                <w:szCs w:val="20"/>
              </w:rPr>
              <w:t>.</w:t>
            </w:r>
            <w:r w:rsidR="00432258" w:rsidRPr="00432258">
              <w:rPr>
                <w:color w:val="000000"/>
                <w:sz w:val="20"/>
                <w:szCs w:val="20"/>
                <w:lang w:eastAsia="es-PE"/>
              </w:rPr>
              <w:t>000</w:t>
            </w:r>
          </w:p>
        </w:tc>
        <w:tc>
          <w:tcPr>
            <w:tcW w:w="539" w:type="pct"/>
            <w:tcBorders>
              <w:top w:val="single" w:sz="4" w:space="0" w:color="auto"/>
            </w:tcBorders>
            <w:shd w:val="clear" w:color="auto" w:fill="auto"/>
            <w:noWrap/>
            <w:vAlign w:val="center"/>
            <w:hideMark/>
          </w:tcPr>
          <w:p w14:paraId="64C05292" w14:textId="68677E77" w:rsidR="00432258" w:rsidRPr="00432258" w:rsidRDefault="00EB73CB" w:rsidP="00600296">
            <w:pPr>
              <w:spacing w:line="360" w:lineRule="auto"/>
              <w:jc w:val="center"/>
              <w:rPr>
                <w:color w:val="000000"/>
                <w:sz w:val="20"/>
                <w:szCs w:val="20"/>
                <w:lang w:eastAsia="es-PE"/>
              </w:rPr>
            </w:pPr>
            <w:r>
              <w:rPr>
                <w:sz w:val="20"/>
                <w:szCs w:val="20"/>
              </w:rPr>
              <w:t>.</w:t>
            </w:r>
            <w:r w:rsidR="00432258" w:rsidRPr="00432258">
              <w:rPr>
                <w:color w:val="000000"/>
                <w:sz w:val="20"/>
                <w:szCs w:val="20"/>
                <w:lang w:eastAsia="es-PE"/>
              </w:rPr>
              <w:t>836</w:t>
            </w:r>
          </w:p>
        </w:tc>
        <w:tc>
          <w:tcPr>
            <w:tcW w:w="444" w:type="pct"/>
            <w:tcBorders>
              <w:top w:val="single" w:sz="4" w:space="0" w:color="auto"/>
            </w:tcBorders>
            <w:shd w:val="clear" w:color="auto" w:fill="auto"/>
            <w:noWrap/>
            <w:vAlign w:val="center"/>
            <w:hideMark/>
          </w:tcPr>
          <w:p w14:paraId="412C876D" w14:textId="2149D2BD" w:rsidR="00432258" w:rsidRPr="00432258" w:rsidRDefault="00EB73CB" w:rsidP="00600296">
            <w:pPr>
              <w:spacing w:line="360" w:lineRule="auto"/>
              <w:jc w:val="center"/>
              <w:rPr>
                <w:color w:val="000000"/>
                <w:sz w:val="20"/>
                <w:szCs w:val="20"/>
                <w:lang w:eastAsia="es-PE"/>
              </w:rPr>
            </w:pPr>
            <w:r>
              <w:rPr>
                <w:sz w:val="20"/>
                <w:szCs w:val="20"/>
              </w:rPr>
              <w:t>.</w:t>
            </w:r>
            <w:r w:rsidR="00432258" w:rsidRPr="00432258">
              <w:rPr>
                <w:color w:val="000000"/>
                <w:sz w:val="20"/>
                <w:szCs w:val="20"/>
                <w:lang w:eastAsia="es-PE"/>
              </w:rPr>
              <w:t>907</w:t>
            </w:r>
          </w:p>
        </w:tc>
        <w:tc>
          <w:tcPr>
            <w:tcW w:w="767" w:type="pct"/>
            <w:tcBorders>
              <w:top w:val="single" w:sz="4" w:space="0" w:color="auto"/>
            </w:tcBorders>
            <w:shd w:val="clear" w:color="auto" w:fill="auto"/>
            <w:noWrap/>
            <w:vAlign w:val="center"/>
            <w:hideMark/>
          </w:tcPr>
          <w:p w14:paraId="64543903" w14:textId="55269A75" w:rsidR="00432258" w:rsidRPr="00432258" w:rsidRDefault="00EB73CB" w:rsidP="00600296">
            <w:pPr>
              <w:spacing w:line="360" w:lineRule="auto"/>
              <w:jc w:val="center"/>
              <w:rPr>
                <w:color w:val="000000"/>
                <w:sz w:val="20"/>
                <w:szCs w:val="20"/>
                <w:lang w:eastAsia="es-PE"/>
              </w:rPr>
            </w:pPr>
            <w:r>
              <w:rPr>
                <w:sz w:val="20"/>
                <w:szCs w:val="20"/>
              </w:rPr>
              <w:t>.</w:t>
            </w:r>
            <w:r w:rsidR="00432258" w:rsidRPr="00432258">
              <w:rPr>
                <w:color w:val="000000"/>
                <w:sz w:val="20"/>
                <w:szCs w:val="20"/>
                <w:lang w:eastAsia="es-PE"/>
              </w:rPr>
              <w:t>061</w:t>
            </w:r>
          </w:p>
        </w:tc>
      </w:tr>
    </w:tbl>
    <w:p w14:paraId="657142E3" w14:textId="77777777" w:rsidR="00432258" w:rsidRPr="005C4BAF" w:rsidRDefault="00432258" w:rsidP="00432258">
      <w:pPr>
        <w:spacing w:after="100" w:afterAutospacing="1" w:line="360" w:lineRule="auto"/>
        <w:jc w:val="both"/>
        <w:rPr>
          <w:rFonts w:ascii="Arial" w:hAnsi="Arial" w:cs="Arial"/>
        </w:rPr>
      </w:pPr>
    </w:p>
    <w:p w14:paraId="04D3B0DA" w14:textId="77777777" w:rsidR="00EB73CB" w:rsidRPr="005C4BAF" w:rsidRDefault="00EB73CB" w:rsidP="00EB73CB">
      <w:pPr>
        <w:rPr>
          <w:rFonts w:ascii="Arial" w:hAnsi="Arial" w:cs="Arial"/>
        </w:rPr>
      </w:pPr>
      <w:r w:rsidRPr="005C4BAF">
        <w:rPr>
          <w:rFonts w:ascii="Arial" w:hAnsi="Arial" w:cs="Arial"/>
          <w:noProof/>
          <w:lang w:val="es-PE" w:eastAsia="es-PE"/>
        </w:rPr>
        <w:lastRenderedPageBreak/>
        <w:drawing>
          <wp:inline distT="0" distB="0" distL="0" distR="0" wp14:anchorId="1B199E62" wp14:editId="40DDC495">
            <wp:extent cx="5400040" cy="37306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3730625"/>
                    </a:xfrm>
                    <a:prstGeom prst="rect">
                      <a:avLst/>
                    </a:prstGeom>
                  </pic:spPr>
                </pic:pic>
              </a:graphicData>
            </a:graphic>
          </wp:inline>
        </w:drawing>
      </w:r>
    </w:p>
    <w:p w14:paraId="483457D0" w14:textId="4D0012E4" w:rsidR="00EB73CB" w:rsidRPr="005C4BAF" w:rsidRDefault="00EB73CB" w:rsidP="00EB73CB">
      <w:pPr>
        <w:jc w:val="center"/>
        <w:rPr>
          <w:rFonts w:ascii="Arial" w:hAnsi="Arial" w:cs="Arial"/>
          <w:color w:val="000000" w:themeColor="text1"/>
        </w:rPr>
      </w:pPr>
      <w:r w:rsidRPr="00EB73CB">
        <w:rPr>
          <w:i/>
          <w:sz w:val="20"/>
          <w:szCs w:val="20"/>
        </w:rPr>
        <w:t>Figura 1</w:t>
      </w:r>
      <w:r>
        <w:rPr>
          <w:i/>
          <w:sz w:val="20"/>
          <w:szCs w:val="20"/>
        </w:rPr>
        <w:t>.</w:t>
      </w:r>
      <w:r w:rsidRPr="00EB73CB">
        <w:rPr>
          <w:sz w:val="20"/>
          <w:szCs w:val="20"/>
        </w:rPr>
        <w:t xml:space="preserve"> </w:t>
      </w:r>
      <w:r w:rsidRPr="00EB73CB">
        <w:rPr>
          <w:color w:val="000000" w:themeColor="text1"/>
          <w:sz w:val="20"/>
          <w:szCs w:val="20"/>
        </w:rPr>
        <w:t>Estructura factorial del modelo explicativo</w:t>
      </w:r>
      <w:r w:rsidRPr="005C4BAF">
        <w:rPr>
          <w:rFonts w:ascii="Arial" w:hAnsi="Arial" w:cs="Arial"/>
          <w:color w:val="000000" w:themeColor="text1"/>
        </w:rPr>
        <w:t>.</w:t>
      </w:r>
    </w:p>
    <w:p w14:paraId="220C813D" w14:textId="4DE1A74C" w:rsidR="00CE7D65" w:rsidRPr="00CA7992" w:rsidRDefault="00EB73CB" w:rsidP="00CE7D65">
      <w:pPr>
        <w:pStyle w:val="Ttulosinternos"/>
        <w:rPr>
          <w:lang w:val="es-419"/>
        </w:rPr>
      </w:pPr>
      <w:r>
        <w:rPr>
          <w:lang w:val="es-419"/>
        </w:rPr>
        <w:t>Discusió</w:t>
      </w:r>
      <w:r w:rsidR="00CE7D65" w:rsidRPr="00CA7992">
        <w:rPr>
          <w:lang w:val="es-419"/>
        </w:rPr>
        <w:t>n</w:t>
      </w:r>
    </w:p>
    <w:p w14:paraId="4A0E5306" w14:textId="048A48F4" w:rsidR="00EB73CB" w:rsidRPr="00EB73CB" w:rsidRDefault="00EB73CB" w:rsidP="00EB73CB">
      <w:pPr>
        <w:pStyle w:val="Prrafocomn"/>
        <w:rPr>
          <w:lang w:val="es-419"/>
        </w:rPr>
      </w:pPr>
      <w:r w:rsidRPr="00EB73CB">
        <w:rPr>
          <w:lang w:val="es-419"/>
        </w:rPr>
        <w:t>En la actualidad, gran parte de la población mundial posee un teléfono inteligente, de esa manera accediendo desmesuradamente a diferentes redes sociales, en las parejas, ello conlleva a ignorar a la otra persona y/o creando conflicto a causa del uso excesivo del celular, de esa manera afectando significativamente la comunicación conyugal</w:t>
      </w:r>
      <w:r w:rsidR="00667BE1">
        <w:rPr>
          <w:lang w:val="es-419"/>
        </w:rPr>
        <w:t xml:space="preserve"> (Cizmeci, 2017). </w:t>
      </w:r>
      <w:r w:rsidRPr="00EB73CB">
        <w:rPr>
          <w:lang w:val="es-419"/>
        </w:rPr>
        <w:t>Por ello, el objetivo del estudio fue determinar si la adicción a Facebook, Phubbing y conflictos por causa del celular predicen la calidad de la comunicación conyugal en adultos peruanos.</w:t>
      </w:r>
    </w:p>
    <w:p w14:paraId="2293F482" w14:textId="7520DF74" w:rsidR="00EB73CB" w:rsidRPr="00EB73CB" w:rsidRDefault="00EB73CB" w:rsidP="00EB73CB">
      <w:pPr>
        <w:pStyle w:val="Prrafocomn"/>
        <w:rPr>
          <w:lang w:val="es-419"/>
        </w:rPr>
      </w:pPr>
      <w:r w:rsidRPr="00EB73CB">
        <w:rPr>
          <w:lang w:val="es-419"/>
        </w:rPr>
        <w:t>Conforme a la exploración de la literatura, las evidencias del estudio corroboran la hipótesis, dado que, predijeron baja y moderadamente a la variable en investigación. Al igual que este estudio, se ha informado que la relación entre las diferentes variantes de comunicación conyugal presenta vínculos poco relacionales con el abuso a redes sociales</w:t>
      </w:r>
      <w:r w:rsidR="00667BE1">
        <w:rPr>
          <w:lang w:val="es-419"/>
        </w:rPr>
        <w:t xml:space="preserve"> </w:t>
      </w:r>
      <w:r w:rsidRPr="00EB73CB">
        <w:rPr>
          <w:lang w:val="es-419"/>
        </w:rPr>
        <w:t>(Norton &amp; Baptist, 2014; Saeed, 2018) y relaciones moderados de los conflictos por causa de celular y la comunicación conyugal en otra investigación</w:t>
      </w:r>
      <w:r w:rsidR="00667BE1">
        <w:rPr>
          <w:lang w:val="es-419"/>
        </w:rPr>
        <w:t xml:space="preserve"> (Servies, 2012). </w:t>
      </w:r>
      <w:r w:rsidRPr="00EB73CB">
        <w:rPr>
          <w:lang w:val="es-419"/>
        </w:rPr>
        <w:t>Por último, se hallaron antecedentes regresionales para el</w:t>
      </w:r>
      <w:r w:rsidR="00667BE1">
        <w:rPr>
          <w:lang w:val="es-419"/>
        </w:rPr>
        <w:t xml:space="preserve"> phubbing y comunicación social </w:t>
      </w:r>
      <w:r w:rsidRPr="00EB73CB">
        <w:rPr>
          <w:lang w:val="es-419"/>
        </w:rPr>
        <w:t>(Chotpitayasunondh &amp; Douglas, 2018)</w:t>
      </w:r>
      <w:r w:rsidR="00667BE1">
        <w:rPr>
          <w:lang w:val="es-419"/>
        </w:rPr>
        <w:t>.</w:t>
      </w:r>
    </w:p>
    <w:p w14:paraId="2117E536" w14:textId="7F4417B9" w:rsidR="00EB73CB" w:rsidRPr="00EB73CB" w:rsidRDefault="00EB73CB" w:rsidP="00EB73CB">
      <w:pPr>
        <w:pStyle w:val="Prrafocomn"/>
        <w:rPr>
          <w:lang w:val="es-419"/>
        </w:rPr>
      </w:pPr>
      <w:r w:rsidRPr="00EB73CB">
        <w:rPr>
          <w:lang w:val="es-419"/>
        </w:rPr>
        <w:lastRenderedPageBreak/>
        <w:t>El uso de las redes sociales afecta a los conflictos por causa del celular, es decir, la constante rutina de encontrarse en las redes sociales por medio del celular, propiciaría en las parejas un distanciamiento en la interacción, el cual se da por la poca o nula presencia física con la famili</w:t>
      </w:r>
      <w:r w:rsidR="00667BE1">
        <w:rPr>
          <w:lang w:val="es-419"/>
        </w:rPr>
        <w:t xml:space="preserve">a o con los amigos más cercanos </w:t>
      </w:r>
      <w:r w:rsidRPr="00EB73CB">
        <w:rPr>
          <w:lang w:val="es-419"/>
        </w:rPr>
        <w:t>(Kerkhof et al., 2011; M</w:t>
      </w:r>
      <w:r w:rsidR="00667BE1">
        <w:rPr>
          <w:lang w:val="es-419"/>
        </w:rPr>
        <w:t xml:space="preserve">iller-Ott et al., 2012). </w:t>
      </w:r>
      <w:r w:rsidRPr="00EB73CB">
        <w:rPr>
          <w:lang w:val="es-419"/>
        </w:rPr>
        <w:t>Añadido a ello, cuando el comportamiento se hace más excesivo y crónico a causa del uso constante de las redes sociales, ello afectaría significativamente a la relación conyugal, debido a la presencia inicial de celos, falta de comunicación, reducción de la confianza hacia la otra persona y falta de empatía; conl</w:t>
      </w:r>
      <w:r w:rsidR="00667BE1">
        <w:rPr>
          <w:lang w:val="es-419"/>
        </w:rPr>
        <w:t xml:space="preserve">levando a un declive relacional </w:t>
      </w:r>
      <w:r w:rsidRPr="00EB73CB">
        <w:rPr>
          <w:lang w:val="es-419"/>
        </w:rPr>
        <w:t>(Lin &amp; Utz, 2015)</w:t>
      </w:r>
      <w:r w:rsidR="00667BE1">
        <w:rPr>
          <w:lang w:val="es-419"/>
        </w:rPr>
        <w:t>.</w:t>
      </w:r>
    </w:p>
    <w:p w14:paraId="2CC1151F" w14:textId="11A7A326" w:rsidR="00EB73CB" w:rsidRPr="00EB73CB" w:rsidRDefault="00EB73CB" w:rsidP="00EB73CB">
      <w:pPr>
        <w:pStyle w:val="Prrafocomn"/>
        <w:rPr>
          <w:lang w:val="es-419"/>
        </w:rPr>
      </w:pPr>
      <w:r w:rsidRPr="00EB73CB">
        <w:rPr>
          <w:lang w:val="es-419"/>
        </w:rPr>
        <w:t>En segundo lugar, ¿Cómo podría predecir los conflictos del celular a la dependencia al móvil (Phubbing) en parejas? En el concepto de Villanueva et al.</w:t>
      </w:r>
      <w:r w:rsidR="00667BE1">
        <w:rPr>
          <w:lang w:val="es-419"/>
        </w:rPr>
        <w:t xml:space="preserve"> (</w:t>
      </w:r>
      <w:r w:rsidRPr="00EB73CB">
        <w:rPr>
          <w:lang w:val="es-419"/>
        </w:rPr>
        <w:t>2012) la comunicación conyugal implica la producción, emisión y procesamiento de mensajes verbales y no verbales que permiten compartir significados entre personas; de esa manera, orientan las pautas de interacción durante la relación conyugal. Entonces, esa emisión de información en el pasado por medio de los teléfonos fijos o de cada eran llamadas más duraderas, debido a que solo se debía a una ocasión especial, en cambio, hoy en día los teléfonos móviles permiten in</w:t>
      </w:r>
      <w:r w:rsidR="00667BE1">
        <w:rPr>
          <w:lang w:val="es-419"/>
        </w:rPr>
        <w:t xml:space="preserve">teracciones breves y frecuentes </w:t>
      </w:r>
      <w:r w:rsidRPr="00EB73CB">
        <w:rPr>
          <w:lang w:val="es-419"/>
        </w:rPr>
        <w:t>(Przybylski &amp; Weinste</w:t>
      </w:r>
      <w:r w:rsidR="00667BE1">
        <w:rPr>
          <w:lang w:val="es-419"/>
        </w:rPr>
        <w:t xml:space="preserve">in, 2013; Rotondi et al., 2017). </w:t>
      </w:r>
      <w:r w:rsidRPr="00EB73CB">
        <w:rPr>
          <w:lang w:val="es-419"/>
        </w:rPr>
        <w:t>Esta superficialidad comunicacional añadido al uso excesivo del móvil, no permite la influencia recíproca de experiencias, pensamientos y sentimientos entre la pareja, dado que el diálogo continuo que la tecnología ofrece elimina de lle</w:t>
      </w:r>
      <w:r w:rsidR="00667BE1">
        <w:rPr>
          <w:lang w:val="es-419"/>
        </w:rPr>
        <w:t xml:space="preserve">no toda opción de espontaneidad </w:t>
      </w:r>
      <w:r w:rsidRPr="00EB73CB">
        <w:rPr>
          <w:lang w:val="es-419"/>
        </w:rPr>
        <w:t>(Kuss et al., 2018</w:t>
      </w:r>
      <w:r w:rsidR="00667BE1">
        <w:rPr>
          <w:lang w:val="es-419"/>
        </w:rPr>
        <w:t xml:space="preserve">; B. T. McDaniel &amp; Coyne, 2016). </w:t>
      </w:r>
      <w:r w:rsidRPr="00EB73CB">
        <w:rPr>
          <w:lang w:val="es-419"/>
        </w:rPr>
        <w:t>Por lo tanto, los conflictos que ocasiona una dependencia al móvil producirían dos cosas en la comunicación conyugal, o bien una excesiva atención debido a llamadas, mensajes de textos y/o control excesivo, o ignorar totalmente a la pareja por concentrarse en la tecnología móvil, tableta, PC por</w:t>
      </w:r>
      <w:r w:rsidR="00667BE1">
        <w:rPr>
          <w:lang w:val="es-419"/>
        </w:rPr>
        <w:t xml:space="preserve">tátil u otro objeto inteligente </w:t>
      </w:r>
      <w:r w:rsidRPr="00EB73CB">
        <w:rPr>
          <w:lang w:val="es-419"/>
        </w:rPr>
        <w:t>(González-Rivera et al., 2018)</w:t>
      </w:r>
      <w:r w:rsidR="00667BE1">
        <w:rPr>
          <w:lang w:val="es-419"/>
        </w:rPr>
        <w:t>.</w:t>
      </w:r>
    </w:p>
    <w:p w14:paraId="06540B33" w14:textId="0542D8F7" w:rsidR="00EB73CB" w:rsidRPr="00EB73CB" w:rsidRDefault="00EB73CB" w:rsidP="00EB73CB">
      <w:pPr>
        <w:pStyle w:val="Prrafocomn"/>
        <w:rPr>
          <w:lang w:val="es-419"/>
        </w:rPr>
      </w:pPr>
      <w:r w:rsidRPr="00EB73CB">
        <w:rPr>
          <w:lang w:val="es-419"/>
        </w:rPr>
        <w:t xml:space="preserve">En relación a lo anterior, se determinó que el uso de las redes sociales, los conflictos del celular y la dependencia al móvil predicen a la comunicación conyugal, sin embargo, los resultados predictivos fueron de un bajo impacto en la variable, ello podría deberse al momento de correlacionar errores para la obtención de un adecuado modelo de AFC (Ver figura 1), sin embargo, su aplicación es justificable, dado que, las relaciones predictivas contienen sustento teórico y empírico, el cual fundamentan que en las parejas, la comunicación conyugal predice y está relacionada con el uso de las redes sociales (Facebook), los conflictos del celular y la </w:t>
      </w:r>
      <w:r w:rsidR="008E7779">
        <w:rPr>
          <w:lang w:val="es-419"/>
        </w:rPr>
        <w:t xml:space="preserve">dependencia al móvil (Phubbing) </w:t>
      </w:r>
      <w:r w:rsidRPr="00EB73CB">
        <w:rPr>
          <w:lang w:val="es-419"/>
        </w:rPr>
        <w:t xml:space="preserve">(Chotpitayasunondh &amp; Douglas, 2018; González-Rivera et al., </w:t>
      </w:r>
      <w:r w:rsidRPr="00EB73CB">
        <w:rPr>
          <w:lang w:val="es-419"/>
        </w:rPr>
        <w:lastRenderedPageBreak/>
        <w:t>2018; Roberts &amp; David, 2016; Ryan et al., 2014)</w:t>
      </w:r>
      <w:r w:rsidR="008E7779">
        <w:rPr>
          <w:lang w:val="es-419"/>
        </w:rPr>
        <w:t>.</w:t>
      </w:r>
      <w:r w:rsidRPr="00EB73CB">
        <w:rPr>
          <w:lang w:val="es-419"/>
        </w:rPr>
        <w:t xml:space="preserve"> Por lo tanto, el modelo no se respecificó únicamente para mejo</w:t>
      </w:r>
      <w:r w:rsidR="008E7779">
        <w:rPr>
          <w:lang w:val="es-419"/>
        </w:rPr>
        <w:t xml:space="preserve">rar los índices de modificación </w:t>
      </w:r>
      <w:r w:rsidRPr="00EB73CB">
        <w:rPr>
          <w:lang w:val="es-419"/>
        </w:rPr>
        <w:t>(Kim et al., 2015)</w:t>
      </w:r>
      <w:r w:rsidR="008E7779">
        <w:rPr>
          <w:lang w:val="es-419"/>
        </w:rPr>
        <w:t>.</w:t>
      </w:r>
    </w:p>
    <w:p w14:paraId="613E5B33" w14:textId="66047EA0" w:rsidR="00EB73CB" w:rsidRPr="00EB73CB" w:rsidRDefault="00EB73CB" w:rsidP="00EB73CB">
      <w:pPr>
        <w:pStyle w:val="Prrafocomn"/>
        <w:rPr>
          <w:lang w:val="es-419"/>
        </w:rPr>
      </w:pPr>
      <w:r w:rsidRPr="00EB73CB">
        <w:rPr>
          <w:lang w:val="es-419"/>
        </w:rPr>
        <w:t>Las limitaciones del estudio residen en que las relaciones predictivas se extrajeron de parejas que no se conoce su tiempo de relación, asimismo, el porcentaje de participación de zonas provinciales fue menor en comparación a la zona metropolitana. Por tanto, los resultados de la investigación no son aplicable a parejas de lugares rurales y tampoco sabemos si la edad de relación marca diferencias significativas en base a las relaciones predictivas. Por otro lado, la recolección de datos se dio mediante escalas psicológicas, el cual siempre existe el riesgo que al momento de responder este se dé mediante un recuerdo sesg</w:t>
      </w:r>
      <w:r w:rsidR="008E7779">
        <w:rPr>
          <w:lang w:val="es-419"/>
        </w:rPr>
        <w:t xml:space="preserve">ado u poco recordado </w:t>
      </w:r>
      <w:r w:rsidRPr="00EB73CB">
        <w:rPr>
          <w:lang w:val="es-419"/>
        </w:rPr>
        <w:t>(Althubaiti, 2016; Rosenman et al., 2011)</w:t>
      </w:r>
      <w:r w:rsidR="008E7779">
        <w:rPr>
          <w:lang w:val="es-419"/>
        </w:rPr>
        <w:t>.</w:t>
      </w:r>
    </w:p>
    <w:p w14:paraId="1017BF95" w14:textId="77777777" w:rsidR="008E7779" w:rsidRDefault="00EB73CB" w:rsidP="00EB73CB">
      <w:pPr>
        <w:pStyle w:val="Prrafocomn"/>
        <w:rPr>
          <w:lang w:val="es-419"/>
        </w:rPr>
      </w:pPr>
      <w:r w:rsidRPr="00EB73CB">
        <w:rPr>
          <w:lang w:val="es-419"/>
        </w:rPr>
        <w:t>Por otro lado, se propone mayor investigación sobre la comunicación conyugal, porque es una variable importante al momento de comprender l</w:t>
      </w:r>
      <w:r w:rsidR="008E7779">
        <w:rPr>
          <w:lang w:val="es-419"/>
        </w:rPr>
        <w:t xml:space="preserve">a otra perspectiva de la pareja </w:t>
      </w:r>
      <w:r w:rsidRPr="00EB73CB">
        <w:rPr>
          <w:lang w:val="es-419"/>
        </w:rPr>
        <w:t>(Barón &amp; Tamargo, 2020)</w:t>
      </w:r>
      <w:r w:rsidR="008E7779">
        <w:rPr>
          <w:lang w:val="es-419"/>
        </w:rPr>
        <w:t>,</w:t>
      </w:r>
      <w:r w:rsidRPr="00EB73CB">
        <w:rPr>
          <w:lang w:val="es-419"/>
        </w:rPr>
        <w:t xml:space="preserve"> asimismo, es la oportunidad de conocer qué tan tolerante, vulnerable e inmaduro; somos al momento de reaccionar de una manera inadecuada a las dificultades. Una adecuada comunicación conyugal descarta todo acto de menosprecio, indiferencia e insultos, de esa manera resolviendo adecuadamente las dificultades que son propiciadas en gran medida por perspectivas diferentes dentro de la pareja, y que solo son entendidas cuando existe una adecuada comunicación entre las partes.</w:t>
      </w:r>
    </w:p>
    <w:p w14:paraId="13FA8237" w14:textId="696C8A63" w:rsidR="007E3B8D" w:rsidRPr="00CA7992" w:rsidRDefault="008E7779" w:rsidP="00EB73CB">
      <w:pPr>
        <w:pStyle w:val="Prrafocomn"/>
        <w:rPr>
          <w:lang w:val="es-419"/>
        </w:rPr>
      </w:pPr>
      <w:r w:rsidRPr="008E7779">
        <w:rPr>
          <w:lang w:val="es-419"/>
        </w:rPr>
        <w:t>Se concluye que mantener una adicción a la red social Facebook, tener conflictos con la pareja a causa del uso</w:t>
      </w:r>
      <w:r w:rsidRPr="008E7779">
        <w:rPr>
          <w:lang w:val="es-419"/>
        </w:rPr>
        <w:tab/>
        <w:t>del celular y prestar más atención al celular que a la pareja (Phubbing) explican significativamente la calidad de la comunicación conyugal en parejas peruanas durante el confinamiento a causa de la Pandemia COVID-19. Implicaciones derivadas de estas conclusiones orientan a considerar estas evidencias como útiles para la práctica psicoterapéutica y en la investigación familiar o de pareja.</w:t>
      </w:r>
      <w:r w:rsidR="007E3B8D" w:rsidRPr="00CA7992">
        <w:rPr>
          <w:lang w:val="es-419"/>
        </w:rPr>
        <w:br w:type="page"/>
      </w:r>
    </w:p>
    <w:p w14:paraId="6CD8B4A8" w14:textId="6D61147B" w:rsidR="006F7E7E" w:rsidRPr="00CA7992" w:rsidRDefault="00956C8D" w:rsidP="007A7CDC">
      <w:pPr>
        <w:pStyle w:val="Ttulosinternos"/>
        <w:rPr>
          <w:lang w:val="es-419"/>
        </w:rPr>
      </w:pPr>
      <w:r>
        <w:rPr>
          <w:lang w:val="es-419"/>
        </w:rPr>
        <w:lastRenderedPageBreak/>
        <w:t>Referencia</w:t>
      </w:r>
      <w:r w:rsidR="00CE7D65" w:rsidRPr="00CA7992">
        <w:rPr>
          <w:lang w:val="es-419"/>
        </w:rPr>
        <w:t>s</w:t>
      </w:r>
      <w:bookmarkStart w:id="0" w:name="_GoBack"/>
      <w:bookmarkEnd w:id="0"/>
    </w:p>
    <w:p w14:paraId="0283CD90" w14:textId="77777777" w:rsidR="00122A6B" w:rsidRPr="00122A6B" w:rsidRDefault="00122A6B" w:rsidP="00122A6B">
      <w:pPr>
        <w:widowControl w:val="0"/>
        <w:autoSpaceDE w:val="0"/>
        <w:autoSpaceDN w:val="0"/>
        <w:adjustRightInd w:val="0"/>
        <w:ind w:left="480" w:hanging="480"/>
        <w:rPr>
          <w:noProof/>
        </w:rPr>
      </w:pPr>
      <w:r w:rsidRPr="00122A6B">
        <w:rPr>
          <w:b/>
          <w:lang w:val="en-US"/>
        </w:rPr>
        <w:fldChar w:fldCharType="begin" w:fldLock="1"/>
      </w:r>
      <w:r w:rsidRPr="00122A6B">
        <w:rPr>
          <w:b/>
          <w:lang w:val="en-US"/>
        </w:rPr>
        <w:instrText xml:space="preserve">ADDIN Mendeley Bibliography CSL_BIBLIOGRAPHY </w:instrText>
      </w:r>
      <w:r w:rsidRPr="00122A6B">
        <w:rPr>
          <w:b/>
          <w:lang w:val="en-US"/>
        </w:rPr>
        <w:fldChar w:fldCharType="separate"/>
      </w:r>
      <w:r w:rsidRPr="00122A6B">
        <w:rPr>
          <w:noProof/>
        </w:rPr>
        <w:t xml:space="preserve">Althubaiti, A. (2016). Information bias in health research: Definition, pitfalls, and adjustment methods. </w:t>
      </w:r>
      <w:r w:rsidRPr="00122A6B">
        <w:rPr>
          <w:i/>
          <w:iCs/>
          <w:noProof/>
        </w:rPr>
        <w:t>Journal of Multidisciplinary Healthcare</w:t>
      </w:r>
      <w:r w:rsidRPr="00122A6B">
        <w:rPr>
          <w:noProof/>
        </w:rPr>
        <w:t xml:space="preserve">, </w:t>
      </w:r>
      <w:r w:rsidRPr="00122A6B">
        <w:rPr>
          <w:i/>
          <w:iCs/>
          <w:noProof/>
        </w:rPr>
        <w:t>9</w:t>
      </w:r>
      <w:r w:rsidRPr="00122A6B">
        <w:rPr>
          <w:noProof/>
        </w:rPr>
        <w:t>, 211–217. https://doi.org/10.2147/JMDH.S104807</w:t>
      </w:r>
    </w:p>
    <w:p w14:paraId="1571C849" w14:textId="77777777" w:rsidR="00122A6B" w:rsidRPr="00122A6B" w:rsidRDefault="00122A6B" w:rsidP="00122A6B">
      <w:pPr>
        <w:widowControl w:val="0"/>
        <w:autoSpaceDE w:val="0"/>
        <w:autoSpaceDN w:val="0"/>
        <w:adjustRightInd w:val="0"/>
        <w:ind w:left="480" w:hanging="480"/>
        <w:rPr>
          <w:noProof/>
        </w:rPr>
      </w:pPr>
      <w:r w:rsidRPr="00122A6B">
        <w:rPr>
          <w:noProof/>
        </w:rPr>
        <w:t xml:space="preserve">Ang, C.-S., Teo, K.-M., Ong, Y.-L., &amp; Siak, S.-L. (2019). Investigation of a Preliminary Mixed Method of Phubbing and Social Connectedness in Adolescents. </w:t>
      </w:r>
      <w:r w:rsidRPr="00122A6B">
        <w:rPr>
          <w:i/>
          <w:iCs/>
          <w:noProof/>
        </w:rPr>
        <w:t>Addiction &amp; Health</w:t>
      </w:r>
      <w:r w:rsidRPr="00122A6B">
        <w:rPr>
          <w:noProof/>
        </w:rPr>
        <w:t xml:space="preserve">, </w:t>
      </w:r>
      <w:r w:rsidRPr="00122A6B">
        <w:rPr>
          <w:i/>
          <w:iCs/>
          <w:noProof/>
        </w:rPr>
        <w:t>11</w:t>
      </w:r>
      <w:r w:rsidRPr="00122A6B">
        <w:rPr>
          <w:noProof/>
        </w:rPr>
        <w:t>(1), 1–10. https://doi.org/10.22122/ahj.v11i1.539</w:t>
      </w:r>
    </w:p>
    <w:p w14:paraId="491D4A20" w14:textId="70CA69E7" w:rsidR="00122A6B" w:rsidRPr="00122A6B" w:rsidRDefault="00122A6B" w:rsidP="00122A6B">
      <w:pPr>
        <w:widowControl w:val="0"/>
        <w:autoSpaceDE w:val="0"/>
        <w:autoSpaceDN w:val="0"/>
        <w:adjustRightInd w:val="0"/>
        <w:ind w:left="480" w:hanging="480"/>
        <w:rPr>
          <w:noProof/>
        </w:rPr>
      </w:pPr>
      <w:r w:rsidRPr="00122A6B">
        <w:rPr>
          <w:noProof/>
        </w:rPr>
        <w:t xml:space="preserve">Antezana, C., &amp; Alfaro, A. (2019). Adicción a las redes sociales y satisfacción marital: Un es- tudio correlacional en parejas Paceñas. </w:t>
      </w:r>
      <w:r w:rsidRPr="00122A6B">
        <w:rPr>
          <w:i/>
          <w:iCs/>
          <w:noProof/>
        </w:rPr>
        <w:t>Fides et Ratio - Revista de Difusión Cultural y Científica de La Universidad La Salle En Bolivia</w:t>
      </w:r>
      <w:r w:rsidRPr="00122A6B">
        <w:rPr>
          <w:noProof/>
        </w:rPr>
        <w:t xml:space="preserve">, </w:t>
      </w:r>
      <w:r w:rsidRPr="00122A6B">
        <w:rPr>
          <w:i/>
          <w:iCs/>
          <w:noProof/>
        </w:rPr>
        <w:t>18</w:t>
      </w:r>
      <w:r w:rsidRPr="00122A6B">
        <w:rPr>
          <w:noProof/>
        </w:rPr>
        <w:t xml:space="preserve">(18), 91–110. </w:t>
      </w:r>
      <w:r w:rsidR="00B1474C">
        <w:rPr>
          <w:noProof/>
        </w:rPr>
        <w:t xml:space="preserve">Recuperado de </w:t>
      </w:r>
      <w:r w:rsidRPr="00122A6B">
        <w:rPr>
          <w:noProof/>
        </w:rPr>
        <w:t>http://www.scielo.org.bo/scielo.php?pid=S2071-081X2019000200006&amp;script=sci_arttext</w:t>
      </w:r>
    </w:p>
    <w:p w14:paraId="03B1818C" w14:textId="1CB2B022" w:rsidR="00122A6B" w:rsidRPr="00122A6B" w:rsidRDefault="00122A6B" w:rsidP="00122A6B">
      <w:pPr>
        <w:widowControl w:val="0"/>
        <w:autoSpaceDE w:val="0"/>
        <w:autoSpaceDN w:val="0"/>
        <w:adjustRightInd w:val="0"/>
        <w:ind w:left="480" w:hanging="480"/>
        <w:rPr>
          <w:noProof/>
        </w:rPr>
      </w:pPr>
      <w:r w:rsidRPr="00122A6B">
        <w:rPr>
          <w:noProof/>
        </w:rPr>
        <w:t xml:space="preserve">Aponte, C., Araoz, R., Medrano, P., Ponce, F., Taboada, R., Velasquez, C., &amp; Pinto, B. (2020). Satisfacción conyugal y riesgo de violencia en parejas durante la cuarentena por la Pandemia del COVID-19 en Bolivia. </w:t>
      </w:r>
      <w:r w:rsidRPr="00122A6B">
        <w:rPr>
          <w:i/>
          <w:iCs/>
          <w:noProof/>
        </w:rPr>
        <w:t>Ajayu Órgano de Difusión Científica Del Departamento de Psicología UCBSP</w:t>
      </w:r>
      <w:r w:rsidRPr="00122A6B">
        <w:rPr>
          <w:noProof/>
        </w:rPr>
        <w:t xml:space="preserve">, </w:t>
      </w:r>
      <w:r w:rsidRPr="00122A6B">
        <w:rPr>
          <w:i/>
          <w:iCs/>
          <w:noProof/>
        </w:rPr>
        <w:t>18</w:t>
      </w:r>
      <w:r w:rsidRPr="00122A6B">
        <w:rPr>
          <w:noProof/>
        </w:rPr>
        <w:t xml:space="preserve">(2), 416–457. </w:t>
      </w:r>
      <w:r w:rsidR="00B1474C">
        <w:rPr>
          <w:noProof/>
        </w:rPr>
        <w:t>Recuperado de</w:t>
      </w:r>
      <w:r w:rsidR="00B1474C" w:rsidRPr="00122A6B">
        <w:rPr>
          <w:noProof/>
        </w:rPr>
        <w:t xml:space="preserve"> </w:t>
      </w:r>
      <w:r w:rsidRPr="00122A6B">
        <w:rPr>
          <w:noProof/>
        </w:rPr>
        <w:t>http://www.scielo.org.bo/pdf/rap/v18n2/v18n2_a05.pdf</w:t>
      </w:r>
    </w:p>
    <w:p w14:paraId="4BC39C1E" w14:textId="232892C6" w:rsidR="00122A6B" w:rsidRPr="00122A6B" w:rsidRDefault="00122A6B" w:rsidP="00122A6B">
      <w:pPr>
        <w:widowControl w:val="0"/>
        <w:autoSpaceDE w:val="0"/>
        <w:autoSpaceDN w:val="0"/>
        <w:adjustRightInd w:val="0"/>
        <w:ind w:left="480" w:hanging="480"/>
        <w:rPr>
          <w:noProof/>
        </w:rPr>
      </w:pPr>
      <w:r w:rsidRPr="00122A6B">
        <w:rPr>
          <w:noProof/>
        </w:rPr>
        <w:t xml:space="preserve">Ato, M., López, J., &amp; Benavente, A. (2013). Un sistema de clasificación de los diseños de investigación en psicología. </w:t>
      </w:r>
      <w:r w:rsidRPr="00122A6B">
        <w:rPr>
          <w:i/>
          <w:iCs/>
          <w:noProof/>
        </w:rPr>
        <w:t>Anales de Psicología</w:t>
      </w:r>
      <w:r w:rsidRPr="00122A6B">
        <w:rPr>
          <w:noProof/>
        </w:rPr>
        <w:t xml:space="preserve">, </w:t>
      </w:r>
      <w:r w:rsidRPr="00122A6B">
        <w:rPr>
          <w:i/>
          <w:iCs/>
          <w:noProof/>
        </w:rPr>
        <w:t>29</w:t>
      </w:r>
      <w:r w:rsidRPr="00122A6B">
        <w:rPr>
          <w:noProof/>
        </w:rPr>
        <w:t xml:space="preserve">(3), 1038–1059. </w:t>
      </w:r>
      <w:r w:rsidR="00B1474C">
        <w:rPr>
          <w:noProof/>
        </w:rPr>
        <w:t>Recuperado de</w:t>
      </w:r>
      <w:r w:rsidR="00B1474C" w:rsidRPr="00122A6B">
        <w:rPr>
          <w:noProof/>
        </w:rPr>
        <w:t xml:space="preserve"> </w:t>
      </w:r>
      <w:r w:rsidRPr="00122A6B">
        <w:rPr>
          <w:noProof/>
        </w:rPr>
        <w:t>http://scielo.isciii.es/scielo.php?script=sci_arttext&amp;pid=S0212-97282013000300043</w:t>
      </w:r>
    </w:p>
    <w:p w14:paraId="2A4916F2" w14:textId="6551F82B" w:rsidR="00122A6B" w:rsidRPr="00122A6B" w:rsidRDefault="00122A6B" w:rsidP="00122A6B">
      <w:pPr>
        <w:widowControl w:val="0"/>
        <w:autoSpaceDE w:val="0"/>
        <w:autoSpaceDN w:val="0"/>
        <w:adjustRightInd w:val="0"/>
        <w:ind w:left="480" w:hanging="480"/>
        <w:rPr>
          <w:noProof/>
        </w:rPr>
      </w:pPr>
      <w:r w:rsidRPr="00122A6B">
        <w:rPr>
          <w:noProof/>
        </w:rPr>
        <w:t xml:space="preserve">Barón, D., &amp; Tamargo, T. O. (2020). Funcionamiento de las parejas parentales y su relación con los conflictos en familias reconstituidas. </w:t>
      </w:r>
      <w:r w:rsidRPr="00122A6B">
        <w:rPr>
          <w:i/>
          <w:iCs/>
          <w:noProof/>
        </w:rPr>
        <w:t>Rev. Cuba. Salud Pública</w:t>
      </w:r>
      <w:r w:rsidRPr="00122A6B">
        <w:rPr>
          <w:noProof/>
        </w:rPr>
        <w:t xml:space="preserve">, </w:t>
      </w:r>
      <w:r w:rsidRPr="00122A6B">
        <w:rPr>
          <w:i/>
          <w:iCs/>
          <w:noProof/>
        </w:rPr>
        <w:t>46</w:t>
      </w:r>
      <w:r w:rsidRPr="00122A6B">
        <w:rPr>
          <w:noProof/>
        </w:rPr>
        <w:t xml:space="preserve">(1), e1543. </w:t>
      </w:r>
      <w:r w:rsidR="00B1474C">
        <w:rPr>
          <w:noProof/>
        </w:rPr>
        <w:t>Recuperado de</w:t>
      </w:r>
      <w:r w:rsidR="00B1474C" w:rsidRPr="00122A6B">
        <w:rPr>
          <w:noProof/>
        </w:rPr>
        <w:t xml:space="preserve"> </w:t>
      </w:r>
      <w:r w:rsidRPr="00122A6B">
        <w:rPr>
          <w:noProof/>
        </w:rPr>
        <w:t>https://scielosp.org/pdf/rcsp/2020.v46n1/e1543/es</w:t>
      </w:r>
    </w:p>
    <w:p w14:paraId="510218E8" w14:textId="2849C68F" w:rsidR="00122A6B" w:rsidRPr="00122A6B" w:rsidRDefault="00122A6B" w:rsidP="00122A6B">
      <w:pPr>
        <w:widowControl w:val="0"/>
        <w:autoSpaceDE w:val="0"/>
        <w:autoSpaceDN w:val="0"/>
        <w:adjustRightInd w:val="0"/>
        <w:ind w:left="480" w:hanging="480"/>
        <w:rPr>
          <w:noProof/>
        </w:rPr>
      </w:pPr>
      <w:r w:rsidRPr="00122A6B">
        <w:rPr>
          <w:noProof/>
        </w:rPr>
        <w:t xml:space="preserve">Bendayan, R., &amp; Blanca, M. J. (2019). Spanish version of the Facebook Intrusion Questionnaire (FIQ-S). </w:t>
      </w:r>
      <w:r w:rsidRPr="00122A6B">
        <w:rPr>
          <w:i/>
          <w:iCs/>
          <w:noProof/>
        </w:rPr>
        <w:t>Psicothema</w:t>
      </w:r>
      <w:r w:rsidRPr="00122A6B">
        <w:rPr>
          <w:noProof/>
        </w:rPr>
        <w:t xml:space="preserve">, </w:t>
      </w:r>
      <w:r w:rsidRPr="00122A6B">
        <w:rPr>
          <w:i/>
          <w:iCs/>
          <w:noProof/>
        </w:rPr>
        <w:t>31</w:t>
      </w:r>
      <w:r w:rsidRPr="00122A6B">
        <w:rPr>
          <w:noProof/>
        </w:rPr>
        <w:t xml:space="preserve">(2), 204–209. </w:t>
      </w:r>
      <w:r w:rsidR="00B1474C">
        <w:rPr>
          <w:noProof/>
        </w:rPr>
        <w:t>Recuperado de</w:t>
      </w:r>
      <w:r w:rsidR="00B1474C" w:rsidRPr="00122A6B">
        <w:rPr>
          <w:noProof/>
        </w:rPr>
        <w:t xml:space="preserve"> </w:t>
      </w:r>
      <w:r w:rsidRPr="00122A6B">
        <w:rPr>
          <w:noProof/>
        </w:rPr>
        <w:t>http://www.psicothema.com/pdf/4534.pdf</w:t>
      </w:r>
    </w:p>
    <w:p w14:paraId="588251B3" w14:textId="483FF4C4" w:rsidR="00122A6B" w:rsidRPr="00122A6B" w:rsidRDefault="00122A6B" w:rsidP="00122A6B">
      <w:pPr>
        <w:widowControl w:val="0"/>
        <w:autoSpaceDE w:val="0"/>
        <w:autoSpaceDN w:val="0"/>
        <w:adjustRightInd w:val="0"/>
        <w:ind w:left="480" w:hanging="480"/>
        <w:rPr>
          <w:noProof/>
        </w:rPr>
      </w:pPr>
      <w:r w:rsidRPr="00122A6B">
        <w:rPr>
          <w:noProof/>
        </w:rPr>
        <w:t xml:space="preserve">Chotpitayasunondh, V., &amp; Douglas, K. M. (2018). The effects of “phubbing” on social interaction. </w:t>
      </w:r>
      <w:r w:rsidRPr="00122A6B">
        <w:rPr>
          <w:i/>
          <w:iCs/>
          <w:noProof/>
        </w:rPr>
        <w:t>Journal of Applied Social Psychology</w:t>
      </w:r>
      <w:r w:rsidRPr="00122A6B">
        <w:rPr>
          <w:noProof/>
        </w:rPr>
        <w:t xml:space="preserve">, </w:t>
      </w:r>
      <w:r w:rsidRPr="00122A6B">
        <w:rPr>
          <w:i/>
          <w:iCs/>
          <w:noProof/>
        </w:rPr>
        <w:t>48</w:t>
      </w:r>
      <w:r w:rsidRPr="00122A6B">
        <w:rPr>
          <w:noProof/>
        </w:rPr>
        <w:t xml:space="preserve">(6), 304–316. </w:t>
      </w:r>
      <w:r w:rsidR="00B1474C">
        <w:rPr>
          <w:noProof/>
        </w:rPr>
        <w:t>Recuperado de</w:t>
      </w:r>
      <w:r w:rsidR="00B1474C" w:rsidRPr="00122A6B">
        <w:rPr>
          <w:noProof/>
        </w:rPr>
        <w:t xml:space="preserve"> </w:t>
      </w:r>
      <w:r w:rsidRPr="00122A6B">
        <w:rPr>
          <w:noProof/>
        </w:rPr>
        <w:t>https://newyork.cbslocal.com/wp-content/uploads/sites/14578484/2018/04/phub.pdf</w:t>
      </w:r>
    </w:p>
    <w:p w14:paraId="1A851C91" w14:textId="3671084F" w:rsidR="00122A6B" w:rsidRPr="00122A6B" w:rsidRDefault="00122A6B" w:rsidP="00122A6B">
      <w:pPr>
        <w:widowControl w:val="0"/>
        <w:autoSpaceDE w:val="0"/>
        <w:autoSpaceDN w:val="0"/>
        <w:adjustRightInd w:val="0"/>
        <w:ind w:left="480" w:hanging="480"/>
        <w:rPr>
          <w:noProof/>
        </w:rPr>
      </w:pPr>
      <w:r w:rsidRPr="00122A6B">
        <w:rPr>
          <w:noProof/>
        </w:rPr>
        <w:t xml:space="preserve">Cizmeci, E. (2017). Disconnected, Though Satisfied : Pphubbing Behavior and Relationship Satisfaction. </w:t>
      </w:r>
      <w:r w:rsidRPr="00122A6B">
        <w:rPr>
          <w:i/>
          <w:iCs/>
          <w:noProof/>
        </w:rPr>
        <w:t>The Turkish Online Journal of Design, Art and Communication</w:t>
      </w:r>
      <w:r w:rsidRPr="00122A6B">
        <w:rPr>
          <w:noProof/>
        </w:rPr>
        <w:t xml:space="preserve">, </w:t>
      </w:r>
      <w:r w:rsidRPr="00122A6B">
        <w:rPr>
          <w:i/>
          <w:iCs/>
          <w:noProof/>
        </w:rPr>
        <w:t>7</w:t>
      </w:r>
      <w:r w:rsidRPr="00122A6B">
        <w:rPr>
          <w:noProof/>
        </w:rPr>
        <w:t xml:space="preserve">(2), 364–375. </w:t>
      </w:r>
      <w:r w:rsidR="00B1474C">
        <w:rPr>
          <w:noProof/>
        </w:rPr>
        <w:t>Recuperado de</w:t>
      </w:r>
      <w:r w:rsidR="00B1474C" w:rsidRPr="00122A6B">
        <w:rPr>
          <w:noProof/>
        </w:rPr>
        <w:t xml:space="preserve"> </w:t>
      </w:r>
      <w:r w:rsidRPr="00122A6B">
        <w:rPr>
          <w:noProof/>
        </w:rPr>
        <w:t>http://www.tojdac.org/tojdac/VOLUME7-ISSUE2_files/tojdac_v07i2118.pdf</w:t>
      </w:r>
    </w:p>
    <w:p w14:paraId="7FA5A6A9" w14:textId="2DCC0FF4" w:rsidR="00122A6B" w:rsidRPr="00122A6B" w:rsidRDefault="00122A6B" w:rsidP="00122A6B">
      <w:pPr>
        <w:widowControl w:val="0"/>
        <w:autoSpaceDE w:val="0"/>
        <w:autoSpaceDN w:val="0"/>
        <w:adjustRightInd w:val="0"/>
        <w:ind w:left="480" w:hanging="480"/>
        <w:rPr>
          <w:noProof/>
        </w:rPr>
      </w:pPr>
      <w:r w:rsidRPr="00122A6B">
        <w:rPr>
          <w:noProof/>
        </w:rPr>
        <w:t xml:space="preserve">González-Rivera, J., Segura-Abreu, L., &amp; Urbistondo-Rodríguez, V. (2018). Phubbing en las Relaciones Románticas: Uso del Celular, Satisfacción en la Pareja, Bienestar Psicológico y Salud Mental. </w:t>
      </w:r>
      <w:r w:rsidRPr="00122A6B">
        <w:rPr>
          <w:i/>
          <w:iCs/>
          <w:noProof/>
        </w:rPr>
        <w:t>Interacciones: Revista de Avances En Psicología</w:t>
      </w:r>
      <w:r w:rsidRPr="00122A6B">
        <w:rPr>
          <w:noProof/>
        </w:rPr>
        <w:t xml:space="preserve">, </w:t>
      </w:r>
      <w:r w:rsidRPr="00122A6B">
        <w:rPr>
          <w:i/>
          <w:iCs/>
          <w:noProof/>
        </w:rPr>
        <w:t>4</w:t>
      </w:r>
      <w:r w:rsidRPr="00122A6B">
        <w:rPr>
          <w:noProof/>
        </w:rPr>
        <w:t xml:space="preserve">(2), 143–151. </w:t>
      </w:r>
      <w:r w:rsidR="00B1474C">
        <w:rPr>
          <w:noProof/>
        </w:rPr>
        <w:t>Recuperado de</w:t>
      </w:r>
      <w:r w:rsidR="00B1474C" w:rsidRPr="00122A6B">
        <w:rPr>
          <w:noProof/>
        </w:rPr>
        <w:t xml:space="preserve"> </w:t>
      </w:r>
      <w:r w:rsidRPr="00122A6B">
        <w:rPr>
          <w:noProof/>
        </w:rPr>
        <w:t>https://dialnet.unirioja.es/descarga/articulo/6591758.pdf</w:t>
      </w:r>
    </w:p>
    <w:p w14:paraId="10F7A63F" w14:textId="77777777" w:rsidR="00122A6B" w:rsidRPr="00122A6B" w:rsidRDefault="00122A6B" w:rsidP="00122A6B">
      <w:pPr>
        <w:widowControl w:val="0"/>
        <w:autoSpaceDE w:val="0"/>
        <w:autoSpaceDN w:val="0"/>
        <w:adjustRightInd w:val="0"/>
        <w:ind w:left="480" w:hanging="480"/>
        <w:rPr>
          <w:noProof/>
        </w:rPr>
      </w:pPr>
      <w:r w:rsidRPr="00122A6B">
        <w:rPr>
          <w:noProof/>
        </w:rPr>
        <w:t xml:space="preserve">Hu, X., Kim, A., Siwek, N., &amp; Wilder, D. (2017). The Facebook Paradox: Effects of Facebooking on Individuals’ Social Relationships and Psychological Well-Being. </w:t>
      </w:r>
      <w:r w:rsidRPr="00122A6B">
        <w:rPr>
          <w:i/>
          <w:iCs/>
          <w:noProof/>
        </w:rPr>
        <w:t>Frontiers in Psychology</w:t>
      </w:r>
      <w:r w:rsidRPr="00122A6B">
        <w:rPr>
          <w:noProof/>
        </w:rPr>
        <w:t xml:space="preserve">, </w:t>
      </w:r>
      <w:r w:rsidRPr="00122A6B">
        <w:rPr>
          <w:i/>
          <w:iCs/>
          <w:noProof/>
        </w:rPr>
        <w:t>8</w:t>
      </w:r>
      <w:r w:rsidRPr="00122A6B">
        <w:rPr>
          <w:noProof/>
        </w:rPr>
        <w:t>(3), 87. https://dx.doi.org/10.3389%2Ffpsyg.2017.00087</w:t>
      </w:r>
    </w:p>
    <w:p w14:paraId="07B17450" w14:textId="6D6B9FCE" w:rsidR="00122A6B" w:rsidRPr="00122A6B" w:rsidRDefault="00122A6B" w:rsidP="00122A6B">
      <w:pPr>
        <w:widowControl w:val="0"/>
        <w:autoSpaceDE w:val="0"/>
        <w:autoSpaceDN w:val="0"/>
        <w:adjustRightInd w:val="0"/>
        <w:ind w:left="480" w:hanging="480"/>
        <w:rPr>
          <w:noProof/>
        </w:rPr>
      </w:pPr>
      <w:r w:rsidRPr="00122A6B">
        <w:rPr>
          <w:noProof/>
        </w:rPr>
        <w:t xml:space="preserve">Iglesias-García, M.-T., Urbano-Contreras, A., &amp; Martínez-González, R. A. (2019). Escala de Comunicación Autopercibida en la Relación de Pareja (CARP). </w:t>
      </w:r>
      <w:r w:rsidRPr="00122A6B">
        <w:rPr>
          <w:i/>
          <w:iCs/>
          <w:noProof/>
        </w:rPr>
        <w:t>Anales de Psicologia</w:t>
      </w:r>
      <w:r w:rsidRPr="00122A6B">
        <w:rPr>
          <w:noProof/>
        </w:rPr>
        <w:t xml:space="preserve">, </w:t>
      </w:r>
      <w:r w:rsidRPr="00122A6B">
        <w:rPr>
          <w:i/>
          <w:iCs/>
          <w:noProof/>
        </w:rPr>
        <w:t>35</w:t>
      </w:r>
      <w:r w:rsidRPr="00122A6B">
        <w:rPr>
          <w:noProof/>
        </w:rPr>
        <w:t xml:space="preserve">(2), 314–322. </w:t>
      </w:r>
      <w:r w:rsidR="00B1474C">
        <w:rPr>
          <w:noProof/>
        </w:rPr>
        <w:t>Recuperado de</w:t>
      </w:r>
      <w:r w:rsidR="00B1474C" w:rsidRPr="00122A6B">
        <w:rPr>
          <w:noProof/>
        </w:rPr>
        <w:t xml:space="preserve"> </w:t>
      </w:r>
      <w:r w:rsidRPr="00122A6B">
        <w:rPr>
          <w:noProof/>
        </w:rPr>
        <w:t>https://revistas.um.es/analesps/article/view/334451/261021</w:t>
      </w:r>
    </w:p>
    <w:p w14:paraId="3DC7E818" w14:textId="77777777" w:rsidR="00122A6B" w:rsidRPr="00122A6B" w:rsidRDefault="00122A6B" w:rsidP="00122A6B">
      <w:pPr>
        <w:widowControl w:val="0"/>
        <w:autoSpaceDE w:val="0"/>
        <w:autoSpaceDN w:val="0"/>
        <w:adjustRightInd w:val="0"/>
        <w:ind w:left="480" w:hanging="480"/>
        <w:rPr>
          <w:noProof/>
        </w:rPr>
      </w:pPr>
      <w:r w:rsidRPr="00122A6B">
        <w:rPr>
          <w:noProof/>
        </w:rPr>
        <w:t xml:space="preserve">Jarvenpaa, S. L., &amp; Lang, K. R. (2005). Managing the paradoxes of mobile technology. </w:t>
      </w:r>
      <w:r w:rsidRPr="00122A6B">
        <w:rPr>
          <w:i/>
          <w:iCs/>
          <w:noProof/>
        </w:rPr>
        <w:t>Information Systems Management</w:t>
      </w:r>
      <w:r w:rsidRPr="00122A6B">
        <w:rPr>
          <w:noProof/>
        </w:rPr>
        <w:t xml:space="preserve">, </w:t>
      </w:r>
      <w:r w:rsidRPr="00122A6B">
        <w:rPr>
          <w:i/>
          <w:iCs/>
          <w:noProof/>
        </w:rPr>
        <w:t>22</w:t>
      </w:r>
      <w:r w:rsidRPr="00122A6B">
        <w:rPr>
          <w:noProof/>
        </w:rPr>
        <w:t>(4), 7–23. https://doi.org/10.1201/1078.10580530/45520.22.4.20050901/90026.2</w:t>
      </w:r>
    </w:p>
    <w:p w14:paraId="391FC20D" w14:textId="77777777" w:rsidR="00122A6B" w:rsidRPr="00122A6B" w:rsidRDefault="00122A6B" w:rsidP="00122A6B">
      <w:pPr>
        <w:widowControl w:val="0"/>
        <w:autoSpaceDE w:val="0"/>
        <w:autoSpaceDN w:val="0"/>
        <w:adjustRightInd w:val="0"/>
        <w:ind w:left="480" w:hanging="480"/>
        <w:rPr>
          <w:noProof/>
        </w:rPr>
      </w:pPr>
      <w:r w:rsidRPr="00122A6B">
        <w:rPr>
          <w:noProof/>
        </w:rPr>
        <w:lastRenderedPageBreak/>
        <w:t xml:space="preserve">Kerkhof, P., Finkenauer, C., &amp; Muusses, L. D. (2011). Les conséquences relationnelles d’un usage compulsif d’Internet: une étude longitudinale auprès de nouveaux mariés. </w:t>
      </w:r>
      <w:r w:rsidRPr="00122A6B">
        <w:rPr>
          <w:i/>
          <w:iCs/>
          <w:noProof/>
        </w:rPr>
        <w:t>Human Communication Research</w:t>
      </w:r>
      <w:r w:rsidRPr="00122A6B">
        <w:rPr>
          <w:noProof/>
        </w:rPr>
        <w:t xml:space="preserve">, </w:t>
      </w:r>
      <w:r w:rsidRPr="00122A6B">
        <w:rPr>
          <w:i/>
          <w:iCs/>
          <w:noProof/>
        </w:rPr>
        <w:t>37</w:t>
      </w:r>
      <w:r w:rsidRPr="00122A6B">
        <w:rPr>
          <w:noProof/>
        </w:rPr>
        <w:t>(2), 147–173. https://doi.org/10.1111/j.1468-2958.2010.01397.x</w:t>
      </w:r>
    </w:p>
    <w:p w14:paraId="126444B1" w14:textId="77777777" w:rsidR="00122A6B" w:rsidRPr="00122A6B" w:rsidRDefault="00122A6B" w:rsidP="00122A6B">
      <w:pPr>
        <w:widowControl w:val="0"/>
        <w:autoSpaceDE w:val="0"/>
        <w:autoSpaceDN w:val="0"/>
        <w:adjustRightInd w:val="0"/>
        <w:ind w:left="480" w:hanging="480"/>
        <w:rPr>
          <w:noProof/>
        </w:rPr>
      </w:pPr>
      <w:r w:rsidRPr="00122A6B">
        <w:rPr>
          <w:noProof/>
        </w:rPr>
        <w:t xml:space="preserve">Kim, S., Sturman, E., &amp; Kim, E. S. (2015). Structural Equation Modeling: Principles, Processes, and Practices. </w:t>
      </w:r>
      <w:r w:rsidRPr="00122A6B">
        <w:rPr>
          <w:i/>
          <w:iCs/>
          <w:noProof/>
        </w:rPr>
        <w:t>The Palgrave Handbook of Research Design in Business and Management</w:t>
      </w:r>
      <w:r w:rsidRPr="00122A6B">
        <w:rPr>
          <w:noProof/>
        </w:rPr>
        <w:t>, 153–172. https://dx.doi.org/10.1057/9781137484956_11</w:t>
      </w:r>
    </w:p>
    <w:p w14:paraId="2BABF738" w14:textId="77777777" w:rsidR="00122A6B" w:rsidRPr="00122A6B" w:rsidRDefault="00122A6B" w:rsidP="00122A6B">
      <w:pPr>
        <w:widowControl w:val="0"/>
        <w:autoSpaceDE w:val="0"/>
        <w:autoSpaceDN w:val="0"/>
        <w:adjustRightInd w:val="0"/>
        <w:ind w:left="480" w:hanging="480"/>
        <w:rPr>
          <w:noProof/>
        </w:rPr>
      </w:pPr>
      <w:r w:rsidRPr="00122A6B">
        <w:rPr>
          <w:noProof/>
        </w:rPr>
        <w:t xml:space="preserve">Kuss, D. J., Kanjo, E., Crook-Rumsey, M., Kibowski, F., Wang, G. Y., &amp; Sumich, A. (2018). Problematic Mobile Phone Use and Addiction Across Generations: the Roles of Psychopathological Symptoms and Smartphone Use. </w:t>
      </w:r>
      <w:r w:rsidRPr="00122A6B">
        <w:rPr>
          <w:i/>
          <w:iCs/>
          <w:noProof/>
        </w:rPr>
        <w:t>Journal of Technology in Behavioral Science</w:t>
      </w:r>
      <w:r w:rsidRPr="00122A6B">
        <w:rPr>
          <w:noProof/>
        </w:rPr>
        <w:t xml:space="preserve">, </w:t>
      </w:r>
      <w:r w:rsidRPr="00122A6B">
        <w:rPr>
          <w:i/>
          <w:iCs/>
          <w:noProof/>
        </w:rPr>
        <w:t>3</w:t>
      </w:r>
      <w:r w:rsidRPr="00122A6B">
        <w:rPr>
          <w:noProof/>
        </w:rPr>
        <w:t>(3), 141–149. https://doi.org/10.1007/s41347-017-0041-3</w:t>
      </w:r>
    </w:p>
    <w:p w14:paraId="7F37ECAB" w14:textId="77777777" w:rsidR="00122A6B" w:rsidRPr="00122A6B" w:rsidRDefault="00122A6B" w:rsidP="00122A6B">
      <w:pPr>
        <w:widowControl w:val="0"/>
        <w:autoSpaceDE w:val="0"/>
        <w:autoSpaceDN w:val="0"/>
        <w:adjustRightInd w:val="0"/>
        <w:ind w:left="480" w:hanging="480"/>
        <w:rPr>
          <w:noProof/>
        </w:rPr>
      </w:pPr>
      <w:r w:rsidRPr="00122A6B">
        <w:rPr>
          <w:noProof/>
        </w:rPr>
        <w:t xml:space="preserve">Lavner, J. A., Karney, B. R., &amp; Bradbury, T. N. (2016). Does Couples’ Communication Predict Marital Satisfaction, or Does Marital Satisfaction Predict Communication? </w:t>
      </w:r>
      <w:r w:rsidRPr="00122A6B">
        <w:rPr>
          <w:i/>
          <w:iCs/>
          <w:noProof/>
        </w:rPr>
        <w:t>Journal of Marriage and Family</w:t>
      </w:r>
      <w:r w:rsidRPr="00122A6B">
        <w:rPr>
          <w:noProof/>
        </w:rPr>
        <w:t xml:space="preserve">, </w:t>
      </w:r>
      <w:r w:rsidRPr="00122A6B">
        <w:rPr>
          <w:i/>
          <w:iCs/>
          <w:noProof/>
        </w:rPr>
        <w:t>78</w:t>
      </w:r>
      <w:r w:rsidRPr="00122A6B">
        <w:rPr>
          <w:noProof/>
        </w:rPr>
        <w:t>(3), 680–694. https://dx.doi.org/10.1111%2Fjomf.12301</w:t>
      </w:r>
    </w:p>
    <w:p w14:paraId="1F7F4759" w14:textId="77777777" w:rsidR="00122A6B" w:rsidRPr="00122A6B" w:rsidRDefault="00122A6B" w:rsidP="00122A6B">
      <w:pPr>
        <w:widowControl w:val="0"/>
        <w:autoSpaceDE w:val="0"/>
        <w:autoSpaceDN w:val="0"/>
        <w:adjustRightInd w:val="0"/>
        <w:ind w:left="480" w:hanging="480"/>
        <w:rPr>
          <w:noProof/>
        </w:rPr>
      </w:pPr>
      <w:r w:rsidRPr="00122A6B">
        <w:rPr>
          <w:noProof/>
        </w:rPr>
        <w:t xml:space="preserve">Lin, R., &amp; Utz, S. (2015). The emotional responses of browsing Facebook: Happiness, envy, and the role of tie strength. </w:t>
      </w:r>
      <w:r w:rsidRPr="00122A6B">
        <w:rPr>
          <w:i/>
          <w:iCs/>
          <w:noProof/>
        </w:rPr>
        <w:t>Computers in Human Behavior</w:t>
      </w:r>
      <w:r w:rsidRPr="00122A6B">
        <w:rPr>
          <w:noProof/>
        </w:rPr>
        <w:t xml:space="preserve">, </w:t>
      </w:r>
      <w:r w:rsidRPr="00122A6B">
        <w:rPr>
          <w:i/>
          <w:iCs/>
          <w:noProof/>
        </w:rPr>
        <w:t>52</w:t>
      </w:r>
      <w:r w:rsidRPr="00122A6B">
        <w:rPr>
          <w:noProof/>
        </w:rPr>
        <w:t>, 29–38. https://doi.org/10.1016/j.chb.2015.04.064</w:t>
      </w:r>
    </w:p>
    <w:p w14:paraId="70E0D21C" w14:textId="4117ED47" w:rsidR="00122A6B" w:rsidRPr="00122A6B" w:rsidRDefault="00122A6B" w:rsidP="00122A6B">
      <w:pPr>
        <w:widowControl w:val="0"/>
        <w:autoSpaceDE w:val="0"/>
        <w:autoSpaceDN w:val="0"/>
        <w:adjustRightInd w:val="0"/>
        <w:ind w:left="480" w:hanging="480"/>
        <w:rPr>
          <w:noProof/>
        </w:rPr>
      </w:pPr>
      <w:r w:rsidRPr="00122A6B">
        <w:rPr>
          <w:noProof/>
        </w:rPr>
        <w:t xml:space="preserve">McDaniel, B., &amp; Coyne, S. (2016). “Technoference”: The interference of technology in couple relationships and implications for women’s personal and relational well-being. </w:t>
      </w:r>
      <w:r w:rsidRPr="00122A6B">
        <w:rPr>
          <w:i/>
          <w:iCs/>
          <w:noProof/>
        </w:rPr>
        <w:t>Psychology of Popular Media Culture</w:t>
      </w:r>
      <w:r w:rsidRPr="00122A6B">
        <w:rPr>
          <w:noProof/>
        </w:rPr>
        <w:t xml:space="preserve">, </w:t>
      </w:r>
      <w:r w:rsidRPr="00122A6B">
        <w:rPr>
          <w:i/>
          <w:iCs/>
          <w:noProof/>
        </w:rPr>
        <w:t>5</w:t>
      </w:r>
      <w:r w:rsidRPr="00122A6B">
        <w:rPr>
          <w:noProof/>
        </w:rPr>
        <w:t xml:space="preserve">(1), 85–98. </w:t>
      </w:r>
      <w:r w:rsidR="007E3849">
        <w:rPr>
          <w:noProof/>
        </w:rPr>
        <w:t>Recuperado de</w:t>
      </w:r>
      <w:r w:rsidR="007E3849" w:rsidRPr="00122A6B">
        <w:rPr>
          <w:noProof/>
        </w:rPr>
        <w:t xml:space="preserve"> </w:t>
      </w:r>
      <w:r w:rsidRPr="00122A6B">
        <w:rPr>
          <w:noProof/>
        </w:rPr>
        <w:t>https://psycnet.apa.org/doi/10.1037/ppm0000065</w:t>
      </w:r>
    </w:p>
    <w:p w14:paraId="7BE95F86" w14:textId="77777777" w:rsidR="00122A6B" w:rsidRPr="00122A6B" w:rsidRDefault="00122A6B" w:rsidP="00122A6B">
      <w:pPr>
        <w:widowControl w:val="0"/>
        <w:autoSpaceDE w:val="0"/>
        <w:autoSpaceDN w:val="0"/>
        <w:adjustRightInd w:val="0"/>
        <w:ind w:left="480" w:hanging="480"/>
        <w:rPr>
          <w:noProof/>
        </w:rPr>
      </w:pPr>
      <w:r w:rsidRPr="00122A6B">
        <w:rPr>
          <w:noProof/>
        </w:rPr>
        <w:t xml:space="preserve">McDaniel, B. T., &amp; Coyne, S. M. (2016). “Technoference”: The interference of technology in couple relationships and implications for women’s personal and relational well-being. </w:t>
      </w:r>
      <w:r w:rsidRPr="00122A6B">
        <w:rPr>
          <w:i/>
          <w:iCs/>
          <w:noProof/>
        </w:rPr>
        <w:t>Psychology of Popular Media Culture</w:t>
      </w:r>
      <w:r w:rsidRPr="00122A6B">
        <w:rPr>
          <w:noProof/>
        </w:rPr>
        <w:t xml:space="preserve">, </w:t>
      </w:r>
      <w:r w:rsidRPr="00122A6B">
        <w:rPr>
          <w:i/>
          <w:iCs/>
          <w:noProof/>
        </w:rPr>
        <w:t>5</w:t>
      </w:r>
      <w:r w:rsidRPr="00122A6B">
        <w:rPr>
          <w:noProof/>
        </w:rPr>
        <w:t>(1), 85–98. https://doi.org/10.1037/ppm0000065</w:t>
      </w:r>
    </w:p>
    <w:p w14:paraId="4302927D" w14:textId="77777777" w:rsidR="00122A6B" w:rsidRPr="00122A6B" w:rsidRDefault="00122A6B" w:rsidP="00122A6B">
      <w:pPr>
        <w:widowControl w:val="0"/>
        <w:autoSpaceDE w:val="0"/>
        <w:autoSpaceDN w:val="0"/>
        <w:adjustRightInd w:val="0"/>
        <w:ind w:left="480" w:hanging="480"/>
        <w:rPr>
          <w:noProof/>
        </w:rPr>
      </w:pPr>
      <w:r w:rsidRPr="00122A6B">
        <w:rPr>
          <w:noProof/>
        </w:rPr>
        <w:t xml:space="preserve">Miller-Ott, A. E., Kelly, L., &amp; Duran, R. L. (2012). The Effects of Cell Phone Usage Rules on Satisfaction in Romantic Relationships. </w:t>
      </w:r>
      <w:r w:rsidRPr="00122A6B">
        <w:rPr>
          <w:i/>
          <w:iCs/>
          <w:noProof/>
        </w:rPr>
        <w:t>Communication Quarterly</w:t>
      </w:r>
      <w:r w:rsidRPr="00122A6B">
        <w:rPr>
          <w:noProof/>
        </w:rPr>
        <w:t xml:space="preserve">, </w:t>
      </w:r>
      <w:r w:rsidRPr="00122A6B">
        <w:rPr>
          <w:i/>
          <w:iCs/>
          <w:noProof/>
        </w:rPr>
        <w:t>60</w:t>
      </w:r>
      <w:r w:rsidRPr="00122A6B">
        <w:rPr>
          <w:noProof/>
        </w:rPr>
        <w:t>(1), 17–34. https://doi.org/10.1080/01463373.2012.642263</w:t>
      </w:r>
    </w:p>
    <w:p w14:paraId="54BA9429" w14:textId="77777777" w:rsidR="00122A6B" w:rsidRPr="00122A6B" w:rsidRDefault="00122A6B" w:rsidP="00122A6B">
      <w:pPr>
        <w:widowControl w:val="0"/>
        <w:autoSpaceDE w:val="0"/>
        <w:autoSpaceDN w:val="0"/>
        <w:adjustRightInd w:val="0"/>
        <w:ind w:left="480" w:hanging="480"/>
        <w:rPr>
          <w:noProof/>
        </w:rPr>
      </w:pPr>
      <w:r w:rsidRPr="00122A6B">
        <w:rPr>
          <w:noProof/>
        </w:rPr>
        <w:t xml:space="preserve">Norton, A. M., &amp; Baptist, J. (2014). Couple boundaries for social networking in middle adulthood: Associations of trust and satisfaction. </w:t>
      </w:r>
      <w:r w:rsidRPr="00122A6B">
        <w:rPr>
          <w:i/>
          <w:iCs/>
          <w:noProof/>
        </w:rPr>
        <w:t>Cyberpsychology</w:t>
      </w:r>
      <w:r w:rsidRPr="00122A6B">
        <w:rPr>
          <w:noProof/>
        </w:rPr>
        <w:t xml:space="preserve">, </w:t>
      </w:r>
      <w:r w:rsidRPr="00122A6B">
        <w:rPr>
          <w:i/>
          <w:iCs/>
          <w:noProof/>
        </w:rPr>
        <w:t>8</w:t>
      </w:r>
      <w:r w:rsidRPr="00122A6B">
        <w:rPr>
          <w:noProof/>
        </w:rPr>
        <w:t>(4). https://doi.org/10.5817/CP2014-4-2</w:t>
      </w:r>
    </w:p>
    <w:p w14:paraId="14D2BF11" w14:textId="77777777" w:rsidR="00122A6B" w:rsidRPr="00122A6B" w:rsidRDefault="00122A6B" w:rsidP="00122A6B">
      <w:pPr>
        <w:widowControl w:val="0"/>
        <w:autoSpaceDE w:val="0"/>
        <w:autoSpaceDN w:val="0"/>
        <w:adjustRightInd w:val="0"/>
        <w:ind w:left="480" w:hanging="480"/>
        <w:rPr>
          <w:noProof/>
        </w:rPr>
      </w:pPr>
      <w:r w:rsidRPr="00122A6B">
        <w:rPr>
          <w:noProof/>
        </w:rPr>
        <w:t xml:space="preserve">Overall, N. C., &amp; McNulty, J. K. (2017). What type of communication during conflict is beneficial for intimate relationships? </w:t>
      </w:r>
      <w:r w:rsidRPr="00122A6B">
        <w:rPr>
          <w:i/>
          <w:iCs/>
          <w:noProof/>
        </w:rPr>
        <w:t>Current Opinion in Psychology</w:t>
      </w:r>
      <w:r w:rsidRPr="00122A6B">
        <w:rPr>
          <w:noProof/>
        </w:rPr>
        <w:t xml:space="preserve">, </w:t>
      </w:r>
      <w:r w:rsidRPr="00122A6B">
        <w:rPr>
          <w:i/>
          <w:iCs/>
          <w:noProof/>
        </w:rPr>
        <w:t>13</w:t>
      </w:r>
      <w:r w:rsidRPr="00122A6B">
        <w:rPr>
          <w:noProof/>
        </w:rPr>
        <w:t>, 1–5. https://dx.doi.org/10.1016%2Fj.copsyc.2016.03.002</w:t>
      </w:r>
    </w:p>
    <w:p w14:paraId="73F89E4E" w14:textId="77777777" w:rsidR="00122A6B" w:rsidRPr="00122A6B" w:rsidRDefault="00122A6B" w:rsidP="00122A6B">
      <w:pPr>
        <w:widowControl w:val="0"/>
        <w:autoSpaceDE w:val="0"/>
        <w:autoSpaceDN w:val="0"/>
        <w:adjustRightInd w:val="0"/>
        <w:ind w:left="480" w:hanging="480"/>
        <w:rPr>
          <w:noProof/>
        </w:rPr>
      </w:pPr>
      <w:r w:rsidRPr="00122A6B">
        <w:rPr>
          <w:noProof/>
        </w:rPr>
        <w:t xml:space="preserve">Przybylski, A. K., &amp; Weinstein, N. (2013). Can you connect with me now? How the presence of mobile communication technology influences face-to-face conversation quality. </w:t>
      </w:r>
      <w:r w:rsidRPr="00122A6B">
        <w:rPr>
          <w:i/>
          <w:iCs/>
          <w:noProof/>
        </w:rPr>
        <w:t>Journal of Social and Personal Relationships</w:t>
      </w:r>
      <w:r w:rsidRPr="00122A6B">
        <w:rPr>
          <w:noProof/>
        </w:rPr>
        <w:t xml:space="preserve">, </w:t>
      </w:r>
      <w:r w:rsidRPr="00122A6B">
        <w:rPr>
          <w:i/>
          <w:iCs/>
          <w:noProof/>
        </w:rPr>
        <w:t>30</w:t>
      </w:r>
      <w:r w:rsidRPr="00122A6B">
        <w:rPr>
          <w:noProof/>
        </w:rPr>
        <w:t>(3), 237–246. https://doi.org/10.1177/0265407512453827</w:t>
      </w:r>
    </w:p>
    <w:p w14:paraId="23DDF9D8" w14:textId="77777777" w:rsidR="00122A6B" w:rsidRPr="00122A6B" w:rsidRDefault="00122A6B" w:rsidP="00122A6B">
      <w:pPr>
        <w:widowControl w:val="0"/>
        <w:autoSpaceDE w:val="0"/>
        <w:autoSpaceDN w:val="0"/>
        <w:adjustRightInd w:val="0"/>
        <w:ind w:left="480" w:hanging="480"/>
        <w:rPr>
          <w:noProof/>
        </w:rPr>
      </w:pPr>
      <w:r w:rsidRPr="00122A6B">
        <w:rPr>
          <w:noProof/>
        </w:rPr>
        <w:t xml:space="preserve">Quispe, M., Curro, O., Cordova, M., Pastor, N., Puza, G., &amp; Oyola, A. (2018). Violencia extrema contra la mujer y feminicidio en el Perú. </w:t>
      </w:r>
      <w:r w:rsidRPr="00122A6B">
        <w:rPr>
          <w:i/>
          <w:iCs/>
          <w:noProof/>
        </w:rPr>
        <w:t>Revista Cubana de Salud Publica</w:t>
      </w:r>
      <w:r w:rsidRPr="00122A6B">
        <w:rPr>
          <w:noProof/>
        </w:rPr>
        <w:t xml:space="preserve">, </w:t>
      </w:r>
      <w:r w:rsidRPr="00122A6B">
        <w:rPr>
          <w:i/>
          <w:iCs/>
          <w:noProof/>
        </w:rPr>
        <w:t>44</w:t>
      </w:r>
      <w:r w:rsidRPr="00122A6B">
        <w:rPr>
          <w:noProof/>
        </w:rPr>
        <w:t>(2), 278–294. https://www.scielosp.org/article/rcsp/2018.v44n1/110-122/es/</w:t>
      </w:r>
    </w:p>
    <w:p w14:paraId="15C68F57" w14:textId="77777777" w:rsidR="00122A6B" w:rsidRPr="00122A6B" w:rsidRDefault="00122A6B" w:rsidP="00122A6B">
      <w:pPr>
        <w:widowControl w:val="0"/>
        <w:autoSpaceDE w:val="0"/>
        <w:autoSpaceDN w:val="0"/>
        <w:adjustRightInd w:val="0"/>
        <w:ind w:left="480" w:hanging="480"/>
        <w:rPr>
          <w:noProof/>
        </w:rPr>
      </w:pPr>
      <w:r w:rsidRPr="00122A6B">
        <w:rPr>
          <w:noProof/>
        </w:rPr>
        <w:t xml:space="preserve">Rajesh, T., &amp; Rangaiah, D. B. (2020). Facebook addiction and personality. </w:t>
      </w:r>
      <w:r w:rsidRPr="00122A6B">
        <w:rPr>
          <w:i/>
          <w:iCs/>
          <w:noProof/>
        </w:rPr>
        <w:t>Heliyon</w:t>
      </w:r>
      <w:r w:rsidRPr="00122A6B">
        <w:rPr>
          <w:noProof/>
        </w:rPr>
        <w:t xml:space="preserve">, </w:t>
      </w:r>
      <w:r w:rsidRPr="00122A6B">
        <w:rPr>
          <w:i/>
          <w:iCs/>
          <w:noProof/>
        </w:rPr>
        <w:t>6</w:t>
      </w:r>
      <w:r w:rsidRPr="00122A6B">
        <w:rPr>
          <w:noProof/>
        </w:rPr>
        <w:t>(1), e03184. https://doi.org/10.1016/j.heliyon.2020.e03184</w:t>
      </w:r>
    </w:p>
    <w:p w14:paraId="7D75B519" w14:textId="77777777" w:rsidR="00122A6B" w:rsidRPr="00122A6B" w:rsidRDefault="00122A6B" w:rsidP="00122A6B">
      <w:pPr>
        <w:widowControl w:val="0"/>
        <w:autoSpaceDE w:val="0"/>
        <w:autoSpaceDN w:val="0"/>
        <w:adjustRightInd w:val="0"/>
        <w:ind w:left="480" w:hanging="480"/>
        <w:rPr>
          <w:noProof/>
        </w:rPr>
      </w:pPr>
      <w:r w:rsidRPr="00122A6B">
        <w:rPr>
          <w:noProof/>
        </w:rPr>
        <w:t xml:space="preserve">Roberts, J. A., &amp; David, M. E. (2016). My life has become a major distraction from my cell phone: Partner phubbing and relationship satisfaction among romantic partners. </w:t>
      </w:r>
      <w:r w:rsidRPr="00122A6B">
        <w:rPr>
          <w:i/>
          <w:iCs/>
          <w:noProof/>
        </w:rPr>
        <w:t>Computers in Human Behavior</w:t>
      </w:r>
      <w:r w:rsidRPr="00122A6B">
        <w:rPr>
          <w:noProof/>
        </w:rPr>
        <w:t xml:space="preserve">, </w:t>
      </w:r>
      <w:r w:rsidRPr="00122A6B">
        <w:rPr>
          <w:i/>
          <w:iCs/>
          <w:noProof/>
        </w:rPr>
        <w:t>54</w:t>
      </w:r>
      <w:r w:rsidRPr="00122A6B">
        <w:rPr>
          <w:noProof/>
        </w:rPr>
        <w:t>, 134–141. https://doi.org/10.1016/j.chb.2015.07.058</w:t>
      </w:r>
    </w:p>
    <w:p w14:paraId="27B17EA3" w14:textId="77777777" w:rsidR="00122A6B" w:rsidRPr="00122A6B" w:rsidRDefault="00122A6B" w:rsidP="00122A6B">
      <w:pPr>
        <w:widowControl w:val="0"/>
        <w:autoSpaceDE w:val="0"/>
        <w:autoSpaceDN w:val="0"/>
        <w:adjustRightInd w:val="0"/>
        <w:ind w:left="480" w:hanging="480"/>
        <w:rPr>
          <w:noProof/>
        </w:rPr>
      </w:pPr>
      <w:r w:rsidRPr="00122A6B">
        <w:rPr>
          <w:noProof/>
        </w:rPr>
        <w:t xml:space="preserve">Rosenman, R., Tennekoon, V., &amp; Hill, L. G. (2011). Measuring bias in self-reported data. </w:t>
      </w:r>
      <w:r w:rsidRPr="00122A6B">
        <w:rPr>
          <w:i/>
          <w:iCs/>
          <w:noProof/>
        </w:rPr>
        <w:lastRenderedPageBreak/>
        <w:t>International Journal of Behavioural and Healthcare Research</w:t>
      </w:r>
      <w:r w:rsidRPr="00122A6B">
        <w:rPr>
          <w:noProof/>
        </w:rPr>
        <w:t xml:space="preserve">, </w:t>
      </w:r>
      <w:r w:rsidRPr="00122A6B">
        <w:rPr>
          <w:i/>
          <w:iCs/>
          <w:noProof/>
        </w:rPr>
        <w:t>2</w:t>
      </w:r>
      <w:r w:rsidRPr="00122A6B">
        <w:rPr>
          <w:noProof/>
        </w:rPr>
        <w:t>(4), 320. https://doi.org/10.1504/ijbhr.2011.043414</w:t>
      </w:r>
    </w:p>
    <w:p w14:paraId="5F54051C" w14:textId="77777777" w:rsidR="00122A6B" w:rsidRPr="00122A6B" w:rsidRDefault="00122A6B" w:rsidP="00122A6B">
      <w:pPr>
        <w:widowControl w:val="0"/>
        <w:autoSpaceDE w:val="0"/>
        <w:autoSpaceDN w:val="0"/>
        <w:adjustRightInd w:val="0"/>
        <w:ind w:left="480" w:hanging="480"/>
        <w:rPr>
          <w:noProof/>
        </w:rPr>
      </w:pPr>
      <w:r w:rsidRPr="00122A6B">
        <w:rPr>
          <w:noProof/>
        </w:rPr>
        <w:t xml:space="preserve">Rotondi, V., Stanca, L., &amp; Tomasuolo, M. (2017). Connecting alone: Smartphone use, quality of social interactions and well-being. </w:t>
      </w:r>
      <w:r w:rsidRPr="00122A6B">
        <w:rPr>
          <w:i/>
          <w:iCs/>
          <w:noProof/>
        </w:rPr>
        <w:t>Journal of Economic Psychology</w:t>
      </w:r>
      <w:r w:rsidRPr="00122A6B">
        <w:rPr>
          <w:noProof/>
        </w:rPr>
        <w:t xml:space="preserve">, </w:t>
      </w:r>
      <w:r w:rsidRPr="00122A6B">
        <w:rPr>
          <w:i/>
          <w:iCs/>
          <w:noProof/>
        </w:rPr>
        <w:t>63</w:t>
      </w:r>
      <w:r w:rsidRPr="00122A6B">
        <w:rPr>
          <w:noProof/>
        </w:rPr>
        <w:t>, 17–26. https://doi.org/10.1016/j.joep.2017.09.001</w:t>
      </w:r>
    </w:p>
    <w:p w14:paraId="3554F178" w14:textId="77777777" w:rsidR="00122A6B" w:rsidRPr="00122A6B" w:rsidRDefault="00122A6B" w:rsidP="00122A6B">
      <w:pPr>
        <w:widowControl w:val="0"/>
        <w:autoSpaceDE w:val="0"/>
        <w:autoSpaceDN w:val="0"/>
        <w:adjustRightInd w:val="0"/>
        <w:ind w:left="480" w:hanging="480"/>
        <w:rPr>
          <w:noProof/>
        </w:rPr>
      </w:pPr>
      <w:r w:rsidRPr="00122A6B">
        <w:rPr>
          <w:noProof/>
        </w:rPr>
        <w:t xml:space="preserve">Ryan, T., Chester, A., Reece, J., &amp; Xenos, S. (2014). The uses and abuses of facebook: A review of facebook addiction. </w:t>
      </w:r>
      <w:r w:rsidRPr="00122A6B">
        <w:rPr>
          <w:i/>
          <w:iCs/>
          <w:noProof/>
        </w:rPr>
        <w:t>Journal of Behavioral Addictions</w:t>
      </w:r>
      <w:r w:rsidRPr="00122A6B">
        <w:rPr>
          <w:noProof/>
        </w:rPr>
        <w:t xml:space="preserve">, </w:t>
      </w:r>
      <w:r w:rsidRPr="00122A6B">
        <w:rPr>
          <w:i/>
          <w:iCs/>
          <w:noProof/>
        </w:rPr>
        <w:t>3</w:t>
      </w:r>
      <w:r w:rsidRPr="00122A6B">
        <w:rPr>
          <w:noProof/>
        </w:rPr>
        <w:t>(3), 133–148. https://dx.doi.org/10.1556%2FJBA.3.2014.016</w:t>
      </w:r>
    </w:p>
    <w:p w14:paraId="16C04A75" w14:textId="77777777" w:rsidR="00122A6B" w:rsidRPr="00122A6B" w:rsidRDefault="00122A6B" w:rsidP="00122A6B">
      <w:pPr>
        <w:widowControl w:val="0"/>
        <w:autoSpaceDE w:val="0"/>
        <w:autoSpaceDN w:val="0"/>
        <w:adjustRightInd w:val="0"/>
        <w:ind w:left="480" w:hanging="480"/>
        <w:rPr>
          <w:noProof/>
        </w:rPr>
      </w:pPr>
      <w:r w:rsidRPr="00122A6B">
        <w:rPr>
          <w:noProof/>
        </w:rPr>
        <w:t xml:space="preserve">Saeed, I. (2018). The Link Between Romantic Disengagement and Facebook Addiction: Where Does Relationship Commitment Fit In? </w:t>
      </w:r>
      <w:r w:rsidRPr="00122A6B">
        <w:rPr>
          <w:i/>
          <w:iCs/>
          <w:noProof/>
        </w:rPr>
        <w:t>American Journal of Family Therapy</w:t>
      </w:r>
      <w:r w:rsidRPr="00122A6B">
        <w:rPr>
          <w:noProof/>
        </w:rPr>
        <w:t xml:space="preserve">, </w:t>
      </w:r>
      <w:r w:rsidRPr="00122A6B">
        <w:rPr>
          <w:i/>
          <w:iCs/>
          <w:noProof/>
        </w:rPr>
        <w:t>46</w:t>
      </w:r>
      <w:r w:rsidRPr="00122A6B">
        <w:rPr>
          <w:noProof/>
        </w:rPr>
        <w:t>(4), 375–389. https://doi.org/10.1080/01926187.2018.1540283</w:t>
      </w:r>
    </w:p>
    <w:p w14:paraId="69F53761" w14:textId="31B9B057" w:rsidR="00122A6B" w:rsidRPr="00122A6B" w:rsidRDefault="00122A6B" w:rsidP="00122A6B">
      <w:pPr>
        <w:widowControl w:val="0"/>
        <w:autoSpaceDE w:val="0"/>
        <w:autoSpaceDN w:val="0"/>
        <w:adjustRightInd w:val="0"/>
        <w:ind w:left="480" w:hanging="480"/>
        <w:rPr>
          <w:noProof/>
        </w:rPr>
      </w:pPr>
      <w:r w:rsidRPr="00122A6B">
        <w:rPr>
          <w:noProof/>
        </w:rPr>
        <w:t xml:space="preserve">Servies, A. (2012). </w:t>
      </w:r>
      <w:r w:rsidRPr="00122A6B">
        <w:rPr>
          <w:i/>
          <w:iCs/>
          <w:noProof/>
        </w:rPr>
        <w:t>Cell Phones and Couple Communication: The Impact of Mobile Device Distractions during a Dyadic Interaction Cell Phones and Couple Communication: The Impact of Mobile Device Distractions during a Dyadic Interaction An Honors Thesis submitted in partial ful</w:t>
      </w:r>
      <w:r w:rsidRPr="00122A6B">
        <w:rPr>
          <w:noProof/>
        </w:rPr>
        <w:t xml:space="preserve"> [University of Arkansas]. </w:t>
      </w:r>
      <w:r w:rsidR="007E3849">
        <w:rPr>
          <w:noProof/>
        </w:rPr>
        <w:t>Recuperado de</w:t>
      </w:r>
      <w:r w:rsidR="007E3849" w:rsidRPr="00122A6B">
        <w:rPr>
          <w:noProof/>
        </w:rPr>
        <w:t xml:space="preserve"> </w:t>
      </w:r>
      <w:r w:rsidRPr="00122A6B">
        <w:rPr>
          <w:noProof/>
        </w:rPr>
        <w:t>https://scholarworks.uark.edu/cgi/viewcontent.cgi?article=1000&amp;context=psycuht</w:t>
      </w:r>
    </w:p>
    <w:p w14:paraId="7F5A6C03" w14:textId="77777777" w:rsidR="00122A6B" w:rsidRPr="00122A6B" w:rsidRDefault="00122A6B" w:rsidP="00122A6B">
      <w:pPr>
        <w:widowControl w:val="0"/>
        <w:autoSpaceDE w:val="0"/>
        <w:autoSpaceDN w:val="0"/>
        <w:adjustRightInd w:val="0"/>
        <w:ind w:left="480" w:hanging="480"/>
        <w:rPr>
          <w:noProof/>
        </w:rPr>
      </w:pPr>
      <w:r w:rsidRPr="00122A6B">
        <w:rPr>
          <w:noProof/>
        </w:rPr>
        <w:t xml:space="preserve">Tomuletiu, E., Oroian, M., Girbovan, O., Girbovan, C., Buicu, G., &amp; Gyorgy, M. (2014). The Impact of Communication in the Harmonization of Couple Relationships. </w:t>
      </w:r>
      <w:r w:rsidRPr="00122A6B">
        <w:rPr>
          <w:i/>
          <w:iCs/>
          <w:noProof/>
        </w:rPr>
        <w:t>Procedia - Social and Behavioral Sciences</w:t>
      </w:r>
      <w:r w:rsidRPr="00122A6B">
        <w:rPr>
          <w:noProof/>
        </w:rPr>
        <w:t xml:space="preserve">, </w:t>
      </w:r>
      <w:r w:rsidRPr="00122A6B">
        <w:rPr>
          <w:i/>
          <w:iCs/>
          <w:noProof/>
        </w:rPr>
        <w:t>116</w:t>
      </w:r>
      <w:r w:rsidRPr="00122A6B">
        <w:rPr>
          <w:noProof/>
        </w:rPr>
        <w:t>, 5041–5045. https://doi.org/10.1016/j.sbspro.2014.01.1070</w:t>
      </w:r>
    </w:p>
    <w:p w14:paraId="4AEE9EE2" w14:textId="4B8B8FB3" w:rsidR="00122A6B" w:rsidRPr="00122A6B" w:rsidRDefault="00122A6B" w:rsidP="00122A6B">
      <w:pPr>
        <w:widowControl w:val="0"/>
        <w:autoSpaceDE w:val="0"/>
        <w:autoSpaceDN w:val="0"/>
        <w:adjustRightInd w:val="0"/>
        <w:ind w:left="480" w:hanging="480"/>
        <w:rPr>
          <w:noProof/>
        </w:rPr>
      </w:pPr>
      <w:r w:rsidRPr="00122A6B">
        <w:rPr>
          <w:noProof/>
        </w:rPr>
        <w:t xml:space="preserve">Villanueva, G. B. T., Rivera, S., Díaz, R., &amp; Reyes-Lagunes, I. (2012). La Comunicación en Pareja: Desarrollo y Validación de Escalas. </w:t>
      </w:r>
      <w:r w:rsidRPr="00122A6B">
        <w:rPr>
          <w:i/>
          <w:iCs/>
          <w:noProof/>
        </w:rPr>
        <w:t>Acta de Investigación Psicológica</w:t>
      </w:r>
      <w:r w:rsidRPr="00122A6B">
        <w:rPr>
          <w:noProof/>
        </w:rPr>
        <w:t xml:space="preserve">, </w:t>
      </w:r>
      <w:r w:rsidRPr="00122A6B">
        <w:rPr>
          <w:i/>
          <w:iCs/>
          <w:noProof/>
        </w:rPr>
        <w:t>2</w:t>
      </w:r>
      <w:r w:rsidRPr="00122A6B">
        <w:rPr>
          <w:noProof/>
        </w:rPr>
        <w:t xml:space="preserve">(2), 728–748. </w:t>
      </w:r>
      <w:r w:rsidR="007E3849">
        <w:rPr>
          <w:noProof/>
        </w:rPr>
        <w:t>Recuperado de</w:t>
      </w:r>
      <w:r w:rsidR="007E3849" w:rsidRPr="00122A6B">
        <w:rPr>
          <w:noProof/>
        </w:rPr>
        <w:t xml:space="preserve"> </w:t>
      </w:r>
      <w:r w:rsidRPr="00122A6B">
        <w:rPr>
          <w:noProof/>
        </w:rPr>
        <w:t>http://www.scielo.org.mx/pdf/aip/v2n2/v2n2a10.pdf</w:t>
      </w:r>
    </w:p>
    <w:p w14:paraId="3F521E3E" w14:textId="46515260" w:rsidR="00122A6B" w:rsidRPr="00122A6B" w:rsidRDefault="00122A6B" w:rsidP="00122A6B">
      <w:pPr>
        <w:widowControl w:val="0"/>
        <w:autoSpaceDE w:val="0"/>
        <w:autoSpaceDN w:val="0"/>
        <w:adjustRightInd w:val="0"/>
        <w:ind w:left="480" w:hanging="480"/>
        <w:rPr>
          <w:noProof/>
        </w:rPr>
      </w:pPr>
      <w:r w:rsidRPr="00122A6B">
        <w:rPr>
          <w:noProof/>
        </w:rPr>
        <w:t xml:space="preserve">Wang, X., Zhao, F., &amp; Lei, L. (2019). Partner phubbing and relationship satisfaction: Self-esteem and marital status as moderators. </w:t>
      </w:r>
      <w:r w:rsidRPr="00122A6B">
        <w:rPr>
          <w:i/>
          <w:iCs/>
          <w:noProof/>
        </w:rPr>
        <w:t>Current Psychology</w:t>
      </w:r>
      <w:r w:rsidRPr="00122A6B">
        <w:rPr>
          <w:noProof/>
        </w:rPr>
        <w:t xml:space="preserve">, </w:t>
      </w:r>
      <w:r w:rsidRPr="00122A6B">
        <w:rPr>
          <w:i/>
          <w:iCs/>
          <w:noProof/>
        </w:rPr>
        <w:t>21</w:t>
      </w:r>
      <w:r w:rsidR="007E3849">
        <w:rPr>
          <w:noProof/>
        </w:rPr>
        <w:t>(2</w:t>
      </w:r>
      <w:r w:rsidRPr="00122A6B">
        <w:rPr>
          <w:noProof/>
        </w:rPr>
        <w:t xml:space="preserve">). </w:t>
      </w:r>
      <w:r w:rsidR="007E3849">
        <w:rPr>
          <w:noProof/>
        </w:rPr>
        <w:t>Recuperado de</w:t>
      </w:r>
      <w:r w:rsidR="007E3849" w:rsidRPr="00122A6B">
        <w:rPr>
          <w:noProof/>
        </w:rPr>
        <w:t xml:space="preserve"> </w:t>
      </w:r>
      <w:r w:rsidRPr="00122A6B">
        <w:rPr>
          <w:noProof/>
        </w:rPr>
        <w:t>https://link.springer.com/article/10.1007/s12144-019-00275-0</w:t>
      </w:r>
    </w:p>
    <w:p w14:paraId="16CE82A1" w14:textId="4C5EF7B4" w:rsidR="00594317" w:rsidRPr="00CA7992" w:rsidRDefault="00122A6B" w:rsidP="00122A6B">
      <w:pPr>
        <w:ind w:left="720" w:hanging="720"/>
        <w:jc w:val="both"/>
      </w:pPr>
      <w:r w:rsidRPr="00122A6B">
        <w:rPr>
          <w:b/>
          <w:lang w:val="en-US"/>
        </w:rPr>
        <w:fldChar w:fldCharType="end"/>
      </w:r>
    </w:p>
    <w:p w14:paraId="5CA55FC8" w14:textId="77777777" w:rsidR="00CE7D65" w:rsidRPr="00CA7992" w:rsidRDefault="00CE7D65" w:rsidP="00CE7D65">
      <w:pPr>
        <w:ind w:left="720" w:hanging="720"/>
        <w:jc w:val="both"/>
      </w:pPr>
    </w:p>
    <w:p w14:paraId="2B09FC6A" w14:textId="567745E5" w:rsidR="00594317" w:rsidRPr="00CA7992" w:rsidRDefault="00594317" w:rsidP="007C3C14">
      <w:pPr>
        <w:shd w:val="clear" w:color="auto" w:fill="FFFFFF"/>
        <w:jc w:val="right"/>
        <w:rPr>
          <w:i/>
          <w:iCs/>
          <w:sz w:val="20"/>
          <w:szCs w:val="20"/>
        </w:rPr>
      </w:pPr>
      <w:r w:rsidRPr="00CA7992">
        <w:rPr>
          <w:i/>
          <w:iCs/>
          <w:sz w:val="20"/>
          <w:szCs w:val="20"/>
        </w:rPr>
        <w:t xml:space="preserve">Received: </w:t>
      </w:r>
    </w:p>
    <w:p w14:paraId="0C84C4CC" w14:textId="38C145D9" w:rsidR="00594317" w:rsidRPr="00CA7992" w:rsidRDefault="00594317" w:rsidP="007C3C14">
      <w:pPr>
        <w:shd w:val="clear" w:color="auto" w:fill="FFFFFF"/>
        <w:jc w:val="right"/>
        <w:rPr>
          <w:i/>
          <w:iCs/>
          <w:sz w:val="20"/>
          <w:szCs w:val="20"/>
        </w:rPr>
      </w:pPr>
      <w:r w:rsidRPr="00CA7992">
        <w:rPr>
          <w:i/>
          <w:iCs/>
          <w:sz w:val="20"/>
          <w:szCs w:val="20"/>
        </w:rPr>
        <w:t>Accepted:</w:t>
      </w:r>
      <w:r w:rsidR="007C3C14" w:rsidRPr="00CA7992">
        <w:rPr>
          <w:rFonts w:ascii="Segoe UI" w:hAnsi="Segoe UI" w:cs="Segoe UI"/>
          <w:sz w:val="21"/>
          <w:szCs w:val="21"/>
          <w:shd w:val="clear" w:color="auto" w:fill="FFFFFF"/>
        </w:rPr>
        <w:t xml:space="preserve"> </w:t>
      </w:r>
    </w:p>
    <w:sectPr w:rsidR="00594317" w:rsidRPr="00CA7992" w:rsidSect="0059034C">
      <w:headerReference w:type="even" r:id="rId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DFCAD" w14:textId="77777777" w:rsidR="002E371D" w:rsidRDefault="002E371D" w:rsidP="00C413D4">
      <w:r>
        <w:separator/>
      </w:r>
    </w:p>
  </w:endnote>
  <w:endnote w:type="continuationSeparator" w:id="0">
    <w:p w14:paraId="79CC9D3B" w14:textId="77777777" w:rsidR="002E371D" w:rsidRDefault="002E371D"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auto"/>
    <w:pitch w:val="variable"/>
    <w:sig w:usb0="E00002FF" w:usb1="5000205A" w:usb2="00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26F884B8"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2A5EE3">
          <w:rPr>
            <w:rStyle w:val="Nmerodepgina"/>
            <w:rFonts w:ascii="Times" w:hAnsi="Times"/>
            <w:noProof/>
            <w:sz w:val="16"/>
            <w:szCs w:val="16"/>
          </w:rPr>
          <w:t>2</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455DBA54"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2A5EE3">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E6A76" w14:textId="77777777" w:rsidR="002E371D" w:rsidRDefault="002E371D" w:rsidP="00C413D4">
      <w:r>
        <w:separator/>
      </w:r>
    </w:p>
  </w:footnote>
  <w:footnote w:type="continuationSeparator" w:id="0">
    <w:p w14:paraId="4143CE66" w14:textId="77777777" w:rsidR="002E371D" w:rsidRDefault="002E371D" w:rsidP="00C413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20193" w14:textId="23941C5B" w:rsidR="007C3C14" w:rsidRPr="00B02133" w:rsidRDefault="00B02133" w:rsidP="0059034C">
    <w:pPr>
      <w:pStyle w:val="Encabezado"/>
      <w:jc w:val="center"/>
      <w:rPr>
        <w:rFonts w:ascii="Times" w:hAnsi="Times" w:cs="Times New Roman (Body CS)"/>
        <w:iCs/>
        <w:smallCaps/>
        <w:sz w:val="20"/>
        <w:szCs w:val="20"/>
        <w:lang w:val="es-AR"/>
      </w:rPr>
    </w:pPr>
    <w:r w:rsidRPr="00B02133">
      <w:rPr>
        <w:rFonts w:ascii="Times" w:hAnsi="Times" w:cs="Times New Roman (Body CS)"/>
        <w:iCs/>
        <w:smallCaps/>
        <w:sz w:val="20"/>
        <w:szCs w:val="20"/>
        <w:lang w:val="es-ES"/>
      </w:rPr>
      <w:t>Manuscript submission model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90CEF" w14:textId="2BDE3CB7" w:rsidR="007C3C14" w:rsidRDefault="007C3C14" w:rsidP="00C413D4">
    <w:pPr>
      <w:pStyle w:val="Encabezado"/>
      <w:jc w:val="right"/>
      <w:rPr>
        <w:rFonts w:ascii="Times" w:hAnsi="Times"/>
        <w:i/>
        <w:sz w:val="18"/>
        <w:szCs w:val="18"/>
        <w:lang w:val="es-ES"/>
      </w:rPr>
    </w:pPr>
    <w:r>
      <w:rPr>
        <w:noProof/>
        <w:lang w:val="es-PE" w:eastAsia="es-PE"/>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63BBF008" w:rsidR="007C3C14" w:rsidRDefault="00977250" w:rsidP="00977250">
    <w:pPr>
      <w:pStyle w:val="Encabezado"/>
      <w:jc w:val="right"/>
    </w:pPr>
    <w:r w:rsidRPr="00977250">
      <w:rPr>
        <w:rFonts w:ascii="Times" w:hAnsi="Times"/>
        <w:i/>
        <w:sz w:val="18"/>
        <w:szCs w:val="18"/>
        <w:lang w:val="es-ES"/>
      </w:rPr>
      <w:t>Manuscript submission model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B4E"/>
    <w:rsid w:val="000365CA"/>
    <w:rsid w:val="0007572E"/>
    <w:rsid w:val="00076F0A"/>
    <w:rsid w:val="000B7EBB"/>
    <w:rsid w:val="00122A6B"/>
    <w:rsid w:val="001253E7"/>
    <w:rsid w:val="00127870"/>
    <w:rsid w:val="001516ED"/>
    <w:rsid w:val="00153DC5"/>
    <w:rsid w:val="0015691C"/>
    <w:rsid w:val="001F7509"/>
    <w:rsid w:val="00234E5C"/>
    <w:rsid w:val="00246D04"/>
    <w:rsid w:val="002624E0"/>
    <w:rsid w:val="00271502"/>
    <w:rsid w:val="00290193"/>
    <w:rsid w:val="00294547"/>
    <w:rsid w:val="00297AFB"/>
    <w:rsid w:val="002A5EE3"/>
    <w:rsid w:val="002B2297"/>
    <w:rsid w:val="002B644E"/>
    <w:rsid w:val="002C009C"/>
    <w:rsid w:val="002C1EB1"/>
    <w:rsid w:val="002C3A8D"/>
    <w:rsid w:val="002C7C6D"/>
    <w:rsid w:val="002C7DF0"/>
    <w:rsid w:val="002D1053"/>
    <w:rsid w:val="002E0320"/>
    <w:rsid w:val="002E371D"/>
    <w:rsid w:val="002F070D"/>
    <w:rsid w:val="002F257B"/>
    <w:rsid w:val="002F38C8"/>
    <w:rsid w:val="00302C5C"/>
    <w:rsid w:val="003325D2"/>
    <w:rsid w:val="003909A7"/>
    <w:rsid w:val="003A57E4"/>
    <w:rsid w:val="003C4AA4"/>
    <w:rsid w:val="003E4B06"/>
    <w:rsid w:val="0042142D"/>
    <w:rsid w:val="00430C97"/>
    <w:rsid w:val="00432258"/>
    <w:rsid w:val="00447E89"/>
    <w:rsid w:val="00475FC0"/>
    <w:rsid w:val="00483D6B"/>
    <w:rsid w:val="0048651A"/>
    <w:rsid w:val="00491E9A"/>
    <w:rsid w:val="004C0823"/>
    <w:rsid w:val="004C1FD8"/>
    <w:rsid w:val="004C2A6E"/>
    <w:rsid w:val="004C432F"/>
    <w:rsid w:val="004D5719"/>
    <w:rsid w:val="00507B29"/>
    <w:rsid w:val="00542090"/>
    <w:rsid w:val="00556064"/>
    <w:rsid w:val="00575541"/>
    <w:rsid w:val="00576894"/>
    <w:rsid w:val="00576A95"/>
    <w:rsid w:val="005813E0"/>
    <w:rsid w:val="0059034C"/>
    <w:rsid w:val="00594317"/>
    <w:rsid w:val="005B3ED2"/>
    <w:rsid w:val="005B5614"/>
    <w:rsid w:val="005D18DF"/>
    <w:rsid w:val="0061199D"/>
    <w:rsid w:val="0062693E"/>
    <w:rsid w:val="00667BE1"/>
    <w:rsid w:val="00690BCF"/>
    <w:rsid w:val="006937D3"/>
    <w:rsid w:val="006A1BA2"/>
    <w:rsid w:val="006B0812"/>
    <w:rsid w:val="006B088F"/>
    <w:rsid w:val="006C21BC"/>
    <w:rsid w:val="006F6924"/>
    <w:rsid w:val="006F7E7E"/>
    <w:rsid w:val="00700F77"/>
    <w:rsid w:val="00704ECD"/>
    <w:rsid w:val="00724F5C"/>
    <w:rsid w:val="0074214E"/>
    <w:rsid w:val="00742E4A"/>
    <w:rsid w:val="00770AE4"/>
    <w:rsid w:val="0078702D"/>
    <w:rsid w:val="00795D57"/>
    <w:rsid w:val="007A5FBD"/>
    <w:rsid w:val="007A7C7C"/>
    <w:rsid w:val="007A7CDC"/>
    <w:rsid w:val="007C3C14"/>
    <w:rsid w:val="007E34D6"/>
    <w:rsid w:val="007E3849"/>
    <w:rsid w:val="007E3B8D"/>
    <w:rsid w:val="008114AC"/>
    <w:rsid w:val="008151AB"/>
    <w:rsid w:val="00816268"/>
    <w:rsid w:val="00824D3A"/>
    <w:rsid w:val="00827B49"/>
    <w:rsid w:val="00863414"/>
    <w:rsid w:val="00872EFD"/>
    <w:rsid w:val="00880120"/>
    <w:rsid w:val="008B0F10"/>
    <w:rsid w:val="008C409A"/>
    <w:rsid w:val="008C775E"/>
    <w:rsid w:val="008D509E"/>
    <w:rsid w:val="008E7779"/>
    <w:rsid w:val="008F5231"/>
    <w:rsid w:val="009032D5"/>
    <w:rsid w:val="00903DEB"/>
    <w:rsid w:val="00956C8D"/>
    <w:rsid w:val="00977250"/>
    <w:rsid w:val="009850BE"/>
    <w:rsid w:val="00993241"/>
    <w:rsid w:val="009A583F"/>
    <w:rsid w:val="009B096B"/>
    <w:rsid w:val="009B3EF3"/>
    <w:rsid w:val="009D2551"/>
    <w:rsid w:val="009E37BF"/>
    <w:rsid w:val="00A30790"/>
    <w:rsid w:val="00A457D0"/>
    <w:rsid w:val="00A516C7"/>
    <w:rsid w:val="00A62218"/>
    <w:rsid w:val="00A741BB"/>
    <w:rsid w:val="00A871FB"/>
    <w:rsid w:val="00A93146"/>
    <w:rsid w:val="00A96141"/>
    <w:rsid w:val="00AD3238"/>
    <w:rsid w:val="00AE48D4"/>
    <w:rsid w:val="00AF010F"/>
    <w:rsid w:val="00B02133"/>
    <w:rsid w:val="00B06283"/>
    <w:rsid w:val="00B1474C"/>
    <w:rsid w:val="00B35B61"/>
    <w:rsid w:val="00B511FB"/>
    <w:rsid w:val="00B60E75"/>
    <w:rsid w:val="00B61107"/>
    <w:rsid w:val="00B6522A"/>
    <w:rsid w:val="00B74D71"/>
    <w:rsid w:val="00B83A6E"/>
    <w:rsid w:val="00B845A1"/>
    <w:rsid w:val="00B9678D"/>
    <w:rsid w:val="00BC2AFB"/>
    <w:rsid w:val="00BD26F5"/>
    <w:rsid w:val="00BF59E7"/>
    <w:rsid w:val="00C413D4"/>
    <w:rsid w:val="00C43335"/>
    <w:rsid w:val="00C64ECF"/>
    <w:rsid w:val="00C84812"/>
    <w:rsid w:val="00CA3BFF"/>
    <w:rsid w:val="00CA3C92"/>
    <w:rsid w:val="00CA7992"/>
    <w:rsid w:val="00CB1E3B"/>
    <w:rsid w:val="00CB631E"/>
    <w:rsid w:val="00CE7D65"/>
    <w:rsid w:val="00CF4E1F"/>
    <w:rsid w:val="00CF5D21"/>
    <w:rsid w:val="00D609BB"/>
    <w:rsid w:val="00D94A3F"/>
    <w:rsid w:val="00DA19FB"/>
    <w:rsid w:val="00DB4A71"/>
    <w:rsid w:val="00DB6400"/>
    <w:rsid w:val="00DE1119"/>
    <w:rsid w:val="00E124B5"/>
    <w:rsid w:val="00E25900"/>
    <w:rsid w:val="00E26883"/>
    <w:rsid w:val="00E3671F"/>
    <w:rsid w:val="00E416F6"/>
    <w:rsid w:val="00E449A9"/>
    <w:rsid w:val="00E55124"/>
    <w:rsid w:val="00E555E4"/>
    <w:rsid w:val="00E77BF8"/>
    <w:rsid w:val="00E97D42"/>
    <w:rsid w:val="00EA36C5"/>
    <w:rsid w:val="00EA6646"/>
    <w:rsid w:val="00EB213C"/>
    <w:rsid w:val="00EB73CB"/>
    <w:rsid w:val="00ED2663"/>
    <w:rsid w:val="00F21272"/>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02D"/>
    <w:rPr>
      <w:rFonts w:ascii="Times New Roman" w:eastAsia="Times New Roman" w:hAnsi="Times New Roman" w:cs="Times New Roman"/>
      <w:lang w:val="es-419"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C4CCE-EA4F-4D90-A08A-7BFD6DED8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4730</Words>
  <Characters>26020</Characters>
  <Application>Microsoft Office Word</Application>
  <DocSecurity>0</DocSecurity>
  <Lines>216</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asus</cp:lastModifiedBy>
  <cp:revision>2</cp:revision>
  <cp:lastPrinted>2020-04-16T16:22:00Z</cp:lastPrinted>
  <dcterms:created xsi:type="dcterms:W3CDTF">2021-04-05T21:49:00Z</dcterms:created>
  <dcterms:modified xsi:type="dcterms:W3CDTF">2021-04-05T21:49:00Z</dcterms:modified>
</cp:coreProperties>
</file>