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157FB" w14:textId="11F7D30B" w:rsidR="00250869" w:rsidRPr="003A78D2" w:rsidRDefault="00802DB6">
      <w:pPr>
        <w:pBdr>
          <w:top w:val="nil"/>
          <w:left w:val="nil"/>
          <w:bottom w:val="nil"/>
          <w:right w:val="nil"/>
          <w:between w:val="nil"/>
        </w:pBdr>
        <w:jc w:val="center"/>
        <w:rPr>
          <w:b/>
          <w:color w:val="000000"/>
          <w:sz w:val="36"/>
          <w:szCs w:val="36"/>
          <w:lang w:val="en-US"/>
        </w:rPr>
      </w:pPr>
      <w:r w:rsidRPr="003A78D2">
        <w:rPr>
          <w:b/>
          <w:color w:val="000000"/>
          <w:sz w:val="36"/>
          <w:szCs w:val="36"/>
          <w:lang w:val="en-US"/>
        </w:rPr>
        <w:t xml:space="preserve"> </w:t>
      </w:r>
      <w:r w:rsidR="003A78D2">
        <w:rPr>
          <w:b/>
          <w:color w:val="000000"/>
          <w:sz w:val="36"/>
          <w:szCs w:val="36"/>
          <w:lang w:val="en-US"/>
        </w:rPr>
        <w:t>ENRICHD Social Support Instrument: Psychometric properties and metric invariance between men and women</w:t>
      </w:r>
    </w:p>
    <w:p w14:paraId="426932D7" w14:textId="77777777" w:rsidR="00250869" w:rsidRPr="003A78D2" w:rsidRDefault="00250869">
      <w:pPr>
        <w:rPr>
          <w:b/>
          <w:lang w:val="en-US"/>
        </w:rPr>
      </w:pPr>
    </w:p>
    <w:p w14:paraId="58D04935" w14:textId="77777777" w:rsidR="00250869" w:rsidRPr="003A78D2" w:rsidRDefault="00250869">
      <w:pPr>
        <w:rPr>
          <w:i/>
          <w:sz w:val="28"/>
          <w:szCs w:val="28"/>
          <w:lang w:val="en-US"/>
        </w:rPr>
      </w:pPr>
    </w:p>
    <w:p w14:paraId="49954DB2" w14:textId="77777777" w:rsidR="00250869" w:rsidRPr="003A78D2" w:rsidRDefault="00802DB6">
      <w:pPr>
        <w:rPr>
          <w:rFonts w:ascii="Times" w:eastAsia="Times" w:hAnsi="Times" w:cs="Times"/>
          <w:i/>
          <w:sz w:val="28"/>
          <w:szCs w:val="28"/>
          <w:lang w:val="en-US"/>
        </w:rPr>
      </w:pPr>
      <w:r>
        <w:rPr>
          <w:noProof/>
        </w:rPr>
        <mc:AlternateContent>
          <mc:Choice Requires="wpg">
            <w:drawing>
              <wp:anchor distT="4294967295" distB="4294967295" distL="114300" distR="114300" simplePos="0" relativeHeight="251658240" behindDoc="0" locked="0" layoutInCell="1" hidden="0" allowOverlap="1" wp14:anchorId="1AF3C7A6" wp14:editId="153EDD6F">
                <wp:simplePos x="0" y="0"/>
                <wp:positionH relativeFrom="column">
                  <wp:posOffset>1</wp:posOffset>
                </wp:positionH>
                <wp:positionV relativeFrom="paragraph">
                  <wp:posOffset>55896</wp:posOffset>
                </wp:positionV>
                <wp:extent cx="6172200" cy="25400"/>
                <wp:effectExtent l="0" t="0" r="0" b="0"/>
                <wp:wrapNone/>
                <wp:docPr id="9" name="Conector recto de flecha 9"/>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172200" cy="25400"/>
                        </a:xfrm>
                        <a:prstGeom prst="rect"/>
                        <a:ln/>
                      </pic:spPr>
                    </pic:pic>
                  </a:graphicData>
                </a:graphic>
              </wp:anchor>
            </w:drawing>
          </mc:Fallback>
        </mc:AlternateContent>
      </w:r>
    </w:p>
    <w:p w14:paraId="7FD27E87" w14:textId="77777777" w:rsidR="00250869" w:rsidRPr="003A78D2" w:rsidRDefault="00250869">
      <w:pPr>
        <w:rPr>
          <w:b/>
          <w:sz w:val="20"/>
          <w:szCs w:val="20"/>
          <w:lang w:val="en-US"/>
        </w:rPr>
      </w:pPr>
    </w:p>
    <w:p w14:paraId="494CEB37" w14:textId="77777777" w:rsidR="00250869" w:rsidRPr="003A78D2" w:rsidRDefault="00802DB6">
      <w:pPr>
        <w:pBdr>
          <w:top w:val="nil"/>
          <w:left w:val="nil"/>
          <w:bottom w:val="nil"/>
          <w:right w:val="nil"/>
          <w:between w:val="nil"/>
        </w:pBdr>
        <w:spacing w:after="120"/>
        <w:jc w:val="center"/>
        <w:rPr>
          <w:b/>
          <w:smallCaps/>
          <w:color w:val="000000"/>
          <w:sz w:val="20"/>
          <w:szCs w:val="20"/>
          <w:lang w:val="en-US"/>
        </w:rPr>
      </w:pPr>
      <w:r w:rsidRPr="003A78D2">
        <w:rPr>
          <w:b/>
          <w:smallCaps/>
          <w:color w:val="000000"/>
          <w:sz w:val="20"/>
          <w:szCs w:val="20"/>
          <w:lang w:val="en-US"/>
        </w:rPr>
        <w:t>Abstract</w:t>
      </w:r>
    </w:p>
    <w:p w14:paraId="7F926133" w14:textId="77777777" w:rsidR="00250869" w:rsidRPr="003A78D2" w:rsidRDefault="00250869">
      <w:pPr>
        <w:jc w:val="both"/>
        <w:rPr>
          <w:sz w:val="20"/>
          <w:szCs w:val="20"/>
          <w:lang w:val="en-US"/>
        </w:rPr>
      </w:pPr>
    </w:p>
    <w:p w14:paraId="2DA7ECE5" w14:textId="3F655D98" w:rsidR="00250869" w:rsidRPr="003A78D2" w:rsidRDefault="00802DB6">
      <w:pPr>
        <w:rPr>
          <w:sz w:val="20"/>
          <w:szCs w:val="20"/>
          <w:lang w:val="en-US"/>
        </w:rPr>
      </w:pPr>
      <w:r w:rsidRPr="003A78D2">
        <w:rPr>
          <w:sz w:val="20"/>
          <w:szCs w:val="20"/>
          <w:lang w:val="en-US"/>
        </w:rPr>
        <w:t>Background</w:t>
      </w:r>
      <w:r w:rsidR="003A78D2">
        <w:rPr>
          <w:sz w:val="20"/>
          <w:szCs w:val="20"/>
          <w:lang w:val="en-US"/>
        </w:rPr>
        <w:t>:</w:t>
      </w:r>
      <w:r w:rsidRPr="003A78D2">
        <w:rPr>
          <w:sz w:val="20"/>
          <w:szCs w:val="20"/>
          <w:lang w:val="en-US"/>
        </w:rPr>
        <w:t xml:space="preserve"> Perceived social support is a variable highly relevant for the health-disease process. Thus, it is crucial to have available valid and reliable measures for measuring it. Therefore, we aimed to determine the psychometric properties of the ENRICHD Social Support Instrument, in both a sample of undergraduate and a sample of adults. Moreover, we sought to determine whether the scale is invariant between men and women. Method: Two non-probabilistic samples were studied. Sample 1 was comprised of 538 undergraduate, and sample 2 collected data from 446 adults. Exploratory Factor Analyses, Confirmatory Factor Analyses, and internal consistency were conducted. A multigroup confirmatory factor analysis was performed testing for invariance among men and women. Results: The scale reliability was excellent in both samples. A single factor was confirmed in both undergraduate and adults. The scale is metrically invariant. Conclusions: ESSI is a reliable and valid scale. Its single factor structure is metrically invariant among men and women, and Its small number of items, suggests that this scale can be used for measuring the perceived social support reliably and validly, in both undergraduate and adults’ people.</w:t>
      </w:r>
    </w:p>
    <w:p w14:paraId="1E37E157" w14:textId="77777777" w:rsidR="00250869" w:rsidRPr="003A78D2" w:rsidRDefault="00250869">
      <w:pPr>
        <w:jc w:val="both"/>
        <w:rPr>
          <w:i/>
          <w:sz w:val="20"/>
          <w:szCs w:val="20"/>
          <w:lang w:val="en-US"/>
        </w:rPr>
      </w:pPr>
    </w:p>
    <w:p w14:paraId="60CC7968" w14:textId="77777777" w:rsidR="00250869" w:rsidRPr="003A78D2" w:rsidRDefault="00802DB6">
      <w:pPr>
        <w:jc w:val="both"/>
        <w:rPr>
          <w:b/>
          <w:sz w:val="20"/>
          <w:szCs w:val="20"/>
          <w:lang w:val="en-US"/>
        </w:rPr>
      </w:pPr>
      <w:r w:rsidRPr="003A78D2">
        <w:rPr>
          <w:b/>
          <w:sz w:val="20"/>
          <w:szCs w:val="20"/>
          <w:lang w:val="en-US"/>
        </w:rPr>
        <w:t xml:space="preserve">Keywords: </w:t>
      </w:r>
    </w:p>
    <w:p w14:paraId="1F5A6A78" w14:textId="77777777" w:rsidR="00250869" w:rsidRPr="003A78D2" w:rsidRDefault="00802DB6">
      <w:pPr>
        <w:jc w:val="both"/>
        <w:rPr>
          <w:sz w:val="20"/>
          <w:szCs w:val="20"/>
          <w:lang w:val="en-US"/>
        </w:rPr>
      </w:pPr>
      <w:r w:rsidRPr="003A78D2">
        <w:rPr>
          <w:sz w:val="20"/>
          <w:szCs w:val="20"/>
          <w:lang w:val="en-US"/>
        </w:rPr>
        <w:t>Perceived social support; Confirmatory factor analysis; Metric invariance; Internal consistency.</w:t>
      </w:r>
    </w:p>
    <w:p w14:paraId="6AB32F58" w14:textId="77777777" w:rsidR="00250869" w:rsidRPr="003A78D2" w:rsidRDefault="00250869">
      <w:pPr>
        <w:jc w:val="both"/>
        <w:rPr>
          <w:sz w:val="20"/>
          <w:szCs w:val="20"/>
          <w:lang w:val="en-US"/>
        </w:rPr>
      </w:pPr>
    </w:p>
    <w:p w14:paraId="772C342F" w14:textId="77777777" w:rsidR="00250869" w:rsidRPr="003A78D2" w:rsidRDefault="00250869">
      <w:pPr>
        <w:jc w:val="both"/>
        <w:rPr>
          <w:sz w:val="20"/>
          <w:szCs w:val="20"/>
          <w:lang w:val="en-US"/>
        </w:rPr>
      </w:pPr>
    </w:p>
    <w:p w14:paraId="75DADA85" w14:textId="77777777" w:rsidR="00250869" w:rsidRPr="003A78D2" w:rsidRDefault="00250869">
      <w:pPr>
        <w:jc w:val="both"/>
        <w:rPr>
          <w:sz w:val="20"/>
          <w:szCs w:val="20"/>
          <w:lang w:val="en-US"/>
        </w:rPr>
      </w:pPr>
      <w:bookmarkStart w:id="0" w:name="_heading=h.gjdgxs" w:colFirst="0" w:colLast="0"/>
      <w:bookmarkEnd w:id="0"/>
    </w:p>
    <w:p w14:paraId="67FE0C70" w14:textId="77777777" w:rsidR="00250869" w:rsidRDefault="00802DB6">
      <w:pPr>
        <w:pBdr>
          <w:top w:val="nil"/>
          <w:left w:val="nil"/>
          <w:bottom w:val="nil"/>
          <w:right w:val="nil"/>
          <w:between w:val="nil"/>
        </w:pBdr>
        <w:spacing w:after="120"/>
        <w:jc w:val="center"/>
        <w:rPr>
          <w:b/>
          <w:smallCaps/>
          <w:color w:val="000000"/>
          <w:sz w:val="20"/>
          <w:szCs w:val="20"/>
        </w:rPr>
      </w:pPr>
      <w:r>
        <w:rPr>
          <w:b/>
          <w:smallCaps/>
          <w:color w:val="000000"/>
          <w:sz w:val="20"/>
          <w:szCs w:val="20"/>
        </w:rPr>
        <w:t>Resumen</w:t>
      </w:r>
    </w:p>
    <w:p w14:paraId="183002BA" w14:textId="2EC46CFB" w:rsidR="00250869" w:rsidRDefault="00802DB6">
      <w:pPr>
        <w:rPr>
          <w:sz w:val="20"/>
          <w:szCs w:val="20"/>
        </w:rPr>
      </w:pPr>
      <w:r>
        <w:rPr>
          <w:sz w:val="20"/>
          <w:szCs w:val="20"/>
        </w:rPr>
        <w:t xml:space="preserve">Introducción: El apoyo social percibido es una variable relevante en los procesos de salud-enfermedad. De esta forma, es importante contar con instrumentos válidos y confiables para medir este constructo. El objetivo de este estudio fue determinar las propiedades psicométricas del ENRICHD Social </w:t>
      </w:r>
      <w:proofErr w:type="spellStart"/>
      <w:r>
        <w:rPr>
          <w:sz w:val="20"/>
          <w:szCs w:val="20"/>
        </w:rPr>
        <w:t>Support</w:t>
      </w:r>
      <w:proofErr w:type="spellEnd"/>
      <w:r>
        <w:rPr>
          <w:sz w:val="20"/>
          <w:szCs w:val="20"/>
        </w:rPr>
        <w:t xml:space="preserve"> </w:t>
      </w:r>
      <w:proofErr w:type="spellStart"/>
      <w:r>
        <w:rPr>
          <w:sz w:val="20"/>
          <w:szCs w:val="20"/>
        </w:rPr>
        <w:t>Instrument</w:t>
      </w:r>
      <w:proofErr w:type="spellEnd"/>
      <w:r>
        <w:rPr>
          <w:sz w:val="20"/>
          <w:szCs w:val="20"/>
        </w:rPr>
        <w:t xml:space="preserve"> en dos muestras diferentes, una de universitarios y otra de adultos, y estimar la </w:t>
      </w:r>
      <w:proofErr w:type="spellStart"/>
      <w:r>
        <w:rPr>
          <w:sz w:val="20"/>
          <w:szCs w:val="20"/>
        </w:rPr>
        <w:t>invarianza</w:t>
      </w:r>
      <w:proofErr w:type="spellEnd"/>
      <w:r>
        <w:rPr>
          <w:sz w:val="20"/>
          <w:szCs w:val="20"/>
        </w:rPr>
        <w:t xml:space="preserve"> métrica de esta escala entre hombres y mujeres. Método: Dos muestras no probabilísticas fueron seleccionadas. Una de estudiantes universitarios (</w:t>
      </w:r>
      <w:r>
        <w:rPr>
          <w:i/>
          <w:sz w:val="20"/>
          <w:szCs w:val="20"/>
        </w:rPr>
        <w:t>n</w:t>
      </w:r>
      <w:r>
        <w:rPr>
          <w:sz w:val="20"/>
          <w:szCs w:val="20"/>
        </w:rPr>
        <w:t xml:space="preserve"> = 538) y una de adultos (</w:t>
      </w:r>
      <w:r>
        <w:rPr>
          <w:i/>
          <w:sz w:val="20"/>
          <w:szCs w:val="20"/>
        </w:rPr>
        <w:t xml:space="preserve">n </w:t>
      </w:r>
      <w:r>
        <w:rPr>
          <w:sz w:val="20"/>
          <w:szCs w:val="20"/>
        </w:rPr>
        <w:t xml:space="preserve">= 446). En ambas muestras se realizó análisis factorial exploratorio y confirmatorio, y estimación de consistencia interna. Con la totalidad de la muestra, se estimó la </w:t>
      </w:r>
      <w:proofErr w:type="spellStart"/>
      <w:r>
        <w:rPr>
          <w:sz w:val="20"/>
          <w:szCs w:val="20"/>
        </w:rPr>
        <w:t>invarianza</w:t>
      </w:r>
      <w:proofErr w:type="spellEnd"/>
      <w:r>
        <w:rPr>
          <w:sz w:val="20"/>
          <w:szCs w:val="20"/>
        </w:rPr>
        <w:t xml:space="preserve"> métrica de la escala. Resultados: Los análisis de confiabilidad en ambas muestras son excelentes (0.89 en universitarios y 0.90 en adultos). En ambas muestras se confirma una estructura </w:t>
      </w:r>
      <w:proofErr w:type="spellStart"/>
      <w:r>
        <w:rPr>
          <w:sz w:val="20"/>
          <w:szCs w:val="20"/>
        </w:rPr>
        <w:t>unifactorial</w:t>
      </w:r>
      <w:proofErr w:type="spellEnd"/>
      <w:r>
        <w:rPr>
          <w:sz w:val="20"/>
          <w:szCs w:val="20"/>
        </w:rPr>
        <w:t xml:space="preserve">. La escala resulta ser invariante métricamente entre hombres y mujeres. Discusión: La escala posee adecuadas propiedades psicométricas. Su estructura es </w:t>
      </w:r>
      <w:proofErr w:type="spellStart"/>
      <w:r>
        <w:rPr>
          <w:sz w:val="20"/>
          <w:szCs w:val="20"/>
        </w:rPr>
        <w:t>unifactorial</w:t>
      </w:r>
      <w:proofErr w:type="spellEnd"/>
      <w:r>
        <w:rPr>
          <w:sz w:val="20"/>
          <w:szCs w:val="20"/>
        </w:rPr>
        <w:t xml:space="preserve"> e invariante entre hombres y mujeres, sumado a su número limitado de ítems, indican que la escala puede ser utilizada para medir el con</w:t>
      </w:r>
      <w:r w:rsidR="003A78D2">
        <w:rPr>
          <w:sz w:val="20"/>
          <w:szCs w:val="20"/>
        </w:rPr>
        <w:t>s</w:t>
      </w:r>
      <w:r>
        <w:rPr>
          <w:sz w:val="20"/>
          <w:szCs w:val="20"/>
        </w:rPr>
        <w:t xml:space="preserve">tructo en forma válida y confiable en estudiantes, adultos, hombres y mujeres. </w:t>
      </w:r>
    </w:p>
    <w:p w14:paraId="04E54B7A" w14:textId="77777777" w:rsidR="00250869" w:rsidRDefault="00250869">
      <w:pPr>
        <w:rPr>
          <w:i/>
          <w:sz w:val="20"/>
          <w:szCs w:val="20"/>
        </w:rPr>
      </w:pPr>
    </w:p>
    <w:p w14:paraId="6B8D39BF" w14:textId="77777777" w:rsidR="00250869" w:rsidRDefault="00802DB6">
      <w:pPr>
        <w:rPr>
          <w:b/>
          <w:sz w:val="20"/>
          <w:szCs w:val="20"/>
        </w:rPr>
      </w:pPr>
      <w:r>
        <w:rPr>
          <w:b/>
          <w:sz w:val="20"/>
          <w:szCs w:val="20"/>
        </w:rPr>
        <w:t>Palabras clave:</w:t>
      </w:r>
    </w:p>
    <w:p w14:paraId="23ED3798" w14:textId="77777777" w:rsidR="00250869" w:rsidRDefault="00802DB6">
      <w:pPr>
        <w:rPr>
          <w:sz w:val="20"/>
          <w:szCs w:val="20"/>
        </w:rPr>
      </w:pPr>
      <w:r>
        <w:rPr>
          <w:sz w:val="20"/>
          <w:szCs w:val="20"/>
        </w:rPr>
        <w:t xml:space="preserve">Apoyo social Percibido; Análisis Factorial confirmatorio; </w:t>
      </w:r>
      <w:proofErr w:type="spellStart"/>
      <w:r>
        <w:rPr>
          <w:sz w:val="20"/>
          <w:szCs w:val="20"/>
        </w:rPr>
        <w:t>Invarianza</w:t>
      </w:r>
      <w:proofErr w:type="spellEnd"/>
      <w:r>
        <w:rPr>
          <w:sz w:val="20"/>
          <w:szCs w:val="20"/>
        </w:rPr>
        <w:t xml:space="preserve"> métrica; Consistencia Interna.  </w:t>
      </w:r>
    </w:p>
    <w:p w14:paraId="5E7A8893" w14:textId="77777777" w:rsidR="00250869" w:rsidRDefault="00802DB6">
      <w:pPr>
        <w:jc w:val="both"/>
        <w:rPr>
          <w:sz w:val="20"/>
          <w:szCs w:val="20"/>
        </w:rPr>
      </w:pPr>
      <w:r>
        <w:rPr>
          <w:noProof/>
        </w:rPr>
        <w:drawing>
          <wp:anchor distT="0" distB="0" distL="114300" distR="114300" simplePos="0" relativeHeight="251659264" behindDoc="0" locked="0" layoutInCell="1" hidden="0" allowOverlap="1" wp14:anchorId="27C1B2A8" wp14:editId="4CEFADDF">
            <wp:simplePos x="0" y="0"/>
            <wp:positionH relativeFrom="column">
              <wp:posOffset>5400675</wp:posOffset>
            </wp:positionH>
            <wp:positionV relativeFrom="paragraph">
              <wp:posOffset>0</wp:posOffset>
            </wp:positionV>
            <wp:extent cx="396000" cy="259200"/>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96000" cy="259200"/>
                    </a:xfrm>
                    <a:prstGeom prst="rect">
                      <a:avLst/>
                    </a:prstGeom>
                    <a:ln/>
                  </pic:spPr>
                </pic:pic>
              </a:graphicData>
            </a:graphic>
          </wp:anchor>
        </w:drawing>
      </w:r>
    </w:p>
    <w:p w14:paraId="1DD65EC0" w14:textId="77777777" w:rsidR="00250869" w:rsidRDefault="00250869">
      <w:pPr>
        <w:rPr>
          <w:b/>
        </w:rPr>
      </w:pPr>
    </w:p>
    <w:p w14:paraId="43FD9C14" w14:textId="77777777" w:rsidR="00250869" w:rsidRDefault="00802DB6">
      <w:pPr>
        <w:pBdr>
          <w:top w:val="nil"/>
          <w:left w:val="nil"/>
          <w:bottom w:val="nil"/>
          <w:right w:val="nil"/>
          <w:between w:val="nil"/>
        </w:pBdr>
        <w:jc w:val="center"/>
        <w:rPr>
          <w:color w:val="000000"/>
        </w:rPr>
      </w:pPr>
      <w:r>
        <w:br w:type="page"/>
      </w:r>
      <w:r>
        <w:rPr>
          <w:color w:val="000000"/>
        </w:rPr>
        <w:lastRenderedPageBreak/>
        <w:t xml:space="preserve">Propiedades psicométricas de la escala ENRICHD Social </w:t>
      </w:r>
      <w:proofErr w:type="spellStart"/>
      <w:r>
        <w:rPr>
          <w:color w:val="000000"/>
        </w:rPr>
        <w:t>Support</w:t>
      </w:r>
      <w:proofErr w:type="spellEnd"/>
      <w:r>
        <w:rPr>
          <w:color w:val="000000"/>
        </w:rPr>
        <w:t xml:space="preserve"> </w:t>
      </w:r>
      <w:proofErr w:type="spellStart"/>
      <w:r>
        <w:rPr>
          <w:color w:val="000000"/>
        </w:rPr>
        <w:t>Instrument</w:t>
      </w:r>
      <w:proofErr w:type="spellEnd"/>
      <w:r>
        <w:rPr>
          <w:color w:val="000000"/>
        </w:rPr>
        <w:t xml:space="preserve">: Examen de su </w:t>
      </w:r>
      <w:proofErr w:type="spellStart"/>
      <w:r>
        <w:rPr>
          <w:color w:val="000000"/>
        </w:rPr>
        <w:t>invarianza</w:t>
      </w:r>
      <w:proofErr w:type="spellEnd"/>
      <w:r>
        <w:rPr>
          <w:color w:val="000000"/>
        </w:rPr>
        <w:t xml:space="preserve"> métrica entre hombres y mujeres</w:t>
      </w:r>
    </w:p>
    <w:p w14:paraId="73598B2C" w14:textId="77777777" w:rsidR="00250869" w:rsidRDefault="00802DB6">
      <w:pPr>
        <w:pBdr>
          <w:top w:val="nil"/>
          <w:left w:val="nil"/>
          <w:bottom w:val="nil"/>
          <w:right w:val="nil"/>
          <w:between w:val="nil"/>
        </w:pBdr>
        <w:jc w:val="center"/>
        <w:rPr>
          <w:b/>
          <w:color w:val="000000"/>
        </w:rPr>
      </w:pPr>
      <w:r>
        <w:rPr>
          <w:b/>
          <w:color w:val="000000"/>
        </w:rPr>
        <w:t>Introducción</w:t>
      </w:r>
    </w:p>
    <w:p w14:paraId="4D3D0401" w14:textId="77777777" w:rsidR="00250869" w:rsidRDefault="00802DB6">
      <w:pPr>
        <w:spacing w:line="360" w:lineRule="auto"/>
        <w:ind w:firstLine="708"/>
      </w:pPr>
      <w:r>
        <w:t>El apoyo social es el grado en que las necesidades sociales básicas de una persona, tales como afecto, afiliación, pertenencia, identidad, seguridad y aprobación, son satisfechas a través de la interacción con los demás (</w:t>
      </w:r>
      <w:proofErr w:type="spellStart"/>
      <w:r>
        <w:t>Thoits</w:t>
      </w:r>
      <w:proofErr w:type="spellEnd"/>
      <w:r>
        <w:t>, 2006). Este proceso interactivo, está compuesto por diferentes redes sociales, relaciones interpersonales y familiares, donde la persona obtiene ayuda emocional, instrumental, afectiva e informacional (</w:t>
      </w:r>
      <w:proofErr w:type="spellStart"/>
      <w:r>
        <w:t>Roukova</w:t>
      </w:r>
      <w:proofErr w:type="spellEnd"/>
      <w:r>
        <w:t xml:space="preserve"> et al., 2015). Además, este constructo se caracteriza por su estabilidad temporal (</w:t>
      </w:r>
      <w:proofErr w:type="spellStart"/>
      <w:r>
        <w:t>Uchino</w:t>
      </w:r>
      <w:proofErr w:type="spellEnd"/>
      <w:r>
        <w:t xml:space="preserve">, 2009). </w:t>
      </w:r>
    </w:p>
    <w:p w14:paraId="38CF7F4B" w14:textId="77777777" w:rsidR="00250869" w:rsidRDefault="00802DB6">
      <w:pPr>
        <w:spacing w:line="360" w:lineRule="auto"/>
        <w:ind w:firstLine="708"/>
      </w:pPr>
      <w:r>
        <w:t>El apoyo social se vincula con desenlaces positivos en salud física, entre los que se destacan la longevidad (</w:t>
      </w:r>
      <w:proofErr w:type="spellStart"/>
      <w:r>
        <w:t>Nguyen</w:t>
      </w:r>
      <w:proofErr w:type="spellEnd"/>
      <w:r>
        <w:t xml:space="preserve">, 2017) y la disminución del riesgo de deterioro cognitivo (Yin, Yang, </w:t>
      </w:r>
      <w:proofErr w:type="spellStart"/>
      <w:r>
        <w:t>Xiong</w:t>
      </w:r>
      <w:proofErr w:type="spellEnd"/>
      <w:r>
        <w:t xml:space="preserve">, Li, &amp; </w:t>
      </w:r>
      <w:proofErr w:type="spellStart"/>
      <w:r>
        <w:t>Zhu</w:t>
      </w:r>
      <w:proofErr w:type="spellEnd"/>
      <w:r>
        <w:t>, 2020). En el contexto de enfermedades crónicas, el apoyo social promueve el bienestar y la adherencia al tratamiento en patologías como diabetes mellitus (</w:t>
      </w:r>
      <w:proofErr w:type="spellStart"/>
      <w:r>
        <w:t>Brinkhues</w:t>
      </w:r>
      <w:proofErr w:type="spellEnd"/>
      <w:r>
        <w:t xml:space="preserve"> et al., 2017; Levy, </w:t>
      </w:r>
      <w:proofErr w:type="spellStart"/>
      <w:r>
        <w:t>Deschênes</w:t>
      </w:r>
      <w:proofErr w:type="spellEnd"/>
      <w:r>
        <w:t xml:space="preserve">, Burns, </w:t>
      </w:r>
      <w:proofErr w:type="spellStart"/>
      <w:r>
        <w:t>Elgendy</w:t>
      </w:r>
      <w:proofErr w:type="spellEnd"/>
      <w:r>
        <w:t xml:space="preserve">, &amp; </w:t>
      </w:r>
      <w:proofErr w:type="spellStart"/>
      <w:r>
        <w:t>Schmitz</w:t>
      </w:r>
      <w:proofErr w:type="spellEnd"/>
      <w:r>
        <w:t xml:space="preserve">, 2018), hipertensión arterial (Lu et al., 2019; Yang, </w:t>
      </w:r>
      <w:proofErr w:type="spellStart"/>
      <w:r>
        <w:t>Boen</w:t>
      </w:r>
      <w:proofErr w:type="spellEnd"/>
      <w:r>
        <w:t>, &amp; Mullan Harris, 2014), VIH (</w:t>
      </w:r>
      <w:proofErr w:type="spellStart"/>
      <w:r>
        <w:t>Casale</w:t>
      </w:r>
      <w:proofErr w:type="spellEnd"/>
      <w:r>
        <w:t xml:space="preserve">, </w:t>
      </w:r>
      <w:proofErr w:type="spellStart"/>
      <w:r>
        <w:t>Pantelic</w:t>
      </w:r>
      <w:proofErr w:type="spellEnd"/>
      <w:r>
        <w:t xml:space="preserve">, </w:t>
      </w:r>
      <w:proofErr w:type="spellStart"/>
      <w:r>
        <w:t>Cluver</w:t>
      </w:r>
      <w:proofErr w:type="spellEnd"/>
      <w:r>
        <w:t xml:space="preserve">, Boyes, &amp; </w:t>
      </w:r>
      <w:proofErr w:type="spellStart"/>
      <w:r>
        <w:t>Toska</w:t>
      </w:r>
      <w:proofErr w:type="spellEnd"/>
      <w:r>
        <w:t>, 2018; Mao et al., 2019) y cáncer (</w:t>
      </w:r>
      <w:proofErr w:type="spellStart"/>
      <w:r>
        <w:t>Merluzzi</w:t>
      </w:r>
      <w:proofErr w:type="spellEnd"/>
      <w:r>
        <w:t xml:space="preserve"> et al., 2019). </w:t>
      </w:r>
    </w:p>
    <w:p w14:paraId="0B532D6D" w14:textId="0FA78568" w:rsidR="00250869" w:rsidRDefault="00802DB6">
      <w:pPr>
        <w:spacing w:line="360" w:lineRule="auto"/>
        <w:ind w:firstLine="708"/>
      </w:pPr>
      <w:r>
        <w:t>En términos de salud mental, el apoyo social representa un factor protector para la depresión (</w:t>
      </w:r>
      <w:proofErr w:type="spellStart"/>
      <w:r>
        <w:t>Casale</w:t>
      </w:r>
      <w:proofErr w:type="spellEnd"/>
      <w:r>
        <w:t xml:space="preserve"> et al., 2018; Li, </w:t>
      </w:r>
      <w:proofErr w:type="spellStart"/>
      <w:r>
        <w:t>Jiang</w:t>
      </w:r>
      <w:proofErr w:type="spellEnd"/>
      <w:r>
        <w:t>, &amp; Zhang, 2019), la ansiedad (</w:t>
      </w:r>
      <w:proofErr w:type="spellStart"/>
      <w:r>
        <w:t>Gnilka</w:t>
      </w:r>
      <w:proofErr w:type="spellEnd"/>
      <w:r>
        <w:t xml:space="preserve"> &amp; </w:t>
      </w:r>
      <w:proofErr w:type="spellStart"/>
      <w:r>
        <w:t>Broda</w:t>
      </w:r>
      <w:proofErr w:type="spellEnd"/>
      <w:r>
        <w:t xml:space="preserve">, 2019; Rodríguez </w:t>
      </w:r>
      <w:proofErr w:type="spellStart"/>
      <w:r>
        <w:t>Leis</w:t>
      </w:r>
      <w:proofErr w:type="spellEnd"/>
      <w:r>
        <w:t xml:space="preserve"> &amp; Flores Gallegos, 2018), las adicciones (Cao, Burton, &amp; </w:t>
      </w:r>
      <w:proofErr w:type="spellStart"/>
      <w:r>
        <w:t>Liu</w:t>
      </w:r>
      <w:proofErr w:type="spellEnd"/>
      <w:r>
        <w:t xml:space="preserve">, 2018; </w:t>
      </w:r>
      <w:proofErr w:type="spellStart"/>
      <w:r>
        <w:t>Documet</w:t>
      </w:r>
      <w:proofErr w:type="spellEnd"/>
      <w:r>
        <w:t xml:space="preserve">, </w:t>
      </w:r>
      <w:proofErr w:type="spellStart"/>
      <w:r>
        <w:t>Troyer</w:t>
      </w:r>
      <w:proofErr w:type="spellEnd"/>
      <w:r>
        <w:t xml:space="preserve">, &amp; </w:t>
      </w:r>
      <w:proofErr w:type="spellStart"/>
      <w:r>
        <w:t>Macia</w:t>
      </w:r>
      <w:proofErr w:type="spellEnd"/>
      <w:r>
        <w:t xml:space="preserve">, 2019; </w:t>
      </w:r>
      <w:proofErr w:type="spellStart"/>
      <w:r>
        <w:t>McGaffin</w:t>
      </w:r>
      <w:proofErr w:type="spellEnd"/>
      <w:r>
        <w:t xml:space="preserve">, </w:t>
      </w:r>
      <w:proofErr w:type="spellStart"/>
      <w:r>
        <w:t>Deane</w:t>
      </w:r>
      <w:proofErr w:type="spellEnd"/>
      <w:r>
        <w:t xml:space="preserve">, Kelly, &amp; </w:t>
      </w:r>
      <w:proofErr w:type="spellStart"/>
      <w:r>
        <w:t>Blackman</w:t>
      </w:r>
      <w:proofErr w:type="spellEnd"/>
      <w:r>
        <w:t>, 2018), el estrés psicológico (Ponsoda &amp; Díaz, 2017) y la recuperación frente al intento de suicidio (</w:t>
      </w:r>
      <w:proofErr w:type="spellStart"/>
      <w:r>
        <w:t>Matel</w:t>
      </w:r>
      <w:proofErr w:type="spellEnd"/>
      <w:r>
        <w:t xml:space="preserve">-Anderson, </w:t>
      </w:r>
      <w:proofErr w:type="spellStart"/>
      <w:r>
        <w:t>Bekhet</w:t>
      </w:r>
      <w:proofErr w:type="spellEnd"/>
      <w:r>
        <w:t xml:space="preserve">, &amp; </w:t>
      </w:r>
      <w:proofErr w:type="spellStart"/>
      <w:r>
        <w:t>Garnier</w:t>
      </w:r>
      <w:proofErr w:type="spellEnd"/>
      <w:r>
        <w:t xml:space="preserve">-Villarreal, 2019). Conjuntamente, aporta a la calidad de vida (Cao et al., 2018; </w:t>
      </w:r>
      <w:proofErr w:type="spellStart"/>
      <w:r>
        <w:t>Finck</w:t>
      </w:r>
      <w:proofErr w:type="spellEnd"/>
      <w:r>
        <w:t xml:space="preserve">, Barradas, </w:t>
      </w:r>
      <w:proofErr w:type="spellStart"/>
      <w:r>
        <w:t>Zenger</w:t>
      </w:r>
      <w:proofErr w:type="spellEnd"/>
      <w:r>
        <w:t xml:space="preserve">, &amp; </w:t>
      </w:r>
      <w:proofErr w:type="spellStart"/>
      <w:r>
        <w:t>Hinz</w:t>
      </w:r>
      <w:proofErr w:type="spellEnd"/>
      <w:r>
        <w:t>, 2017), el bienestar psicológico (Pérez &amp; Marqués, 2018), y la satisfacción vital (</w:t>
      </w:r>
      <w:proofErr w:type="spellStart"/>
      <w:r>
        <w:t>Yildirim</w:t>
      </w:r>
      <w:proofErr w:type="spellEnd"/>
      <w:r>
        <w:t xml:space="preserve"> &amp; </w:t>
      </w:r>
      <w:proofErr w:type="spellStart"/>
      <w:r>
        <w:t>Çelik-Tanriverdi</w:t>
      </w:r>
      <w:proofErr w:type="spellEnd"/>
      <w:r>
        <w:t xml:space="preserve">, 2020). </w:t>
      </w:r>
    </w:p>
    <w:p w14:paraId="11026586" w14:textId="77777777" w:rsidR="00250869" w:rsidRDefault="00802DB6">
      <w:pPr>
        <w:spacing w:line="360" w:lineRule="auto"/>
        <w:ind w:firstLine="708"/>
      </w:pPr>
      <w:r>
        <w:t>La literatura científica demuestra la existencia de diferencias en cómo hombres y mujeres experimentan el apoyo social (</w:t>
      </w:r>
      <w:proofErr w:type="spellStart"/>
      <w:r>
        <w:t>Cabanach</w:t>
      </w:r>
      <w:proofErr w:type="spellEnd"/>
      <w:r>
        <w:t xml:space="preserve">, Fariña, Freire, González, &amp; </w:t>
      </w:r>
      <w:proofErr w:type="spellStart"/>
      <w:r>
        <w:t>Ferradás</w:t>
      </w:r>
      <w:proofErr w:type="spellEnd"/>
      <w:r>
        <w:t xml:space="preserve">, 2018). Estas discrepancias, estarían vinculadas a cómo ambos sexos son capaces de afrontar problemas (Vélez, López, &amp; </w:t>
      </w:r>
      <w:proofErr w:type="spellStart"/>
      <w:r>
        <w:t>Rajmil</w:t>
      </w:r>
      <w:proofErr w:type="spellEnd"/>
      <w:r>
        <w:t>, 2009), combatir el estrés (González et al., 2016) y sobrellevar la soledad (</w:t>
      </w:r>
      <w:proofErr w:type="spellStart"/>
      <w:r>
        <w:t>Henriksen</w:t>
      </w:r>
      <w:proofErr w:type="spellEnd"/>
      <w:r>
        <w:t xml:space="preserve">, </w:t>
      </w:r>
      <w:proofErr w:type="spellStart"/>
      <w:r>
        <w:t>Larsen</w:t>
      </w:r>
      <w:proofErr w:type="spellEnd"/>
      <w:r>
        <w:t xml:space="preserve">, </w:t>
      </w:r>
      <w:proofErr w:type="spellStart"/>
      <w:r>
        <w:t>Mattisson</w:t>
      </w:r>
      <w:proofErr w:type="spellEnd"/>
      <w:r>
        <w:t xml:space="preserve">, &amp; </w:t>
      </w:r>
      <w:proofErr w:type="spellStart"/>
      <w:r>
        <w:t>Andersson</w:t>
      </w:r>
      <w:proofErr w:type="spellEnd"/>
      <w:r>
        <w:t xml:space="preserve">, 2019). Estudios clásicos en Psicología dan cuenta que las mujeres buscan mayor apoyo social y se benefician más de éste en comparación a los hombres (Taylor et al., 2000). Además, desde un punto de vista biológico, se ha demostrado que la hormona </w:t>
      </w:r>
      <w:proofErr w:type="spellStart"/>
      <w:r>
        <w:t>oxitocina</w:t>
      </w:r>
      <w:proofErr w:type="spellEnd"/>
      <w:r>
        <w:t xml:space="preserve">, mayormente producida por mujeres que hombres, tiene un rol central </w:t>
      </w:r>
      <w:r>
        <w:lastRenderedPageBreak/>
        <w:t>en el establecimiento de relaciones sociales, en la búsqueda de apoyo social y en las respuestas de afiliación (Taylor, 2004). Lo anterior, podría explicar en parte las diferencias en los procesos de salud-enfermedad de hombres y mujeres (</w:t>
      </w:r>
      <w:proofErr w:type="spellStart"/>
      <w:r>
        <w:t>Berard</w:t>
      </w:r>
      <w:proofErr w:type="spellEnd"/>
      <w:r>
        <w:t xml:space="preserve">, </w:t>
      </w:r>
      <w:proofErr w:type="spellStart"/>
      <w:r>
        <w:t>Vandenkerkhof</w:t>
      </w:r>
      <w:proofErr w:type="spellEnd"/>
      <w:r>
        <w:t xml:space="preserve">, Harrison, &amp; </w:t>
      </w:r>
      <w:proofErr w:type="spellStart"/>
      <w:r>
        <w:t>Tranmer</w:t>
      </w:r>
      <w:proofErr w:type="spellEnd"/>
      <w:r>
        <w:t xml:space="preserve">, 2012). </w:t>
      </w:r>
    </w:p>
    <w:p w14:paraId="23FD7EA1" w14:textId="77777777" w:rsidR="00250869" w:rsidRDefault="00802DB6">
      <w:pPr>
        <w:spacing w:line="360" w:lineRule="auto"/>
        <w:ind w:firstLine="708"/>
      </w:pPr>
      <w:r>
        <w:t xml:space="preserve">En Chile se dispone de instrumentos que permiten evaluar la percepción de apoyo social y que han sido previamente validados. Entre ellos, está el Medical </w:t>
      </w:r>
      <w:proofErr w:type="spellStart"/>
      <w:r>
        <w:t>Outcomes</w:t>
      </w:r>
      <w:proofErr w:type="spellEnd"/>
      <w:r>
        <w:t xml:space="preserve"> </w:t>
      </w:r>
      <w:proofErr w:type="spellStart"/>
      <w:r>
        <w:t>Study</w:t>
      </w:r>
      <w:proofErr w:type="spellEnd"/>
      <w:r>
        <w:t xml:space="preserve">-Social </w:t>
      </w:r>
      <w:proofErr w:type="spellStart"/>
      <w:r>
        <w:t>Support</w:t>
      </w:r>
      <w:proofErr w:type="spellEnd"/>
      <w:r>
        <w:t xml:space="preserve"> </w:t>
      </w:r>
      <w:proofErr w:type="spellStart"/>
      <w:r>
        <w:t>Survey</w:t>
      </w:r>
      <w:proofErr w:type="spellEnd"/>
      <w:r>
        <w:t xml:space="preserve"> (MOSS-SSS) (Revilla, Luna del </w:t>
      </w:r>
      <w:proofErr w:type="spellStart"/>
      <w:r>
        <w:t>Castilo</w:t>
      </w:r>
      <w:proofErr w:type="spellEnd"/>
      <w:r>
        <w:t xml:space="preserve">, Bailón, &amp; Medina, 2005); la Escala Multidimensional de Apoyo Social (MSPSS) (Ortiz &amp; Baeza, 2011); la Escala DUFSS (Rivas-Diez, 2013); y la Escala De Percepción De Apoyo Social (EPAS) (Cárdenas, Barrientos, &amp; Ricci, 2015). El número de ítems de estas escalas oscila entre 10 y 20. </w:t>
      </w:r>
    </w:p>
    <w:p w14:paraId="4EEF9BC3" w14:textId="77777777" w:rsidR="00250869" w:rsidRDefault="00802DB6">
      <w:pPr>
        <w:spacing w:line="360" w:lineRule="auto"/>
        <w:ind w:firstLine="708"/>
        <w:jc w:val="both"/>
      </w:pPr>
      <w:r>
        <w:t xml:space="preserve">Una escala ampliamente utilizada en estudios epidemiológicos y sociales, pero que no cuenta con validaciones en Chile, es la Escala ENRICHD Social </w:t>
      </w:r>
      <w:proofErr w:type="spellStart"/>
      <w:r>
        <w:t>Support</w:t>
      </w:r>
      <w:proofErr w:type="spellEnd"/>
      <w:r>
        <w:t xml:space="preserve"> </w:t>
      </w:r>
      <w:proofErr w:type="spellStart"/>
      <w:r>
        <w:t>Instrument</w:t>
      </w:r>
      <w:proofErr w:type="spellEnd"/>
      <w:r>
        <w:t xml:space="preserve"> (ESSI)</w:t>
      </w:r>
      <w:r>
        <w:rPr>
          <w:highlight w:val="red"/>
        </w:rPr>
        <w:t xml:space="preserve"> </w:t>
      </w:r>
      <w:r>
        <w:t>(Mitchell et al., 2003). Este instrumento fue diseñado inicialmente para evaluar la percepción del apoyo social en pacientes con cardiopatía isquémica. El cuestionario original cuenta con 7 reactivos, analizando 4 dimensiones (emocional, instrumental, informativo y evaluación). Los primeros 6 ítems miden la frecuencia en que las personas han experimentado apoyo social, mientras que el último indaga sobre el estatus marital de los participantes con un formato de respuesta dicotómico (Si/No), por lo que suele excluirse de estudios de validez factorial. En esta línea, diversos estudios han demostrado el instrumento posee un buen comportamiento psicométrico con los primeros 6 ítems, evidenciando una adecuada consistencia interna, validez concurrente y predictiva (</w:t>
      </w:r>
      <w:proofErr w:type="spellStart"/>
      <w:r>
        <w:t>Cancino</w:t>
      </w:r>
      <w:proofErr w:type="spellEnd"/>
      <w:r>
        <w:t xml:space="preserve">, </w:t>
      </w:r>
      <w:proofErr w:type="spellStart"/>
      <w:r>
        <w:t>Rehbein-Felmer</w:t>
      </w:r>
      <w:proofErr w:type="spellEnd"/>
      <w:r>
        <w:t xml:space="preserve">, &amp; Ortiz, 2018; </w:t>
      </w:r>
      <w:proofErr w:type="spellStart"/>
      <w:r>
        <w:t>Kobayashi</w:t>
      </w:r>
      <w:proofErr w:type="spellEnd"/>
      <w:r>
        <w:t xml:space="preserve"> et al., 2017; </w:t>
      </w:r>
      <w:proofErr w:type="spellStart"/>
      <w:r>
        <w:t>Vaglio</w:t>
      </w:r>
      <w:proofErr w:type="spellEnd"/>
      <w:r>
        <w:t xml:space="preserve"> et al., 2004). Además, este instrumento es de breve aplicación y tabulación, permitiendo pesquisar rápida y eficazmente la percepción de apoyo social en las personas. </w:t>
      </w:r>
    </w:p>
    <w:p w14:paraId="5937674C" w14:textId="77777777" w:rsidR="00250869" w:rsidRDefault="00802DB6">
      <w:pPr>
        <w:spacing w:after="120" w:line="360" w:lineRule="auto"/>
        <w:ind w:firstLine="360"/>
        <w:jc w:val="both"/>
      </w:pPr>
      <w:r>
        <w:t xml:space="preserve">Dada la relevancia que el apoyo social tiene en salud mental y física, es necesario contar con instrumentos culturalmente pertinentes, que favorezcan una evaluación válida y confiable del constructo. Dado que la mayoría de los instrumentos disponibles poseen un mayor número de ítems y sólo algunos han sido sometidos a procesos de traducción y </w:t>
      </w:r>
      <w:proofErr w:type="spellStart"/>
      <w:r>
        <w:t>retrotraducción</w:t>
      </w:r>
      <w:proofErr w:type="spellEnd"/>
      <w:r>
        <w:t xml:space="preserve"> que posibilite su uso en población Hispano parlante, es que este estudio pretende llenar un vacío en la literatura, aportando evidencia sobre las propiedades psicométricas del ESSI en Chile. Por tanto, el objetivo de este estudio fue evaluar la fiabilidad y validez estructural de la escala ENRICHD Social </w:t>
      </w:r>
      <w:proofErr w:type="spellStart"/>
      <w:r>
        <w:t>Support</w:t>
      </w:r>
      <w:proofErr w:type="spellEnd"/>
      <w:r>
        <w:t xml:space="preserve"> </w:t>
      </w:r>
      <w:proofErr w:type="spellStart"/>
      <w:r>
        <w:lastRenderedPageBreak/>
        <w:t>Instrument</w:t>
      </w:r>
      <w:proofErr w:type="spellEnd"/>
      <w:r>
        <w:t xml:space="preserve">, en una muestra de estudiantes y adultos chilenos, y estimar si la escala es invariante desde un punto de vista métrico, entre hombres y mujeres. </w:t>
      </w:r>
    </w:p>
    <w:p w14:paraId="7A579334" w14:textId="77777777" w:rsidR="00250869" w:rsidRPr="00BD4FE7" w:rsidRDefault="00250869">
      <w:pPr>
        <w:pBdr>
          <w:top w:val="nil"/>
          <w:left w:val="nil"/>
          <w:bottom w:val="nil"/>
          <w:right w:val="nil"/>
          <w:between w:val="nil"/>
        </w:pBdr>
        <w:spacing w:line="360" w:lineRule="auto"/>
        <w:ind w:firstLine="708"/>
        <w:jc w:val="both"/>
        <w:rPr>
          <w:color w:val="000000"/>
          <w:lang w:val="es-CL"/>
        </w:rPr>
      </w:pPr>
    </w:p>
    <w:p w14:paraId="0CB7286E" w14:textId="77777777" w:rsidR="00250869" w:rsidRDefault="00802DB6">
      <w:pPr>
        <w:pBdr>
          <w:top w:val="nil"/>
          <w:left w:val="nil"/>
          <w:bottom w:val="nil"/>
          <w:right w:val="nil"/>
          <w:between w:val="nil"/>
        </w:pBdr>
        <w:jc w:val="center"/>
        <w:rPr>
          <w:b/>
          <w:color w:val="000000"/>
        </w:rPr>
      </w:pPr>
      <w:r>
        <w:rPr>
          <w:b/>
          <w:color w:val="000000"/>
        </w:rPr>
        <w:t>Método</w:t>
      </w:r>
    </w:p>
    <w:p w14:paraId="6996C539" w14:textId="77777777" w:rsidR="00250869" w:rsidRDefault="00802DB6">
      <w:pPr>
        <w:pBdr>
          <w:top w:val="nil"/>
          <w:left w:val="nil"/>
          <w:bottom w:val="nil"/>
          <w:right w:val="nil"/>
          <w:between w:val="nil"/>
        </w:pBdr>
        <w:spacing w:line="360" w:lineRule="auto"/>
        <w:jc w:val="both"/>
        <w:rPr>
          <w:b/>
          <w:i/>
          <w:color w:val="000000"/>
        </w:rPr>
      </w:pPr>
      <w:r>
        <w:rPr>
          <w:b/>
          <w:i/>
          <w:color w:val="000000"/>
        </w:rPr>
        <w:t>Participantes</w:t>
      </w:r>
    </w:p>
    <w:p w14:paraId="5818FD90" w14:textId="77777777" w:rsidR="00250869" w:rsidRDefault="00802DB6">
      <w:pPr>
        <w:spacing w:line="360" w:lineRule="auto"/>
        <w:jc w:val="both"/>
        <w:rPr>
          <w:i/>
        </w:rPr>
      </w:pPr>
      <w:r>
        <w:rPr>
          <w:i/>
        </w:rPr>
        <w:t>Muestra 1</w:t>
      </w:r>
    </w:p>
    <w:p w14:paraId="51C45FB1" w14:textId="77777777" w:rsidR="00250869" w:rsidRDefault="00802DB6">
      <w:pPr>
        <w:spacing w:line="360" w:lineRule="auto"/>
        <w:ind w:firstLine="708"/>
        <w:jc w:val="both"/>
      </w:pPr>
      <w:r>
        <w:t>Mediante un muestreo no probabilístico por conveniencia se seleccionaron quinientos treinta y ocho (</w:t>
      </w:r>
      <w:r>
        <w:rPr>
          <w:i/>
        </w:rPr>
        <w:t>n</w:t>
      </w:r>
      <w:r>
        <w:t xml:space="preserve"> = 538) estudiantes universitarios de una universidad local del sur de Chile. La edad media de la muestra fue de 21.5 (</w:t>
      </w:r>
      <w:r>
        <w:rPr>
          <w:i/>
        </w:rPr>
        <w:t>DE</w:t>
      </w:r>
      <w:r>
        <w:t xml:space="preserve"> = 2.9). </w:t>
      </w:r>
      <w:r w:rsidRPr="003A78D2">
        <w:t>El 67% eran hombres y el 78% se calificó a sí mismos como posición socioeconómica media o baja.</w:t>
      </w:r>
    </w:p>
    <w:p w14:paraId="7597F618" w14:textId="77777777" w:rsidR="00250869" w:rsidRDefault="00802DB6">
      <w:pPr>
        <w:spacing w:line="360" w:lineRule="auto"/>
        <w:jc w:val="both"/>
        <w:rPr>
          <w:i/>
        </w:rPr>
      </w:pPr>
      <w:r>
        <w:rPr>
          <w:i/>
        </w:rPr>
        <w:t>Muestra 2</w:t>
      </w:r>
    </w:p>
    <w:p w14:paraId="61C8ED07" w14:textId="77777777" w:rsidR="00250869" w:rsidRDefault="00802DB6">
      <w:pPr>
        <w:spacing w:after="120" w:line="360" w:lineRule="auto"/>
        <w:ind w:firstLine="708"/>
        <w:jc w:val="both"/>
      </w:pPr>
      <w:r>
        <w:t>La segunda muestra de este estudio estuvo compuesta por cuatrocientos cuarenta y seis trabajadores (</w:t>
      </w:r>
      <w:r>
        <w:rPr>
          <w:i/>
        </w:rPr>
        <w:t>n</w:t>
      </w:r>
      <w:r>
        <w:t xml:space="preserve"> = 446) de una universidad local del sur de Chile, los cuales fueron parte del proyecto FONDECYT de Iniciación </w:t>
      </w:r>
      <w:r>
        <w:rPr>
          <w:color w:val="000000"/>
        </w:rPr>
        <w:t>N°11140454</w:t>
      </w:r>
      <w:r>
        <w:t xml:space="preserve">. La edad media de la muestra fue de 44 años (DE = 8,79), y el 59% eran mujeres. En términos de posición socioeconómica subjetiva, el 56% se calificó como un nivel socioeconómico medio. El 23% terminó la escuela secundaria, el 22% se graduó de un instituto técnico y el 19% obtuvo una maestría. Doce por ciento de ingresos mensuales </w:t>
      </w:r>
      <w:proofErr w:type="spellStart"/>
      <w:r>
        <w:t>autoinformados</w:t>
      </w:r>
      <w:proofErr w:type="spellEnd"/>
      <w:r>
        <w:t xml:space="preserve"> se encontraban por debajo de 250,000 pesos chilenos (~ dólares estadounidenses = $ 410), 60% entre 250,000 y 1,000,000 (~ dólares estadounidenses = $ 411 y $ 1,640), y 28% más de 1,000,000. (~ Dólares estadounidenses = $ 1,641).</w:t>
      </w:r>
    </w:p>
    <w:p w14:paraId="743A1E8D" w14:textId="77777777" w:rsidR="00250869" w:rsidRDefault="00802DB6">
      <w:pPr>
        <w:pBdr>
          <w:top w:val="nil"/>
          <w:left w:val="nil"/>
          <w:bottom w:val="nil"/>
          <w:right w:val="nil"/>
          <w:between w:val="nil"/>
        </w:pBdr>
        <w:spacing w:line="360" w:lineRule="auto"/>
        <w:jc w:val="both"/>
        <w:rPr>
          <w:b/>
          <w:i/>
          <w:color w:val="000000"/>
        </w:rPr>
      </w:pPr>
      <w:r>
        <w:rPr>
          <w:b/>
          <w:i/>
          <w:color w:val="000000"/>
        </w:rPr>
        <w:t>Diseño</w:t>
      </w:r>
    </w:p>
    <w:p w14:paraId="74B2EE79" w14:textId="2CD65E9F" w:rsidR="00250869" w:rsidRDefault="00802DB6">
      <w:pPr>
        <w:pBdr>
          <w:top w:val="nil"/>
          <w:left w:val="nil"/>
          <w:bottom w:val="nil"/>
          <w:right w:val="nil"/>
          <w:between w:val="nil"/>
        </w:pBdr>
        <w:spacing w:line="360" w:lineRule="auto"/>
        <w:ind w:firstLine="708"/>
        <w:jc w:val="both"/>
        <w:rPr>
          <w:color w:val="000000"/>
        </w:rPr>
      </w:pPr>
      <w:r>
        <w:rPr>
          <w:color w:val="000000"/>
        </w:rPr>
        <w:t>Este estudio tuvo un diseño no experimental transversal correlacional</w:t>
      </w:r>
      <w:r w:rsidR="003A78D2">
        <w:rPr>
          <w:color w:val="000000"/>
        </w:rPr>
        <w:t>.</w:t>
      </w:r>
    </w:p>
    <w:p w14:paraId="0F737D7D" w14:textId="77777777" w:rsidR="00250869" w:rsidRPr="00BC5872" w:rsidRDefault="00802DB6">
      <w:pPr>
        <w:pBdr>
          <w:top w:val="nil"/>
          <w:left w:val="nil"/>
          <w:bottom w:val="nil"/>
          <w:right w:val="nil"/>
          <w:between w:val="nil"/>
        </w:pBdr>
        <w:spacing w:line="360" w:lineRule="auto"/>
        <w:jc w:val="both"/>
        <w:rPr>
          <w:b/>
          <w:i/>
          <w:color w:val="000000"/>
          <w:lang w:val="en-US"/>
        </w:rPr>
      </w:pPr>
      <w:proofErr w:type="spellStart"/>
      <w:r w:rsidRPr="00BC5872">
        <w:rPr>
          <w:b/>
          <w:i/>
          <w:color w:val="000000"/>
          <w:lang w:val="en-US"/>
        </w:rPr>
        <w:t>Materiales</w:t>
      </w:r>
      <w:proofErr w:type="spellEnd"/>
    </w:p>
    <w:p w14:paraId="5CA1DCAE" w14:textId="77777777" w:rsidR="00250869" w:rsidRDefault="00802DB6">
      <w:pPr>
        <w:spacing w:line="360" w:lineRule="auto"/>
        <w:ind w:firstLine="708"/>
        <w:jc w:val="both"/>
      </w:pPr>
      <w:r w:rsidRPr="00BC5872">
        <w:rPr>
          <w:i/>
          <w:lang w:val="en-US"/>
        </w:rPr>
        <w:t>The ENRICHD Social support instrument (ESSI)</w:t>
      </w:r>
      <w:r w:rsidRPr="00BC5872">
        <w:rPr>
          <w:lang w:val="en-US"/>
        </w:rPr>
        <w:t xml:space="preserve"> (Mitchell et al., 2003). </w:t>
      </w:r>
      <w:r>
        <w:t xml:space="preserve">Escala de </w:t>
      </w:r>
      <w:proofErr w:type="spellStart"/>
      <w:r>
        <w:t>autorreporte</w:t>
      </w:r>
      <w:proofErr w:type="spellEnd"/>
      <w:r>
        <w:t xml:space="preserve"> que mide a través de 7 ítems la percepción de apoyo social. Las alternativas de respuesta tienen una escala de frecuencia que varía entre 1 y 5, siendo 1 = “Nunca” y 5 = “Siempre”. Algunos ejemplos de reactivos son “Alguien ha estado disponible para escucharme” o “He estado en contacto con alguien en quien puedo confiar”. Para efectos de este estudio los participantes respondieron los 6 primeros ítems, y se dejó fuera el ítem 7, el cual indaga sobre el estatus marital de los participantes y tiene opción de respuesta en formato dicotómico (Si/No).</w:t>
      </w:r>
    </w:p>
    <w:p w14:paraId="489BE8DC" w14:textId="77777777" w:rsidR="00250869" w:rsidRDefault="00802DB6">
      <w:pPr>
        <w:spacing w:after="120" w:line="360" w:lineRule="auto"/>
        <w:ind w:firstLine="708"/>
        <w:jc w:val="both"/>
      </w:pPr>
      <w:r w:rsidRPr="003A78D2">
        <w:lastRenderedPageBreak/>
        <w:t>Utilizando un método de traducción de comité, académicos y estudiantes de doctorado en psicología tradujeron de inglés a español los ítems, adaptándolos semánticamente en caso de ser necesario y conservando aquellos elementos originales de ellos.</w:t>
      </w:r>
    </w:p>
    <w:p w14:paraId="20411E1C" w14:textId="2F16DD4C" w:rsidR="00250869" w:rsidRDefault="00802DB6">
      <w:pPr>
        <w:pBdr>
          <w:top w:val="nil"/>
          <w:left w:val="nil"/>
          <w:bottom w:val="nil"/>
          <w:right w:val="nil"/>
          <w:between w:val="nil"/>
        </w:pBdr>
        <w:spacing w:line="360" w:lineRule="auto"/>
        <w:jc w:val="both"/>
        <w:rPr>
          <w:b/>
          <w:i/>
          <w:color w:val="000000"/>
        </w:rPr>
      </w:pPr>
      <w:r>
        <w:rPr>
          <w:b/>
          <w:i/>
          <w:color w:val="000000"/>
        </w:rPr>
        <w:t>Proc</w:t>
      </w:r>
      <w:r w:rsidR="003A78D2">
        <w:rPr>
          <w:b/>
          <w:i/>
          <w:color w:val="000000"/>
        </w:rPr>
        <w:t>edimiento</w:t>
      </w:r>
    </w:p>
    <w:p w14:paraId="7D2CD802" w14:textId="572ADFB3" w:rsidR="00250869" w:rsidRDefault="00802DB6">
      <w:pPr>
        <w:spacing w:line="360" w:lineRule="auto"/>
        <w:ind w:firstLine="708"/>
        <w:jc w:val="both"/>
      </w:pPr>
      <w:r>
        <w:t xml:space="preserve">Los participantes fueron contactados en su salón de clases por ayudantes de investigación debidamente capacitados, quienes les explicaron los objetivos del estudio e invitaron a participar de éste. Aquellos que voluntariamente aceptaron participar firmaron el consentimiento informado, el cual contaba con las características del estudio, el anonimato y la confidencialidad en el manejo de los datos. Los participantes de este estudio no fueron recompensados por participar. </w:t>
      </w:r>
    </w:p>
    <w:p w14:paraId="3C67BBA3" w14:textId="550CA214" w:rsidR="00250869" w:rsidRDefault="00802DB6">
      <w:pPr>
        <w:spacing w:after="120" w:line="360" w:lineRule="auto"/>
        <w:ind w:firstLine="708"/>
        <w:jc w:val="both"/>
      </w:pPr>
      <w:r>
        <w:t xml:space="preserve">Los datos de la segunda muestra fueron recolectados de forma presencial en una dependencia Universitaria habilitada para tal efecto. Similar a lo realizado con la primera muestra, se obtuvo el consentimiento informado de todos los participantes incluidos en este estudio, asegurando su anonimato y confidencialidad en el tratamiento de los datos. </w:t>
      </w:r>
      <w:r>
        <w:rPr>
          <w:color w:val="000000"/>
          <w:highlight w:val="white"/>
        </w:rPr>
        <w:t xml:space="preserve">Una vez terminado el procedimiento, cada participante fue retribuido económicamente con ocho mil pesos. </w:t>
      </w:r>
    </w:p>
    <w:p w14:paraId="7296403E" w14:textId="77777777" w:rsidR="00250869" w:rsidRDefault="00802DB6">
      <w:pPr>
        <w:pBdr>
          <w:top w:val="nil"/>
          <w:left w:val="nil"/>
          <w:bottom w:val="nil"/>
          <w:right w:val="nil"/>
          <w:between w:val="nil"/>
        </w:pBdr>
        <w:spacing w:line="360" w:lineRule="auto"/>
        <w:jc w:val="both"/>
        <w:rPr>
          <w:b/>
          <w:i/>
          <w:color w:val="000000"/>
        </w:rPr>
      </w:pPr>
      <w:r>
        <w:rPr>
          <w:b/>
          <w:i/>
          <w:color w:val="000000"/>
        </w:rPr>
        <w:t>Análisis de datos</w:t>
      </w:r>
    </w:p>
    <w:p w14:paraId="092B772C" w14:textId="2C1EAD46" w:rsidR="00250869" w:rsidRDefault="00802DB6">
      <w:pPr>
        <w:spacing w:line="360" w:lineRule="auto"/>
        <w:ind w:firstLine="708"/>
        <w:jc w:val="both"/>
      </w:pPr>
      <w:r>
        <w:t>En ambas muestras se siguió el siguiente procedimiento</w:t>
      </w:r>
      <w:r w:rsidR="003A78D2">
        <w:t>.</w:t>
      </w:r>
      <w:r>
        <w:t xml:space="preserve"> En cada muestra se seleccionó aleatoriamente el 50% de los participantes y luego se realizó un análisis factorial exploratorio (AFE) por separado, determinándose por medio del indicador de adecuación </w:t>
      </w:r>
      <w:proofErr w:type="spellStart"/>
      <w:r>
        <w:t>muestral</w:t>
      </w:r>
      <w:proofErr w:type="spellEnd"/>
      <w:r>
        <w:t xml:space="preserve"> </w:t>
      </w:r>
      <w:proofErr w:type="spellStart"/>
      <w:r>
        <w:t>Kaiser</w:t>
      </w:r>
      <w:proofErr w:type="spellEnd"/>
      <w:r>
        <w:t>-Meyer-</w:t>
      </w:r>
      <w:proofErr w:type="spellStart"/>
      <w:r>
        <w:t>Olkin</w:t>
      </w:r>
      <w:proofErr w:type="spellEnd"/>
      <w:r>
        <w:t xml:space="preserve"> (KMO) y supuesto de esfericidad de Bartlett, si la matriz de correlación era </w:t>
      </w:r>
      <w:proofErr w:type="spellStart"/>
      <w:r>
        <w:t>factorizable</w:t>
      </w:r>
      <w:proofErr w:type="spellEnd"/>
      <w:r>
        <w:t xml:space="preserve">. </w:t>
      </w:r>
      <w:r w:rsidRPr="003A78D2">
        <w:t xml:space="preserve">El EFA se realizó utilizando la estimación de componentes principales y rotación </w:t>
      </w:r>
      <w:proofErr w:type="spellStart"/>
      <w:r w:rsidRPr="003A78D2">
        <w:t>Varimax</w:t>
      </w:r>
      <w:proofErr w:type="spellEnd"/>
      <w:r w:rsidRPr="003A78D2">
        <w:t>.</w:t>
      </w:r>
      <w:r>
        <w:t xml:space="preserve"> El criterio para conservar los factores utilizados fueron todos aquellos ítems que presentaron </w:t>
      </w:r>
      <w:proofErr w:type="spellStart"/>
      <w:r>
        <w:t>autovalores</w:t>
      </w:r>
      <w:proofErr w:type="spellEnd"/>
      <w:r>
        <w:t xml:space="preserve"> (</w:t>
      </w:r>
      <w:proofErr w:type="spellStart"/>
      <w:r>
        <w:t>eigenvalues</w:t>
      </w:r>
      <w:proofErr w:type="spellEnd"/>
      <w:r>
        <w:t xml:space="preserve">) mayores a 1. </w:t>
      </w:r>
    </w:p>
    <w:p w14:paraId="63879525" w14:textId="77777777" w:rsidR="00250869" w:rsidRDefault="00802DB6">
      <w:pPr>
        <w:spacing w:line="360" w:lineRule="auto"/>
        <w:ind w:firstLine="708"/>
        <w:jc w:val="both"/>
      </w:pPr>
      <w:r>
        <w:t xml:space="preserve">La consistencia interna de la escala se estimó con el alfa de </w:t>
      </w:r>
      <w:proofErr w:type="spellStart"/>
      <w:r>
        <w:t>Cronbach</w:t>
      </w:r>
      <w:proofErr w:type="spellEnd"/>
      <w:r>
        <w:t xml:space="preserve"> y Alfa Ordinal (Muñiz &amp; Fonseca-Pedrero, 2019).</w:t>
      </w:r>
    </w:p>
    <w:p w14:paraId="63719530" w14:textId="2A40E1AD" w:rsidR="00250869" w:rsidRDefault="00802DB6">
      <w:pPr>
        <w:spacing w:line="360" w:lineRule="auto"/>
        <w:ind w:firstLine="708"/>
        <w:jc w:val="both"/>
      </w:pPr>
      <w:r>
        <w:t xml:space="preserve">En ambas muestras, y con el 50% restante de los participantes, se realizó un análisis factorial confirmatorio (AFC) para confirmar la estructura factorial identificada previamente en el EFA. El análisis se realizó con una estimación de máxima verosimilitud. </w:t>
      </w:r>
      <w:r w:rsidRPr="003A78D2">
        <w:t xml:space="preserve">Dado el incumplimiento del supuesto de distribución </w:t>
      </w:r>
      <w:r w:rsidR="003A78D2" w:rsidRPr="003A78D2">
        <w:t xml:space="preserve">normal </w:t>
      </w:r>
      <w:r w:rsidRPr="003A78D2">
        <w:t>multivariada</w:t>
      </w:r>
      <w:r w:rsidR="003A78D2" w:rsidRPr="003A78D2">
        <w:t xml:space="preserve"> (</w:t>
      </w:r>
      <w:proofErr w:type="spellStart"/>
      <w:r w:rsidR="003A78D2" w:rsidRPr="003A78D2">
        <w:t>Mardia</w:t>
      </w:r>
      <w:proofErr w:type="spellEnd"/>
      <w:r w:rsidR="003A78D2" w:rsidRPr="003A78D2">
        <w:t xml:space="preserve"> test, </w:t>
      </w:r>
      <w:r w:rsidR="003A78D2" w:rsidRPr="003A78D2">
        <w:rPr>
          <w:i/>
          <w:iCs/>
        </w:rPr>
        <w:t>p</w:t>
      </w:r>
      <w:r w:rsidR="003A78D2" w:rsidRPr="003A78D2">
        <w:t xml:space="preserve"> &lt; 0.001)</w:t>
      </w:r>
      <w:r w:rsidRPr="003A78D2">
        <w:t xml:space="preserve">, se utilizó la corrección de </w:t>
      </w:r>
      <w:proofErr w:type="spellStart"/>
      <w:r w:rsidRPr="003A78D2">
        <w:t>Satorra-Bentler</w:t>
      </w:r>
      <w:proofErr w:type="spellEnd"/>
      <w:r w:rsidRPr="003A78D2">
        <w:t>.</w:t>
      </w:r>
    </w:p>
    <w:p w14:paraId="17755018" w14:textId="3AECD0B8" w:rsidR="00250869" w:rsidRDefault="00802DB6">
      <w:pPr>
        <w:spacing w:line="360" w:lineRule="auto"/>
        <w:ind w:firstLine="708"/>
        <w:jc w:val="both"/>
      </w:pPr>
      <w:r>
        <w:t xml:space="preserve">El ajuste general del modelo se estimó utilizando los indicadores de bondad de ajuste convencionales, siguiendo las recomendaciones de Ortiz &amp; Fernández-Pera (2018): Chi cuadrado </w:t>
      </w:r>
      <w:r>
        <w:lastRenderedPageBreak/>
        <w:t xml:space="preserve">no significativo e Índices de Ajuste Comparativo (CFI) igual o mayor a 0.95; </w:t>
      </w:r>
      <w:r w:rsidR="003A78D2">
        <w:t>Tucker</w:t>
      </w:r>
      <w:r>
        <w:t xml:space="preserve"> Lewis </w:t>
      </w:r>
      <w:proofErr w:type="spellStart"/>
      <w:r>
        <w:t>Index</w:t>
      </w:r>
      <w:proofErr w:type="spellEnd"/>
      <w:r>
        <w:t xml:space="preserve"> (TLI) igual o mayor que 0.90, Índice de Ajuste basado en Residuos (SRMR) iguales o menores a 0.08 y RMSEA iguales o menores a 0.06.</w:t>
      </w:r>
    </w:p>
    <w:p w14:paraId="0A8E73A7" w14:textId="77777777" w:rsidR="00250869" w:rsidRDefault="00802DB6">
      <w:pPr>
        <w:spacing w:line="360" w:lineRule="auto"/>
        <w:ind w:firstLine="708"/>
        <w:jc w:val="both"/>
      </w:pPr>
      <w:r>
        <w:t xml:space="preserve">La </w:t>
      </w:r>
      <w:proofErr w:type="spellStart"/>
      <w:r>
        <w:t>invarianza</w:t>
      </w:r>
      <w:proofErr w:type="spellEnd"/>
      <w:r>
        <w:t xml:space="preserve"> métrica se estimó con el procedimiento propuesto por </w:t>
      </w:r>
      <w:proofErr w:type="spellStart"/>
      <w:r>
        <w:t>Byrne</w:t>
      </w:r>
      <w:proofErr w:type="spellEnd"/>
      <w:r>
        <w:t xml:space="preserve"> (2008). En este proceso, primero se estimó la </w:t>
      </w:r>
      <w:proofErr w:type="spellStart"/>
      <w:r>
        <w:t>invarianza</w:t>
      </w:r>
      <w:proofErr w:type="spellEnd"/>
      <w:r>
        <w:t xml:space="preserve"> </w:t>
      </w:r>
      <w:proofErr w:type="spellStart"/>
      <w:r>
        <w:t>configural</w:t>
      </w:r>
      <w:proofErr w:type="spellEnd"/>
      <w:r>
        <w:t xml:space="preserve">, luego la </w:t>
      </w:r>
      <w:proofErr w:type="spellStart"/>
      <w:r>
        <w:t>invarianza</w:t>
      </w:r>
      <w:proofErr w:type="spellEnd"/>
      <w:r>
        <w:t xml:space="preserve"> de las cargas factoriales (</w:t>
      </w:r>
      <w:proofErr w:type="spellStart"/>
      <w:r>
        <w:t>invarianza</w:t>
      </w:r>
      <w:proofErr w:type="spellEnd"/>
      <w:r>
        <w:t xml:space="preserve"> métrica) y finalmente la </w:t>
      </w:r>
      <w:proofErr w:type="spellStart"/>
      <w:r>
        <w:t>invarianza</w:t>
      </w:r>
      <w:proofErr w:type="spellEnd"/>
      <w:r>
        <w:t xml:space="preserve"> escalar. Los modelos se contrastaron por la diferencia del valor absoluto de </w:t>
      </w:r>
      <w:proofErr w:type="spellStart"/>
      <w:r>
        <w:t>chi</w:t>
      </w:r>
      <w:proofErr w:type="spellEnd"/>
      <w:r>
        <w:t>-cuadrado y los grados de libertad (</w:t>
      </w:r>
      <w:proofErr w:type="spellStart"/>
      <w:r>
        <w:t>Likelihood</w:t>
      </w:r>
      <w:proofErr w:type="spellEnd"/>
      <w:r>
        <w:t xml:space="preserve"> Ratio Test) utilizando los valores obtenidos del modelo de </w:t>
      </w:r>
      <w:proofErr w:type="spellStart"/>
      <w:r>
        <w:t>invarianza</w:t>
      </w:r>
      <w:proofErr w:type="spellEnd"/>
      <w:r>
        <w:t xml:space="preserve"> </w:t>
      </w:r>
      <w:proofErr w:type="spellStart"/>
      <w:r>
        <w:t>configural</w:t>
      </w:r>
      <w:proofErr w:type="spellEnd"/>
      <w:r>
        <w:t xml:space="preserve"> como valores de referencia. Para este análisis, se utilizó al sexo de los participantes como variable de agrupación.</w:t>
      </w:r>
    </w:p>
    <w:p w14:paraId="15F7735C" w14:textId="77777777" w:rsidR="00250869" w:rsidRDefault="00802DB6">
      <w:pPr>
        <w:spacing w:after="120" w:line="360" w:lineRule="auto"/>
        <w:ind w:firstLine="708"/>
        <w:jc w:val="both"/>
      </w:pPr>
      <w:r>
        <w:t xml:space="preserve">Los análisis se realizaron con el software STATA 14.2 y consideraron un alfa nominal de 0,05. </w:t>
      </w:r>
    </w:p>
    <w:p w14:paraId="511151E9" w14:textId="2A0FE3CF" w:rsidR="00250869" w:rsidRPr="00BD4FE7" w:rsidRDefault="00802DB6">
      <w:pPr>
        <w:pBdr>
          <w:top w:val="nil"/>
          <w:left w:val="nil"/>
          <w:bottom w:val="nil"/>
          <w:right w:val="nil"/>
          <w:between w:val="nil"/>
        </w:pBdr>
        <w:spacing w:line="360" w:lineRule="auto"/>
        <w:jc w:val="both"/>
        <w:rPr>
          <w:b/>
          <w:i/>
          <w:color w:val="000000"/>
          <w:lang w:val="es-CL"/>
        </w:rPr>
      </w:pPr>
      <w:r w:rsidRPr="00BD4FE7">
        <w:rPr>
          <w:b/>
          <w:i/>
          <w:color w:val="000000"/>
          <w:lang w:val="es-CL"/>
        </w:rPr>
        <w:t>Consideraciones éticas</w:t>
      </w:r>
    </w:p>
    <w:p w14:paraId="6F5BE35B" w14:textId="495B4F25" w:rsidR="003A78D2" w:rsidRDefault="003A78D2" w:rsidP="003A78D2">
      <w:pPr>
        <w:pBdr>
          <w:top w:val="nil"/>
          <w:left w:val="nil"/>
          <w:bottom w:val="nil"/>
          <w:right w:val="nil"/>
          <w:between w:val="nil"/>
        </w:pBdr>
        <w:spacing w:line="360" w:lineRule="auto"/>
        <w:ind w:firstLine="720"/>
        <w:jc w:val="both"/>
      </w:pPr>
      <w:r>
        <w:t xml:space="preserve">El estudio contó con la aprobación del Comité Ético Científico Institucional. Se utilizó como marco referencial los principios Éticos de la American </w:t>
      </w:r>
      <w:proofErr w:type="spellStart"/>
      <w:r>
        <w:t>Psychological</w:t>
      </w:r>
      <w:proofErr w:type="spellEnd"/>
      <w:r>
        <w:t xml:space="preserve"> </w:t>
      </w:r>
      <w:proofErr w:type="spellStart"/>
      <w:r>
        <w:t>Asssociation</w:t>
      </w:r>
      <w:proofErr w:type="spellEnd"/>
      <w:r>
        <w:t xml:space="preserve"> (APA) y la Declaración de Helsinki. Todos los participantes fueron informados del objetivo del estudio y firmaron consentimientos informado. </w:t>
      </w:r>
    </w:p>
    <w:p w14:paraId="3EA3422F" w14:textId="37D7DD91" w:rsidR="003A78D2" w:rsidRPr="003A78D2" w:rsidRDefault="003A78D2" w:rsidP="003A78D2">
      <w:pPr>
        <w:pBdr>
          <w:top w:val="nil"/>
          <w:left w:val="nil"/>
          <w:bottom w:val="nil"/>
          <w:right w:val="nil"/>
          <w:between w:val="nil"/>
        </w:pBdr>
        <w:spacing w:line="360" w:lineRule="auto"/>
        <w:ind w:firstLine="720"/>
        <w:jc w:val="both"/>
        <w:rPr>
          <w:bCs/>
          <w:iCs/>
          <w:color w:val="000000"/>
          <w:lang w:val="es-CL"/>
        </w:rPr>
      </w:pPr>
      <w:r>
        <w:t xml:space="preserve"> </w:t>
      </w:r>
    </w:p>
    <w:p w14:paraId="6F8D0403" w14:textId="77777777" w:rsidR="00250869" w:rsidRDefault="00802DB6">
      <w:pPr>
        <w:pBdr>
          <w:top w:val="nil"/>
          <w:left w:val="nil"/>
          <w:bottom w:val="nil"/>
          <w:right w:val="nil"/>
          <w:between w:val="nil"/>
        </w:pBdr>
        <w:jc w:val="center"/>
        <w:rPr>
          <w:b/>
          <w:color w:val="000000"/>
        </w:rPr>
      </w:pPr>
      <w:r>
        <w:rPr>
          <w:b/>
          <w:color w:val="000000"/>
        </w:rPr>
        <w:t>Resultados</w:t>
      </w:r>
    </w:p>
    <w:p w14:paraId="0FDFD503" w14:textId="77777777" w:rsidR="00250869" w:rsidRDefault="00802DB6">
      <w:pPr>
        <w:spacing w:line="360" w:lineRule="auto"/>
        <w:jc w:val="both"/>
        <w:rPr>
          <w:b/>
          <w:i/>
        </w:rPr>
      </w:pPr>
      <w:r>
        <w:rPr>
          <w:b/>
          <w:i/>
        </w:rPr>
        <w:t>Matriz de correlaciones</w:t>
      </w:r>
    </w:p>
    <w:p w14:paraId="18FB998D" w14:textId="3CD7D928" w:rsidR="00250869" w:rsidRDefault="00802DB6">
      <w:pPr>
        <w:spacing w:line="360" w:lineRule="auto"/>
        <w:jc w:val="both"/>
      </w:pPr>
      <w:r>
        <w:tab/>
        <w:t>La Tabla 1 y 2, muestra</w:t>
      </w:r>
      <w:r w:rsidR="00785DD5">
        <w:t xml:space="preserve"> las</w:t>
      </w:r>
      <w:r>
        <w:t xml:space="preserve"> medias, desviaciones estándar y correlaciones para los ítems de la escala de Apoyo Social, de la muestra de estudiantes y de adultos, respectivamente. Como se esperaba, todas las correlaciones entre los ítems fueron estadísticamente significativas (</w:t>
      </w:r>
      <w:r>
        <w:rPr>
          <w:i/>
        </w:rPr>
        <w:t>p</w:t>
      </w:r>
      <w:r>
        <w:t xml:space="preserve"> &lt; 0</w:t>
      </w:r>
      <w:r w:rsidR="008E6791">
        <w:t>.</w:t>
      </w:r>
      <w:r>
        <w:t>01).</w:t>
      </w:r>
    </w:p>
    <w:p w14:paraId="073E7850" w14:textId="77777777" w:rsidR="00250869" w:rsidRDefault="00802DB6">
      <w:pPr>
        <w:spacing w:line="360" w:lineRule="auto"/>
        <w:jc w:val="both"/>
        <w:rPr>
          <w:b/>
          <w:i/>
        </w:rPr>
      </w:pPr>
      <w:r>
        <w:rPr>
          <w:b/>
          <w:i/>
        </w:rPr>
        <w:t>Propiedades Psicométricas: Muestra 1</w:t>
      </w:r>
    </w:p>
    <w:p w14:paraId="029A507C" w14:textId="77777777" w:rsidR="00250869" w:rsidRDefault="00802DB6">
      <w:pPr>
        <w:spacing w:line="360" w:lineRule="auto"/>
        <w:jc w:val="both"/>
        <w:rPr>
          <w:i/>
        </w:rPr>
      </w:pPr>
      <w:r>
        <w:rPr>
          <w:i/>
        </w:rPr>
        <w:t>Confiabilidad</w:t>
      </w:r>
    </w:p>
    <w:p w14:paraId="750E5A18" w14:textId="77777777" w:rsidR="00250869" w:rsidRDefault="00802DB6">
      <w:pPr>
        <w:spacing w:line="360" w:lineRule="auto"/>
        <w:ind w:firstLine="708"/>
        <w:jc w:val="both"/>
      </w:pPr>
      <w:r>
        <w:t xml:space="preserve">La consistencia interna se estimó con los coeficientes alfa de </w:t>
      </w:r>
      <w:proofErr w:type="spellStart"/>
      <w:r>
        <w:t>Cronbach</w:t>
      </w:r>
      <w:proofErr w:type="spellEnd"/>
      <w:r>
        <w:t xml:space="preserve"> y alfa ordinal. La consistencia interna por alfa de </w:t>
      </w:r>
      <w:proofErr w:type="spellStart"/>
      <w:r>
        <w:t>Cronbach</w:t>
      </w:r>
      <w:proofErr w:type="spellEnd"/>
      <w:r>
        <w:t xml:space="preserve"> fue 0.89, y el alfa ordinal fue 0.92.</w:t>
      </w:r>
    </w:p>
    <w:p w14:paraId="42A33BA3" w14:textId="77777777" w:rsidR="00250869" w:rsidRDefault="00802DB6">
      <w:pPr>
        <w:spacing w:line="360" w:lineRule="auto"/>
        <w:jc w:val="both"/>
        <w:rPr>
          <w:i/>
        </w:rPr>
      </w:pPr>
      <w:r>
        <w:rPr>
          <w:i/>
        </w:rPr>
        <w:t>Análisis Factorial Exploratorio</w:t>
      </w:r>
    </w:p>
    <w:p w14:paraId="0B33C2CC" w14:textId="77777777" w:rsidR="00250869" w:rsidRDefault="00802DB6">
      <w:pPr>
        <w:spacing w:line="360" w:lineRule="auto"/>
        <w:ind w:firstLine="708"/>
        <w:jc w:val="both"/>
      </w:pPr>
      <w:r>
        <w:t>Primero, se realizó la prueba de esfericidad de Bartlett y el índice de adecuación de la muestra con la prueba de KMO. La prueba de Bartlett fue significativa (</w:t>
      </w:r>
      <w:r>
        <w:rPr>
          <w:i/>
        </w:rPr>
        <w:t>p</w:t>
      </w:r>
      <w:r>
        <w:t xml:space="preserve"> &lt; 0.01), y el KMO fue excelente (KMO = 0.90), lo que sugiere que la matriz de correlación es </w:t>
      </w:r>
      <w:proofErr w:type="spellStart"/>
      <w:r>
        <w:t>factorizable</w:t>
      </w:r>
      <w:proofErr w:type="spellEnd"/>
      <w:r>
        <w:t>.</w:t>
      </w:r>
    </w:p>
    <w:p w14:paraId="5BC4B2C5" w14:textId="77777777" w:rsidR="00250869" w:rsidRDefault="00802DB6">
      <w:pPr>
        <w:spacing w:line="360" w:lineRule="auto"/>
        <w:ind w:firstLine="708"/>
        <w:jc w:val="both"/>
      </w:pPr>
      <w:r>
        <w:lastRenderedPageBreak/>
        <w:t>Una vez realizado el AFE, se identificó un único factor que explicó el 69% de la varianza. Tal como se observa en la Tabla 3, todas las cargas factoriales fueron estadísticamente significativas y oscilaron entre 0.66 y 0.89.</w:t>
      </w:r>
    </w:p>
    <w:p w14:paraId="240B2548" w14:textId="77777777" w:rsidR="00250869" w:rsidRDefault="00802DB6">
      <w:pPr>
        <w:spacing w:line="360" w:lineRule="auto"/>
        <w:jc w:val="both"/>
        <w:rPr>
          <w:i/>
        </w:rPr>
      </w:pPr>
      <w:r>
        <w:rPr>
          <w:i/>
        </w:rPr>
        <w:t>Análisis Factorial Confirmatorio</w:t>
      </w:r>
    </w:p>
    <w:p w14:paraId="5AA1FC58" w14:textId="2A5A0675" w:rsidR="00250869" w:rsidRDefault="00802DB6">
      <w:pPr>
        <w:spacing w:line="360" w:lineRule="auto"/>
        <w:ind w:firstLine="708"/>
        <w:jc w:val="both"/>
      </w:pPr>
      <w:r>
        <w:t xml:space="preserve">La solución </w:t>
      </w:r>
      <w:proofErr w:type="spellStart"/>
      <w:r>
        <w:t>unifactorial</w:t>
      </w:r>
      <w:proofErr w:type="spellEnd"/>
      <w:r>
        <w:t xml:space="preserve"> obtenida en el AFE, fue confirmada con el restante 50% de la muestra de estudiantes. Un modelo </w:t>
      </w:r>
      <w:proofErr w:type="spellStart"/>
      <w:r>
        <w:t>unifactorial</w:t>
      </w:r>
      <w:proofErr w:type="spellEnd"/>
      <w:r>
        <w:t xml:space="preserve"> con errores correlacionados presenta excelentes indicadores de bondad de ajuste (SB </w:t>
      </w:r>
      <w:r>
        <w:rPr>
          <w:rFonts w:ascii="Noto Sans Symbols" w:eastAsia="Noto Sans Symbols" w:hAnsi="Noto Sans Symbols" w:cs="Noto Sans Symbols"/>
          <w:i/>
        </w:rPr>
        <w:t>χ</w:t>
      </w:r>
      <w:r>
        <w:rPr>
          <w:vertAlign w:val="superscript"/>
        </w:rPr>
        <w:t>2</w:t>
      </w:r>
      <w:r>
        <w:t xml:space="preserve"> = 12.66, </w:t>
      </w:r>
      <w:proofErr w:type="spellStart"/>
      <w:r>
        <w:t>df</w:t>
      </w:r>
      <w:proofErr w:type="spellEnd"/>
      <w:r>
        <w:t xml:space="preserve"> = 7, </w:t>
      </w:r>
      <w:r>
        <w:rPr>
          <w:i/>
        </w:rPr>
        <w:t>p</w:t>
      </w:r>
      <w:r>
        <w:t xml:space="preserve"> = 0.08; RSMEA = 0.055, CFI = 0.99; TLI = 0.98; SRMR = 0.019). Según este análisis, el Índice de Apoyo Social se compone de un único factor, con cargas de factor estandarizadas adecuadas y mayores a 0.3. Las covarianzas entre los ítems 1 y 2 fue de 0.09 y entre los ítems 2 y 4 fue de 0.10, respectivamente. Todas las cargas factoriales y covarianzas fueron estadísticamente significativ</w:t>
      </w:r>
      <w:r w:rsidR="00785DD5">
        <w:t>a</w:t>
      </w:r>
      <w:r>
        <w:t>s (</w:t>
      </w:r>
      <w:r>
        <w:rPr>
          <w:i/>
        </w:rPr>
        <w:t>p</w:t>
      </w:r>
      <w:r w:rsidR="008E6791">
        <w:rPr>
          <w:rFonts w:eastAsia="Gungsuh"/>
        </w:rPr>
        <w:t xml:space="preserve"> &lt; 0.01).</w:t>
      </w:r>
    </w:p>
    <w:p w14:paraId="135A96DC" w14:textId="77777777" w:rsidR="00250869" w:rsidRDefault="00802DB6">
      <w:pPr>
        <w:spacing w:line="360" w:lineRule="auto"/>
        <w:jc w:val="both"/>
        <w:rPr>
          <w:b/>
          <w:i/>
        </w:rPr>
      </w:pPr>
      <w:r>
        <w:rPr>
          <w:b/>
          <w:i/>
        </w:rPr>
        <w:t>Propiedades Psicométricas: Muestra 2</w:t>
      </w:r>
    </w:p>
    <w:p w14:paraId="155A3610" w14:textId="77777777" w:rsidR="00250869" w:rsidRDefault="00802DB6">
      <w:pPr>
        <w:spacing w:line="360" w:lineRule="auto"/>
        <w:jc w:val="both"/>
        <w:rPr>
          <w:i/>
        </w:rPr>
      </w:pPr>
      <w:r>
        <w:rPr>
          <w:i/>
        </w:rPr>
        <w:t>Confiabilidad</w:t>
      </w:r>
    </w:p>
    <w:p w14:paraId="40D8C9DF" w14:textId="77777777" w:rsidR="00250869" w:rsidRDefault="00802DB6">
      <w:pPr>
        <w:spacing w:line="360" w:lineRule="auto"/>
        <w:ind w:firstLine="708"/>
        <w:jc w:val="both"/>
      </w:pPr>
      <w:r>
        <w:t xml:space="preserve">La confiabilidad en la muestra de adultos fue estimada con el alfa de </w:t>
      </w:r>
      <w:proofErr w:type="spellStart"/>
      <w:r>
        <w:t>Cronbach</w:t>
      </w:r>
      <w:proofErr w:type="spellEnd"/>
      <w:r>
        <w:t xml:space="preserve"> y alfa ordinal. La consistencia interna fue de 0.91 y el alfa ordinal 0.93.</w:t>
      </w:r>
    </w:p>
    <w:p w14:paraId="57C5437B" w14:textId="77777777" w:rsidR="00250869" w:rsidRDefault="00802DB6">
      <w:pPr>
        <w:spacing w:line="360" w:lineRule="auto"/>
        <w:jc w:val="both"/>
        <w:rPr>
          <w:i/>
        </w:rPr>
      </w:pPr>
      <w:r>
        <w:rPr>
          <w:i/>
        </w:rPr>
        <w:t>Análisis Factorial Exploratorio</w:t>
      </w:r>
    </w:p>
    <w:p w14:paraId="45BAACDC" w14:textId="29113956" w:rsidR="00250869" w:rsidRDefault="00802DB6">
      <w:pPr>
        <w:spacing w:line="360" w:lineRule="auto"/>
        <w:ind w:firstLine="708"/>
        <w:jc w:val="both"/>
      </w:pPr>
      <w:r>
        <w:t>Al igual que con la muestra de estudiantes, primero se realizó la prueba de Bartlett y se estim</w:t>
      </w:r>
      <w:r w:rsidR="00785DD5">
        <w:t>ó</w:t>
      </w:r>
      <w:r>
        <w:t xml:space="preserve"> el índice de adecuación de la muestra con la prueba de KMO. Ambas pruebas sugirieron que la matriz de correlación es </w:t>
      </w:r>
      <w:proofErr w:type="spellStart"/>
      <w:r>
        <w:t>factorizable</w:t>
      </w:r>
      <w:proofErr w:type="spellEnd"/>
      <w:r>
        <w:t>. La prueba de Bartlett fue significativa (</w:t>
      </w:r>
      <w:r w:rsidRPr="00785DD5">
        <w:rPr>
          <w:i/>
          <w:iCs/>
        </w:rPr>
        <w:t>p</w:t>
      </w:r>
      <w:r>
        <w:t xml:space="preserve"> &lt;</w:t>
      </w:r>
      <w:r w:rsidR="00785DD5">
        <w:t xml:space="preserve"> </w:t>
      </w:r>
      <w:r>
        <w:t>0.01), y el KMO fue excelente (KMO = 0.86).</w:t>
      </w:r>
    </w:p>
    <w:p w14:paraId="25865255" w14:textId="6C98CE9E" w:rsidR="00250869" w:rsidRDefault="00802DB6">
      <w:pPr>
        <w:spacing w:line="360" w:lineRule="auto"/>
        <w:ind w:firstLine="708"/>
        <w:jc w:val="both"/>
      </w:pPr>
      <w:r>
        <w:t>Posterior a estos análisis, se ejecutó el AFE, del cual se logró identificar un factor único que explicó el 68% de la varianza. Todas las cargas factoriales fueron estadísticamente significativas; osciló entre 0</w:t>
      </w:r>
      <w:r w:rsidR="00785DD5">
        <w:t>.</w:t>
      </w:r>
      <w:r>
        <w:t>69 y 0</w:t>
      </w:r>
      <w:r w:rsidR="00785DD5">
        <w:t>.</w:t>
      </w:r>
      <w:r>
        <w:t>87 (ver Tabla 3).</w:t>
      </w:r>
    </w:p>
    <w:p w14:paraId="2D115BA0" w14:textId="77777777" w:rsidR="00250869" w:rsidRDefault="00802DB6">
      <w:pPr>
        <w:spacing w:line="360" w:lineRule="auto"/>
        <w:jc w:val="both"/>
        <w:rPr>
          <w:i/>
        </w:rPr>
      </w:pPr>
      <w:r>
        <w:rPr>
          <w:i/>
        </w:rPr>
        <w:t>Análisis Factorial Confirmatorio</w:t>
      </w:r>
    </w:p>
    <w:p w14:paraId="0DF4CD50" w14:textId="5AB683FA" w:rsidR="00250869" w:rsidRDefault="00802DB6">
      <w:pPr>
        <w:spacing w:line="360" w:lineRule="auto"/>
        <w:ind w:firstLine="708"/>
        <w:jc w:val="both"/>
      </w:pPr>
      <w:r>
        <w:t xml:space="preserve">La solución </w:t>
      </w:r>
      <w:proofErr w:type="spellStart"/>
      <w:r>
        <w:t>unifactorial</w:t>
      </w:r>
      <w:proofErr w:type="spellEnd"/>
      <w:r>
        <w:t xml:space="preserve"> encontrada en el AFE, fue confirmada el restante 50% de los adultos participantes del estudio. El AFC, permite demostrar que la solución </w:t>
      </w:r>
      <w:proofErr w:type="spellStart"/>
      <w:r>
        <w:t>unifactorial</w:t>
      </w:r>
      <w:proofErr w:type="spellEnd"/>
      <w:r>
        <w:t xml:space="preserve"> presenta un adecuado ajuste a los datos (SB </w:t>
      </w:r>
      <w:r>
        <w:rPr>
          <w:rFonts w:ascii="Noto Sans Symbols" w:eastAsia="Noto Sans Symbols" w:hAnsi="Noto Sans Symbols" w:cs="Noto Sans Symbols"/>
          <w:i/>
        </w:rPr>
        <w:t>χ</w:t>
      </w:r>
      <w:r>
        <w:rPr>
          <w:vertAlign w:val="superscript"/>
        </w:rPr>
        <w:t>2</w:t>
      </w:r>
      <w:r>
        <w:t xml:space="preserve"> = 11.68, </w:t>
      </w:r>
      <w:proofErr w:type="spellStart"/>
      <w:r>
        <w:t>df</w:t>
      </w:r>
      <w:proofErr w:type="spellEnd"/>
      <w:r>
        <w:t xml:space="preserve"> = 7, </w:t>
      </w:r>
      <w:r>
        <w:rPr>
          <w:i/>
        </w:rPr>
        <w:t>p</w:t>
      </w:r>
      <w:r>
        <w:t xml:space="preserve"> = 0.11; RSMEA = 0.059, CFI = 0.99; TLI = 0.98; SRMR = 0.022), con todas las cargas factoriales estadísticamente significativas (</w:t>
      </w:r>
      <w:r>
        <w:rPr>
          <w:i/>
        </w:rPr>
        <w:t>p</w:t>
      </w:r>
      <w:r>
        <w:t xml:space="preserve"> &lt;</w:t>
      </w:r>
      <w:r w:rsidR="008E6791">
        <w:t xml:space="preserve"> </w:t>
      </w:r>
      <w:r>
        <w:t xml:space="preserve">0.01). </w:t>
      </w:r>
    </w:p>
    <w:p w14:paraId="037534C8" w14:textId="34DB1BDD" w:rsidR="00250869" w:rsidRDefault="00802DB6">
      <w:pPr>
        <w:spacing w:line="360" w:lineRule="auto"/>
        <w:jc w:val="both"/>
        <w:rPr>
          <w:i/>
        </w:rPr>
      </w:pPr>
      <w:r>
        <w:rPr>
          <w:i/>
        </w:rPr>
        <w:t xml:space="preserve">Análisis de </w:t>
      </w:r>
      <w:proofErr w:type="spellStart"/>
      <w:r>
        <w:rPr>
          <w:i/>
        </w:rPr>
        <w:t>Invarian</w:t>
      </w:r>
      <w:r w:rsidR="008E6791">
        <w:rPr>
          <w:i/>
        </w:rPr>
        <w:t>za</w:t>
      </w:r>
      <w:proofErr w:type="spellEnd"/>
      <w:r>
        <w:rPr>
          <w:i/>
        </w:rPr>
        <w:t xml:space="preserve"> Métrica</w:t>
      </w:r>
    </w:p>
    <w:p w14:paraId="42769168" w14:textId="77777777" w:rsidR="00250869" w:rsidRDefault="00802DB6">
      <w:pPr>
        <w:spacing w:line="360" w:lineRule="auto"/>
        <w:ind w:firstLine="708"/>
        <w:jc w:val="both"/>
      </w:pPr>
      <w:r>
        <w:lastRenderedPageBreak/>
        <w:t xml:space="preserve">Una vez confirmada la estructura </w:t>
      </w:r>
      <w:proofErr w:type="spellStart"/>
      <w:r>
        <w:t>unifactorial</w:t>
      </w:r>
      <w:proofErr w:type="spellEnd"/>
      <w:r>
        <w:t xml:space="preserve"> de la escala ESSI en ambas muestras, se procedió a realizar un AFC de </w:t>
      </w:r>
      <w:proofErr w:type="spellStart"/>
      <w:r>
        <w:t>multigrupo</w:t>
      </w:r>
      <w:proofErr w:type="spellEnd"/>
      <w:r>
        <w:t xml:space="preserve"> con el sexo como variable de agrupación, siguiendo las recomendaciones de </w:t>
      </w:r>
      <w:proofErr w:type="spellStart"/>
      <w:r>
        <w:t>Byrne</w:t>
      </w:r>
      <w:proofErr w:type="spellEnd"/>
      <w:r>
        <w:t xml:space="preserve"> (2008).</w:t>
      </w:r>
    </w:p>
    <w:p w14:paraId="59B517D3" w14:textId="51F00EB8" w:rsidR="00250869" w:rsidRDefault="00802DB6">
      <w:pPr>
        <w:spacing w:line="360" w:lineRule="auto"/>
        <w:ind w:firstLine="708"/>
        <w:jc w:val="both"/>
      </w:pPr>
      <w:r>
        <w:t xml:space="preserve">Para tal efecto, en primer </w:t>
      </w:r>
      <w:r w:rsidR="008E6791">
        <w:t>lugar,</w:t>
      </w:r>
      <w:r>
        <w:t xml:space="preserve"> se realizó una prueba del modelo de referencia, con el sexo como variable de agrupación. Como se ve en la Tabla 4, los índices de ajuste generales fueron excelentes para la muestra completa; en consecuencia, se procede con el siguiente paso que consiste en probar la </w:t>
      </w:r>
      <w:proofErr w:type="spellStart"/>
      <w:r>
        <w:t>invarian</w:t>
      </w:r>
      <w:r w:rsidR="008E6791">
        <w:t>za</w:t>
      </w:r>
      <w:proofErr w:type="spellEnd"/>
      <w:r>
        <w:t xml:space="preserve"> </w:t>
      </w:r>
      <w:proofErr w:type="spellStart"/>
      <w:r>
        <w:t>configural</w:t>
      </w:r>
      <w:proofErr w:type="spellEnd"/>
      <w:r>
        <w:t>.</w:t>
      </w:r>
    </w:p>
    <w:p w14:paraId="135FD9B7" w14:textId="05560D46" w:rsidR="00250869" w:rsidRDefault="00802DB6">
      <w:pPr>
        <w:spacing w:line="360" w:lineRule="auto"/>
        <w:ind w:firstLine="708"/>
        <w:jc w:val="both"/>
      </w:pPr>
      <w:r>
        <w:t xml:space="preserve">La prueba de </w:t>
      </w:r>
      <w:proofErr w:type="spellStart"/>
      <w:r>
        <w:t>invarianza</w:t>
      </w:r>
      <w:proofErr w:type="spellEnd"/>
      <w:r>
        <w:t xml:space="preserve"> </w:t>
      </w:r>
      <w:proofErr w:type="spellStart"/>
      <w:r>
        <w:t>configural</w:t>
      </w:r>
      <w:proofErr w:type="spellEnd"/>
      <w:r>
        <w:t xml:space="preserve"> requiere que el mismo número de factores y sus cargas factoriales sean similares en ambos grupos, por lo tanto, en este paso no se impone ninguna restricción en ningún parámetro. Los parámetros obtenidos de este paso, así como los estadísticos de ajuste, serán los valores de referencia contra el modelo posterior que se contrastará. Como se ve en la Tabla 4, los índices de ajuste generales para esta solución son excelentes, lo que sugiere que el mismo número de factores y cargas están representados en ambos grupos </w:t>
      </w:r>
      <w:r w:rsidR="008E6791">
        <w:t>y,</w:t>
      </w:r>
      <w:r>
        <w:t xml:space="preserve"> por tanto, es posible continuar al siguiente paso que consiste en realizar una prueba de equivalencia o </w:t>
      </w:r>
      <w:proofErr w:type="spellStart"/>
      <w:r>
        <w:t>invarianza</w:t>
      </w:r>
      <w:proofErr w:type="spellEnd"/>
      <w:r>
        <w:t xml:space="preserve"> métrica.</w:t>
      </w:r>
    </w:p>
    <w:p w14:paraId="5F2FEFB6" w14:textId="77777777" w:rsidR="00250869" w:rsidRDefault="00802DB6">
      <w:pPr>
        <w:spacing w:line="360" w:lineRule="auto"/>
        <w:ind w:firstLine="708"/>
        <w:jc w:val="both"/>
      </w:pPr>
      <w:r>
        <w:t xml:space="preserve">La prueba de </w:t>
      </w:r>
      <w:proofErr w:type="spellStart"/>
      <w:r>
        <w:t>invarianza</w:t>
      </w:r>
      <w:proofErr w:type="spellEnd"/>
      <w:r>
        <w:t xml:space="preserve"> métrica implica primero que imponer una restricción de igualdad en las cargas factoriales de hombres y mujeres, y en segundo lugar la comparación del ajuste de este modelo (restricciones de carga) con el modelo de configuración. Debido a que estos dos modelos están anidados, se compararon en pares calculando la diferencia de </w:t>
      </w:r>
      <w:proofErr w:type="spellStart"/>
      <w:r>
        <w:t>chi</w:t>
      </w:r>
      <w:proofErr w:type="spellEnd"/>
      <w:r>
        <w:t xml:space="preserve">-cuadrado y los grados de libertad (prueba de probabilidad de </w:t>
      </w:r>
      <w:proofErr w:type="spellStart"/>
      <w:r>
        <w:t>chi</w:t>
      </w:r>
      <w:proofErr w:type="spellEnd"/>
      <w:r>
        <w:t xml:space="preserve">-cuadrado). Como se ve en la Tabla 4, los índices de ajuste son buenos y la diferencia no fue estadísticamente significativa (Δχ2 (5) = 8.75, </w:t>
      </w:r>
      <w:r w:rsidRPr="008E6791">
        <w:rPr>
          <w:i/>
          <w:iCs/>
        </w:rPr>
        <w:t>p</w:t>
      </w:r>
      <w:r>
        <w:t xml:space="preserve"> = 0.12), lo cual sugiere que las restricciones de igualdad son compatibles y, por lo tanto, el significado del apoyo social es similar para hombres y mujeres.</w:t>
      </w:r>
    </w:p>
    <w:p w14:paraId="4D0BF5BA" w14:textId="77777777" w:rsidR="00250869" w:rsidRDefault="00802DB6">
      <w:pPr>
        <w:spacing w:after="120" w:line="360" w:lineRule="auto"/>
        <w:ind w:firstLine="708"/>
        <w:jc w:val="both"/>
      </w:pPr>
      <w:r>
        <w:t xml:space="preserve">Prueba de </w:t>
      </w:r>
      <w:proofErr w:type="spellStart"/>
      <w:r>
        <w:t>invarianza</w:t>
      </w:r>
      <w:proofErr w:type="spellEnd"/>
      <w:r>
        <w:t xml:space="preserve"> escalar. Este paso suma a las restricciones de igualdad, la restricción en los </w:t>
      </w:r>
      <w:proofErr w:type="spellStart"/>
      <w:r>
        <w:t>interceptos</w:t>
      </w:r>
      <w:proofErr w:type="spellEnd"/>
      <w:r>
        <w:t xml:space="preserve">. Tal como se aprecia en la Tabla 4, la bondad de ajuste es excelente. Al comparar esta solución con el modelo de configuración, la diferencia entre ellos no fue estadísticamente significativa (Δχ2 (11) = 17.17, </w:t>
      </w:r>
      <w:r w:rsidRPr="003F4652">
        <w:rPr>
          <w:i/>
          <w:iCs/>
        </w:rPr>
        <w:t>p</w:t>
      </w:r>
      <w:r>
        <w:t xml:space="preserve"> = 0.10), sugiriendo que tanto hombres como mujeres comparten un significado similar para el constructo de apoyo social, y que la media del factor latente es igual para ellos (ver Figura 1).</w:t>
      </w:r>
    </w:p>
    <w:p w14:paraId="5EDECDE4" w14:textId="77777777" w:rsidR="00250869" w:rsidRDefault="00250869">
      <w:pPr>
        <w:pBdr>
          <w:top w:val="nil"/>
          <w:left w:val="nil"/>
          <w:bottom w:val="nil"/>
          <w:right w:val="nil"/>
          <w:between w:val="nil"/>
        </w:pBdr>
        <w:spacing w:line="360" w:lineRule="auto"/>
        <w:ind w:firstLine="708"/>
        <w:jc w:val="both"/>
        <w:rPr>
          <w:color w:val="000000"/>
        </w:rPr>
      </w:pPr>
    </w:p>
    <w:p w14:paraId="265D29DC" w14:textId="77777777" w:rsidR="005225C5" w:rsidRDefault="005225C5">
      <w:pPr>
        <w:spacing w:line="360" w:lineRule="auto"/>
        <w:jc w:val="both"/>
        <w:rPr>
          <w:sz w:val="20"/>
          <w:szCs w:val="20"/>
        </w:rPr>
      </w:pPr>
    </w:p>
    <w:p w14:paraId="248D7E32" w14:textId="3F9731C5" w:rsidR="00250869" w:rsidRDefault="00802DB6">
      <w:pPr>
        <w:spacing w:line="360" w:lineRule="auto"/>
        <w:jc w:val="both"/>
        <w:rPr>
          <w:sz w:val="20"/>
          <w:szCs w:val="20"/>
        </w:rPr>
      </w:pPr>
      <w:r>
        <w:rPr>
          <w:sz w:val="20"/>
          <w:szCs w:val="20"/>
        </w:rPr>
        <w:lastRenderedPageBreak/>
        <w:t xml:space="preserve">Tabla 1. </w:t>
      </w:r>
    </w:p>
    <w:p w14:paraId="632EF9E3" w14:textId="77777777" w:rsidR="00250869" w:rsidRDefault="00802DB6">
      <w:pPr>
        <w:spacing w:after="120" w:line="360" w:lineRule="auto"/>
        <w:jc w:val="both"/>
        <w:rPr>
          <w:i/>
          <w:sz w:val="20"/>
          <w:szCs w:val="20"/>
        </w:rPr>
      </w:pPr>
      <w:r>
        <w:rPr>
          <w:i/>
          <w:sz w:val="20"/>
          <w:szCs w:val="20"/>
        </w:rPr>
        <w:t>Media, desviaciones estándar y matriz de correlación de los ítems del Índice de Apoyo Social, muestra estudiantes.</w:t>
      </w:r>
    </w:p>
    <w:tbl>
      <w:tblPr>
        <w:tblStyle w:val="a"/>
        <w:tblW w:w="8828" w:type="dxa"/>
        <w:tblBorders>
          <w:top w:val="nil"/>
          <w:left w:val="nil"/>
          <w:bottom w:val="nil"/>
          <w:right w:val="nil"/>
          <w:insideH w:val="nil"/>
          <w:insideV w:val="nil"/>
        </w:tblBorders>
        <w:tblLayout w:type="fixed"/>
        <w:tblLook w:val="0400" w:firstRow="0" w:lastRow="0" w:firstColumn="0" w:lastColumn="0" w:noHBand="0" w:noVBand="1"/>
      </w:tblPr>
      <w:tblGrid>
        <w:gridCol w:w="1261"/>
        <w:gridCol w:w="1261"/>
        <w:gridCol w:w="1261"/>
        <w:gridCol w:w="1261"/>
        <w:gridCol w:w="1261"/>
        <w:gridCol w:w="1261"/>
        <w:gridCol w:w="1262"/>
      </w:tblGrid>
      <w:tr w:rsidR="00250869" w14:paraId="3E6DD080" w14:textId="77777777">
        <w:tc>
          <w:tcPr>
            <w:tcW w:w="1261" w:type="dxa"/>
            <w:tcBorders>
              <w:top w:val="single" w:sz="4" w:space="0" w:color="000000"/>
              <w:left w:val="nil"/>
              <w:bottom w:val="single" w:sz="4" w:space="0" w:color="000000"/>
              <w:right w:val="nil"/>
            </w:tcBorders>
          </w:tcPr>
          <w:p w14:paraId="1C355C5F" w14:textId="77777777" w:rsidR="00250869" w:rsidRDefault="00250869">
            <w:pPr>
              <w:spacing w:line="360" w:lineRule="auto"/>
              <w:rPr>
                <w:sz w:val="20"/>
                <w:szCs w:val="20"/>
              </w:rPr>
            </w:pPr>
          </w:p>
        </w:tc>
        <w:tc>
          <w:tcPr>
            <w:tcW w:w="1261" w:type="dxa"/>
            <w:tcBorders>
              <w:top w:val="single" w:sz="4" w:space="0" w:color="000000"/>
              <w:left w:val="nil"/>
              <w:bottom w:val="single" w:sz="4" w:space="0" w:color="000000"/>
              <w:right w:val="nil"/>
            </w:tcBorders>
          </w:tcPr>
          <w:p w14:paraId="4625795C" w14:textId="77777777" w:rsidR="00250869" w:rsidRDefault="00802DB6">
            <w:pPr>
              <w:spacing w:line="360" w:lineRule="auto"/>
              <w:rPr>
                <w:sz w:val="20"/>
                <w:szCs w:val="20"/>
              </w:rPr>
            </w:pPr>
            <w:r>
              <w:rPr>
                <w:sz w:val="20"/>
                <w:szCs w:val="20"/>
              </w:rPr>
              <w:t>Ítem 1</w:t>
            </w:r>
          </w:p>
        </w:tc>
        <w:tc>
          <w:tcPr>
            <w:tcW w:w="1261" w:type="dxa"/>
            <w:tcBorders>
              <w:top w:val="single" w:sz="4" w:space="0" w:color="000000"/>
              <w:left w:val="nil"/>
              <w:bottom w:val="single" w:sz="4" w:space="0" w:color="000000"/>
              <w:right w:val="nil"/>
            </w:tcBorders>
          </w:tcPr>
          <w:p w14:paraId="26AD97E3" w14:textId="77777777" w:rsidR="00250869" w:rsidRDefault="00802DB6">
            <w:pPr>
              <w:spacing w:line="360" w:lineRule="auto"/>
              <w:rPr>
                <w:sz w:val="20"/>
                <w:szCs w:val="20"/>
              </w:rPr>
            </w:pPr>
            <w:r>
              <w:rPr>
                <w:sz w:val="20"/>
                <w:szCs w:val="20"/>
              </w:rPr>
              <w:t>Ítem 2</w:t>
            </w:r>
          </w:p>
        </w:tc>
        <w:tc>
          <w:tcPr>
            <w:tcW w:w="1261" w:type="dxa"/>
            <w:tcBorders>
              <w:top w:val="single" w:sz="4" w:space="0" w:color="000000"/>
              <w:left w:val="nil"/>
              <w:bottom w:val="single" w:sz="4" w:space="0" w:color="000000"/>
              <w:right w:val="nil"/>
            </w:tcBorders>
          </w:tcPr>
          <w:p w14:paraId="6CA8B4A8" w14:textId="77777777" w:rsidR="00250869" w:rsidRDefault="00802DB6">
            <w:pPr>
              <w:spacing w:line="360" w:lineRule="auto"/>
              <w:rPr>
                <w:sz w:val="20"/>
                <w:szCs w:val="20"/>
              </w:rPr>
            </w:pPr>
            <w:r>
              <w:rPr>
                <w:sz w:val="20"/>
                <w:szCs w:val="20"/>
              </w:rPr>
              <w:t xml:space="preserve">Ítem 3 </w:t>
            </w:r>
          </w:p>
        </w:tc>
        <w:tc>
          <w:tcPr>
            <w:tcW w:w="1261" w:type="dxa"/>
            <w:tcBorders>
              <w:top w:val="single" w:sz="4" w:space="0" w:color="000000"/>
              <w:left w:val="nil"/>
              <w:bottom w:val="single" w:sz="4" w:space="0" w:color="000000"/>
              <w:right w:val="nil"/>
            </w:tcBorders>
          </w:tcPr>
          <w:p w14:paraId="1F277F07" w14:textId="77777777" w:rsidR="00250869" w:rsidRDefault="00802DB6">
            <w:pPr>
              <w:spacing w:line="360" w:lineRule="auto"/>
              <w:rPr>
                <w:sz w:val="20"/>
                <w:szCs w:val="20"/>
              </w:rPr>
            </w:pPr>
            <w:r>
              <w:rPr>
                <w:sz w:val="20"/>
                <w:szCs w:val="20"/>
              </w:rPr>
              <w:t>Ítem 4</w:t>
            </w:r>
          </w:p>
        </w:tc>
        <w:tc>
          <w:tcPr>
            <w:tcW w:w="1261" w:type="dxa"/>
            <w:tcBorders>
              <w:top w:val="single" w:sz="4" w:space="0" w:color="000000"/>
              <w:left w:val="nil"/>
              <w:bottom w:val="single" w:sz="4" w:space="0" w:color="000000"/>
              <w:right w:val="nil"/>
            </w:tcBorders>
          </w:tcPr>
          <w:p w14:paraId="4940FBE5" w14:textId="77777777" w:rsidR="00250869" w:rsidRDefault="00802DB6">
            <w:pPr>
              <w:spacing w:line="360" w:lineRule="auto"/>
              <w:rPr>
                <w:sz w:val="20"/>
                <w:szCs w:val="20"/>
              </w:rPr>
            </w:pPr>
            <w:r>
              <w:rPr>
                <w:sz w:val="20"/>
                <w:szCs w:val="20"/>
              </w:rPr>
              <w:t>Ítem 5</w:t>
            </w:r>
          </w:p>
        </w:tc>
        <w:tc>
          <w:tcPr>
            <w:tcW w:w="1262" w:type="dxa"/>
            <w:tcBorders>
              <w:top w:val="single" w:sz="4" w:space="0" w:color="000000"/>
              <w:left w:val="nil"/>
              <w:bottom w:val="single" w:sz="4" w:space="0" w:color="000000"/>
              <w:right w:val="nil"/>
            </w:tcBorders>
          </w:tcPr>
          <w:p w14:paraId="5D0C5D8D" w14:textId="77777777" w:rsidR="00250869" w:rsidRDefault="00802DB6">
            <w:pPr>
              <w:spacing w:line="360" w:lineRule="auto"/>
              <w:rPr>
                <w:sz w:val="20"/>
                <w:szCs w:val="20"/>
              </w:rPr>
            </w:pPr>
            <w:r>
              <w:rPr>
                <w:sz w:val="20"/>
                <w:szCs w:val="20"/>
              </w:rPr>
              <w:t>Ítem 6</w:t>
            </w:r>
          </w:p>
        </w:tc>
      </w:tr>
      <w:tr w:rsidR="00250869" w14:paraId="418F43AA" w14:textId="77777777">
        <w:tc>
          <w:tcPr>
            <w:tcW w:w="1261" w:type="dxa"/>
            <w:tcBorders>
              <w:top w:val="single" w:sz="4" w:space="0" w:color="000000"/>
              <w:left w:val="nil"/>
              <w:bottom w:val="nil"/>
              <w:right w:val="nil"/>
            </w:tcBorders>
          </w:tcPr>
          <w:p w14:paraId="15E49605" w14:textId="77777777" w:rsidR="00250869" w:rsidRDefault="00802DB6">
            <w:pPr>
              <w:spacing w:line="360" w:lineRule="auto"/>
              <w:rPr>
                <w:sz w:val="20"/>
                <w:szCs w:val="20"/>
              </w:rPr>
            </w:pPr>
            <w:r>
              <w:rPr>
                <w:sz w:val="20"/>
                <w:szCs w:val="20"/>
              </w:rPr>
              <w:t>Ítem 1</w:t>
            </w:r>
          </w:p>
        </w:tc>
        <w:tc>
          <w:tcPr>
            <w:tcW w:w="1261" w:type="dxa"/>
            <w:tcBorders>
              <w:top w:val="single" w:sz="4" w:space="0" w:color="000000"/>
              <w:left w:val="nil"/>
              <w:bottom w:val="nil"/>
              <w:right w:val="nil"/>
            </w:tcBorders>
          </w:tcPr>
          <w:p w14:paraId="7D5BF748" w14:textId="77777777" w:rsidR="00250869" w:rsidRDefault="00802DB6">
            <w:pPr>
              <w:spacing w:line="360" w:lineRule="auto"/>
              <w:jc w:val="center"/>
              <w:rPr>
                <w:sz w:val="20"/>
                <w:szCs w:val="20"/>
              </w:rPr>
            </w:pPr>
            <w:r>
              <w:rPr>
                <w:sz w:val="20"/>
                <w:szCs w:val="20"/>
              </w:rPr>
              <w:t>1</w:t>
            </w:r>
          </w:p>
        </w:tc>
        <w:tc>
          <w:tcPr>
            <w:tcW w:w="1261" w:type="dxa"/>
            <w:tcBorders>
              <w:top w:val="single" w:sz="4" w:space="0" w:color="000000"/>
              <w:left w:val="nil"/>
              <w:bottom w:val="nil"/>
              <w:right w:val="nil"/>
            </w:tcBorders>
          </w:tcPr>
          <w:p w14:paraId="4C2A9192" w14:textId="77777777" w:rsidR="00250869" w:rsidRDefault="00250869">
            <w:pPr>
              <w:spacing w:line="360" w:lineRule="auto"/>
              <w:jc w:val="center"/>
              <w:rPr>
                <w:sz w:val="20"/>
                <w:szCs w:val="20"/>
              </w:rPr>
            </w:pPr>
          </w:p>
        </w:tc>
        <w:tc>
          <w:tcPr>
            <w:tcW w:w="1261" w:type="dxa"/>
            <w:tcBorders>
              <w:top w:val="single" w:sz="4" w:space="0" w:color="000000"/>
              <w:left w:val="nil"/>
              <w:bottom w:val="nil"/>
              <w:right w:val="nil"/>
            </w:tcBorders>
          </w:tcPr>
          <w:p w14:paraId="181F772B" w14:textId="77777777" w:rsidR="00250869" w:rsidRDefault="00250869">
            <w:pPr>
              <w:spacing w:line="360" w:lineRule="auto"/>
              <w:jc w:val="center"/>
              <w:rPr>
                <w:sz w:val="20"/>
                <w:szCs w:val="20"/>
              </w:rPr>
            </w:pPr>
          </w:p>
        </w:tc>
        <w:tc>
          <w:tcPr>
            <w:tcW w:w="1261" w:type="dxa"/>
            <w:tcBorders>
              <w:top w:val="single" w:sz="4" w:space="0" w:color="000000"/>
              <w:left w:val="nil"/>
              <w:bottom w:val="nil"/>
              <w:right w:val="nil"/>
            </w:tcBorders>
          </w:tcPr>
          <w:p w14:paraId="0A2B5A08" w14:textId="77777777" w:rsidR="00250869" w:rsidRDefault="00250869">
            <w:pPr>
              <w:spacing w:line="360" w:lineRule="auto"/>
              <w:jc w:val="center"/>
              <w:rPr>
                <w:sz w:val="20"/>
                <w:szCs w:val="20"/>
              </w:rPr>
            </w:pPr>
          </w:p>
        </w:tc>
        <w:tc>
          <w:tcPr>
            <w:tcW w:w="1261" w:type="dxa"/>
            <w:tcBorders>
              <w:top w:val="single" w:sz="4" w:space="0" w:color="000000"/>
              <w:left w:val="nil"/>
              <w:bottom w:val="nil"/>
              <w:right w:val="nil"/>
            </w:tcBorders>
          </w:tcPr>
          <w:p w14:paraId="3C299B3B" w14:textId="77777777" w:rsidR="00250869" w:rsidRDefault="00250869">
            <w:pPr>
              <w:spacing w:line="360" w:lineRule="auto"/>
              <w:jc w:val="center"/>
              <w:rPr>
                <w:sz w:val="20"/>
                <w:szCs w:val="20"/>
              </w:rPr>
            </w:pPr>
          </w:p>
        </w:tc>
        <w:tc>
          <w:tcPr>
            <w:tcW w:w="1262" w:type="dxa"/>
            <w:tcBorders>
              <w:top w:val="single" w:sz="4" w:space="0" w:color="000000"/>
              <w:left w:val="nil"/>
              <w:bottom w:val="nil"/>
              <w:right w:val="nil"/>
            </w:tcBorders>
          </w:tcPr>
          <w:p w14:paraId="2334F45C" w14:textId="77777777" w:rsidR="00250869" w:rsidRDefault="00250869">
            <w:pPr>
              <w:spacing w:line="360" w:lineRule="auto"/>
              <w:jc w:val="center"/>
              <w:rPr>
                <w:sz w:val="20"/>
                <w:szCs w:val="20"/>
              </w:rPr>
            </w:pPr>
          </w:p>
        </w:tc>
      </w:tr>
      <w:tr w:rsidR="00250869" w14:paraId="5F270743" w14:textId="77777777">
        <w:tc>
          <w:tcPr>
            <w:tcW w:w="1261" w:type="dxa"/>
          </w:tcPr>
          <w:p w14:paraId="3023AD38" w14:textId="77777777" w:rsidR="00250869" w:rsidRDefault="00802DB6">
            <w:pPr>
              <w:spacing w:line="360" w:lineRule="auto"/>
              <w:rPr>
                <w:sz w:val="20"/>
                <w:szCs w:val="20"/>
              </w:rPr>
            </w:pPr>
            <w:r>
              <w:rPr>
                <w:sz w:val="20"/>
                <w:szCs w:val="20"/>
              </w:rPr>
              <w:t>Ítem 2</w:t>
            </w:r>
          </w:p>
        </w:tc>
        <w:tc>
          <w:tcPr>
            <w:tcW w:w="1261" w:type="dxa"/>
          </w:tcPr>
          <w:p w14:paraId="63B91CBA" w14:textId="4535677D" w:rsidR="00250869" w:rsidRDefault="00802DB6">
            <w:pPr>
              <w:spacing w:line="360" w:lineRule="auto"/>
              <w:jc w:val="center"/>
              <w:rPr>
                <w:sz w:val="20"/>
                <w:szCs w:val="20"/>
              </w:rPr>
            </w:pPr>
            <w:r>
              <w:rPr>
                <w:sz w:val="20"/>
                <w:szCs w:val="20"/>
              </w:rPr>
              <w:t>0</w:t>
            </w:r>
            <w:r w:rsidR="008B78C1">
              <w:rPr>
                <w:sz w:val="20"/>
                <w:szCs w:val="20"/>
              </w:rPr>
              <w:t>.</w:t>
            </w:r>
            <w:r>
              <w:rPr>
                <w:sz w:val="20"/>
                <w:szCs w:val="20"/>
              </w:rPr>
              <w:t>75</w:t>
            </w:r>
          </w:p>
        </w:tc>
        <w:tc>
          <w:tcPr>
            <w:tcW w:w="1261" w:type="dxa"/>
          </w:tcPr>
          <w:p w14:paraId="4F8FEE2D" w14:textId="77777777" w:rsidR="00250869" w:rsidRDefault="00802DB6">
            <w:pPr>
              <w:spacing w:line="360" w:lineRule="auto"/>
              <w:jc w:val="center"/>
              <w:rPr>
                <w:sz w:val="20"/>
                <w:szCs w:val="20"/>
              </w:rPr>
            </w:pPr>
            <w:r>
              <w:rPr>
                <w:sz w:val="20"/>
                <w:szCs w:val="20"/>
              </w:rPr>
              <w:t>1</w:t>
            </w:r>
          </w:p>
        </w:tc>
        <w:tc>
          <w:tcPr>
            <w:tcW w:w="1261" w:type="dxa"/>
          </w:tcPr>
          <w:p w14:paraId="5FB10FAF" w14:textId="77777777" w:rsidR="00250869" w:rsidRDefault="00250869">
            <w:pPr>
              <w:spacing w:line="360" w:lineRule="auto"/>
              <w:jc w:val="center"/>
              <w:rPr>
                <w:sz w:val="20"/>
                <w:szCs w:val="20"/>
              </w:rPr>
            </w:pPr>
          </w:p>
        </w:tc>
        <w:tc>
          <w:tcPr>
            <w:tcW w:w="1261" w:type="dxa"/>
          </w:tcPr>
          <w:p w14:paraId="26B39686" w14:textId="77777777" w:rsidR="00250869" w:rsidRDefault="00250869">
            <w:pPr>
              <w:spacing w:line="360" w:lineRule="auto"/>
              <w:jc w:val="center"/>
              <w:rPr>
                <w:sz w:val="20"/>
                <w:szCs w:val="20"/>
              </w:rPr>
            </w:pPr>
          </w:p>
        </w:tc>
        <w:tc>
          <w:tcPr>
            <w:tcW w:w="1261" w:type="dxa"/>
          </w:tcPr>
          <w:p w14:paraId="52A26660" w14:textId="77777777" w:rsidR="00250869" w:rsidRDefault="00250869">
            <w:pPr>
              <w:spacing w:line="360" w:lineRule="auto"/>
              <w:jc w:val="center"/>
              <w:rPr>
                <w:sz w:val="20"/>
                <w:szCs w:val="20"/>
              </w:rPr>
            </w:pPr>
          </w:p>
        </w:tc>
        <w:tc>
          <w:tcPr>
            <w:tcW w:w="1262" w:type="dxa"/>
          </w:tcPr>
          <w:p w14:paraId="3B3E4698" w14:textId="77777777" w:rsidR="00250869" w:rsidRDefault="00250869">
            <w:pPr>
              <w:spacing w:line="360" w:lineRule="auto"/>
              <w:jc w:val="center"/>
              <w:rPr>
                <w:sz w:val="20"/>
                <w:szCs w:val="20"/>
              </w:rPr>
            </w:pPr>
          </w:p>
        </w:tc>
      </w:tr>
      <w:tr w:rsidR="00250869" w14:paraId="2A2FCCDE" w14:textId="77777777">
        <w:tc>
          <w:tcPr>
            <w:tcW w:w="1261" w:type="dxa"/>
          </w:tcPr>
          <w:p w14:paraId="774E9191" w14:textId="77777777" w:rsidR="00250869" w:rsidRDefault="00802DB6">
            <w:pPr>
              <w:spacing w:line="360" w:lineRule="auto"/>
              <w:rPr>
                <w:sz w:val="20"/>
                <w:szCs w:val="20"/>
              </w:rPr>
            </w:pPr>
            <w:r>
              <w:rPr>
                <w:sz w:val="20"/>
                <w:szCs w:val="20"/>
              </w:rPr>
              <w:t>Ítem 3</w:t>
            </w:r>
          </w:p>
        </w:tc>
        <w:tc>
          <w:tcPr>
            <w:tcW w:w="1261" w:type="dxa"/>
          </w:tcPr>
          <w:p w14:paraId="1C336E06" w14:textId="4241CD73" w:rsidR="00250869" w:rsidRDefault="00802DB6">
            <w:pPr>
              <w:spacing w:line="360" w:lineRule="auto"/>
              <w:jc w:val="center"/>
              <w:rPr>
                <w:sz w:val="20"/>
                <w:szCs w:val="20"/>
              </w:rPr>
            </w:pPr>
            <w:r>
              <w:rPr>
                <w:sz w:val="20"/>
                <w:szCs w:val="20"/>
              </w:rPr>
              <w:t>0</w:t>
            </w:r>
            <w:r w:rsidR="008B78C1">
              <w:rPr>
                <w:sz w:val="20"/>
                <w:szCs w:val="20"/>
              </w:rPr>
              <w:t>.</w:t>
            </w:r>
            <w:r>
              <w:rPr>
                <w:sz w:val="20"/>
                <w:szCs w:val="20"/>
              </w:rPr>
              <w:t>66</w:t>
            </w:r>
          </w:p>
        </w:tc>
        <w:tc>
          <w:tcPr>
            <w:tcW w:w="1261" w:type="dxa"/>
          </w:tcPr>
          <w:p w14:paraId="7C10A9E1" w14:textId="282758C6" w:rsidR="00250869" w:rsidRDefault="00802DB6">
            <w:pPr>
              <w:spacing w:line="360" w:lineRule="auto"/>
              <w:jc w:val="center"/>
              <w:rPr>
                <w:sz w:val="20"/>
                <w:szCs w:val="20"/>
              </w:rPr>
            </w:pPr>
            <w:r>
              <w:rPr>
                <w:sz w:val="20"/>
                <w:szCs w:val="20"/>
              </w:rPr>
              <w:t>0</w:t>
            </w:r>
            <w:r w:rsidR="008B78C1">
              <w:rPr>
                <w:sz w:val="20"/>
                <w:szCs w:val="20"/>
              </w:rPr>
              <w:t>.</w:t>
            </w:r>
            <w:r>
              <w:rPr>
                <w:sz w:val="20"/>
                <w:szCs w:val="20"/>
              </w:rPr>
              <w:t>59</w:t>
            </w:r>
          </w:p>
        </w:tc>
        <w:tc>
          <w:tcPr>
            <w:tcW w:w="1261" w:type="dxa"/>
          </w:tcPr>
          <w:p w14:paraId="26520471" w14:textId="77777777" w:rsidR="00250869" w:rsidRDefault="00802DB6">
            <w:pPr>
              <w:spacing w:line="360" w:lineRule="auto"/>
              <w:jc w:val="center"/>
              <w:rPr>
                <w:sz w:val="20"/>
                <w:szCs w:val="20"/>
              </w:rPr>
            </w:pPr>
            <w:r>
              <w:rPr>
                <w:sz w:val="20"/>
                <w:szCs w:val="20"/>
              </w:rPr>
              <w:t>1</w:t>
            </w:r>
          </w:p>
        </w:tc>
        <w:tc>
          <w:tcPr>
            <w:tcW w:w="1261" w:type="dxa"/>
          </w:tcPr>
          <w:p w14:paraId="33812583" w14:textId="77777777" w:rsidR="00250869" w:rsidRDefault="00250869">
            <w:pPr>
              <w:spacing w:line="360" w:lineRule="auto"/>
              <w:jc w:val="center"/>
              <w:rPr>
                <w:sz w:val="20"/>
                <w:szCs w:val="20"/>
              </w:rPr>
            </w:pPr>
          </w:p>
        </w:tc>
        <w:tc>
          <w:tcPr>
            <w:tcW w:w="1261" w:type="dxa"/>
          </w:tcPr>
          <w:p w14:paraId="7C88F0D9" w14:textId="77777777" w:rsidR="00250869" w:rsidRDefault="00250869">
            <w:pPr>
              <w:spacing w:line="360" w:lineRule="auto"/>
              <w:jc w:val="center"/>
              <w:rPr>
                <w:sz w:val="20"/>
                <w:szCs w:val="20"/>
              </w:rPr>
            </w:pPr>
          </w:p>
        </w:tc>
        <w:tc>
          <w:tcPr>
            <w:tcW w:w="1262" w:type="dxa"/>
          </w:tcPr>
          <w:p w14:paraId="2C8CA201" w14:textId="77777777" w:rsidR="00250869" w:rsidRDefault="00250869">
            <w:pPr>
              <w:spacing w:line="360" w:lineRule="auto"/>
              <w:jc w:val="center"/>
              <w:rPr>
                <w:sz w:val="20"/>
                <w:szCs w:val="20"/>
              </w:rPr>
            </w:pPr>
          </w:p>
        </w:tc>
      </w:tr>
      <w:tr w:rsidR="00250869" w14:paraId="778999A1" w14:textId="77777777">
        <w:tc>
          <w:tcPr>
            <w:tcW w:w="1261" w:type="dxa"/>
          </w:tcPr>
          <w:p w14:paraId="06D32596" w14:textId="77777777" w:rsidR="00250869" w:rsidRDefault="00802DB6">
            <w:pPr>
              <w:spacing w:line="360" w:lineRule="auto"/>
              <w:rPr>
                <w:sz w:val="20"/>
                <w:szCs w:val="20"/>
              </w:rPr>
            </w:pPr>
            <w:r>
              <w:rPr>
                <w:sz w:val="20"/>
                <w:szCs w:val="20"/>
              </w:rPr>
              <w:t>Ítem 4</w:t>
            </w:r>
          </w:p>
        </w:tc>
        <w:tc>
          <w:tcPr>
            <w:tcW w:w="1261" w:type="dxa"/>
          </w:tcPr>
          <w:p w14:paraId="6D55A329" w14:textId="77C045C0" w:rsidR="00250869" w:rsidRDefault="00802DB6">
            <w:pPr>
              <w:spacing w:line="360" w:lineRule="auto"/>
              <w:jc w:val="center"/>
              <w:rPr>
                <w:sz w:val="20"/>
                <w:szCs w:val="20"/>
              </w:rPr>
            </w:pPr>
            <w:r>
              <w:rPr>
                <w:sz w:val="20"/>
                <w:szCs w:val="20"/>
              </w:rPr>
              <w:t>0</w:t>
            </w:r>
            <w:r w:rsidR="008B78C1">
              <w:rPr>
                <w:sz w:val="20"/>
                <w:szCs w:val="20"/>
              </w:rPr>
              <w:t>.</w:t>
            </w:r>
            <w:r>
              <w:rPr>
                <w:sz w:val="20"/>
                <w:szCs w:val="20"/>
              </w:rPr>
              <w:t>44</w:t>
            </w:r>
          </w:p>
        </w:tc>
        <w:tc>
          <w:tcPr>
            <w:tcW w:w="1261" w:type="dxa"/>
          </w:tcPr>
          <w:p w14:paraId="09615A87" w14:textId="0322CCA8" w:rsidR="00250869" w:rsidRDefault="00802DB6">
            <w:pPr>
              <w:spacing w:line="360" w:lineRule="auto"/>
              <w:jc w:val="center"/>
              <w:rPr>
                <w:sz w:val="20"/>
                <w:szCs w:val="20"/>
              </w:rPr>
            </w:pPr>
            <w:r>
              <w:rPr>
                <w:sz w:val="20"/>
                <w:szCs w:val="20"/>
              </w:rPr>
              <w:t>0</w:t>
            </w:r>
            <w:r w:rsidR="008B78C1">
              <w:rPr>
                <w:sz w:val="20"/>
                <w:szCs w:val="20"/>
              </w:rPr>
              <w:t>.</w:t>
            </w:r>
            <w:r>
              <w:rPr>
                <w:sz w:val="20"/>
                <w:szCs w:val="20"/>
              </w:rPr>
              <w:t>52</w:t>
            </w:r>
          </w:p>
        </w:tc>
        <w:tc>
          <w:tcPr>
            <w:tcW w:w="1261" w:type="dxa"/>
          </w:tcPr>
          <w:p w14:paraId="76DA9F9E" w14:textId="6318B111" w:rsidR="00250869" w:rsidRDefault="00802DB6">
            <w:pPr>
              <w:spacing w:line="360" w:lineRule="auto"/>
              <w:jc w:val="center"/>
              <w:rPr>
                <w:sz w:val="20"/>
                <w:szCs w:val="20"/>
              </w:rPr>
            </w:pPr>
            <w:r>
              <w:rPr>
                <w:sz w:val="20"/>
                <w:szCs w:val="20"/>
              </w:rPr>
              <w:t>0</w:t>
            </w:r>
            <w:r w:rsidR="008B78C1">
              <w:rPr>
                <w:sz w:val="20"/>
                <w:szCs w:val="20"/>
              </w:rPr>
              <w:t>.</w:t>
            </w:r>
            <w:r>
              <w:rPr>
                <w:sz w:val="20"/>
                <w:szCs w:val="20"/>
              </w:rPr>
              <w:t>43</w:t>
            </w:r>
          </w:p>
        </w:tc>
        <w:tc>
          <w:tcPr>
            <w:tcW w:w="1261" w:type="dxa"/>
          </w:tcPr>
          <w:p w14:paraId="3C2A618A" w14:textId="77777777" w:rsidR="00250869" w:rsidRDefault="00802DB6">
            <w:pPr>
              <w:spacing w:line="360" w:lineRule="auto"/>
              <w:jc w:val="center"/>
              <w:rPr>
                <w:sz w:val="20"/>
                <w:szCs w:val="20"/>
              </w:rPr>
            </w:pPr>
            <w:r>
              <w:rPr>
                <w:sz w:val="20"/>
                <w:szCs w:val="20"/>
              </w:rPr>
              <w:t>1</w:t>
            </w:r>
          </w:p>
        </w:tc>
        <w:tc>
          <w:tcPr>
            <w:tcW w:w="1261" w:type="dxa"/>
          </w:tcPr>
          <w:p w14:paraId="40ECCFC3" w14:textId="77777777" w:rsidR="00250869" w:rsidRDefault="00250869">
            <w:pPr>
              <w:spacing w:line="360" w:lineRule="auto"/>
              <w:jc w:val="center"/>
              <w:rPr>
                <w:sz w:val="20"/>
                <w:szCs w:val="20"/>
              </w:rPr>
            </w:pPr>
          </w:p>
        </w:tc>
        <w:tc>
          <w:tcPr>
            <w:tcW w:w="1262" w:type="dxa"/>
          </w:tcPr>
          <w:p w14:paraId="57EB4381" w14:textId="77777777" w:rsidR="00250869" w:rsidRDefault="00250869">
            <w:pPr>
              <w:spacing w:line="360" w:lineRule="auto"/>
              <w:jc w:val="center"/>
              <w:rPr>
                <w:sz w:val="20"/>
                <w:szCs w:val="20"/>
              </w:rPr>
            </w:pPr>
          </w:p>
        </w:tc>
      </w:tr>
      <w:tr w:rsidR="00250869" w14:paraId="04D8C3C3" w14:textId="77777777">
        <w:tc>
          <w:tcPr>
            <w:tcW w:w="1261" w:type="dxa"/>
          </w:tcPr>
          <w:p w14:paraId="74D7B9A9" w14:textId="77777777" w:rsidR="00250869" w:rsidRDefault="00802DB6">
            <w:pPr>
              <w:spacing w:line="360" w:lineRule="auto"/>
              <w:rPr>
                <w:sz w:val="20"/>
                <w:szCs w:val="20"/>
              </w:rPr>
            </w:pPr>
            <w:r>
              <w:rPr>
                <w:sz w:val="20"/>
                <w:szCs w:val="20"/>
              </w:rPr>
              <w:t>Ítem 5</w:t>
            </w:r>
          </w:p>
        </w:tc>
        <w:tc>
          <w:tcPr>
            <w:tcW w:w="1261" w:type="dxa"/>
          </w:tcPr>
          <w:p w14:paraId="12FA721F" w14:textId="1FA2EA7A" w:rsidR="00250869" w:rsidRDefault="00802DB6">
            <w:pPr>
              <w:spacing w:line="360" w:lineRule="auto"/>
              <w:jc w:val="center"/>
              <w:rPr>
                <w:sz w:val="20"/>
                <w:szCs w:val="20"/>
              </w:rPr>
            </w:pPr>
            <w:r>
              <w:rPr>
                <w:sz w:val="20"/>
                <w:szCs w:val="20"/>
              </w:rPr>
              <w:t>0</w:t>
            </w:r>
            <w:r w:rsidR="008B78C1">
              <w:rPr>
                <w:sz w:val="20"/>
                <w:szCs w:val="20"/>
              </w:rPr>
              <w:t>.</w:t>
            </w:r>
            <w:r>
              <w:rPr>
                <w:sz w:val="20"/>
                <w:szCs w:val="20"/>
              </w:rPr>
              <w:t>70</w:t>
            </w:r>
          </w:p>
        </w:tc>
        <w:tc>
          <w:tcPr>
            <w:tcW w:w="1261" w:type="dxa"/>
          </w:tcPr>
          <w:p w14:paraId="2CF8CE21" w14:textId="73CB84FB" w:rsidR="00250869" w:rsidRDefault="00802DB6">
            <w:pPr>
              <w:spacing w:line="360" w:lineRule="auto"/>
              <w:jc w:val="center"/>
              <w:rPr>
                <w:sz w:val="20"/>
                <w:szCs w:val="20"/>
              </w:rPr>
            </w:pPr>
            <w:r>
              <w:rPr>
                <w:sz w:val="20"/>
                <w:szCs w:val="20"/>
              </w:rPr>
              <w:t>0</w:t>
            </w:r>
            <w:r w:rsidR="008B78C1">
              <w:rPr>
                <w:sz w:val="20"/>
                <w:szCs w:val="20"/>
              </w:rPr>
              <w:t>.</w:t>
            </w:r>
            <w:r>
              <w:rPr>
                <w:sz w:val="20"/>
                <w:szCs w:val="20"/>
              </w:rPr>
              <w:t>70</w:t>
            </w:r>
          </w:p>
        </w:tc>
        <w:tc>
          <w:tcPr>
            <w:tcW w:w="1261" w:type="dxa"/>
          </w:tcPr>
          <w:p w14:paraId="60088AAC" w14:textId="5207448C" w:rsidR="00250869" w:rsidRDefault="00802DB6">
            <w:pPr>
              <w:spacing w:line="360" w:lineRule="auto"/>
              <w:jc w:val="center"/>
              <w:rPr>
                <w:sz w:val="20"/>
                <w:szCs w:val="20"/>
              </w:rPr>
            </w:pPr>
            <w:r>
              <w:rPr>
                <w:sz w:val="20"/>
                <w:szCs w:val="20"/>
              </w:rPr>
              <w:t>0</w:t>
            </w:r>
            <w:r w:rsidR="008B78C1">
              <w:rPr>
                <w:sz w:val="20"/>
                <w:szCs w:val="20"/>
              </w:rPr>
              <w:t>.</w:t>
            </w:r>
            <w:r>
              <w:rPr>
                <w:sz w:val="20"/>
                <w:szCs w:val="20"/>
              </w:rPr>
              <w:t>74</w:t>
            </w:r>
          </w:p>
        </w:tc>
        <w:tc>
          <w:tcPr>
            <w:tcW w:w="1261" w:type="dxa"/>
          </w:tcPr>
          <w:p w14:paraId="42BCDBA6" w14:textId="7545CFEA" w:rsidR="00250869" w:rsidRDefault="00802DB6">
            <w:pPr>
              <w:spacing w:line="360" w:lineRule="auto"/>
              <w:jc w:val="center"/>
              <w:rPr>
                <w:sz w:val="20"/>
                <w:szCs w:val="20"/>
              </w:rPr>
            </w:pPr>
            <w:r>
              <w:rPr>
                <w:sz w:val="20"/>
                <w:szCs w:val="20"/>
              </w:rPr>
              <w:t>0</w:t>
            </w:r>
            <w:r w:rsidR="008B78C1">
              <w:rPr>
                <w:sz w:val="20"/>
                <w:szCs w:val="20"/>
              </w:rPr>
              <w:t>.</w:t>
            </w:r>
            <w:r>
              <w:rPr>
                <w:sz w:val="20"/>
                <w:szCs w:val="20"/>
              </w:rPr>
              <w:t>47</w:t>
            </w:r>
          </w:p>
        </w:tc>
        <w:tc>
          <w:tcPr>
            <w:tcW w:w="1261" w:type="dxa"/>
          </w:tcPr>
          <w:p w14:paraId="6243501C" w14:textId="77777777" w:rsidR="00250869" w:rsidRDefault="00802DB6">
            <w:pPr>
              <w:spacing w:line="360" w:lineRule="auto"/>
              <w:jc w:val="center"/>
              <w:rPr>
                <w:sz w:val="20"/>
                <w:szCs w:val="20"/>
              </w:rPr>
            </w:pPr>
            <w:r>
              <w:rPr>
                <w:sz w:val="20"/>
                <w:szCs w:val="20"/>
              </w:rPr>
              <w:t>1</w:t>
            </w:r>
          </w:p>
        </w:tc>
        <w:tc>
          <w:tcPr>
            <w:tcW w:w="1262" w:type="dxa"/>
          </w:tcPr>
          <w:p w14:paraId="4B653616" w14:textId="77777777" w:rsidR="00250869" w:rsidRDefault="00250869">
            <w:pPr>
              <w:spacing w:line="360" w:lineRule="auto"/>
              <w:jc w:val="center"/>
              <w:rPr>
                <w:sz w:val="20"/>
                <w:szCs w:val="20"/>
              </w:rPr>
            </w:pPr>
          </w:p>
        </w:tc>
      </w:tr>
      <w:tr w:rsidR="00250869" w14:paraId="1BD0CDB5" w14:textId="77777777">
        <w:tc>
          <w:tcPr>
            <w:tcW w:w="1261" w:type="dxa"/>
          </w:tcPr>
          <w:p w14:paraId="0ADAB42F" w14:textId="77777777" w:rsidR="00250869" w:rsidRDefault="00802DB6">
            <w:pPr>
              <w:spacing w:line="360" w:lineRule="auto"/>
              <w:rPr>
                <w:sz w:val="20"/>
                <w:szCs w:val="20"/>
              </w:rPr>
            </w:pPr>
            <w:r>
              <w:rPr>
                <w:sz w:val="20"/>
                <w:szCs w:val="20"/>
              </w:rPr>
              <w:t>Ítem 6</w:t>
            </w:r>
          </w:p>
        </w:tc>
        <w:tc>
          <w:tcPr>
            <w:tcW w:w="1261" w:type="dxa"/>
          </w:tcPr>
          <w:p w14:paraId="033F263A" w14:textId="45820871" w:rsidR="00250869" w:rsidRDefault="00802DB6">
            <w:pPr>
              <w:spacing w:line="360" w:lineRule="auto"/>
              <w:jc w:val="center"/>
              <w:rPr>
                <w:sz w:val="20"/>
                <w:szCs w:val="20"/>
              </w:rPr>
            </w:pPr>
            <w:r>
              <w:rPr>
                <w:sz w:val="20"/>
                <w:szCs w:val="20"/>
              </w:rPr>
              <w:t>0</w:t>
            </w:r>
            <w:r w:rsidR="008B78C1">
              <w:rPr>
                <w:sz w:val="20"/>
                <w:szCs w:val="20"/>
              </w:rPr>
              <w:t>.</w:t>
            </w:r>
            <w:r>
              <w:rPr>
                <w:sz w:val="20"/>
                <w:szCs w:val="20"/>
              </w:rPr>
              <w:t>66</w:t>
            </w:r>
          </w:p>
        </w:tc>
        <w:tc>
          <w:tcPr>
            <w:tcW w:w="1261" w:type="dxa"/>
          </w:tcPr>
          <w:p w14:paraId="28AA268F" w14:textId="274D71D0" w:rsidR="00250869" w:rsidRDefault="00802DB6">
            <w:pPr>
              <w:spacing w:line="360" w:lineRule="auto"/>
              <w:jc w:val="center"/>
              <w:rPr>
                <w:sz w:val="20"/>
                <w:szCs w:val="20"/>
              </w:rPr>
            </w:pPr>
            <w:r>
              <w:rPr>
                <w:sz w:val="20"/>
                <w:szCs w:val="20"/>
              </w:rPr>
              <w:t>0</w:t>
            </w:r>
            <w:r w:rsidR="008B78C1">
              <w:rPr>
                <w:sz w:val="20"/>
                <w:szCs w:val="20"/>
              </w:rPr>
              <w:t>.</w:t>
            </w:r>
            <w:r>
              <w:rPr>
                <w:sz w:val="20"/>
                <w:szCs w:val="20"/>
              </w:rPr>
              <w:t>64</w:t>
            </w:r>
          </w:p>
        </w:tc>
        <w:tc>
          <w:tcPr>
            <w:tcW w:w="1261" w:type="dxa"/>
          </w:tcPr>
          <w:p w14:paraId="22960B3A" w14:textId="7B25BFF7" w:rsidR="00250869" w:rsidRDefault="00802DB6">
            <w:pPr>
              <w:spacing w:line="360" w:lineRule="auto"/>
              <w:jc w:val="center"/>
              <w:rPr>
                <w:sz w:val="20"/>
                <w:szCs w:val="20"/>
              </w:rPr>
            </w:pPr>
            <w:r>
              <w:rPr>
                <w:sz w:val="20"/>
                <w:szCs w:val="20"/>
              </w:rPr>
              <w:t>0</w:t>
            </w:r>
            <w:r w:rsidR="008B78C1">
              <w:rPr>
                <w:sz w:val="20"/>
                <w:szCs w:val="20"/>
              </w:rPr>
              <w:t>.</w:t>
            </w:r>
            <w:r>
              <w:rPr>
                <w:sz w:val="20"/>
                <w:szCs w:val="20"/>
              </w:rPr>
              <w:t>64</w:t>
            </w:r>
          </w:p>
        </w:tc>
        <w:tc>
          <w:tcPr>
            <w:tcW w:w="1261" w:type="dxa"/>
          </w:tcPr>
          <w:p w14:paraId="7139814A" w14:textId="29A2E0BF" w:rsidR="00250869" w:rsidRDefault="00802DB6">
            <w:pPr>
              <w:spacing w:line="360" w:lineRule="auto"/>
              <w:jc w:val="center"/>
              <w:rPr>
                <w:sz w:val="20"/>
                <w:szCs w:val="20"/>
              </w:rPr>
            </w:pPr>
            <w:r>
              <w:rPr>
                <w:sz w:val="20"/>
                <w:szCs w:val="20"/>
              </w:rPr>
              <w:t>0</w:t>
            </w:r>
            <w:r w:rsidR="008B78C1">
              <w:rPr>
                <w:sz w:val="20"/>
                <w:szCs w:val="20"/>
              </w:rPr>
              <w:t>.</w:t>
            </w:r>
            <w:r>
              <w:rPr>
                <w:sz w:val="20"/>
                <w:szCs w:val="20"/>
              </w:rPr>
              <w:t>37</w:t>
            </w:r>
          </w:p>
        </w:tc>
        <w:tc>
          <w:tcPr>
            <w:tcW w:w="1261" w:type="dxa"/>
          </w:tcPr>
          <w:p w14:paraId="4621F030" w14:textId="34356802" w:rsidR="00250869" w:rsidRDefault="00802DB6">
            <w:pPr>
              <w:spacing w:line="360" w:lineRule="auto"/>
              <w:jc w:val="center"/>
              <w:rPr>
                <w:sz w:val="20"/>
                <w:szCs w:val="20"/>
              </w:rPr>
            </w:pPr>
            <w:r>
              <w:rPr>
                <w:sz w:val="20"/>
                <w:szCs w:val="20"/>
              </w:rPr>
              <w:t>0</w:t>
            </w:r>
            <w:r w:rsidR="008B78C1">
              <w:rPr>
                <w:sz w:val="20"/>
                <w:szCs w:val="20"/>
              </w:rPr>
              <w:t>.</w:t>
            </w:r>
            <w:r>
              <w:rPr>
                <w:sz w:val="20"/>
                <w:szCs w:val="20"/>
              </w:rPr>
              <w:t>68</w:t>
            </w:r>
          </w:p>
        </w:tc>
        <w:tc>
          <w:tcPr>
            <w:tcW w:w="1262" w:type="dxa"/>
          </w:tcPr>
          <w:p w14:paraId="1F084877" w14:textId="77777777" w:rsidR="00250869" w:rsidRDefault="00802DB6">
            <w:pPr>
              <w:spacing w:line="360" w:lineRule="auto"/>
              <w:jc w:val="center"/>
              <w:rPr>
                <w:sz w:val="20"/>
                <w:szCs w:val="20"/>
              </w:rPr>
            </w:pPr>
            <w:r>
              <w:rPr>
                <w:sz w:val="20"/>
                <w:szCs w:val="20"/>
              </w:rPr>
              <w:t>1</w:t>
            </w:r>
          </w:p>
        </w:tc>
      </w:tr>
      <w:tr w:rsidR="00250869" w14:paraId="2FBF0204" w14:textId="77777777">
        <w:tc>
          <w:tcPr>
            <w:tcW w:w="1261" w:type="dxa"/>
          </w:tcPr>
          <w:p w14:paraId="34704F61" w14:textId="77777777" w:rsidR="00250869" w:rsidRDefault="00802DB6">
            <w:pPr>
              <w:spacing w:line="360" w:lineRule="auto"/>
              <w:rPr>
                <w:sz w:val="20"/>
                <w:szCs w:val="20"/>
              </w:rPr>
            </w:pPr>
            <w:r>
              <w:rPr>
                <w:sz w:val="20"/>
                <w:szCs w:val="20"/>
              </w:rPr>
              <w:t>Promedio</w:t>
            </w:r>
          </w:p>
        </w:tc>
        <w:tc>
          <w:tcPr>
            <w:tcW w:w="1261" w:type="dxa"/>
          </w:tcPr>
          <w:p w14:paraId="53A1FFAC" w14:textId="6A8E998F" w:rsidR="00250869" w:rsidRDefault="00802DB6">
            <w:pPr>
              <w:spacing w:line="360" w:lineRule="auto"/>
              <w:jc w:val="center"/>
              <w:rPr>
                <w:sz w:val="20"/>
                <w:szCs w:val="20"/>
              </w:rPr>
            </w:pPr>
            <w:r>
              <w:rPr>
                <w:sz w:val="20"/>
                <w:szCs w:val="20"/>
              </w:rPr>
              <w:t>3</w:t>
            </w:r>
            <w:r w:rsidR="008B78C1">
              <w:rPr>
                <w:sz w:val="20"/>
                <w:szCs w:val="20"/>
              </w:rPr>
              <w:t>.</w:t>
            </w:r>
            <w:r>
              <w:rPr>
                <w:sz w:val="20"/>
                <w:szCs w:val="20"/>
              </w:rPr>
              <w:t>14</w:t>
            </w:r>
          </w:p>
        </w:tc>
        <w:tc>
          <w:tcPr>
            <w:tcW w:w="1261" w:type="dxa"/>
          </w:tcPr>
          <w:p w14:paraId="08DA559C" w14:textId="596372FA" w:rsidR="00250869" w:rsidRDefault="00802DB6">
            <w:pPr>
              <w:spacing w:line="360" w:lineRule="auto"/>
              <w:jc w:val="center"/>
              <w:rPr>
                <w:sz w:val="20"/>
                <w:szCs w:val="20"/>
              </w:rPr>
            </w:pPr>
            <w:r>
              <w:rPr>
                <w:sz w:val="20"/>
                <w:szCs w:val="20"/>
              </w:rPr>
              <w:t>3</w:t>
            </w:r>
            <w:r w:rsidR="008B78C1">
              <w:rPr>
                <w:sz w:val="20"/>
                <w:szCs w:val="20"/>
              </w:rPr>
              <w:t>.</w:t>
            </w:r>
            <w:r>
              <w:rPr>
                <w:sz w:val="20"/>
                <w:szCs w:val="20"/>
              </w:rPr>
              <w:t>06</w:t>
            </w:r>
          </w:p>
        </w:tc>
        <w:tc>
          <w:tcPr>
            <w:tcW w:w="1261" w:type="dxa"/>
          </w:tcPr>
          <w:p w14:paraId="3B12F945" w14:textId="786DF0D4" w:rsidR="00250869" w:rsidRDefault="00802DB6">
            <w:pPr>
              <w:spacing w:line="360" w:lineRule="auto"/>
              <w:jc w:val="center"/>
              <w:rPr>
                <w:sz w:val="20"/>
                <w:szCs w:val="20"/>
              </w:rPr>
            </w:pPr>
            <w:r>
              <w:rPr>
                <w:sz w:val="20"/>
                <w:szCs w:val="20"/>
              </w:rPr>
              <w:t>3</w:t>
            </w:r>
            <w:r w:rsidR="008B78C1">
              <w:rPr>
                <w:sz w:val="20"/>
                <w:szCs w:val="20"/>
              </w:rPr>
              <w:t>.</w:t>
            </w:r>
            <w:r>
              <w:rPr>
                <w:sz w:val="20"/>
                <w:szCs w:val="20"/>
              </w:rPr>
              <w:t>24</w:t>
            </w:r>
          </w:p>
        </w:tc>
        <w:tc>
          <w:tcPr>
            <w:tcW w:w="1261" w:type="dxa"/>
          </w:tcPr>
          <w:p w14:paraId="61F19D5D" w14:textId="2F840D15" w:rsidR="00250869" w:rsidRDefault="00802DB6">
            <w:pPr>
              <w:spacing w:line="360" w:lineRule="auto"/>
              <w:jc w:val="center"/>
              <w:rPr>
                <w:sz w:val="20"/>
                <w:szCs w:val="20"/>
              </w:rPr>
            </w:pPr>
            <w:r>
              <w:rPr>
                <w:sz w:val="20"/>
                <w:szCs w:val="20"/>
              </w:rPr>
              <w:t>2</w:t>
            </w:r>
            <w:r w:rsidR="008B78C1">
              <w:rPr>
                <w:sz w:val="20"/>
                <w:szCs w:val="20"/>
              </w:rPr>
              <w:t>.</w:t>
            </w:r>
            <w:r>
              <w:rPr>
                <w:sz w:val="20"/>
                <w:szCs w:val="20"/>
              </w:rPr>
              <w:t>25</w:t>
            </w:r>
          </w:p>
        </w:tc>
        <w:tc>
          <w:tcPr>
            <w:tcW w:w="1261" w:type="dxa"/>
          </w:tcPr>
          <w:p w14:paraId="0D2ED5B3" w14:textId="6660C10D" w:rsidR="00250869" w:rsidRDefault="00802DB6">
            <w:pPr>
              <w:spacing w:line="360" w:lineRule="auto"/>
              <w:jc w:val="center"/>
              <w:rPr>
                <w:sz w:val="20"/>
                <w:szCs w:val="20"/>
              </w:rPr>
            </w:pPr>
            <w:r>
              <w:rPr>
                <w:sz w:val="20"/>
                <w:szCs w:val="20"/>
              </w:rPr>
              <w:t>3</w:t>
            </w:r>
            <w:r w:rsidR="008B78C1">
              <w:rPr>
                <w:sz w:val="20"/>
                <w:szCs w:val="20"/>
              </w:rPr>
              <w:t>.</w:t>
            </w:r>
            <w:r>
              <w:rPr>
                <w:sz w:val="20"/>
                <w:szCs w:val="20"/>
              </w:rPr>
              <w:t>10</w:t>
            </w:r>
          </w:p>
        </w:tc>
        <w:tc>
          <w:tcPr>
            <w:tcW w:w="1262" w:type="dxa"/>
          </w:tcPr>
          <w:p w14:paraId="58C8F07E" w14:textId="721EEA61" w:rsidR="00250869" w:rsidRDefault="00802DB6">
            <w:pPr>
              <w:spacing w:line="360" w:lineRule="auto"/>
              <w:jc w:val="center"/>
              <w:rPr>
                <w:sz w:val="20"/>
                <w:szCs w:val="20"/>
              </w:rPr>
            </w:pPr>
            <w:r>
              <w:rPr>
                <w:sz w:val="20"/>
                <w:szCs w:val="20"/>
              </w:rPr>
              <w:t>3</w:t>
            </w:r>
            <w:r w:rsidR="008B78C1">
              <w:rPr>
                <w:sz w:val="20"/>
                <w:szCs w:val="20"/>
              </w:rPr>
              <w:t>.</w:t>
            </w:r>
            <w:r>
              <w:rPr>
                <w:sz w:val="20"/>
                <w:szCs w:val="20"/>
              </w:rPr>
              <w:t>40</w:t>
            </w:r>
          </w:p>
        </w:tc>
      </w:tr>
      <w:tr w:rsidR="00250869" w14:paraId="739FA714" w14:textId="77777777">
        <w:tc>
          <w:tcPr>
            <w:tcW w:w="1261" w:type="dxa"/>
            <w:tcBorders>
              <w:top w:val="nil"/>
              <w:left w:val="nil"/>
              <w:bottom w:val="single" w:sz="4" w:space="0" w:color="000000"/>
              <w:right w:val="nil"/>
            </w:tcBorders>
          </w:tcPr>
          <w:p w14:paraId="4DBD310A" w14:textId="77777777" w:rsidR="00250869" w:rsidRDefault="00802DB6">
            <w:pPr>
              <w:spacing w:line="360" w:lineRule="auto"/>
              <w:rPr>
                <w:sz w:val="20"/>
                <w:szCs w:val="20"/>
              </w:rPr>
            </w:pPr>
            <w:r>
              <w:rPr>
                <w:sz w:val="20"/>
                <w:szCs w:val="20"/>
              </w:rPr>
              <w:t>D.E</w:t>
            </w:r>
          </w:p>
        </w:tc>
        <w:tc>
          <w:tcPr>
            <w:tcW w:w="1261" w:type="dxa"/>
            <w:tcBorders>
              <w:top w:val="nil"/>
              <w:left w:val="nil"/>
              <w:bottom w:val="single" w:sz="4" w:space="0" w:color="000000"/>
              <w:right w:val="nil"/>
            </w:tcBorders>
          </w:tcPr>
          <w:p w14:paraId="6E0F2173" w14:textId="57C57CA5" w:rsidR="00250869" w:rsidRDefault="008B78C1">
            <w:pPr>
              <w:spacing w:line="360" w:lineRule="auto"/>
              <w:jc w:val="center"/>
              <w:rPr>
                <w:sz w:val="20"/>
                <w:szCs w:val="20"/>
              </w:rPr>
            </w:pPr>
            <w:r>
              <w:rPr>
                <w:sz w:val="20"/>
                <w:szCs w:val="20"/>
              </w:rPr>
              <w:t>0.</w:t>
            </w:r>
            <w:r w:rsidR="00802DB6">
              <w:rPr>
                <w:sz w:val="20"/>
                <w:szCs w:val="20"/>
              </w:rPr>
              <w:t>88</w:t>
            </w:r>
          </w:p>
        </w:tc>
        <w:tc>
          <w:tcPr>
            <w:tcW w:w="1261" w:type="dxa"/>
            <w:tcBorders>
              <w:top w:val="nil"/>
              <w:left w:val="nil"/>
              <w:bottom w:val="single" w:sz="4" w:space="0" w:color="000000"/>
              <w:right w:val="nil"/>
            </w:tcBorders>
          </w:tcPr>
          <w:p w14:paraId="55832A4B" w14:textId="1FA7F33F" w:rsidR="00250869" w:rsidRDefault="008B78C1">
            <w:pPr>
              <w:spacing w:line="360" w:lineRule="auto"/>
              <w:jc w:val="center"/>
              <w:rPr>
                <w:sz w:val="20"/>
                <w:szCs w:val="20"/>
              </w:rPr>
            </w:pPr>
            <w:r>
              <w:rPr>
                <w:sz w:val="20"/>
                <w:szCs w:val="20"/>
              </w:rPr>
              <w:t>0.</w:t>
            </w:r>
            <w:r w:rsidR="00802DB6">
              <w:rPr>
                <w:sz w:val="20"/>
                <w:szCs w:val="20"/>
              </w:rPr>
              <w:t>90</w:t>
            </w:r>
          </w:p>
        </w:tc>
        <w:tc>
          <w:tcPr>
            <w:tcW w:w="1261" w:type="dxa"/>
            <w:tcBorders>
              <w:top w:val="nil"/>
              <w:left w:val="nil"/>
              <w:bottom w:val="single" w:sz="4" w:space="0" w:color="000000"/>
              <w:right w:val="nil"/>
            </w:tcBorders>
          </w:tcPr>
          <w:p w14:paraId="23FA6048" w14:textId="64919FB2" w:rsidR="00250869" w:rsidRDefault="008B78C1">
            <w:pPr>
              <w:spacing w:line="360" w:lineRule="auto"/>
              <w:jc w:val="center"/>
              <w:rPr>
                <w:sz w:val="20"/>
                <w:szCs w:val="20"/>
              </w:rPr>
            </w:pPr>
            <w:r>
              <w:rPr>
                <w:sz w:val="20"/>
                <w:szCs w:val="20"/>
              </w:rPr>
              <w:t>0.</w:t>
            </w:r>
            <w:r w:rsidR="00802DB6">
              <w:rPr>
                <w:sz w:val="20"/>
                <w:szCs w:val="20"/>
              </w:rPr>
              <w:t>95</w:t>
            </w:r>
          </w:p>
        </w:tc>
        <w:tc>
          <w:tcPr>
            <w:tcW w:w="1261" w:type="dxa"/>
            <w:tcBorders>
              <w:top w:val="nil"/>
              <w:left w:val="nil"/>
              <w:bottom w:val="single" w:sz="4" w:space="0" w:color="000000"/>
              <w:right w:val="nil"/>
            </w:tcBorders>
          </w:tcPr>
          <w:p w14:paraId="574C663F" w14:textId="4D691847" w:rsidR="00250869" w:rsidRDefault="00802DB6">
            <w:pPr>
              <w:spacing w:line="360" w:lineRule="auto"/>
              <w:jc w:val="center"/>
              <w:rPr>
                <w:sz w:val="20"/>
                <w:szCs w:val="20"/>
              </w:rPr>
            </w:pPr>
            <w:r>
              <w:rPr>
                <w:sz w:val="20"/>
                <w:szCs w:val="20"/>
              </w:rPr>
              <w:t>1</w:t>
            </w:r>
            <w:r w:rsidR="008B78C1">
              <w:rPr>
                <w:sz w:val="20"/>
                <w:szCs w:val="20"/>
              </w:rPr>
              <w:t>.</w:t>
            </w:r>
            <w:r>
              <w:rPr>
                <w:sz w:val="20"/>
                <w:szCs w:val="20"/>
              </w:rPr>
              <w:t>14</w:t>
            </w:r>
          </w:p>
        </w:tc>
        <w:tc>
          <w:tcPr>
            <w:tcW w:w="1261" w:type="dxa"/>
            <w:tcBorders>
              <w:top w:val="nil"/>
              <w:left w:val="nil"/>
              <w:bottom w:val="single" w:sz="4" w:space="0" w:color="000000"/>
              <w:right w:val="nil"/>
            </w:tcBorders>
          </w:tcPr>
          <w:p w14:paraId="28FB72A7" w14:textId="76804E75" w:rsidR="00250869" w:rsidRDefault="008B78C1">
            <w:pPr>
              <w:spacing w:line="360" w:lineRule="auto"/>
              <w:jc w:val="center"/>
              <w:rPr>
                <w:sz w:val="20"/>
                <w:szCs w:val="20"/>
              </w:rPr>
            </w:pPr>
            <w:r>
              <w:rPr>
                <w:sz w:val="20"/>
                <w:szCs w:val="20"/>
              </w:rPr>
              <w:t>0.</w:t>
            </w:r>
            <w:r w:rsidR="00802DB6">
              <w:rPr>
                <w:sz w:val="20"/>
                <w:szCs w:val="20"/>
              </w:rPr>
              <w:t>97</w:t>
            </w:r>
          </w:p>
        </w:tc>
        <w:tc>
          <w:tcPr>
            <w:tcW w:w="1262" w:type="dxa"/>
            <w:tcBorders>
              <w:top w:val="nil"/>
              <w:left w:val="nil"/>
              <w:bottom w:val="single" w:sz="4" w:space="0" w:color="000000"/>
              <w:right w:val="nil"/>
            </w:tcBorders>
          </w:tcPr>
          <w:p w14:paraId="516A3C7F" w14:textId="0CA4A96D" w:rsidR="00250869" w:rsidRDefault="008B78C1">
            <w:pPr>
              <w:spacing w:line="360" w:lineRule="auto"/>
              <w:jc w:val="center"/>
              <w:rPr>
                <w:sz w:val="20"/>
                <w:szCs w:val="20"/>
              </w:rPr>
            </w:pPr>
            <w:r>
              <w:rPr>
                <w:sz w:val="20"/>
                <w:szCs w:val="20"/>
              </w:rPr>
              <w:t>0.</w:t>
            </w:r>
            <w:r w:rsidR="00802DB6">
              <w:rPr>
                <w:sz w:val="20"/>
                <w:szCs w:val="20"/>
              </w:rPr>
              <w:t>91</w:t>
            </w:r>
          </w:p>
        </w:tc>
      </w:tr>
    </w:tbl>
    <w:p w14:paraId="0FDDAA60" w14:textId="5941BD99" w:rsidR="00250869" w:rsidRDefault="00802DB6">
      <w:pPr>
        <w:spacing w:line="360" w:lineRule="auto"/>
        <w:jc w:val="both"/>
        <w:rPr>
          <w:sz w:val="20"/>
          <w:szCs w:val="20"/>
        </w:rPr>
      </w:pPr>
      <w:r>
        <w:rPr>
          <w:i/>
          <w:sz w:val="20"/>
          <w:szCs w:val="20"/>
        </w:rPr>
        <w:t>Nota</w:t>
      </w:r>
      <w:r>
        <w:rPr>
          <w:sz w:val="20"/>
          <w:szCs w:val="20"/>
        </w:rPr>
        <w:t>: Todas las correlaciones son estadísticamente significativas (</w:t>
      </w:r>
      <w:r>
        <w:rPr>
          <w:i/>
          <w:sz w:val="20"/>
          <w:szCs w:val="20"/>
        </w:rPr>
        <w:t>p</w:t>
      </w:r>
      <w:r>
        <w:rPr>
          <w:sz w:val="20"/>
          <w:szCs w:val="20"/>
        </w:rPr>
        <w:t xml:space="preserve"> &lt; 0</w:t>
      </w:r>
      <w:r w:rsidR="008B78C1">
        <w:rPr>
          <w:sz w:val="20"/>
          <w:szCs w:val="20"/>
        </w:rPr>
        <w:t>.</w:t>
      </w:r>
      <w:r>
        <w:rPr>
          <w:sz w:val="20"/>
          <w:szCs w:val="20"/>
        </w:rPr>
        <w:t xml:space="preserve">01). </w:t>
      </w:r>
      <w:r>
        <w:rPr>
          <w:i/>
          <w:sz w:val="20"/>
          <w:szCs w:val="20"/>
        </w:rPr>
        <w:t xml:space="preserve">Fuente: </w:t>
      </w:r>
      <w:r>
        <w:rPr>
          <w:sz w:val="20"/>
          <w:szCs w:val="20"/>
        </w:rPr>
        <w:t xml:space="preserve">Elaboración propia. </w:t>
      </w:r>
    </w:p>
    <w:p w14:paraId="10844640" w14:textId="77777777" w:rsidR="00250869" w:rsidRDefault="00250869">
      <w:pPr>
        <w:spacing w:line="360" w:lineRule="auto"/>
        <w:jc w:val="both"/>
        <w:rPr>
          <w:sz w:val="20"/>
          <w:szCs w:val="20"/>
        </w:rPr>
      </w:pPr>
    </w:p>
    <w:p w14:paraId="3D87B43B" w14:textId="77777777" w:rsidR="00250869" w:rsidRDefault="00802DB6">
      <w:pPr>
        <w:spacing w:line="360" w:lineRule="auto"/>
        <w:jc w:val="both"/>
        <w:rPr>
          <w:sz w:val="20"/>
          <w:szCs w:val="20"/>
        </w:rPr>
      </w:pPr>
      <w:r>
        <w:rPr>
          <w:sz w:val="20"/>
          <w:szCs w:val="20"/>
        </w:rPr>
        <w:t xml:space="preserve">Tabla 2. </w:t>
      </w:r>
    </w:p>
    <w:p w14:paraId="1A1A1101" w14:textId="77777777" w:rsidR="00250869" w:rsidRDefault="00802DB6">
      <w:pPr>
        <w:spacing w:after="120" w:line="360" w:lineRule="auto"/>
        <w:jc w:val="both"/>
        <w:rPr>
          <w:i/>
          <w:sz w:val="20"/>
          <w:szCs w:val="20"/>
        </w:rPr>
      </w:pPr>
      <w:r>
        <w:rPr>
          <w:i/>
          <w:sz w:val="20"/>
          <w:szCs w:val="20"/>
        </w:rPr>
        <w:t>Media, desviaciones estándar y matriz de correlación de los ítems del Índice de Apoyo Social, muestra adultos.</w:t>
      </w:r>
    </w:p>
    <w:tbl>
      <w:tblPr>
        <w:tblStyle w:val="a0"/>
        <w:tblW w:w="8828" w:type="dxa"/>
        <w:tblBorders>
          <w:top w:val="nil"/>
          <w:left w:val="nil"/>
          <w:bottom w:val="nil"/>
          <w:right w:val="nil"/>
          <w:insideH w:val="nil"/>
          <w:insideV w:val="nil"/>
        </w:tblBorders>
        <w:tblLayout w:type="fixed"/>
        <w:tblLook w:val="0400" w:firstRow="0" w:lastRow="0" w:firstColumn="0" w:lastColumn="0" w:noHBand="0" w:noVBand="1"/>
      </w:tblPr>
      <w:tblGrid>
        <w:gridCol w:w="1261"/>
        <w:gridCol w:w="1261"/>
        <w:gridCol w:w="1261"/>
        <w:gridCol w:w="1261"/>
        <w:gridCol w:w="1261"/>
        <w:gridCol w:w="1261"/>
        <w:gridCol w:w="1262"/>
      </w:tblGrid>
      <w:tr w:rsidR="00250869" w14:paraId="4D0C0AF9" w14:textId="77777777">
        <w:tc>
          <w:tcPr>
            <w:tcW w:w="1261" w:type="dxa"/>
            <w:tcBorders>
              <w:top w:val="single" w:sz="4" w:space="0" w:color="000000"/>
              <w:left w:val="nil"/>
              <w:bottom w:val="single" w:sz="4" w:space="0" w:color="000000"/>
              <w:right w:val="nil"/>
            </w:tcBorders>
          </w:tcPr>
          <w:p w14:paraId="750B1778" w14:textId="77777777" w:rsidR="00250869" w:rsidRDefault="00250869">
            <w:pPr>
              <w:spacing w:line="360" w:lineRule="auto"/>
              <w:rPr>
                <w:sz w:val="20"/>
                <w:szCs w:val="20"/>
              </w:rPr>
            </w:pPr>
          </w:p>
        </w:tc>
        <w:tc>
          <w:tcPr>
            <w:tcW w:w="1261" w:type="dxa"/>
            <w:tcBorders>
              <w:top w:val="single" w:sz="4" w:space="0" w:color="000000"/>
              <w:left w:val="nil"/>
              <w:bottom w:val="single" w:sz="4" w:space="0" w:color="000000"/>
              <w:right w:val="nil"/>
            </w:tcBorders>
          </w:tcPr>
          <w:p w14:paraId="45905B11" w14:textId="77777777" w:rsidR="00250869" w:rsidRDefault="00802DB6">
            <w:pPr>
              <w:spacing w:line="360" w:lineRule="auto"/>
              <w:rPr>
                <w:sz w:val="20"/>
                <w:szCs w:val="20"/>
              </w:rPr>
            </w:pPr>
            <w:r>
              <w:rPr>
                <w:sz w:val="20"/>
                <w:szCs w:val="20"/>
              </w:rPr>
              <w:t>Ítem 1</w:t>
            </w:r>
          </w:p>
        </w:tc>
        <w:tc>
          <w:tcPr>
            <w:tcW w:w="1261" w:type="dxa"/>
            <w:tcBorders>
              <w:top w:val="single" w:sz="4" w:space="0" w:color="000000"/>
              <w:left w:val="nil"/>
              <w:bottom w:val="single" w:sz="4" w:space="0" w:color="000000"/>
              <w:right w:val="nil"/>
            </w:tcBorders>
          </w:tcPr>
          <w:p w14:paraId="4E027A69" w14:textId="77777777" w:rsidR="00250869" w:rsidRDefault="00802DB6">
            <w:pPr>
              <w:spacing w:line="360" w:lineRule="auto"/>
              <w:rPr>
                <w:sz w:val="20"/>
                <w:szCs w:val="20"/>
              </w:rPr>
            </w:pPr>
            <w:r>
              <w:rPr>
                <w:sz w:val="20"/>
                <w:szCs w:val="20"/>
              </w:rPr>
              <w:t>Ítem 2</w:t>
            </w:r>
          </w:p>
        </w:tc>
        <w:tc>
          <w:tcPr>
            <w:tcW w:w="1261" w:type="dxa"/>
            <w:tcBorders>
              <w:top w:val="single" w:sz="4" w:space="0" w:color="000000"/>
              <w:left w:val="nil"/>
              <w:bottom w:val="single" w:sz="4" w:space="0" w:color="000000"/>
              <w:right w:val="nil"/>
            </w:tcBorders>
          </w:tcPr>
          <w:p w14:paraId="501EE2D0" w14:textId="77777777" w:rsidR="00250869" w:rsidRDefault="00802DB6">
            <w:pPr>
              <w:spacing w:line="360" w:lineRule="auto"/>
              <w:rPr>
                <w:sz w:val="20"/>
                <w:szCs w:val="20"/>
              </w:rPr>
            </w:pPr>
            <w:r>
              <w:rPr>
                <w:sz w:val="20"/>
                <w:szCs w:val="20"/>
              </w:rPr>
              <w:t xml:space="preserve">Ítem 3 </w:t>
            </w:r>
          </w:p>
        </w:tc>
        <w:tc>
          <w:tcPr>
            <w:tcW w:w="1261" w:type="dxa"/>
            <w:tcBorders>
              <w:top w:val="single" w:sz="4" w:space="0" w:color="000000"/>
              <w:left w:val="nil"/>
              <w:bottom w:val="single" w:sz="4" w:space="0" w:color="000000"/>
              <w:right w:val="nil"/>
            </w:tcBorders>
          </w:tcPr>
          <w:p w14:paraId="4BF02924" w14:textId="77777777" w:rsidR="00250869" w:rsidRDefault="00802DB6">
            <w:pPr>
              <w:spacing w:line="360" w:lineRule="auto"/>
              <w:rPr>
                <w:sz w:val="20"/>
                <w:szCs w:val="20"/>
              </w:rPr>
            </w:pPr>
            <w:r>
              <w:rPr>
                <w:sz w:val="20"/>
                <w:szCs w:val="20"/>
              </w:rPr>
              <w:t>Ítem 4</w:t>
            </w:r>
          </w:p>
        </w:tc>
        <w:tc>
          <w:tcPr>
            <w:tcW w:w="1261" w:type="dxa"/>
            <w:tcBorders>
              <w:top w:val="single" w:sz="4" w:space="0" w:color="000000"/>
              <w:left w:val="nil"/>
              <w:bottom w:val="single" w:sz="4" w:space="0" w:color="000000"/>
              <w:right w:val="nil"/>
            </w:tcBorders>
          </w:tcPr>
          <w:p w14:paraId="57673347" w14:textId="77777777" w:rsidR="00250869" w:rsidRDefault="00802DB6">
            <w:pPr>
              <w:spacing w:line="360" w:lineRule="auto"/>
              <w:rPr>
                <w:sz w:val="20"/>
                <w:szCs w:val="20"/>
              </w:rPr>
            </w:pPr>
            <w:r>
              <w:rPr>
                <w:sz w:val="20"/>
                <w:szCs w:val="20"/>
              </w:rPr>
              <w:t>Ítem 5</w:t>
            </w:r>
          </w:p>
        </w:tc>
        <w:tc>
          <w:tcPr>
            <w:tcW w:w="1262" w:type="dxa"/>
            <w:tcBorders>
              <w:top w:val="single" w:sz="4" w:space="0" w:color="000000"/>
              <w:left w:val="nil"/>
              <w:bottom w:val="single" w:sz="4" w:space="0" w:color="000000"/>
              <w:right w:val="nil"/>
            </w:tcBorders>
          </w:tcPr>
          <w:p w14:paraId="2D270588" w14:textId="77777777" w:rsidR="00250869" w:rsidRDefault="00802DB6">
            <w:pPr>
              <w:spacing w:line="360" w:lineRule="auto"/>
              <w:rPr>
                <w:sz w:val="20"/>
                <w:szCs w:val="20"/>
              </w:rPr>
            </w:pPr>
            <w:r>
              <w:rPr>
                <w:sz w:val="20"/>
                <w:szCs w:val="20"/>
              </w:rPr>
              <w:t>Ítem 6</w:t>
            </w:r>
          </w:p>
        </w:tc>
      </w:tr>
      <w:tr w:rsidR="00250869" w14:paraId="3FF5C760" w14:textId="77777777">
        <w:tc>
          <w:tcPr>
            <w:tcW w:w="1261" w:type="dxa"/>
            <w:tcBorders>
              <w:top w:val="single" w:sz="4" w:space="0" w:color="000000"/>
              <w:left w:val="nil"/>
              <w:bottom w:val="nil"/>
              <w:right w:val="nil"/>
            </w:tcBorders>
          </w:tcPr>
          <w:p w14:paraId="620DC0C1" w14:textId="77777777" w:rsidR="00250869" w:rsidRDefault="00802DB6">
            <w:pPr>
              <w:spacing w:line="360" w:lineRule="auto"/>
              <w:rPr>
                <w:sz w:val="20"/>
                <w:szCs w:val="20"/>
              </w:rPr>
            </w:pPr>
            <w:r>
              <w:rPr>
                <w:sz w:val="20"/>
                <w:szCs w:val="20"/>
              </w:rPr>
              <w:t>Ítem 1</w:t>
            </w:r>
          </w:p>
        </w:tc>
        <w:tc>
          <w:tcPr>
            <w:tcW w:w="1261" w:type="dxa"/>
            <w:tcBorders>
              <w:top w:val="single" w:sz="4" w:space="0" w:color="000000"/>
              <w:left w:val="nil"/>
              <w:bottom w:val="nil"/>
              <w:right w:val="nil"/>
            </w:tcBorders>
          </w:tcPr>
          <w:p w14:paraId="44A8A533" w14:textId="77777777" w:rsidR="00250869" w:rsidRDefault="00802DB6">
            <w:pPr>
              <w:spacing w:line="360" w:lineRule="auto"/>
              <w:jc w:val="center"/>
              <w:rPr>
                <w:sz w:val="20"/>
                <w:szCs w:val="20"/>
              </w:rPr>
            </w:pPr>
            <w:r>
              <w:rPr>
                <w:sz w:val="20"/>
                <w:szCs w:val="20"/>
              </w:rPr>
              <w:t>1</w:t>
            </w:r>
          </w:p>
        </w:tc>
        <w:tc>
          <w:tcPr>
            <w:tcW w:w="1261" w:type="dxa"/>
            <w:tcBorders>
              <w:top w:val="single" w:sz="4" w:space="0" w:color="000000"/>
              <w:left w:val="nil"/>
              <w:bottom w:val="nil"/>
              <w:right w:val="nil"/>
            </w:tcBorders>
          </w:tcPr>
          <w:p w14:paraId="14D65D63" w14:textId="77777777" w:rsidR="00250869" w:rsidRDefault="00250869">
            <w:pPr>
              <w:spacing w:line="360" w:lineRule="auto"/>
              <w:jc w:val="center"/>
              <w:rPr>
                <w:sz w:val="20"/>
                <w:szCs w:val="20"/>
              </w:rPr>
            </w:pPr>
          </w:p>
        </w:tc>
        <w:tc>
          <w:tcPr>
            <w:tcW w:w="1261" w:type="dxa"/>
            <w:tcBorders>
              <w:top w:val="single" w:sz="4" w:space="0" w:color="000000"/>
              <w:left w:val="nil"/>
              <w:bottom w:val="nil"/>
              <w:right w:val="nil"/>
            </w:tcBorders>
          </w:tcPr>
          <w:p w14:paraId="7EC959DB" w14:textId="77777777" w:rsidR="00250869" w:rsidRDefault="00250869">
            <w:pPr>
              <w:spacing w:line="360" w:lineRule="auto"/>
              <w:jc w:val="center"/>
              <w:rPr>
                <w:sz w:val="20"/>
                <w:szCs w:val="20"/>
              </w:rPr>
            </w:pPr>
          </w:p>
        </w:tc>
        <w:tc>
          <w:tcPr>
            <w:tcW w:w="1261" w:type="dxa"/>
            <w:tcBorders>
              <w:top w:val="single" w:sz="4" w:space="0" w:color="000000"/>
              <w:left w:val="nil"/>
              <w:bottom w:val="nil"/>
              <w:right w:val="nil"/>
            </w:tcBorders>
          </w:tcPr>
          <w:p w14:paraId="0D891DEC" w14:textId="77777777" w:rsidR="00250869" w:rsidRDefault="00250869">
            <w:pPr>
              <w:spacing w:line="360" w:lineRule="auto"/>
              <w:jc w:val="center"/>
              <w:rPr>
                <w:sz w:val="20"/>
                <w:szCs w:val="20"/>
              </w:rPr>
            </w:pPr>
          </w:p>
        </w:tc>
        <w:tc>
          <w:tcPr>
            <w:tcW w:w="1261" w:type="dxa"/>
            <w:tcBorders>
              <w:top w:val="single" w:sz="4" w:space="0" w:color="000000"/>
              <w:left w:val="nil"/>
              <w:bottom w:val="nil"/>
              <w:right w:val="nil"/>
            </w:tcBorders>
          </w:tcPr>
          <w:p w14:paraId="604DA7D8" w14:textId="77777777" w:rsidR="00250869" w:rsidRDefault="00250869">
            <w:pPr>
              <w:spacing w:line="360" w:lineRule="auto"/>
              <w:jc w:val="center"/>
              <w:rPr>
                <w:sz w:val="20"/>
                <w:szCs w:val="20"/>
              </w:rPr>
            </w:pPr>
          </w:p>
        </w:tc>
        <w:tc>
          <w:tcPr>
            <w:tcW w:w="1262" w:type="dxa"/>
            <w:tcBorders>
              <w:top w:val="single" w:sz="4" w:space="0" w:color="000000"/>
              <w:left w:val="nil"/>
              <w:bottom w:val="nil"/>
              <w:right w:val="nil"/>
            </w:tcBorders>
          </w:tcPr>
          <w:p w14:paraId="1E2D03C1" w14:textId="77777777" w:rsidR="00250869" w:rsidRDefault="00250869">
            <w:pPr>
              <w:spacing w:line="360" w:lineRule="auto"/>
              <w:jc w:val="center"/>
              <w:rPr>
                <w:sz w:val="20"/>
                <w:szCs w:val="20"/>
              </w:rPr>
            </w:pPr>
          </w:p>
        </w:tc>
      </w:tr>
      <w:tr w:rsidR="00250869" w14:paraId="4CDB109C" w14:textId="77777777">
        <w:tc>
          <w:tcPr>
            <w:tcW w:w="1261" w:type="dxa"/>
          </w:tcPr>
          <w:p w14:paraId="52EE738F" w14:textId="77777777" w:rsidR="00250869" w:rsidRDefault="00802DB6">
            <w:pPr>
              <w:spacing w:line="360" w:lineRule="auto"/>
              <w:rPr>
                <w:sz w:val="20"/>
                <w:szCs w:val="20"/>
              </w:rPr>
            </w:pPr>
            <w:r>
              <w:rPr>
                <w:sz w:val="20"/>
                <w:szCs w:val="20"/>
              </w:rPr>
              <w:t>Ítem 2</w:t>
            </w:r>
          </w:p>
        </w:tc>
        <w:tc>
          <w:tcPr>
            <w:tcW w:w="1261" w:type="dxa"/>
          </w:tcPr>
          <w:p w14:paraId="20D40BF1" w14:textId="7C8F2AB1" w:rsidR="00250869" w:rsidRDefault="00802DB6">
            <w:pPr>
              <w:spacing w:line="360" w:lineRule="auto"/>
              <w:jc w:val="center"/>
              <w:rPr>
                <w:sz w:val="20"/>
                <w:szCs w:val="20"/>
              </w:rPr>
            </w:pPr>
            <w:r>
              <w:rPr>
                <w:sz w:val="20"/>
                <w:szCs w:val="20"/>
              </w:rPr>
              <w:t>0</w:t>
            </w:r>
            <w:r w:rsidR="008B78C1">
              <w:rPr>
                <w:sz w:val="20"/>
                <w:szCs w:val="20"/>
              </w:rPr>
              <w:t>.</w:t>
            </w:r>
            <w:r>
              <w:rPr>
                <w:sz w:val="20"/>
                <w:szCs w:val="20"/>
              </w:rPr>
              <w:t>79</w:t>
            </w:r>
          </w:p>
        </w:tc>
        <w:tc>
          <w:tcPr>
            <w:tcW w:w="1261" w:type="dxa"/>
          </w:tcPr>
          <w:p w14:paraId="01DAF1F9" w14:textId="77777777" w:rsidR="00250869" w:rsidRDefault="00802DB6">
            <w:pPr>
              <w:spacing w:line="360" w:lineRule="auto"/>
              <w:jc w:val="center"/>
              <w:rPr>
                <w:sz w:val="20"/>
                <w:szCs w:val="20"/>
              </w:rPr>
            </w:pPr>
            <w:r>
              <w:rPr>
                <w:sz w:val="20"/>
                <w:szCs w:val="20"/>
              </w:rPr>
              <w:t>1</w:t>
            </w:r>
          </w:p>
        </w:tc>
        <w:tc>
          <w:tcPr>
            <w:tcW w:w="1261" w:type="dxa"/>
          </w:tcPr>
          <w:p w14:paraId="478193A1" w14:textId="77777777" w:rsidR="00250869" w:rsidRDefault="00250869">
            <w:pPr>
              <w:spacing w:line="360" w:lineRule="auto"/>
              <w:jc w:val="center"/>
              <w:rPr>
                <w:sz w:val="20"/>
                <w:szCs w:val="20"/>
              </w:rPr>
            </w:pPr>
          </w:p>
        </w:tc>
        <w:tc>
          <w:tcPr>
            <w:tcW w:w="1261" w:type="dxa"/>
          </w:tcPr>
          <w:p w14:paraId="51096DD8" w14:textId="77777777" w:rsidR="00250869" w:rsidRDefault="00250869">
            <w:pPr>
              <w:spacing w:line="360" w:lineRule="auto"/>
              <w:jc w:val="center"/>
              <w:rPr>
                <w:sz w:val="20"/>
                <w:szCs w:val="20"/>
              </w:rPr>
            </w:pPr>
          </w:p>
        </w:tc>
        <w:tc>
          <w:tcPr>
            <w:tcW w:w="1261" w:type="dxa"/>
          </w:tcPr>
          <w:p w14:paraId="71C7C697" w14:textId="77777777" w:rsidR="00250869" w:rsidRDefault="00250869">
            <w:pPr>
              <w:spacing w:line="360" w:lineRule="auto"/>
              <w:jc w:val="center"/>
              <w:rPr>
                <w:sz w:val="20"/>
                <w:szCs w:val="20"/>
              </w:rPr>
            </w:pPr>
          </w:p>
        </w:tc>
        <w:tc>
          <w:tcPr>
            <w:tcW w:w="1262" w:type="dxa"/>
          </w:tcPr>
          <w:p w14:paraId="181A87DE" w14:textId="77777777" w:rsidR="00250869" w:rsidRDefault="00250869">
            <w:pPr>
              <w:spacing w:line="360" w:lineRule="auto"/>
              <w:jc w:val="center"/>
              <w:rPr>
                <w:sz w:val="20"/>
                <w:szCs w:val="20"/>
              </w:rPr>
            </w:pPr>
          </w:p>
        </w:tc>
      </w:tr>
      <w:tr w:rsidR="00250869" w14:paraId="25DC662A" w14:textId="77777777">
        <w:tc>
          <w:tcPr>
            <w:tcW w:w="1261" w:type="dxa"/>
          </w:tcPr>
          <w:p w14:paraId="0B191D06" w14:textId="77777777" w:rsidR="00250869" w:rsidRDefault="00802DB6">
            <w:pPr>
              <w:spacing w:line="360" w:lineRule="auto"/>
              <w:rPr>
                <w:sz w:val="20"/>
                <w:szCs w:val="20"/>
              </w:rPr>
            </w:pPr>
            <w:r>
              <w:rPr>
                <w:sz w:val="20"/>
                <w:szCs w:val="20"/>
              </w:rPr>
              <w:t>Ítem 3</w:t>
            </w:r>
          </w:p>
        </w:tc>
        <w:tc>
          <w:tcPr>
            <w:tcW w:w="1261" w:type="dxa"/>
          </w:tcPr>
          <w:p w14:paraId="5D7B1551" w14:textId="2C6D7BBB" w:rsidR="00250869" w:rsidRDefault="00802DB6">
            <w:pPr>
              <w:spacing w:line="360" w:lineRule="auto"/>
              <w:jc w:val="center"/>
              <w:rPr>
                <w:sz w:val="20"/>
                <w:szCs w:val="20"/>
              </w:rPr>
            </w:pPr>
            <w:r>
              <w:rPr>
                <w:sz w:val="20"/>
                <w:szCs w:val="20"/>
              </w:rPr>
              <w:t>0</w:t>
            </w:r>
            <w:r w:rsidR="008B78C1">
              <w:rPr>
                <w:sz w:val="20"/>
                <w:szCs w:val="20"/>
              </w:rPr>
              <w:t>.</w:t>
            </w:r>
            <w:r>
              <w:rPr>
                <w:sz w:val="20"/>
                <w:szCs w:val="20"/>
              </w:rPr>
              <w:t>67</w:t>
            </w:r>
          </w:p>
        </w:tc>
        <w:tc>
          <w:tcPr>
            <w:tcW w:w="1261" w:type="dxa"/>
          </w:tcPr>
          <w:p w14:paraId="55EDAFB9" w14:textId="1BBF7D00" w:rsidR="00250869" w:rsidRDefault="00802DB6">
            <w:pPr>
              <w:spacing w:line="360" w:lineRule="auto"/>
              <w:jc w:val="center"/>
              <w:rPr>
                <w:sz w:val="20"/>
                <w:szCs w:val="20"/>
              </w:rPr>
            </w:pPr>
            <w:r>
              <w:rPr>
                <w:sz w:val="20"/>
                <w:szCs w:val="20"/>
              </w:rPr>
              <w:t>0</w:t>
            </w:r>
            <w:r w:rsidR="008B78C1">
              <w:rPr>
                <w:sz w:val="20"/>
                <w:szCs w:val="20"/>
              </w:rPr>
              <w:t>.</w:t>
            </w:r>
            <w:r>
              <w:rPr>
                <w:sz w:val="20"/>
                <w:szCs w:val="20"/>
              </w:rPr>
              <w:t>59</w:t>
            </w:r>
          </w:p>
        </w:tc>
        <w:tc>
          <w:tcPr>
            <w:tcW w:w="1261" w:type="dxa"/>
          </w:tcPr>
          <w:p w14:paraId="1A7B2A3F" w14:textId="77777777" w:rsidR="00250869" w:rsidRDefault="00802DB6">
            <w:pPr>
              <w:spacing w:line="360" w:lineRule="auto"/>
              <w:jc w:val="center"/>
              <w:rPr>
                <w:sz w:val="20"/>
                <w:szCs w:val="20"/>
              </w:rPr>
            </w:pPr>
            <w:r>
              <w:rPr>
                <w:sz w:val="20"/>
                <w:szCs w:val="20"/>
              </w:rPr>
              <w:t>1</w:t>
            </w:r>
          </w:p>
        </w:tc>
        <w:tc>
          <w:tcPr>
            <w:tcW w:w="1261" w:type="dxa"/>
          </w:tcPr>
          <w:p w14:paraId="021064CB" w14:textId="77777777" w:rsidR="00250869" w:rsidRDefault="00250869">
            <w:pPr>
              <w:spacing w:line="360" w:lineRule="auto"/>
              <w:jc w:val="center"/>
              <w:rPr>
                <w:sz w:val="20"/>
                <w:szCs w:val="20"/>
              </w:rPr>
            </w:pPr>
          </w:p>
        </w:tc>
        <w:tc>
          <w:tcPr>
            <w:tcW w:w="1261" w:type="dxa"/>
          </w:tcPr>
          <w:p w14:paraId="49F7722C" w14:textId="77777777" w:rsidR="00250869" w:rsidRDefault="00250869">
            <w:pPr>
              <w:spacing w:line="360" w:lineRule="auto"/>
              <w:jc w:val="center"/>
              <w:rPr>
                <w:sz w:val="20"/>
                <w:szCs w:val="20"/>
              </w:rPr>
            </w:pPr>
          </w:p>
        </w:tc>
        <w:tc>
          <w:tcPr>
            <w:tcW w:w="1262" w:type="dxa"/>
          </w:tcPr>
          <w:p w14:paraId="34E3E531" w14:textId="77777777" w:rsidR="00250869" w:rsidRDefault="00250869">
            <w:pPr>
              <w:spacing w:line="360" w:lineRule="auto"/>
              <w:jc w:val="center"/>
              <w:rPr>
                <w:sz w:val="20"/>
                <w:szCs w:val="20"/>
              </w:rPr>
            </w:pPr>
          </w:p>
        </w:tc>
      </w:tr>
      <w:tr w:rsidR="00250869" w14:paraId="3F37C7F4" w14:textId="77777777">
        <w:tc>
          <w:tcPr>
            <w:tcW w:w="1261" w:type="dxa"/>
          </w:tcPr>
          <w:p w14:paraId="1348192D" w14:textId="77777777" w:rsidR="00250869" w:rsidRDefault="00802DB6">
            <w:pPr>
              <w:spacing w:line="360" w:lineRule="auto"/>
              <w:rPr>
                <w:sz w:val="20"/>
                <w:szCs w:val="20"/>
              </w:rPr>
            </w:pPr>
            <w:r>
              <w:rPr>
                <w:sz w:val="20"/>
                <w:szCs w:val="20"/>
              </w:rPr>
              <w:t>Ítem 4</w:t>
            </w:r>
          </w:p>
        </w:tc>
        <w:tc>
          <w:tcPr>
            <w:tcW w:w="1261" w:type="dxa"/>
          </w:tcPr>
          <w:p w14:paraId="4FFA8480" w14:textId="01EE159E" w:rsidR="00250869" w:rsidRDefault="00802DB6">
            <w:pPr>
              <w:spacing w:line="360" w:lineRule="auto"/>
              <w:jc w:val="center"/>
              <w:rPr>
                <w:sz w:val="20"/>
                <w:szCs w:val="20"/>
              </w:rPr>
            </w:pPr>
            <w:r>
              <w:rPr>
                <w:sz w:val="20"/>
                <w:szCs w:val="20"/>
              </w:rPr>
              <w:t>0</w:t>
            </w:r>
            <w:r w:rsidR="008B78C1">
              <w:rPr>
                <w:sz w:val="20"/>
                <w:szCs w:val="20"/>
              </w:rPr>
              <w:t>.</w:t>
            </w:r>
            <w:r>
              <w:rPr>
                <w:sz w:val="20"/>
                <w:szCs w:val="20"/>
              </w:rPr>
              <w:t>53</w:t>
            </w:r>
          </w:p>
        </w:tc>
        <w:tc>
          <w:tcPr>
            <w:tcW w:w="1261" w:type="dxa"/>
          </w:tcPr>
          <w:p w14:paraId="58BA0255" w14:textId="41CA0E20" w:rsidR="00250869" w:rsidRDefault="00802DB6">
            <w:pPr>
              <w:spacing w:line="360" w:lineRule="auto"/>
              <w:jc w:val="center"/>
              <w:rPr>
                <w:sz w:val="20"/>
                <w:szCs w:val="20"/>
              </w:rPr>
            </w:pPr>
            <w:r>
              <w:rPr>
                <w:sz w:val="20"/>
                <w:szCs w:val="20"/>
              </w:rPr>
              <w:t>0</w:t>
            </w:r>
            <w:r w:rsidR="008B78C1">
              <w:rPr>
                <w:sz w:val="20"/>
                <w:szCs w:val="20"/>
              </w:rPr>
              <w:t>.</w:t>
            </w:r>
            <w:r>
              <w:rPr>
                <w:sz w:val="20"/>
                <w:szCs w:val="20"/>
              </w:rPr>
              <w:t>50</w:t>
            </w:r>
          </w:p>
        </w:tc>
        <w:tc>
          <w:tcPr>
            <w:tcW w:w="1261" w:type="dxa"/>
          </w:tcPr>
          <w:p w14:paraId="72F85CEE" w14:textId="5E09BC54" w:rsidR="00250869" w:rsidRDefault="00802DB6">
            <w:pPr>
              <w:spacing w:line="360" w:lineRule="auto"/>
              <w:jc w:val="center"/>
              <w:rPr>
                <w:sz w:val="20"/>
                <w:szCs w:val="20"/>
              </w:rPr>
            </w:pPr>
            <w:r>
              <w:rPr>
                <w:sz w:val="20"/>
                <w:szCs w:val="20"/>
              </w:rPr>
              <w:t>0</w:t>
            </w:r>
            <w:r w:rsidR="008B78C1">
              <w:rPr>
                <w:sz w:val="20"/>
                <w:szCs w:val="20"/>
              </w:rPr>
              <w:t>.</w:t>
            </w:r>
            <w:r>
              <w:rPr>
                <w:sz w:val="20"/>
                <w:szCs w:val="20"/>
              </w:rPr>
              <w:t>48</w:t>
            </w:r>
          </w:p>
        </w:tc>
        <w:tc>
          <w:tcPr>
            <w:tcW w:w="1261" w:type="dxa"/>
          </w:tcPr>
          <w:p w14:paraId="3D11FF70" w14:textId="77777777" w:rsidR="00250869" w:rsidRDefault="00802DB6">
            <w:pPr>
              <w:spacing w:line="360" w:lineRule="auto"/>
              <w:jc w:val="center"/>
              <w:rPr>
                <w:sz w:val="20"/>
                <w:szCs w:val="20"/>
              </w:rPr>
            </w:pPr>
            <w:r>
              <w:rPr>
                <w:sz w:val="20"/>
                <w:szCs w:val="20"/>
              </w:rPr>
              <w:t>1</w:t>
            </w:r>
          </w:p>
        </w:tc>
        <w:tc>
          <w:tcPr>
            <w:tcW w:w="1261" w:type="dxa"/>
          </w:tcPr>
          <w:p w14:paraId="76813198" w14:textId="77777777" w:rsidR="00250869" w:rsidRDefault="00250869">
            <w:pPr>
              <w:spacing w:line="360" w:lineRule="auto"/>
              <w:jc w:val="center"/>
              <w:rPr>
                <w:sz w:val="20"/>
                <w:szCs w:val="20"/>
              </w:rPr>
            </w:pPr>
          </w:p>
        </w:tc>
        <w:tc>
          <w:tcPr>
            <w:tcW w:w="1262" w:type="dxa"/>
          </w:tcPr>
          <w:p w14:paraId="5558801D" w14:textId="77777777" w:rsidR="00250869" w:rsidRDefault="00250869">
            <w:pPr>
              <w:spacing w:line="360" w:lineRule="auto"/>
              <w:jc w:val="center"/>
              <w:rPr>
                <w:sz w:val="20"/>
                <w:szCs w:val="20"/>
              </w:rPr>
            </w:pPr>
          </w:p>
        </w:tc>
      </w:tr>
      <w:tr w:rsidR="00250869" w14:paraId="3A757893" w14:textId="77777777">
        <w:tc>
          <w:tcPr>
            <w:tcW w:w="1261" w:type="dxa"/>
          </w:tcPr>
          <w:p w14:paraId="59FEB94D" w14:textId="77777777" w:rsidR="00250869" w:rsidRDefault="00802DB6">
            <w:pPr>
              <w:spacing w:line="360" w:lineRule="auto"/>
              <w:rPr>
                <w:sz w:val="20"/>
                <w:szCs w:val="20"/>
              </w:rPr>
            </w:pPr>
            <w:r>
              <w:rPr>
                <w:sz w:val="20"/>
                <w:szCs w:val="20"/>
              </w:rPr>
              <w:t>Ítem 5</w:t>
            </w:r>
          </w:p>
        </w:tc>
        <w:tc>
          <w:tcPr>
            <w:tcW w:w="1261" w:type="dxa"/>
          </w:tcPr>
          <w:p w14:paraId="1C179AC3" w14:textId="53793003" w:rsidR="00250869" w:rsidRDefault="00802DB6">
            <w:pPr>
              <w:spacing w:line="360" w:lineRule="auto"/>
              <w:jc w:val="center"/>
              <w:rPr>
                <w:sz w:val="20"/>
                <w:szCs w:val="20"/>
              </w:rPr>
            </w:pPr>
            <w:r>
              <w:rPr>
                <w:sz w:val="20"/>
                <w:szCs w:val="20"/>
              </w:rPr>
              <w:t>0</w:t>
            </w:r>
            <w:r w:rsidR="008B78C1">
              <w:rPr>
                <w:sz w:val="20"/>
                <w:szCs w:val="20"/>
              </w:rPr>
              <w:t>.</w:t>
            </w:r>
            <w:r>
              <w:rPr>
                <w:sz w:val="20"/>
                <w:szCs w:val="20"/>
              </w:rPr>
              <w:t>68</w:t>
            </w:r>
          </w:p>
        </w:tc>
        <w:tc>
          <w:tcPr>
            <w:tcW w:w="1261" w:type="dxa"/>
          </w:tcPr>
          <w:p w14:paraId="5098F1DF" w14:textId="52997194" w:rsidR="00250869" w:rsidRDefault="00802DB6">
            <w:pPr>
              <w:spacing w:line="360" w:lineRule="auto"/>
              <w:jc w:val="center"/>
              <w:rPr>
                <w:sz w:val="20"/>
                <w:szCs w:val="20"/>
              </w:rPr>
            </w:pPr>
            <w:r>
              <w:rPr>
                <w:sz w:val="20"/>
                <w:szCs w:val="20"/>
              </w:rPr>
              <w:t>0</w:t>
            </w:r>
            <w:r w:rsidR="008B78C1">
              <w:rPr>
                <w:sz w:val="20"/>
                <w:szCs w:val="20"/>
              </w:rPr>
              <w:t>.</w:t>
            </w:r>
            <w:r>
              <w:rPr>
                <w:sz w:val="20"/>
                <w:szCs w:val="20"/>
              </w:rPr>
              <w:t>74</w:t>
            </w:r>
          </w:p>
        </w:tc>
        <w:tc>
          <w:tcPr>
            <w:tcW w:w="1261" w:type="dxa"/>
          </w:tcPr>
          <w:p w14:paraId="1683D959" w14:textId="0759B357" w:rsidR="00250869" w:rsidRDefault="00802DB6">
            <w:pPr>
              <w:spacing w:line="360" w:lineRule="auto"/>
              <w:jc w:val="center"/>
              <w:rPr>
                <w:sz w:val="20"/>
                <w:szCs w:val="20"/>
              </w:rPr>
            </w:pPr>
            <w:r>
              <w:rPr>
                <w:sz w:val="20"/>
                <w:szCs w:val="20"/>
              </w:rPr>
              <w:t>0</w:t>
            </w:r>
            <w:r w:rsidR="008B78C1">
              <w:rPr>
                <w:sz w:val="20"/>
                <w:szCs w:val="20"/>
              </w:rPr>
              <w:t>.</w:t>
            </w:r>
            <w:r>
              <w:rPr>
                <w:sz w:val="20"/>
                <w:szCs w:val="20"/>
              </w:rPr>
              <w:t>67</w:t>
            </w:r>
          </w:p>
        </w:tc>
        <w:tc>
          <w:tcPr>
            <w:tcW w:w="1261" w:type="dxa"/>
          </w:tcPr>
          <w:p w14:paraId="5B35DCEF" w14:textId="0EC3F652" w:rsidR="00250869" w:rsidRDefault="00802DB6">
            <w:pPr>
              <w:spacing w:line="360" w:lineRule="auto"/>
              <w:jc w:val="center"/>
              <w:rPr>
                <w:sz w:val="20"/>
                <w:szCs w:val="20"/>
              </w:rPr>
            </w:pPr>
            <w:r>
              <w:rPr>
                <w:sz w:val="20"/>
                <w:szCs w:val="20"/>
              </w:rPr>
              <w:t>0</w:t>
            </w:r>
            <w:r w:rsidR="008B78C1">
              <w:rPr>
                <w:sz w:val="20"/>
                <w:szCs w:val="20"/>
              </w:rPr>
              <w:t>.</w:t>
            </w:r>
            <w:r>
              <w:rPr>
                <w:sz w:val="20"/>
                <w:szCs w:val="20"/>
              </w:rPr>
              <w:t>57</w:t>
            </w:r>
          </w:p>
        </w:tc>
        <w:tc>
          <w:tcPr>
            <w:tcW w:w="1261" w:type="dxa"/>
          </w:tcPr>
          <w:p w14:paraId="3C69A01B" w14:textId="77777777" w:rsidR="00250869" w:rsidRDefault="00802DB6">
            <w:pPr>
              <w:spacing w:line="360" w:lineRule="auto"/>
              <w:jc w:val="center"/>
              <w:rPr>
                <w:sz w:val="20"/>
                <w:szCs w:val="20"/>
              </w:rPr>
            </w:pPr>
            <w:r>
              <w:rPr>
                <w:sz w:val="20"/>
                <w:szCs w:val="20"/>
              </w:rPr>
              <w:t>1</w:t>
            </w:r>
          </w:p>
        </w:tc>
        <w:tc>
          <w:tcPr>
            <w:tcW w:w="1262" w:type="dxa"/>
          </w:tcPr>
          <w:p w14:paraId="3B2FF923" w14:textId="77777777" w:rsidR="00250869" w:rsidRDefault="00250869">
            <w:pPr>
              <w:spacing w:line="360" w:lineRule="auto"/>
              <w:jc w:val="center"/>
              <w:rPr>
                <w:sz w:val="20"/>
                <w:szCs w:val="20"/>
              </w:rPr>
            </w:pPr>
          </w:p>
        </w:tc>
      </w:tr>
      <w:tr w:rsidR="00250869" w14:paraId="242B4357" w14:textId="77777777">
        <w:tc>
          <w:tcPr>
            <w:tcW w:w="1261" w:type="dxa"/>
          </w:tcPr>
          <w:p w14:paraId="479F7678" w14:textId="77777777" w:rsidR="00250869" w:rsidRDefault="00802DB6">
            <w:pPr>
              <w:spacing w:line="360" w:lineRule="auto"/>
              <w:rPr>
                <w:sz w:val="20"/>
                <w:szCs w:val="20"/>
              </w:rPr>
            </w:pPr>
            <w:r>
              <w:rPr>
                <w:sz w:val="20"/>
                <w:szCs w:val="20"/>
              </w:rPr>
              <w:t>Ítem 6</w:t>
            </w:r>
          </w:p>
        </w:tc>
        <w:tc>
          <w:tcPr>
            <w:tcW w:w="1261" w:type="dxa"/>
          </w:tcPr>
          <w:p w14:paraId="4B90B5FB" w14:textId="3C6D966A" w:rsidR="00250869" w:rsidRDefault="00802DB6">
            <w:pPr>
              <w:spacing w:line="360" w:lineRule="auto"/>
              <w:jc w:val="center"/>
              <w:rPr>
                <w:sz w:val="20"/>
                <w:szCs w:val="20"/>
              </w:rPr>
            </w:pPr>
            <w:r>
              <w:rPr>
                <w:sz w:val="20"/>
                <w:szCs w:val="20"/>
              </w:rPr>
              <w:t>0</w:t>
            </w:r>
            <w:r w:rsidR="008B78C1">
              <w:rPr>
                <w:sz w:val="20"/>
                <w:szCs w:val="20"/>
              </w:rPr>
              <w:t>.</w:t>
            </w:r>
            <w:r>
              <w:rPr>
                <w:sz w:val="20"/>
                <w:szCs w:val="20"/>
              </w:rPr>
              <w:t>57</w:t>
            </w:r>
          </w:p>
        </w:tc>
        <w:tc>
          <w:tcPr>
            <w:tcW w:w="1261" w:type="dxa"/>
          </w:tcPr>
          <w:p w14:paraId="09A2369A" w14:textId="1BABD189" w:rsidR="00250869" w:rsidRDefault="00802DB6">
            <w:pPr>
              <w:spacing w:line="360" w:lineRule="auto"/>
              <w:jc w:val="center"/>
              <w:rPr>
                <w:sz w:val="20"/>
                <w:szCs w:val="20"/>
              </w:rPr>
            </w:pPr>
            <w:r>
              <w:rPr>
                <w:sz w:val="20"/>
                <w:szCs w:val="20"/>
              </w:rPr>
              <w:t>0</w:t>
            </w:r>
            <w:r w:rsidR="008B78C1">
              <w:rPr>
                <w:sz w:val="20"/>
                <w:szCs w:val="20"/>
              </w:rPr>
              <w:t>.</w:t>
            </w:r>
            <w:r>
              <w:rPr>
                <w:sz w:val="20"/>
                <w:szCs w:val="20"/>
              </w:rPr>
              <w:t>61</w:t>
            </w:r>
          </w:p>
        </w:tc>
        <w:tc>
          <w:tcPr>
            <w:tcW w:w="1261" w:type="dxa"/>
          </w:tcPr>
          <w:p w14:paraId="2F15724F" w14:textId="52ACF88C" w:rsidR="00250869" w:rsidRDefault="00802DB6">
            <w:pPr>
              <w:spacing w:line="360" w:lineRule="auto"/>
              <w:jc w:val="center"/>
              <w:rPr>
                <w:sz w:val="20"/>
                <w:szCs w:val="20"/>
              </w:rPr>
            </w:pPr>
            <w:r>
              <w:rPr>
                <w:sz w:val="20"/>
                <w:szCs w:val="20"/>
              </w:rPr>
              <w:t>0</w:t>
            </w:r>
            <w:r w:rsidR="008B78C1">
              <w:rPr>
                <w:sz w:val="20"/>
                <w:szCs w:val="20"/>
              </w:rPr>
              <w:t>.</w:t>
            </w:r>
            <w:r>
              <w:rPr>
                <w:sz w:val="20"/>
                <w:szCs w:val="20"/>
              </w:rPr>
              <w:t>65</w:t>
            </w:r>
          </w:p>
        </w:tc>
        <w:tc>
          <w:tcPr>
            <w:tcW w:w="1261" w:type="dxa"/>
          </w:tcPr>
          <w:p w14:paraId="64CF1BA9" w14:textId="774A1056" w:rsidR="00250869" w:rsidRDefault="00802DB6">
            <w:pPr>
              <w:spacing w:line="360" w:lineRule="auto"/>
              <w:jc w:val="center"/>
              <w:rPr>
                <w:sz w:val="20"/>
                <w:szCs w:val="20"/>
              </w:rPr>
            </w:pPr>
            <w:r>
              <w:rPr>
                <w:sz w:val="20"/>
                <w:szCs w:val="20"/>
              </w:rPr>
              <w:t>0</w:t>
            </w:r>
            <w:r w:rsidR="008B78C1">
              <w:rPr>
                <w:sz w:val="20"/>
                <w:szCs w:val="20"/>
              </w:rPr>
              <w:t>.</w:t>
            </w:r>
            <w:r>
              <w:rPr>
                <w:sz w:val="20"/>
                <w:szCs w:val="20"/>
              </w:rPr>
              <w:t>46</w:t>
            </w:r>
          </w:p>
        </w:tc>
        <w:tc>
          <w:tcPr>
            <w:tcW w:w="1261" w:type="dxa"/>
          </w:tcPr>
          <w:p w14:paraId="78650FDD" w14:textId="585D34F0" w:rsidR="00250869" w:rsidRDefault="00802DB6">
            <w:pPr>
              <w:spacing w:line="360" w:lineRule="auto"/>
              <w:jc w:val="center"/>
              <w:rPr>
                <w:sz w:val="20"/>
                <w:szCs w:val="20"/>
              </w:rPr>
            </w:pPr>
            <w:r>
              <w:rPr>
                <w:sz w:val="20"/>
                <w:szCs w:val="20"/>
              </w:rPr>
              <w:t>0</w:t>
            </w:r>
            <w:r w:rsidR="008B78C1">
              <w:rPr>
                <w:sz w:val="20"/>
                <w:szCs w:val="20"/>
              </w:rPr>
              <w:t>.</w:t>
            </w:r>
            <w:r>
              <w:rPr>
                <w:sz w:val="20"/>
                <w:szCs w:val="20"/>
              </w:rPr>
              <w:t>70</w:t>
            </w:r>
          </w:p>
        </w:tc>
        <w:tc>
          <w:tcPr>
            <w:tcW w:w="1262" w:type="dxa"/>
          </w:tcPr>
          <w:p w14:paraId="581E7996" w14:textId="77777777" w:rsidR="00250869" w:rsidRDefault="00802DB6">
            <w:pPr>
              <w:spacing w:line="360" w:lineRule="auto"/>
              <w:jc w:val="center"/>
              <w:rPr>
                <w:sz w:val="20"/>
                <w:szCs w:val="20"/>
              </w:rPr>
            </w:pPr>
            <w:r>
              <w:rPr>
                <w:sz w:val="20"/>
                <w:szCs w:val="20"/>
              </w:rPr>
              <w:t>1</w:t>
            </w:r>
          </w:p>
        </w:tc>
      </w:tr>
      <w:tr w:rsidR="00250869" w14:paraId="5FABAAED" w14:textId="77777777">
        <w:tc>
          <w:tcPr>
            <w:tcW w:w="1261" w:type="dxa"/>
          </w:tcPr>
          <w:p w14:paraId="2AC31DE6" w14:textId="77777777" w:rsidR="00250869" w:rsidRDefault="00802DB6">
            <w:pPr>
              <w:spacing w:line="360" w:lineRule="auto"/>
              <w:rPr>
                <w:sz w:val="20"/>
                <w:szCs w:val="20"/>
              </w:rPr>
            </w:pPr>
            <w:r>
              <w:rPr>
                <w:sz w:val="20"/>
                <w:szCs w:val="20"/>
              </w:rPr>
              <w:t>Promedio</w:t>
            </w:r>
          </w:p>
        </w:tc>
        <w:tc>
          <w:tcPr>
            <w:tcW w:w="1261" w:type="dxa"/>
          </w:tcPr>
          <w:p w14:paraId="1A5ECA5D" w14:textId="7DCDA7E5" w:rsidR="00250869" w:rsidRDefault="00802DB6">
            <w:pPr>
              <w:spacing w:line="360" w:lineRule="auto"/>
              <w:jc w:val="center"/>
              <w:rPr>
                <w:sz w:val="20"/>
                <w:szCs w:val="20"/>
              </w:rPr>
            </w:pPr>
            <w:r>
              <w:rPr>
                <w:sz w:val="20"/>
                <w:szCs w:val="20"/>
              </w:rPr>
              <w:t>3</w:t>
            </w:r>
            <w:r w:rsidR="008B78C1">
              <w:rPr>
                <w:sz w:val="20"/>
                <w:szCs w:val="20"/>
              </w:rPr>
              <w:t>.</w:t>
            </w:r>
            <w:r>
              <w:rPr>
                <w:sz w:val="20"/>
                <w:szCs w:val="20"/>
              </w:rPr>
              <w:t>12</w:t>
            </w:r>
          </w:p>
        </w:tc>
        <w:tc>
          <w:tcPr>
            <w:tcW w:w="1261" w:type="dxa"/>
          </w:tcPr>
          <w:p w14:paraId="4186020A" w14:textId="68B6F831" w:rsidR="00250869" w:rsidRDefault="00802DB6">
            <w:pPr>
              <w:spacing w:line="360" w:lineRule="auto"/>
              <w:jc w:val="center"/>
              <w:rPr>
                <w:sz w:val="20"/>
                <w:szCs w:val="20"/>
              </w:rPr>
            </w:pPr>
            <w:r>
              <w:rPr>
                <w:sz w:val="20"/>
                <w:szCs w:val="20"/>
              </w:rPr>
              <w:t>3</w:t>
            </w:r>
            <w:r w:rsidR="008B78C1">
              <w:rPr>
                <w:sz w:val="20"/>
                <w:szCs w:val="20"/>
              </w:rPr>
              <w:t>.</w:t>
            </w:r>
            <w:r>
              <w:rPr>
                <w:sz w:val="20"/>
                <w:szCs w:val="20"/>
              </w:rPr>
              <w:t>02</w:t>
            </w:r>
          </w:p>
        </w:tc>
        <w:tc>
          <w:tcPr>
            <w:tcW w:w="1261" w:type="dxa"/>
          </w:tcPr>
          <w:p w14:paraId="4D091292" w14:textId="232EE56A" w:rsidR="00250869" w:rsidRDefault="00802DB6">
            <w:pPr>
              <w:spacing w:line="360" w:lineRule="auto"/>
              <w:jc w:val="center"/>
              <w:rPr>
                <w:sz w:val="20"/>
                <w:szCs w:val="20"/>
              </w:rPr>
            </w:pPr>
            <w:r>
              <w:rPr>
                <w:sz w:val="20"/>
                <w:szCs w:val="20"/>
              </w:rPr>
              <w:t>3</w:t>
            </w:r>
            <w:r w:rsidR="008B78C1">
              <w:rPr>
                <w:sz w:val="20"/>
                <w:szCs w:val="20"/>
              </w:rPr>
              <w:t>.</w:t>
            </w:r>
            <w:r>
              <w:rPr>
                <w:sz w:val="20"/>
                <w:szCs w:val="20"/>
              </w:rPr>
              <w:t>43</w:t>
            </w:r>
          </w:p>
        </w:tc>
        <w:tc>
          <w:tcPr>
            <w:tcW w:w="1261" w:type="dxa"/>
          </w:tcPr>
          <w:p w14:paraId="701A5C2E" w14:textId="12EBA5A1" w:rsidR="00250869" w:rsidRDefault="00802DB6">
            <w:pPr>
              <w:spacing w:line="360" w:lineRule="auto"/>
              <w:jc w:val="center"/>
              <w:rPr>
                <w:sz w:val="20"/>
                <w:szCs w:val="20"/>
              </w:rPr>
            </w:pPr>
            <w:r>
              <w:rPr>
                <w:sz w:val="20"/>
                <w:szCs w:val="20"/>
              </w:rPr>
              <w:t>2</w:t>
            </w:r>
            <w:r w:rsidR="008B78C1">
              <w:rPr>
                <w:sz w:val="20"/>
                <w:szCs w:val="20"/>
              </w:rPr>
              <w:t>.</w:t>
            </w:r>
            <w:r>
              <w:rPr>
                <w:sz w:val="20"/>
                <w:szCs w:val="20"/>
              </w:rPr>
              <w:t>63</w:t>
            </w:r>
          </w:p>
        </w:tc>
        <w:tc>
          <w:tcPr>
            <w:tcW w:w="1261" w:type="dxa"/>
          </w:tcPr>
          <w:p w14:paraId="3E4F3531" w14:textId="3BD9ABBE" w:rsidR="00250869" w:rsidRDefault="00802DB6">
            <w:pPr>
              <w:spacing w:line="360" w:lineRule="auto"/>
              <w:jc w:val="center"/>
              <w:rPr>
                <w:sz w:val="20"/>
                <w:szCs w:val="20"/>
              </w:rPr>
            </w:pPr>
            <w:r>
              <w:rPr>
                <w:sz w:val="20"/>
                <w:szCs w:val="20"/>
              </w:rPr>
              <w:t>3</w:t>
            </w:r>
            <w:r w:rsidR="008B78C1">
              <w:rPr>
                <w:sz w:val="20"/>
                <w:szCs w:val="20"/>
              </w:rPr>
              <w:t>.</w:t>
            </w:r>
            <w:r>
              <w:rPr>
                <w:sz w:val="20"/>
                <w:szCs w:val="20"/>
              </w:rPr>
              <w:t>13</w:t>
            </w:r>
          </w:p>
        </w:tc>
        <w:tc>
          <w:tcPr>
            <w:tcW w:w="1262" w:type="dxa"/>
          </w:tcPr>
          <w:p w14:paraId="7FB8629A" w14:textId="07042368" w:rsidR="00250869" w:rsidRDefault="00802DB6">
            <w:pPr>
              <w:spacing w:line="360" w:lineRule="auto"/>
              <w:jc w:val="center"/>
              <w:rPr>
                <w:sz w:val="20"/>
                <w:szCs w:val="20"/>
              </w:rPr>
            </w:pPr>
            <w:r>
              <w:rPr>
                <w:sz w:val="20"/>
                <w:szCs w:val="20"/>
              </w:rPr>
              <w:t>3</w:t>
            </w:r>
            <w:r w:rsidR="008B78C1">
              <w:rPr>
                <w:sz w:val="20"/>
                <w:szCs w:val="20"/>
              </w:rPr>
              <w:t>.</w:t>
            </w:r>
            <w:r>
              <w:rPr>
                <w:sz w:val="20"/>
                <w:szCs w:val="20"/>
              </w:rPr>
              <w:t>33</w:t>
            </w:r>
          </w:p>
        </w:tc>
      </w:tr>
      <w:tr w:rsidR="00250869" w14:paraId="018EC105" w14:textId="77777777">
        <w:tc>
          <w:tcPr>
            <w:tcW w:w="1261" w:type="dxa"/>
            <w:tcBorders>
              <w:top w:val="nil"/>
              <w:left w:val="nil"/>
              <w:bottom w:val="single" w:sz="4" w:space="0" w:color="000000"/>
              <w:right w:val="nil"/>
            </w:tcBorders>
          </w:tcPr>
          <w:p w14:paraId="57C91F09" w14:textId="77777777" w:rsidR="00250869" w:rsidRDefault="00802DB6">
            <w:pPr>
              <w:spacing w:line="360" w:lineRule="auto"/>
              <w:rPr>
                <w:sz w:val="20"/>
                <w:szCs w:val="20"/>
              </w:rPr>
            </w:pPr>
            <w:r>
              <w:rPr>
                <w:sz w:val="20"/>
                <w:szCs w:val="20"/>
              </w:rPr>
              <w:t>D.E</w:t>
            </w:r>
          </w:p>
        </w:tc>
        <w:tc>
          <w:tcPr>
            <w:tcW w:w="1261" w:type="dxa"/>
            <w:tcBorders>
              <w:top w:val="nil"/>
              <w:left w:val="nil"/>
              <w:bottom w:val="single" w:sz="4" w:space="0" w:color="000000"/>
              <w:right w:val="nil"/>
            </w:tcBorders>
          </w:tcPr>
          <w:p w14:paraId="59B88D69" w14:textId="61C667E3" w:rsidR="00250869" w:rsidRDefault="008B78C1">
            <w:pPr>
              <w:spacing w:line="360" w:lineRule="auto"/>
              <w:jc w:val="center"/>
              <w:rPr>
                <w:sz w:val="20"/>
                <w:szCs w:val="20"/>
              </w:rPr>
            </w:pPr>
            <w:r>
              <w:rPr>
                <w:sz w:val="20"/>
                <w:szCs w:val="20"/>
              </w:rPr>
              <w:t>0.</w:t>
            </w:r>
            <w:r w:rsidR="00802DB6">
              <w:rPr>
                <w:sz w:val="20"/>
                <w:szCs w:val="20"/>
              </w:rPr>
              <w:t>86</w:t>
            </w:r>
          </w:p>
        </w:tc>
        <w:tc>
          <w:tcPr>
            <w:tcW w:w="1261" w:type="dxa"/>
            <w:tcBorders>
              <w:top w:val="nil"/>
              <w:left w:val="nil"/>
              <w:bottom w:val="single" w:sz="4" w:space="0" w:color="000000"/>
              <w:right w:val="nil"/>
            </w:tcBorders>
          </w:tcPr>
          <w:p w14:paraId="1815D9A0" w14:textId="1B6FF988" w:rsidR="00250869" w:rsidRDefault="008B78C1">
            <w:pPr>
              <w:spacing w:line="360" w:lineRule="auto"/>
              <w:jc w:val="center"/>
              <w:rPr>
                <w:sz w:val="20"/>
                <w:szCs w:val="20"/>
              </w:rPr>
            </w:pPr>
            <w:r>
              <w:rPr>
                <w:sz w:val="20"/>
                <w:szCs w:val="20"/>
              </w:rPr>
              <w:t>0.</w:t>
            </w:r>
            <w:r w:rsidR="00802DB6">
              <w:rPr>
                <w:sz w:val="20"/>
                <w:szCs w:val="20"/>
              </w:rPr>
              <w:t>93</w:t>
            </w:r>
          </w:p>
        </w:tc>
        <w:tc>
          <w:tcPr>
            <w:tcW w:w="1261" w:type="dxa"/>
            <w:tcBorders>
              <w:top w:val="nil"/>
              <w:left w:val="nil"/>
              <w:bottom w:val="single" w:sz="4" w:space="0" w:color="000000"/>
              <w:right w:val="nil"/>
            </w:tcBorders>
          </w:tcPr>
          <w:p w14:paraId="194A98DB" w14:textId="323A14B2" w:rsidR="00250869" w:rsidRDefault="008B78C1">
            <w:pPr>
              <w:spacing w:line="360" w:lineRule="auto"/>
              <w:jc w:val="center"/>
              <w:rPr>
                <w:sz w:val="20"/>
                <w:szCs w:val="20"/>
              </w:rPr>
            </w:pPr>
            <w:r>
              <w:rPr>
                <w:sz w:val="20"/>
                <w:szCs w:val="20"/>
              </w:rPr>
              <w:t>0.</w:t>
            </w:r>
            <w:r w:rsidR="00802DB6">
              <w:rPr>
                <w:sz w:val="20"/>
                <w:szCs w:val="20"/>
              </w:rPr>
              <w:t>79</w:t>
            </w:r>
          </w:p>
        </w:tc>
        <w:tc>
          <w:tcPr>
            <w:tcW w:w="1261" w:type="dxa"/>
            <w:tcBorders>
              <w:top w:val="nil"/>
              <w:left w:val="nil"/>
              <w:bottom w:val="single" w:sz="4" w:space="0" w:color="000000"/>
              <w:right w:val="nil"/>
            </w:tcBorders>
          </w:tcPr>
          <w:p w14:paraId="5DD6D935" w14:textId="5E32C3F8" w:rsidR="00250869" w:rsidRDefault="00802DB6">
            <w:pPr>
              <w:spacing w:line="360" w:lineRule="auto"/>
              <w:jc w:val="center"/>
              <w:rPr>
                <w:sz w:val="20"/>
                <w:szCs w:val="20"/>
              </w:rPr>
            </w:pPr>
            <w:r>
              <w:rPr>
                <w:sz w:val="20"/>
                <w:szCs w:val="20"/>
              </w:rPr>
              <w:t>0</w:t>
            </w:r>
            <w:r w:rsidR="008B78C1">
              <w:rPr>
                <w:sz w:val="20"/>
                <w:szCs w:val="20"/>
              </w:rPr>
              <w:t>.</w:t>
            </w:r>
            <w:r>
              <w:rPr>
                <w:sz w:val="20"/>
                <w:szCs w:val="20"/>
              </w:rPr>
              <w:t>99</w:t>
            </w:r>
          </w:p>
        </w:tc>
        <w:tc>
          <w:tcPr>
            <w:tcW w:w="1261" w:type="dxa"/>
            <w:tcBorders>
              <w:top w:val="nil"/>
              <w:left w:val="nil"/>
              <w:bottom w:val="single" w:sz="4" w:space="0" w:color="000000"/>
              <w:right w:val="nil"/>
            </w:tcBorders>
          </w:tcPr>
          <w:p w14:paraId="1657A351" w14:textId="2A30BF46" w:rsidR="00250869" w:rsidRDefault="008B78C1">
            <w:pPr>
              <w:spacing w:line="360" w:lineRule="auto"/>
              <w:jc w:val="center"/>
              <w:rPr>
                <w:sz w:val="20"/>
                <w:szCs w:val="20"/>
              </w:rPr>
            </w:pPr>
            <w:r>
              <w:rPr>
                <w:sz w:val="20"/>
                <w:szCs w:val="20"/>
              </w:rPr>
              <w:t>0.</w:t>
            </w:r>
            <w:r w:rsidR="00802DB6">
              <w:rPr>
                <w:sz w:val="20"/>
                <w:szCs w:val="20"/>
              </w:rPr>
              <w:t>96</w:t>
            </w:r>
          </w:p>
        </w:tc>
        <w:tc>
          <w:tcPr>
            <w:tcW w:w="1262" w:type="dxa"/>
            <w:tcBorders>
              <w:top w:val="nil"/>
              <w:left w:val="nil"/>
              <w:bottom w:val="single" w:sz="4" w:space="0" w:color="000000"/>
              <w:right w:val="nil"/>
            </w:tcBorders>
          </w:tcPr>
          <w:p w14:paraId="3B2124D5" w14:textId="16EBC64F" w:rsidR="00250869" w:rsidRDefault="008B78C1">
            <w:pPr>
              <w:spacing w:line="360" w:lineRule="auto"/>
              <w:jc w:val="center"/>
              <w:rPr>
                <w:sz w:val="20"/>
                <w:szCs w:val="20"/>
              </w:rPr>
            </w:pPr>
            <w:r>
              <w:rPr>
                <w:sz w:val="20"/>
                <w:szCs w:val="20"/>
              </w:rPr>
              <w:t>0.</w:t>
            </w:r>
            <w:r w:rsidR="00802DB6">
              <w:rPr>
                <w:sz w:val="20"/>
                <w:szCs w:val="20"/>
              </w:rPr>
              <w:t>96</w:t>
            </w:r>
          </w:p>
        </w:tc>
      </w:tr>
    </w:tbl>
    <w:p w14:paraId="07213D73" w14:textId="08FA454D" w:rsidR="00250869" w:rsidRDefault="00802DB6">
      <w:pPr>
        <w:spacing w:line="360" w:lineRule="auto"/>
        <w:jc w:val="both"/>
        <w:rPr>
          <w:sz w:val="20"/>
          <w:szCs w:val="20"/>
        </w:rPr>
      </w:pPr>
      <w:r>
        <w:rPr>
          <w:i/>
          <w:sz w:val="20"/>
          <w:szCs w:val="20"/>
        </w:rPr>
        <w:t>Nota</w:t>
      </w:r>
      <w:r>
        <w:rPr>
          <w:sz w:val="20"/>
          <w:szCs w:val="20"/>
        </w:rPr>
        <w:t>: Todas las correlaciones son estadísticamente significativas (</w:t>
      </w:r>
      <w:r>
        <w:rPr>
          <w:i/>
          <w:sz w:val="20"/>
          <w:szCs w:val="20"/>
        </w:rPr>
        <w:t xml:space="preserve">p </w:t>
      </w:r>
      <w:r>
        <w:rPr>
          <w:sz w:val="20"/>
          <w:szCs w:val="20"/>
        </w:rPr>
        <w:t>&lt;0</w:t>
      </w:r>
      <w:r w:rsidR="008B78C1">
        <w:rPr>
          <w:sz w:val="20"/>
          <w:szCs w:val="20"/>
        </w:rPr>
        <w:t>.</w:t>
      </w:r>
      <w:r>
        <w:rPr>
          <w:sz w:val="20"/>
          <w:szCs w:val="20"/>
        </w:rPr>
        <w:t xml:space="preserve">01). </w:t>
      </w:r>
      <w:r>
        <w:rPr>
          <w:i/>
          <w:sz w:val="20"/>
          <w:szCs w:val="20"/>
        </w:rPr>
        <w:t xml:space="preserve">Fuente: </w:t>
      </w:r>
      <w:r>
        <w:rPr>
          <w:sz w:val="20"/>
          <w:szCs w:val="20"/>
        </w:rPr>
        <w:t xml:space="preserve">Elaboración propia. </w:t>
      </w:r>
    </w:p>
    <w:p w14:paraId="59B5F493" w14:textId="77777777" w:rsidR="00CE4F83" w:rsidRDefault="00CE4F83">
      <w:pPr>
        <w:spacing w:line="360" w:lineRule="auto"/>
        <w:jc w:val="both"/>
        <w:rPr>
          <w:sz w:val="20"/>
          <w:szCs w:val="20"/>
        </w:rPr>
      </w:pPr>
    </w:p>
    <w:p w14:paraId="78CEA329" w14:textId="77777777" w:rsidR="00CE4F83" w:rsidRDefault="00CE4F83">
      <w:pPr>
        <w:spacing w:line="360" w:lineRule="auto"/>
        <w:jc w:val="both"/>
        <w:rPr>
          <w:sz w:val="20"/>
          <w:szCs w:val="20"/>
        </w:rPr>
      </w:pPr>
    </w:p>
    <w:p w14:paraId="4E8817DC" w14:textId="77777777" w:rsidR="00CE4F83" w:rsidRDefault="00CE4F83">
      <w:pPr>
        <w:spacing w:line="360" w:lineRule="auto"/>
        <w:jc w:val="both"/>
        <w:rPr>
          <w:sz w:val="20"/>
          <w:szCs w:val="20"/>
        </w:rPr>
      </w:pPr>
    </w:p>
    <w:p w14:paraId="13989BC8" w14:textId="77777777" w:rsidR="00CE4F83" w:rsidRDefault="00CE4F83">
      <w:pPr>
        <w:spacing w:line="360" w:lineRule="auto"/>
        <w:jc w:val="both"/>
        <w:rPr>
          <w:sz w:val="20"/>
          <w:szCs w:val="20"/>
        </w:rPr>
      </w:pPr>
    </w:p>
    <w:p w14:paraId="01C5743E" w14:textId="77777777" w:rsidR="00CE4F83" w:rsidRDefault="00CE4F83">
      <w:pPr>
        <w:spacing w:line="360" w:lineRule="auto"/>
        <w:jc w:val="both"/>
        <w:rPr>
          <w:sz w:val="20"/>
          <w:szCs w:val="20"/>
        </w:rPr>
      </w:pPr>
    </w:p>
    <w:p w14:paraId="6C7E4AC4" w14:textId="77777777" w:rsidR="00CE4F83" w:rsidRDefault="00CE4F83">
      <w:pPr>
        <w:spacing w:line="360" w:lineRule="auto"/>
        <w:jc w:val="both"/>
        <w:rPr>
          <w:sz w:val="20"/>
          <w:szCs w:val="20"/>
        </w:rPr>
      </w:pPr>
    </w:p>
    <w:p w14:paraId="64738F64" w14:textId="77777777" w:rsidR="00CE4F83" w:rsidRDefault="00CE4F83">
      <w:pPr>
        <w:spacing w:line="360" w:lineRule="auto"/>
        <w:jc w:val="both"/>
        <w:rPr>
          <w:sz w:val="20"/>
          <w:szCs w:val="20"/>
        </w:rPr>
      </w:pPr>
    </w:p>
    <w:p w14:paraId="775EDB7D" w14:textId="77777777" w:rsidR="00CE4F83" w:rsidRDefault="00CE4F83">
      <w:pPr>
        <w:spacing w:line="360" w:lineRule="auto"/>
        <w:jc w:val="both"/>
        <w:rPr>
          <w:sz w:val="20"/>
          <w:szCs w:val="20"/>
        </w:rPr>
      </w:pPr>
    </w:p>
    <w:p w14:paraId="4DDEC583" w14:textId="77777777" w:rsidR="00CE4F83" w:rsidRDefault="00CE4F83">
      <w:pPr>
        <w:spacing w:line="360" w:lineRule="auto"/>
        <w:jc w:val="both"/>
        <w:rPr>
          <w:sz w:val="20"/>
          <w:szCs w:val="20"/>
        </w:rPr>
      </w:pPr>
    </w:p>
    <w:p w14:paraId="61A7A58D" w14:textId="77777777" w:rsidR="00CE4F83" w:rsidRDefault="00CE4F83">
      <w:pPr>
        <w:spacing w:line="360" w:lineRule="auto"/>
        <w:jc w:val="both"/>
        <w:rPr>
          <w:sz w:val="20"/>
          <w:szCs w:val="20"/>
        </w:rPr>
      </w:pPr>
    </w:p>
    <w:p w14:paraId="0E37B232" w14:textId="77777777" w:rsidR="00CE4F83" w:rsidRDefault="00CE4F83">
      <w:pPr>
        <w:spacing w:line="360" w:lineRule="auto"/>
        <w:jc w:val="both"/>
        <w:rPr>
          <w:sz w:val="20"/>
          <w:szCs w:val="20"/>
        </w:rPr>
      </w:pPr>
    </w:p>
    <w:p w14:paraId="066779F2" w14:textId="77777777" w:rsidR="00CE4F83" w:rsidRDefault="00CE4F83">
      <w:pPr>
        <w:spacing w:line="360" w:lineRule="auto"/>
        <w:jc w:val="both"/>
        <w:rPr>
          <w:sz w:val="20"/>
          <w:szCs w:val="20"/>
        </w:rPr>
      </w:pPr>
    </w:p>
    <w:p w14:paraId="717EDCE1" w14:textId="77777777" w:rsidR="00CE4F83" w:rsidRDefault="00CE4F83">
      <w:pPr>
        <w:spacing w:line="360" w:lineRule="auto"/>
        <w:jc w:val="both"/>
        <w:rPr>
          <w:sz w:val="20"/>
          <w:szCs w:val="20"/>
        </w:rPr>
      </w:pPr>
    </w:p>
    <w:p w14:paraId="213F0C6B" w14:textId="4ABDE173" w:rsidR="00250869" w:rsidRDefault="00802DB6">
      <w:pPr>
        <w:spacing w:line="360" w:lineRule="auto"/>
        <w:jc w:val="both"/>
        <w:rPr>
          <w:sz w:val="20"/>
          <w:szCs w:val="20"/>
        </w:rPr>
      </w:pPr>
      <w:r>
        <w:rPr>
          <w:sz w:val="20"/>
          <w:szCs w:val="20"/>
        </w:rPr>
        <w:t xml:space="preserve">Tabla 3. </w:t>
      </w:r>
    </w:p>
    <w:p w14:paraId="0ACC1BB9" w14:textId="77777777" w:rsidR="00250869" w:rsidRDefault="00802DB6">
      <w:pPr>
        <w:spacing w:after="120" w:line="360" w:lineRule="auto"/>
        <w:jc w:val="both"/>
        <w:rPr>
          <w:i/>
          <w:sz w:val="20"/>
          <w:szCs w:val="20"/>
        </w:rPr>
      </w:pPr>
      <w:r>
        <w:rPr>
          <w:i/>
          <w:sz w:val="20"/>
          <w:szCs w:val="20"/>
        </w:rPr>
        <w:t>Cargas factoriales del AFE en la muestra de estudiantes y de adultos.</w:t>
      </w:r>
    </w:p>
    <w:tbl>
      <w:tblPr>
        <w:tblStyle w:val="a1"/>
        <w:tblW w:w="8828" w:type="dxa"/>
        <w:tblBorders>
          <w:top w:val="nil"/>
          <w:left w:val="nil"/>
          <w:bottom w:val="nil"/>
          <w:right w:val="nil"/>
          <w:insideH w:val="nil"/>
          <w:insideV w:val="nil"/>
        </w:tblBorders>
        <w:tblLayout w:type="fixed"/>
        <w:tblLook w:val="0400" w:firstRow="0" w:lastRow="0" w:firstColumn="0" w:lastColumn="0" w:noHBand="0" w:noVBand="1"/>
      </w:tblPr>
      <w:tblGrid>
        <w:gridCol w:w="2942"/>
        <w:gridCol w:w="2943"/>
        <w:gridCol w:w="2943"/>
      </w:tblGrid>
      <w:tr w:rsidR="00250869" w14:paraId="48A5D9F6" w14:textId="77777777">
        <w:tc>
          <w:tcPr>
            <w:tcW w:w="2942" w:type="dxa"/>
            <w:tcBorders>
              <w:top w:val="single" w:sz="4" w:space="0" w:color="000000"/>
              <w:left w:val="nil"/>
              <w:bottom w:val="single" w:sz="4" w:space="0" w:color="000000"/>
              <w:right w:val="nil"/>
            </w:tcBorders>
          </w:tcPr>
          <w:p w14:paraId="53503A2F" w14:textId="77777777" w:rsidR="00250869" w:rsidRDefault="00250869">
            <w:pPr>
              <w:spacing w:line="360" w:lineRule="auto"/>
              <w:rPr>
                <w:sz w:val="20"/>
                <w:szCs w:val="20"/>
              </w:rPr>
            </w:pPr>
          </w:p>
        </w:tc>
        <w:tc>
          <w:tcPr>
            <w:tcW w:w="2943" w:type="dxa"/>
            <w:tcBorders>
              <w:top w:val="single" w:sz="4" w:space="0" w:color="000000"/>
              <w:left w:val="nil"/>
              <w:bottom w:val="single" w:sz="4" w:space="0" w:color="000000"/>
              <w:right w:val="nil"/>
            </w:tcBorders>
          </w:tcPr>
          <w:p w14:paraId="47D4FCD5" w14:textId="77777777" w:rsidR="00250869" w:rsidRDefault="00802DB6">
            <w:pPr>
              <w:spacing w:line="360" w:lineRule="auto"/>
              <w:jc w:val="center"/>
              <w:rPr>
                <w:sz w:val="20"/>
                <w:szCs w:val="20"/>
              </w:rPr>
            </w:pPr>
            <w:r>
              <w:rPr>
                <w:sz w:val="20"/>
                <w:szCs w:val="20"/>
              </w:rPr>
              <w:t>Estudiantes</w:t>
            </w:r>
          </w:p>
        </w:tc>
        <w:tc>
          <w:tcPr>
            <w:tcW w:w="2943" w:type="dxa"/>
            <w:tcBorders>
              <w:top w:val="single" w:sz="4" w:space="0" w:color="000000"/>
              <w:left w:val="nil"/>
              <w:bottom w:val="single" w:sz="4" w:space="0" w:color="000000"/>
              <w:right w:val="nil"/>
            </w:tcBorders>
          </w:tcPr>
          <w:p w14:paraId="50F45676" w14:textId="77777777" w:rsidR="00250869" w:rsidRDefault="00802DB6">
            <w:pPr>
              <w:spacing w:line="360" w:lineRule="auto"/>
              <w:jc w:val="center"/>
              <w:rPr>
                <w:sz w:val="20"/>
                <w:szCs w:val="20"/>
              </w:rPr>
            </w:pPr>
            <w:r>
              <w:rPr>
                <w:sz w:val="20"/>
                <w:szCs w:val="20"/>
              </w:rPr>
              <w:t xml:space="preserve">Adultos </w:t>
            </w:r>
          </w:p>
        </w:tc>
      </w:tr>
      <w:tr w:rsidR="00250869" w14:paraId="2A1ACE5D" w14:textId="77777777">
        <w:tc>
          <w:tcPr>
            <w:tcW w:w="2942" w:type="dxa"/>
          </w:tcPr>
          <w:p w14:paraId="7336914C" w14:textId="50558FDF" w:rsidR="00250869" w:rsidRDefault="00A64B4D">
            <w:pPr>
              <w:spacing w:line="360" w:lineRule="auto"/>
              <w:rPr>
                <w:sz w:val="20"/>
                <w:szCs w:val="20"/>
              </w:rPr>
            </w:pPr>
            <w:r>
              <w:rPr>
                <w:sz w:val="20"/>
                <w:szCs w:val="20"/>
              </w:rPr>
              <w:t>Ítem</w:t>
            </w:r>
            <w:r w:rsidR="00802DB6">
              <w:rPr>
                <w:sz w:val="20"/>
                <w:szCs w:val="20"/>
              </w:rPr>
              <w:t xml:space="preserve"> 1</w:t>
            </w:r>
          </w:p>
        </w:tc>
        <w:tc>
          <w:tcPr>
            <w:tcW w:w="2943" w:type="dxa"/>
          </w:tcPr>
          <w:p w14:paraId="0F710188" w14:textId="77777777" w:rsidR="00250869" w:rsidRDefault="00802DB6">
            <w:pPr>
              <w:spacing w:line="360" w:lineRule="auto"/>
              <w:jc w:val="center"/>
              <w:rPr>
                <w:sz w:val="20"/>
                <w:szCs w:val="20"/>
              </w:rPr>
            </w:pPr>
            <w:r>
              <w:rPr>
                <w:sz w:val="20"/>
                <w:szCs w:val="20"/>
              </w:rPr>
              <w:t>0.88</w:t>
            </w:r>
          </w:p>
        </w:tc>
        <w:tc>
          <w:tcPr>
            <w:tcW w:w="2943" w:type="dxa"/>
          </w:tcPr>
          <w:p w14:paraId="7D5467B0" w14:textId="77777777" w:rsidR="00250869" w:rsidRDefault="00802DB6">
            <w:pPr>
              <w:spacing w:line="360" w:lineRule="auto"/>
              <w:jc w:val="center"/>
              <w:rPr>
                <w:sz w:val="20"/>
                <w:szCs w:val="20"/>
              </w:rPr>
            </w:pPr>
            <w:r>
              <w:rPr>
                <w:sz w:val="20"/>
                <w:szCs w:val="20"/>
              </w:rPr>
              <w:t>0.84</w:t>
            </w:r>
          </w:p>
        </w:tc>
      </w:tr>
      <w:tr w:rsidR="00250869" w14:paraId="420C7070" w14:textId="77777777">
        <w:tc>
          <w:tcPr>
            <w:tcW w:w="2942" w:type="dxa"/>
          </w:tcPr>
          <w:p w14:paraId="616B9056" w14:textId="476FF365" w:rsidR="00250869" w:rsidRDefault="00A64B4D">
            <w:pPr>
              <w:spacing w:line="360" w:lineRule="auto"/>
              <w:rPr>
                <w:sz w:val="20"/>
                <w:szCs w:val="20"/>
              </w:rPr>
            </w:pPr>
            <w:r>
              <w:rPr>
                <w:sz w:val="20"/>
                <w:szCs w:val="20"/>
              </w:rPr>
              <w:t>Ítem</w:t>
            </w:r>
            <w:r w:rsidR="00802DB6">
              <w:rPr>
                <w:sz w:val="20"/>
                <w:szCs w:val="20"/>
              </w:rPr>
              <w:t xml:space="preserve"> 2</w:t>
            </w:r>
          </w:p>
        </w:tc>
        <w:tc>
          <w:tcPr>
            <w:tcW w:w="2943" w:type="dxa"/>
          </w:tcPr>
          <w:p w14:paraId="768D292D" w14:textId="77777777" w:rsidR="00250869" w:rsidRDefault="00802DB6">
            <w:pPr>
              <w:spacing w:line="360" w:lineRule="auto"/>
              <w:jc w:val="center"/>
              <w:rPr>
                <w:sz w:val="20"/>
                <w:szCs w:val="20"/>
              </w:rPr>
            </w:pPr>
            <w:r>
              <w:rPr>
                <w:sz w:val="20"/>
                <w:szCs w:val="20"/>
              </w:rPr>
              <w:t>0.86</w:t>
            </w:r>
          </w:p>
        </w:tc>
        <w:tc>
          <w:tcPr>
            <w:tcW w:w="2943" w:type="dxa"/>
          </w:tcPr>
          <w:p w14:paraId="20719FCE" w14:textId="77777777" w:rsidR="00250869" w:rsidRDefault="00802DB6">
            <w:pPr>
              <w:spacing w:line="360" w:lineRule="auto"/>
              <w:jc w:val="center"/>
              <w:rPr>
                <w:sz w:val="20"/>
                <w:szCs w:val="20"/>
              </w:rPr>
            </w:pPr>
            <w:r>
              <w:rPr>
                <w:sz w:val="20"/>
                <w:szCs w:val="20"/>
              </w:rPr>
              <w:t>0.86</w:t>
            </w:r>
          </w:p>
        </w:tc>
      </w:tr>
      <w:tr w:rsidR="00250869" w14:paraId="342C9089" w14:textId="77777777">
        <w:tc>
          <w:tcPr>
            <w:tcW w:w="2942" w:type="dxa"/>
          </w:tcPr>
          <w:p w14:paraId="724240EA" w14:textId="28F767F0" w:rsidR="00250869" w:rsidRDefault="00A64B4D">
            <w:pPr>
              <w:spacing w:line="360" w:lineRule="auto"/>
              <w:rPr>
                <w:sz w:val="20"/>
                <w:szCs w:val="20"/>
              </w:rPr>
            </w:pPr>
            <w:r>
              <w:rPr>
                <w:sz w:val="20"/>
                <w:szCs w:val="20"/>
              </w:rPr>
              <w:t>Ítem</w:t>
            </w:r>
            <w:r w:rsidR="00802DB6">
              <w:rPr>
                <w:sz w:val="20"/>
                <w:szCs w:val="20"/>
              </w:rPr>
              <w:t xml:space="preserve"> 3</w:t>
            </w:r>
          </w:p>
        </w:tc>
        <w:tc>
          <w:tcPr>
            <w:tcW w:w="2943" w:type="dxa"/>
          </w:tcPr>
          <w:p w14:paraId="72C1551B" w14:textId="77777777" w:rsidR="00250869" w:rsidRDefault="00802DB6">
            <w:pPr>
              <w:spacing w:line="360" w:lineRule="auto"/>
              <w:jc w:val="center"/>
              <w:rPr>
                <w:sz w:val="20"/>
                <w:szCs w:val="20"/>
              </w:rPr>
            </w:pPr>
            <w:r>
              <w:rPr>
                <w:sz w:val="20"/>
                <w:szCs w:val="20"/>
              </w:rPr>
              <w:t>0.83</w:t>
            </w:r>
          </w:p>
        </w:tc>
        <w:tc>
          <w:tcPr>
            <w:tcW w:w="2943" w:type="dxa"/>
          </w:tcPr>
          <w:p w14:paraId="7DEACFA3" w14:textId="77777777" w:rsidR="00250869" w:rsidRDefault="00802DB6">
            <w:pPr>
              <w:spacing w:line="360" w:lineRule="auto"/>
              <w:jc w:val="center"/>
              <w:rPr>
                <w:sz w:val="20"/>
                <w:szCs w:val="20"/>
              </w:rPr>
            </w:pPr>
            <w:r>
              <w:rPr>
                <w:sz w:val="20"/>
                <w:szCs w:val="20"/>
              </w:rPr>
              <w:t>0.85</w:t>
            </w:r>
          </w:p>
        </w:tc>
      </w:tr>
      <w:tr w:rsidR="00250869" w14:paraId="7E484907" w14:textId="77777777">
        <w:tc>
          <w:tcPr>
            <w:tcW w:w="2942" w:type="dxa"/>
          </w:tcPr>
          <w:p w14:paraId="2CB19609" w14:textId="62F882C9" w:rsidR="00250869" w:rsidRDefault="00A64B4D">
            <w:pPr>
              <w:spacing w:line="360" w:lineRule="auto"/>
              <w:rPr>
                <w:sz w:val="20"/>
                <w:szCs w:val="20"/>
              </w:rPr>
            </w:pPr>
            <w:r>
              <w:rPr>
                <w:sz w:val="20"/>
                <w:szCs w:val="20"/>
              </w:rPr>
              <w:t>Ítem</w:t>
            </w:r>
            <w:r w:rsidR="00802DB6">
              <w:rPr>
                <w:sz w:val="20"/>
                <w:szCs w:val="20"/>
              </w:rPr>
              <w:t xml:space="preserve"> 4</w:t>
            </w:r>
          </w:p>
        </w:tc>
        <w:tc>
          <w:tcPr>
            <w:tcW w:w="2943" w:type="dxa"/>
          </w:tcPr>
          <w:p w14:paraId="33D5AEF0" w14:textId="77777777" w:rsidR="00250869" w:rsidRDefault="00802DB6">
            <w:pPr>
              <w:spacing w:line="360" w:lineRule="auto"/>
              <w:jc w:val="center"/>
              <w:rPr>
                <w:sz w:val="20"/>
                <w:szCs w:val="20"/>
              </w:rPr>
            </w:pPr>
            <w:r>
              <w:rPr>
                <w:sz w:val="20"/>
                <w:szCs w:val="20"/>
              </w:rPr>
              <w:t>0.66</w:t>
            </w:r>
          </w:p>
        </w:tc>
        <w:tc>
          <w:tcPr>
            <w:tcW w:w="2943" w:type="dxa"/>
          </w:tcPr>
          <w:p w14:paraId="27A4F499" w14:textId="77777777" w:rsidR="00250869" w:rsidRDefault="00802DB6">
            <w:pPr>
              <w:spacing w:line="360" w:lineRule="auto"/>
              <w:jc w:val="center"/>
              <w:rPr>
                <w:sz w:val="20"/>
                <w:szCs w:val="20"/>
              </w:rPr>
            </w:pPr>
            <w:r>
              <w:rPr>
                <w:sz w:val="20"/>
                <w:szCs w:val="20"/>
              </w:rPr>
              <w:t>0.69</w:t>
            </w:r>
          </w:p>
        </w:tc>
      </w:tr>
      <w:tr w:rsidR="00250869" w14:paraId="2C10B98B" w14:textId="77777777">
        <w:tc>
          <w:tcPr>
            <w:tcW w:w="2942" w:type="dxa"/>
          </w:tcPr>
          <w:p w14:paraId="36267B45" w14:textId="07FC5937" w:rsidR="00250869" w:rsidRDefault="00A64B4D">
            <w:pPr>
              <w:spacing w:line="360" w:lineRule="auto"/>
              <w:rPr>
                <w:sz w:val="20"/>
                <w:szCs w:val="20"/>
              </w:rPr>
            </w:pPr>
            <w:r>
              <w:rPr>
                <w:sz w:val="20"/>
                <w:szCs w:val="20"/>
              </w:rPr>
              <w:t>Ítem</w:t>
            </w:r>
            <w:r w:rsidR="00802DB6">
              <w:rPr>
                <w:sz w:val="20"/>
                <w:szCs w:val="20"/>
              </w:rPr>
              <w:t xml:space="preserve"> 5</w:t>
            </w:r>
          </w:p>
        </w:tc>
        <w:tc>
          <w:tcPr>
            <w:tcW w:w="2943" w:type="dxa"/>
          </w:tcPr>
          <w:p w14:paraId="7D53C4EE" w14:textId="77777777" w:rsidR="00250869" w:rsidRDefault="00802DB6">
            <w:pPr>
              <w:spacing w:line="360" w:lineRule="auto"/>
              <w:jc w:val="center"/>
              <w:rPr>
                <w:sz w:val="20"/>
                <w:szCs w:val="20"/>
              </w:rPr>
            </w:pPr>
            <w:r>
              <w:rPr>
                <w:sz w:val="20"/>
                <w:szCs w:val="20"/>
              </w:rPr>
              <w:t>0.89</w:t>
            </w:r>
          </w:p>
        </w:tc>
        <w:tc>
          <w:tcPr>
            <w:tcW w:w="2943" w:type="dxa"/>
          </w:tcPr>
          <w:p w14:paraId="11B6C783" w14:textId="77777777" w:rsidR="00250869" w:rsidRDefault="00802DB6">
            <w:pPr>
              <w:spacing w:line="360" w:lineRule="auto"/>
              <w:jc w:val="center"/>
              <w:rPr>
                <w:sz w:val="20"/>
                <w:szCs w:val="20"/>
              </w:rPr>
            </w:pPr>
            <w:r>
              <w:rPr>
                <w:sz w:val="20"/>
                <w:szCs w:val="20"/>
              </w:rPr>
              <w:t>0.87</w:t>
            </w:r>
          </w:p>
        </w:tc>
      </w:tr>
      <w:tr w:rsidR="00250869" w14:paraId="3A8BDD09" w14:textId="77777777">
        <w:tc>
          <w:tcPr>
            <w:tcW w:w="2942" w:type="dxa"/>
          </w:tcPr>
          <w:p w14:paraId="18AAD1E1" w14:textId="07C9C302" w:rsidR="00250869" w:rsidRDefault="00A64B4D">
            <w:pPr>
              <w:spacing w:line="360" w:lineRule="auto"/>
              <w:rPr>
                <w:sz w:val="20"/>
                <w:szCs w:val="20"/>
              </w:rPr>
            </w:pPr>
            <w:r>
              <w:rPr>
                <w:sz w:val="20"/>
                <w:szCs w:val="20"/>
              </w:rPr>
              <w:t>Ítem</w:t>
            </w:r>
            <w:r w:rsidR="00802DB6">
              <w:rPr>
                <w:sz w:val="20"/>
                <w:szCs w:val="20"/>
              </w:rPr>
              <w:t xml:space="preserve"> 6</w:t>
            </w:r>
          </w:p>
        </w:tc>
        <w:tc>
          <w:tcPr>
            <w:tcW w:w="2943" w:type="dxa"/>
          </w:tcPr>
          <w:p w14:paraId="6C426A0B" w14:textId="77777777" w:rsidR="00250869" w:rsidRDefault="00802DB6">
            <w:pPr>
              <w:spacing w:line="360" w:lineRule="auto"/>
              <w:jc w:val="center"/>
              <w:rPr>
                <w:sz w:val="20"/>
                <w:szCs w:val="20"/>
              </w:rPr>
            </w:pPr>
            <w:r>
              <w:rPr>
                <w:sz w:val="20"/>
                <w:szCs w:val="20"/>
              </w:rPr>
              <w:t>0.83</w:t>
            </w:r>
          </w:p>
        </w:tc>
        <w:tc>
          <w:tcPr>
            <w:tcW w:w="2943" w:type="dxa"/>
          </w:tcPr>
          <w:p w14:paraId="4AEB28DF" w14:textId="77777777" w:rsidR="00250869" w:rsidRDefault="00802DB6">
            <w:pPr>
              <w:spacing w:line="360" w:lineRule="auto"/>
              <w:jc w:val="center"/>
              <w:rPr>
                <w:sz w:val="20"/>
                <w:szCs w:val="20"/>
              </w:rPr>
            </w:pPr>
            <w:r>
              <w:rPr>
                <w:sz w:val="20"/>
                <w:szCs w:val="20"/>
              </w:rPr>
              <w:t>0.81</w:t>
            </w:r>
          </w:p>
        </w:tc>
      </w:tr>
      <w:tr w:rsidR="00250869" w14:paraId="77D928AD" w14:textId="77777777" w:rsidTr="00CE4F83">
        <w:tc>
          <w:tcPr>
            <w:tcW w:w="2942" w:type="dxa"/>
            <w:tcBorders>
              <w:top w:val="nil"/>
              <w:left w:val="nil"/>
              <w:bottom w:val="nil"/>
              <w:right w:val="nil"/>
            </w:tcBorders>
          </w:tcPr>
          <w:p w14:paraId="3BD7FA61" w14:textId="3CB57F22" w:rsidR="00250869" w:rsidRDefault="00CE4F83">
            <w:pPr>
              <w:spacing w:line="360" w:lineRule="auto"/>
              <w:rPr>
                <w:sz w:val="20"/>
                <w:szCs w:val="20"/>
              </w:rPr>
            </w:pPr>
            <w:r>
              <w:rPr>
                <w:sz w:val="20"/>
                <w:szCs w:val="20"/>
              </w:rPr>
              <w:t xml:space="preserve">Alfa de </w:t>
            </w:r>
            <w:proofErr w:type="spellStart"/>
            <w:r>
              <w:rPr>
                <w:sz w:val="20"/>
                <w:szCs w:val="20"/>
              </w:rPr>
              <w:t>Cronbach</w:t>
            </w:r>
            <w:proofErr w:type="spellEnd"/>
          </w:p>
        </w:tc>
        <w:tc>
          <w:tcPr>
            <w:tcW w:w="2943" w:type="dxa"/>
            <w:tcBorders>
              <w:top w:val="nil"/>
              <w:left w:val="nil"/>
              <w:bottom w:val="nil"/>
              <w:right w:val="nil"/>
            </w:tcBorders>
          </w:tcPr>
          <w:p w14:paraId="67AD269D" w14:textId="1F6C6C99" w:rsidR="00250869" w:rsidRDefault="00802DB6">
            <w:pPr>
              <w:spacing w:line="360" w:lineRule="auto"/>
              <w:jc w:val="center"/>
              <w:rPr>
                <w:sz w:val="20"/>
                <w:szCs w:val="20"/>
              </w:rPr>
            </w:pPr>
            <w:r>
              <w:rPr>
                <w:sz w:val="20"/>
                <w:szCs w:val="20"/>
              </w:rPr>
              <w:t>0.</w:t>
            </w:r>
            <w:r w:rsidR="00CE4F83">
              <w:rPr>
                <w:sz w:val="20"/>
                <w:szCs w:val="20"/>
              </w:rPr>
              <w:t>89</w:t>
            </w:r>
          </w:p>
        </w:tc>
        <w:tc>
          <w:tcPr>
            <w:tcW w:w="2943" w:type="dxa"/>
            <w:tcBorders>
              <w:top w:val="nil"/>
              <w:left w:val="nil"/>
              <w:bottom w:val="nil"/>
              <w:right w:val="nil"/>
            </w:tcBorders>
          </w:tcPr>
          <w:p w14:paraId="78AF4AE5" w14:textId="10EAEA46" w:rsidR="00250869" w:rsidRDefault="00802DB6">
            <w:pPr>
              <w:spacing w:line="360" w:lineRule="auto"/>
              <w:jc w:val="center"/>
              <w:rPr>
                <w:sz w:val="20"/>
                <w:szCs w:val="20"/>
              </w:rPr>
            </w:pPr>
            <w:r>
              <w:rPr>
                <w:sz w:val="20"/>
                <w:szCs w:val="20"/>
              </w:rPr>
              <w:t>0.9</w:t>
            </w:r>
            <w:r w:rsidR="00CE4F83">
              <w:rPr>
                <w:sz w:val="20"/>
                <w:szCs w:val="20"/>
              </w:rPr>
              <w:t>1</w:t>
            </w:r>
          </w:p>
        </w:tc>
      </w:tr>
      <w:tr w:rsidR="00CE4F83" w14:paraId="1F91AF21" w14:textId="77777777">
        <w:tc>
          <w:tcPr>
            <w:tcW w:w="2942" w:type="dxa"/>
            <w:tcBorders>
              <w:top w:val="nil"/>
              <w:left w:val="nil"/>
              <w:bottom w:val="single" w:sz="4" w:space="0" w:color="000000"/>
              <w:right w:val="nil"/>
            </w:tcBorders>
          </w:tcPr>
          <w:p w14:paraId="303C4440" w14:textId="649073E7" w:rsidR="00CE4F83" w:rsidRDefault="00CE4F83">
            <w:pPr>
              <w:spacing w:line="360" w:lineRule="auto"/>
              <w:rPr>
                <w:sz w:val="20"/>
                <w:szCs w:val="20"/>
              </w:rPr>
            </w:pPr>
            <w:r>
              <w:rPr>
                <w:sz w:val="20"/>
                <w:szCs w:val="20"/>
              </w:rPr>
              <w:t>Alfa Ordinal</w:t>
            </w:r>
          </w:p>
        </w:tc>
        <w:tc>
          <w:tcPr>
            <w:tcW w:w="2943" w:type="dxa"/>
            <w:tcBorders>
              <w:top w:val="nil"/>
              <w:left w:val="nil"/>
              <w:bottom w:val="single" w:sz="4" w:space="0" w:color="000000"/>
              <w:right w:val="nil"/>
            </w:tcBorders>
          </w:tcPr>
          <w:p w14:paraId="131315E2" w14:textId="78527F02" w:rsidR="00CE4F83" w:rsidRDefault="00CE4F83">
            <w:pPr>
              <w:spacing w:line="360" w:lineRule="auto"/>
              <w:jc w:val="center"/>
              <w:rPr>
                <w:sz w:val="20"/>
                <w:szCs w:val="20"/>
              </w:rPr>
            </w:pPr>
            <w:r>
              <w:rPr>
                <w:sz w:val="20"/>
                <w:szCs w:val="20"/>
              </w:rPr>
              <w:t>0.92</w:t>
            </w:r>
          </w:p>
        </w:tc>
        <w:tc>
          <w:tcPr>
            <w:tcW w:w="2943" w:type="dxa"/>
            <w:tcBorders>
              <w:top w:val="nil"/>
              <w:left w:val="nil"/>
              <w:bottom w:val="single" w:sz="4" w:space="0" w:color="000000"/>
              <w:right w:val="nil"/>
            </w:tcBorders>
          </w:tcPr>
          <w:p w14:paraId="5E3B2F47" w14:textId="57F45346" w:rsidR="00CE4F83" w:rsidRDefault="00CE4F83">
            <w:pPr>
              <w:spacing w:line="360" w:lineRule="auto"/>
              <w:jc w:val="center"/>
              <w:rPr>
                <w:sz w:val="20"/>
                <w:szCs w:val="20"/>
              </w:rPr>
            </w:pPr>
            <w:r>
              <w:rPr>
                <w:sz w:val="20"/>
                <w:szCs w:val="20"/>
              </w:rPr>
              <w:t>0.93</w:t>
            </w:r>
          </w:p>
        </w:tc>
      </w:tr>
    </w:tbl>
    <w:p w14:paraId="60FA6DDB" w14:textId="77777777" w:rsidR="00250869" w:rsidRDefault="00250869">
      <w:pPr>
        <w:spacing w:line="360" w:lineRule="auto"/>
        <w:jc w:val="both"/>
        <w:rPr>
          <w:i/>
          <w:sz w:val="20"/>
          <w:szCs w:val="20"/>
        </w:rPr>
      </w:pPr>
    </w:p>
    <w:p w14:paraId="025551E4" w14:textId="77777777" w:rsidR="00250869" w:rsidRDefault="00802DB6">
      <w:pPr>
        <w:spacing w:line="360" w:lineRule="auto"/>
        <w:jc w:val="both"/>
        <w:rPr>
          <w:sz w:val="20"/>
          <w:szCs w:val="20"/>
        </w:rPr>
      </w:pPr>
      <w:r>
        <w:rPr>
          <w:i/>
          <w:sz w:val="20"/>
          <w:szCs w:val="20"/>
        </w:rPr>
        <w:t xml:space="preserve">Fuente: </w:t>
      </w:r>
      <w:r>
        <w:rPr>
          <w:sz w:val="20"/>
          <w:szCs w:val="20"/>
        </w:rPr>
        <w:t>Elaboración propia.</w:t>
      </w:r>
    </w:p>
    <w:p w14:paraId="736348F0" w14:textId="77777777" w:rsidR="00250869" w:rsidRDefault="00250869" w:rsidP="00CE4F83">
      <w:pPr>
        <w:spacing w:line="360" w:lineRule="auto"/>
        <w:rPr>
          <w:b/>
          <w:sz w:val="20"/>
          <w:szCs w:val="20"/>
        </w:rPr>
      </w:pPr>
    </w:p>
    <w:p w14:paraId="42F20E28" w14:textId="77777777" w:rsidR="00250869" w:rsidRDefault="00802DB6">
      <w:pPr>
        <w:spacing w:line="360" w:lineRule="auto"/>
        <w:rPr>
          <w:b/>
          <w:sz w:val="20"/>
          <w:szCs w:val="20"/>
        </w:rPr>
      </w:pPr>
      <w:r>
        <w:rPr>
          <w:sz w:val="20"/>
          <w:szCs w:val="20"/>
        </w:rPr>
        <w:t>Tabla 4</w:t>
      </w:r>
      <w:r>
        <w:rPr>
          <w:b/>
          <w:sz w:val="20"/>
          <w:szCs w:val="20"/>
        </w:rPr>
        <w:t xml:space="preserve">. </w:t>
      </w:r>
    </w:p>
    <w:p w14:paraId="5B15EED2" w14:textId="77777777" w:rsidR="00250869" w:rsidRDefault="00802DB6">
      <w:pPr>
        <w:spacing w:line="360" w:lineRule="auto"/>
        <w:rPr>
          <w:b/>
          <w:i/>
          <w:sz w:val="20"/>
          <w:szCs w:val="20"/>
        </w:rPr>
      </w:pPr>
      <w:r>
        <w:rPr>
          <w:i/>
          <w:sz w:val="20"/>
          <w:szCs w:val="20"/>
        </w:rPr>
        <w:t xml:space="preserve">Análisis de </w:t>
      </w:r>
      <w:proofErr w:type="spellStart"/>
      <w:r>
        <w:rPr>
          <w:i/>
          <w:sz w:val="20"/>
          <w:szCs w:val="20"/>
        </w:rPr>
        <w:t>multigrupo</w:t>
      </w:r>
      <w:proofErr w:type="spellEnd"/>
      <w:r>
        <w:rPr>
          <w:i/>
          <w:sz w:val="20"/>
          <w:szCs w:val="20"/>
        </w:rPr>
        <w:t xml:space="preserve"> con sexo como variable de agrupación.  </w:t>
      </w:r>
    </w:p>
    <w:tbl>
      <w:tblPr>
        <w:tblStyle w:val="a2"/>
        <w:tblW w:w="936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144"/>
        <w:gridCol w:w="1233"/>
        <w:gridCol w:w="553"/>
        <w:gridCol w:w="688"/>
        <w:gridCol w:w="724"/>
        <w:gridCol w:w="1013"/>
        <w:gridCol w:w="903"/>
        <w:gridCol w:w="848"/>
        <w:gridCol w:w="587"/>
        <w:gridCol w:w="667"/>
      </w:tblGrid>
      <w:tr w:rsidR="00250869" w14:paraId="491091A7" w14:textId="77777777" w:rsidTr="00564AEE">
        <w:tc>
          <w:tcPr>
            <w:tcW w:w="2144" w:type="dxa"/>
            <w:tcBorders>
              <w:top w:val="single" w:sz="4" w:space="0" w:color="000000"/>
              <w:bottom w:val="single" w:sz="4" w:space="0" w:color="auto"/>
            </w:tcBorders>
          </w:tcPr>
          <w:p w14:paraId="7377C368" w14:textId="77777777" w:rsidR="00250869" w:rsidRDefault="00802DB6">
            <w:pPr>
              <w:spacing w:before="120" w:after="120" w:line="360" w:lineRule="auto"/>
              <w:rPr>
                <w:sz w:val="20"/>
                <w:szCs w:val="20"/>
              </w:rPr>
            </w:pPr>
            <w:r>
              <w:rPr>
                <w:sz w:val="20"/>
                <w:szCs w:val="20"/>
              </w:rPr>
              <w:t>Modelo</w:t>
            </w:r>
          </w:p>
        </w:tc>
        <w:tc>
          <w:tcPr>
            <w:tcW w:w="1233" w:type="dxa"/>
            <w:tcBorders>
              <w:top w:val="single" w:sz="4" w:space="0" w:color="000000"/>
              <w:bottom w:val="single" w:sz="4" w:space="0" w:color="auto"/>
            </w:tcBorders>
          </w:tcPr>
          <w:p w14:paraId="549053CF" w14:textId="77777777" w:rsidR="00250869" w:rsidRDefault="00802DB6">
            <w:pPr>
              <w:spacing w:before="120" w:after="120" w:line="360" w:lineRule="auto"/>
              <w:jc w:val="center"/>
              <w:rPr>
                <w:sz w:val="20"/>
                <w:szCs w:val="20"/>
              </w:rPr>
            </w:pPr>
            <w:r>
              <w:rPr>
                <w:rFonts w:ascii="Noto Sans Symbols" w:eastAsia="Noto Sans Symbols" w:hAnsi="Noto Sans Symbols" w:cs="Noto Sans Symbols"/>
                <w:i/>
                <w:sz w:val="20"/>
                <w:szCs w:val="20"/>
              </w:rPr>
              <w:t>χ</w:t>
            </w:r>
            <w:r>
              <w:rPr>
                <w:sz w:val="20"/>
                <w:szCs w:val="20"/>
                <w:vertAlign w:val="superscript"/>
              </w:rPr>
              <w:t>2</w:t>
            </w:r>
          </w:p>
        </w:tc>
        <w:tc>
          <w:tcPr>
            <w:tcW w:w="553" w:type="dxa"/>
            <w:tcBorders>
              <w:top w:val="single" w:sz="4" w:space="0" w:color="000000"/>
              <w:bottom w:val="single" w:sz="4" w:space="0" w:color="auto"/>
            </w:tcBorders>
          </w:tcPr>
          <w:p w14:paraId="3FEBFCBF" w14:textId="77777777" w:rsidR="00250869" w:rsidRDefault="00802DB6">
            <w:pPr>
              <w:spacing w:before="120" w:after="120" w:line="360" w:lineRule="auto"/>
              <w:jc w:val="center"/>
              <w:rPr>
                <w:i/>
                <w:sz w:val="20"/>
                <w:szCs w:val="20"/>
              </w:rPr>
            </w:pPr>
            <w:proofErr w:type="spellStart"/>
            <w:r>
              <w:rPr>
                <w:i/>
                <w:sz w:val="20"/>
                <w:szCs w:val="20"/>
              </w:rPr>
              <w:t>df</w:t>
            </w:r>
            <w:proofErr w:type="spellEnd"/>
          </w:p>
        </w:tc>
        <w:tc>
          <w:tcPr>
            <w:tcW w:w="688" w:type="dxa"/>
            <w:tcBorders>
              <w:top w:val="single" w:sz="4" w:space="0" w:color="000000"/>
              <w:bottom w:val="single" w:sz="4" w:space="0" w:color="auto"/>
            </w:tcBorders>
          </w:tcPr>
          <w:p w14:paraId="5B4C0F57" w14:textId="77777777" w:rsidR="00250869" w:rsidRDefault="00802DB6">
            <w:pPr>
              <w:spacing w:before="120" w:after="120" w:line="360" w:lineRule="auto"/>
              <w:jc w:val="center"/>
              <w:rPr>
                <w:i/>
                <w:sz w:val="20"/>
                <w:szCs w:val="20"/>
              </w:rPr>
            </w:pPr>
            <w:r>
              <w:rPr>
                <w:i/>
                <w:sz w:val="20"/>
                <w:szCs w:val="20"/>
              </w:rPr>
              <w:t>CFI</w:t>
            </w:r>
          </w:p>
        </w:tc>
        <w:tc>
          <w:tcPr>
            <w:tcW w:w="724" w:type="dxa"/>
            <w:tcBorders>
              <w:top w:val="single" w:sz="4" w:space="0" w:color="000000"/>
              <w:bottom w:val="single" w:sz="4" w:space="0" w:color="auto"/>
            </w:tcBorders>
          </w:tcPr>
          <w:p w14:paraId="0FF56249" w14:textId="77777777" w:rsidR="00250869" w:rsidRDefault="00802DB6">
            <w:pPr>
              <w:spacing w:before="120" w:after="120" w:line="360" w:lineRule="auto"/>
              <w:jc w:val="center"/>
              <w:rPr>
                <w:i/>
                <w:sz w:val="20"/>
                <w:szCs w:val="20"/>
              </w:rPr>
            </w:pPr>
            <w:r>
              <w:rPr>
                <w:i/>
                <w:sz w:val="20"/>
                <w:szCs w:val="20"/>
              </w:rPr>
              <w:t>TLI</w:t>
            </w:r>
          </w:p>
        </w:tc>
        <w:tc>
          <w:tcPr>
            <w:tcW w:w="1013" w:type="dxa"/>
            <w:tcBorders>
              <w:top w:val="single" w:sz="4" w:space="0" w:color="000000"/>
              <w:bottom w:val="single" w:sz="4" w:space="0" w:color="auto"/>
            </w:tcBorders>
          </w:tcPr>
          <w:p w14:paraId="53C850A7" w14:textId="77777777" w:rsidR="00250869" w:rsidRDefault="00802DB6">
            <w:pPr>
              <w:spacing w:before="120" w:after="120" w:line="360" w:lineRule="auto"/>
              <w:jc w:val="center"/>
              <w:rPr>
                <w:i/>
                <w:sz w:val="20"/>
                <w:szCs w:val="20"/>
              </w:rPr>
            </w:pPr>
            <w:r>
              <w:rPr>
                <w:i/>
                <w:sz w:val="20"/>
                <w:szCs w:val="20"/>
              </w:rPr>
              <w:t>RSMEA</w:t>
            </w:r>
          </w:p>
        </w:tc>
        <w:tc>
          <w:tcPr>
            <w:tcW w:w="903" w:type="dxa"/>
            <w:tcBorders>
              <w:top w:val="single" w:sz="4" w:space="0" w:color="000000"/>
              <w:bottom w:val="single" w:sz="4" w:space="0" w:color="auto"/>
            </w:tcBorders>
          </w:tcPr>
          <w:p w14:paraId="46CAF11B" w14:textId="77777777" w:rsidR="00250869" w:rsidRDefault="00802DB6">
            <w:pPr>
              <w:spacing w:before="120" w:after="120" w:line="360" w:lineRule="auto"/>
              <w:jc w:val="center"/>
              <w:rPr>
                <w:i/>
                <w:sz w:val="20"/>
                <w:szCs w:val="20"/>
              </w:rPr>
            </w:pPr>
            <w:r>
              <w:rPr>
                <w:i/>
                <w:sz w:val="20"/>
                <w:szCs w:val="20"/>
              </w:rPr>
              <w:t>SRMR</w:t>
            </w:r>
          </w:p>
        </w:tc>
        <w:tc>
          <w:tcPr>
            <w:tcW w:w="848" w:type="dxa"/>
            <w:tcBorders>
              <w:top w:val="single" w:sz="4" w:space="0" w:color="000000"/>
              <w:bottom w:val="single" w:sz="4" w:space="0" w:color="auto"/>
            </w:tcBorders>
          </w:tcPr>
          <w:p w14:paraId="72907BDC" w14:textId="77777777" w:rsidR="00250869" w:rsidRDefault="00802DB6">
            <w:pPr>
              <w:spacing w:before="120" w:after="120" w:line="360" w:lineRule="auto"/>
              <w:jc w:val="center"/>
              <w:rPr>
                <w:i/>
                <w:sz w:val="20"/>
                <w:szCs w:val="20"/>
              </w:rPr>
            </w:pPr>
            <w:r>
              <w:rPr>
                <w:i/>
                <w:sz w:val="20"/>
                <w:szCs w:val="20"/>
              </w:rPr>
              <w:t>Δ</w:t>
            </w:r>
            <w:r>
              <w:rPr>
                <w:rFonts w:ascii="Noto Sans Symbols" w:eastAsia="Noto Sans Symbols" w:hAnsi="Noto Sans Symbols" w:cs="Noto Sans Symbols"/>
                <w:i/>
                <w:sz w:val="20"/>
                <w:szCs w:val="20"/>
              </w:rPr>
              <w:t>χ</w:t>
            </w:r>
            <w:r>
              <w:rPr>
                <w:sz w:val="20"/>
                <w:szCs w:val="20"/>
                <w:vertAlign w:val="superscript"/>
              </w:rPr>
              <w:t>2</w:t>
            </w:r>
          </w:p>
        </w:tc>
        <w:tc>
          <w:tcPr>
            <w:tcW w:w="587" w:type="dxa"/>
            <w:tcBorders>
              <w:top w:val="single" w:sz="4" w:space="0" w:color="000000"/>
              <w:bottom w:val="single" w:sz="4" w:space="0" w:color="auto"/>
            </w:tcBorders>
          </w:tcPr>
          <w:p w14:paraId="2BECAC12" w14:textId="77777777" w:rsidR="00250869" w:rsidRDefault="00802DB6">
            <w:pPr>
              <w:spacing w:before="120" w:after="120" w:line="360" w:lineRule="auto"/>
              <w:jc w:val="center"/>
              <w:rPr>
                <w:i/>
                <w:sz w:val="20"/>
                <w:szCs w:val="20"/>
              </w:rPr>
            </w:pPr>
            <w:r>
              <w:rPr>
                <w:i/>
                <w:sz w:val="20"/>
                <w:szCs w:val="20"/>
              </w:rPr>
              <w:t xml:space="preserve">Δ </w:t>
            </w:r>
            <w:proofErr w:type="spellStart"/>
            <w:r>
              <w:rPr>
                <w:i/>
                <w:sz w:val="20"/>
                <w:szCs w:val="20"/>
              </w:rPr>
              <w:t>df</w:t>
            </w:r>
            <w:proofErr w:type="spellEnd"/>
          </w:p>
        </w:tc>
        <w:tc>
          <w:tcPr>
            <w:tcW w:w="667" w:type="dxa"/>
            <w:tcBorders>
              <w:top w:val="single" w:sz="4" w:space="0" w:color="000000"/>
              <w:bottom w:val="single" w:sz="4" w:space="0" w:color="auto"/>
            </w:tcBorders>
          </w:tcPr>
          <w:p w14:paraId="3191FFD6" w14:textId="77777777" w:rsidR="00250869" w:rsidRDefault="00802DB6">
            <w:pPr>
              <w:spacing w:before="120" w:after="120" w:line="360" w:lineRule="auto"/>
              <w:jc w:val="center"/>
              <w:rPr>
                <w:i/>
                <w:sz w:val="20"/>
                <w:szCs w:val="20"/>
              </w:rPr>
            </w:pPr>
            <w:r>
              <w:rPr>
                <w:i/>
                <w:sz w:val="20"/>
                <w:szCs w:val="20"/>
              </w:rPr>
              <w:t>Δ p</w:t>
            </w:r>
          </w:p>
        </w:tc>
      </w:tr>
      <w:tr w:rsidR="00250869" w14:paraId="1A3D62EB" w14:textId="77777777" w:rsidTr="00564AEE">
        <w:tc>
          <w:tcPr>
            <w:tcW w:w="2144" w:type="dxa"/>
            <w:tcBorders>
              <w:top w:val="single" w:sz="4" w:space="0" w:color="auto"/>
            </w:tcBorders>
          </w:tcPr>
          <w:p w14:paraId="1BB09680" w14:textId="77777777" w:rsidR="00250869" w:rsidRDefault="00802DB6">
            <w:pPr>
              <w:spacing w:line="360" w:lineRule="auto"/>
              <w:rPr>
                <w:sz w:val="20"/>
                <w:szCs w:val="20"/>
              </w:rPr>
            </w:pPr>
            <w:r>
              <w:rPr>
                <w:sz w:val="20"/>
                <w:szCs w:val="20"/>
              </w:rPr>
              <w:t xml:space="preserve">Modelo sin restricciones </w:t>
            </w:r>
          </w:p>
        </w:tc>
        <w:tc>
          <w:tcPr>
            <w:tcW w:w="1233" w:type="dxa"/>
            <w:tcBorders>
              <w:top w:val="single" w:sz="4" w:space="0" w:color="auto"/>
            </w:tcBorders>
          </w:tcPr>
          <w:p w14:paraId="608A7661" w14:textId="77777777" w:rsidR="00250869" w:rsidRDefault="00802DB6">
            <w:pPr>
              <w:spacing w:line="360" w:lineRule="auto"/>
              <w:jc w:val="center"/>
              <w:rPr>
                <w:sz w:val="20"/>
                <w:szCs w:val="20"/>
              </w:rPr>
            </w:pPr>
            <w:r>
              <w:rPr>
                <w:sz w:val="20"/>
                <w:szCs w:val="20"/>
              </w:rPr>
              <w:t>125.38.69</w:t>
            </w:r>
          </w:p>
        </w:tc>
        <w:tc>
          <w:tcPr>
            <w:tcW w:w="553" w:type="dxa"/>
            <w:tcBorders>
              <w:top w:val="single" w:sz="4" w:space="0" w:color="auto"/>
            </w:tcBorders>
          </w:tcPr>
          <w:p w14:paraId="3AEC44D3" w14:textId="77777777" w:rsidR="00250869" w:rsidRDefault="00802DB6">
            <w:pPr>
              <w:spacing w:line="360" w:lineRule="auto"/>
              <w:jc w:val="center"/>
              <w:rPr>
                <w:sz w:val="20"/>
                <w:szCs w:val="20"/>
              </w:rPr>
            </w:pPr>
            <w:r>
              <w:rPr>
                <w:sz w:val="20"/>
                <w:szCs w:val="20"/>
              </w:rPr>
              <w:t>35</w:t>
            </w:r>
          </w:p>
        </w:tc>
        <w:tc>
          <w:tcPr>
            <w:tcW w:w="688" w:type="dxa"/>
            <w:tcBorders>
              <w:top w:val="single" w:sz="4" w:space="0" w:color="auto"/>
            </w:tcBorders>
          </w:tcPr>
          <w:p w14:paraId="15192779" w14:textId="77777777" w:rsidR="00250869" w:rsidRDefault="00802DB6">
            <w:pPr>
              <w:spacing w:line="360" w:lineRule="auto"/>
              <w:jc w:val="center"/>
              <w:rPr>
                <w:sz w:val="20"/>
                <w:szCs w:val="20"/>
              </w:rPr>
            </w:pPr>
            <w:r>
              <w:rPr>
                <w:sz w:val="20"/>
                <w:szCs w:val="20"/>
              </w:rPr>
              <w:t>0.97</w:t>
            </w:r>
          </w:p>
        </w:tc>
        <w:tc>
          <w:tcPr>
            <w:tcW w:w="724" w:type="dxa"/>
            <w:tcBorders>
              <w:top w:val="single" w:sz="4" w:space="0" w:color="auto"/>
            </w:tcBorders>
          </w:tcPr>
          <w:p w14:paraId="010C181D" w14:textId="77777777" w:rsidR="00250869" w:rsidRDefault="00802DB6">
            <w:pPr>
              <w:spacing w:line="360" w:lineRule="auto"/>
              <w:jc w:val="center"/>
              <w:rPr>
                <w:sz w:val="20"/>
                <w:szCs w:val="20"/>
              </w:rPr>
            </w:pPr>
            <w:r>
              <w:rPr>
                <w:sz w:val="20"/>
                <w:szCs w:val="20"/>
              </w:rPr>
              <w:t>0.97</w:t>
            </w:r>
          </w:p>
        </w:tc>
        <w:tc>
          <w:tcPr>
            <w:tcW w:w="1013" w:type="dxa"/>
            <w:tcBorders>
              <w:top w:val="single" w:sz="4" w:space="0" w:color="auto"/>
            </w:tcBorders>
          </w:tcPr>
          <w:p w14:paraId="4805CB21" w14:textId="77777777" w:rsidR="00250869" w:rsidRDefault="00802DB6">
            <w:pPr>
              <w:spacing w:line="360" w:lineRule="auto"/>
              <w:jc w:val="center"/>
              <w:rPr>
                <w:sz w:val="20"/>
                <w:szCs w:val="20"/>
              </w:rPr>
            </w:pPr>
            <w:r>
              <w:rPr>
                <w:sz w:val="20"/>
                <w:szCs w:val="20"/>
              </w:rPr>
              <w:t>0.074</w:t>
            </w:r>
          </w:p>
        </w:tc>
        <w:tc>
          <w:tcPr>
            <w:tcW w:w="903" w:type="dxa"/>
            <w:tcBorders>
              <w:top w:val="single" w:sz="4" w:space="0" w:color="auto"/>
            </w:tcBorders>
          </w:tcPr>
          <w:p w14:paraId="214E8C7B" w14:textId="77777777" w:rsidR="00250869" w:rsidRDefault="00802DB6">
            <w:pPr>
              <w:spacing w:line="360" w:lineRule="auto"/>
              <w:jc w:val="center"/>
              <w:rPr>
                <w:sz w:val="20"/>
                <w:szCs w:val="20"/>
              </w:rPr>
            </w:pPr>
            <w:r>
              <w:rPr>
                <w:sz w:val="20"/>
                <w:szCs w:val="20"/>
              </w:rPr>
              <w:t>0.036</w:t>
            </w:r>
          </w:p>
        </w:tc>
        <w:tc>
          <w:tcPr>
            <w:tcW w:w="848" w:type="dxa"/>
            <w:tcBorders>
              <w:top w:val="single" w:sz="4" w:space="0" w:color="auto"/>
            </w:tcBorders>
          </w:tcPr>
          <w:p w14:paraId="5D70014E" w14:textId="77777777" w:rsidR="00250869" w:rsidRDefault="00802DB6">
            <w:pPr>
              <w:spacing w:line="360" w:lineRule="auto"/>
              <w:jc w:val="center"/>
              <w:rPr>
                <w:sz w:val="20"/>
                <w:szCs w:val="20"/>
              </w:rPr>
            </w:pPr>
            <w:r>
              <w:rPr>
                <w:sz w:val="20"/>
                <w:szCs w:val="20"/>
              </w:rPr>
              <w:t>--</w:t>
            </w:r>
          </w:p>
        </w:tc>
        <w:tc>
          <w:tcPr>
            <w:tcW w:w="587" w:type="dxa"/>
            <w:tcBorders>
              <w:top w:val="single" w:sz="4" w:space="0" w:color="auto"/>
            </w:tcBorders>
          </w:tcPr>
          <w:p w14:paraId="2CEEF723" w14:textId="77777777" w:rsidR="00250869" w:rsidRDefault="00802DB6">
            <w:pPr>
              <w:spacing w:line="360" w:lineRule="auto"/>
              <w:jc w:val="center"/>
              <w:rPr>
                <w:sz w:val="20"/>
                <w:szCs w:val="20"/>
              </w:rPr>
            </w:pPr>
            <w:r>
              <w:rPr>
                <w:sz w:val="20"/>
                <w:szCs w:val="20"/>
              </w:rPr>
              <w:t>--</w:t>
            </w:r>
          </w:p>
        </w:tc>
        <w:tc>
          <w:tcPr>
            <w:tcW w:w="667" w:type="dxa"/>
            <w:tcBorders>
              <w:top w:val="single" w:sz="4" w:space="0" w:color="auto"/>
            </w:tcBorders>
          </w:tcPr>
          <w:p w14:paraId="668BBF79" w14:textId="77777777" w:rsidR="00250869" w:rsidRDefault="00250869">
            <w:pPr>
              <w:spacing w:line="360" w:lineRule="auto"/>
              <w:jc w:val="center"/>
              <w:rPr>
                <w:sz w:val="20"/>
                <w:szCs w:val="20"/>
              </w:rPr>
            </w:pPr>
          </w:p>
        </w:tc>
      </w:tr>
      <w:tr w:rsidR="00250869" w14:paraId="1C6C5189" w14:textId="77777777">
        <w:tc>
          <w:tcPr>
            <w:tcW w:w="2144" w:type="dxa"/>
          </w:tcPr>
          <w:p w14:paraId="4008A2AB" w14:textId="77777777" w:rsidR="00250869" w:rsidRDefault="00802DB6">
            <w:pPr>
              <w:spacing w:line="360" w:lineRule="auto"/>
              <w:rPr>
                <w:sz w:val="20"/>
                <w:szCs w:val="20"/>
              </w:rPr>
            </w:pPr>
            <w:proofErr w:type="spellStart"/>
            <w:r>
              <w:rPr>
                <w:sz w:val="20"/>
                <w:szCs w:val="20"/>
              </w:rPr>
              <w:t>Invarianza</w:t>
            </w:r>
            <w:proofErr w:type="spellEnd"/>
            <w:r>
              <w:rPr>
                <w:sz w:val="20"/>
                <w:szCs w:val="20"/>
              </w:rPr>
              <w:t xml:space="preserve"> </w:t>
            </w:r>
            <w:proofErr w:type="spellStart"/>
            <w:r>
              <w:rPr>
                <w:sz w:val="20"/>
                <w:szCs w:val="20"/>
              </w:rPr>
              <w:t>configural</w:t>
            </w:r>
            <w:proofErr w:type="spellEnd"/>
            <w:r>
              <w:rPr>
                <w:sz w:val="20"/>
                <w:szCs w:val="20"/>
              </w:rPr>
              <w:t xml:space="preserve"> (Sin restricciones) </w:t>
            </w:r>
          </w:p>
        </w:tc>
        <w:tc>
          <w:tcPr>
            <w:tcW w:w="1233" w:type="dxa"/>
          </w:tcPr>
          <w:p w14:paraId="26555709" w14:textId="77777777" w:rsidR="00250869" w:rsidRDefault="00802DB6">
            <w:pPr>
              <w:spacing w:line="360" w:lineRule="auto"/>
              <w:jc w:val="center"/>
              <w:rPr>
                <w:sz w:val="20"/>
                <w:szCs w:val="20"/>
              </w:rPr>
            </w:pPr>
            <w:r>
              <w:rPr>
                <w:sz w:val="20"/>
                <w:szCs w:val="20"/>
              </w:rPr>
              <w:t>61.16</w:t>
            </w:r>
          </w:p>
        </w:tc>
        <w:tc>
          <w:tcPr>
            <w:tcW w:w="553" w:type="dxa"/>
          </w:tcPr>
          <w:p w14:paraId="32F8B0BD" w14:textId="77777777" w:rsidR="00250869" w:rsidRDefault="00802DB6">
            <w:pPr>
              <w:spacing w:line="360" w:lineRule="auto"/>
              <w:jc w:val="center"/>
              <w:rPr>
                <w:sz w:val="20"/>
                <w:szCs w:val="20"/>
              </w:rPr>
            </w:pPr>
            <w:r>
              <w:rPr>
                <w:sz w:val="20"/>
                <w:szCs w:val="20"/>
              </w:rPr>
              <w:t>16</w:t>
            </w:r>
          </w:p>
        </w:tc>
        <w:tc>
          <w:tcPr>
            <w:tcW w:w="688" w:type="dxa"/>
          </w:tcPr>
          <w:p w14:paraId="09A10C8B" w14:textId="77777777" w:rsidR="00250869" w:rsidRDefault="00802DB6">
            <w:pPr>
              <w:spacing w:line="360" w:lineRule="auto"/>
              <w:jc w:val="center"/>
              <w:rPr>
                <w:sz w:val="20"/>
                <w:szCs w:val="20"/>
              </w:rPr>
            </w:pPr>
            <w:r>
              <w:rPr>
                <w:sz w:val="20"/>
                <w:szCs w:val="20"/>
              </w:rPr>
              <w:t>0.99</w:t>
            </w:r>
          </w:p>
        </w:tc>
        <w:tc>
          <w:tcPr>
            <w:tcW w:w="724" w:type="dxa"/>
          </w:tcPr>
          <w:p w14:paraId="026AE7B9" w14:textId="77777777" w:rsidR="00250869" w:rsidRDefault="00802DB6">
            <w:pPr>
              <w:spacing w:line="360" w:lineRule="auto"/>
              <w:jc w:val="center"/>
              <w:rPr>
                <w:sz w:val="20"/>
                <w:szCs w:val="20"/>
              </w:rPr>
            </w:pPr>
            <w:r>
              <w:rPr>
                <w:sz w:val="20"/>
                <w:szCs w:val="20"/>
              </w:rPr>
              <w:t>0.98</w:t>
            </w:r>
          </w:p>
        </w:tc>
        <w:tc>
          <w:tcPr>
            <w:tcW w:w="1013" w:type="dxa"/>
          </w:tcPr>
          <w:p w14:paraId="5A4852A9" w14:textId="77777777" w:rsidR="00250869" w:rsidRDefault="00802DB6">
            <w:pPr>
              <w:spacing w:line="360" w:lineRule="auto"/>
              <w:jc w:val="center"/>
              <w:rPr>
                <w:sz w:val="20"/>
                <w:szCs w:val="20"/>
              </w:rPr>
            </w:pPr>
            <w:r>
              <w:rPr>
                <w:sz w:val="20"/>
                <w:szCs w:val="20"/>
              </w:rPr>
              <w:t>0.077</w:t>
            </w:r>
          </w:p>
        </w:tc>
        <w:tc>
          <w:tcPr>
            <w:tcW w:w="903" w:type="dxa"/>
          </w:tcPr>
          <w:p w14:paraId="23980EEA" w14:textId="77777777" w:rsidR="00250869" w:rsidRDefault="00802DB6">
            <w:pPr>
              <w:spacing w:line="360" w:lineRule="auto"/>
              <w:jc w:val="center"/>
              <w:rPr>
                <w:sz w:val="20"/>
                <w:szCs w:val="20"/>
              </w:rPr>
            </w:pPr>
            <w:r>
              <w:rPr>
                <w:sz w:val="20"/>
                <w:szCs w:val="20"/>
              </w:rPr>
              <w:t>0.020</w:t>
            </w:r>
          </w:p>
        </w:tc>
        <w:tc>
          <w:tcPr>
            <w:tcW w:w="848" w:type="dxa"/>
          </w:tcPr>
          <w:p w14:paraId="1B80F89B" w14:textId="77777777" w:rsidR="00250869" w:rsidRDefault="00802DB6">
            <w:pPr>
              <w:spacing w:line="360" w:lineRule="auto"/>
              <w:jc w:val="center"/>
              <w:rPr>
                <w:sz w:val="20"/>
                <w:szCs w:val="20"/>
              </w:rPr>
            </w:pPr>
            <w:r>
              <w:rPr>
                <w:sz w:val="20"/>
                <w:szCs w:val="20"/>
              </w:rPr>
              <w:t>--</w:t>
            </w:r>
          </w:p>
        </w:tc>
        <w:tc>
          <w:tcPr>
            <w:tcW w:w="587" w:type="dxa"/>
          </w:tcPr>
          <w:p w14:paraId="3DCE24BB" w14:textId="77777777" w:rsidR="00250869" w:rsidRDefault="00802DB6">
            <w:pPr>
              <w:spacing w:line="360" w:lineRule="auto"/>
              <w:jc w:val="center"/>
              <w:rPr>
                <w:sz w:val="20"/>
                <w:szCs w:val="20"/>
              </w:rPr>
            </w:pPr>
            <w:r>
              <w:rPr>
                <w:sz w:val="20"/>
                <w:szCs w:val="20"/>
              </w:rPr>
              <w:t>--</w:t>
            </w:r>
          </w:p>
        </w:tc>
        <w:tc>
          <w:tcPr>
            <w:tcW w:w="667" w:type="dxa"/>
          </w:tcPr>
          <w:p w14:paraId="2863EC48" w14:textId="77777777" w:rsidR="00250869" w:rsidRDefault="00250869">
            <w:pPr>
              <w:spacing w:line="360" w:lineRule="auto"/>
              <w:jc w:val="center"/>
              <w:rPr>
                <w:sz w:val="20"/>
                <w:szCs w:val="20"/>
              </w:rPr>
            </w:pPr>
          </w:p>
        </w:tc>
      </w:tr>
      <w:tr w:rsidR="00250869" w14:paraId="3A54815E" w14:textId="77777777">
        <w:tc>
          <w:tcPr>
            <w:tcW w:w="2144" w:type="dxa"/>
          </w:tcPr>
          <w:p w14:paraId="0280C446" w14:textId="77777777" w:rsidR="00250869" w:rsidRDefault="00802DB6">
            <w:pPr>
              <w:spacing w:line="360" w:lineRule="auto"/>
              <w:rPr>
                <w:sz w:val="20"/>
                <w:szCs w:val="20"/>
              </w:rPr>
            </w:pPr>
            <w:proofErr w:type="spellStart"/>
            <w:r>
              <w:rPr>
                <w:sz w:val="20"/>
                <w:szCs w:val="20"/>
              </w:rPr>
              <w:t>Invarianza</w:t>
            </w:r>
            <w:proofErr w:type="spellEnd"/>
            <w:r>
              <w:rPr>
                <w:sz w:val="20"/>
                <w:szCs w:val="20"/>
              </w:rPr>
              <w:t xml:space="preserve"> métrica (con restricciones)</w:t>
            </w:r>
          </w:p>
        </w:tc>
        <w:tc>
          <w:tcPr>
            <w:tcW w:w="1233" w:type="dxa"/>
          </w:tcPr>
          <w:p w14:paraId="20F65A31" w14:textId="77777777" w:rsidR="00250869" w:rsidRDefault="00802DB6">
            <w:pPr>
              <w:spacing w:line="360" w:lineRule="auto"/>
              <w:jc w:val="center"/>
              <w:rPr>
                <w:sz w:val="20"/>
                <w:szCs w:val="20"/>
              </w:rPr>
            </w:pPr>
            <w:r>
              <w:rPr>
                <w:sz w:val="20"/>
                <w:szCs w:val="20"/>
              </w:rPr>
              <w:t>69.91</w:t>
            </w:r>
          </w:p>
        </w:tc>
        <w:tc>
          <w:tcPr>
            <w:tcW w:w="553" w:type="dxa"/>
          </w:tcPr>
          <w:p w14:paraId="25EEDC73" w14:textId="77777777" w:rsidR="00250869" w:rsidRDefault="00802DB6">
            <w:pPr>
              <w:spacing w:line="360" w:lineRule="auto"/>
              <w:jc w:val="center"/>
              <w:rPr>
                <w:sz w:val="20"/>
                <w:szCs w:val="20"/>
              </w:rPr>
            </w:pPr>
            <w:r>
              <w:rPr>
                <w:sz w:val="20"/>
                <w:szCs w:val="20"/>
              </w:rPr>
              <w:t>21</w:t>
            </w:r>
          </w:p>
        </w:tc>
        <w:tc>
          <w:tcPr>
            <w:tcW w:w="688" w:type="dxa"/>
          </w:tcPr>
          <w:p w14:paraId="578BFFAB" w14:textId="77777777" w:rsidR="00250869" w:rsidRDefault="00802DB6">
            <w:pPr>
              <w:spacing w:line="360" w:lineRule="auto"/>
              <w:jc w:val="center"/>
              <w:rPr>
                <w:sz w:val="20"/>
                <w:szCs w:val="20"/>
              </w:rPr>
            </w:pPr>
            <w:r>
              <w:rPr>
                <w:sz w:val="20"/>
                <w:szCs w:val="20"/>
              </w:rPr>
              <w:t>0.99</w:t>
            </w:r>
          </w:p>
        </w:tc>
        <w:tc>
          <w:tcPr>
            <w:tcW w:w="724" w:type="dxa"/>
          </w:tcPr>
          <w:p w14:paraId="30DC1F6F" w14:textId="77777777" w:rsidR="00250869" w:rsidRDefault="00802DB6">
            <w:pPr>
              <w:spacing w:line="360" w:lineRule="auto"/>
              <w:jc w:val="center"/>
              <w:rPr>
                <w:sz w:val="20"/>
                <w:szCs w:val="20"/>
              </w:rPr>
            </w:pPr>
            <w:r>
              <w:rPr>
                <w:sz w:val="20"/>
                <w:szCs w:val="20"/>
              </w:rPr>
              <w:t>0.98</w:t>
            </w:r>
          </w:p>
        </w:tc>
        <w:tc>
          <w:tcPr>
            <w:tcW w:w="1013" w:type="dxa"/>
          </w:tcPr>
          <w:p w14:paraId="07AEB6C6" w14:textId="77777777" w:rsidR="00250869" w:rsidRDefault="00802DB6">
            <w:pPr>
              <w:spacing w:line="360" w:lineRule="auto"/>
              <w:jc w:val="center"/>
              <w:rPr>
                <w:sz w:val="20"/>
                <w:szCs w:val="20"/>
              </w:rPr>
            </w:pPr>
            <w:r>
              <w:rPr>
                <w:sz w:val="20"/>
                <w:szCs w:val="20"/>
              </w:rPr>
              <w:t>0.070</w:t>
            </w:r>
          </w:p>
        </w:tc>
        <w:tc>
          <w:tcPr>
            <w:tcW w:w="903" w:type="dxa"/>
          </w:tcPr>
          <w:p w14:paraId="54A68E6A" w14:textId="77777777" w:rsidR="00250869" w:rsidRDefault="00802DB6">
            <w:pPr>
              <w:spacing w:line="360" w:lineRule="auto"/>
              <w:jc w:val="center"/>
              <w:rPr>
                <w:sz w:val="20"/>
                <w:szCs w:val="20"/>
              </w:rPr>
            </w:pPr>
            <w:r>
              <w:rPr>
                <w:sz w:val="20"/>
                <w:szCs w:val="20"/>
              </w:rPr>
              <w:t>0.022</w:t>
            </w:r>
          </w:p>
        </w:tc>
        <w:tc>
          <w:tcPr>
            <w:tcW w:w="848" w:type="dxa"/>
          </w:tcPr>
          <w:p w14:paraId="14B25319" w14:textId="77777777" w:rsidR="00250869" w:rsidRDefault="00802DB6">
            <w:pPr>
              <w:spacing w:line="360" w:lineRule="auto"/>
              <w:jc w:val="center"/>
              <w:rPr>
                <w:sz w:val="20"/>
                <w:szCs w:val="20"/>
              </w:rPr>
            </w:pPr>
            <w:r>
              <w:rPr>
                <w:sz w:val="20"/>
                <w:szCs w:val="20"/>
              </w:rPr>
              <w:t>8.75</w:t>
            </w:r>
          </w:p>
        </w:tc>
        <w:tc>
          <w:tcPr>
            <w:tcW w:w="587" w:type="dxa"/>
          </w:tcPr>
          <w:p w14:paraId="182AB0B7" w14:textId="77777777" w:rsidR="00250869" w:rsidRDefault="00802DB6">
            <w:pPr>
              <w:spacing w:line="360" w:lineRule="auto"/>
              <w:jc w:val="center"/>
              <w:rPr>
                <w:sz w:val="20"/>
                <w:szCs w:val="20"/>
              </w:rPr>
            </w:pPr>
            <w:r>
              <w:rPr>
                <w:sz w:val="20"/>
                <w:szCs w:val="20"/>
              </w:rPr>
              <w:t>5</w:t>
            </w:r>
          </w:p>
        </w:tc>
        <w:tc>
          <w:tcPr>
            <w:tcW w:w="667" w:type="dxa"/>
          </w:tcPr>
          <w:p w14:paraId="38CA0CA9" w14:textId="77777777" w:rsidR="00250869" w:rsidRDefault="00802DB6">
            <w:pPr>
              <w:spacing w:line="360" w:lineRule="auto"/>
              <w:jc w:val="center"/>
              <w:rPr>
                <w:sz w:val="20"/>
                <w:szCs w:val="20"/>
              </w:rPr>
            </w:pPr>
            <w:r>
              <w:rPr>
                <w:sz w:val="20"/>
                <w:szCs w:val="20"/>
              </w:rPr>
              <w:t>0.11</w:t>
            </w:r>
          </w:p>
        </w:tc>
      </w:tr>
      <w:tr w:rsidR="00250869" w14:paraId="708C059D" w14:textId="77777777">
        <w:tc>
          <w:tcPr>
            <w:tcW w:w="2144" w:type="dxa"/>
          </w:tcPr>
          <w:p w14:paraId="56F3C20C" w14:textId="77777777" w:rsidR="00250869" w:rsidRDefault="00802DB6">
            <w:pPr>
              <w:spacing w:line="360" w:lineRule="auto"/>
              <w:rPr>
                <w:sz w:val="20"/>
                <w:szCs w:val="20"/>
              </w:rPr>
            </w:pPr>
            <w:proofErr w:type="spellStart"/>
            <w:r>
              <w:rPr>
                <w:sz w:val="20"/>
                <w:szCs w:val="20"/>
              </w:rPr>
              <w:t>Invarianza</w:t>
            </w:r>
            <w:proofErr w:type="spellEnd"/>
            <w:r>
              <w:rPr>
                <w:sz w:val="20"/>
                <w:szCs w:val="20"/>
              </w:rPr>
              <w:t xml:space="preserve"> escalar (Interpretación de cargas y restricciones)</w:t>
            </w:r>
          </w:p>
        </w:tc>
        <w:tc>
          <w:tcPr>
            <w:tcW w:w="1233" w:type="dxa"/>
          </w:tcPr>
          <w:p w14:paraId="60682A76" w14:textId="77777777" w:rsidR="00250869" w:rsidRDefault="00802DB6">
            <w:pPr>
              <w:spacing w:line="360" w:lineRule="auto"/>
              <w:jc w:val="center"/>
              <w:rPr>
                <w:sz w:val="20"/>
                <w:szCs w:val="20"/>
              </w:rPr>
            </w:pPr>
            <w:r>
              <w:rPr>
                <w:sz w:val="20"/>
                <w:szCs w:val="20"/>
              </w:rPr>
              <w:t>78.33</w:t>
            </w:r>
          </w:p>
        </w:tc>
        <w:tc>
          <w:tcPr>
            <w:tcW w:w="553" w:type="dxa"/>
          </w:tcPr>
          <w:p w14:paraId="1731E47C" w14:textId="77777777" w:rsidR="00250869" w:rsidRDefault="00802DB6">
            <w:pPr>
              <w:spacing w:line="360" w:lineRule="auto"/>
              <w:jc w:val="center"/>
              <w:rPr>
                <w:sz w:val="20"/>
                <w:szCs w:val="20"/>
              </w:rPr>
            </w:pPr>
            <w:r>
              <w:rPr>
                <w:sz w:val="20"/>
                <w:szCs w:val="20"/>
              </w:rPr>
              <w:t>27</w:t>
            </w:r>
          </w:p>
        </w:tc>
        <w:tc>
          <w:tcPr>
            <w:tcW w:w="688" w:type="dxa"/>
          </w:tcPr>
          <w:p w14:paraId="701726EF" w14:textId="77777777" w:rsidR="00250869" w:rsidRDefault="00802DB6">
            <w:pPr>
              <w:spacing w:line="360" w:lineRule="auto"/>
              <w:jc w:val="center"/>
              <w:rPr>
                <w:sz w:val="20"/>
                <w:szCs w:val="20"/>
              </w:rPr>
            </w:pPr>
            <w:r>
              <w:rPr>
                <w:sz w:val="20"/>
                <w:szCs w:val="20"/>
              </w:rPr>
              <w:t>0.99</w:t>
            </w:r>
          </w:p>
        </w:tc>
        <w:tc>
          <w:tcPr>
            <w:tcW w:w="724" w:type="dxa"/>
          </w:tcPr>
          <w:p w14:paraId="433DA060" w14:textId="77777777" w:rsidR="00250869" w:rsidRDefault="00802DB6">
            <w:pPr>
              <w:spacing w:line="360" w:lineRule="auto"/>
              <w:jc w:val="center"/>
              <w:rPr>
                <w:sz w:val="20"/>
                <w:szCs w:val="20"/>
              </w:rPr>
            </w:pPr>
            <w:r>
              <w:rPr>
                <w:sz w:val="20"/>
                <w:szCs w:val="20"/>
              </w:rPr>
              <w:t>0.98</w:t>
            </w:r>
          </w:p>
        </w:tc>
        <w:tc>
          <w:tcPr>
            <w:tcW w:w="1013" w:type="dxa"/>
          </w:tcPr>
          <w:p w14:paraId="2E3E5EF7" w14:textId="77777777" w:rsidR="00250869" w:rsidRDefault="00802DB6">
            <w:pPr>
              <w:spacing w:line="360" w:lineRule="auto"/>
              <w:jc w:val="center"/>
              <w:rPr>
                <w:sz w:val="20"/>
                <w:szCs w:val="20"/>
              </w:rPr>
            </w:pPr>
            <w:r>
              <w:rPr>
                <w:sz w:val="20"/>
                <w:szCs w:val="20"/>
              </w:rPr>
              <w:t>0.063</w:t>
            </w:r>
          </w:p>
        </w:tc>
        <w:tc>
          <w:tcPr>
            <w:tcW w:w="903" w:type="dxa"/>
          </w:tcPr>
          <w:p w14:paraId="29CDE646" w14:textId="77777777" w:rsidR="00250869" w:rsidRDefault="00802DB6">
            <w:pPr>
              <w:spacing w:line="360" w:lineRule="auto"/>
              <w:jc w:val="center"/>
              <w:rPr>
                <w:sz w:val="20"/>
                <w:szCs w:val="20"/>
              </w:rPr>
            </w:pPr>
            <w:r>
              <w:rPr>
                <w:sz w:val="20"/>
                <w:szCs w:val="20"/>
              </w:rPr>
              <w:t>0.022</w:t>
            </w:r>
          </w:p>
        </w:tc>
        <w:tc>
          <w:tcPr>
            <w:tcW w:w="848" w:type="dxa"/>
          </w:tcPr>
          <w:p w14:paraId="5B07DC47" w14:textId="77777777" w:rsidR="00250869" w:rsidRDefault="00802DB6">
            <w:pPr>
              <w:spacing w:line="360" w:lineRule="auto"/>
              <w:jc w:val="center"/>
              <w:rPr>
                <w:sz w:val="20"/>
                <w:szCs w:val="20"/>
              </w:rPr>
            </w:pPr>
            <w:r>
              <w:rPr>
                <w:sz w:val="20"/>
                <w:szCs w:val="20"/>
              </w:rPr>
              <w:t>17.17</w:t>
            </w:r>
          </w:p>
        </w:tc>
        <w:tc>
          <w:tcPr>
            <w:tcW w:w="587" w:type="dxa"/>
          </w:tcPr>
          <w:p w14:paraId="579A6942" w14:textId="77777777" w:rsidR="00250869" w:rsidRDefault="00802DB6">
            <w:pPr>
              <w:spacing w:line="360" w:lineRule="auto"/>
              <w:jc w:val="center"/>
              <w:rPr>
                <w:sz w:val="20"/>
                <w:szCs w:val="20"/>
              </w:rPr>
            </w:pPr>
            <w:r>
              <w:rPr>
                <w:sz w:val="20"/>
                <w:szCs w:val="20"/>
              </w:rPr>
              <w:t>11</w:t>
            </w:r>
          </w:p>
        </w:tc>
        <w:tc>
          <w:tcPr>
            <w:tcW w:w="667" w:type="dxa"/>
          </w:tcPr>
          <w:p w14:paraId="59C4DE2B" w14:textId="77777777" w:rsidR="00250869" w:rsidRDefault="00802DB6">
            <w:pPr>
              <w:spacing w:line="360" w:lineRule="auto"/>
              <w:jc w:val="center"/>
              <w:rPr>
                <w:sz w:val="20"/>
                <w:szCs w:val="20"/>
              </w:rPr>
            </w:pPr>
            <w:r>
              <w:rPr>
                <w:sz w:val="20"/>
                <w:szCs w:val="20"/>
              </w:rPr>
              <w:t>0.10</w:t>
            </w:r>
          </w:p>
        </w:tc>
      </w:tr>
    </w:tbl>
    <w:p w14:paraId="46C04AC0" w14:textId="77777777" w:rsidR="00250869" w:rsidRDefault="00250869">
      <w:pPr>
        <w:tabs>
          <w:tab w:val="left" w:pos="510"/>
        </w:tabs>
        <w:spacing w:line="360" w:lineRule="auto"/>
        <w:jc w:val="both"/>
        <w:rPr>
          <w:i/>
          <w:sz w:val="20"/>
          <w:szCs w:val="20"/>
        </w:rPr>
      </w:pPr>
    </w:p>
    <w:p w14:paraId="5A00852F" w14:textId="77777777" w:rsidR="00250869" w:rsidRDefault="00802DB6">
      <w:pPr>
        <w:tabs>
          <w:tab w:val="left" w:pos="510"/>
        </w:tabs>
        <w:spacing w:line="360" w:lineRule="auto"/>
        <w:jc w:val="both"/>
        <w:rPr>
          <w:sz w:val="20"/>
          <w:szCs w:val="20"/>
        </w:rPr>
      </w:pPr>
      <w:r>
        <w:rPr>
          <w:i/>
          <w:sz w:val="20"/>
          <w:szCs w:val="20"/>
        </w:rPr>
        <w:t>Nota:</w:t>
      </w:r>
      <w:r>
        <w:rPr>
          <w:sz w:val="20"/>
          <w:szCs w:val="20"/>
        </w:rPr>
        <w:t xml:space="preserve"> CFI = Índice de ajuste comparativo; TLI= Índice Tucker Lewis; RMSEA= Error de aproximación; Δ</w:t>
      </w:r>
      <w:r>
        <w:rPr>
          <w:rFonts w:ascii="Noto Sans Symbols" w:eastAsia="Noto Sans Symbols" w:hAnsi="Noto Sans Symbols" w:cs="Noto Sans Symbols"/>
          <w:i/>
          <w:sz w:val="20"/>
          <w:szCs w:val="20"/>
        </w:rPr>
        <w:t>χ</w:t>
      </w:r>
      <w:r>
        <w:rPr>
          <w:sz w:val="20"/>
          <w:szCs w:val="20"/>
          <w:vertAlign w:val="superscript"/>
        </w:rPr>
        <w:t>2</w:t>
      </w:r>
      <w:r>
        <w:rPr>
          <w:sz w:val="20"/>
          <w:szCs w:val="20"/>
        </w:rPr>
        <w:t>= Diferencia Chi-cuadrado; Δ</w:t>
      </w:r>
      <w:r>
        <w:rPr>
          <w:i/>
          <w:sz w:val="20"/>
          <w:szCs w:val="20"/>
        </w:rPr>
        <w:t xml:space="preserve"> </w:t>
      </w:r>
      <w:proofErr w:type="spellStart"/>
      <w:r>
        <w:rPr>
          <w:i/>
          <w:sz w:val="20"/>
          <w:szCs w:val="20"/>
        </w:rPr>
        <w:t>df</w:t>
      </w:r>
      <w:proofErr w:type="spellEnd"/>
      <w:r>
        <w:rPr>
          <w:sz w:val="20"/>
          <w:szCs w:val="20"/>
        </w:rPr>
        <w:t>= Diferencia de Grados de Libertad; Δ</w:t>
      </w:r>
      <w:r>
        <w:rPr>
          <w:i/>
          <w:sz w:val="20"/>
          <w:szCs w:val="20"/>
        </w:rPr>
        <w:t xml:space="preserve"> p</w:t>
      </w:r>
      <w:r>
        <w:rPr>
          <w:sz w:val="20"/>
          <w:szCs w:val="20"/>
        </w:rPr>
        <w:t xml:space="preserve"> = Diferencia del valor p entre el modelo de comparación. </w:t>
      </w:r>
      <w:r>
        <w:rPr>
          <w:i/>
          <w:sz w:val="20"/>
          <w:szCs w:val="20"/>
        </w:rPr>
        <w:t xml:space="preserve">Fuente: </w:t>
      </w:r>
      <w:r>
        <w:rPr>
          <w:sz w:val="20"/>
          <w:szCs w:val="20"/>
        </w:rPr>
        <w:t>Elaboración propia.</w:t>
      </w:r>
    </w:p>
    <w:p w14:paraId="61024951" w14:textId="77777777" w:rsidR="00250869" w:rsidRDefault="00250869">
      <w:pPr>
        <w:spacing w:line="480" w:lineRule="auto"/>
        <w:jc w:val="both"/>
        <w:rPr>
          <w:b/>
        </w:rPr>
      </w:pPr>
    </w:p>
    <w:p w14:paraId="2FC3A230" w14:textId="77777777" w:rsidR="00250869" w:rsidRDefault="00802DB6">
      <w:pPr>
        <w:spacing w:line="480" w:lineRule="auto"/>
        <w:jc w:val="both"/>
        <w:rPr>
          <w:b/>
        </w:rPr>
      </w:pPr>
      <w:r>
        <w:rPr>
          <w:b/>
          <w:noProof/>
        </w:rPr>
        <w:lastRenderedPageBreak/>
        <w:drawing>
          <wp:inline distT="0" distB="0" distL="0" distR="0" wp14:anchorId="21EE31DC" wp14:editId="49FB8356">
            <wp:extent cx="5943600" cy="3156984"/>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43600" cy="3156984"/>
                    </a:xfrm>
                    <a:prstGeom prst="rect">
                      <a:avLst/>
                    </a:prstGeom>
                    <a:ln/>
                  </pic:spPr>
                </pic:pic>
              </a:graphicData>
            </a:graphic>
          </wp:inline>
        </w:drawing>
      </w:r>
    </w:p>
    <w:p w14:paraId="7F31C547" w14:textId="77777777" w:rsidR="00250869" w:rsidRDefault="00802DB6">
      <w:pPr>
        <w:spacing w:after="120" w:line="360" w:lineRule="auto"/>
        <w:jc w:val="both"/>
        <w:rPr>
          <w:sz w:val="20"/>
          <w:szCs w:val="20"/>
        </w:rPr>
      </w:pPr>
      <w:r>
        <w:rPr>
          <w:sz w:val="20"/>
          <w:szCs w:val="20"/>
        </w:rPr>
        <w:t xml:space="preserve">Figura 1. Solución </w:t>
      </w:r>
      <w:proofErr w:type="spellStart"/>
      <w:r>
        <w:rPr>
          <w:sz w:val="20"/>
          <w:szCs w:val="20"/>
        </w:rPr>
        <w:t>unifactorial</w:t>
      </w:r>
      <w:proofErr w:type="spellEnd"/>
      <w:r>
        <w:rPr>
          <w:sz w:val="20"/>
          <w:szCs w:val="20"/>
        </w:rPr>
        <w:t xml:space="preserve"> de la Escala ESSI. </w:t>
      </w:r>
      <w:r>
        <w:rPr>
          <w:i/>
          <w:sz w:val="20"/>
          <w:szCs w:val="20"/>
        </w:rPr>
        <w:t>Nota</w:t>
      </w:r>
      <w:r>
        <w:rPr>
          <w:sz w:val="20"/>
          <w:szCs w:val="20"/>
        </w:rPr>
        <w:t xml:space="preserve">: En negrita coeficientes para la muestra de adultos. </w:t>
      </w:r>
      <w:r>
        <w:rPr>
          <w:i/>
          <w:sz w:val="20"/>
          <w:szCs w:val="20"/>
        </w:rPr>
        <w:t xml:space="preserve">Fuente: </w:t>
      </w:r>
      <w:r>
        <w:rPr>
          <w:sz w:val="20"/>
          <w:szCs w:val="20"/>
        </w:rPr>
        <w:t xml:space="preserve">Elaboración propia. </w:t>
      </w:r>
    </w:p>
    <w:p w14:paraId="336A3DB0" w14:textId="77777777" w:rsidR="00250869" w:rsidRDefault="00802DB6">
      <w:pPr>
        <w:pBdr>
          <w:top w:val="nil"/>
          <w:left w:val="nil"/>
          <w:bottom w:val="nil"/>
          <w:right w:val="nil"/>
          <w:between w:val="nil"/>
        </w:pBdr>
        <w:spacing w:before="280" w:after="280" w:line="360" w:lineRule="auto"/>
        <w:jc w:val="center"/>
        <w:rPr>
          <w:b/>
          <w:color w:val="000000"/>
        </w:rPr>
      </w:pPr>
      <w:r>
        <w:rPr>
          <w:b/>
          <w:color w:val="000000"/>
        </w:rPr>
        <w:t>Discusión</w:t>
      </w:r>
    </w:p>
    <w:p w14:paraId="0DCD5D63" w14:textId="77777777" w:rsidR="00250869" w:rsidRDefault="00802DB6">
      <w:pPr>
        <w:spacing w:line="360" w:lineRule="auto"/>
        <w:ind w:firstLine="708"/>
        <w:jc w:val="both"/>
      </w:pPr>
      <w:r>
        <w:t xml:space="preserve">El objetivo de este estudio fue determinar las propiedades psicométricas de la escala ENRICHD Social </w:t>
      </w:r>
      <w:proofErr w:type="spellStart"/>
      <w:r>
        <w:t>Support</w:t>
      </w:r>
      <w:proofErr w:type="spellEnd"/>
      <w:r>
        <w:t xml:space="preserve"> </w:t>
      </w:r>
      <w:proofErr w:type="spellStart"/>
      <w:r>
        <w:t>Instrument</w:t>
      </w:r>
      <w:proofErr w:type="spellEnd"/>
      <w:r>
        <w:t xml:space="preserve">, que evalúa la percepción del apoyo social, en una muestra de estudiantes y una de adultos, además de estimar la </w:t>
      </w:r>
      <w:proofErr w:type="spellStart"/>
      <w:r>
        <w:t>invarianza</w:t>
      </w:r>
      <w:proofErr w:type="spellEnd"/>
      <w:r>
        <w:t xml:space="preserve"> métrica de la escala entre hombres y mujeres.</w:t>
      </w:r>
    </w:p>
    <w:p w14:paraId="1A844747" w14:textId="4EEAB60F" w:rsidR="00250869" w:rsidRDefault="00802DB6">
      <w:pPr>
        <w:spacing w:line="360" w:lineRule="auto"/>
        <w:ind w:firstLine="708"/>
        <w:jc w:val="both"/>
      </w:pPr>
      <w:r>
        <w:t xml:space="preserve">En relación al primer objetivo, los resultados de este estudio permiten comprobar que el instrumento es válido y confiable tanto para la muestra de estudiantes como de adultos, presentando altos índices de consistencia interna en ambos grupos. Asimismo, los AFE y AFC corroboran una estructura </w:t>
      </w:r>
      <w:proofErr w:type="spellStart"/>
      <w:r>
        <w:t>unifactorial</w:t>
      </w:r>
      <w:proofErr w:type="spellEnd"/>
      <w:r>
        <w:t xml:space="preserve"> de la escala en ambas muestras, resultado que es consistente con el obtenido en el estudio original (Mitchell et al., 2003). Los </w:t>
      </w:r>
      <w:r w:rsidR="00CE4F83">
        <w:t>hallazgos</w:t>
      </w:r>
      <w:r>
        <w:t xml:space="preserve"> de este estudio permiten confirmar que la ESSI posee adecuadas propiedades psicométricas en términos de confiabilidad y validez factorial, lo que es coherente con lo reportado en estudios de similares características (</w:t>
      </w:r>
      <w:proofErr w:type="spellStart"/>
      <w:r>
        <w:t>Vaglio</w:t>
      </w:r>
      <w:proofErr w:type="spellEnd"/>
      <w:r>
        <w:t xml:space="preserve"> et al., 2004). </w:t>
      </w:r>
    </w:p>
    <w:p w14:paraId="5FAF3DFE" w14:textId="03958011" w:rsidR="00250869" w:rsidRDefault="00802DB6">
      <w:pPr>
        <w:spacing w:line="360" w:lineRule="auto"/>
        <w:ind w:firstLine="708"/>
        <w:jc w:val="both"/>
      </w:pPr>
      <w:r>
        <w:t xml:space="preserve">Respecto al segundo objetivo, estimar la </w:t>
      </w:r>
      <w:proofErr w:type="spellStart"/>
      <w:r>
        <w:t>invarianza</w:t>
      </w:r>
      <w:proofErr w:type="spellEnd"/>
      <w:r>
        <w:t xml:space="preserve"> métrica del instrumento entre hombres y mujeres, </w:t>
      </w:r>
      <w:r w:rsidR="00CE4F83">
        <w:t>se observa la</w:t>
      </w:r>
      <w:r>
        <w:t xml:space="preserve"> existencia de </w:t>
      </w:r>
      <w:proofErr w:type="spellStart"/>
      <w:r>
        <w:t>invarianza</w:t>
      </w:r>
      <w:proofErr w:type="spellEnd"/>
      <w:r>
        <w:t xml:space="preserve"> escalar en la solución comparada. Esto implica </w:t>
      </w:r>
      <w:r>
        <w:lastRenderedPageBreak/>
        <w:t xml:space="preserve">que no existen diferencias significativas de las cargas factoriales entre hombres y mujeres, lo que permite concluir que el significado de los ítems es el mismo entre ambos sexos. Si bien la percepción de apoyo social ha demostrado ser distinta para hombres y mujeres (Taylor, 2004), en este estudio la ESSI tiene el mismo significado entre ambos grupos. </w:t>
      </w:r>
    </w:p>
    <w:p w14:paraId="60EA12E3" w14:textId="67750D1C" w:rsidR="00250869" w:rsidRDefault="00802DB6">
      <w:pPr>
        <w:spacing w:line="360" w:lineRule="auto"/>
        <w:ind w:firstLine="708"/>
        <w:jc w:val="both"/>
      </w:pPr>
      <w:r>
        <w:t xml:space="preserve">Los resultados de este estudio son relevantes, ya que demuestran que la ESSI es una escala válida y confiable para ser utilizada tanto en población universitaria como en adultos. Sumado a lo anterior, este </w:t>
      </w:r>
      <w:r w:rsidR="00CE4F83">
        <w:t xml:space="preserve">es </w:t>
      </w:r>
      <w:r>
        <w:t xml:space="preserve">el primer estudio de validación de esta escala en </w:t>
      </w:r>
      <w:r w:rsidR="00CE4F83">
        <w:t>Chile</w:t>
      </w:r>
      <w:r>
        <w:t>.</w:t>
      </w:r>
    </w:p>
    <w:p w14:paraId="0EE37199" w14:textId="6953F459" w:rsidR="00250869" w:rsidRDefault="00802DB6">
      <w:pPr>
        <w:spacing w:line="360" w:lineRule="auto"/>
        <w:ind w:firstLine="708"/>
        <w:jc w:val="both"/>
        <w:rPr>
          <w:b/>
        </w:rPr>
      </w:pPr>
      <w:r>
        <w:t xml:space="preserve">Este estudio tiene fortalezas y limitaciones. Entre las fortalezas se encuentra </w:t>
      </w:r>
      <w:r w:rsidR="00CE4F83">
        <w:t>el</w:t>
      </w:r>
      <w:r>
        <w:t xml:space="preserve"> tamaño</w:t>
      </w:r>
      <w:r w:rsidR="00CE4F83">
        <w:t xml:space="preserve"> </w:t>
      </w:r>
      <w:proofErr w:type="spellStart"/>
      <w:r w:rsidR="00CE4F83">
        <w:t>muestral</w:t>
      </w:r>
      <w:proofErr w:type="spellEnd"/>
      <w:r>
        <w:t xml:space="preserve"> y el uso de análisis</w:t>
      </w:r>
      <w:r w:rsidR="00CE4F83">
        <w:t xml:space="preserve"> estadísticos</w:t>
      </w:r>
      <w:r>
        <w:t xml:space="preserve"> </w:t>
      </w:r>
      <w:r w:rsidR="00CE4F83">
        <w:t xml:space="preserve">multivariados y </w:t>
      </w:r>
      <w:r>
        <w:t xml:space="preserve">de </w:t>
      </w:r>
      <w:proofErr w:type="spellStart"/>
      <w:r>
        <w:t>invarianza</w:t>
      </w:r>
      <w:proofErr w:type="spellEnd"/>
      <w:r w:rsidR="00CE4F83">
        <w:t xml:space="preserve"> métrica</w:t>
      </w:r>
      <w:r>
        <w:t>, el cual permit</w:t>
      </w:r>
      <w:r w:rsidR="00CE4F83">
        <w:t>ió</w:t>
      </w:r>
      <w:r>
        <w:t xml:space="preserve"> probar la equivalencia del constructo entre hombres y mujeres</w:t>
      </w:r>
      <w:r w:rsidR="00CE4F83">
        <w:t>.</w:t>
      </w:r>
      <w:r>
        <w:t xml:space="preserve"> Esto implica que </w:t>
      </w:r>
      <w:r w:rsidR="00CE4F83">
        <w:t>el significado de los ítems de la ESSI es</w:t>
      </w:r>
      <w:r>
        <w:t xml:space="preserve"> </w:t>
      </w:r>
      <w:r w:rsidR="00CE4F83">
        <w:t>comprendido</w:t>
      </w:r>
      <w:r>
        <w:t xml:space="preserve"> de la misma forma por ambos </w:t>
      </w:r>
      <w:r w:rsidR="00CE4F83">
        <w:t>sexos</w:t>
      </w:r>
      <w:r>
        <w:t>.</w:t>
      </w:r>
    </w:p>
    <w:p w14:paraId="57CEB888" w14:textId="5DCC5E1F" w:rsidR="00CE4F83" w:rsidRDefault="00802DB6" w:rsidP="00971C28">
      <w:pPr>
        <w:spacing w:line="360" w:lineRule="auto"/>
        <w:ind w:firstLine="708"/>
        <w:jc w:val="both"/>
      </w:pPr>
      <w:r>
        <w:t>E</w:t>
      </w:r>
      <w:r w:rsidR="00CE4F83">
        <w:t>n relación a las</w:t>
      </w:r>
      <w:r>
        <w:t xml:space="preserve"> limitaciones, </w:t>
      </w:r>
      <w:r w:rsidR="00CE4F83">
        <w:t>el instrumento no permite</w:t>
      </w:r>
      <w:r>
        <w:t xml:space="preserve"> identificar la fuente del apoyo social (padre, madre, pareja, amigos, etc.)</w:t>
      </w:r>
      <w:r w:rsidR="00CE4F83">
        <w:t xml:space="preserve">. Además, producto del tipo de muestreo empleado, es necesario tener cautela al momento de generalizar los resultados. </w:t>
      </w:r>
      <w:bookmarkStart w:id="1" w:name="_heading=h.30j0zll" w:colFirst="0" w:colLast="0"/>
      <w:bookmarkEnd w:id="1"/>
    </w:p>
    <w:p w14:paraId="2CB0528F" w14:textId="394B7883" w:rsidR="00250869" w:rsidRDefault="00802DB6">
      <w:pPr>
        <w:spacing w:line="360" w:lineRule="auto"/>
        <w:ind w:firstLine="708"/>
      </w:pPr>
      <w:r>
        <w:t xml:space="preserve">En tanto futuras líneas de investigación, es necesario evaluar la </w:t>
      </w:r>
      <w:r w:rsidR="00971C28">
        <w:t>confiabilidad test-</w:t>
      </w:r>
      <w:proofErr w:type="spellStart"/>
      <w:r w:rsidR="00971C28">
        <w:t>retest</w:t>
      </w:r>
      <w:proofErr w:type="spellEnd"/>
      <w:r>
        <w:t xml:space="preserve"> del instrumento, así como constatar su validez predictiva. Pese a que este constructo psicológico es estable en las personas, sería interesante saber si puede variar en función del tiempo, para lo cual hacer un estudio de seguimiento permitiría esto. Asimismo, sería interesante identificar si la ESSI permite predecir resultados en salud física y mental en población chilena.</w:t>
      </w:r>
    </w:p>
    <w:p w14:paraId="035C0E45" w14:textId="485FA1D9" w:rsidR="00250869" w:rsidRDefault="00E359AA">
      <w:pPr>
        <w:spacing w:line="360" w:lineRule="auto"/>
        <w:ind w:firstLine="708"/>
      </w:pPr>
      <w:r>
        <w:t>L</w:t>
      </w:r>
      <w:r w:rsidR="00331BAB">
        <w:t>a escala de apoyo social ENRICHD</w:t>
      </w:r>
      <w:r w:rsidR="00802DB6">
        <w:t xml:space="preserve"> puede</w:t>
      </w:r>
      <w:r w:rsidR="00331BAB">
        <w:t xml:space="preserve"> </w:t>
      </w:r>
      <w:r w:rsidR="00802DB6">
        <w:t>ser de utilidad en contextos</w:t>
      </w:r>
      <w:r>
        <w:t xml:space="preserve"> </w:t>
      </w:r>
      <w:r w:rsidR="00802DB6">
        <w:t>multidisciplinarios de intervención, pues el apoyo social es un predictor y/o factor protector de conductas y desenlaces en salud. Por último, al ser esta una escala breve y de fácil aplicación, puede ser empleada tanto con jóvenes como con adultos para investigar el rol del apoyo social en diversos fenómenos, contextos y/o procesos psicológicos. De igual forma, podría ser útil en estudios longitudinales donde se requiere controlar y evaluar el apoyo social mediante pocos ítems, a fin de evitar un excesivo número de preguntas en los cuestionarios.</w:t>
      </w:r>
    </w:p>
    <w:p w14:paraId="45F7C56A" w14:textId="0FA97E4B" w:rsidR="00971C28" w:rsidRDefault="00802DB6" w:rsidP="00971C28">
      <w:pPr>
        <w:spacing w:line="360" w:lineRule="auto"/>
        <w:ind w:firstLine="708"/>
      </w:pPr>
      <w:r>
        <w:br w:type="page"/>
      </w:r>
    </w:p>
    <w:p w14:paraId="7D9C2A21" w14:textId="4D5D4EEB" w:rsidR="00250869" w:rsidRDefault="00250869">
      <w:pPr>
        <w:spacing w:line="360" w:lineRule="auto"/>
      </w:pPr>
    </w:p>
    <w:p w14:paraId="6B09359D" w14:textId="77777777" w:rsidR="00250869" w:rsidRPr="003A78D2" w:rsidRDefault="00802DB6">
      <w:pPr>
        <w:pBdr>
          <w:top w:val="nil"/>
          <w:left w:val="nil"/>
          <w:bottom w:val="nil"/>
          <w:right w:val="nil"/>
          <w:between w:val="nil"/>
        </w:pBdr>
        <w:jc w:val="center"/>
        <w:rPr>
          <w:b/>
          <w:color w:val="000000"/>
          <w:lang w:val="en-US"/>
        </w:rPr>
      </w:pPr>
      <w:proofErr w:type="spellStart"/>
      <w:r w:rsidRPr="003A78D2">
        <w:rPr>
          <w:b/>
          <w:color w:val="000000"/>
          <w:lang w:val="en-US"/>
        </w:rPr>
        <w:t>Referencias</w:t>
      </w:r>
      <w:proofErr w:type="spellEnd"/>
    </w:p>
    <w:p w14:paraId="5B5AAB2A" w14:textId="77777777" w:rsidR="00250869" w:rsidRPr="003A78D2" w:rsidRDefault="00802DB6">
      <w:pPr>
        <w:widowControl w:val="0"/>
        <w:spacing w:after="160"/>
        <w:ind w:left="480" w:hanging="480"/>
        <w:rPr>
          <w:lang w:val="en-US"/>
        </w:rPr>
      </w:pPr>
      <w:proofErr w:type="spellStart"/>
      <w:r w:rsidRPr="003A78D2">
        <w:rPr>
          <w:lang w:val="en-US"/>
        </w:rPr>
        <w:t>Berard</w:t>
      </w:r>
      <w:proofErr w:type="spellEnd"/>
      <w:r w:rsidRPr="003A78D2">
        <w:rPr>
          <w:lang w:val="en-US"/>
        </w:rPr>
        <w:t xml:space="preserve">, D. M., </w:t>
      </w:r>
      <w:proofErr w:type="spellStart"/>
      <w:r w:rsidRPr="003A78D2">
        <w:rPr>
          <w:lang w:val="en-US"/>
        </w:rPr>
        <w:t>Vandenkerkhof</w:t>
      </w:r>
      <w:proofErr w:type="spellEnd"/>
      <w:r w:rsidRPr="003A78D2">
        <w:rPr>
          <w:lang w:val="en-US"/>
        </w:rPr>
        <w:t xml:space="preserve">, E. G., Harrison, M., &amp; </w:t>
      </w:r>
      <w:proofErr w:type="spellStart"/>
      <w:r w:rsidRPr="003A78D2">
        <w:rPr>
          <w:lang w:val="en-US"/>
        </w:rPr>
        <w:t>Tranmer</w:t>
      </w:r>
      <w:proofErr w:type="spellEnd"/>
      <w:r w:rsidRPr="003A78D2">
        <w:rPr>
          <w:lang w:val="en-US"/>
        </w:rPr>
        <w:t xml:space="preserve">, J. E. (2012). Gender differences in the influence of social support on one-year changes in functional status in older patients with heart failure. </w:t>
      </w:r>
      <w:r w:rsidRPr="003A78D2">
        <w:rPr>
          <w:i/>
          <w:lang w:val="en-US"/>
        </w:rPr>
        <w:t>Cardiology Research and Practice</w:t>
      </w:r>
      <w:r w:rsidRPr="003A78D2">
        <w:rPr>
          <w:lang w:val="en-US"/>
        </w:rPr>
        <w:t xml:space="preserve">, </w:t>
      </w:r>
      <w:r w:rsidRPr="003A78D2">
        <w:rPr>
          <w:i/>
          <w:lang w:val="en-US"/>
        </w:rPr>
        <w:t>1</w:t>
      </w:r>
      <w:r w:rsidRPr="003A78D2">
        <w:rPr>
          <w:lang w:val="en-US"/>
        </w:rPr>
        <w:t>(1), 1–10. https://doi.org/10.1155/2012/616372</w:t>
      </w:r>
    </w:p>
    <w:p w14:paraId="40655016" w14:textId="77777777" w:rsidR="00250869" w:rsidRPr="003A78D2" w:rsidRDefault="00802DB6">
      <w:pPr>
        <w:widowControl w:val="0"/>
        <w:spacing w:after="160"/>
        <w:ind w:left="480" w:hanging="480"/>
        <w:rPr>
          <w:lang w:val="en-US"/>
        </w:rPr>
      </w:pPr>
      <w:proofErr w:type="spellStart"/>
      <w:r w:rsidRPr="003A78D2">
        <w:rPr>
          <w:lang w:val="en-US"/>
        </w:rPr>
        <w:t>Brinkhues</w:t>
      </w:r>
      <w:proofErr w:type="spellEnd"/>
      <w:r w:rsidRPr="003A78D2">
        <w:rPr>
          <w:lang w:val="en-US"/>
        </w:rPr>
        <w:t xml:space="preserve">, S., </w:t>
      </w:r>
      <w:proofErr w:type="spellStart"/>
      <w:r w:rsidRPr="003A78D2">
        <w:rPr>
          <w:lang w:val="en-US"/>
        </w:rPr>
        <w:t>Dukers-Muijrers</w:t>
      </w:r>
      <w:proofErr w:type="spellEnd"/>
      <w:r w:rsidRPr="003A78D2">
        <w:rPr>
          <w:lang w:val="en-US"/>
        </w:rPr>
        <w:t xml:space="preserve">, N. H. T. M., </w:t>
      </w:r>
      <w:proofErr w:type="spellStart"/>
      <w:r w:rsidRPr="003A78D2">
        <w:rPr>
          <w:lang w:val="en-US"/>
        </w:rPr>
        <w:t>Hoebe</w:t>
      </w:r>
      <w:proofErr w:type="spellEnd"/>
      <w:r w:rsidRPr="003A78D2">
        <w:rPr>
          <w:lang w:val="en-US"/>
        </w:rPr>
        <w:t xml:space="preserve">, C. J. P. A., Van Der </w:t>
      </w:r>
      <w:proofErr w:type="spellStart"/>
      <w:r w:rsidRPr="003A78D2">
        <w:rPr>
          <w:lang w:val="en-US"/>
        </w:rPr>
        <w:t>Kallen</w:t>
      </w:r>
      <w:proofErr w:type="spellEnd"/>
      <w:r w:rsidRPr="003A78D2">
        <w:rPr>
          <w:lang w:val="en-US"/>
        </w:rPr>
        <w:t xml:space="preserve">, C. J. H., </w:t>
      </w:r>
      <w:proofErr w:type="spellStart"/>
      <w:r w:rsidRPr="003A78D2">
        <w:rPr>
          <w:lang w:val="en-US"/>
        </w:rPr>
        <w:t>Dagnelie</w:t>
      </w:r>
      <w:proofErr w:type="spellEnd"/>
      <w:r w:rsidRPr="003A78D2">
        <w:rPr>
          <w:lang w:val="en-US"/>
        </w:rPr>
        <w:t xml:space="preserve">, P. C., </w:t>
      </w:r>
      <w:proofErr w:type="spellStart"/>
      <w:r w:rsidRPr="003A78D2">
        <w:rPr>
          <w:lang w:val="en-US"/>
        </w:rPr>
        <w:t>Koster</w:t>
      </w:r>
      <w:proofErr w:type="spellEnd"/>
      <w:r w:rsidRPr="003A78D2">
        <w:rPr>
          <w:lang w:val="en-US"/>
        </w:rPr>
        <w:t xml:space="preserve">, A., … Schram, M. T. (2017). Socially isolated individuals are more prone to have newly diagnosed and prevalent type 2 diabetes mellitus - The Maastricht study - The M. </w:t>
      </w:r>
      <w:r w:rsidRPr="003A78D2">
        <w:rPr>
          <w:i/>
          <w:lang w:val="en-US"/>
        </w:rPr>
        <w:t>BMC Public Health</w:t>
      </w:r>
      <w:r w:rsidRPr="003A78D2">
        <w:rPr>
          <w:lang w:val="en-US"/>
        </w:rPr>
        <w:t xml:space="preserve">, </w:t>
      </w:r>
      <w:r w:rsidRPr="003A78D2">
        <w:rPr>
          <w:i/>
          <w:lang w:val="en-US"/>
        </w:rPr>
        <w:t>17</w:t>
      </w:r>
      <w:r w:rsidRPr="003A78D2">
        <w:rPr>
          <w:lang w:val="en-US"/>
        </w:rPr>
        <w:t>(1). https://doi.org/10.1186/s12889-017-4948-6</w:t>
      </w:r>
    </w:p>
    <w:p w14:paraId="09BE3011" w14:textId="77777777" w:rsidR="00250869" w:rsidRDefault="00802DB6">
      <w:pPr>
        <w:widowControl w:val="0"/>
        <w:spacing w:after="160"/>
        <w:ind w:left="480" w:hanging="480"/>
      </w:pPr>
      <w:r w:rsidRPr="003A78D2">
        <w:rPr>
          <w:lang w:val="en-US"/>
        </w:rPr>
        <w:t xml:space="preserve">Byrne, B. M. (2008). Testing for multigroup equivalence of a measuring instrument: A walk through the process. </w:t>
      </w:r>
      <w:proofErr w:type="spellStart"/>
      <w:r>
        <w:rPr>
          <w:i/>
        </w:rPr>
        <w:t>Psicothema</w:t>
      </w:r>
      <w:proofErr w:type="spellEnd"/>
      <w:r>
        <w:t xml:space="preserve">, </w:t>
      </w:r>
      <w:r>
        <w:rPr>
          <w:i/>
        </w:rPr>
        <w:t>20</w:t>
      </w:r>
      <w:r>
        <w:t>(4), 872–882.</w:t>
      </w:r>
    </w:p>
    <w:p w14:paraId="6046A802" w14:textId="77777777" w:rsidR="00250869" w:rsidRPr="003A78D2" w:rsidRDefault="00802DB6">
      <w:pPr>
        <w:widowControl w:val="0"/>
        <w:spacing w:after="160"/>
        <w:ind w:left="480" w:hanging="480"/>
        <w:rPr>
          <w:lang w:val="en-US"/>
        </w:rPr>
      </w:pPr>
      <w:proofErr w:type="spellStart"/>
      <w:r>
        <w:t>Cabanach</w:t>
      </w:r>
      <w:proofErr w:type="spellEnd"/>
      <w:r>
        <w:t xml:space="preserve">, R. G., Fariña, F., Freire, C., González, P., &amp; </w:t>
      </w:r>
      <w:proofErr w:type="spellStart"/>
      <w:r>
        <w:t>Ferradás</w:t>
      </w:r>
      <w:proofErr w:type="spellEnd"/>
      <w:r>
        <w:t xml:space="preserve">, M. del M. (2018). Diferencias en el afrontamiento del estrés en estudiantes universitarios hombres y mujeres. </w:t>
      </w:r>
      <w:r w:rsidRPr="003A78D2">
        <w:rPr>
          <w:i/>
          <w:lang w:val="en-US"/>
        </w:rPr>
        <w:t>European Journal of Education and Psychology</w:t>
      </w:r>
      <w:r w:rsidRPr="003A78D2">
        <w:rPr>
          <w:lang w:val="en-US"/>
        </w:rPr>
        <w:t xml:space="preserve">, </w:t>
      </w:r>
      <w:r w:rsidRPr="003A78D2">
        <w:rPr>
          <w:i/>
          <w:lang w:val="en-US"/>
        </w:rPr>
        <w:t>6</w:t>
      </w:r>
      <w:r w:rsidRPr="003A78D2">
        <w:rPr>
          <w:lang w:val="en-US"/>
        </w:rPr>
        <w:t>(1), 19. https://doi.org/10.30552/ejep.v6i1.89</w:t>
      </w:r>
    </w:p>
    <w:p w14:paraId="11A83889" w14:textId="77777777" w:rsidR="00250869" w:rsidRDefault="00802DB6">
      <w:pPr>
        <w:widowControl w:val="0"/>
        <w:spacing w:after="160"/>
        <w:ind w:left="480" w:hanging="480"/>
      </w:pPr>
      <w:proofErr w:type="spellStart"/>
      <w:r>
        <w:t>Cancino</w:t>
      </w:r>
      <w:proofErr w:type="spellEnd"/>
      <w:r>
        <w:t xml:space="preserve">, M., </w:t>
      </w:r>
      <w:proofErr w:type="spellStart"/>
      <w:r>
        <w:t>Rehbein-Felmer</w:t>
      </w:r>
      <w:proofErr w:type="spellEnd"/>
      <w:r>
        <w:t xml:space="preserve">, L., &amp; Ortiz, M. S. (2018). Funcionamiento cognitivo en adultos mayores: rol de la reserva cognitiva, apoyo social y depresión. </w:t>
      </w:r>
      <w:r>
        <w:rPr>
          <w:i/>
        </w:rPr>
        <w:t>Revista Médica de Chile</w:t>
      </w:r>
      <w:r>
        <w:t xml:space="preserve">, </w:t>
      </w:r>
      <w:r>
        <w:rPr>
          <w:i/>
        </w:rPr>
        <w:t>146</w:t>
      </w:r>
      <w:r>
        <w:t>(3), 315–322. https://doi.org/10.4067/s0034-98872018000300315</w:t>
      </w:r>
    </w:p>
    <w:p w14:paraId="7D8D9125" w14:textId="77777777" w:rsidR="00250869" w:rsidRPr="003A78D2" w:rsidRDefault="00802DB6">
      <w:pPr>
        <w:widowControl w:val="0"/>
        <w:spacing w:after="160"/>
        <w:ind w:left="480" w:hanging="480"/>
        <w:rPr>
          <w:lang w:val="en-US"/>
        </w:rPr>
      </w:pPr>
      <w:r>
        <w:t xml:space="preserve">Cao, L., Burton, V. S., &amp; </w:t>
      </w:r>
      <w:proofErr w:type="spellStart"/>
      <w:r>
        <w:t>Liu</w:t>
      </w:r>
      <w:proofErr w:type="spellEnd"/>
      <w:r>
        <w:t xml:space="preserve">, L. (2018). </w:t>
      </w:r>
      <w:r w:rsidRPr="003A78D2">
        <w:rPr>
          <w:lang w:val="en-US"/>
        </w:rPr>
        <w:t xml:space="preserve">Correlates of Illicit Drug Use Among Indigenous Peoples in Canada: A Test of Social Support Theory. </w:t>
      </w:r>
      <w:r w:rsidRPr="003A78D2">
        <w:rPr>
          <w:i/>
          <w:lang w:val="en-US"/>
        </w:rPr>
        <w:t>International Journal of Offender Therapy and Comparative Criminology</w:t>
      </w:r>
      <w:r w:rsidRPr="003A78D2">
        <w:rPr>
          <w:lang w:val="en-US"/>
        </w:rPr>
        <w:t xml:space="preserve">, </w:t>
      </w:r>
      <w:r w:rsidRPr="003A78D2">
        <w:rPr>
          <w:i/>
          <w:lang w:val="en-US"/>
        </w:rPr>
        <w:t>62</w:t>
      </w:r>
      <w:r w:rsidRPr="003A78D2">
        <w:rPr>
          <w:lang w:val="en-US"/>
        </w:rPr>
        <w:t>(14), 4510–4527. https://doi.org/10.1177/0306624X18758853</w:t>
      </w:r>
    </w:p>
    <w:p w14:paraId="3B062D2E" w14:textId="77777777" w:rsidR="00250869" w:rsidRDefault="00802DB6">
      <w:pPr>
        <w:widowControl w:val="0"/>
        <w:spacing w:after="160"/>
        <w:ind w:left="480" w:hanging="480"/>
      </w:pPr>
      <w:r>
        <w:t xml:space="preserve">Cárdenas, M., Barrientos, J., &amp; Ricci, E. (2015). Estructura factorial de la escala de soporte social subjetivo: validación en una muestra de estudiantes universitarios chilenos. </w:t>
      </w:r>
      <w:r>
        <w:rPr>
          <w:i/>
        </w:rPr>
        <w:t>Acta Colombiana de Psicología</w:t>
      </w:r>
      <w:r>
        <w:t>, 95–101. https://doi.org/10.14718/acp.2015.18.1.9</w:t>
      </w:r>
    </w:p>
    <w:p w14:paraId="7700178C" w14:textId="77777777" w:rsidR="00250869" w:rsidRPr="003A78D2" w:rsidRDefault="00802DB6">
      <w:pPr>
        <w:widowControl w:val="0"/>
        <w:spacing w:after="160"/>
        <w:ind w:left="480" w:hanging="480"/>
        <w:rPr>
          <w:lang w:val="en-US"/>
        </w:rPr>
      </w:pPr>
      <w:proofErr w:type="spellStart"/>
      <w:r>
        <w:t>Casale</w:t>
      </w:r>
      <w:proofErr w:type="spellEnd"/>
      <w:r>
        <w:t xml:space="preserve">, M., </w:t>
      </w:r>
      <w:proofErr w:type="spellStart"/>
      <w:r>
        <w:t>Pantelic</w:t>
      </w:r>
      <w:proofErr w:type="spellEnd"/>
      <w:r>
        <w:t xml:space="preserve">, M., </w:t>
      </w:r>
      <w:proofErr w:type="spellStart"/>
      <w:r>
        <w:t>Cluver</w:t>
      </w:r>
      <w:proofErr w:type="spellEnd"/>
      <w:r>
        <w:t xml:space="preserve">, L., Boyes, M., &amp; </w:t>
      </w:r>
      <w:proofErr w:type="spellStart"/>
      <w:r>
        <w:t>Toska</w:t>
      </w:r>
      <w:proofErr w:type="spellEnd"/>
      <w:r>
        <w:t xml:space="preserve">, E. (2018). </w:t>
      </w:r>
      <w:r w:rsidRPr="003A78D2">
        <w:rPr>
          <w:lang w:val="en-US"/>
        </w:rPr>
        <w:t xml:space="preserve">Suicidal thoughts and </w:t>
      </w:r>
      <w:proofErr w:type="spellStart"/>
      <w:r w:rsidRPr="003A78D2">
        <w:rPr>
          <w:lang w:val="en-US"/>
        </w:rPr>
        <w:t>behaviour</w:t>
      </w:r>
      <w:proofErr w:type="spellEnd"/>
      <w:r w:rsidRPr="003A78D2">
        <w:rPr>
          <w:lang w:val="en-US"/>
        </w:rPr>
        <w:t xml:space="preserve"> among South African adolescents living with HIV: Can social support buffer the impact of stigma? </w:t>
      </w:r>
      <w:r w:rsidRPr="003A78D2">
        <w:rPr>
          <w:i/>
          <w:lang w:val="en-US"/>
        </w:rPr>
        <w:t>Journal of Affective Disorders</w:t>
      </w:r>
      <w:r w:rsidRPr="003A78D2">
        <w:rPr>
          <w:lang w:val="en-US"/>
        </w:rPr>
        <w:t xml:space="preserve">, </w:t>
      </w:r>
      <w:r w:rsidRPr="003A78D2">
        <w:rPr>
          <w:i/>
          <w:lang w:val="en-US"/>
        </w:rPr>
        <w:t>245</w:t>
      </w:r>
      <w:r w:rsidRPr="003A78D2">
        <w:rPr>
          <w:lang w:val="en-US"/>
        </w:rPr>
        <w:t>, 82–90. https://doi.org/10.1016/j.jad.2018.10.102</w:t>
      </w:r>
    </w:p>
    <w:p w14:paraId="59944DE5" w14:textId="77777777" w:rsidR="00250869" w:rsidRPr="003A78D2" w:rsidRDefault="00802DB6">
      <w:pPr>
        <w:widowControl w:val="0"/>
        <w:spacing w:after="160"/>
        <w:ind w:left="480" w:hanging="480"/>
        <w:rPr>
          <w:lang w:val="en-US"/>
        </w:rPr>
      </w:pPr>
      <w:proofErr w:type="spellStart"/>
      <w:r w:rsidRPr="003A78D2">
        <w:rPr>
          <w:lang w:val="en-US"/>
        </w:rPr>
        <w:t>Documet</w:t>
      </w:r>
      <w:proofErr w:type="spellEnd"/>
      <w:r w:rsidRPr="003A78D2">
        <w:rPr>
          <w:lang w:val="en-US"/>
        </w:rPr>
        <w:t xml:space="preserve">, P. I., Troyer, M. M., &amp; </w:t>
      </w:r>
      <w:proofErr w:type="spellStart"/>
      <w:r w:rsidRPr="003A78D2">
        <w:rPr>
          <w:lang w:val="en-US"/>
        </w:rPr>
        <w:t>Macia</w:t>
      </w:r>
      <w:proofErr w:type="spellEnd"/>
      <w:r w:rsidRPr="003A78D2">
        <w:rPr>
          <w:lang w:val="en-US"/>
        </w:rPr>
        <w:t xml:space="preserve">, L. (2019). Social Support, Health, and Health Care Access Among Latino Immigrant Men in an Emerging Community. </w:t>
      </w:r>
      <w:r w:rsidRPr="003A78D2">
        <w:rPr>
          <w:i/>
          <w:lang w:val="en-US"/>
        </w:rPr>
        <w:t>Health Education and Behavior</w:t>
      </w:r>
      <w:r w:rsidRPr="003A78D2">
        <w:rPr>
          <w:lang w:val="en-US"/>
        </w:rPr>
        <w:t xml:space="preserve">, </w:t>
      </w:r>
      <w:r w:rsidRPr="003A78D2">
        <w:rPr>
          <w:i/>
          <w:lang w:val="en-US"/>
        </w:rPr>
        <w:t>46</w:t>
      </w:r>
      <w:r w:rsidRPr="003A78D2">
        <w:rPr>
          <w:lang w:val="en-US"/>
        </w:rPr>
        <w:t>(1), 137–145. https://doi.org/10.1177/1090198118763870</w:t>
      </w:r>
    </w:p>
    <w:p w14:paraId="297D23BB" w14:textId="77777777" w:rsidR="00250869" w:rsidRPr="003A78D2" w:rsidRDefault="00802DB6">
      <w:pPr>
        <w:widowControl w:val="0"/>
        <w:spacing w:after="160"/>
        <w:ind w:left="480" w:hanging="480"/>
        <w:rPr>
          <w:lang w:val="en-US"/>
        </w:rPr>
      </w:pPr>
      <w:proofErr w:type="spellStart"/>
      <w:r w:rsidRPr="003A78D2">
        <w:rPr>
          <w:lang w:val="en-US"/>
        </w:rPr>
        <w:t>Finck</w:t>
      </w:r>
      <w:proofErr w:type="spellEnd"/>
      <w:r w:rsidRPr="003A78D2">
        <w:rPr>
          <w:lang w:val="en-US"/>
        </w:rPr>
        <w:t xml:space="preserve">, C., </w:t>
      </w:r>
      <w:proofErr w:type="spellStart"/>
      <w:r w:rsidRPr="003A78D2">
        <w:rPr>
          <w:lang w:val="en-US"/>
        </w:rPr>
        <w:t>Barradas</w:t>
      </w:r>
      <w:proofErr w:type="spellEnd"/>
      <w:r w:rsidRPr="003A78D2">
        <w:rPr>
          <w:lang w:val="en-US"/>
        </w:rPr>
        <w:t xml:space="preserve">, S., Zenger, M., &amp; </w:t>
      </w:r>
      <w:proofErr w:type="spellStart"/>
      <w:r w:rsidRPr="003A78D2">
        <w:rPr>
          <w:lang w:val="en-US"/>
        </w:rPr>
        <w:t>Hinz</w:t>
      </w:r>
      <w:proofErr w:type="spellEnd"/>
      <w:r w:rsidRPr="003A78D2">
        <w:rPr>
          <w:lang w:val="en-US"/>
        </w:rPr>
        <w:t xml:space="preserve">, A. (2017). Quality of life in breast cancer patients: Associations with optimism and social support. </w:t>
      </w:r>
      <w:r w:rsidRPr="003A78D2">
        <w:rPr>
          <w:i/>
          <w:lang w:val="en-US"/>
        </w:rPr>
        <w:t>International Journal of Clinical and Health Psychology</w:t>
      </w:r>
      <w:r w:rsidRPr="003A78D2">
        <w:rPr>
          <w:lang w:val="en-US"/>
        </w:rPr>
        <w:t xml:space="preserve">, </w:t>
      </w:r>
      <w:r w:rsidRPr="003A78D2">
        <w:rPr>
          <w:i/>
          <w:lang w:val="en-US"/>
        </w:rPr>
        <w:t>18</w:t>
      </w:r>
      <w:r w:rsidRPr="003A78D2">
        <w:rPr>
          <w:lang w:val="en-US"/>
        </w:rPr>
        <w:t>(1), 27–34. https://doi.org/10.1016/j.ijchp.2017.11.002</w:t>
      </w:r>
    </w:p>
    <w:p w14:paraId="40D09918" w14:textId="77777777" w:rsidR="00250869" w:rsidRPr="003A78D2" w:rsidRDefault="00802DB6">
      <w:pPr>
        <w:widowControl w:val="0"/>
        <w:spacing w:after="160"/>
        <w:ind w:left="480" w:hanging="480"/>
        <w:rPr>
          <w:lang w:val="en-US"/>
        </w:rPr>
      </w:pPr>
      <w:proofErr w:type="spellStart"/>
      <w:r w:rsidRPr="003A78D2">
        <w:rPr>
          <w:lang w:val="en-US"/>
        </w:rPr>
        <w:t>Gnilka</w:t>
      </w:r>
      <w:proofErr w:type="spellEnd"/>
      <w:r w:rsidRPr="003A78D2">
        <w:rPr>
          <w:lang w:val="en-US"/>
        </w:rPr>
        <w:t xml:space="preserve">, P. B., &amp; </w:t>
      </w:r>
      <w:proofErr w:type="spellStart"/>
      <w:r w:rsidRPr="003A78D2">
        <w:rPr>
          <w:lang w:val="en-US"/>
        </w:rPr>
        <w:t>Broda</w:t>
      </w:r>
      <w:proofErr w:type="spellEnd"/>
      <w:r w:rsidRPr="003A78D2">
        <w:rPr>
          <w:lang w:val="en-US"/>
        </w:rPr>
        <w:t xml:space="preserve">, M. D. (2019). Multidimensional perfectionism, depression, and anxiety: Tests of a social support mediation model. </w:t>
      </w:r>
      <w:r w:rsidRPr="003A78D2">
        <w:rPr>
          <w:i/>
          <w:lang w:val="en-US"/>
        </w:rPr>
        <w:t>Personality and Individual Differences</w:t>
      </w:r>
      <w:r w:rsidRPr="003A78D2">
        <w:rPr>
          <w:lang w:val="en-US"/>
        </w:rPr>
        <w:t xml:space="preserve">, </w:t>
      </w:r>
      <w:r w:rsidRPr="003A78D2">
        <w:rPr>
          <w:i/>
          <w:lang w:val="en-US"/>
        </w:rPr>
        <w:t>139</w:t>
      </w:r>
      <w:r w:rsidRPr="003A78D2">
        <w:rPr>
          <w:lang w:val="en-US"/>
        </w:rPr>
        <w:t>, 295–300. https://doi.org/10.1016/j.paid.2018.11.031</w:t>
      </w:r>
    </w:p>
    <w:p w14:paraId="1D8E1798" w14:textId="77777777" w:rsidR="00250869" w:rsidRDefault="00802DB6">
      <w:pPr>
        <w:widowControl w:val="0"/>
        <w:spacing w:after="160"/>
        <w:ind w:left="480" w:hanging="480"/>
      </w:pPr>
      <w:r w:rsidRPr="003A78D2">
        <w:rPr>
          <w:lang w:val="en-US"/>
        </w:rPr>
        <w:t xml:space="preserve">González A., E., Martínez N., V., Molina G., T., George L., M., </w:t>
      </w:r>
      <w:proofErr w:type="spellStart"/>
      <w:r w:rsidRPr="003A78D2">
        <w:rPr>
          <w:lang w:val="en-US"/>
        </w:rPr>
        <w:t>Sepúlveda</w:t>
      </w:r>
      <w:proofErr w:type="spellEnd"/>
      <w:r w:rsidRPr="003A78D2">
        <w:rPr>
          <w:lang w:val="en-US"/>
        </w:rPr>
        <w:t xml:space="preserve"> P., R., Molina C., R., &amp; Hidalgo-Rasmussen, C. (2016). </w:t>
      </w:r>
      <w:r>
        <w:t xml:space="preserve">Diferencias de género en la calidad de vida relacionada </w:t>
      </w:r>
      <w:r>
        <w:lastRenderedPageBreak/>
        <w:t xml:space="preserve">con la salud en adolescentes escolarizados chilenos. </w:t>
      </w:r>
      <w:r>
        <w:rPr>
          <w:i/>
        </w:rPr>
        <w:t>Revista Medica de Chile</w:t>
      </w:r>
      <w:r>
        <w:t xml:space="preserve">, </w:t>
      </w:r>
      <w:r>
        <w:rPr>
          <w:i/>
        </w:rPr>
        <w:t>144</w:t>
      </w:r>
      <w:r>
        <w:t>(3), 298–306. https://doi.org/10.4067/S0034-98872016000300004</w:t>
      </w:r>
    </w:p>
    <w:p w14:paraId="6F2BEEF1" w14:textId="77777777" w:rsidR="00250869" w:rsidRPr="003A78D2" w:rsidRDefault="00802DB6">
      <w:pPr>
        <w:widowControl w:val="0"/>
        <w:spacing w:after="160"/>
        <w:ind w:left="480" w:hanging="480"/>
        <w:rPr>
          <w:lang w:val="en-US"/>
        </w:rPr>
      </w:pPr>
      <w:proofErr w:type="spellStart"/>
      <w:r>
        <w:t>Henriksen</w:t>
      </w:r>
      <w:proofErr w:type="spellEnd"/>
      <w:r>
        <w:t xml:space="preserve">, J., </w:t>
      </w:r>
      <w:proofErr w:type="spellStart"/>
      <w:r>
        <w:t>Larsen</w:t>
      </w:r>
      <w:proofErr w:type="spellEnd"/>
      <w:r>
        <w:t xml:space="preserve">, E. R., </w:t>
      </w:r>
      <w:proofErr w:type="spellStart"/>
      <w:r>
        <w:t>Mattisson</w:t>
      </w:r>
      <w:proofErr w:type="spellEnd"/>
      <w:r>
        <w:t xml:space="preserve">, C., &amp; </w:t>
      </w:r>
      <w:proofErr w:type="spellStart"/>
      <w:r>
        <w:t>Andersson</w:t>
      </w:r>
      <w:proofErr w:type="spellEnd"/>
      <w:r>
        <w:t xml:space="preserve">, N. W. (2019). </w:t>
      </w:r>
      <w:r w:rsidRPr="003A78D2">
        <w:rPr>
          <w:lang w:val="en-US"/>
        </w:rPr>
        <w:t xml:space="preserve">Loneliness, health and mortality. </w:t>
      </w:r>
      <w:r w:rsidRPr="003A78D2">
        <w:rPr>
          <w:i/>
          <w:lang w:val="en-US"/>
        </w:rPr>
        <w:t>Epidemiology and Psychiatric Sciences</w:t>
      </w:r>
      <w:r w:rsidRPr="003A78D2">
        <w:rPr>
          <w:lang w:val="en-US"/>
        </w:rPr>
        <w:t xml:space="preserve">, </w:t>
      </w:r>
      <w:r w:rsidRPr="003A78D2">
        <w:rPr>
          <w:i/>
          <w:lang w:val="en-US"/>
        </w:rPr>
        <w:t>28</w:t>
      </w:r>
      <w:r w:rsidRPr="003A78D2">
        <w:rPr>
          <w:lang w:val="en-US"/>
        </w:rPr>
        <w:t>(2), 234–239. https://doi.org/10.1017/S2045796017000580</w:t>
      </w:r>
    </w:p>
    <w:p w14:paraId="037A93C2" w14:textId="77777777" w:rsidR="00250869" w:rsidRPr="003A78D2" w:rsidRDefault="00802DB6">
      <w:pPr>
        <w:widowControl w:val="0"/>
        <w:spacing w:after="160"/>
        <w:ind w:left="480" w:hanging="480"/>
        <w:rPr>
          <w:lang w:val="en-US"/>
        </w:rPr>
      </w:pPr>
      <w:r w:rsidRPr="003A78D2">
        <w:rPr>
          <w:lang w:val="en-US"/>
        </w:rPr>
        <w:t xml:space="preserve">Kobayashi, T., </w:t>
      </w:r>
      <w:proofErr w:type="spellStart"/>
      <w:r w:rsidRPr="003A78D2">
        <w:rPr>
          <w:lang w:val="en-US"/>
        </w:rPr>
        <w:t>Honjo</w:t>
      </w:r>
      <w:proofErr w:type="spellEnd"/>
      <w:r w:rsidRPr="003A78D2">
        <w:rPr>
          <w:lang w:val="en-US"/>
        </w:rPr>
        <w:t xml:space="preserve">, K., </w:t>
      </w:r>
      <w:proofErr w:type="spellStart"/>
      <w:r w:rsidRPr="003A78D2">
        <w:rPr>
          <w:lang w:val="en-US"/>
        </w:rPr>
        <w:t>Eshak</w:t>
      </w:r>
      <w:proofErr w:type="spellEnd"/>
      <w:r w:rsidRPr="003A78D2">
        <w:rPr>
          <w:lang w:val="en-US"/>
        </w:rPr>
        <w:t xml:space="preserve">, E. S., Iso, H., Sawada, N., </w:t>
      </w:r>
      <w:proofErr w:type="spellStart"/>
      <w:r w:rsidRPr="003A78D2">
        <w:rPr>
          <w:lang w:val="en-US"/>
        </w:rPr>
        <w:t>Tsugane</w:t>
      </w:r>
      <w:proofErr w:type="spellEnd"/>
      <w:r w:rsidRPr="003A78D2">
        <w:rPr>
          <w:lang w:val="en-US"/>
        </w:rPr>
        <w:t xml:space="preserve">, S., … Sato, Y. (2017). Work-family conflict and self-rated health among Japanese workers: How household income modifies associations. </w:t>
      </w:r>
      <w:proofErr w:type="spellStart"/>
      <w:r w:rsidRPr="003A78D2">
        <w:rPr>
          <w:i/>
          <w:lang w:val="en-US"/>
        </w:rPr>
        <w:t>PLoS</w:t>
      </w:r>
      <w:proofErr w:type="spellEnd"/>
      <w:r w:rsidRPr="003A78D2">
        <w:rPr>
          <w:i/>
          <w:lang w:val="en-US"/>
        </w:rPr>
        <w:t xml:space="preserve"> ONE</w:t>
      </w:r>
      <w:r w:rsidRPr="003A78D2">
        <w:rPr>
          <w:lang w:val="en-US"/>
        </w:rPr>
        <w:t xml:space="preserve">, </w:t>
      </w:r>
      <w:r w:rsidRPr="003A78D2">
        <w:rPr>
          <w:i/>
          <w:lang w:val="en-US"/>
        </w:rPr>
        <w:t>12</w:t>
      </w:r>
      <w:r w:rsidRPr="003A78D2">
        <w:rPr>
          <w:lang w:val="en-US"/>
        </w:rPr>
        <w:t>(2). https://doi.org/10.1371/journal.pone.0169903</w:t>
      </w:r>
    </w:p>
    <w:p w14:paraId="108324DD" w14:textId="77777777" w:rsidR="00250869" w:rsidRPr="003A78D2" w:rsidRDefault="00802DB6">
      <w:pPr>
        <w:widowControl w:val="0"/>
        <w:spacing w:after="160"/>
        <w:ind w:left="480" w:hanging="480"/>
        <w:rPr>
          <w:lang w:val="en-US"/>
        </w:rPr>
      </w:pPr>
      <w:r w:rsidRPr="003A78D2">
        <w:rPr>
          <w:lang w:val="en-US"/>
        </w:rPr>
        <w:t xml:space="preserve">Levy, M., </w:t>
      </w:r>
      <w:proofErr w:type="spellStart"/>
      <w:r w:rsidRPr="003A78D2">
        <w:rPr>
          <w:lang w:val="en-US"/>
        </w:rPr>
        <w:t>Deschênes</w:t>
      </w:r>
      <w:proofErr w:type="spellEnd"/>
      <w:r w:rsidRPr="003A78D2">
        <w:rPr>
          <w:lang w:val="en-US"/>
        </w:rPr>
        <w:t xml:space="preserve">, S. S., Burns, R. J., </w:t>
      </w:r>
      <w:proofErr w:type="spellStart"/>
      <w:r w:rsidRPr="003A78D2">
        <w:rPr>
          <w:lang w:val="en-US"/>
        </w:rPr>
        <w:t>Elgendy</w:t>
      </w:r>
      <w:proofErr w:type="spellEnd"/>
      <w:r w:rsidRPr="003A78D2">
        <w:rPr>
          <w:lang w:val="en-US"/>
        </w:rPr>
        <w:t xml:space="preserve">, R., &amp; Schmitz, N. (2018). Trajectories of social support in adults with type 2 diabetes: Associations with depressive symptoms and functional disability. </w:t>
      </w:r>
      <w:r w:rsidRPr="003A78D2">
        <w:rPr>
          <w:i/>
          <w:lang w:val="en-US"/>
        </w:rPr>
        <w:t>International Journal of Geriatric Psychiatry</w:t>
      </w:r>
      <w:r w:rsidRPr="003A78D2">
        <w:rPr>
          <w:lang w:val="en-US"/>
        </w:rPr>
        <w:t>. https://doi.org/10.1002/gps.5042</w:t>
      </w:r>
    </w:p>
    <w:p w14:paraId="1229EC48" w14:textId="77777777" w:rsidR="00250869" w:rsidRPr="003A78D2" w:rsidRDefault="00802DB6">
      <w:pPr>
        <w:widowControl w:val="0"/>
        <w:spacing w:after="160"/>
        <w:ind w:left="480" w:hanging="480"/>
        <w:rPr>
          <w:lang w:val="en-US"/>
        </w:rPr>
      </w:pPr>
      <w:r w:rsidRPr="003A78D2">
        <w:rPr>
          <w:lang w:val="en-US"/>
        </w:rPr>
        <w:t xml:space="preserve">Li, C., Jiang, S., &amp; Zhang, X. (2019). Intergenerational relationship, family social support, and depression among Chinese elderly: A structural equation modeling analysis. </w:t>
      </w:r>
      <w:r w:rsidRPr="003A78D2">
        <w:rPr>
          <w:i/>
          <w:lang w:val="en-US"/>
        </w:rPr>
        <w:t>Journal of Affective Disorders</w:t>
      </w:r>
      <w:r w:rsidRPr="003A78D2">
        <w:rPr>
          <w:lang w:val="en-US"/>
        </w:rPr>
        <w:t xml:space="preserve">, </w:t>
      </w:r>
      <w:r w:rsidRPr="003A78D2">
        <w:rPr>
          <w:i/>
          <w:lang w:val="en-US"/>
        </w:rPr>
        <w:t>248</w:t>
      </w:r>
      <w:r w:rsidRPr="003A78D2">
        <w:rPr>
          <w:lang w:val="en-US"/>
        </w:rPr>
        <w:t>, 73–80. https://doi.org/10.1016/J.JAD.2019.01.032</w:t>
      </w:r>
    </w:p>
    <w:p w14:paraId="3CC5E678" w14:textId="77777777" w:rsidR="00250869" w:rsidRPr="003A78D2" w:rsidRDefault="00802DB6">
      <w:pPr>
        <w:widowControl w:val="0"/>
        <w:spacing w:after="160"/>
        <w:ind w:left="480" w:hanging="480"/>
        <w:rPr>
          <w:lang w:val="en-US"/>
        </w:rPr>
      </w:pPr>
      <w:r w:rsidRPr="00BD4FE7">
        <w:rPr>
          <w:lang w:val="en-US"/>
        </w:rPr>
        <w:t xml:space="preserve">Lu, X., </w:t>
      </w:r>
      <w:proofErr w:type="spellStart"/>
      <w:r w:rsidRPr="00BD4FE7">
        <w:rPr>
          <w:lang w:val="en-US"/>
        </w:rPr>
        <w:t>Juon</w:t>
      </w:r>
      <w:proofErr w:type="spellEnd"/>
      <w:r w:rsidRPr="00BD4FE7">
        <w:rPr>
          <w:lang w:val="en-US"/>
        </w:rPr>
        <w:t xml:space="preserve">, H. S., He, X., </w:t>
      </w:r>
      <w:proofErr w:type="spellStart"/>
      <w:r w:rsidRPr="00BD4FE7">
        <w:rPr>
          <w:lang w:val="en-US"/>
        </w:rPr>
        <w:t>Dallal</w:t>
      </w:r>
      <w:proofErr w:type="spellEnd"/>
      <w:r w:rsidRPr="00BD4FE7">
        <w:rPr>
          <w:lang w:val="en-US"/>
        </w:rPr>
        <w:t xml:space="preserve">, C. M., Wang, M. Q., &amp; Lee, S. (2019). </w:t>
      </w:r>
      <w:r w:rsidRPr="003A78D2">
        <w:rPr>
          <w:lang w:val="en-US"/>
        </w:rPr>
        <w:t xml:space="preserve">The Association Between Perceived Stress and Hypertension Among Asian Americans: Does Social Support and Social Network Make a Difference? </w:t>
      </w:r>
      <w:r w:rsidRPr="003A78D2">
        <w:rPr>
          <w:i/>
          <w:lang w:val="en-US"/>
        </w:rPr>
        <w:t>Journal of Community Health</w:t>
      </w:r>
      <w:r w:rsidRPr="003A78D2">
        <w:rPr>
          <w:lang w:val="en-US"/>
        </w:rPr>
        <w:t>. https://doi.org/10.1007/s10900-018-00612-7</w:t>
      </w:r>
    </w:p>
    <w:p w14:paraId="0F27520D" w14:textId="1166E501" w:rsidR="00250869" w:rsidRPr="003A78D2" w:rsidRDefault="00802DB6">
      <w:pPr>
        <w:widowControl w:val="0"/>
        <w:spacing w:after="160"/>
        <w:ind w:left="480" w:hanging="480"/>
        <w:rPr>
          <w:lang w:val="en-US"/>
        </w:rPr>
      </w:pPr>
      <w:r w:rsidRPr="003A78D2">
        <w:rPr>
          <w:lang w:val="en-US"/>
        </w:rPr>
        <w:t xml:space="preserve">Mao, Y., </w:t>
      </w:r>
      <w:proofErr w:type="spellStart"/>
      <w:r w:rsidRPr="003A78D2">
        <w:rPr>
          <w:lang w:val="en-US"/>
        </w:rPr>
        <w:t>Qiao</w:t>
      </w:r>
      <w:proofErr w:type="spellEnd"/>
      <w:r w:rsidRPr="003A78D2">
        <w:rPr>
          <w:lang w:val="en-US"/>
        </w:rPr>
        <w:t xml:space="preserve">, S., Li, X., Zhao, Q., Zhou, Y., &amp; Shen, Z. (2019). Depression, Social Support, and Adherence to Antiretroviral Therapy Among People Living </w:t>
      </w:r>
      <w:proofErr w:type="gramStart"/>
      <w:r w:rsidRPr="003A78D2">
        <w:rPr>
          <w:lang w:val="en-US"/>
        </w:rPr>
        <w:t>With</w:t>
      </w:r>
      <w:proofErr w:type="gramEnd"/>
      <w:r w:rsidRPr="003A78D2">
        <w:rPr>
          <w:lang w:val="en-US"/>
        </w:rPr>
        <w:t xml:space="preserve"> HIV in Guangxi, China: A Longitudinal Study. </w:t>
      </w:r>
      <w:r w:rsidRPr="003A78D2">
        <w:rPr>
          <w:i/>
          <w:lang w:val="en-US"/>
        </w:rPr>
        <w:t>AIDS Education and Prevention: Official Publication of the International Society for AIDS Education</w:t>
      </w:r>
      <w:r w:rsidRPr="003A78D2">
        <w:rPr>
          <w:lang w:val="en-US"/>
        </w:rPr>
        <w:t xml:space="preserve">, </w:t>
      </w:r>
      <w:r w:rsidRPr="003A78D2">
        <w:rPr>
          <w:i/>
          <w:lang w:val="en-US"/>
        </w:rPr>
        <w:t>31</w:t>
      </w:r>
      <w:r w:rsidRPr="003A78D2">
        <w:rPr>
          <w:lang w:val="en-US"/>
        </w:rPr>
        <w:t>(1), 38–50. https://doi.org/10.1521/aeap.2019.31.1.38</w:t>
      </w:r>
    </w:p>
    <w:p w14:paraId="728388FF" w14:textId="77777777" w:rsidR="00250869" w:rsidRPr="003A78D2" w:rsidRDefault="00802DB6">
      <w:pPr>
        <w:widowControl w:val="0"/>
        <w:spacing w:after="160"/>
        <w:ind w:left="480" w:hanging="480"/>
        <w:rPr>
          <w:lang w:val="en-US"/>
        </w:rPr>
      </w:pPr>
      <w:proofErr w:type="spellStart"/>
      <w:r w:rsidRPr="003A78D2">
        <w:rPr>
          <w:lang w:val="en-US"/>
        </w:rPr>
        <w:t>Matel</w:t>
      </w:r>
      <w:proofErr w:type="spellEnd"/>
      <w:r w:rsidRPr="003A78D2">
        <w:rPr>
          <w:lang w:val="en-US"/>
        </w:rPr>
        <w:t xml:space="preserve">-Anderson, D. M., </w:t>
      </w:r>
      <w:proofErr w:type="spellStart"/>
      <w:r w:rsidRPr="003A78D2">
        <w:rPr>
          <w:lang w:val="en-US"/>
        </w:rPr>
        <w:t>Bekhet</w:t>
      </w:r>
      <w:proofErr w:type="spellEnd"/>
      <w:r w:rsidRPr="003A78D2">
        <w:rPr>
          <w:lang w:val="en-US"/>
        </w:rPr>
        <w:t xml:space="preserve">, A. K., &amp; Garnier-Villarreal, M. (2019). Mediating Effects of Positive Thinking and Social Support on Suicide Resilience. </w:t>
      </w:r>
      <w:r w:rsidRPr="003A78D2">
        <w:rPr>
          <w:i/>
          <w:lang w:val="en-US"/>
        </w:rPr>
        <w:t>Western Journal of Nursing Research</w:t>
      </w:r>
      <w:r w:rsidRPr="003A78D2">
        <w:rPr>
          <w:lang w:val="en-US"/>
        </w:rPr>
        <w:t xml:space="preserve">, </w:t>
      </w:r>
      <w:r w:rsidRPr="003A78D2">
        <w:rPr>
          <w:i/>
          <w:lang w:val="en-US"/>
        </w:rPr>
        <w:t>41</w:t>
      </w:r>
      <w:r w:rsidRPr="003A78D2">
        <w:rPr>
          <w:lang w:val="en-US"/>
        </w:rPr>
        <w:t>(1), 25–41. https://doi.org/10.1177/0193945918757988</w:t>
      </w:r>
    </w:p>
    <w:p w14:paraId="3B2B9B65" w14:textId="77777777" w:rsidR="00250869" w:rsidRPr="003A78D2" w:rsidRDefault="00802DB6">
      <w:pPr>
        <w:widowControl w:val="0"/>
        <w:spacing w:after="160"/>
        <w:ind w:left="480" w:hanging="480"/>
        <w:rPr>
          <w:lang w:val="en-US"/>
        </w:rPr>
      </w:pPr>
      <w:proofErr w:type="spellStart"/>
      <w:r w:rsidRPr="003A78D2">
        <w:rPr>
          <w:lang w:val="en-US"/>
        </w:rPr>
        <w:t>McGaffin</w:t>
      </w:r>
      <w:proofErr w:type="spellEnd"/>
      <w:r w:rsidRPr="003A78D2">
        <w:rPr>
          <w:lang w:val="en-US"/>
        </w:rPr>
        <w:t xml:space="preserve">, B. J., Deane, F. P., Kelly, P. J., &amp; Blackman, R. J. (2018). Social support and mental health during recovery from drug and alcohol problems. </w:t>
      </w:r>
      <w:r w:rsidRPr="003A78D2">
        <w:rPr>
          <w:i/>
          <w:lang w:val="en-US"/>
        </w:rPr>
        <w:t>Addiction Research and Theory</w:t>
      </w:r>
      <w:r w:rsidRPr="003A78D2">
        <w:rPr>
          <w:lang w:val="en-US"/>
        </w:rPr>
        <w:t xml:space="preserve">, </w:t>
      </w:r>
      <w:r w:rsidRPr="003A78D2">
        <w:rPr>
          <w:i/>
          <w:lang w:val="en-US"/>
        </w:rPr>
        <w:t>26</w:t>
      </w:r>
      <w:r w:rsidRPr="003A78D2">
        <w:rPr>
          <w:lang w:val="en-US"/>
        </w:rPr>
        <w:t>(5), 386–395. https://doi.org/10.1080/16066359.2017.1421178</w:t>
      </w:r>
    </w:p>
    <w:p w14:paraId="12F535CE" w14:textId="77777777" w:rsidR="00250869" w:rsidRPr="003A78D2" w:rsidRDefault="00802DB6">
      <w:pPr>
        <w:widowControl w:val="0"/>
        <w:spacing w:after="160"/>
        <w:ind w:left="480" w:hanging="480"/>
        <w:rPr>
          <w:lang w:val="en-US"/>
        </w:rPr>
      </w:pPr>
      <w:proofErr w:type="spellStart"/>
      <w:r w:rsidRPr="003A78D2">
        <w:rPr>
          <w:lang w:val="en-US"/>
        </w:rPr>
        <w:t>Merluzzi</w:t>
      </w:r>
      <w:proofErr w:type="spellEnd"/>
      <w:r w:rsidRPr="003A78D2">
        <w:rPr>
          <w:lang w:val="en-US"/>
        </w:rPr>
        <w:t xml:space="preserve">, T. V., </w:t>
      </w:r>
      <w:proofErr w:type="spellStart"/>
      <w:r w:rsidRPr="003A78D2">
        <w:rPr>
          <w:lang w:val="en-US"/>
        </w:rPr>
        <w:t>Serpentini</w:t>
      </w:r>
      <w:proofErr w:type="spellEnd"/>
      <w:r w:rsidRPr="003A78D2">
        <w:rPr>
          <w:lang w:val="en-US"/>
        </w:rPr>
        <w:t>, S., Philip, E. J., Yang, M., Salamanca-</w:t>
      </w:r>
      <w:proofErr w:type="spellStart"/>
      <w:r w:rsidRPr="003A78D2">
        <w:rPr>
          <w:lang w:val="en-US"/>
        </w:rPr>
        <w:t>Balen</w:t>
      </w:r>
      <w:proofErr w:type="spellEnd"/>
      <w:r w:rsidRPr="003A78D2">
        <w:rPr>
          <w:lang w:val="en-US"/>
        </w:rPr>
        <w:t xml:space="preserve">, N., </w:t>
      </w:r>
      <w:proofErr w:type="spellStart"/>
      <w:r w:rsidRPr="003A78D2">
        <w:rPr>
          <w:lang w:val="en-US"/>
        </w:rPr>
        <w:t>Heitzmann</w:t>
      </w:r>
      <w:proofErr w:type="spellEnd"/>
      <w:r w:rsidRPr="003A78D2">
        <w:rPr>
          <w:lang w:val="en-US"/>
        </w:rPr>
        <w:t xml:space="preserve"> </w:t>
      </w:r>
      <w:proofErr w:type="spellStart"/>
      <w:r w:rsidRPr="003A78D2">
        <w:rPr>
          <w:lang w:val="en-US"/>
        </w:rPr>
        <w:t>Ruhf</w:t>
      </w:r>
      <w:proofErr w:type="spellEnd"/>
      <w:r w:rsidRPr="003A78D2">
        <w:rPr>
          <w:lang w:val="en-US"/>
        </w:rPr>
        <w:t xml:space="preserve">, C. A., &amp; </w:t>
      </w:r>
      <w:proofErr w:type="spellStart"/>
      <w:r w:rsidRPr="003A78D2">
        <w:rPr>
          <w:lang w:val="en-US"/>
        </w:rPr>
        <w:t>Catarinella</w:t>
      </w:r>
      <w:proofErr w:type="spellEnd"/>
      <w:r w:rsidRPr="003A78D2">
        <w:rPr>
          <w:lang w:val="en-US"/>
        </w:rPr>
        <w:t xml:space="preserve">, A. (2019). Social relationship coping efficacy: A new construct in understanding social support and close personal relationships in persons with cancer. </w:t>
      </w:r>
      <w:r w:rsidRPr="003A78D2">
        <w:rPr>
          <w:i/>
          <w:lang w:val="en-US"/>
        </w:rPr>
        <w:t>Psycho-Oncology</w:t>
      </w:r>
      <w:r w:rsidRPr="003A78D2">
        <w:rPr>
          <w:lang w:val="en-US"/>
        </w:rPr>
        <w:t xml:space="preserve">, </w:t>
      </w:r>
      <w:r w:rsidRPr="003A78D2">
        <w:rPr>
          <w:i/>
          <w:lang w:val="en-US"/>
        </w:rPr>
        <w:t>28</w:t>
      </w:r>
      <w:r w:rsidRPr="003A78D2">
        <w:rPr>
          <w:lang w:val="en-US"/>
        </w:rPr>
        <w:t>(1), 85–91. https://doi.org/10.1002/pon.4913</w:t>
      </w:r>
    </w:p>
    <w:p w14:paraId="641DD795" w14:textId="77777777" w:rsidR="00250869" w:rsidRPr="003A78D2" w:rsidRDefault="00802DB6">
      <w:pPr>
        <w:widowControl w:val="0"/>
        <w:spacing w:after="160"/>
        <w:ind w:left="480" w:hanging="480"/>
        <w:rPr>
          <w:lang w:val="en-US"/>
        </w:rPr>
      </w:pPr>
      <w:r w:rsidRPr="003A78D2">
        <w:rPr>
          <w:lang w:val="en-US"/>
        </w:rPr>
        <w:t xml:space="preserve">Mitchell, P. H., Powell, L., Blumenthal, J., </w:t>
      </w:r>
      <w:proofErr w:type="spellStart"/>
      <w:r w:rsidRPr="003A78D2">
        <w:rPr>
          <w:lang w:val="en-US"/>
        </w:rPr>
        <w:t>Norten</w:t>
      </w:r>
      <w:proofErr w:type="spellEnd"/>
      <w:r w:rsidRPr="003A78D2">
        <w:rPr>
          <w:lang w:val="en-US"/>
        </w:rPr>
        <w:t xml:space="preserve">, J., </w:t>
      </w:r>
      <w:proofErr w:type="spellStart"/>
      <w:r w:rsidRPr="003A78D2">
        <w:rPr>
          <w:lang w:val="en-US"/>
        </w:rPr>
        <w:t>Ironson</w:t>
      </w:r>
      <w:proofErr w:type="spellEnd"/>
      <w:r w:rsidRPr="003A78D2">
        <w:rPr>
          <w:lang w:val="en-US"/>
        </w:rPr>
        <w:t xml:space="preserve">, G., </w:t>
      </w:r>
      <w:proofErr w:type="spellStart"/>
      <w:r w:rsidRPr="003A78D2">
        <w:rPr>
          <w:lang w:val="en-US"/>
        </w:rPr>
        <w:t>Pitula</w:t>
      </w:r>
      <w:proofErr w:type="spellEnd"/>
      <w:r w:rsidRPr="003A78D2">
        <w:rPr>
          <w:lang w:val="en-US"/>
        </w:rPr>
        <w:t xml:space="preserve">, C. R., … Berkman, L. F. (2003). A short social support measure for patients recovering from myocardial infarction: The ENRICHD Social Support Inventory. </w:t>
      </w:r>
      <w:r w:rsidRPr="003A78D2">
        <w:rPr>
          <w:i/>
          <w:lang w:val="en-US"/>
        </w:rPr>
        <w:t>Journal of Cardiopulmonary Rehabilitation</w:t>
      </w:r>
      <w:r w:rsidRPr="003A78D2">
        <w:rPr>
          <w:lang w:val="en-US"/>
        </w:rPr>
        <w:t xml:space="preserve">, </w:t>
      </w:r>
      <w:r w:rsidRPr="003A78D2">
        <w:rPr>
          <w:i/>
          <w:lang w:val="en-US"/>
        </w:rPr>
        <w:t>23</w:t>
      </w:r>
      <w:r w:rsidRPr="003A78D2">
        <w:rPr>
          <w:lang w:val="en-US"/>
        </w:rPr>
        <w:t>(6), 398–403. https://doi.org/10.1097/00008483-200311000-00001</w:t>
      </w:r>
    </w:p>
    <w:p w14:paraId="67E44E5C" w14:textId="77777777" w:rsidR="00250869" w:rsidRPr="003A78D2" w:rsidRDefault="00802DB6">
      <w:pPr>
        <w:widowControl w:val="0"/>
        <w:spacing w:after="160"/>
        <w:ind w:left="480" w:hanging="480"/>
        <w:rPr>
          <w:lang w:val="en-US"/>
        </w:rPr>
      </w:pPr>
      <w:proofErr w:type="spellStart"/>
      <w:r w:rsidRPr="003A78D2">
        <w:rPr>
          <w:lang w:val="en-US"/>
        </w:rPr>
        <w:t>Muñiz</w:t>
      </w:r>
      <w:proofErr w:type="spellEnd"/>
      <w:r w:rsidRPr="003A78D2">
        <w:rPr>
          <w:lang w:val="en-US"/>
        </w:rPr>
        <w:t>, J., &amp; Fonseca-</w:t>
      </w:r>
      <w:proofErr w:type="spellStart"/>
      <w:r w:rsidRPr="003A78D2">
        <w:rPr>
          <w:lang w:val="en-US"/>
        </w:rPr>
        <w:t>Pedrero</w:t>
      </w:r>
      <w:proofErr w:type="spellEnd"/>
      <w:r w:rsidRPr="003A78D2">
        <w:rPr>
          <w:lang w:val="en-US"/>
        </w:rPr>
        <w:t xml:space="preserve">, E. (2019). Ten steps for test development. </w:t>
      </w:r>
      <w:proofErr w:type="spellStart"/>
      <w:r w:rsidRPr="003A78D2">
        <w:rPr>
          <w:i/>
          <w:lang w:val="en-US"/>
        </w:rPr>
        <w:t>Psicothema</w:t>
      </w:r>
      <w:proofErr w:type="spellEnd"/>
      <w:r w:rsidRPr="003A78D2">
        <w:rPr>
          <w:lang w:val="en-US"/>
        </w:rPr>
        <w:t xml:space="preserve">, </w:t>
      </w:r>
      <w:r w:rsidRPr="003A78D2">
        <w:rPr>
          <w:i/>
          <w:lang w:val="en-US"/>
        </w:rPr>
        <w:t>31</w:t>
      </w:r>
      <w:r w:rsidRPr="003A78D2">
        <w:rPr>
          <w:lang w:val="en-US"/>
        </w:rPr>
        <w:t>(1), 7–</w:t>
      </w:r>
      <w:r w:rsidRPr="003A78D2">
        <w:rPr>
          <w:lang w:val="en-US"/>
        </w:rPr>
        <w:lastRenderedPageBreak/>
        <w:t>16. https://doi.org/10.7334/psicothema2018.291</w:t>
      </w:r>
    </w:p>
    <w:p w14:paraId="3C9F1A74" w14:textId="77777777" w:rsidR="00250869" w:rsidRPr="003A78D2" w:rsidRDefault="00802DB6">
      <w:pPr>
        <w:widowControl w:val="0"/>
        <w:spacing w:after="160"/>
        <w:ind w:left="480" w:hanging="480"/>
        <w:rPr>
          <w:lang w:val="en-US"/>
        </w:rPr>
      </w:pPr>
      <w:r w:rsidRPr="003A78D2">
        <w:rPr>
          <w:lang w:val="en-US"/>
        </w:rPr>
        <w:t xml:space="preserve">Nguyen, A. W. (2017). Variations in Social Network Type Membership among Older African Americans, Caribbean Blacks, and Non-Hispanic Whites. </w:t>
      </w:r>
      <w:r w:rsidRPr="003A78D2">
        <w:rPr>
          <w:i/>
          <w:lang w:val="en-US"/>
        </w:rPr>
        <w:t>Journals of Gerontology - Series B Psychological Sciences and Social Sciences</w:t>
      </w:r>
      <w:r w:rsidRPr="003A78D2">
        <w:rPr>
          <w:lang w:val="en-US"/>
        </w:rPr>
        <w:t xml:space="preserve">, </w:t>
      </w:r>
      <w:r w:rsidRPr="003A78D2">
        <w:rPr>
          <w:i/>
          <w:lang w:val="en-US"/>
        </w:rPr>
        <w:t>72</w:t>
      </w:r>
      <w:r w:rsidRPr="003A78D2">
        <w:rPr>
          <w:lang w:val="en-US"/>
        </w:rPr>
        <w:t>(4), 716–726. https://doi.org/10.1093/geronb/gbx016</w:t>
      </w:r>
    </w:p>
    <w:p w14:paraId="3EC6B7B9" w14:textId="77777777" w:rsidR="00250869" w:rsidRDefault="00802DB6">
      <w:pPr>
        <w:widowControl w:val="0"/>
        <w:spacing w:after="160"/>
        <w:ind w:left="480" w:hanging="480"/>
      </w:pPr>
      <w:r>
        <w:t xml:space="preserve">Ortiz, M. S., &amp; Baeza, M. J. (2011). Propiedades psicométricas de una escala para medir apoyo social percibido en pacientes chilenos con diabetes tipo 2. </w:t>
      </w:r>
      <w:proofErr w:type="spellStart"/>
      <w:r>
        <w:rPr>
          <w:i/>
        </w:rPr>
        <w:t>Universitas</w:t>
      </w:r>
      <w:proofErr w:type="spellEnd"/>
      <w:r>
        <w:rPr>
          <w:i/>
        </w:rPr>
        <w:t xml:space="preserve"> </w:t>
      </w:r>
      <w:proofErr w:type="spellStart"/>
      <w:r>
        <w:rPr>
          <w:i/>
        </w:rPr>
        <w:t>Psychologica</w:t>
      </w:r>
      <w:proofErr w:type="spellEnd"/>
      <w:r>
        <w:t xml:space="preserve">, </w:t>
      </w:r>
      <w:r>
        <w:rPr>
          <w:i/>
        </w:rPr>
        <w:t>10</w:t>
      </w:r>
      <w:r>
        <w:t>(1), 189–196.</w:t>
      </w:r>
    </w:p>
    <w:p w14:paraId="6882F70A" w14:textId="77777777" w:rsidR="00250869" w:rsidRDefault="00802DB6">
      <w:pPr>
        <w:widowControl w:val="0"/>
        <w:spacing w:after="160"/>
        <w:ind w:left="480" w:hanging="480"/>
      </w:pPr>
      <w:r>
        <w:t xml:space="preserve">Ortiz, M. S., &amp; Fernández-Pera, M. (2018). Modelo de Ecuaciones Estructurales: Una guía para ciencias médicas y ciencias de la salud. </w:t>
      </w:r>
      <w:r>
        <w:rPr>
          <w:i/>
        </w:rPr>
        <w:t>Terapia Psicológica</w:t>
      </w:r>
      <w:r>
        <w:t>. https://doi.org/10.4067/s0718-48082017000300047</w:t>
      </w:r>
    </w:p>
    <w:p w14:paraId="034C3BBD" w14:textId="77777777" w:rsidR="00250869" w:rsidRDefault="00802DB6">
      <w:pPr>
        <w:widowControl w:val="0"/>
        <w:spacing w:after="160"/>
        <w:ind w:left="480" w:hanging="480"/>
      </w:pPr>
      <w:r>
        <w:t xml:space="preserve">Pérez, J. J. N., &amp; Marqués, Á. C. (2018). Sobrecarga familiar, apoyo social y salud comunitaria en cuidadores de personas con trastorno mental grave. </w:t>
      </w:r>
      <w:r>
        <w:rPr>
          <w:i/>
        </w:rPr>
        <w:t xml:space="preserve">Revista Da </w:t>
      </w:r>
      <w:proofErr w:type="spellStart"/>
      <w:r>
        <w:rPr>
          <w:i/>
        </w:rPr>
        <w:t>Escola</w:t>
      </w:r>
      <w:proofErr w:type="spellEnd"/>
      <w:r>
        <w:rPr>
          <w:i/>
        </w:rPr>
        <w:t xml:space="preserve"> de </w:t>
      </w:r>
      <w:proofErr w:type="spellStart"/>
      <w:r>
        <w:rPr>
          <w:i/>
        </w:rPr>
        <w:t>Enfermagem</w:t>
      </w:r>
      <w:proofErr w:type="spellEnd"/>
      <w:r>
        <w:rPr>
          <w:i/>
        </w:rPr>
        <w:t xml:space="preserve"> Da U S P</w:t>
      </w:r>
      <w:r>
        <w:t xml:space="preserve">, </w:t>
      </w:r>
      <w:r>
        <w:rPr>
          <w:i/>
        </w:rPr>
        <w:t>52</w:t>
      </w:r>
      <w:r>
        <w:t>(0), e03351. https://doi.org/10.1590/S1980-220X2017029403351</w:t>
      </w:r>
    </w:p>
    <w:p w14:paraId="1E9C73DD" w14:textId="77777777" w:rsidR="00250869" w:rsidRPr="003A78D2" w:rsidRDefault="00802DB6">
      <w:pPr>
        <w:widowControl w:val="0"/>
        <w:spacing w:after="160"/>
        <w:ind w:left="480" w:hanging="480"/>
        <w:rPr>
          <w:lang w:val="en-US"/>
        </w:rPr>
      </w:pPr>
      <w:r>
        <w:t xml:space="preserve">Ponsoda, J. M., &amp; Díaz, A. (2017). Relación entre la carga objetiva y la carga subjetiva en cuidadores familiares de enfermos de Alzheimer. </w:t>
      </w:r>
      <w:r w:rsidRPr="003A78D2">
        <w:rPr>
          <w:i/>
          <w:lang w:val="en-US"/>
        </w:rPr>
        <w:t>European Journal of Health Research</w:t>
      </w:r>
      <w:r w:rsidRPr="003A78D2">
        <w:rPr>
          <w:lang w:val="en-US"/>
        </w:rPr>
        <w:t xml:space="preserve">, </w:t>
      </w:r>
      <w:r w:rsidRPr="003A78D2">
        <w:rPr>
          <w:i/>
          <w:lang w:val="en-US"/>
        </w:rPr>
        <w:t>3</w:t>
      </w:r>
      <w:r w:rsidRPr="003A78D2">
        <w:rPr>
          <w:lang w:val="en-US"/>
        </w:rPr>
        <w:t>(1), 41–50. https://doi.org/https://doi.org/10.30552/ejhr.v3i1.54</w:t>
      </w:r>
    </w:p>
    <w:p w14:paraId="7315B396" w14:textId="77777777" w:rsidR="00250869" w:rsidRDefault="00802DB6">
      <w:pPr>
        <w:widowControl w:val="0"/>
        <w:spacing w:after="160"/>
        <w:ind w:left="480" w:hanging="480"/>
      </w:pPr>
      <w:r>
        <w:t xml:space="preserve">Revilla, L., Luna del </w:t>
      </w:r>
      <w:proofErr w:type="spellStart"/>
      <w:r>
        <w:t>Castilo</w:t>
      </w:r>
      <w:proofErr w:type="spellEnd"/>
      <w:r>
        <w:t xml:space="preserve">, J., Bailón, E., &amp; Medina, I. (2005). Validación del cuestionario MOS de apoyo social en Atención Primaria. </w:t>
      </w:r>
      <w:r>
        <w:rPr>
          <w:i/>
        </w:rPr>
        <w:t>Medicina de Familia</w:t>
      </w:r>
      <w:r>
        <w:t xml:space="preserve">, </w:t>
      </w:r>
      <w:r>
        <w:rPr>
          <w:i/>
        </w:rPr>
        <w:t>6</w:t>
      </w:r>
      <w:r>
        <w:t>, 10–18.</w:t>
      </w:r>
    </w:p>
    <w:p w14:paraId="22976B38" w14:textId="77777777" w:rsidR="00250869" w:rsidRDefault="00802DB6">
      <w:pPr>
        <w:widowControl w:val="0"/>
        <w:spacing w:after="160"/>
        <w:ind w:left="480" w:hanging="480"/>
      </w:pPr>
      <w:r>
        <w:t xml:space="preserve">Rivas-Diez, R. (2013). Apoyo social funcional en mujeres de la población general y en mujeres maltratadas </w:t>
      </w:r>
      <w:proofErr w:type="gramStart"/>
      <w:r>
        <w:t>Chilenas</w:t>
      </w:r>
      <w:proofErr w:type="gramEnd"/>
      <w:r>
        <w:t xml:space="preserve">. </w:t>
      </w:r>
      <w:proofErr w:type="spellStart"/>
      <w:r w:rsidRPr="003A78D2">
        <w:rPr>
          <w:lang w:val="en-US"/>
        </w:rPr>
        <w:t>Propiedades</w:t>
      </w:r>
      <w:proofErr w:type="spellEnd"/>
      <w:r w:rsidRPr="003A78D2">
        <w:rPr>
          <w:lang w:val="en-US"/>
        </w:rPr>
        <w:t xml:space="preserve"> </w:t>
      </w:r>
      <w:proofErr w:type="spellStart"/>
      <w:r w:rsidRPr="003A78D2">
        <w:rPr>
          <w:lang w:val="en-US"/>
        </w:rPr>
        <w:t>psicométricas</w:t>
      </w:r>
      <w:proofErr w:type="spellEnd"/>
      <w:r w:rsidRPr="003A78D2">
        <w:rPr>
          <w:lang w:val="en-US"/>
        </w:rPr>
        <w:t xml:space="preserve"> del Duke-UNC-11. [Functional social support in the general population and Chilean battered women. </w:t>
      </w:r>
      <w:proofErr w:type="spellStart"/>
      <w:r>
        <w:t>Psychometric</w:t>
      </w:r>
      <w:proofErr w:type="spellEnd"/>
      <w:r>
        <w:t xml:space="preserve"> </w:t>
      </w:r>
      <w:proofErr w:type="spellStart"/>
      <w:r>
        <w:t>properties</w:t>
      </w:r>
      <w:proofErr w:type="spellEnd"/>
      <w:r>
        <w:t xml:space="preserve"> of </w:t>
      </w:r>
      <w:proofErr w:type="spellStart"/>
      <w:r>
        <w:t>the</w:t>
      </w:r>
      <w:proofErr w:type="spellEnd"/>
      <w:r>
        <w:t xml:space="preserve"> </w:t>
      </w:r>
      <w:proofErr w:type="spellStart"/>
      <w:r>
        <w:t>Duke</w:t>
      </w:r>
      <w:proofErr w:type="spellEnd"/>
      <w:r>
        <w:t xml:space="preserve">-UN. </w:t>
      </w:r>
      <w:r>
        <w:rPr>
          <w:i/>
        </w:rPr>
        <w:t xml:space="preserve">Revista Iberoamericana de Diagnóstico y Evaluación </w:t>
      </w:r>
      <w:proofErr w:type="spellStart"/>
      <w:r>
        <w:rPr>
          <w:i/>
        </w:rPr>
        <w:t>Psicologica</w:t>
      </w:r>
      <w:proofErr w:type="spellEnd"/>
      <w:r>
        <w:t xml:space="preserve">, </w:t>
      </w:r>
      <w:r>
        <w:rPr>
          <w:i/>
        </w:rPr>
        <w:t>36</w:t>
      </w:r>
      <w:r>
        <w:t>(2), 9–27.</w:t>
      </w:r>
    </w:p>
    <w:p w14:paraId="25F90236" w14:textId="77777777" w:rsidR="00250869" w:rsidRDefault="00802DB6">
      <w:pPr>
        <w:widowControl w:val="0"/>
        <w:spacing w:after="160"/>
        <w:ind w:left="480" w:hanging="480"/>
      </w:pPr>
      <w:r>
        <w:t xml:space="preserve">Rodríguez </w:t>
      </w:r>
      <w:proofErr w:type="spellStart"/>
      <w:r>
        <w:t>Leis</w:t>
      </w:r>
      <w:proofErr w:type="spellEnd"/>
      <w:r>
        <w:t xml:space="preserve">, P., &amp; Flores Gallegos, R. (2018). Relación entre apoyo social, estrés, ansiedad y depresión durante el embarazo en una población mexicana. </w:t>
      </w:r>
      <w:r>
        <w:rPr>
          <w:i/>
        </w:rPr>
        <w:t>Ansiedad y Estrés</w:t>
      </w:r>
      <w:r>
        <w:t xml:space="preserve">, </w:t>
      </w:r>
      <w:r>
        <w:rPr>
          <w:i/>
        </w:rPr>
        <w:t>24</w:t>
      </w:r>
      <w:r>
        <w:t>(2–3), 67–72. https://doi.org/10.1016/j.anyes.2018.03.003</w:t>
      </w:r>
    </w:p>
    <w:p w14:paraId="5CD6944D" w14:textId="77777777" w:rsidR="00250869" w:rsidRPr="003A78D2" w:rsidRDefault="00802DB6">
      <w:pPr>
        <w:widowControl w:val="0"/>
        <w:spacing w:after="160"/>
        <w:ind w:left="480" w:hanging="480"/>
        <w:rPr>
          <w:lang w:val="en-US"/>
        </w:rPr>
      </w:pPr>
      <w:proofErr w:type="spellStart"/>
      <w:r>
        <w:t>Roukova</w:t>
      </w:r>
      <w:proofErr w:type="spellEnd"/>
      <w:r>
        <w:t xml:space="preserve">, P., </w:t>
      </w:r>
      <w:proofErr w:type="spellStart"/>
      <w:r>
        <w:t>Todorova</w:t>
      </w:r>
      <w:proofErr w:type="spellEnd"/>
      <w:r>
        <w:t xml:space="preserve">, E., </w:t>
      </w:r>
      <w:proofErr w:type="spellStart"/>
      <w:r>
        <w:t>Mujika</w:t>
      </w:r>
      <w:proofErr w:type="spellEnd"/>
      <w:r>
        <w:t xml:space="preserve">, A., </w:t>
      </w:r>
      <w:proofErr w:type="spellStart"/>
      <w:r>
        <w:t>Koetsenruijter</w:t>
      </w:r>
      <w:proofErr w:type="spellEnd"/>
      <w:r>
        <w:t xml:space="preserve">, J., </w:t>
      </w:r>
      <w:proofErr w:type="spellStart"/>
      <w:r>
        <w:t>Foss</w:t>
      </w:r>
      <w:proofErr w:type="spellEnd"/>
      <w:r>
        <w:t xml:space="preserve">, C., Gil, M. S., … </w:t>
      </w:r>
      <w:r w:rsidRPr="003A78D2">
        <w:rPr>
          <w:lang w:val="en-US"/>
        </w:rPr>
        <w:t xml:space="preserve">Rogers, A. (2015). Social Support and Health in Diabetes Patients: An Observational Study in Six European Countries in an Era of Austerity. </w:t>
      </w:r>
      <w:proofErr w:type="spellStart"/>
      <w:r w:rsidRPr="003A78D2">
        <w:rPr>
          <w:i/>
          <w:lang w:val="en-US"/>
        </w:rPr>
        <w:t>Plos</w:t>
      </w:r>
      <w:proofErr w:type="spellEnd"/>
      <w:r w:rsidRPr="003A78D2">
        <w:rPr>
          <w:i/>
          <w:lang w:val="en-US"/>
        </w:rPr>
        <w:t xml:space="preserve"> One</w:t>
      </w:r>
      <w:r w:rsidRPr="003A78D2">
        <w:rPr>
          <w:lang w:val="en-US"/>
        </w:rPr>
        <w:t xml:space="preserve">, </w:t>
      </w:r>
      <w:r w:rsidRPr="003A78D2">
        <w:rPr>
          <w:i/>
          <w:lang w:val="en-US"/>
        </w:rPr>
        <w:t>10</w:t>
      </w:r>
      <w:r w:rsidRPr="003A78D2">
        <w:rPr>
          <w:lang w:val="en-US"/>
        </w:rPr>
        <w:t>(8), e0135079. https://doi.org/10.1371/journal.pone.0135079</w:t>
      </w:r>
    </w:p>
    <w:p w14:paraId="2F044124" w14:textId="77777777" w:rsidR="00250869" w:rsidRPr="003A78D2" w:rsidRDefault="00802DB6">
      <w:pPr>
        <w:widowControl w:val="0"/>
        <w:spacing w:after="160"/>
        <w:ind w:left="480" w:hanging="480"/>
        <w:rPr>
          <w:lang w:val="en-US"/>
        </w:rPr>
      </w:pPr>
      <w:r w:rsidRPr="003A78D2">
        <w:rPr>
          <w:lang w:val="en-US"/>
        </w:rPr>
        <w:t xml:space="preserve">Taylor, S. E. (2004). the Tending Instinct: How Nurturing Is Essential </w:t>
      </w:r>
      <w:proofErr w:type="gramStart"/>
      <w:r w:rsidRPr="003A78D2">
        <w:rPr>
          <w:lang w:val="en-US"/>
        </w:rPr>
        <w:t>To</w:t>
      </w:r>
      <w:proofErr w:type="gramEnd"/>
      <w:r w:rsidRPr="003A78D2">
        <w:rPr>
          <w:lang w:val="en-US"/>
        </w:rPr>
        <w:t xml:space="preserve"> Who We Are and How We Live (2002). </w:t>
      </w:r>
      <w:r w:rsidRPr="003A78D2">
        <w:rPr>
          <w:i/>
          <w:lang w:val="en-US"/>
        </w:rPr>
        <w:t>Issues in Mental Health Nursing</w:t>
      </w:r>
      <w:r w:rsidRPr="003A78D2">
        <w:rPr>
          <w:lang w:val="en-US"/>
        </w:rPr>
        <w:t xml:space="preserve">, </w:t>
      </w:r>
      <w:r w:rsidRPr="003A78D2">
        <w:rPr>
          <w:i/>
          <w:lang w:val="en-US"/>
        </w:rPr>
        <w:t>25</w:t>
      </w:r>
      <w:r w:rsidRPr="003A78D2">
        <w:rPr>
          <w:lang w:val="en-US"/>
        </w:rPr>
        <w:t>(7), 747–749. https://doi.org/10.1080/01612840490486845</w:t>
      </w:r>
    </w:p>
    <w:p w14:paraId="5143BC85" w14:textId="77777777" w:rsidR="00250869" w:rsidRPr="003A78D2" w:rsidRDefault="00802DB6">
      <w:pPr>
        <w:widowControl w:val="0"/>
        <w:spacing w:after="160"/>
        <w:ind w:left="480" w:hanging="480"/>
        <w:rPr>
          <w:lang w:val="en-US"/>
        </w:rPr>
      </w:pPr>
      <w:r w:rsidRPr="003A78D2">
        <w:rPr>
          <w:lang w:val="en-US"/>
        </w:rPr>
        <w:t xml:space="preserve">Taylor, S. E., Klein, L. C., Lewis, B. P., Gruenewald, T. L., Gurung, R. A. R., &amp; </w:t>
      </w:r>
      <w:proofErr w:type="spellStart"/>
      <w:r w:rsidRPr="003A78D2">
        <w:rPr>
          <w:lang w:val="en-US"/>
        </w:rPr>
        <w:t>Updegraff</w:t>
      </w:r>
      <w:proofErr w:type="spellEnd"/>
      <w:r w:rsidRPr="003A78D2">
        <w:rPr>
          <w:lang w:val="en-US"/>
        </w:rPr>
        <w:t xml:space="preserve">, J. A. (2000). Biobehavioral responses to stress in females: Tend-and-befriend, not fight-or-flight. </w:t>
      </w:r>
      <w:r w:rsidRPr="003A78D2">
        <w:rPr>
          <w:i/>
          <w:lang w:val="en-US"/>
        </w:rPr>
        <w:t>Psychological Review</w:t>
      </w:r>
      <w:r w:rsidRPr="003A78D2">
        <w:rPr>
          <w:lang w:val="en-US"/>
        </w:rPr>
        <w:t xml:space="preserve">, </w:t>
      </w:r>
      <w:r w:rsidRPr="003A78D2">
        <w:rPr>
          <w:i/>
          <w:lang w:val="en-US"/>
        </w:rPr>
        <w:t>107</w:t>
      </w:r>
      <w:r w:rsidRPr="003A78D2">
        <w:rPr>
          <w:lang w:val="en-US"/>
        </w:rPr>
        <w:t>(3), 411–429. https://doi.org/10.1037/0033-295X.107.3.411</w:t>
      </w:r>
    </w:p>
    <w:p w14:paraId="2EA42E3B" w14:textId="77777777" w:rsidR="00250869" w:rsidRPr="003A78D2" w:rsidRDefault="00802DB6">
      <w:pPr>
        <w:widowControl w:val="0"/>
        <w:spacing w:after="160"/>
        <w:ind w:left="480" w:hanging="480"/>
        <w:rPr>
          <w:lang w:val="en-US"/>
        </w:rPr>
      </w:pPr>
      <w:proofErr w:type="spellStart"/>
      <w:r w:rsidRPr="003A78D2">
        <w:rPr>
          <w:lang w:val="en-US"/>
        </w:rPr>
        <w:t>Thoits</w:t>
      </w:r>
      <w:proofErr w:type="spellEnd"/>
      <w:r w:rsidRPr="003A78D2">
        <w:rPr>
          <w:lang w:val="en-US"/>
        </w:rPr>
        <w:t xml:space="preserve">, P. A. (2006). Conceptual, Methodological, and Theoretical Problems in Studying Social Support as a Buffer Against Life Stress. </w:t>
      </w:r>
      <w:r w:rsidRPr="003A78D2">
        <w:rPr>
          <w:i/>
          <w:lang w:val="en-US"/>
        </w:rPr>
        <w:t>Journal of Health and Social Behavior</w:t>
      </w:r>
      <w:r w:rsidRPr="003A78D2">
        <w:rPr>
          <w:lang w:val="en-US"/>
        </w:rPr>
        <w:t xml:space="preserve">, </w:t>
      </w:r>
      <w:r w:rsidRPr="003A78D2">
        <w:rPr>
          <w:i/>
          <w:lang w:val="en-US"/>
        </w:rPr>
        <w:t>23</w:t>
      </w:r>
      <w:r w:rsidRPr="003A78D2">
        <w:rPr>
          <w:lang w:val="en-US"/>
        </w:rPr>
        <w:t>(2), 145. https://doi.org/10.2307/2136511</w:t>
      </w:r>
    </w:p>
    <w:p w14:paraId="6B8E6732" w14:textId="77777777" w:rsidR="00250869" w:rsidRPr="003A78D2" w:rsidRDefault="00802DB6">
      <w:pPr>
        <w:widowControl w:val="0"/>
        <w:spacing w:after="160"/>
        <w:ind w:left="480" w:hanging="480"/>
        <w:rPr>
          <w:lang w:val="en-US"/>
        </w:rPr>
      </w:pPr>
      <w:r w:rsidRPr="003A78D2">
        <w:rPr>
          <w:lang w:val="en-US"/>
        </w:rPr>
        <w:lastRenderedPageBreak/>
        <w:t xml:space="preserve">Uchino, B. N. (2009). Understanding the Links Between Social Support and Physical Health: A Life-Span Perspective </w:t>
      </w:r>
      <w:proofErr w:type="gramStart"/>
      <w:r w:rsidRPr="003A78D2">
        <w:rPr>
          <w:lang w:val="en-US"/>
        </w:rPr>
        <w:t>With</w:t>
      </w:r>
      <w:proofErr w:type="gramEnd"/>
      <w:r w:rsidRPr="003A78D2">
        <w:rPr>
          <w:lang w:val="en-US"/>
        </w:rPr>
        <w:t xml:space="preserve"> Emphasis on the Separability of Perceived and Received Support. </w:t>
      </w:r>
      <w:r w:rsidRPr="003A78D2">
        <w:rPr>
          <w:i/>
          <w:lang w:val="en-US"/>
        </w:rPr>
        <w:t>Perspectives on Psychological Science</w:t>
      </w:r>
      <w:r w:rsidRPr="003A78D2">
        <w:rPr>
          <w:lang w:val="en-US"/>
        </w:rPr>
        <w:t xml:space="preserve">, </w:t>
      </w:r>
      <w:r w:rsidRPr="003A78D2">
        <w:rPr>
          <w:i/>
          <w:lang w:val="en-US"/>
        </w:rPr>
        <w:t>4</w:t>
      </w:r>
      <w:r w:rsidRPr="003A78D2">
        <w:rPr>
          <w:lang w:val="en-US"/>
        </w:rPr>
        <w:t>(3), 236–255. https://doi.org/10.1111/j.1745-6924.2009.01122.x</w:t>
      </w:r>
    </w:p>
    <w:p w14:paraId="5119DA3B" w14:textId="77777777" w:rsidR="00250869" w:rsidRPr="003A78D2" w:rsidRDefault="00802DB6">
      <w:pPr>
        <w:widowControl w:val="0"/>
        <w:spacing w:after="160"/>
        <w:ind w:left="480" w:hanging="480"/>
        <w:rPr>
          <w:lang w:val="en-US"/>
        </w:rPr>
      </w:pPr>
      <w:proofErr w:type="spellStart"/>
      <w:r w:rsidRPr="003A78D2">
        <w:rPr>
          <w:lang w:val="en-US"/>
        </w:rPr>
        <w:t>Vaglio</w:t>
      </w:r>
      <w:proofErr w:type="spellEnd"/>
      <w:r w:rsidRPr="003A78D2">
        <w:rPr>
          <w:lang w:val="en-US"/>
        </w:rPr>
        <w:t xml:space="preserve">, J., Conard, M., Poston, W. S., O’Keefe, J., Haddock, C. K., House, J., &amp; </w:t>
      </w:r>
      <w:proofErr w:type="spellStart"/>
      <w:r w:rsidRPr="003A78D2">
        <w:rPr>
          <w:lang w:val="en-US"/>
        </w:rPr>
        <w:t>Spertus</w:t>
      </w:r>
      <w:proofErr w:type="spellEnd"/>
      <w:r w:rsidRPr="003A78D2">
        <w:rPr>
          <w:lang w:val="en-US"/>
        </w:rPr>
        <w:t xml:space="preserve">, J. A. (2004). Testing the Performance of the ENRICHD Social Support Instrument in Cardiac Patients. </w:t>
      </w:r>
      <w:r w:rsidRPr="003A78D2">
        <w:rPr>
          <w:i/>
          <w:lang w:val="en-US"/>
        </w:rPr>
        <w:t>Health and Quality of Life Outcomes</w:t>
      </w:r>
      <w:r w:rsidRPr="003A78D2">
        <w:rPr>
          <w:lang w:val="en-US"/>
        </w:rPr>
        <w:t xml:space="preserve">, </w:t>
      </w:r>
      <w:r w:rsidRPr="003A78D2">
        <w:rPr>
          <w:i/>
          <w:lang w:val="en-US"/>
        </w:rPr>
        <w:t>2</w:t>
      </w:r>
      <w:r w:rsidRPr="003A78D2">
        <w:rPr>
          <w:lang w:val="en-US"/>
        </w:rPr>
        <w:t>(1), 24. https://doi.org/10.1186/1477-7525-2-24</w:t>
      </w:r>
    </w:p>
    <w:p w14:paraId="67D5E704" w14:textId="77777777" w:rsidR="00250869" w:rsidRDefault="00802DB6">
      <w:pPr>
        <w:widowControl w:val="0"/>
        <w:spacing w:after="160"/>
        <w:ind w:left="480" w:hanging="480"/>
      </w:pPr>
      <w:proofErr w:type="spellStart"/>
      <w:r w:rsidRPr="003A78D2">
        <w:rPr>
          <w:lang w:val="en-US"/>
        </w:rPr>
        <w:t>Vélez</w:t>
      </w:r>
      <w:proofErr w:type="spellEnd"/>
      <w:r w:rsidRPr="003A78D2">
        <w:rPr>
          <w:lang w:val="en-US"/>
        </w:rPr>
        <w:t xml:space="preserve">, R., López, S., &amp; </w:t>
      </w:r>
      <w:proofErr w:type="spellStart"/>
      <w:r w:rsidRPr="003A78D2">
        <w:rPr>
          <w:lang w:val="en-US"/>
        </w:rPr>
        <w:t>Rajmil</w:t>
      </w:r>
      <w:proofErr w:type="spellEnd"/>
      <w:r w:rsidRPr="003A78D2">
        <w:rPr>
          <w:lang w:val="en-US"/>
        </w:rPr>
        <w:t xml:space="preserve">, L. (2009). </w:t>
      </w:r>
      <w:r>
        <w:t xml:space="preserve">Género y salud percibida en la infancia y la adolescencia en España. </w:t>
      </w:r>
      <w:r>
        <w:rPr>
          <w:i/>
        </w:rPr>
        <w:t>Gaceta Sanitaria</w:t>
      </w:r>
      <w:r>
        <w:t xml:space="preserve">, </w:t>
      </w:r>
      <w:r>
        <w:rPr>
          <w:i/>
        </w:rPr>
        <w:t>23</w:t>
      </w:r>
      <w:r>
        <w:t>(5), 433–439. https://doi.org/10.1016/j.gaceta.2009.01.014</w:t>
      </w:r>
    </w:p>
    <w:p w14:paraId="140C7FA3" w14:textId="77777777" w:rsidR="00250869" w:rsidRPr="003A78D2" w:rsidRDefault="00802DB6">
      <w:pPr>
        <w:widowControl w:val="0"/>
        <w:spacing w:after="160"/>
        <w:ind w:left="480" w:hanging="480"/>
        <w:rPr>
          <w:lang w:val="en-US"/>
        </w:rPr>
      </w:pPr>
      <w:r>
        <w:t xml:space="preserve">Yang, Y. C., </w:t>
      </w:r>
      <w:proofErr w:type="spellStart"/>
      <w:r>
        <w:t>Boen</w:t>
      </w:r>
      <w:proofErr w:type="spellEnd"/>
      <w:r>
        <w:t xml:space="preserve">, C., &amp; Mullan Harris, K. (2014). </w:t>
      </w:r>
      <w:r w:rsidRPr="003A78D2">
        <w:rPr>
          <w:lang w:val="en-US"/>
        </w:rPr>
        <w:t xml:space="preserve">Social Relationships and Hypertension in Late Life. </w:t>
      </w:r>
      <w:r w:rsidRPr="003A78D2">
        <w:rPr>
          <w:i/>
          <w:lang w:val="en-US"/>
        </w:rPr>
        <w:t>Journal of Aging and Health</w:t>
      </w:r>
      <w:r w:rsidRPr="003A78D2">
        <w:rPr>
          <w:lang w:val="en-US"/>
        </w:rPr>
        <w:t xml:space="preserve">, </w:t>
      </w:r>
      <w:r w:rsidRPr="003A78D2">
        <w:rPr>
          <w:i/>
          <w:lang w:val="en-US"/>
        </w:rPr>
        <w:t>27</w:t>
      </w:r>
      <w:r w:rsidRPr="003A78D2">
        <w:rPr>
          <w:lang w:val="en-US"/>
        </w:rPr>
        <w:t>(3), 403–431. https://doi.org/10.1177/0898264314551172</w:t>
      </w:r>
    </w:p>
    <w:p w14:paraId="3E895B5E" w14:textId="77777777" w:rsidR="00250869" w:rsidRPr="003A78D2" w:rsidRDefault="00802DB6">
      <w:pPr>
        <w:widowControl w:val="0"/>
        <w:spacing w:after="160"/>
        <w:ind w:left="480" w:hanging="480"/>
        <w:rPr>
          <w:lang w:val="en-US"/>
        </w:rPr>
      </w:pPr>
      <w:r w:rsidRPr="003A78D2">
        <w:rPr>
          <w:lang w:val="en-US"/>
        </w:rPr>
        <w:t xml:space="preserve">Yildirim, M., &amp; </w:t>
      </w:r>
      <w:proofErr w:type="spellStart"/>
      <w:r w:rsidRPr="003A78D2">
        <w:rPr>
          <w:lang w:val="en-US"/>
        </w:rPr>
        <w:t>Çelik-Tanriverdi</w:t>
      </w:r>
      <w:proofErr w:type="spellEnd"/>
      <w:r w:rsidRPr="003A78D2">
        <w:rPr>
          <w:lang w:val="en-US"/>
        </w:rPr>
        <w:t xml:space="preserve">, F. (2020). Social support, resilience and subjective well-being in college students. </w:t>
      </w:r>
      <w:r w:rsidRPr="003A78D2">
        <w:rPr>
          <w:i/>
          <w:lang w:val="en-US"/>
        </w:rPr>
        <w:t>Journal of Positive School Psychology</w:t>
      </w:r>
      <w:r w:rsidRPr="003A78D2">
        <w:rPr>
          <w:lang w:val="en-US"/>
        </w:rPr>
        <w:t>, 1–9.</w:t>
      </w:r>
    </w:p>
    <w:p w14:paraId="3683061B" w14:textId="77777777" w:rsidR="00250869" w:rsidRPr="003A78D2" w:rsidRDefault="00802DB6">
      <w:pPr>
        <w:widowControl w:val="0"/>
        <w:spacing w:after="160"/>
        <w:ind w:left="480" w:hanging="480"/>
        <w:rPr>
          <w:lang w:val="en-US"/>
        </w:rPr>
      </w:pPr>
      <w:r w:rsidRPr="003A78D2">
        <w:rPr>
          <w:lang w:val="en-US"/>
        </w:rPr>
        <w:t xml:space="preserve">Yin, S., Yang, Q., </w:t>
      </w:r>
      <w:proofErr w:type="spellStart"/>
      <w:r w:rsidRPr="003A78D2">
        <w:rPr>
          <w:lang w:val="en-US"/>
        </w:rPr>
        <w:t>Xiong</w:t>
      </w:r>
      <w:proofErr w:type="spellEnd"/>
      <w:r w:rsidRPr="003A78D2">
        <w:rPr>
          <w:lang w:val="en-US"/>
        </w:rPr>
        <w:t xml:space="preserve">, J., Li, T., &amp; Zhu, X. (2020). Social Support and the Incidence of Cognitive Impairment Among Older Adults in China: Findings </w:t>
      </w:r>
      <w:proofErr w:type="gramStart"/>
      <w:r w:rsidRPr="003A78D2">
        <w:rPr>
          <w:lang w:val="en-US"/>
        </w:rPr>
        <w:t>From</w:t>
      </w:r>
      <w:proofErr w:type="gramEnd"/>
      <w:r w:rsidRPr="003A78D2">
        <w:rPr>
          <w:lang w:val="en-US"/>
        </w:rPr>
        <w:t xml:space="preserve"> the Chinese Longitudinal Healthy Longevity Survey Study. </w:t>
      </w:r>
      <w:r w:rsidRPr="003A78D2">
        <w:rPr>
          <w:i/>
          <w:lang w:val="en-US"/>
        </w:rPr>
        <w:t>Frontiers in Psychiatry</w:t>
      </w:r>
      <w:r w:rsidRPr="003A78D2">
        <w:rPr>
          <w:lang w:val="en-US"/>
        </w:rPr>
        <w:t xml:space="preserve">, </w:t>
      </w:r>
      <w:r w:rsidRPr="003A78D2">
        <w:rPr>
          <w:i/>
          <w:lang w:val="en-US"/>
        </w:rPr>
        <w:t>11</w:t>
      </w:r>
      <w:r w:rsidRPr="003A78D2">
        <w:rPr>
          <w:lang w:val="en-US"/>
        </w:rPr>
        <w:t>(April), 1–10. https://doi.org/10.3389/fpsyt.2020.00254</w:t>
      </w:r>
    </w:p>
    <w:p w14:paraId="5B8E154B" w14:textId="77777777" w:rsidR="00250869" w:rsidRPr="003A78D2" w:rsidRDefault="00250869">
      <w:pPr>
        <w:widowControl w:val="0"/>
        <w:ind w:left="480" w:hanging="480"/>
        <w:rPr>
          <w:lang w:val="en-US"/>
        </w:rPr>
      </w:pPr>
    </w:p>
    <w:p w14:paraId="74D3D621" w14:textId="77777777" w:rsidR="00250869" w:rsidRPr="003A78D2" w:rsidRDefault="00250869">
      <w:pPr>
        <w:ind w:left="720" w:hanging="720"/>
        <w:jc w:val="both"/>
        <w:rPr>
          <w:lang w:val="en-US"/>
        </w:rPr>
      </w:pPr>
    </w:p>
    <w:p w14:paraId="7DCAA1CD" w14:textId="77777777" w:rsidR="00250869" w:rsidRPr="003A78D2" w:rsidRDefault="00250869">
      <w:pPr>
        <w:ind w:left="720" w:hanging="720"/>
        <w:jc w:val="both"/>
        <w:rPr>
          <w:lang w:val="en-US"/>
        </w:rPr>
      </w:pPr>
    </w:p>
    <w:p w14:paraId="61AE3260" w14:textId="77777777" w:rsidR="00250869" w:rsidRPr="003A78D2" w:rsidRDefault="00250869">
      <w:pPr>
        <w:ind w:left="720" w:hanging="720"/>
        <w:jc w:val="both"/>
        <w:rPr>
          <w:lang w:val="en-US"/>
        </w:rPr>
      </w:pPr>
    </w:p>
    <w:p w14:paraId="72CF8548" w14:textId="77777777" w:rsidR="00250869" w:rsidRPr="003A78D2" w:rsidRDefault="00802DB6">
      <w:pPr>
        <w:shd w:val="clear" w:color="auto" w:fill="FFFFFF"/>
        <w:jc w:val="right"/>
        <w:rPr>
          <w:i/>
          <w:sz w:val="20"/>
          <w:szCs w:val="20"/>
          <w:lang w:val="en-US"/>
        </w:rPr>
      </w:pPr>
      <w:r w:rsidRPr="003A78D2">
        <w:rPr>
          <w:i/>
          <w:sz w:val="20"/>
          <w:szCs w:val="20"/>
          <w:lang w:val="en-US"/>
        </w:rPr>
        <w:t xml:space="preserve">Received: </w:t>
      </w:r>
    </w:p>
    <w:p w14:paraId="1E391764" w14:textId="77777777" w:rsidR="00250869" w:rsidRPr="003A78D2" w:rsidRDefault="00802DB6">
      <w:pPr>
        <w:shd w:val="clear" w:color="auto" w:fill="FFFFFF"/>
        <w:jc w:val="right"/>
        <w:rPr>
          <w:i/>
          <w:sz w:val="20"/>
          <w:szCs w:val="20"/>
          <w:lang w:val="en-US"/>
        </w:rPr>
      </w:pPr>
      <w:r w:rsidRPr="003A78D2">
        <w:rPr>
          <w:i/>
          <w:sz w:val="20"/>
          <w:szCs w:val="20"/>
          <w:lang w:val="en-US"/>
        </w:rPr>
        <w:t>Accepted:</w:t>
      </w:r>
      <w:r w:rsidRPr="003A78D2">
        <w:rPr>
          <w:rFonts w:ascii="Quattrocento Sans" w:eastAsia="Quattrocento Sans" w:hAnsi="Quattrocento Sans" w:cs="Quattrocento Sans"/>
          <w:sz w:val="21"/>
          <w:szCs w:val="21"/>
          <w:highlight w:val="white"/>
          <w:lang w:val="en-US"/>
        </w:rPr>
        <w:t xml:space="preserve"> </w:t>
      </w:r>
    </w:p>
    <w:p w14:paraId="0F43111A" w14:textId="77777777" w:rsidR="00250869" w:rsidRPr="003A78D2" w:rsidRDefault="00250869">
      <w:pPr>
        <w:rPr>
          <w:i/>
          <w:sz w:val="28"/>
          <w:szCs w:val="28"/>
          <w:lang w:val="en-US"/>
        </w:rPr>
      </w:pPr>
    </w:p>
    <w:sectPr w:rsidR="00250869" w:rsidRPr="003A78D2" w:rsidSect="00564AEE">
      <w:headerReference w:type="even" r:id="rId10"/>
      <w:headerReference w:type="default" r:id="rId11"/>
      <w:footerReference w:type="even" r:id="rId12"/>
      <w:footerReference w:type="default" r:id="rId13"/>
      <w:pgSz w:w="12240" w:h="15840"/>
      <w:pgMar w:top="1440" w:right="1440" w:bottom="1440" w:left="1440" w:header="720" w:footer="720" w:gutter="0"/>
      <w:pgBorders w:offsetFrom="page">
        <w:bottom w:val="sing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485D2" w14:textId="77777777" w:rsidR="00DD0FD8" w:rsidRDefault="00DD0FD8">
      <w:r>
        <w:separator/>
      </w:r>
    </w:p>
  </w:endnote>
  <w:endnote w:type="continuationSeparator" w:id="0">
    <w:p w14:paraId="440D6A83" w14:textId="77777777" w:rsidR="00DD0FD8" w:rsidRDefault="00DD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Noto Sans Symbols">
    <w:altName w:val="Calibri"/>
    <w:panose1 w:val="020B0604020202020204"/>
    <w:charset w:val="00"/>
    <w:family w:val="auto"/>
    <w:pitch w:val="default"/>
  </w:font>
  <w:font w:name="Gungsuh">
    <w:panose1 w:val="02030600000101010101"/>
    <w:charset w:val="81"/>
    <w:family w:val="roman"/>
    <w:pitch w:val="variable"/>
    <w:sig w:usb0="B00002AF" w:usb1="69D77CFB" w:usb2="00000030" w:usb3="00000000" w:csb0="0008009F" w:csb1="00000000"/>
  </w:font>
  <w:font w:name="Quattrocento Sans">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9ABD7" w14:textId="27FCB626" w:rsidR="00250869" w:rsidRDefault="00802DB6">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BC5872">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645246D2" w14:textId="77777777" w:rsidR="00250869" w:rsidRDefault="00250869">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E6CF4" w14:textId="2699974E" w:rsidR="00250869" w:rsidRDefault="00802DB6">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BC5872">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7486BB88" w14:textId="77777777" w:rsidR="00250869" w:rsidRDefault="00250869">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24643" w14:textId="77777777" w:rsidR="00DD0FD8" w:rsidRDefault="00DD0FD8">
      <w:r>
        <w:separator/>
      </w:r>
    </w:p>
  </w:footnote>
  <w:footnote w:type="continuationSeparator" w:id="0">
    <w:p w14:paraId="3EAEFB9E" w14:textId="77777777" w:rsidR="00DD0FD8" w:rsidRDefault="00DD0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14BE4" w14:textId="0A602C8B" w:rsidR="00250869" w:rsidRDefault="00250869">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54C69" w14:textId="77777777" w:rsidR="00250869" w:rsidRDefault="00802DB6">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of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hidden="0" allowOverlap="1" wp14:anchorId="69067CEC" wp14:editId="38F36691">
          <wp:simplePos x="0" y="0"/>
          <wp:positionH relativeFrom="column">
            <wp:posOffset>64656</wp:posOffset>
          </wp:positionH>
          <wp:positionV relativeFrom="paragraph">
            <wp:posOffset>-253536</wp:posOffset>
          </wp:positionV>
          <wp:extent cx="681164" cy="628073"/>
          <wp:effectExtent l="0" t="0" r="0" b="0"/>
          <wp:wrapNone/>
          <wp:docPr id="1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38D15833" w14:textId="3D84DB1B" w:rsidR="00250869" w:rsidRDefault="00250869">
    <w:pPr>
      <w:pBdr>
        <w:top w:val="nil"/>
        <w:left w:val="nil"/>
        <w:bottom w:val="nil"/>
        <w:right w:val="nil"/>
        <w:between w:val="nil"/>
      </w:pBdr>
      <w:tabs>
        <w:tab w:val="center" w:pos="4680"/>
        <w:tab w:val="right" w:pos="9360"/>
      </w:tabs>
      <w:jc w:val="right"/>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869"/>
    <w:rsid w:val="001204A7"/>
    <w:rsid w:val="00250869"/>
    <w:rsid w:val="00331BAB"/>
    <w:rsid w:val="003A78D2"/>
    <w:rsid w:val="003F4652"/>
    <w:rsid w:val="005225C5"/>
    <w:rsid w:val="00564AEE"/>
    <w:rsid w:val="00785DD5"/>
    <w:rsid w:val="00802DB6"/>
    <w:rsid w:val="008B78C1"/>
    <w:rsid w:val="008E6791"/>
    <w:rsid w:val="00971C28"/>
    <w:rsid w:val="00A64B4D"/>
    <w:rsid w:val="00AC69C6"/>
    <w:rsid w:val="00BC5872"/>
    <w:rsid w:val="00BD4FE7"/>
    <w:rsid w:val="00CE4F83"/>
    <w:rsid w:val="00DD0FD8"/>
    <w:rsid w:val="00E359A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19D84D3C"/>
  <w15:docId w15:val="{12BC268A-D325-1B4C-940E-01A8FB7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5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8566DB"/>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8566DB"/>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NormalTable0">
    <w:name w:val="Normal Table0"/>
    <w:rsid w:val="00A93146"/>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table" w:styleId="Tablaconcuadrculaclara">
    <w:name w:val="Grid Table Light"/>
    <w:basedOn w:val="Tablanormal"/>
    <w:uiPriority w:val="40"/>
    <w:rsid w:val="008566DB"/>
    <w:rPr>
      <w:sz w:val="22"/>
      <w:szCs w:val="22"/>
      <w:lang w:val="es-C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rPr>
      <w:sz w:val="22"/>
      <w:szCs w:val="22"/>
    </w:rPr>
    <w:tblPr>
      <w:tblStyleRowBandSize w:val="1"/>
      <w:tblStyleColBandSize w:val="1"/>
      <w:tblCellMar>
        <w:left w:w="108" w:type="dxa"/>
        <w:right w:w="108" w:type="dxa"/>
      </w:tblCellMar>
    </w:tblPr>
  </w:style>
  <w:style w:type="table" w:customStyle="1" w:styleId="a0">
    <w:basedOn w:val="NormalTable0"/>
    <w:rPr>
      <w:sz w:val="22"/>
      <w:szCs w:val="22"/>
    </w:rPr>
    <w:tblPr>
      <w:tblStyleRowBandSize w:val="1"/>
      <w:tblStyleColBandSize w:val="1"/>
      <w:tblCellMar>
        <w:left w:w="108" w:type="dxa"/>
        <w:right w:w="108" w:type="dxa"/>
      </w:tblCellMar>
    </w:tblPr>
  </w:style>
  <w:style w:type="table" w:customStyle="1" w:styleId="a1">
    <w:basedOn w:val="NormalTable0"/>
    <w:rPr>
      <w:sz w:val="22"/>
      <w:szCs w:val="22"/>
    </w:rPr>
    <w:tblPr>
      <w:tblStyleRowBandSize w:val="1"/>
      <w:tblStyleColBandSize w:val="1"/>
      <w:tblCellMar>
        <w:left w:w="108" w:type="dxa"/>
        <w:right w:w="108" w:type="dxa"/>
      </w:tblCellMar>
    </w:tblPr>
  </w:style>
  <w:style w:type="table" w:customStyle="1" w:styleId="a2">
    <w:basedOn w:val="NormalTable0"/>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Udux96cGuHMezM9BSuQE1EtUSw==">AMUW2mUablEmspPdNR5D2PBUIvUSQ3q/y2OqqhL0wMS6JSK2PQaNdDY+wAk2GkSR+JyQWSLwEt3mpcvaMyjkzz5+4IffyiK/F9yxnb9RLzDdaFygqesSQOpFomHYX+SBr2p3cKfG9Si9GICQO6I/TZ3N+OKSME/r6A==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5497</Words>
  <Characters>30238</Characters>
  <Application>Microsoft Office Word</Application>
  <DocSecurity>0</DocSecurity>
  <Lines>251</Lines>
  <Paragraphs>71</Paragraphs>
  <ScaleCrop>false</ScaleCrop>
  <Company/>
  <LinksUpToDate>false</LinksUpToDate>
  <CharactersWithSpaces>35664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Manuel Ortiz</cp:lastModifiedBy>
  <cp:revision>20</cp:revision>
  <dcterms:created xsi:type="dcterms:W3CDTF">2021-04-16T16:42:00Z</dcterms:created>
  <dcterms:modified xsi:type="dcterms:W3CDTF">2021-04-19T15:01:00Z</dcterms:modified>
</cp:coreProperties>
</file>