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14BF6" w14:textId="77777777" w:rsidR="00130B29" w:rsidRDefault="00130B29" w:rsidP="00130B29">
      <w:pPr>
        <w:spacing w:after="0"/>
        <w:jc w:val="center"/>
        <w:rPr>
          <w:rFonts w:eastAsia="Times New Roman"/>
          <w:lang w:val="en-US"/>
        </w:rPr>
      </w:pPr>
      <w:bookmarkStart w:id="0" w:name="_gjdgxs" w:colFirst="0" w:colLast="0"/>
      <w:bookmarkEnd w:id="0"/>
    </w:p>
    <w:p w14:paraId="0E687D11" w14:textId="77777777" w:rsidR="00130B29" w:rsidRDefault="00130B29" w:rsidP="00130B29">
      <w:pPr>
        <w:spacing w:after="0"/>
        <w:jc w:val="center"/>
        <w:rPr>
          <w:rFonts w:eastAsia="Times New Roman"/>
          <w:lang w:val="en-US"/>
        </w:rPr>
      </w:pPr>
    </w:p>
    <w:p w14:paraId="39362663" w14:textId="1617777A" w:rsidR="00130B29" w:rsidRDefault="00130B29" w:rsidP="00130B29">
      <w:pPr>
        <w:spacing w:after="0"/>
        <w:rPr>
          <w:rFonts w:eastAsia="Times New Roman"/>
          <w:sz w:val="26"/>
          <w:szCs w:val="26"/>
          <w:lang w:val="en-US"/>
        </w:rPr>
      </w:pPr>
      <w:r w:rsidRPr="00130B29">
        <w:rPr>
          <w:rFonts w:eastAsia="Times New Roman"/>
          <w:sz w:val="26"/>
          <w:szCs w:val="26"/>
          <w:lang w:val="en-US"/>
        </w:rPr>
        <w:t xml:space="preserve">Validity Evidence for </w:t>
      </w:r>
      <w:r w:rsidRPr="00130B29">
        <w:rPr>
          <w:rStyle w:val="jlqj4b"/>
          <w:sz w:val="26"/>
          <w:szCs w:val="26"/>
          <w:lang w:val="en"/>
        </w:rPr>
        <w:t>Short Markers of Mental Health in Undergraduate Students</w:t>
      </w:r>
      <w:r w:rsidRPr="00130B29">
        <w:rPr>
          <w:rFonts w:eastAsia="Times New Roman"/>
          <w:sz w:val="26"/>
          <w:szCs w:val="26"/>
          <w:lang w:val="en-US"/>
        </w:rPr>
        <w:t xml:space="preserve"> </w:t>
      </w:r>
    </w:p>
    <w:p w14:paraId="1D4F5059" w14:textId="06CA35AF" w:rsidR="00BD3E2E" w:rsidRDefault="00BD3E2E" w:rsidP="00130B29">
      <w:pPr>
        <w:spacing w:after="0"/>
        <w:rPr>
          <w:rFonts w:eastAsia="Times New Roman"/>
          <w:sz w:val="26"/>
          <w:szCs w:val="26"/>
          <w:lang w:val="en-US"/>
        </w:rPr>
      </w:pPr>
    </w:p>
    <w:p w14:paraId="167A3BC4" w14:textId="6A5382BA" w:rsidR="00BD3E2E" w:rsidRDefault="00BD3E2E" w:rsidP="00130B29">
      <w:pPr>
        <w:spacing w:after="0"/>
        <w:rPr>
          <w:rFonts w:eastAsia="Times New Roman"/>
          <w:sz w:val="26"/>
          <w:szCs w:val="26"/>
          <w:lang w:val="en-US"/>
        </w:rPr>
      </w:pPr>
    </w:p>
    <w:p w14:paraId="20CB0013" w14:textId="26CE9EF6" w:rsidR="00BD3E2E" w:rsidRDefault="00BD3E2E" w:rsidP="00130B29">
      <w:pPr>
        <w:spacing w:after="0"/>
        <w:rPr>
          <w:rFonts w:eastAsia="Times New Roman"/>
          <w:sz w:val="26"/>
          <w:szCs w:val="26"/>
          <w:lang w:val="en-US"/>
        </w:rPr>
      </w:pPr>
    </w:p>
    <w:p w14:paraId="5FB516D6" w14:textId="4139F6EB" w:rsidR="00BD3E2E" w:rsidRDefault="00BD3E2E" w:rsidP="00130B29">
      <w:pPr>
        <w:spacing w:after="0"/>
        <w:rPr>
          <w:rFonts w:eastAsia="Times New Roman"/>
          <w:sz w:val="26"/>
          <w:szCs w:val="26"/>
          <w:lang w:val="en-US"/>
        </w:rPr>
      </w:pPr>
    </w:p>
    <w:p w14:paraId="67C273C7" w14:textId="29E09467" w:rsidR="00BD3E2E" w:rsidRDefault="00BD3E2E" w:rsidP="00130B29">
      <w:pPr>
        <w:spacing w:after="0"/>
        <w:rPr>
          <w:rFonts w:eastAsia="Times New Roman"/>
          <w:sz w:val="26"/>
          <w:szCs w:val="26"/>
          <w:lang w:val="en-US"/>
        </w:rPr>
      </w:pPr>
    </w:p>
    <w:p w14:paraId="3B7781A7" w14:textId="77777777" w:rsidR="000106B1" w:rsidRPr="00FF1EA5" w:rsidRDefault="000106B1" w:rsidP="000106B1">
      <w:pPr>
        <w:rPr>
          <w:b/>
          <w:sz w:val="24"/>
          <w:szCs w:val="24"/>
          <w:lang w:val="en-US"/>
        </w:rPr>
      </w:pPr>
      <w:r w:rsidRPr="003A5FC7">
        <w:rPr>
          <w:rFonts w:eastAsia="Times New Roman"/>
          <w:b/>
          <w:bCs/>
          <w:sz w:val="24"/>
          <w:szCs w:val="24"/>
          <w:lang w:val="en-US"/>
        </w:rPr>
        <w:t xml:space="preserve">Keywords. </w:t>
      </w:r>
      <w:r w:rsidRPr="003A5FC7">
        <w:rPr>
          <w:rFonts w:eastAsia="Times New Roman"/>
          <w:sz w:val="24"/>
          <w:szCs w:val="24"/>
          <w:lang w:val="en-US"/>
        </w:rPr>
        <w:t>mental health; assessment; students.</w:t>
      </w:r>
    </w:p>
    <w:p w14:paraId="27A9F79B" w14:textId="3E8CB406" w:rsidR="00BD3E2E" w:rsidRDefault="00BD3E2E" w:rsidP="00130B29">
      <w:pPr>
        <w:spacing w:after="0"/>
        <w:rPr>
          <w:rFonts w:eastAsia="Times New Roman"/>
          <w:sz w:val="26"/>
          <w:szCs w:val="26"/>
          <w:lang w:val="en-US"/>
        </w:rPr>
      </w:pPr>
    </w:p>
    <w:p w14:paraId="36E3254B" w14:textId="431A834A" w:rsidR="00BD3E2E" w:rsidRDefault="00BD3E2E" w:rsidP="00130B29">
      <w:pPr>
        <w:spacing w:after="0"/>
        <w:rPr>
          <w:rFonts w:eastAsia="Times New Roman"/>
          <w:sz w:val="26"/>
          <w:szCs w:val="26"/>
          <w:lang w:val="en-US"/>
        </w:rPr>
      </w:pPr>
    </w:p>
    <w:p w14:paraId="6B2B8DF0" w14:textId="00F12B26" w:rsidR="00BD3E2E" w:rsidRDefault="00BD3E2E" w:rsidP="00130B29">
      <w:pPr>
        <w:spacing w:after="0"/>
        <w:rPr>
          <w:rFonts w:eastAsia="Times New Roman"/>
          <w:sz w:val="26"/>
          <w:szCs w:val="26"/>
          <w:lang w:val="en-US"/>
        </w:rPr>
      </w:pPr>
    </w:p>
    <w:p w14:paraId="3F110721" w14:textId="0B4B4AEB" w:rsidR="00BD3E2E" w:rsidRDefault="00BD3E2E" w:rsidP="00130B29">
      <w:pPr>
        <w:spacing w:after="0"/>
        <w:rPr>
          <w:rFonts w:eastAsia="Times New Roman"/>
          <w:sz w:val="26"/>
          <w:szCs w:val="26"/>
          <w:lang w:val="en-US"/>
        </w:rPr>
      </w:pPr>
    </w:p>
    <w:p w14:paraId="6285D4B6" w14:textId="433E44ED" w:rsidR="00BD3E2E" w:rsidRDefault="00BD3E2E" w:rsidP="00130B29">
      <w:pPr>
        <w:spacing w:after="0"/>
        <w:rPr>
          <w:rFonts w:eastAsia="Times New Roman"/>
          <w:sz w:val="26"/>
          <w:szCs w:val="26"/>
          <w:lang w:val="en-US"/>
        </w:rPr>
      </w:pPr>
    </w:p>
    <w:p w14:paraId="46E706C6" w14:textId="27FBA921" w:rsidR="00BD3E2E" w:rsidRDefault="00BD3E2E" w:rsidP="00130B29">
      <w:pPr>
        <w:spacing w:after="0"/>
        <w:rPr>
          <w:rFonts w:eastAsia="Times New Roman"/>
          <w:sz w:val="26"/>
          <w:szCs w:val="26"/>
          <w:lang w:val="en-US"/>
        </w:rPr>
      </w:pPr>
    </w:p>
    <w:p w14:paraId="7C943099" w14:textId="5C196713" w:rsidR="00BD3E2E" w:rsidRDefault="00BD3E2E" w:rsidP="00130B29">
      <w:pPr>
        <w:spacing w:after="0"/>
        <w:rPr>
          <w:rFonts w:eastAsia="Times New Roman"/>
          <w:sz w:val="26"/>
          <w:szCs w:val="26"/>
          <w:lang w:val="en-US"/>
        </w:rPr>
      </w:pPr>
    </w:p>
    <w:p w14:paraId="559429BB" w14:textId="3011BF01" w:rsidR="00BD3E2E" w:rsidRDefault="00BD3E2E" w:rsidP="00130B29">
      <w:pPr>
        <w:spacing w:after="0"/>
        <w:rPr>
          <w:rFonts w:eastAsia="Times New Roman"/>
          <w:sz w:val="26"/>
          <w:szCs w:val="26"/>
          <w:lang w:val="en-US"/>
        </w:rPr>
      </w:pPr>
    </w:p>
    <w:p w14:paraId="33D95B90" w14:textId="349A60C1" w:rsidR="00BD3E2E" w:rsidRDefault="00BD3E2E" w:rsidP="00130B29">
      <w:pPr>
        <w:spacing w:after="0"/>
        <w:rPr>
          <w:rFonts w:eastAsia="Times New Roman"/>
          <w:sz w:val="26"/>
          <w:szCs w:val="26"/>
          <w:lang w:val="en-US"/>
        </w:rPr>
      </w:pPr>
    </w:p>
    <w:p w14:paraId="217EA3DB" w14:textId="1260D6F0" w:rsidR="00BD3E2E" w:rsidRDefault="00BD3E2E" w:rsidP="00130B29">
      <w:pPr>
        <w:spacing w:after="0"/>
        <w:rPr>
          <w:rFonts w:eastAsia="Times New Roman"/>
          <w:sz w:val="26"/>
          <w:szCs w:val="26"/>
          <w:lang w:val="en-US"/>
        </w:rPr>
      </w:pPr>
    </w:p>
    <w:p w14:paraId="28226884" w14:textId="4B1053B0" w:rsidR="00BD3E2E" w:rsidRDefault="00BD3E2E" w:rsidP="00130B29">
      <w:pPr>
        <w:spacing w:after="0"/>
        <w:rPr>
          <w:rFonts w:eastAsia="Times New Roman"/>
          <w:sz w:val="26"/>
          <w:szCs w:val="26"/>
          <w:lang w:val="en-US"/>
        </w:rPr>
      </w:pPr>
    </w:p>
    <w:p w14:paraId="4C676892" w14:textId="36237684" w:rsidR="00BD3E2E" w:rsidRDefault="00BD3E2E" w:rsidP="00130B29">
      <w:pPr>
        <w:spacing w:after="0"/>
        <w:rPr>
          <w:rFonts w:eastAsia="Times New Roman"/>
          <w:sz w:val="26"/>
          <w:szCs w:val="26"/>
          <w:lang w:val="en-US"/>
        </w:rPr>
      </w:pPr>
    </w:p>
    <w:p w14:paraId="098678C1" w14:textId="06D32C94" w:rsidR="00BD3E2E" w:rsidRDefault="00BD3E2E" w:rsidP="00130B29">
      <w:pPr>
        <w:spacing w:after="0"/>
        <w:rPr>
          <w:rFonts w:eastAsia="Times New Roman"/>
          <w:sz w:val="26"/>
          <w:szCs w:val="26"/>
          <w:lang w:val="en-US"/>
        </w:rPr>
      </w:pPr>
    </w:p>
    <w:p w14:paraId="6E61E089" w14:textId="3BEFDF81" w:rsidR="00BD3E2E" w:rsidRDefault="00BD3E2E" w:rsidP="00130B29">
      <w:pPr>
        <w:spacing w:after="0"/>
        <w:rPr>
          <w:rFonts w:eastAsia="Times New Roman"/>
          <w:sz w:val="26"/>
          <w:szCs w:val="26"/>
          <w:lang w:val="en-US"/>
        </w:rPr>
      </w:pPr>
    </w:p>
    <w:p w14:paraId="7C5E3BE4" w14:textId="462C8679" w:rsidR="00BD3E2E" w:rsidRDefault="00BD3E2E" w:rsidP="00130B29">
      <w:pPr>
        <w:spacing w:after="0"/>
        <w:rPr>
          <w:rFonts w:eastAsia="Times New Roman"/>
          <w:sz w:val="26"/>
          <w:szCs w:val="26"/>
          <w:lang w:val="en-US"/>
        </w:rPr>
      </w:pPr>
    </w:p>
    <w:p w14:paraId="352FB87C" w14:textId="02C52F70" w:rsidR="00BD3E2E" w:rsidRDefault="00BD3E2E" w:rsidP="00130B29">
      <w:pPr>
        <w:spacing w:after="0"/>
        <w:rPr>
          <w:rFonts w:eastAsia="Times New Roman"/>
          <w:sz w:val="26"/>
          <w:szCs w:val="26"/>
          <w:lang w:val="en-US"/>
        </w:rPr>
      </w:pPr>
    </w:p>
    <w:p w14:paraId="61B98C9D" w14:textId="26545455" w:rsidR="00BD3E2E" w:rsidRDefault="00BD3E2E" w:rsidP="00130B29">
      <w:pPr>
        <w:spacing w:after="0"/>
        <w:rPr>
          <w:rFonts w:eastAsia="Times New Roman"/>
          <w:sz w:val="26"/>
          <w:szCs w:val="26"/>
          <w:lang w:val="en-US"/>
        </w:rPr>
      </w:pPr>
    </w:p>
    <w:p w14:paraId="0C33FD93" w14:textId="4193A8D3" w:rsidR="00BD3E2E" w:rsidRDefault="00BD3E2E" w:rsidP="00130B29">
      <w:pPr>
        <w:spacing w:after="0"/>
        <w:rPr>
          <w:rFonts w:eastAsia="Times New Roman"/>
          <w:sz w:val="26"/>
          <w:szCs w:val="26"/>
          <w:lang w:val="en-US"/>
        </w:rPr>
      </w:pPr>
    </w:p>
    <w:p w14:paraId="58C077E0" w14:textId="6AC3A251" w:rsidR="00BD3E2E" w:rsidRDefault="00BD3E2E" w:rsidP="00130B29">
      <w:pPr>
        <w:spacing w:after="0"/>
        <w:rPr>
          <w:rFonts w:eastAsia="Times New Roman"/>
          <w:sz w:val="26"/>
          <w:szCs w:val="26"/>
          <w:lang w:val="en-US"/>
        </w:rPr>
      </w:pPr>
    </w:p>
    <w:p w14:paraId="6E36E460" w14:textId="4AE426BE" w:rsidR="00BD3E2E" w:rsidRDefault="00BD3E2E" w:rsidP="00130B29">
      <w:pPr>
        <w:spacing w:after="0"/>
        <w:rPr>
          <w:rFonts w:eastAsia="Times New Roman"/>
          <w:sz w:val="26"/>
          <w:szCs w:val="26"/>
          <w:lang w:val="en-US"/>
        </w:rPr>
      </w:pPr>
    </w:p>
    <w:p w14:paraId="2DAF2835" w14:textId="33A64349" w:rsidR="00BD3E2E" w:rsidRDefault="00BD3E2E" w:rsidP="00130B29">
      <w:pPr>
        <w:spacing w:after="0"/>
        <w:rPr>
          <w:rFonts w:eastAsia="Times New Roman"/>
          <w:sz w:val="26"/>
          <w:szCs w:val="26"/>
          <w:lang w:val="en-US"/>
        </w:rPr>
      </w:pPr>
    </w:p>
    <w:p w14:paraId="0C700CAF" w14:textId="41A33BCA" w:rsidR="00BD3E2E" w:rsidRDefault="00BD3E2E" w:rsidP="00130B29">
      <w:pPr>
        <w:spacing w:after="0"/>
        <w:rPr>
          <w:rFonts w:eastAsia="Times New Roman"/>
          <w:sz w:val="26"/>
          <w:szCs w:val="26"/>
          <w:lang w:val="en-US"/>
        </w:rPr>
      </w:pPr>
    </w:p>
    <w:p w14:paraId="2E398049" w14:textId="6EFB4A6E" w:rsidR="00BD3E2E" w:rsidRDefault="00BD3E2E" w:rsidP="00130B29">
      <w:pPr>
        <w:spacing w:after="0"/>
        <w:rPr>
          <w:rFonts w:eastAsia="Times New Roman"/>
          <w:sz w:val="26"/>
          <w:szCs w:val="26"/>
          <w:lang w:val="en-US"/>
        </w:rPr>
      </w:pPr>
    </w:p>
    <w:p w14:paraId="39635CF7" w14:textId="33F24513" w:rsidR="00BD3E2E" w:rsidRDefault="00BD3E2E" w:rsidP="00130B29">
      <w:pPr>
        <w:spacing w:after="0"/>
        <w:rPr>
          <w:rFonts w:eastAsia="Times New Roman"/>
          <w:sz w:val="26"/>
          <w:szCs w:val="26"/>
          <w:lang w:val="en-US"/>
        </w:rPr>
      </w:pPr>
    </w:p>
    <w:p w14:paraId="7050BF78" w14:textId="64CE4911" w:rsidR="00BD3E2E" w:rsidRDefault="00BD3E2E" w:rsidP="00130B29">
      <w:pPr>
        <w:spacing w:after="0"/>
        <w:rPr>
          <w:rFonts w:eastAsia="Times New Roman"/>
          <w:sz w:val="26"/>
          <w:szCs w:val="26"/>
          <w:lang w:val="en-US"/>
        </w:rPr>
      </w:pPr>
    </w:p>
    <w:p w14:paraId="58D5EF5C" w14:textId="224C82A0" w:rsidR="00BD3E2E" w:rsidRDefault="00BD3E2E" w:rsidP="00130B29">
      <w:pPr>
        <w:spacing w:after="0"/>
        <w:rPr>
          <w:rFonts w:eastAsia="Times New Roman"/>
          <w:sz w:val="26"/>
          <w:szCs w:val="26"/>
          <w:lang w:val="en-US"/>
        </w:rPr>
      </w:pPr>
    </w:p>
    <w:p w14:paraId="6C3C04AC" w14:textId="558C1E70" w:rsidR="00BD3E2E" w:rsidRDefault="00BD3E2E" w:rsidP="00130B29">
      <w:pPr>
        <w:spacing w:after="0"/>
        <w:rPr>
          <w:rFonts w:eastAsia="Times New Roman"/>
          <w:sz w:val="26"/>
          <w:szCs w:val="26"/>
          <w:lang w:val="en-US"/>
        </w:rPr>
      </w:pPr>
    </w:p>
    <w:p w14:paraId="7B789483" w14:textId="5BE66005" w:rsidR="00BD3E2E" w:rsidRDefault="00BD3E2E" w:rsidP="00130B29">
      <w:pPr>
        <w:spacing w:after="0"/>
        <w:rPr>
          <w:rFonts w:eastAsia="Times New Roman"/>
          <w:sz w:val="26"/>
          <w:szCs w:val="26"/>
          <w:lang w:val="en-US"/>
        </w:rPr>
      </w:pPr>
    </w:p>
    <w:p w14:paraId="2FFE9887" w14:textId="552E3E6B" w:rsidR="00BD3E2E" w:rsidRDefault="00BD3E2E" w:rsidP="00130B29">
      <w:pPr>
        <w:spacing w:after="0"/>
        <w:rPr>
          <w:rFonts w:eastAsia="Times New Roman"/>
          <w:sz w:val="26"/>
          <w:szCs w:val="26"/>
          <w:lang w:val="en-US"/>
        </w:rPr>
      </w:pPr>
    </w:p>
    <w:p w14:paraId="6A1D84BB" w14:textId="0979EF6D" w:rsidR="00BD3E2E" w:rsidRDefault="00BD3E2E" w:rsidP="00130B29">
      <w:pPr>
        <w:spacing w:after="0"/>
        <w:rPr>
          <w:rFonts w:eastAsia="Times New Roman"/>
          <w:sz w:val="26"/>
          <w:szCs w:val="26"/>
          <w:lang w:val="en-US"/>
        </w:rPr>
      </w:pPr>
    </w:p>
    <w:p w14:paraId="25E2D4E2" w14:textId="0A0DA2FE" w:rsidR="00BD3E2E" w:rsidRDefault="00BD3E2E" w:rsidP="00130B29">
      <w:pPr>
        <w:spacing w:after="0"/>
        <w:rPr>
          <w:rFonts w:eastAsia="Times New Roman"/>
          <w:sz w:val="26"/>
          <w:szCs w:val="26"/>
          <w:lang w:val="en-US"/>
        </w:rPr>
      </w:pPr>
    </w:p>
    <w:p w14:paraId="4832A94A" w14:textId="5A954C81" w:rsidR="00BD3E2E" w:rsidRDefault="00BD3E2E" w:rsidP="00130B29">
      <w:pPr>
        <w:spacing w:after="0"/>
        <w:rPr>
          <w:rFonts w:eastAsia="Times New Roman"/>
          <w:sz w:val="26"/>
          <w:szCs w:val="26"/>
          <w:lang w:val="en-US"/>
        </w:rPr>
      </w:pPr>
    </w:p>
    <w:p w14:paraId="2CA4DBCA" w14:textId="4B908F93" w:rsidR="00BD3E2E" w:rsidRDefault="00BD3E2E" w:rsidP="00130B29">
      <w:pPr>
        <w:spacing w:after="0"/>
        <w:rPr>
          <w:rFonts w:eastAsia="Times New Roman"/>
          <w:sz w:val="26"/>
          <w:szCs w:val="26"/>
          <w:lang w:val="en-US"/>
        </w:rPr>
      </w:pPr>
    </w:p>
    <w:p w14:paraId="03E0E747" w14:textId="66153F58" w:rsidR="00BD3E2E" w:rsidRDefault="00BD3E2E" w:rsidP="00130B29">
      <w:pPr>
        <w:spacing w:after="0"/>
        <w:rPr>
          <w:rFonts w:eastAsia="Times New Roman"/>
          <w:sz w:val="26"/>
          <w:szCs w:val="26"/>
          <w:lang w:val="en-US"/>
        </w:rPr>
      </w:pPr>
    </w:p>
    <w:p w14:paraId="08E8A328" w14:textId="77777777" w:rsidR="00BD3E2E" w:rsidRPr="000106B1" w:rsidRDefault="00BD3E2E" w:rsidP="007F66CD">
      <w:pPr>
        <w:rPr>
          <w:b/>
          <w:sz w:val="20"/>
          <w:szCs w:val="20"/>
          <w:lang w:val="en-US"/>
        </w:rPr>
      </w:pPr>
    </w:p>
    <w:p w14:paraId="4D8CB9C9" w14:textId="77777777" w:rsidR="00FF1EA5" w:rsidRDefault="00463621" w:rsidP="00FF1EA5">
      <w:pPr>
        <w:jc w:val="center"/>
        <w:rPr>
          <w:b/>
          <w:sz w:val="24"/>
          <w:szCs w:val="24"/>
          <w:lang w:val="en-US"/>
        </w:rPr>
      </w:pPr>
      <w:r w:rsidRPr="00C8273F">
        <w:rPr>
          <w:b/>
          <w:sz w:val="24"/>
          <w:szCs w:val="24"/>
          <w:lang w:val="en-US"/>
        </w:rPr>
        <w:t>A</w:t>
      </w:r>
      <w:r w:rsidR="00C8273F">
        <w:rPr>
          <w:b/>
          <w:sz w:val="24"/>
          <w:szCs w:val="24"/>
          <w:lang w:val="en-US"/>
        </w:rPr>
        <w:t>BSTRACT</w:t>
      </w:r>
    </w:p>
    <w:p w14:paraId="66F40509" w14:textId="777204C7" w:rsidR="00FF1EA5" w:rsidRDefault="00463621" w:rsidP="00FF1EA5">
      <w:pPr>
        <w:spacing w:after="0"/>
        <w:rPr>
          <w:b/>
          <w:sz w:val="24"/>
          <w:szCs w:val="24"/>
          <w:lang w:val="en-US"/>
        </w:rPr>
      </w:pPr>
      <w:r w:rsidRPr="003A5FC7">
        <w:rPr>
          <w:rFonts w:eastAsia="Times New Roman"/>
          <w:sz w:val="24"/>
          <w:szCs w:val="24"/>
          <w:lang w:val="en"/>
        </w:rPr>
        <w:t xml:space="preserve">Identifying university students presenting mental disorders is important. </w:t>
      </w:r>
      <w:r w:rsidR="00FF1EA5">
        <w:rPr>
          <w:sz w:val="24"/>
          <w:szCs w:val="24"/>
          <w:lang w:val="en"/>
        </w:rPr>
        <w:t>T</w:t>
      </w:r>
      <w:r w:rsidR="003A5FC7" w:rsidRPr="003A5FC7">
        <w:rPr>
          <w:sz w:val="24"/>
          <w:szCs w:val="24"/>
          <w:lang w:val="en"/>
        </w:rPr>
        <w:t>his study aimed to validate a short scale.</w:t>
      </w:r>
      <w:r w:rsidRPr="003A5FC7">
        <w:rPr>
          <w:rFonts w:eastAsia="Times New Roman"/>
          <w:sz w:val="24"/>
          <w:szCs w:val="24"/>
          <w:lang w:val="en"/>
        </w:rPr>
        <w:t xml:space="preserve"> 3,484 university students from a public institution in the south of Brazil answered 10 questions extracted from the instruments: Patient Health Questionnaire and Generalized Anxiety Disorder Questionnaire. Factor analysis identified two factors positively and significantly correlated: depression and anxiety (r = .68; p &lt;.01), explaining 60.10% of the scale variance. These two factors are included in a general second-order factor that assesses student mental health. The alpha and omega consistency indexes were above 0.80. Cluster analysis was applied resulting a two clusters model: "Students without mental health problems" and “Students with mental health problems”. The results were consistent with previous studies</w:t>
      </w:r>
      <w:r w:rsidR="00FF1EA5">
        <w:rPr>
          <w:rFonts w:eastAsia="Times New Roman"/>
          <w:sz w:val="24"/>
          <w:szCs w:val="24"/>
          <w:lang w:val="en"/>
        </w:rPr>
        <w:t>,</w:t>
      </w:r>
      <w:r w:rsidRPr="003A5FC7">
        <w:rPr>
          <w:rFonts w:eastAsia="Times New Roman"/>
          <w:sz w:val="24"/>
          <w:szCs w:val="24"/>
          <w:lang w:val="en"/>
        </w:rPr>
        <w:t xml:space="preserve"> </w:t>
      </w:r>
      <w:r w:rsidR="00FF1EA5">
        <w:rPr>
          <w:rFonts w:eastAsia="Times New Roman"/>
          <w:sz w:val="24"/>
          <w:szCs w:val="24"/>
          <w:lang w:val="en"/>
        </w:rPr>
        <w:t>and</w:t>
      </w:r>
      <w:r w:rsidRPr="003A5FC7">
        <w:rPr>
          <w:rFonts w:eastAsia="Times New Roman"/>
          <w:sz w:val="24"/>
          <w:szCs w:val="24"/>
          <w:lang w:val="en"/>
        </w:rPr>
        <w:t xml:space="preserve"> the scale's evidence was satisfactory, recommending its use for mental health screening in students.</w:t>
      </w:r>
    </w:p>
    <w:p w14:paraId="3186F29C" w14:textId="77777777" w:rsidR="00FF1EA5" w:rsidRPr="00FF1EA5" w:rsidRDefault="00FF1EA5" w:rsidP="005F5667">
      <w:pPr>
        <w:pStyle w:val="Fechas"/>
        <w:rPr>
          <w:sz w:val="24"/>
          <w:szCs w:val="24"/>
          <w:lang w:val="en-US"/>
        </w:rPr>
      </w:pPr>
    </w:p>
    <w:p w14:paraId="02B714B7" w14:textId="21161334" w:rsidR="00C8273F" w:rsidRDefault="00C8273F" w:rsidP="005F5667">
      <w:pPr>
        <w:pStyle w:val="Fechas"/>
        <w:rPr>
          <w:sz w:val="24"/>
          <w:szCs w:val="24"/>
          <w:lang w:val="pt-BR"/>
        </w:rPr>
      </w:pPr>
      <w:r w:rsidRPr="00C8273F">
        <w:rPr>
          <w:sz w:val="24"/>
          <w:szCs w:val="24"/>
          <w:lang w:val="pt-BR"/>
        </w:rPr>
        <w:t xml:space="preserve">Evidência de validade </w:t>
      </w:r>
      <w:r>
        <w:rPr>
          <w:sz w:val="24"/>
          <w:szCs w:val="24"/>
          <w:lang w:val="pt-BR"/>
        </w:rPr>
        <w:t>para marcadores breves de saúde mental em estudantes universitários</w:t>
      </w:r>
    </w:p>
    <w:p w14:paraId="0A3EEB53" w14:textId="77777777" w:rsidR="00FF1EA5" w:rsidRPr="00FF1EA5" w:rsidRDefault="00C8273F" w:rsidP="00FF1EA5">
      <w:pPr>
        <w:pStyle w:val="Fechas"/>
        <w:spacing w:after="0"/>
        <w:jc w:val="center"/>
        <w:rPr>
          <w:b/>
          <w:bCs/>
          <w:sz w:val="24"/>
          <w:szCs w:val="24"/>
          <w:lang w:val="pt-BR"/>
        </w:rPr>
      </w:pPr>
      <w:r w:rsidRPr="00FF1EA5">
        <w:rPr>
          <w:b/>
          <w:bCs/>
          <w:sz w:val="24"/>
          <w:szCs w:val="24"/>
          <w:lang w:val="pt-BR"/>
        </w:rPr>
        <w:t>RESUMO</w:t>
      </w:r>
    </w:p>
    <w:p w14:paraId="3C349E34" w14:textId="33797380" w:rsidR="00C8273F" w:rsidRPr="00FF1EA5" w:rsidRDefault="00C8273F" w:rsidP="000106B1">
      <w:pPr>
        <w:pStyle w:val="Fechas"/>
        <w:rPr>
          <w:sz w:val="24"/>
          <w:szCs w:val="24"/>
          <w:lang w:val="pt-BR"/>
        </w:rPr>
      </w:pPr>
      <w:r w:rsidRPr="00C8273F">
        <w:rPr>
          <w:sz w:val="24"/>
          <w:szCs w:val="24"/>
          <w:lang w:val="pt-PT"/>
        </w:rPr>
        <w:t>Identificar estudantes universitários com transtornos mentais é importante. Nesse sentido,</w:t>
      </w:r>
      <w:r>
        <w:rPr>
          <w:sz w:val="24"/>
          <w:szCs w:val="24"/>
          <w:lang w:val="pt-PT"/>
        </w:rPr>
        <w:t xml:space="preserve">  este estudo teve como objetivo validar</w:t>
      </w:r>
      <w:r w:rsidRPr="00C8273F">
        <w:rPr>
          <w:sz w:val="24"/>
          <w:szCs w:val="24"/>
          <w:lang w:val="pt-PT"/>
        </w:rPr>
        <w:t xml:space="preserve"> </w:t>
      </w:r>
      <w:r>
        <w:rPr>
          <w:sz w:val="24"/>
          <w:szCs w:val="24"/>
          <w:lang w:val="pt-PT"/>
        </w:rPr>
        <w:t xml:space="preserve">uma </w:t>
      </w:r>
      <w:r w:rsidRPr="00C8273F">
        <w:rPr>
          <w:sz w:val="24"/>
          <w:szCs w:val="24"/>
          <w:lang w:val="pt-PT"/>
        </w:rPr>
        <w:t xml:space="preserve">escala curta. 3.484 estudantes universitários de uma instituição pública do sul do Brasil responderam a 10 questões extraídas dos instrumentos: </w:t>
      </w:r>
      <w:proofErr w:type="spellStart"/>
      <w:r w:rsidRPr="00C8273F">
        <w:rPr>
          <w:rFonts w:eastAsia="Times New Roman"/>
          <w:i/>
          <w:iCs/>
          <w:sz w:val="24"/>
          <w:szCs w:val="24"/>
          <w:lang w:val="pt-BR"/>
        </w:rPr>
        <w:t>Patient</w:t>
      </w:r>
      <w:proofErr w:type="spellEnd"/>
      <w:r w:rsidRPr="00C8273F">
        <w:rPr>
          <w:rFonts w:eastAsia="Times New Roman"/>
          <w:i/>
          <w:iCs/>
          <w:sz w:val="24"/>
          <w:szCs w:val="24"/>
          <w:lang w:val="pt-BR"/>
        </w:rPr>
        <w:t xml:space="preserve"> Health </w:t>
      </w:r>
      <w:proofErr w:type="spellStart"/>
      <w:r w:rsidRPr="00C8273F">
        <w:rPr>
          <w:rFonts w:eastAsia="Times New Roman"/>
          <w:i/>
          <w:iCs/>
          <w:sz w:val="24"/>
          <w:szCs w:val="24"/>
          <w:lang w:val="pt-BR"/>
        </w:rPr>
        <w:t>Questionnaire</w:t>
      </w:r>
      <w:proofErr w:type="spellEnd"/>
      <w:r w:rsidRPr="00C8273F">
        <w:rPr>
          <w:rFonts w:eastAsia="Times New Roman"/>
          <w:i/>
          <w:iCs/>
          <w:sz w:val="24"/>
          <w:szCs w:val="24"/>
          <w:lang w:val="pt-BR"/>
        </w:rPr>
        <w:t xml:space="preserve"> </w:t>
      </w:r>
      <w:r w:rsidRPr="00EF2544">
        <w:rPr>
          <w:i/>
          <w:iCs/>
          <w:sz w:val="24"/>
          <w:szCs w:val="24"/>
          <w:lang w:val="pt-BR"/>
        </w:rPr>
        <w:t>e</w:t>
      </w:r>
      <w:r w:rsidRPr="00C8273F">
        <w:rPr>
          <w:rFonts w:eastAsia="Times New Roman"/>
          <w:i/>
          <w:iCs/>
          <w:sz w:val="24"/>
          <w:szCs w:val="24"/>
          <w:lang w:val="pt-BR"/>
        </w:rPr>
        <w:t xml:space="preserve"> </w:t>
      </w:r>
      <w:proofErr w:type="spellStart"/>
      <w:r w:rsidRPr="00C8273F">
        <w:rPr>
          <w:rFonts w:eastAsia="Times New Roman"/>
          <w:i/>
          <w:iCs/>
          <w:sz w:val="24"/>
          <w:szCs w:val="24"/>
          <w:lang w:val="pt-BR"/>
        </w:rPr>
        <w:t>Generalized</w:t>
      </w:r>
      <w:proofErr w:type="spellEnd"/>
      <w:r w:rsidRPr="00C8273F">
        <w:rPr>
          <w:rFonts w:eastAsia="Times New Roman"/>
          <w:i/>
          <w:iCs/>
          <w:sz w:val="24"/>
          <w:szCs w:val="24"/>
          <w:lang w:val="pt-BR"/>
        </w:rPr>
        <w:t xml:space="preserve"> </w:t>
      </w:r>
      <w:proofErr w:type="spellStart"/>
      <w:r w:rsidRPr="00C8273F">
        <w:rPr>
          <w:rFonts w:eastAsia="Times New Roman"/>
          <w:i/>
          <w:iCs/>
          <w:sz w:val="24"/>
          <w:szCs w:val="24"/>
          <w:lang w:val="pt-BR"/>
        </w:rPr>
        <w:t>Anxiety</w:t>
      </w:r>
      <w:proofErr w:type="spellEnd"/>
      <w:r w:rsidRPr="00C8273F">
        <w:rPr>
          <w:rFonts w:eastAsia="Times New Roman"/>
          <w:i/>
          <w:iCs/>
          <w:sz w:val="24"/>
          <w:szCs w:val="24"/>
          <w:lang w:val="pt-BR"/>
        </w:rPr>
        <w:t xml:space="preserve"> </w:t>
      </w:r>
      <w:proofErr w:type="spellStart"/>
      <w:r w:rsidRPr="00C8273F">
        <w:rPr>
          <w:rFonts w:eastAsia="Times New Roman"/>
          <w:i/>
          <w:iCs/>
          <w:sz w:val="24"/>
          <w:szCs w:val="24"/>
          <w:lang w:val="pt-BR"/>
        </w:rPr>
        <w:t>Disorder</w:t>
      </w:r>
      <w:proofErr w:type="spellEnd"/>
      <w:r w:rsidRPr="00C8273F">
        <w:rPr>
          <w:rFonts w:eastAsia="Times New Roman"/>
          <w:i/>
          <w:iCs/>
          <w:sz w:val="24"/>
          <w:szCs w:val="24"/>
          <w:lang w:val="pt-BR"/>
        </w:rPr>
        <w:t xml:space="preserve"> </w:t>
      </w:r>
      <w:proofErr w:type="spellStart"/>
      <w:r w:rsidRPr="00C8273F">
        <w:rPr>
          <w:rFonts w:eastAsia="Times New Roman"/>
          <w:i/>
          <w:iCs/>
          <w:sz w:val="24"/>
          <w:szCs w:val="24"/>
          <w:lang w:val="pt-BR"/>
        </w:rPr>
        <w:t>Questionnaire</w:t>
      </w:r>
      <w:proofErr w:type="spellEnd"/>
      <w:r w:rsidRPr="00C8273F">
        <w:rPr>
          <w:rFonts w:eastAsia="Times New Roman"/>
          <w:i/>
          <w:iCs/>
          <w:sz w:val="24"/>
          <w:szCs w:val="24"/>
          <w:lang w:val="pt-BR"/>
        </w:rPr>
        <w:t>.</w:t>
      </w:r>
      <w:r w:rsidRPr="00C8273F">
        <w:rPr>
          <w:sz w:val="24"/>
          <w:szCs w:val="24"/>
          <w:lang w:val="pt-PT"/>
        </w:rPr>
        <w:t xml:space="preserve"> A análise fatorial identificou dois fatores positivamente e significativamente correlacionados: depressão e ansiedade (r = 0,68; p &lt;0,01), explicando 60,10% da variância da escala. Esses dois fatores estão incluídos em um fator geral de segunda ordem que avalia a saúde mental do aluno. Os índices de consistência alfa e ômega ficaram acima de 0,80. A análise de cluster foi aplicada resultando em um modelo de dois clusters: "Estudantes sem problemas de saúde mental" e “Alunos com problemas de saúde mental”</w:t>
      </w:r>
      <w:r w:rsidR="00FF1EA5">
        <w:rPr>
          <w:sz w:val="24"/>
          <w:szCs w:val="24"/>
          <w:lang w:val="pt-PT"/>
        </w:rPr>
        <w:t>.</w:t>
      </w:r>
      <w:r w:rsidRPr="00C8273F">
        <w:rPr>
          <w:sz w:val="24"/>
          <w:szCs w:val="24"/>
          <w:lang w:val="pt-PT"/>
        </w:rPr>
        <w:t xml:space="preserve"> Os resultados foram consistentes com estudos anteriore</w:t>
      </w:r>
      <w:r w:rsidR="00FF1EA5">
        <w:rPr>
          <w:sz w:val="24"/>
          <w:szCs w:val="24"/>
          <w:lang w:val="pt-PT"/>
        </w:rPr>
        <w:t>s e</w:t>
      </w:r>
      <w:r w:rsidRPr="00C8273F">
        <w:rPr>
          <w:sz w:val="24"/>
          <w:szCs w:val="24"/>
          <w:lang w:val="pt-PT"/>
        </w:rPr>
        <w:t xml:space="preserve"> as evidências da escala foram satisfatórias, recomendando seu uso para rastreamento de saúde mental em estudantes.</w:t>
      </w:r>
    </w:p>
    <w:p w14:paraId="4DE73931" w14:textId="51EA0229" w:rsidR="00EF3443" w:rsidRPr="00C8273F" w:rsidRDefault="00EF3443" w:rsidP="00FF1EA5">
      <w:pPr>
        <w:spacing w:after="0"/>
        <w:rPr>
          <w:sz w:val="24"/>
          <w:szCs w:val="24"/>
          <w:lang w:val="pt-BR"/>
        </w:rPr>
      </w:pPr>
      <w:r w:rsidRPr="00C8273F">
        <w:rPr>
          <w:sz w:val="24"/>
          <w:szCs w:val="24"/>
          <w:lang w:val="pt-BR"/>
        </w:rPr>
        <w:t>Pala</w:t>
      </w:r>
      <w:r w:rsidR="00C8273F" w:rsidRPr="00C8273F">
        <w:rPr>
          <w:sz w:val="24"/>
          <w:szCs w:val="24"/>
          <w:lang w:val="pt-BR"/>
        </w:rPr>
        <w:t>vras-chav</w:t>
      </w:r>
      <w:r w:rsidRPr="00C8273F">
        <w:rPr>
          <w:sz w:val="24"/>
          <w:szCs w:val="24"/>
          <w:lang w:val="pt-BR"/>
        </w:rPr>
        <w:t>e:</w:t>
      </w:r>
      <w:r w:rsidR="00C8273F" w:rsidRPr="00C8273F">
        <w:rPr>
          <w:sz w:val="24"/>
          <w:szCs w:val="24"/>
          <w:lang w:val="pt-BR"/>
        </w:rPr>
        <w:t xml:space="preserve"> saúde mental, avaliação, estudantes universitários</w:t>
      </w:r>
      <w:r w:rsidRPr="00C8273F">
        <w:rPr>
          <w:sz w:val="24"/>
          <w:szCs w:val="24"/>
          <w:lang w:val="pt-BR"/>
        </w:rPr>
        <w:t xml:space="preserve"> </w:t>
      </w:r>
    </w:p>
    <w:p w14:paraId="43BBB8CB" w14:textId="77777777" w:rsidR="002E105A" w:rsidRPr="00C8273F" w:rsidRDefault="002E105A" w:rsidP="006568DE">
      <w:pPr>
        <w:spacing w:after="0" w:line="360" w:lineRule="auto"/>
        <w:rPr>
          <w:rStyle w:val="jlqj4b"/>
          <w:sz w:val="24"/>
          <w:szCs w:val="24"/>
          <w:lang w:val="pt-BR"/>
        </w:rPr>
      </w:pPr>
    </w:p>
    <w:p w14:paraId="5ED3AB06" w14:textId="48756DE6" w:rsidR="000C5558" w:rsidRPr="00BD3E2E" w:rsidRDefault="000C5558" w:rsidP="006568DE">
      <w:pPr>
        <w:spacing w:after="0" w:line="360" w:lineRule="auto"/>
        <w:ind w:firstLine="708"/>
        <w:rPr>
          <w:rStyle w:val="jlqj4b"/>
          <w:sz w:val="24"/>
          <w:szCs w:val="24"/>
          <w:lang w:val="en"/>
        </w:rPr>
      </w:pPr>
      <w:r w:rsidRPr="00BD3E2E">
        <w:rPr>
          <w:rStyle w:val="jlqj4b"/>
          <w:sz w:val="24"/>
          <w:szCs w:val="24"/>
          <w:lang w:val="en-US"/>
        </w:rPr>
        <w:t>D</w:t>
      </w:r>
      <w:proofErr w:type="spellStart"/>
      <w:r w:rsidRPr="00BD3E2E">
        <w:rPr>
          <w:rStyle w:val="jlqj4b"/>
          <w:sz w:val="24"/>
          <w:szCs w:val="24"/>
          <w:lang w:val="en"/>
        </w:rPr>
        <w:t>epression</w:t>
      </w:r>
      <w:proofErr w:type="spellEnd"/>
      <w:r w:rsidRPr="00BD3E2E">
        <w:rPr>
          <w:rStyle w:val="jlqj4b"/>
          <w:sz w:val="24"/>
          <w:szCs w:val="24"/>
          <w:lang w:val="en"/>
        </w:rPr>
        <w:t xml:space="preserve"> and anxiety are the most common conditions affecting mental health. Around 300 million people worldwide present these issues, which makes the need to evaluate these conditions in different populations (</w:t>
      </w:r>
      <w:r w:rsidR="00916ECF" w:rsidRPr="00BD3E2E">
        <w:rPr>
          <w:rFonts w:eastAsia="Times New Roman"/>
          <w:sz w:val="24"/>
          <w:szCs w:val="24"/>
          <w:lang w:val="en"/>
        </w:rPr>
        <w:t>World Health Organization</w:t>
      </w:r>
      <w:r w:rsidRPr="00BD3E2E">
        <w:rPr>
          <w:rStyle w:val="jlqj4b"/>
          <w:sz w:val="24"/>
          <w:szCs w:val="24"/>
          <w:lang w:val="en"/>
        </w:rPr>
        <w:t>, 2017). In this context, the university population deserves to be highlighted</w:t>
      </w:r>
      <w:r w:rsidR="006568DE">
        <w:rPr>
          <w:rStyle w:val="jlqj4b"/>
          <w:sz w:val="24"/>
          <w:szCs w:val="24"/>
          <w:lang w:val="en"/>
        </w:rPr>
        <w:t>.</w:t>
      </w:r>
      <w:r w:rsidRPr="00BD3E2E">
        <w:rPr>
          <w:rStyle w:val="jlqj4b"/>
          <w:sz w:val="24"/>
          <w:szCs w:val="24"/>
          <w:lang w:val="en"/>
        </w:rPr>
        <w:t xml:space="preserve"> </w:t>
      </w:r>
    </w:p>
    <w:p w14:paraId="4D1879A5" w14:textId="148060EA" w:rsidR="000C5558" w:rsidRPr="00BD3E2E" w:rsidRDefault="000C5558" w:rsidP="007B786A">
      <w:pPr>
        <w:spacing w:after="0" w:line="360" w:lineRule="auto"/>
        <w:ind w:firstLine="708"/>
        <w:rPr>
          <w:rStyle w:val="jlqj4b"/>
          <w:sz w:val="24"/>
          <w:szCs w:val="24"/>
          <w:lang w:val="en"/>
        </w:rPr>
      </w:pPr>
      <w:r w:rsidRPr="00BD3E2E">
        <w:rPr>
          <w:rStyle w:val="jlqj4b"/>
          <w:sz w:val="24"/>
          <w:szCs w:val="24"/>
          <w:lang w:val="en"/>
        </w:rPr>
        <w:t>Some studies suggest that university students suffer from greater psychological disorders than the general population (</w:t>
      </w:r>
      <w:proofErr w:type="spellStart"/>
      <w:r w:rsidR="002E2190" w:rsidRPr="00BD3E2E">
        <w:rPr>
          <w:rStyle w:val="jlqj4b"/>
          <w:sz w:val="24"/>
          <w:szCs w:val="24"/>
          <w:lang w:val="en"/>
        </w:rPr>
        <w:t>Bolotnyy</w:t>
      </w:r>
      <w:proofErr w:type="spellEnd"/>
      <w:r w:rsidR="002E2190" w:rsidRPr="00BD3E2E">
        <w:rPr>
          <w:rStyle w:val="jlqj4b"/>
          <w:sz w:val="24"/>
          <w:szCs w:val="24"/>
          <w:lang w:val="en"/>
        </w:rPr>
        <w:t xml:space="preserve">, </w:t>
      </w:r>
      <w:proofErr w:type="spellStart"/>
      <w:r w:rsidR="002E2190" w:rsidRPr="00BD3E2E">
        <w:rPr>
          <w:rStyle w:val="jlqj4b"/>
          <w:sz w:val="24"/>
          <w:szCs w:val="24"/>
          <w:lang w:val="en"/>
        </w:rPr>
        <w:t>Basilico</w:t>
      </w:r>
      <w:proofErr w:type="spellEnd"/>
      <w:r w:rsidR="002E2190" w:rsidRPr="00BD3E2E">
        <w:rPr>
          <w:rStyle w:val="jlqj4b"/>
          <w:sz w:val="24"/>
          <w:szCs w:val="24"/>
          <w:lang w:val="en"/>
        </w:rPr>
        <w:t xml:space="preserve">, &amp; </w:t>
      </w:r>
      <w:proofErr w:type="spellStart"/>
      <w:r w:rsidR="002E2190" w:rsidRPr="00BD3E2E">
        <w:rPr>
          <w:rStyle w:val="jlqj4b"/>
          <w:sz w:val="24"/>
          <w:szCs w:val="24"/>
          <w:lang w:val="en"/>
        </w:rPr>
        <w:t>Barreira</w:t>
      </w:r>
      <w:proofErr w:type="spellEnd"/>
      <w:r w:rsidR="002E2190" w:rsidRPr="00BD3E2E">
        <w:rPr>
          <w:rStyle w:val="jlqj4b"/>
          <w:sz w:val="24"/>
          <w:szCs w:val="24"/>
          <w:lang w:val="en"/>
        </w:rPr>
        <w:t xml:space="preserve">, 2021; </w:t>
      </w:r>
      <w:proofErr w:type="spellStart"/>
      <w:r w:rsidRPr="00BD3E2E">
        <w:rPr>
          <w:rStyle w:val="jlqj4b"/>
          <w:sz w:val="24"/>
          <w:szCs w:val="24"/>
          <w:lang w:val="en"/>
        </w:rPr>
        <w:t>Hersi</w:t>
      </w:r>
      <w:proofErr w:type="spellEnd"/>
      <w:r w:rsidRPr="00BD3E2E">
        <w:rPr>
          <w:rStyle w:val="jlqj4b"/>
          <w:sz w:val="24"/>
          <w:szCs w:val="24"/>
          <w:lang w:val="en"/>
        </w:rPr>
        <w:t>, 2017). Evans et al. (2018) with 2,279 university students, 90% undergraduate and 10% masters, from 26 countries indicated that 41% had anxious symptoms and 39% depressed.</w:t>
      </w:r>
      <w:r w:rsidR="004D0C7B" w:rsidRPr="00BD3E2E">
        <w:rPr>
          <w:rStyle w:val="jlqj4b"/>
          <w:sz w:val="24"/>
          <w:szCs w:val="24"/>
          <w:lang w:val="en"/>
        </w:rPr>
        <w:t xml:space="preserve"> </w:t>
      </w:r>
      <w:proofErr w:type="spellStart"/>
      <w:r w:rsidR="0066765A" w:rsidRPr="00BD3E2E">
        <w:rPr>
          <w:rStyle w:val="jlqj4b"/>
          <w:sz w:val="24"/>
          <w:szCs w:val="24"/>
          <w:lang w:val="en"/>
        </w:rPr>
        <w:t>Bolotnyy</w:t>
      </w:r>
      <w:proofErr w:type="spellEnd"/>
      <w:r w:rsidR="0066765A" w:rsidRPr="00BD3E2E">
        <w:rPr>
          <w:rStyle w:val="jlqj4b"/>
          <w:sz w:val="24"/>
          <w:szCs w:val="24"/>
          <w:lang w:val="en"/>
        </w:rPr>
        <w:t xml:space="preserve"> et al. (2021) </w:t>
      </w:r>
      <w:r w:rsidR="0055798E" w:rsidRPr="00BD3E2E">
        <w:rPr>
          <w:rStyle w:val="jlqj4b"/>
          <w:sz w:val="24"/>
          <w:szCs w:val="24"/>
          <w:lang w:val="en"/>
        </w:rPr>
        <w:t xml:space="preserve">suggests that more years of study at University </w:t>
      </w:r>
      <w:r w:rsidR="00CC288B" w:rsidRPr="00BD3E2E">
        <w:rPr>
          <w:rStyle w:val="jlqj4b"/>
          <w:sz w:val="24"/>
          <w:szCs w:val="24"/>
          <w:lang w:val="en"/>
        </w:rPr>
        <w:t>may</w:t>
      </w:r>
      <w:r w:rsidR="0055798E" w:rsidRPr="00BD3E2E">
        <w:rPr>
          <w:rStyle w:val="jlqj4b"/>
          <w:sz w:val="24"/>
          <w:szCs w:val="24"/>
          <w:lang w:val="en"/>
        </w:rPr>
        <w:t xml:space="preserve"> diminish mental health. They found that </w:t>
      </w:r>
      <w:r w:rsidR="0066765A" w:rsidRPr="00BD3E2E">
        <w:rPr>
          <w:rStyle w:val="jlqj4b"/>
          <w:sz w:val="24"/>
          <w:szCs w:val="24"/>
          <w:lang w:val="en"/>
        </w:rPr>
        <w:t xml:space="preserve">economics graduate students at the end of the course have more chances of depression and anxiety than freshman graduate students, respectively 36.7% and 21.2%. </w:t>
      </w:r>
      <w:r w:rsidR="007B786A">
        <w:rPr>
          <w:rStyle w:val="jlqj4b"/>
          <w:sz w:val="24"/>
          <w:szCs w:val="24"/>
          <w:lang w:val="en"/>
        </w:rPr>
        <w:t>Furthermore, t</w:t>
      </w:r>
      <w:r w:rsidR="0066765A" w:rsidRPr="00BD3E2E">
        <w:rPr>
          <w:rStyle w:val="jlqj4b"/>
          <w:sz w:val="24"/>
          <w:szCs w:val="24"/>
          <w:lang w:val="en"/>
        </w:rPr>
        <w:t xml:space="preserve">here is evidence that mental health symptoms of university students are more prevalent than before, </w:t>
      </w:r>
      <w:r w:rsidR="006568DE" w:rsidRPr="00BD3E2E">
        <w:rPr>
          <w:rStyle w:val="jlqj4b"/>
          <w:sz w:val="24"/>
          <w:szCs w:val="24"/>
          <w:lang w:val="en"/>
        </w:rPr>
        <w:t>especially</w:t>
      </w:r>
      <w:r w:rsidR="0066765A" w:rsidRPr="00BD3E2E">
        <w:rPr>
          <w:rStyle w:val="jlqj4b"/>
          <w:sz w:val="24"/>
          <w:szCs w:val="24"/>
          <w:lang w:val="en"/>
        </w:rPr>
        <w:t xml:space="preserve"> after </w:t>
      </w:r>
      <w:r w:rsidR="00223E66" w:rsidRPr="00BD3E2E">
        <w:rPr>
          <w:rStyle w:val="jlqj4b"/>
          <w:sz w:val="24"/>
          <w:szCs w:val="24"/>
          <w:lang w:val="en"/>
        </w:rPr>
        <w:t>the COVID-19 pandemic</w:t>
      </w:r>
      <w:r w:rsidR="0066765A" w:rsidRPr="00BD3E2E">
        <w:rPr>
          <w:rStyle w:val="jlqj4b"/>
          <w:sz w:val="24"/>
          <w:szCs w:val="24"/>
          <w:lang w:val="en"/>
        </w:rPr>
        <w:t xml:space="preserve"> (</w:t>
      </w:r>
      <w:proofErr w:type="spellStart"/>
      <w:r w:rsidR="00223E66" w:rsidRPr="00BD3E2E">
        <w:rPr>
          <w:rStyle w:val="jlqj4b"/>
          <w:sz w:val="24"/>
          <w:szCs w:val="24"/>
          <w:lang w:val="en"/>
        </w:rPr>
        <w:t>Chirikov</w:t>
      </w:r>
      <w:proofErr w:type="spellEnd"/>
      <w:r w:rsidR="00223E66" w:rsidRPr="00BD3E2E">
        <w:rPr>
          <w:rStyle w:val="jlqj4b"/>
          <w:sz w:val="24"/>
          <w:szCs w:val="24"/>
          <w:lang w:val="en"/>
        </w:rPr>
        <w:t xml:space="preserve"> et al., 2020; </w:t>
      </w:r>
      <w:r w:rsidR="0066765A" w:rsidRPr="00BD3E2E">
        <w:rPr>
          <w:rStyle w:val="jlqj4b"/>
          <w:sz w:val="24"/>
          <w:szCs w:val="24"/>
          <w:lang w:val="en"/>
        </w:rPr>
        <w:t>Duffy, Twenge, &amp; Joiner, 2019)</w:t>
      </w:r>
      <w:r w:rsidR="004C6BDB" w:rsidRPr="00BD3E2E">
        <w:rPr>
          <w:rStyle w:val="jlqj4b"/>
          <w:sz w:val="24"/>
          <w:szCs w:val="24"/>
          <w:lang w:val="en"/>
        </w:rPr>
        <w:t xml:space="preserve">. </w:t>
      </w:r>
    </w:p>
    <w:p w14:paraId="3EFF8D20" w14:textId="40D50960" w:rsidR="000C5558" w:rsidRPr="00BD3E2E" w:rsidRDefault="000C5558" w:rsidP="00BD3E2E">
      <w:pPr>
        <w:spacing w:after="0" w:line="360" w:lineRule="auto"/>
        <w:ind w:firstLine="720"/>
        <w:rPr>
          <w:rStyle w:val="jlqj4b"/>
          <w:sz w:val="24"/>
          <w:szCs w:val="24"/>
          <w:lang w:val="en"/>
        </w:rPr>
      </w:pPr>
      <w:r w:rsidRPr="00BD3E2E">
        <w:rPr>
          <w:rStyle w:val="jlqj4b"/>
          <w:sz w:val="24"/>
          <w:szCs w:val="24"/>
          <w:lang w:val="en"/>
        </w:rPr>
        <w:t>In this sense, having instruments that track anxiety and depression in university populations is extremely relevant, since students who have symptoms of depression or anxiety may have a reduced academic performance, lower grades, and less engagement with university activities</w:t>
      </w:r>
      <w:r w:rsidR="006A7E45">
        <w:rPr>
          <w:rStyle w:val="jlqj4b"/>
          <w:sz w:val="24"/>
          <w:szCs w:val="24"/>
          <w:lang w:val="en"/>
        </w:rPr>
        <w:t xml:space="preserve"> and give up the course</w:t>
      </w:r>
      <w:r w:rsidRPr="00BD3E2E">
        <w:rPr>
          <w:rStyle w:val="jlqj4b"/>
          <w:sz w:val="24"/>
          <w:szCs w:val="24"/>
          <w:lang w:val="en"/>
        </w:rPr>
        <w:t xml:space="preserve"> (</w:t>
      </w:r>
      <w:proofErr w:type="spellStart"/>
      <w:r w:rsidRPr="00BD3E2E">
        <w:rPr>
          <w:rStyle w:val="jlqj4b"/>
          <w:sz w:val="24"/>
          <w:szCs w:val="24"/>
          <w:lang w:val="en"/>
        </w:rPr>
        <w:t>Bolinski</w:t>
      </w:r>
      <w:proofErr w:type="spellEnd"/>
      <w:r w:rsidRPr="00BD3E2E">
        <w:rPr>
          <w:rStyle w:val="jlqj4b"/>
          <w:sz w:val="24"/>
          <w:szCs w:val="24"/>
          <w:lang w:val="en"/>
        </w:rPr>
        <w:t xml:space="preserve"> et al., 2020; </w:t>
      </w:r>
      <w:proofErr w:type="spellStart"/>
      <w:r w:rsidRPr="00BD3E2E">
        <w:rPr>
          <w:rStyle w:val="jlqj4b"/>
          <w:sz w:val="24"/>
          <w:szCs w:val="24"/>
          <w:lang w:val="en"/>
        </w:rPr>
        <w:t>Bruffaerts</w:t>
      </w:r>
      <w:proofErr w:type="spellEnd"/>
      <w:r w:rsidRPr="00BD3E2E">
        <w:rPr>
          <w:rStyle w:val="jlqj4b"/>
          <w:sz w:val="24"/>
          <w:szCs w:val="24"/>
          <w:lang w:val="en"/>
        </w:rPr>
        <w:t xml:space="preserve"> et al., 2017; Carmona-</w:t>
      </w:r>
      <w:proofErr w:type="spellStart"/>
      <w:r w:rsidRPr="00BD3E2E">
        <w:rPr>
          <w:rStyle w:val="jlqj4b"/>
          <w:sz w:val="24"/>
          <w:szCs w:val="24"/>
          <w:lang w:val="en"/>
        </w:rPr>
        <w:t>Halty</w:t>
      </w:r>
      <w:proofErr w:type="spellEnd"/>
      <w:r w:rsidRPr="00BD3E2E">
        <w:rPr>
          <w:rStyle w:val="jlqj4b"/>
          <w:sz w:val="24"/>
          <w:szCs w:val="24"/>
          <w:lang w:val="en"/>
        </w:rPr>
        <w:t xml:space="preserve"> et al., 2019). </w:t>
      </w:r>
    </w:p>
    <w:p w14:paraId="200FA02F" w14:textId="5F0AF051" w:rsidR="004C6BDB" w:rsidRPr="00BD3E2E" w:rsidRDefault="004C6BDB" w:rsidP="00BD3E2E">
      <w:pPr>
        <w:pStyle w:val="Pr-formataoHTML"/>
        <w:spacing w:line="360" w:lineRule="auto"/>
        <w:jc w:val="both"/>
        <w:rPr>
          <w:rStyle w:val="jlqj4b"/>
          <w:rFonts w:ascii="Times New Roman" w:hAnsi="Times New Roman" w:cs="Times New Roman"/>
          <w:sz w:val="24"/>
          <w:szCs w:val="24"/>
          <w:lang w:val="en-US"/>
        </w:rPr>
      </w:pPr>
      <w:r w:rsidRPr="00BD3E2E">
        <w:rPr>
          <w:rFonts w:ascii="Times New Roman" w:hAnsi="Times New Roman" w:cs="Times New Roman"/>
          <w:sz w:val="24"/>
          <w:szCs w:val="24"/>
          <w:lang w:val="en"/>
        </w:rPr>
        <w:tab/>
        <w:t xml:space="preserve">Appropriate instruments to track mental health symptoms are important to detect which students need more detailed psychological investigation and more support from the institution. In addition to detecting these students, these instruments can be applied to investigate which courses have more demands for </w:t>
      </w:r>
      <w:r w:rsidR="006A7E45">
        <w:rPr>
          <w:rFonts w:ascii="Times New Roman" w:hAnsi="Times New Roman" w:cs="Times New Roman"/>
          <w:sz w:val="24"/>
          <w:szCs w:val="24"/>
          <w:lang w:val="en"/>
        </w:rPr>
        <w:t xml:space="preserve">mental health </w:t>
      </w:r>
      <w:r w:rsidRPr="00BD3E2E">
        <w:rPr>
          <w:rFonts w:ascii="Times New Roman" w:hAnsi="Times New Roman" w:cs="Times New Roman"/>
          <w:sz w:val="24"/>
          <w:szCs w:val="24"/>
          <w:lang w:val="en"/>
        </w:rPr>
        <w:t xml:space="preserve">support, and which curriculum and pedagogic characteristics contribute to those demands. In this regard, </w:t>
      </w:r>
      <w:proofErr w:type="spellStart"/>
      <w:r w:rsidRPr="00BD3E2E">
        <w:rPr>
          <w:rFonts w:ascii="Times New Roman" w:hAnsi="Times New Roman" w:cs="Times New Roman"/>
          <w:sz w:val="24"/>
          <w:szCs w:val="24"/>
          <w:lang w:val="en"/>
        </w:rPr>
        <w:t>Larcombe</w:t>
      </w:r>
      <w:proofErr w:type="spellEnd"/>
      <w:r w:rsidRPr="00BD3E2E">
        <w:rPr>
          <w:rFonts w:ascii="Times New Roman" w:hAnsi="Times New Roman" w:cs="Times New Roman"/>
          <w:sz w:val="24"/>
          <w:szCs w:val="24"/>
          <w:lang w:val="en"/>
        </w:rPr>
        <w:t xml:space="preserve">, </w:t>
      </w:r>
      <w:proofErr w:type="spellStart"/>
      <w:r w:rsidRPr="00BD3E2E">
        <w:rPr>
          <w:rFonts w:ascii="Times New Roman" w:hAnsi="Times New Roman" w:cs="Times New Roman"/>
          <w:sz w:val="24"/>
          <w:szCs w:val="24"/>
          <w:lang w:val="en"/>
        </w:rPr>
        <w:t>Baik</w:t>
      </w:r>
      <w:proofErr w:type="spellEnd"/>
      <w:r w:rsidRPr="00BD3E2E">
        <w:rPr>
          <w:rFonts w:ascii="Times New Roman" w:hAnsi="Times New Roman" w:cs="Times New Roman"/>
          <w:sz w:val="24"/>
          <w:szCs w:val="24"/>
          <w:lang w:val="en"/>
        </w:rPr>
        <w:t xml:space="preserve"> and Finch (2020) found that curriculum structure, teaching strategies and learning environments contribute more to Australian student's mental health than being part of a minority group and having financial problems. </w:t>
      </w:r>
    </w:p>
    <w:p w14:paraId="6CD5EAD3" w14:textId="1634B0B8" w:rsidR="000C5558" w:rsidRPr="00BD3E2E" w:rsidRDefault="000C5558" w:rsidP="00BD3E2E">
      <w:pPr>
        <w:spacing w:after="0" w:line="360" w:lineRule="auto"/>
        <w:ind w:firstLine="720"/>
        <w:rPr>
          <w:rStyle w:val="jlqj4b"/>
          <w:sz w:val="24"/>
          <w:szCs w:val="24"/>
          <w:lang w:val="en"/>
        </w:rPr>
      </w:pPr>
      <w:r w:rsidRPr="00BD3E2E">
        <w:rPr>
          <w:rStyle w:val="jlqj4b"/>
          <w:sz w:val="24"/>
          <w:szCs w:val="24"/>
          <w:lang w:val="en"/>
        </w:rPr>
        <w:t xml:space="preserve"> The Patient Health Questionnaire - 9 (PHQ-9) (</w:t>
      </w:r>
      <w:r w:rsidR="00C0060A" w:rsidRPr="00BD3E2E">
        <w:rPr>
          <w:rStyle w:val="jlqj4b"/>
          <w:sz w:val="24"/>
          <w:szCs w:val="24"/>
          <w:lang w:val="en"/>
        </w:rPr>
        <w:t>Kroenke</w:t>
      </w:r>
      <w:r w:rsidR="001751F4" w:rsidRPr="00BD3E2E">
        <w:rPr>
          <w:rStyle w:val="jlqj4b"/>
          <w:sz w:val="24"/>
          <w:szCs w:val="24"/>
          <w:lang w:val="en"/>
        </w:rPr>
        <w:t xml:space="preserve">, </w:t>
      </w:r>
      <w:r w:rsidR="001751F4" w:rsidRPr="00BD3E2E">
        <w:rPr>
          <w:rFonts w:eastAsia="Times New Roman"/>
          <w:sz w:val="24"/>
          <w:szCs w:val="24"/>
          <w:lang w:val="en-US"/>
        </w:rPr>
        <w:t>Spitzer, &amp; Williams</w:t>
      </w:r>
      <w:r w:rsidRPr="00BD3E2E">
        <w:rPr>
          <w:rStyle w:val="jlqj4b"/>
          <w:sz w:val="24"/>
          <w:szCs w:val="24"/>
          <w:lang w:val="en"/>
        </w:rPr>
        <w:t>, 2001) and the Generalized Anxiety Disorder - 7 Questionnaire (GAD-7) scale (S</w:t>
      </w:r>
      <w:r w:rsidR="001751F4" w:rsidRPr="00BD3E2E">
        <w:rPr>
          <w:rStyle w:val="jlqj4b"/>
          <w:sz w:val="24"/>
          <w:szCs w:val="24"/>
          <w:lang w:val="en"/>
        </w:rPr>
        <w:t>pitzer</w:t>
      </w:r>
      <w:r w:rsidRPr="00BD3E2E">
        <w:rPr>
          <w:rStyle w:val="jlqj4b"/>
          <w:sz w:val="24"/>
          <w:szCs w:val="24"/>
          <w:lang w:val="en"/>
        </w:rPr>
        <w:t xml:space="preserve"> et al., 2006) are short, validated and widely used measures in the evaluation of screening for anxiety and depression in different clinical and non-clinical contexts of health care (Kroenke et al., 2010). In the university context, they were used in countries such as Germany and China (Zhou</w:t>
      </w:r>
      <w:r w:rsidR="00916ECF" w:rsidRPr="00BD3E2E">
        <w:rPr>
          <w:rStyle w:val="jlqj4b"/>
          <w:sz w:val="24"/>
          <w:szCs w:val="24"/>
          <w:lang w:val="en"/>
        </w:rPr>
        <w:t xml:space="preserve">, </w:t>
      </w:r>
      <w:r w:rsidR="00916ECF" w:rsidRPr="00BD3E2E">
        <w:rPr>
          <w:rFonts w:eastAsia="Times New Roman"/>
          <w:sz w:val="24"/>
          <w:szCs w:val="24"/>
          <w:lang w:val="en-US"/>
        </w:rPr>
        <w:t xml:space="preserve">Xu, &amp; </w:t>
      </w:r>
      <w:proofErr w:type="spellStart"/>
      <w:r w:rsidR="00916ECF" w:rsidRPr="00BD3E2E">
        <w:rPr>
          <w:rFonts w:eastAsia="Times New Roman"/>
          <w:sz w:val="24"/>
          <w:szCs w:val="24"/>
          <w:lang w:val="en-US"/>
        </w:rPr>
        <w:t>Rief</w:t>
      </w:r>
      <w:proofErr w:type="spellEnd"/>
      <w:r w:rsidRPr="00BD3E2E">
        <w:rPr>
          <w:rStyle w:val="jlqj4b"/>
          <w:sz w:val="24"/>
          <w:szCs w:val="24"/>
          <w:lang w:val="en"/>
        </w:rPr>
        <w:t>, 2020) and South Korea (Lee &amp; Kim, 2019), which demonstrates the cross-cultural adequacy of these instruments.</w:t>
      </w:r>
    </w:p>
    <w:p w14:paraId="659E9790" w14:textId="2F5A9E1E" w:rsidR="000C5558" w:rsidRPr="00BD3E2E" w:rsidRDefault="000C5558" w:rsidP="00BD3E2E">
      <w:pPr>
        <w:spacing w:after="0" w:line="360" w:lineRule="auto"/>
        <w:ind w:firstLine="720"/>
        <w:rPr>
          <w:rStyle w:val="jlqj4b"/>
          <w:sz w:val="24"/>
          <w:szCs w:val="24"/>
          <w:lang w:val="en"/>
        </w:rPr>
      </w:pPr>
      <w:r w:rsidRPr="00BD3E2E">
        <w:rPr>
          <w:rStyle w:val="jlqj4b"/>
          <w:sz w:val="24"/>
          <w:szCs w:val="24"/>
          <w:lang w:val="en"/>
        </w:rPr>
        <w:t xml:space="preserve"> In Brazil, specifically for the university context, we identified the use of PHQ-9 by </w:t>
      </w:r>
      <w:proofErr w:type="spellStart"/>
      <w:r w:rsidRPr="00BD3E2E">
        <w:rPr>
          <w:rStyle w:val="jlqj4b"/>
          <w:sz w:val="24"/>
          <w:szCs w:val="24"/>
          <w:lang w:val="en"/>
        </w:rPr>
        <w:t>Maltoni</w:t>
      </w:r>
      <w:proofErr w:type="spellEnd"/>
      <w:r w:rsidRPr="00BD3E2E">
        <w:rPr>
          <w:rStyle w:val="jlqj4b"/>
          <w:sz w:val="24"/>
          <w:szCs w:val="24"/>
          <w:lang w:val="en"/>
        </w:rPr>
        <w:t xml:space="preserve">, Palma and </w:t>
      </w:r>
      <w:proofErr w:type="spellStart"/>
      <w:r w:rsidRPr="00BD3E2E">
        <w:rPr>
          <w:rStyle w:val="jlqj4b"/>
          <w:sz w:val="24"/>
          <w:szCs w:val="24"/>
          <w:lang w:val="en"/>
        </w:rPr>
        <w:t>Nelfeld</w:t>
      </w:r>
      <w:proofErr w:type="spellEnd"/>
      <w:r w:rsidRPr="00BD3E2E">
        <w:rPr>
          <w:rStyle w:val="jlqj4b"/>
          <w:sz w:val="24"/>
          <w:szCs w:val="24"/>
          <w:lang w:val="en"/>
        </w:rPr>
        <w:t xml:space="preserve"> (2019), Flesh (2020) and both instruments by Santos et al. (2019). In general, these studies return to the analysis of evidence in the population in an applied manner, without further specification to the psychometric properties</w:t>
      </w:r>
      <w:r w:rsidR="00C0060A" w:rsidRPr="00BD3E2E">
        <w:rPr>
          <w:rStyle w:val="jlqj4b"/>
          <w:sz w:val="24"/>
          <w:szCs w:val="24"/>
          <w:lang w:val="en"/>
        </w:rPr>
        <w:t xml:space="preserve"> to graduate students</w:t>
      </w:r>
      <w:r w:rsidRPr="00BD3E2E">
        <w:rPr>
          <w:rStyle w:val="jlqj4b"/>
          <w:sz w:val="24"/>
          <w:szCs w:val="24"/>
          <w:lang w:val="en"/>
        </w:rPr>
        <w:t>. For the general Brazilian population, there is the study by Santos et al. (2013) who analyzed</w:t>
      </w:r>
      <w:r w:rsidR="006A7E45">
        <w:rPr>
          <w:rStyle w:val="jlqj4b"/>
          <w:sz w:val="24"/>
          <w:szCs w:val="24"/>
          <w:lang w:val="en"/>
        </w:rPr>
        <w:t xml:space="preserve"> only</w:t>
      </w:r>
      <w:r w:rsidRPr="00BD3E2E">
        <w:rPr>
          <w:rStyle w:val="jlqj4b"/>
          <w:sz w:val="24"/>
          <w:szCs w:val="24"/>
          <w:lang w:val="en"/>
        </w:rPr>
        <w:t xml:space="preserve"> the sensitivity and specificity of PHQ-9</w:t>
      </w:r>
      <w:r w:rsidR="006A7E45">
        <w:rPr>
          <w:rStyle w:val="jlqj4b"/>
          <w:sz w:val="24"/>
          <w:szCs w:val="24"/>
          <w:lang w:val="en"/>
        </w:rPr>
        <w:t>.</w:t>
      </w:r>
    </w:p>
    <w:p w14:paraId="0E43E4D9" w14:textId="2A5157CE" w:rsidR="00E45BC1" w:rsidRPr="00BD3E2E" w:rsidRDefault="000C5558" w:rsidP="00BD3E2E">
      <w:pPr>
        <w:spacing w:after="0" w:line="360" w:lineRule="auto"/>
        <w:ind w:firstLine="720"/>
        <w:rPr>
          <w:rStyle w:val="jlqj4b"/>
          <w:sz w:val="24"/>
          <w:szCs w:val="24"/>
          <w:lang w:val="en"/>
        </w:rPr>
      </w:pPr>
      <w:r w:rsidRPr="00BD3E2E">
        <w:rPr>
          <w:rStyle w:val="jlqj4b"/>
          <w:sz w:val="24"/>
          <w:szCs w:val="24"/>
          <w:lang w:val="en"/>
        </w:rPr>
        <w:t>It should also be noted that studies evaluating evidence of convergent and discriminant validity are important to make sure that the instrument measures the construct for which it was formulated. In this sense, it is already known which factors can be protective</w:t>
      </w:r>
      <w:r w:rsidR="00E45BC1" w:rsidRPr="00BD3E2E">
        <w:rPr>
          <w:rStyle w:val="jlqj4b"/>
          <w:sz w:val="24"/>
          <w:szCs w:val="24"/>
          <w:lang w:val="en"/>
        </w:rPr>
        <w:t xml:space="preserve"> and risky</w:t>
      </w:r>
      <w:r w:rsidRPr="00BD3E2E">
        <w:rPr>
          <w:rStyle w:val="jlqj4b"/>
          <w:sz w:val="24"/>
          <w:szCs w:val="24"/>
          <w:lang w:val="en"/>
        </w:rPr>
        <w:t xml:space="preserve"> of the mental health of university students. Graner and </w:t>
      </w:r>
      <w:proofErr w:type="spellStart"/>
      <w:r w:rsidRPr="00BD3E2E">
        <w:rPr>
          <w:rStyle w:val="jlqj4b"/>
          <w:sz w:val="24"/>
          <w:szCs w:val="24"/>
          <w:lang w:val="en"/>
        </w:rPr>
        <w:t>Cerqueira</w:t>
      </w:r>
      <w:proofErr w:type="spellEnd"/>
      <w:r w:rsidRPr="00BD3E2E">
        <w:rPr>
          <w:rStyle w:val="jlqj4b"/>
          <w:sz w:val="24"/>
          <w:szCs w:val="24"/>
          <w:lang w:val="en"/>
        </w:rPr>
        <w:t xml:space="preserve"> (2019) conducted an integrative literature review on </w:t>
      </w:r>
      <w:r w:rsidR="004E6BEC" w:rsidRPr="00BD3E2E">
        <w:rPr>
          <w:rStyle w:val="jlqj4b"/>
          <w:sz w:val="24"/>
          <w:szCs w:val="24"/>
          <w:lang w:val="en"/>
        </w:rPr>
        <w:t xml:space="preserve">these </w:t>
      </w:r>
      <w:r w:rsidRPr="00BD3E2E">
        <w:rPr>
          <w:rStyle w:val="jlqj4b"/>
          <w:sz w:val="24"/>
          <w:szCs w:val="24"/>
          <w:lang w:val="en"/>
        </w:rPr>
        <w:t>factors</w:t>
      </w:r>
      <w:r w:rsidR="006A7E45">
        <w:rPr>
          <w:rStyle w:val="jlqj4b"/>
          <w:sz w:val="24"/>
          <w:szCs w:val="24"/>
          <w:lang w:val="en"/>
        </w:rPr>
        <w:t xml:space="preserve">. </w:t>
      </w:r>
      <w:r w:rsidRPr="00BD3E2E">
        <w:rPr>
          <w:rStyle w:val="jlqj4b"/>
          <w:sz w:val="24"/>
          <w:szCs w:val="24"/>
          <w:lang w:val="en"/>
        </w:rPr>
        <w:t>The risk factors found were perception of a tense atmosphere at the university in relation to discrimination (gender, race, sexual orientation</w:t>
      </w:r>
      <w:proofErr w:type="gramStart"/>
      <w:r w:rsidRPr="00BD3E2E">
        <w:rPr>
          <w:rStyle w:val="jlqj4b"/>
          <w:sz w:val="24"/>
          <w:szCs w:val="24"/>
          <w:lang w:val="en"/>
        </w:rPr>
        <w:t>),</w:t>
      </w:r>
      <w:r w:rsidR="006A7E45">
        <w:rPr>
          <w:rStyle w:val="jlqj4b"/>
          <w:sz w:val="24"/>
          <w:szCs w:val="24"/>
          <w:lang w:val="en"/>
        </w:rPr>
        <w:t xml:space="preserve"> </w:t>
      </w:r>
      <w:r w:rsidRPr="00BD3E2E">
        <w:rPr>
          <w:rStyle w:val="jlqj4b"/>
          <w:sz w:val="24"/>
          <w:szCs w:val="24"/>
          <w:lang w:val="en"/>
        </w:rPr>
        <w:t xml:space="preserve"> difficulties</w:t>
      </w:r>
      <w:proofErr w:type="gramEnd"/>
      <w:r w:rsidRPr="00BD3E2E">
        <w:rPr>
          <w:rStyle w:val="jlqj4b"/>
          <w:sz w:val="24"/>
          <w:szCs w:val="24"/>
          <w:lang w:val="en"/>
        </w:rPr>
        <w:t xml:space="preserve"> in friends</w:t>
      </w:r>
      <w:r w:rsidR="006A7E45">
        <w:rPr>
          <w:rStyle w:val="jlqj4b"/>
          <w:sz w:val="24"/>
          <w:szCs w:val="24"/>
          <w:lang w:val="en"/>
        </w:rPr>
        <w:t>hips</w:t>
      </w:r>
      <w:r w:rsidRPr="00BD3E2E">
        <w:rPr>
          <w:rStyle w:val="jlqj4b"/>
          <w:sz w:val="24"/>
          <w:szCs w:val="24"/>
          <w:lang w:val="en"/>
        </w:rPr>
        <w:t xml:space="preserve">, not adapting to academic life, low social support (measured </w:t>
      </w:r>
      <w:r w:rsidR="00B65944" w:rsidRPr="00BD3E2E">
        <w:rPr>
          <w:rStyle w:val="jlqj4b"/>
          <w:sz w:val="24"/>
          <w:szCs w:val="24"/>
          <w:lang w:val="en"/>
        </w:rPr>
        <w:t>or</w:t>
      </w:r>
      <w:r w:rsidRPr="00BD3E2E">
        <w:rPr>
          <w:rStyle w:val="jlqj4b"/>
          <w:sz w:val="24"/>
          <w:szCs w:val="24"/>
          <w:lang w:val="en"/>
        </w:rPr>
        <w:t xml:space="preserve"> referred), feeling of rejection by friends and not receiving emotional support (Graner &amp; </w:t>
      </w:r>
      <w:proofErr w:type="spellStart"/>
      <w:r w:rsidRPr="00BD3E2E">
        <w:rPr>
          <w:rStyle w:val="jlqj4b"/>
          <w:sz w:val="24"/>
          <w:szCs w:val="24"/>
          <w:lang w:val="en"/>
        </w:rPr>
        <w:t>Cerqueira</w:t>
      </w:r>
      <w:proofErr w:type="spellEnd"/>
      <w:r w:rsidRPr="00BD3E2E">
        <w:rPr>
          <w:rStyle w:val="jlqj4b"/>
          <w:sz w:val="24"/>
          <w:szCs w:val="24"/>
          <w:lang w:val="en"/>
        </w:rPr>
        <w:t xml:space="preserve">, 2019). </w:t>
      </w:r>
    </w:p>
    <w:p w14:paraId="1C4DDE27" w14:textId="1402DF21" w:rsidR="00E45BC1" w:rsidRPr="00BD3E2E" w:rsidRDefault="004E6BEC" w:rsidP="00BD3E2E">
      <w:pPr>
        <w:spacing w:after="0" w:line="360" w:lineRule="auto"/>
        <w:ind w:firstLine="720"/>
        <w:rPr>
          <w:color w:val="000000"/>
          <w:sz w:val="24"/>
          <w:szCs w:val="24"/>
          <w:lang w:val="en-US"/>
        </w:rPr>
      </w:pPr>
      <w:r w:rsidRPr="00BD3E2E">
        <w:rPr>
          <w:color w:val="000000"/>
          <w:sz w:val="24"/>
          <w:szCs w:val="24"/>
          <w:lang w:val="en-US"/>
        </w:rPr>
        <w:t xml:space="preserve">Furthermore, </w:t>
      </w:r>
      <w:r w:rsidR="00D44A97" w:rsidRPr="00BD3E2E">
        <w:rPr>
          <w:color w:val="000000"/>
          <w:sz w:val="24"/>
          <w:szCs w:val="24"/>
          <w:lang w:val="en-US"/>
        </w:rPr>
        <w:t xml:space="preserve">Liu, Stevens, Wong, </w:t>
      </w:r>
      <w:proofErr w:type="spellStart"/>
      <w:r w:rsidR="00D44A97" w:rsidRPr="00BD3E2E">
        <w:rPr>
          <w:color w:val="000000"/>
          <w:sz w:val="24"/>
          <w:szCs w:val="24"/>
          <w:lang w:val="en-US"/>
        </w:rPr>
        <w:t>Yasui</w:t>
      </w:r>
      <w:proofErr w:type="spellEnd"/>
      <w:r w:rsidR="00D44A97" w:rsidRPr="00BD3E2E">
        <w:rPr>
          <w:color w:val="000000"/>
          <w:sz w:val="24"/>
          <w:szCs w:val="24"/>
          <w:lang w:val="en-US"/>
        </w:rPr>
        <w:t xml:space="preserve"> </w:t>
      </w:r>
      <w:r w:rsidR="004C6BDB" w:rsidRPr="00BD3E2E">
        <w:rPr>
          <w:color w:val="000000"/>
          <w:sz w:val="24"/>
          <w:szCs w:val="24"/>
          <w:lang w:val="en-US"/>
        </w:rPr>
        <w:t>and</w:t>
      </w:r>
      <w:r w:rsidR="00D44A97" w:rsidRPr="00BD3E2E">
        <w:rPr>
          <w:color w:val="000000"/>
          <w:sz w:val="24"/>
          <w:szCs w:val="24"/>
          <w:lang w:val="en-US"/>
        </w:rPr>
        <w:t xml:space="preserve"> Chen (2019) described that minority students have more chances of mental health diagnoses and suicide attempts, such as bisexual and transgender students.</w:t>
      </w:r>
      <w:r w:rsidR="00E45BC1" w:rsidRPr="00BD3E2E">
        <w:rPr>
          <w:color w:val="000000"/>
          <w:sz w:val="24"/>
          <w:szCs w:val="24"/>
          <w:lang w:val="en-US"/>
        </w:rPr>
        <w:t xml:space="preserve"> Similarly, </w:t>
      </w:r>
      <w:proofErr w:type="spellStart"/>
      <w:r w:rsidR="00E45BC1" w:rsidRPr="00BD3E2E">
        <w:rPr>
          <w:color w:val="000000"/>
          <w:sz w:val="24"/>
          <w:szCs w:val="24"/>
          <w:lang w:val="en-US"/>
        </w:rPr>
        <w:t>Chirikov</w:t>
      </w:r>
      <w:proofErr w:type="spellEnd"/>
      <w:r w:rsidR="00E45BC1" w:rsidRPr="00BD3E2E">
        <w:rPr>
          <w:color w:val="000000"/>
          <w:sz w:val="24"/>
          <w:szCs w:val="24"/>
          <w:lang w:val="en-US"/>
        </w:rPr>
        <w:t xml:space="preserve"> et al. (2020) noted a wider proportion of </w:t>
      </w:r>
      <w:r w:rsidR="00E45BC1" w:rsidRPr="00BD3E2E">
        <w:rPr>
          <w:sz w:val="24"/>
          <w:szCs w:val="24"/>
          <w:lang w:val="en-US" w:eastAsia="es-ES"/>
        </w:rPr>
        <w:t xml:space="preserve">low-income students; Latinx and multiracial students; women, transgender, and non-heterosexual students </w:t>
      </w:r>
      <w:r w:rsidR="00E45BC1" w:rsidRPr="00BD3E2E">
        <w:rPr>
          <w:color w:val="000000"/>
          <w:sz w:val="24"/>
          <w:szCs w:val="24"/>
          <w:lang w:val="en-US"/>
        </w:rPr>
        <w:t xml:space="preserve">among those who had higher scores on major depressive and generalized anxiety disorder. </w:t>
      </w:r>
    </w:p>
    <w:p w14:paraId="1C6F1D41" w14:textId="32B9E233" w:rsidR="000C5558" w:rsidRPr="00BD3E2E" w:rsidRDefault="004E6BEC" w:rsidP="00BD3E2E">
      <w:pPr>
        <w:spacing w:after="0" w:line="360" w:lineRule="auto"/>
        <w:ind w:firstLine="720"/>
        <w:rPr>
          <w:rStyle w:val="jlqj4b"/>
          <w:color w:val="000000"/>
          <w:sz w:val="24"/>
          <w:szCs w:val="24"/>
          <w:lang w:val="en-US"/>
        </w:rPr>
      </w:pPr>
      <w:r w:rsidRPr="00BD3E2E">
        <w:rPr>
          <w:rStyle w:val="jlqj4b"/>
          <w:sz w:val="24"/>
          <w:szCs w:val="24"/>
          <w:lang w:val="en"/>
        </w:rPr>
        <w:t xml:space="preserve">Similarly, in Brazilian </w:t>
      </w:r>
      <w:r w:rsidRPr="00BD3E2E">
        <w:rPr>
          <w:color w:val="000000"/>
          <w:sz w:val="24"/>
          <w:szCs w:val="24"/>
          <w:lang w:val="en-US"/>
        </w:rPr>
        <w:t xml:space="preserve">studies with university students, Bastos </w:t>
      </w:r>
      <w:r w:rsidRPr="00BD3E2E">
        <w:rPr>
          <w:i/>
          <w:iCs/>
          <w:color w:val="000000"/>
          <w:sz w:val="24"/>
          <w:szCs w:val="24"/>
          <w:lang w:val="en-US"/>
        </w:rPr>
        <w:t>et al</w:t>
      </w:r>
      <w:r w:rsidRPr="00BD3E2E">
        <w:rPr>
          <w:color w:val="000000"/>
          <w:sz w:val="24"/>
          <w:szCs w:val="24"/>
          <w:lang w:val="en-US"/>
        </w:rPr>
        <w:t xml:space="preserve">. (2014) identified positive association between depression, and anxiety with age, social class, and race discrimination and Souza </w:t>
      </w:r>
      <w:r w:rsidRPr="00BD3E2E">
        <w:rPr>
          <w:i/>
          <w:iCs/>
          <w:color w:val="000000"/>
          <w:sz w:val="24"/>
          <w:szCs w:val="24"/>
          <w:lang w:val="en-US"/>
        </w:rPr>
        <w:t>et al.</w:t>
      </w:r>
      <w:r w:rsidRPr="00BD3E2E">
        <w:rPr>
          <w:color w:val="000000"/>
          <w:sz w:val="24"/>
          <w:szCs w:val="24"/>
          <w:lang w:val="en-US"/>
        </w:rPr>
        <w:t xml:space="preserve"> (2015) noted that suffering discrimination produced more chances of psychological distress. </w:t>
      </w:r>
      <w:r w:rsidRPr="00BD3E2E">
        <w:rPr>
          <w:rStyle w:val="jlqj4b"/>
          <w:sz w:val="24"/>
          <w:szCs w:val="24"/>
          <w:lang w:val="en"/>
        </w:rPr>
        <w:t xml:space="preserve">Cardoso, </w:t>
      </w:r>
      <w:proofErr w:type="spellStart"/>
      <w:r w:rsidRPr="00BD3E2E">
        <w:rPr>
          <w:rStyle w:val="jlqj4b"/>
          <w:sz w:val="24"/>
          <w:szCs w:val="24"/>
          <w:lang w:val="en"/>
        </w:rPr>
        <w:t>Borsa</w:t>
      </w:r>
      <w:proofErr w:type="spellEnd"/>
      <w:r w:rsidRPr="00BD3E2E">
        <w:rPr>
          <w:rStyle w:val="jlqj4b"/>
          <w:sz w:val="24"/>
          <w:szCs w:val="24"/>
          <w:lang w:val="en"/>
        </w:rPr>
        <w:t xml:space="preserve"> and </w:t>
      </w:r>
      <w:proofErr w:type="spellStart"/>
      <w:r w:rsidRPr="00BD3E2E">
        <w:rPr>
          <w:rStyle w:val="jlqj4b"/>
          <w:sz w:val="24"/>
          <w:szCs w:val="24"/>
          <w:lang w:val="en"/>
        </w:rPr>
        <w:t>Segabinazi</w:t>
      </w:r>
      <w:proofErr w:type="spellEnd"/>
      <w:r w:rsidRPr="00BD3E2E">
        <w:rPr>
          <w:rStyle w:val="jlqj4b"/>
          <w:sz w:val="24"/>
          <w:szCs w:val="24"/>
          <w:lang w:val="en"/>
        </w:rPr>
        <w:t xml:space="preserve"> (2018) demonstrated that the perception of support and affections are protective factors in relation to </w:t>
      </w:r>
      <w:r w:rsidR="006A7E45">
        <w:rPr>
          <w:rStyle w:val="jlqj4b"/>
          <w:sz w:val="24"/>
          <w:szCs w:val="24"/>
          <w:lang w:val="en"/>
        </w:rPr>
        <w:t xml:space="preserve">student </w:t>
      </w:r>
      <w:r w:rsidRPr="00BD3E2E">
        <w:rPr>
          <w:rStyle w:val="jlqj4b"/>
          <w:sz w:val="24"/>
          <w:szCs w:val="24"/>
          <w:lang w:val="en"/>
        </w:rPr>
        <w:t xml:space="preserve">mental illness, such as depression. </w:t>
      </w:r>
    </w:p>
    <w:p w14:paraId="196CF1CD" w14:textId="4C23912B" w:rsidR="00B65944" w:rsidRPr="00BD3E2E" w:rsidRDefault="000C5558" w:rsidP="006A7E45">
      <w:pPr>
        <w:spacing w:after="0" w:line="360" w:lineRule="auto"/>
        <w:ind w:firstLine="720"/>
        <w:rPr>
          <w:rStyle w:val="jlqj4b"/>
          <w:sz w:val="24"/>
          <w:szCs w:val="24"/>
          <w:lang w:val="en"/>
        </w:rPr>
      </w:pPr>
      <w:r w:rsidRPr="00BD3E2E">
        <w:rPr>
          <w:rStyle w:val="jlqj4b"/>
          <w:sz w:val="24"/>
          <w:szCs w:val="24"/>
          <w:lang w:val="en"/>
        </w:rPr>
        <w:t xml:space="preserve">Among university students, especially in Brazil, there is a gap regarding the supply of empirical evidence that substantiates the use of screening instruments in this population (Graner &amp; </w:t>
      </w:r>
      <w:proofErr w:type="spellStart"/>
      <w:r w:rsidRPr="00BD3E2E">
        <w:rPr>
          <w:rStyle w:val="jlqj4b"/>
          <w:sz w:val="24"/>
          <w:szCs w:val="24"/>
          <w:lang w:val="en"/>
        </w:rPr>
        <w:t>Cerqueira</w:t>
      </w:r>
      <w:proofErr w:type="spellEnd"/>
      <w:r w:rsidRPr="00BD3E2E">
        <w:rPr>
          <w:rStyle w:val="jlqj4b"/>
          <w:sz w:val="24"/>
          <w:szCs w:val="24"/>
          <w:lang w:val="en"/>
        </w:rPr>
        <w:t>, 2019</w:t>
      </w:r>
      <w:r w:rsidR="00B65944" w:rsidRPr="00BD3E2E">
        <w:rPr>
          <w:rStyle w:val="jlqj4b"/>
          <w:sz w:val="24"/>
          <w:szCs w:val="24"/>
          <w:lang w:val="en"/>
        </w:rPr>
        <w:t>)</w:t>
      </w:r>
      <w:r w:rsidRPr="00BD3E2E">
        <w:rPr>
          <w:rStyle w:val="jlqj4b"/>
          <w:sz w:val="24"/>
          <w:szCs w:val="24"/>
          <w:lang w:val="en"/>
        </w:rPr>
        <w:t>. The present study aimed to analyze evidence based on internal structure and criterion validity for the Short Markers of Mental Health in Undergraduate Students.</w:t>
      </w:r>
    </w:p>
    <w:p w14:paraId="28B7251E" w14:textId="3E6DB1FC" w:rsidR="00B65944" w:rsidRPr="00BD3E2E" w:rsidRDefault="00B65944" w:rsidP="002321B9">
      <w:pPr>
        <w:spacing w:after="0" w:line="360" w:lineRule="auto"/>
        <w:jc w:val="center"/>
        <w:rPr>
          <w:rFonts w:eastAsia="Times New Roman"/>
          <w:b/>
          <w:sz w:val="24"/>
          <w:szCs w:val="24"/>
          <w:lang w:val="en-US"/>
        </w:rPr>
      </w:pPr>
      <w:r w:rsidRPr="00BD3E2E">
        <w:rPr>
          <w:rFonts w:eastAsia="Times New Roman"/>
          <w:b/>
          <w:sz w:val="24"/>
          <w:szCs w:val="24"/>
          <w:lang w:val="en-US"/>
        </w:rPr>
        <w:t>Method</w:t>
      </w:r>
    </w:p>
    <w:p w14:paraId="69DC505B" w14:textId="77777777" w:rsidR="002321B9" w:rsidRDefault="00B65944" w:rsidP="002321B9">
      <w:pPr>
        <w:spacing w:line="360" w:lineRule="auto"/>
        <w:ind w:firstLine="708"/>
        <w:rPr>
          <w:rFonts w:eastAsia="Times New Roman"/>
          <w:b/>
          <w:sz w:val="24"/>
          <w:szCs w:val="24"/>
          <w:lang w:val="en-US"/>
        </w:rPr>
      </w:pPr>
      <w:r w:rsidRPr="00BD3E2E">
        <w:rPr>
          <w:rFonts w:eastAsia="Times New Roman"/>
          <w:b/>
          <w:sz w:val="24"/>
          <w:szCs w:val="24"/>
          <w:lang w:val="en-US"/>
        </w:rPr>
        <w:t>Participants</w:t>
      </w:r>
    </w:p>
    <w:p w14:paraId="4D7FA0F6" w14:textId="44039750" w:rsidR="00B65944" w:rsidRPr="00BD3E2E" w:rsidRDefault="00B65944" w:rsidP="002321B9">
      <w:pPr>
        <w:spacing w:line="360" w:lineRule="auto"/>
        <w:ind w:firstLine="708"/>
        <w:rPr>
          <w:rFonts w:eastAsia="Times New Roman"/>
          <w:b/>
          <w:sz w:val="24"/>
          <w:szCs w:val="24"/>
          <w:lang w:val="en-US"/>
        </w:rPr>
      </w:pPr>
      <w:r w:rsidRPr="00BD3E2E">
        <w:rPr>
          <w:rFonts w:eastAsia="Times New Roman"/>
          <w:color w:val="000000"/>
          <w:sz w:val="24"/>
          <w:szCs w:val="24"/>
          <w:lang w:val="en-US"/>
        </w:rPr>
        <w:t>We obtained our data from 3.484 university students of a public institution in the Southern Brazilian region. Most students declared themselves to be female (56.5%), while 79.4% self-reported being heterosexual.  Considering functional status, 3.8% reported visual impairment, 0.5% hearing problems, 0.5% physical handicap and 0.2% intellectual difficulties. The ethnic diversity of students, followed as disposed, 72.7% were self-declared as white, 18.4% brown ("</w:t>
      </w:r>
      <w:proofErr w:type="spellStart"/>
      <w:r w:rsidRPr="00BD3E2E">
        <w:rPr>
          <w:rFonts w:eastAsia="Times New Roman"/>
          <w:i/>
          <w:color w:val="000000"/>
          <w:sz w:val="24"/>
          <w:szCs w:val="24"/>
          <w:lang w:val="en-US"/>
        </w:rPr>
        <w:t>pardo</w:t>
      </w:r>
      <w:proofErr w:type="spellEnd"/>
      <w:r w:rsidRPr="00BD3E2E">
        <w:rPr>
          <w:rFonts w:eastAsia="Times New Roman"/>
          <w:color w:val="000000"/>
          <w:sz w:val="24"/>
          <w:szCs w:val="24"/>
          <w:lang w:val="en-US"/>
        </w:rPr>
        <w:t xml:space="preserve">"), 6.4% black, 2.3% Asian-descendant ("yellow"), and 0.3% indigenous. The graduations knowledge area was diverse, as followed, 18.5% were from the </w:t>
      </w:r>
      <w:proofErr w:type="spellStart"/>
      <w:r w:rsidRPr="00BD3E2E">
        <w:rPr>
          <w:rFonts w:eastAsia="Times New Roman"/>
          <w:color w:val="000000"/>
          <w:sz w:val="24"/>
          <w:szCs w:val="24"/>
          <w:lang w:val="en-US"/>
        </w:rPr>
        <w:t>Maths</w:t>
      </w:r>
      <w:proofErr w:type="spellEnd"/>
      <w:r w:rsidRPr="00BD3E2E">
        <w:rPr>
          <w:rFonts w:eastAsia="Times New Roman"/>
          <w:color w:val="000000"/>
          <w:sz w:val="24"/>
          <w:szCs w:val="24"/>
          <w:lang w:val="en-US"/>
        </w:rPr>
        <w:t xml:space="preserve"> and Exact Sciences, 17.8% from the Social Sciences, 15.3% from the Agricultural Sciences area, 14.4% from the Engineering, 12.8% from the Health Sciences, 9.4% from the Human Sciences, 5.9% from the Languages and Arts and 5.5% from the Biological Sciences area. The daytime period was the most common for students (67.4%). </w:t>
      </w:r>
    </w:p>
    <w:p w14:paraId="344EEB37" w14:textId="69F8A1ED" w:rsidR="00B65944" w:rsidRPr="00BD3E2E" w:rsidRDefault="00B65944" w:rsidP="002321B9">
      <w:pPr>
        <w:spacing w:after="0" w:line="360" w:lineRule="auto"/>
        <w:ind w:firstLine="708"/>
        <w:rPr>
          <w:rFonts w:eastAsia="Times New Roman"/>
          <w:b/>
          <w:sz w:val="24"/>
          <w:szCs w:val="24"/>
          <w:lang w:val="en-US"/>
        </w:rPr>
      </w:pPr>
      <w:r w:rsidRPr="00BD3E2E">
        <w:rPr>
          <w:rFonts w:eastAsia="Times New Roman"/>
          <w:b/>
          <w:sz w:val="24"/>
          <w:szCs w:val="24"/>
          <w:lang w:val="en-US"/>
        </w:rPr>
        <w:t>Instruments</w:t>
      </w:r>
    </w:p>
    <w:p w14:paraId="52A25B65" w14:textId="2C5C7FAA" w:rsidR="00B65944" w:rsidRPr="00BD3E2E" w:rsidRDefault="00B65944" w:rsidP="00BD3E2E">
      <w:pPr>
        <w:spacing w:after="0" w:line="360" w:lineRule="auto"/>
        <w:ind w:firstLine="708"/>
        <w:rPr>
          <w:rFonts w:eastAsia="Times New Roman"/>
          <w:sz w:val="24"/>
          <w:szCs w:val="24"/>
          <w:lang w:val="en-US"/>
        </w:rPr>
      </w:pPr>
      <w:r w:rsidRPr="00BD3E2E">
        <w:rPr>
          <w:rStyle w:val="jlqj4b"/>
          <w:sz w:val="24"/>
          <w:szCs w:val="24"/>
          <w:lang w:val="en"/>
        </w:rPr>
        <w:t>Short Markers of Mental Health in Undergraduate Students</w:t>
      </w:r>
      <w:r w:rsidRPr="00BD3E2E">
        <w:rPr>
          <w:rFonts w:eastAsia="Times New Roman"/>
          <w:sz w:val="24"/>
          <w:szCs w:val="24"/>
          <w:lang w:val="en-US"/>
        </w:rPr>
        <w:t xml:space="preserve"> (PHQ - 9 + PHQ - 2 + GAD - 7): a self-report instrument composed by four items of Patient Health Questionnaire – 9 (PHQ-9) (K</w:t>
      </w:r>
      <w:r w:rsidR="004B0E6B">
        <w:rPr>
          <w:rFonts w:eastAsia="Times New Roman"/>
          <w:sz w:val="24"/>
          <w:szCs w:val="24"/>
          <w:lang w:val="en-US"/>
        </w:rPr>
        <w:t>roenke</w:t>
      </w:r>
      <w:r w:rsidRPr="00BD3E2E">
        <w:rPr>
          <w:rFonts w:eastAsia="Times New Roman"/>
          <w:sz w:val="24"/>
          <w:szCs w:val="24"/>
          <w:lang w:val="en-US"/>
        </w:rPr>
        <w:t xml:space="preserve"> et al., 2001), one item of Patient Health Questionnaire - 2 (PHQ-2) (K</w:t>
      </w:r>
      <w:r w:rsidR="004B0E6B">
        <w:rPr>
          <w:rFonts w:eastAsia="Times New Roman"/>
          <w:sz w:val="24"/>
          <w:szCs w:val="24"/>
          <w:lang w:val="en-US"/>
        </w:rPr>
        <w:t>roenke</w:t>
      </w:r>
      <w:r w:rsidRPr="00BD3E2E">
        <w:rPr>
          <w:rFonts w:eastAsia="Times New Roman"/>
          <w:sz w:val="24"/>
          <w:szCs w:val="24"/>
          <w:lang w:val="en-US"/>
        </w:rPr>
        <w:t xml:space="preserve"> et al., 2003) and five items of Generalized Anxiety Disorder – 7 Questionnaire (GAD-7) (S</w:t>
      </w:r>
      <w:r w:rsidR="004B0E6B">
        <w:rPr>
          <w:rFonts w:eastAsia="Times New Roman"/>
          <w:sz w:val="24"/>
          <w:szCs w:val="24"/>
          <w:lang w:val="en-US"/>
        </w:rPr>
        <w:t>pitzer</w:t>
      </w:r>
      <w:r w:rsidRPr="00BD3E2E">
        <w:rPr>
          <w:rFonts w:eastAsia="Times New Roman"/>
          <w:sz w:val="24"/>
          <w:szCs w:val="24"/>
          <w:lang w:val="en-US"/>
        </w:rPr>
        <w:t xml:space="preserve"> et al., 2006). We selected 10 items that assess anxiety (5 items) and depression (5 items), symptoms through students’ perception during university. The response scale is a five-point Likert type of frequency (1 = Never; 5 = Always).</w:t>
      </w:r>
    </w:p>
    <w:p w14:paraId="3999174B" w14:textId="77777777" w:rsidR="00B65944" w:rsidRPr="00BD3E2E" w:rsidRDefault="00B65944" w:rsidP="00BD3E2E">
      <w:pPr>
        <w:spacing w:after="0" w:line="360" w:lineRule="auto"/>
        <w:ind w:firstLine="708"/>
        <w:rPr>
          <w:rFonts w:eastAsia="Times New Roman"/>
          <w:sz w:val="24"/>
          <w:szCs w:val="24"/>
          <w:u w:val="single"/>
          <w:lang w:val="en-US"/>
        </w:rPr>
      </w:pPr>
      <w:r w:rsidRPr="00BD3E2E">
        <w:rPr>
          <w:rFonts w:eastAsia="Times New Roman"/>
          <w:sz w:val="24"/>
          <w:szCs w:val="24"/>
          <w:lang w:val="en-US"/>
        </w:rPr>
        <w:t>Scale of Institutional Embracing of Diversity (Frick et al., submitted): a single-factor self-report instrument that assesses, through 13 items, how welcoming or hostile the university environment is for diverse social groups. Cronbach's alpha index for the assessed factor was 0.94. The McDonald's Omega index was 0.93. The response scale used was a five-point Likert type (1 = Very hostile; 5 = Very welcoming).</w:t>
      </w:r>
    </w:p>
    <w:p w14:paraId="7028F37D" w14:textId="254FC621" w:rsidR="00B65944" w:rsidRPr="00BD3E2E" w:rsidRDefault="00B65944" w:rsidP="002321B9">
      <w:pPr>
        <w:spacing w:after="0" w:line="360" w:lineRule="auto"/>
        <w:rPr>
          <w:rFonts w:eastAsia="Times New Roman"/>
          <w:color w:val="000000"/>
          <w:sz w:val="24"/>
          <w:szCs w:val="24"/>
          <w:lang w:val="en-US"/>
        </w:rPr>
      </w:pPr>
      <w:r w:rsidRPr="00BD3E2E">
        <w:rPr>
          <w:rFonts w:eastAsia="Times New Roman"/>
          <w:b/>
          <w:sz w:val="24"/>
          <w:szCs w:val="24"/>
          <w:lang w:val="en-US"/>
        </w:rPr>
        <w:tab/>
      </w:r>
      <w:r w:rsidRPr="00BD3E2E">
        <w:rPr>
          <w:rFonts w:eastAsia="Times New Roman"/>
          <w:color w:val="000000"/>
          <w:sz w:val="24"/>
          <w:szCs w:val="24"/>
          <w:lang w:val="en-US"/>
        </w:rPr>
        <w:t>Sociodemographic Questionnaire: an instrument of open and multiple-choice questions for students to indicate their gender, affective-sexual identity, disability or special needs, course area, the period of study, and ethnic diversity.</w:t>
      </w:r>
    </w:p>
    <w:p w14:paraId="13B026F2" w14:textId="77777777" w:rsidR="002321B9" w:rsidRDefault="00B65944" w:rsidP="000106B1">
      <w:pPr>
        <w:spacing w:after="0" w:line="360" w:lineRule="auto"/>
        <w:ind w:firstLine="708"/>
        <w:rPr>
          <w:rFonts w:eastAsia="Times New Roman"/>
          <w:b/>
          <w:sz w:val="24"/>
          <w:szCs w:val="24"/>
          <w:lang w:val="en-US"/>
        </w:rPr>
      </w:pPr>
      <w:r w:rsidRPr="00BD3E2E">
        <w:rPr>
          <w:rFonts w:eastAsia="Times New Roman"/>
          <w:b/>
          <w:sz w:val="24"/>
          <w:szCs w:val="24"/>
          <w:lang w:val="en-US"/>
        </w:rPr>
        <w:t>Procedures</w:t>
      </w:r>
    </w:p>
    <w:p w14:paraId="599B0253" w14:textId="77777777" w:rsidR="000106B1" w:rsidRDefault="00B65944" w:rsidP="000106B1">
      <w:pPr>
        <w:spacing w:after="0" w:line="360" w:lineRule="auto"/>
        <w:ind w:firstLine="708"/>
        <w:rPr>
          <w:rFonts w:eastAsia="Times New Roman"/>
          <w:b/>
          <w:sz w:val="24"/>
          <w:szCs w:val="24"/>
          <w:lang w:val="en-US"/>
        </w:rPr>
      </w:pPr>
      <w:r w:rsidRPr="00BD3E2E">
        <w:rPr>
          <w:rFonts w:eastAsia="Times New Roman"/>
          <w:color w:val="000000"/>
          <w:sz w:val="24"/>
          <w:szCs w:val="24"/>
          <w:lang w:val="en-US"/>
        </w:rPr>
        <w:t xml:space="preserve">Using an Experts' Committee </w:t>
      </w:r>
      <w:r w:rsidRPr="00BD3E2E">
        <w:rPr>
          <w:rFonts w:eastAsia="Times New Roman"/>
          <w:sz w:val="24"/>
          <w:szCs w:val="24"/>
          <w:lang w:val="en-US"/>
        </w:rPr>
        <w:t>bilingual proficient (Portuguese and English)</w:t>
      </w:r>
      <w:r w:rsidRPr="00BD3E2E">
        <w:rPr>
          <w:rFonts w:eastAsia="Times New Roman"/>
          <w:color w:val="000000"/>
          <w:sz w:val="24"/>
          <w:szCs w:val="24"/>
          <w:lang w:val="en-US"/>
        </w:rPr>
        <w:t xml:space="preserve"> </w:t>
      </w:r>
      <w:r w:rsidRPr="00BD3E2E">
        <w:rPr>
          <w:rFonts w:eastAsia="Times New Roman"/>
          <w:sz w:val="24"/>
          <w:szCs w:val="24"/>
          <w:lang w:val="en-US"/>
        </w:rPr>
        <w:t xml:space="preserve">at the Laboratory </w:t>
      </w:r>
      <w:r w:rsidRPr="00BD3E2E">
        <w:rPr>
          <w:rFonts w:eastAsia="Times New Roman"/>
          <w:sz w:val="24"/>
          <w:szCs w:val="24"/>
          <w:highlight w:val="yellow"/>
          <w:lang w:val="en-US"/>
        </w:rPr>
        <w:t>XXXX,</w:t>
      </w:r>
      <w:r w:rsidRPr="00BD3E2E">
        <w:rPr>
          <w:rFonts w:eastAsia="Times New Roman"/>
          <w:color w:val="000000"/>
          <w:sz w:val="24"/>
          <w:szCs w:val="24"/>
          <w:lang w:val="en-US"/>
        </w:rPr>
        <w:t xml:space="preserve"> we </w:t>
      </w:r>
      <w:r w:rsidRPr="00BD3E2E">
        <w:rPr>
          <w:rFonts w:eastAsia="Times New Roman"/>
          <w:sz w:val="24"/>
          <w:szCs w:val="24"/>
          <w:lang w:val="en-US"/>
        </w:rPr>
        <w:t xml:space="preserve">translated and back translated </w:t>
      </w:r>
      <w:r w:rsidRPr="00BD3E2E">
        <w:rPr>
          <w:rFonts w:eastAsia="Times New Roman"/>
          <w:color w:val="000000"/>
          <w:sz w:val="24"/>
          <w:szCs w:val="24"/>
          <w:lang w:val="en-US"/>
        </w:rPr>
        <w:t xml:space="preserve">the instruments Patient Health Questionnaire – 9 (PHQ-9), </w:t>
      </w:r>
      <w:r w:rsidRPr="00BD3E2E">
        <w:rPr>
          <w:rFonts w:eastAsia="Times New Roman"/>
          <w:sz w:val="24"/>
          <w:szCs w:val="24"/>
          <w:lang w:val="en-US"/>
        </w:rPr>
        <w:t>Patient Health Questionnaire</w:t>
      </w:r>
      <w:r w:rsidR="00A44FA0" w:rsidRPr="00BD3E2E">
        <w:rPr>
          <w:rFonts w:eastAsia="Times New Roman"/>
          <w:sz w:val="24"/>
          <w:szCs w:val="24"/>
          <w:lang w:val="en-US"/>
        </w:rPr>
        <w:t xml:space="preserve"> </w:t>
      </w:r>
      <w:r w:rsidRPr="00BD3E2E">
        <w:rPr>
          <w:rFonts w:eastAsia="Times New Roman"/>
          <w:sz w:val="24"/>
          <w:szCs w:val="24"/>
          <w:lang w:val="en-US"/>
        </w:rPr>
        <w:t>-</w:t>
      </w:r>
      <w:r w:rsidR="00A44FA0" w:rsidRPr="00BD3E2E">
        <w:rPr>
          <w:rFonts w:eastAsia="Times New Roman"/>
          <w:sz w:val="24"/>
          <w:szCs w:val="24"/>
          <w:lang w:val="en-US"/>
        </w:rPr>
        <w:t xml:space="preserve"> </w:t>
      </w:r>
      <w:r w:rsidRPr="00BD3E2E">
        <w:rPr>
          <w:rFonts w:eastAsia="Times New Roman"/>
          <w:sz w:val="24"/>
          <w:szCs w:val="24"/>
          <w:lang w:val="en-US"/>
        </w:rPr>
        <w:t xml:space="preserve">2 - PHQ-2 (KROENKE et al, 2003) </w:t>
      </w:r>
      <w:r w:rsidRPr="00BD3E2E">
        <w:rPr>
          <w:rFonts w:eastAsia="Times New Roman"/>
          <w:color w:val="000000"/>
          <w:sz w:val="24"/>
          <w:szCs w:val="24"/>
          <w:lang w:val="en-US"/>
        </w:rPr>
        <w:t xml:space="preserve">and Generalized Anxiety Disorder – 7 Questionnaire (GAD-7) that </w:t>
      </w:r>
      <w:r w:rsidRPr="00BD3E2E">
        <w:rPr>
          <w:rFonts w:eastAsia="Times New Roman"/>
          <w:sz w:val="24"/>
          <w:szCs w:val="24"/>
          <w:lang w:val="en-US"/>
        </w:rPr>
        <w:t>showed</w:t>
      </w:r>
      <w:r w:rsidRPr="00BD3E2E">
        <w:rPr>
          <w:rFonts w:eastAsia="Times New Roman"/>
          <w:color w:val="000000"/>
          <w:sz w:val="24"/>
          <w:szCs w:val="24"/>
          <w:lang w:val="en-US"/>
        </w:rPr>
        <w:t xml:space="preserve"> </w:t>
      </w:r>
      <w:r w:rsidRPr="00BD3E2E">
        <w:rPr>
          <w:rFonts w:eastAsia="Times New Roman"/>
          <w:sz w:val="24"/>
          <w:szCs w:val="24"/>
          <w:lang w:val="en-US"/>
        </w:rPr>
        <w:t>adequacy. Next, we proposed a cognitive interview</w:t>
      </w:r>
      <w:r w:rsidRPr="00BD3E2E">
        <w:rPr>
          <w:rFonts w:eastAsia="Times New Roman"/>
          <w:color w:val="000000"/>
          <w:sz w:val="24"/>
          <w:szCs w:val="24"/>
          <w:lang w:val="en-US"/>
        </w:rPr>
        <w:t xml:space="preserve"> with 30 students. We read the questions and debate with the participants about the </w:t>
      </w:r>
      <w:r w:rsidRPr="00BD3E2E">
        <w:rPr>
          <w:rFonts w:eastAsia="Times New Roman"/>
          <w:sz w:val="24"/>
          <w:szCs w:val="24"/>
          <w:lang w:val="en-US"/>
        </w:rPr>
        <w:t>instrument's metacognition</w:t>
      </w:r>
      <w:r w:rsidRPr="00BD3E2E">
        <w:rPr>
          <w:rFonts w:eastAsia="Times New Roman"/>
          <w:color w:val="000000"/>
          <w:sz w:val="24"/>
          <w:szCs w:val="24"/>
          <w:lang w:val="en-US"/>
        </w:rPr>
        <w:t xml:space="preserve">. Next, </w:t>
      </w:r>
      <w:r w:rsidRPr="00BD3E2E">
        <w:rPr>
          <w:rFonts w:eastAsia="Times New Roman"/>
          <w:sz w:val="24"/>
          <w:szCs w:val="24"/>
          <w:lang w:val="en-US"/>
        </w:rPr>
        <w:t xml:space="preserve">we had </w:t>
      </w:r>
      <w:r w:rsidRPr="00BD3E2E">
        <w:rPr>
          <w:rFonts w:eastAsia="Times New Roman"/>
          <w:color w:val="000000"/>
          <w:sz w:val="24"/>
          <w:szCs w:val="24"/>
          <w:lang w:val="en-US"/>
        </w:rPr>
        <w:t>the participation of 65 students who answered the Questionnaire and gave qualitative feedback about semantic comprehension. We also held a meeting with the "</w:t>
      </w:r>
      <w:r w:rsidRPr="00BD3E2E">
        <w:rPr>
          <w:rFonts w:eastAsia="Times New Roman"/>
          <w:color w:val="000000"/>
          <w:sz w:val="24"/>
          <w:szCs w:val="24"/>
          <w:highlight w:val="yellow"/>
          <w:lang w:val="en-US"/>
        </w:rPr>
        <w:t>Superintendence for XXX</w:t>
      </w:r>
      <w:r w:rsidRPr="00BD3E2E">
        <w:rPr>
          <w:rFonts w:eastAsia="Times New Roman"/>
          <w:color w:val="000000"/>
          <w:sz w:val="24"/>
          <w:szCs w:val="24"/>
          <w:lang w:val="en-US"/>
        </w:rPr>
        <w:t xml:space="preserve">" of the University, where the instrument was applied to check if the presentation of the Questionnaire was appropriate to the university reality. </w:t>
      </w:r>
      <w:r w:rsidRPr="00BD3E2E">
        <w:rPr>
          <w:rFonts w:eastAsia="Times New Roman"/>
          <w:sz w:val="24"/>
          <w:szCs w:val="24"/>
          <w:lang w:val="en-US"/>
        </w:rPr>
        <w:t>After all those processes, we decide to remove some items of the final instrument to optimize its face validity and adequacy for the university and students' context.</w:t>
      </w:r>
    </w:p>
    <w:p w14:paraId="0F5A2089" w14:textId="436A21AF" w:rsidR="00B65944" w:rsidRPr="000106B1" w:rsidRDefault="00B65944" w:rsidP="000106B1">
      <w:pPr>
        <w:spacing w:after="0" w:line="360" w:lineRule="auto"/>
        <w:ind w:firstLine="708"/>
        <w:rPr>
          <w:rFonts w:eastAsia="Times New Roman"/>
          <w:b/>
          <w:sz w:val="24"/>
          <w:szCs w:val="24"/>
          <w:lang w:val="en-US"/>
        </w:rPr>
      </w:pPr>
      <w:r w:rsidRPr="00BD3E2E">
        <w:rPr>
          <w:rFonts w:eastAsia="Times New Roman"/>
          <w:color w:val="000000"/>
          <w:sz w:val="24"/>
          <w:szCs w:val="24"/>
          <w:lang w:val="en-US"/>
        </w:rPr>
        <w:t>We registered the project in the Brazilian Human Research Ethics Committee (CAAE:</w:t>
      </w:r>
      <w:r w:rsidR="002321B9">
        <w:rPr>
          <w:rFonts w:eastAsia="Times New Roman"/>
          <w:color w:val="000000"/>
          <w:sz w:val="24"/>
          <w:szCs w:val="24"/>
          <w:lang w:val="en-US"/>
        </w:rPr>
        <w:t xml:space="preserve"> XXXX</w:t>
      </w:r>
      <w:r w:rsidRPr="00BD3E2E">
        <w:rPr>
          <w:rFonts w:eastAsia="Times New Roman"/>
          <w:color w:val="000000"/>
          <w:sz w:val="24"/>
          <w:szCs w:val="24"/>
          <w:lang w:val="en-US"/>
        </w:rPr>
        <w:t>). The data collection was performed on a large scale in the classrooms during university activities. The students responded to the instrument</w:t>
      </w:r>
      <w:r w:rsidR="00A44FA0" w:rsidRPr="00BD3E2E">
        <w:rPr>
          <w:rFonts w:eastAsia="Times New Roman"/>
          <w:color w:val="000000"/>
          <w:sz w:val="24"/>
          <w:szCs w:val="24"/>
          <w:lang w:val="en-US"/>
        </w:rPr>
        <w:t>s</w:t>
      </w:r>
      <w:r w:rsidRPr="00BD3E2E">
        <w:rPr>
          <w:rFonts w:eastAsia="Times New Roman"/>
          <w:color w:val="000000"/>
          <w:sz w:val="24"/>
          <w:szCs w:val="24"/>
          <w:lang w:val="en-US"/>
        </w:rPr>
        <w:t xml:space="preserve"> using a pen and paper, on average, for 20 minutes.</w:t>
      </w:r>
    </w:p>
    <w:p w14:paraId="0F9EF21A" w14:textId="2BED1E03" w:rsidR="00B65944" w:rsidRPr="00BD3E2E" w:rsidRDefault="00B65944" w:rsidP="000106B1">
      <w:pPr>
        <w:pBdr>
          <w:top w:val="nil"/>
          <w:left w:val="nil"/>
          <w:bottom w:val="nil"/>
          <w:right w:val="nil"/>
          <w:between w:val="nil"/>
        </w:pBdr>
        <w:spacing w:after="0" w:line="360" w:lineRule="auto"/>
        <w:rPr>
          <w:rFonts w:eastAsia="Times New Roman"/>
          <w:color w:val="1D1B11" w:themeColor="background2" w:themeShade="1A"/>
          <w:sz w:val="24"/>
          <w:szCs w:val="24"/>
          <w:lang w:val="en-US"/>
        </w:rPr>
      </w:pPr>
      <w:r w:rsidRPr="00BD3E2E">
        <w:rPr>
          <w:rFonts w:eastAsia="Times New Roman"/>
          <w:b/>
          <w:color w:val="000000"/>
          <w:sz w:val="24"/>
          <w:szCs w:val="24"/>
          <w:lang w:val="en-US"/>
        </w:rPr>
        <w:t>    </w:t>
      </w:r>
      <w:r w:rsidRPr="00BD3E2E">
        <w:rPr>
          <w:rFonts w:eastAsia="Times New Roman"/>
          <w:color w:val="000000"/>
          <w:sz w:val="24"/>
          <w:szCs w:val="24"/>
          <w:lang w:val="en-US"/>
        </w:rPr>
        <w:t> </w:t>
      </w:r>
      <w:r w:rsidRPr="00BD3E2E">
        <w:rPr>
          <w:rFonts w:eastAsia="Times New Roman"/>
          <w:color w:val="000000"/>
          <w:sz w:val="24"/>
          <w:szCs w:val="24"/>
          <w:lang w:val="en-US"/>
        </w:rPr>
        <w:tab/>
      </w:r>
      <w:r w:rsidRPr="00BD3E2E">
        <w:rPr>
          <w:rFonts w:eastAsia="Times New Roman"/>
          <w:sz w:val="24"/>
          <w:szCs w:val="24"/>
          <w:lang w:val="en-US"/>
        </w:rPr>
        <w:t xml:space="preserve">We entered the data using </w:t>
      </w:r>
      <w:r w:rsidRPr="00BD3E2E">
        <w:rPr>
          <w:rFonts w:eastAsia="Times New Roman"/>
          <w:color w:val="000000"/>
          <w:sz w:val="24"/>
          <w:szCs w:val="24"/>
          <w:lang w:val="en-US"/>
        </w:rPr>
        <w:t>statistical software JASP version 0.12.2.0.  We also performed all the analysis on JASP. First, we inspected the KMO index (Kaiser-Meyer-Olkin), the MAS index (Measure of Sampling Adequacy), and Bartlett's sphericity test. Next, for factorial retention, we observed Kaiser criterion, and parallel analysis, which we contrasted with the theoretical dimensioning of the measurement proposal</w:t>
      </w:r>
      <w:r w:rsidRPr="00BD3E2E">
        <w:rPr>
          <w:rFonts w:eastAsia="Times New Roman"/>
          <w:color w:val="1D1B11" w:themeColor="background2" w:themeShade="1A"/>
          <w:sz w:val="24"/>
          <w:szCs w:val="24"/>
          <w:lang w:val="en-US"/>
        </w:rPr>
        <w:t>. For factorial retention, we estimated a restricted factorial model with a second order factor using the WLS (</w:t>
      </w:r>
      <w:r w:rsidRPr="00BD3E2E">
        <w:rPr>
          <w:rFonts w:eastAsia="Times New Roman"/>
          <w:i/>
          <w:color w:val="1D1B11" w:themeColor="background2" w:themeShade="1A"/>
          <w:sz w:val="24"/>
          <w:szCs w:val="24"/>
          <w:lang w:val="en-US"/>
        </w:rPr>
        <w:t>Weighted Least Squares</w:t>
      </w:r>
      <w:r w:rsidRPr="00BD3E2E">
        <w:rPr>
          <w:rFonts w:eastAsia="Times New Roman"/>
          <w:color w:val="1D1B11" w:themeColor="background2" w:themeShade="1A"/>
          <w:sz w:val="24"/>
          <w:szCs w:val="24"/>
          <w:lang w:val="en-US"/>
        </w:rPr>
        <w:t xml:space="preserve">) estimator due to the robustness for ordinal data from Likert-type scales in the factorial extraction. </w:t>
      </w:r>
    </w:p>
    <w:p w14:paraId="0E2507C2" w14:textId="26C60863" w:rsidR="002321B9" w:rsidRDefault="00B65944" w:rsidP="002321B9">
      <w:pPr>
        <w:pBdr>
          <w:top w:val="nil"/>
          <w:left w:val="nil"/>
          <w:bottom w:val="nil"/>
          <w:right w:val="nil"/>
          <w:between w:val="nil"/>
        </w:pBdr>
        <w:spacing w:after="0" w:line="360" w:lineRule="auto"/>
        <w:ind w:firstLine="720"/>
        <w:rPr>
          <w:rFonts w:eastAsia="Times New Roman"/>
          <w:color w:val="000000"/>
          <w:sz w:val="24"/>
          <w:szCs w:val="24"/>
          <w:lang w:val="en-US"/>
        </w:rPr>
      </w:pPr>
      <w:r w:rsidRPr="00BD3E2E">
        <w:rPr>
          <w:rFonts w:eastAsia="Times New Roman"/>
          <w:color w:val="1D1B11" w:themeColor="background2" w:themeShade="1A"/>
          <w:sz w:val="24"/>
          <w:szCs w:val="24"/>
          <w:lang w:val="en-US"/>
        </w:rPr>
        <w:t xml:space="preserve">Then, we generated the internal consistency indexes Cronbach's Alpha and McDonald's' Omega per factor and for the second order factor of mental health. </w:t>
      </w:r>
      <w:r w:rsidRPr="00BD3E2E">
        <w:rPr>
          <w:rFonts w:eastAsia="Times New Roman"/>
          <w:color w:val="000000"/>
          <w:sz w:val="24"/>
          <w:szCs w:val="24"/>
          <w:lang w:val="en-US"/>
        </w:rPr>
        <w:t>Correlations between factors were estimated with Pearson’s Correlation. We used K-Means Clustering with Hartigan-Wong algorithm method for clustering and the criteria of Silhouette to cluster number determination</w:t>
      </w:r>
      <w:r w:rsidR="000106B1">
        <w:rPr>
          <w:rFonts w:eastAsia="Times New Roman"/>
          <w:color w:val="000000"/>
          <w:sz w:val="24"/>
          <w:szCs w:val="24"/>
          <w:lang w:val="en-US"/>
        </w:rPr>
        <w:t>.</w:t>
      </w:r>
    </w:p>
    <w:p w14:paraId="51782F47" w14:textId="77EE5AF9" w:rsidR="00A44FA0" w:rsidRPr="002321B9" w:rsidRDefault="00B65944" w:rsidP="00FF1EA5">
      <w:pPr>
        <w:pBdr>
          <w:top w:val="nil"/>
          <w:left w:val="nil"/>
          <w:bottom w:val="nil"/>
          <w:right w:val="nil"/>
          <w:between w:val="nil"/>
        </w:pBdr>
        <w:spacing w:after="0" w:line="360" w:lineRule="auto"/>
        <w:jc w:val="center"/>
        <w:rPr>
          <w:rFonts w:eastAsia="Times New Roman"/>
          <w:b/>
          <w:bCs/>
          <w:color w:val="000000"/>
          <w:sz w:val="24"/>
          <w:szCs w:val="24"/>
          <w:lang w:val="en-US"/>
        </w:rPr>
      </w:pPr>
      <w:r w:rsidRPr="002321B9">
        <w:rPr>
          <w:b/>
          <w:bCs/>
          <w:sz w:val="24"/>
          <w:szCs w:val="24"/>
          <w:lang w:val="en-US"/>
        </w:rPr>
        <w:t>Results</w:t>
      </w:r>
    </w:p>
    <w:p w14:paraId="25FAAB5A" w14:textId="77777777" w:rsidR="00B72205" w:rsidRPr="00BD3E2E" w:rsidRDefault="00A44FA0" w:rsidP="002321B9">
      <w:pPr>
        <w:spacing w:after="0" w:line="360" w:lineRule="auto"/>
        <w:ind w:firstLine="708"/>
        <w:rPr>
          <w:rFonts w:eastAsia="Times New Roman"/>
          <w:sz w:val="24"/>
          <w:szCs w:val="24"/>
          <w:lang w:val="en-US"/>
        </w:rPr>
      </w:pPr>
      <w:r w:rsidRPr="00BD3E2E">
        <w:rPr>
          <w:rFonts w:eastAsia="Times New Roman"/>
          <w:sz w:val="24"/>
          <w:szCs w:val="24"/>
          <w:lang w:val="en-US"/>
        </w:rPr>
        <w:t xml:space="preserve">We </w:t>
      </w:r>
      <w:r w:rsidR="00B72205" w:rsidRPr="00BD3E2E">
        <w:rPr>
          <w:rFonts w:eastAsia="Times New Roman"/>
          <w:sz w:val="24"/>
          <w:szCs w:val="24"/>
          <w:lang w:val="en-US"/>
        </w:rPr>
        <w:t>analyzed</w:t>
      </w:r>
      <w:r w:rsidRPr="00BD3E2E">
        <w:rPr>
          <w:rFonts w:eastAsia="Times New Roman"/>
          <w:sz w:val="24"/>
          <w:szCs w:val="24"/>
          <w:lang w:val="en-US"/>
        </w:rPr>
        <w:t xml:space="preserve"> the requirements for factor analysis. The KMO for overall data was 0.82, MSA indexes varied from 0.86 to 0.95. Bartlett tests were significant (X² = 20813.50; df = 45; p&lt;0,01). Once those indicators were adequate, we proceeded to factorial retention. In factorial retention, we defined that two factors were enough to assess mental health as a brief marker considering the specific factors of depression and anxiety. Empirical evidence also showed adequacy for that criteria for factorial retention (Kaiser = 2; Parallel analysis = 2).</w:t>
      </w:r>
    </w:p>
    <w:p w14:paraId="01EA0AB3" w14:textId="3DFF6F4B" w:rsidR="00BD3E2E" w:rsidRPr="002E105A" w:rsidRDefault="00A44FA0" w:rsidP="002E105A">
      <w:pPr>
        <w:spacing w:after="0" w:line="360" w:lineRule="auto"/>
        <w:ind w:firstLine="708"/>
        <w:rPr>
          <w:rFonts w:eastAsia="Times New Roman"/>
          <w:color w:val="1D1B11" w:themeColor="background2" w:themeShade="1A"/>
          <w:sz w:val="24"/>
          <w:szCs w:val="24"/>
          <w:lang w:val="en-US"/>
        </w:rPr>
      </w:pPr>
      <w:r w:rsidRPr="00BD3E2E">
        <w:rPr>
          <w:rFonts w:eastAsia="Times New Roman"/>
          <w:color w:val="1D1B11" w:themeColor="background2" w:themeShade="1A"/>
          <w:sz w:val="24"/>
          <w:szCs w:val="24"/>
          <w:lang w:val="en-US"/>
        </w:rPr>
        <w:t>In the factorial extraction, we obtained 60,10% of explained variance for the scale (Factor 1 = 33,80%; Factor 2 = 26,30%) and eigenvalues were above 1 (Factor 1 = 3,38; Factor 2 = 2,62). Factor loading for the first specific factor ranged between 0.38 and 0.89. The second specific factor obtained factor loading from 0.58 to 0.89. The two specific factors were positive and significantly correlated (r = .68; p&lt;.01). The internal consistency also was satisfactory for all specific factors with Alpha and Omega indexes above 0.80, as shown in Table 1.</w:t>
      </w:r>
      <w:r w:rsidR="00B72205" w:rsidRPr="00BD3E2E">
        <w:rPr>
          <w:rFonts w:eastAsia="Times New Roman"/>
          <w:color w:val="1D1B11" w:themeColor="background2" w:themeShade="1A"/>
          <w:sz w:val="24"/>
          <w:szCs w:val="24"/>
          <w:lang w:val="en-US"/>
        </w:rPr>
        <w:t xml:space="preserve"> </w:t>
      </w:r>
      <w:r w:rsidR="00B72205" w:rsidRPr="00BD3E2E">
        <w:rPr>
          <w:rStyle w:val="jlqj4b"/>
          <w:sz w:val="24"/>
          <w:szCs w:val="24"/>
          <w:lang w:val="en"/>
        </w:rPr>
        <w:t>In the scale's descriptive structure, regarding specific factors, it was identified that items 01 to 05 track symptoms of depression and items 06 to 10 identify symptoms of anxiety.</w:t>
      </w:r>
    </w:p>
    <w:p w14:paraId="7F6BF873" w14:textId="77777777" w:rsidR="00FF1EA5" w:rsidRDefault="00FF1EA5" w:rsidP="002E105A">
      <w:pPr>
        <w:spacing w:before="240" w:after="0" w:line="360" w:lineRule="auto"/>
        <w:jc w:val="center"/>
        <w:rPr>
          <w:rFonts w:eastAsia="Times New Roman"/>
          <w:sz w:val="24"/>
          <w:szCs w:val="24"/>
          <w:lang w:val="en-US"/>
        </w:rPr>
      </w:pPr>
    </w:p>
    <w:p w14:paraId="58207ADA" w14:textId="17785BF1" w:rsidR="00B72205" w:rsidRPr="00BD3E2E" w:rsidRDefault="00B72205" w:rsidP="002E105A">
      <w:pPr>
        <w:spacing w:before="240" w:after="0" w:line="360" w:lineRule="auto"/>
        <w:jc w:val="center"/>
        <w:rPr>
          <w:rFonts w:eastAsia="Times New Roman"/>
          <w:sz w:val="24"/>
          <w:szCs w:val="24"/>
          <w:lang w:val="en-US"/>
        </w:rPr>
      </w:pPr>
      <w:r w:rsidRPr="00BD3E2E">
        <w:rPr>
          <w:rFonts w:eastAsia="Times New Roman"/>
          <w:sz w:val="24"/>
          <w:szCs w:val="24"/>
          <w:lang w:val="en-US"/>
        </w:rPr>
        <w:t>Table 1. Factorial structure for the specific factors of the scale.</w:t>
      </w:r>
    </w:p>
    <w:tbl>
      <w:tblPr>
        <w:tblW w:w="9080" w:type="dxa"/>
        <w:tblInd w:w="-998" w:type="dxa"/>
        <w:tblLayout w:type="fixed"/>
        <w:tblLook w:val="0400" w:firstRow="0" w:lastRow="0" w:firstColumn="0" w:lastColumn="0" w:noHBand="0" w:noVBand="1"/>
      </w:tblPr>
      <w:tblGrid>
        <w:gridCol w:w="3120"/>
        <w:gridCol w:w="3548"/>
        <w:gridCol w:w="992"/>
        <w:gridCol w:w="1276"/>
        <w:gridCol w:w="144"/>
      </w:tblGrid>
      <w:tr w:rsidR="00B72205" w:rsidRPr="00BD3E2E" w14:paraId="18779396" w14:textId="77777777" w:rsidTr="00FF1EA5">
        <w:trPr>
          <w:trHeight w:val="20"/>
        </w:trPr>
        <w:tc>
          <w:tcPr>
            <w:tcW w:w="6668" w:type="dxa"/>
            <w:gridSpan w:val="2"/>
            <w:tcBorders>
              <w:top w:val="single" w:sz="4" w:space="0" w:color="auto"/>
              <w:right w:val="nil"/>
            </w:tcBorders>
            <w:shd w:val="clear" w:color="auto" w:fill="auto"/>
            <w:vAlign w:val="center"/>
          </w:tcPr>
          <w:p w14:paraId="1DB20DCE" w14:textId="75C3126A" w:rsidR="00B72205" w:rsidRPr="00BD3E2E" w:rsidRDefault="00B72205" w:rsidP="00FF1EA5">
            <w:pPr>
              <w:spacing w:after="0" w:line="240" w:lineRule="auto"/>
              <w:ind w:firstLine="604"/>
              <w:jc w:val="center"/>
              <w:rPr>
                <w:rFonts w:eastAsia="Times New Roman"/>
                <w:b/>
                <w:color w:val="000000"/>
                <w:sz w:val="24"/>
                <w:szCs w:val="24"/>
              </w:rPr>
            </w:pPr>
            <w:proofErr w:type="spellStart"/>
            <w:r w:rsidRPr="00BD3E2E">
              <w:rPr>
                <w:rFonts w:eastAsia="Times New Roman"/>
                <w:b/>
                <w:color w:val="000000"/>
                <w:sz w:val="24"/>
                <w:szCs w:val="24"/>
              </w:rPr>
              <w:t>Items</w:t>
            </w:r>
            <w:proofErr w:type="spellEnd"/>
          </w:p>
        </w:tc>
        <w:tc>
          <w:tcPr>
            <w:tcW w:w="992" w:type="dxa"/>
            <w:vMerge w:val="restart"/>
            <w:tcBorders>
              <w:top w:val="single" w:sz="4" w:space="0" w:color="auto"/>
              <w:left w:val="nil"/>
              <w:bottom w:val="single" w:sz="4" w:space="0" w:color="auto"/>
              <w:right w:val="nil"/>
            </w:tcBorders>
            <w:shd w:val="clear" w:color="auto" w:fill="auto"/>
            <w:vAlign w:val="center"/>
          </w:tcPr>
          <w:p w14:paraId="52C859C6" w14:textId="77777777" w:rsidR="00B72205" w:rsidRPr="00FF1EA5" w:rsidRDefault="00B72205" w:rsidP="00FF1EA5">
            <w:pPr>
              <w:spacing w:after="0" w:line="240" w:lineRule="auto"/>
              <w:ind w:left="-246" w:firstLine="246"/>
              <w:jc w:val="center"/>
              <w:rPr>
                <w:rFonts w:eastAsia="Times New Roman"/>
                <w:b/>
                <w:color w:val="000000"/>
                <w:sz w:val="20"/>
                <w:szCs w:val="20"/>
              </w:rPr>
            </w:pPr>
            <w:proofErr w:type="spellStart"/>
            <w:r w:rsidRPr="00FF1EA5">
              <w:rPr>
                <w:rFonts w:eastAsia="Times New Roman"/>
                <w:b/>
                <w:color w:val="000000"/>
                <w:sz w:val="20"/>
                <w:szCs w:val="20"/>
              </w:rPr>
              <w:t>Anxiety</w:t>
            </w:r>
            <w:proofErr w:type="spellEnd"/>
          </w:p>
        </w:tc>
        <w:tc>
          <w:tcPr>
            <w:tcW w:w="1420" w:type="dxa"/>
            <w:gridSpan w:val="2"/>
            <w:vMerge w:val="restart"/>
            <w:tcBorders>
              <w:top w:val="single" w:sz="4" w:space="0" w:color="auto"/>
              <w:left w:val="nil"/>
              <w:bottom w:val="single" w:sz="4" w:space="0" w:color="auto"/>
            </w:tcBorders>
            <w:shd w:val="clear" w:color="auto" w:fill="auto"/>
            <w:vAlign w:val="center"/>
          </w:tcPr>
          <w:p w14:paraId="6B28D4C6" w14:textId="77777777" w:rsidR="00B72205" w:rsidRPr="00FF1EA5" w:rsidRDefault="00B72205" w:rsidP="00FF1EA5">
            <w:pPr>
              <w:spacing w:after="0" w:line="240" w:lineRule="auto"/>
              <w:ind w:left="-246" w:firstLine="246"/>
              <w:jc w:val="center"/>
              <w:rPr>
                <w:rFonts w:eastAsia="Times New Roman"/>
                <w:b/>
                <w:color w:val="000000"/>
                <w:sz w:val="20"/>
                <w:szCs w:val="20"/>
              </w:rPr>
            </w:pPr>
            <w:proofErr w:type="spellStart"/>
            <w:r w:rsidRPr="00FF1EA5">
              <w:rPr>
                <w:rFonts w:eastAsia="Times New Roman"/>
                <w:b/>
                <w:color w:val="000000"/>
                <w:sz w:val="20"/>
                <w:szCs w:val="20"/>
              </w:rPr>
              <w:t>Depression</w:t>
            </w:r>
            <w:proofErr w:type="spellEnd"/>
          </w:p>
        </w:tc>
      </w:tr>
      <w:tr w:rsidR="00B72205" w:rsidRPr="00BD3E2E" w14:paraId="4B336688" w14:textId="77777777" w:rsidTr="00FF1EA5">
        <w:trPr>
          <w:trHeight w:val="274"/>
        </w:trPr>
        <w:tc>
          <w:tcPr>
            <w:tcW w:w="3120" w:type="dxa"/>
            <w:tcBorders>
              <w:bottom w:val="single" w:sz="4" w:space="0" w:color="auto"/>
            </w:tcBorders>
            <w:shd w:val="clear" w:color="auto" w:fill="auto"/>
            <w:vAlign w:val="center"/>
          </w:tcPr>
          <w:p w14:paraId="5D6F18F7" w14:textId="669D3DDC" w:rsidR="00B72205" w:rsidRPr="00BD3E2E" w:rsidRDefault="00B72205" w:rsidP="00FF1EA5">
            <w:pPr>
              <w:spacing w:after="0" w:line="240" w:lineRule="auto"/>
              <w:jc w:val="center"/>
              <w:rPr>
                <w:rFonts w:eastAsia="Times New Roman"/>
                <w:b/>
                <w:color w:val="000000"/>
                <w:sz w:val="24"/>
                <w:szCs w:val="24"/>
              </w:rPr>
            </w:pPr>
            <w:proofErr w:type="spellStart"/>
            <w:r w:rsidRPr="00BD3E2E">
              <w:rPr>
                <w:rFonts w:eastAsia="Times New Roman"/>
                <w:b/>
                <w:color w:val="000000"/>
                <w:sz w:val="24"/>
                <w:szCs w:val="24"/>
              </w:rPr>
              <w:t>Portuguese</w:t>
            </w:r>
            <w:proofErr w:type="spellEnd"/>
          </w:p>
        </w:tc>
        <w:tc>
          <w:tcPr>
            <w:tcW w:w="3548" w:type="dxa"/>
            <w:tcBorders>
              <w:left w:val="nil"/>
              <w:bottom w:val="single" w:sz="4" w:space="0" w:color="auto"/>
              <w:right w:val="nil"/>
            </w:tcBorders>
            <w:shd w:val="clear" w:color="auto" w:fill="auto"/>
            <w:vAlign w:val="center"/>
          </w:tcPr>
          <w:p w14:paraId="0A1DB2CC" w14:textId="0FBC5853" w:rsidR="00B72205" w:rsidRPr="00BD3E2E" w:rsidRDefault="00B72205" w:rsidP="00FF1EA5">
            <w:pPr>
              <w:spacing w:after="0" w:line="240" w:lineRule="auto"/>
              <w:jc w:val="center"/>
              <w:rPr>
                <w:rFonts w:eastAsia="Times New Roman"/>
                <w:b/>
                <w:color w:val="000000"/>
                <w:sz w:val="24"/>
                <w:szCs w:val="24"/>
              </w:rPr>
            </w:pPr>
            <w:r w:rsidRPr="00BD3E2E">
              <w:rPr>
                <w:rFonts w:eastAsia="Times New Roman"/>
                <w:b/>
                <w:color w:val="000000"/>
                <w:sz w:val="24"/>
                <w:szCs w:val="24"/>
              </w:rPr>
              <w:t>English</w:t>
            </w:r>
          </w:p>
        </w:tc>
        <w:tc>
          <w:tcPr>
            <w:tcW w:w="992" w:type="dxa"/>
            <w:vMerge/>
            <w:tcBorders>
              <w:top w:val="single" w:sz="4" w:space="0" w:color="auto"/>
              <w:left w:val="nil"/>
              <w:bottom w:val="single" w:sz="4" w:space="0" w:color="auto"/>
              <w:right w:val="nil"/>
            </w:tcBorders>
            <w:shd w:val="clear" w:color="auto" w:fill="auto"/>
            <w:vAlign w:val="center"/>
          </w:tcPr>
          <w:p w14:paraId="3060E146" w14:textId="77777777" w:rsidR="00B72205" w:rsidRPr="00BD3E2E" w:rsidRDefault="00B72205" w:rsidP="00FF1EA5">
            <w:pPr>
              <w:widowControl w:val="0"/>
              <w:pBdr>
                <w:top w:val="nil"/>
                <w:left w:val="nil"/>
                <w:bottom w:val="nil"/>
                <w:right w:val="nil"/>
                <w:between w:val="nil"/>
              </w:pBdr>
              <w:spacing w:after="0" w:line="240" w:lineRule="auto"/>
              <w:rPr>
                <w:rFonts w:eastAsia="Times New Roman"/>
                <w:b/>
                <w:color w:val="000000"/>
                <w:sz w:val="24"/>
                <w:szCs w:val="24"/>
              </w:rPr>
            </w:pPr>
          </w:p>
        </w:tc>
        <w:tc>
          <w:tcPr>
            <w:tcW w:w="1420" w:type="dxa"/>
            <w:gridSpan w:val="2"/>
            <w:vMerge/>
            <w:tcBorders>
              <w:top w:val="single" w:sz="4" w:space="0" w:color="auto"/>
              <w:left w:val="nil"/>
              <w:bottom w:val="single" w:sz="4" w:space="0" w:color="auto"/>
            </w:tcBorders>
            <w:shd w:val="clear" w:color="auto" w:fill="auto"/>
            <w:vAlign w:val="center"/>
          </w:tcPr>
          <w:p w14:paraId="0FAF17DE" w14:textId="77777777" w:rsidR="00B72205" w:rsidRPr="00BD3E2E" w:rsidRDefault="00B72205" w:rsidP="00FF1EA5">
            <w:pPr>
              <w:widowControl w:val="0"/>
              <w:pBdr>
                <w:top w:val="nil"/>
                <w:left w:val="nil"/>
                <w:bottom w:val="nil"/>
                <w:right w:val="nil"/>
                <w:between w:val="nil"/>
              </w:pBdr>
              <w:spacing w:after="0" w:line="240" w:lineRule="auto"/>
              <w:rPr>
                <w:rFonts w:eastAsia="Times New Roman"/>
                <w:b/>
                <w:color w:val="000000"/>
                <w:sz w:val="24"/>
                <w:szCs w:val="24"/>
              </w:rPr>
            </w:pPr>
          </w:p>
        </w:tc>
      </w:tr>
      <w:tr w:rsidR="00B72205" w:rsidRPr="00BD3E2E" w14:paraId="5B44F844" w14:textId="77777777" w:rsidTr="00FF1EA5">
        <w:trPr>
          <w:gridAfter w:val="1"/>
          <w:wAfter w:w="144" w:type="dxa"/>
          <w:trHeight w:val="20"/>
        </w:trPr>
        <w:tc>
          <w:tcPr>
            <w:tcW w:w="3120" w:type="dxa"/>
            <w:tcBorders>
              <w:top w:val="single" w:sz="4" w:space="0" w:color="auto"/>
              <w:bottom w:val="single" w:sz="4" w:space="0" w:color="auto"/>
              <w:right w:val="nil"/>
            </w:tcBorders>
            <w:shd w:val="clear" w:color="auto" w:fill="auto"/>
            <w:vAlign w:val="center"/>
          </w:tcPr>
          <w:p w14:paraId="7B9C92AD" w14:textId="19181A80" w:rsidR="00B72205" w:rsidRPr="00FF1EA5" w:rsidRDefault="00B72205" w:rsidP="00FF1EA5">
            <w:pPr>
              <w:spacing w:line="240" w:lineRule="auto"/>
              <w:rPr>
                <w:rFonts w:eastAsia="Times New Roman"/>
                <w:color w:val="000000"/>
                <w:lang w:val="pt-BR"/>
              </w:rPr>
            </w:pPr>
            <w:r w:rsidRPr="00FF1EA5">
              <w:rPr>
                <w:rFonts w:eastAsia="Times New Roman"/>
                <w:color w:val="000000"/>
                <w:lang w:val="pt-BR"/>
              </w:rPr>
              <w:t>1. Pouco interesse em fazer as coisas.</w:t>
            </w:r>
          </w:p>
        </w:tc>
        <w:tc>
          <w:tcPr>
            <w:tcW w:w="3548" w:type="dxa"/>
            <w:tcBorders>
              <w:top w:val="single" w:sz="4" w:space="0" w:color="auto"/>
              <w:left w:val="nil"/>
              <w:bottom w:val="single" w:sz="4" w:space="0" w:color="auto"/>
              <w:right w:val="nil"/>
            </w:tcBorders>
            <w:shd w:val="clear" w:color="auto" w:fill="auto"/>
            <w:vAlign w:val="center"/>
          </w:tcPr>
          <w:p w14:paraId="40B3FFBE" w14:textId="05273111" w:rsidR="00B72205" w:rsidRPr="00FF1EA5" w:rsidRDefault="00B72205" w:rsidP="00FF1EA5">
            <w:pPr>
              <w:spacing w:line="240" w:lineRule="auto"/>
              <w:rPr>
                <w:rFonts w:eastAsia="Times New Roman"/>
                <w:color w:val="000000"/>
                <w:lang w:val="en-US"/>
              </w:rPr>
            </w:pPr>
            <w:r w:rsidRPr="00FF1EA5">
              <w:rPr>
                <w:rFonts w:eastAsia="Times New Roman"/>
                <w:color w:val="000000"/>
                <w:lang w:val="en-US"/>
              </w:rPr>
              <w:t>I have low interest in daily activities.</w:t>
            </w:r>
          </w:p>
        </w:tc>
        <w:tc>
          <w:tcPr>
            <w:tcW w:w="992" w:type="dxa"/>
            <w:tcBorders>
              <w:top w:val="single" w:sz="4" w:space="0" w:color="auto"/>
              <w:left w:val="nil"/>
              <w:bottom w:val="single" w:sz="4" w:space="0" w:color="auto"/>
              <w:right w:val="nil"/>
            </w:tcBorders>
            <w:shd w:val="clear" w:color="auto" w:fill="auto"/>
            <w:vAlign w:val="center"/>
          </w:tcPr>
          <w:p w14:paraId="5466F077" w14:textId="77777777" w:rsidR="00B72205" w:rsidRPr="00FF1EA5" w:rsidRDefault="00B72205" w:rsidP="00FF1EA5">
            <w:pPr>
              <w:spacing w:line="240" w:lineRule="auto"/>
              <w:jc w:val="center"/>
              <w:rPr>
                <w:rFonts w:eastAsia="Times New Roman"/>
                <w:color w:val="000000"/>
              </w:rPr>
            </w:pPr>
            <w:r w:rsidRPr="00FF1EA5">
              <w:rPr>
                <w:rFonts w:eastAsia="Times New Roman"/>
              </w:rPr>
              <w:t>-</w:t>
            </w:r>
          </w:p>
        </w:tc>
        <w:tc>
          <w:tcPr>
            <w:tcW w:w="1276" w:type="dxa"/>
            <w:tcBorders>
              <w:top w:val="single" w:sz="4" w:space="0" w:color="auto"/>
              <w:left w:val="nil"/>
              <w:bottom w:val="single" w:sz="4" w:space="0" w:color="auto"/>
            </w:tcBorders>
            <w:shd w:val="clear" w:color="auto" w:fill="auto"/>
            <w:vAlign w:val="center"/>
          </w:tcPr>
          <w:p w14:paraId="0C23FA46" w14:textId="77777777" w:rsidR="00B72205" w:rsidRPr="00FF1EA5" w:rsidRDefault="00B72205" w:rsidP="00FF1EA5">
            <w:pPr>
              <w:spacing w:line="240" w:lineRule="auto"/>
              <w:jc w:val="center"/>
              <w:rPr>
                <w:rFonts w:eastAsia="Times New Roman"/>
                <w:color w:val="000000"/>
              </w:rPr>
            </w:pPr>
            <w:r w:rsidRPr="00FF1EA5">
              <w:rPr>
                <w:rFonts w:eastAsia="Times New Roman"/>
                <w:color w:val="000000"/>
              </w:rPr>
              <w:t>.8</w:t>
            </w:r>
            <w:r w:rsidRPr="00FF1EA5">
              <w:rPr>
                <w:rFonts w:eastAsia="Times New Roman"/>
              </w:rPr>
              <w:t>2</w:t>
            </w:r>
          </w:p>
        </w:tc>
      </w:tr>
      <w:tr w:rsidR="00B72205" w:rsidRPr="00BD3E2E" w14:paraId="3687D4EF" w14:textId="77777777" w:rsidTr="00FF1EA5">
        <w:trPr>
          <w:gridAfter w:val="1"/>
          <w:wAfter w:w="144" w:type="dxa"/>
          <w:trHeight w:val="20"/>
        </w:trPr>
        <w:tc>
          <w:tcPr>
            <w:tcW w:w="3120" w:type="dxa"/>
            <w:tcBorders>
              <w:top w:val="single" w:sz="4" w:space="0" w:color="auto"/>
              <w:bottom w:val="single" w:sz="4" w:space="0" w:color="auto"/>
              <w:right w:val="nil"/>
            </w:tcBorders>
            <w:shd w:val="clear" w:color="auto" w:fill="auto"/>
            <w:vAlign w:val="center"/>
          </w:tcPr>
          <w:p w14:paraId="7A32608D" w14:textId="23D6E389" w:rsidR="00B72205" w:rsidRPr="00FF1EA5" w:rsidRDefault="00B72205" w:rsidP="00FF1EA5">
            <w:pPr>
              <w:tabs>
                <w:tab w:val="left" w:pos="316"/>
              </w:tabs>
              <w:spacing w:line="240" w:lineRule="auto"/>
              <w:rPr>
                <w:rFonts w:eastAsia="Times New Roman"/>
                <w:color w:val="000000"/>
                <w:lang w:val="pt-BR"/>
              </w:rPr>
            </w:pPr>
            <w:r w:rsidRPr="00FF1EA5">
              <w:rPr>
                <w:rFonts w:eastAsia="Times New Roman"/>
                <w:color w:val="000000"/>
                <w:lang w:val="pt-BR"/>
              </w:rPr>
              <w:t>2. Sentir-se para baixo, desanimado(a), desmotivado(a).</w:t>
            </w:r>
          </w:p>
        </w:tc>
        <w:tc>
          <w:tcPr>
            <w:tcW w:w="3548" w:type="dxa"/>
            <w:tcBorders>
              <w:top w:val="single" w:sz="4" w:space="0" w:color="auto"/>
              <w:left w:val="nil"/>
              <w:bottom w:val="single" w:sz="4" w:space="0" w:color="auto"/>
              <w:right w:val="nil"/>
            </w:tcBorders>
            <w:shd w:val="clear" w:color="auto" w:fill="auto"/>
            <w:vAlign w:val="center"/>
          </w:tcPr>
          <w:p w14:paraId="79AF0D69" w14:textId="77777777" w:rsidR="00B72205" w:rsidRPr="00FF1EA5" w:rsidRDefault="00B72205" w:rsidP="00FF1EA5">
            <w:pPr>
              <w:spacing w:line="240" w:lineRule="auto"/>
              <w:ind w:hanging="73"/>
              <w:rPr>
                <w:rFonts w:eastAsia="Times New Roman"/>
                <w:color w:val="000000"/>
                <w:lang w:val="en-US"/>
              </w:rPr>
            </w:pPr>
            <w:r w:rsidRPr="00FF1EA5">
              <w:rPr>
                <w:rFonts w:eastAsia="Times New Roman"/>
                <w:color w:val="000000"/>
                <w:lang w:val="pt-BR"/>
              </w:rPr>
              <w:t xml:space="preserve"> </w:t>
            </w:r>
            <w:r w:rsidRPr="00FF1EA5">
              <w:rPr>
                <w:rFonts w:eastAsia="Times New Roman"/>
                <w:color w:val="000000"/>
                <w:lang w:val="en-US"/>
              </w:rPr>
              <w:t>I am feeling down, discouraged, and unmotivated.</w:t>
            </w:r>
          </w:p>
        </w:tc>
        <w:tc>
          <w:tcPr>
            <w:tcW w:w="992" w:type="dxa"/>
            <w:tcBorders>
              <w:top w:val="single" w:sz="4" w:space="0" w:color="auto"/>
              <w:left w:val="nil"/>
              <w:bottom w:val="single" w:sz="4" w:space="0" w:color="auto"/>
              <w:right w:val="nil"/>
            </w:tcBorders>
            <w:shd w:val="clear" w:color="auto" w:fill="auto"/>
            <w:vAlign w:val="center"/>
          </w:tcPr>
          <w:p w14:paraId="4BA26FA7" w14:textId="77777777" w:rsidR="00B72205" w:rsidRPr="00FF1EA5" w:rsidRDefault="00B72205" w:rsidP="00FF1EA5">
            <w:pPr>
              <w:spacing w:line="240" w:lineRule="auto"/>
              <w:jc w:val="center"/>
              <w:rPr>
                <w:rFonts w:eastAsia="Times New Roman"/>
                <w:color w:val="000000"/>
              </w:rPr>
            </w:pPr>
            <w:r w:rsidRPr="00FF1EA5">
              <w:rPr>
                <w:rFonts w:eastAsia="Times New Roman"/>
              </w:rPr>
              <w:t>-</w:t>
            </w:r>
          </w:p>
        </w:tc>
        <w:tc>
          <w:tcPr>
            <w:tcW w:w="1276" w:type="dxa"/>
            <w:tcBorders>
              <w:top w:val="single" w:sz="4" w:space="0" w:color="auto"/>
              <w:left w:val="nil"/>
              <w:bottom w:val="single" w:sz="4" w:space="0" w:color="auto"/>
            </w:tcBorders>
            <w:shd w:val="clear" w:color="auto" w:fill="auto"/>
            <w:vAlign w:val="center"/>
          </w:tcPr>
          <w:p w14:paraId="31A232E9" w14:textId="77777777" w:rsidR="00B72205" w:rsidRPr="00FF1EA5" w:rsidRDefault="00B72205" w:rsidP="00FF1EA5">
            <w:pPr>
              <w:spacing w:line="240" w:lineRule="auto"/>
              <w:jc w:val="center"/>
              <w:rPr>
                <w:rFonts w:eastAsia="Times New Roman"/>
                <w:color w:val="000000"/>
              </w:rPr>
            </w:pPr>
            <w:r w:rsidRPr="00FF1EA5">
              <w:rPr>
                <w:rFonts w:eastAsia="Times New Roman"/>
                <w:color w:val="000000"/>
              </w:rPr>
              <w:t>.8</w:t>
            </w:r>
            <w:r w:rsidRPr="00FF1EA5">
              <w:rPr>
                <w:rFonts w:eastAsia="Times New Roman"/>
              </w:rPr>
              <w:t>8</w:t>
            </w:r>
          </w:p>
        </w:tc>
      </w:tr>
      <w:tr w:rsidR="00B72205" w:rsidRPr="00BD3E2E" w14:paraId="22EC8794" w14:textId="77777777" w:rsidTr="00FF1EA5">
        <w:trPr>
          <w:gridAfter w:val="1"/>
          <w:wAfter w:w="144" w:type="dxa"/>
          <w:trHeight w:val="20"/>
        </w:trPr>
        <w:tc>
          <w:tcPr>
            <w:tcW w:w="3120" w:type="dxa"/>
            <w:tcBorders>
              <w:top w:val="single" w:sz="4" w:space="0" w:color="auto"/>
              <w:bottom w:val="single" w:sz="4" w:space="0" w:color="auto"/>
              <w:right w:val="nil"/>
            </w:tcBorders>
            <w:shd w:val="clear" w:color="auto" w:fill="auto"/>
            <w:vAlign w:val="center"/>
          </w:tcPr>
          <w:p w14:paraId="78594B84" w14:textId="42421CEF" w:rsidR="00B72205" w:rsidRPr="00FF1EA5" w:rsidRDefault="00B72205" w:rsidP="00FF1EA5">
            <w:pPr>
              <w:spacing w:line="240" w:lineRule="auto"/>
              <w:rPr>
                <w:rFonts w:eastAsia="Times New Roman"/>
                <w:color w:val="000000"/>
                <w:lang w:val="pt-BR"/>
              </w:rPr>
            </w:pPr>
            <w:r w:rsidRPr="00FF1EA5">
              <w:rPr>
                <w:rFonts w:eastAsia="Times New Roman"/>
                <w:color w:val="000000"/>
                <w:lang w:val="pt-BR"/>
              </w:rPr>
              <w:t>3. Dificuldade de concentração (por exemplo, ao estudar, ler notícias ou assistir televisão)</w:t>
            </w:r>
          </w:p>
        </w:tc>
        <w:tc>
          <w:tcPr>
            <w:tcW w:w="3548" w:type="dxa"/>
            <w:tcBorders>
              <w:top w:val="single" w:sz="4" w:space="0" w:color="auto"/>
              <w:left w:val="nil"/>
              <w:bottom w:val="single" w:sz="4" w:space="0" w:color="auto"/>
              <w:right w:val="nil"/>
            </w:tcBorders>
            <w:shd w:val="clear" w:color="auto" w:fill="auto"/>
            <w:vAlign w:val="center"/>
          </w:tcPr>
          <w:p w14:paraId="14B2EEE2" w14:textId="77777777" w:rsidR="00B72205" w:rsidRPr="00FF1EA5" w:rsidRDefault="00B72205" w:rsidP="00FF1EA5">
            <w:pPr>
              <w:spacing w:line="240" w:lineRule="auto"/>
              <w:rPr>
                <w:rFonts w:eastAsia="Times New Roman"/>
                <w:color w:val="000000"/>
                <w:lang w:val="en-US"/>
              </w:rPr>
            </w:pPr>
            <w:r w:rsidRPr="00FF1EA5">
              <w:rPr>
                <w:rFonts w:eastAsia="Times New Roman"/>
                <w:color w:val="000000"/>
                <w:lang w:val="en-US"/>
              </w:rPr>
              <w:t>I have been facing difficulties for concentrating (when studying, reading news, or watching television)</w:t>
            </w:r>
          </w:p>
        </w:tc>
        <w:tc>
          <w:tcPr>
            <w:tcW w:w="992" w:type="dxa"/>
            <w:tcBorders>
              <w:top w:val="single" w:sz="4" w:space="0" w:color="auto"/>
              <w:left w:val="nil"/>
              <w:bottom w:val="single" w:sz="4" w:space="0" w:color="auto"/>
              <w:right w:val="nil"/>
            </w:tcBorders>
            <w:shd w:val="clear" w:color="auto" w:fill="auto"/>
            <w:vAlign w:val="center"/>
          </w:tcPr>
          <w:p w14:paraId="2F83052E" w14:textId="77777777" w:rsidR="00B72205" w:rsidRPr="00FF1EA5" w:rsidRDefault="00B72205" w:rsidP="00FF1EA5">
            <w:pPr>
              <w:spacing w:line="240" w:lineRule="auto"/>
              <w:jc w:val="center"/>
              <w:rPr>
                <w:rFonts w:eastAsia="Times New Roman"/>
                <w:color w:val="000000"/>
              </w:rPr>
            </w:pPr>
            <w:r w:rsidRPr="00FF1EA5">
              <w:rPr>
                <w:rFonts w:eastAsia="Times New Roman"/>
              </w:rPr>
              <w:t>-</w:t>
            </w:r>
          </w:p>
        </w:tc>
        <w:tc>
          <w:tcPr>
            <w:tcW w:w="1276" w:type="dxa"/>
            <w:tcBorders>
              <w:top w:val="single" w:sz="4" w:space="0" w:color="auto"/>
              <w:left w:val="nil"/>
              <w:bottom w:val="single" w:sz="4" w:space="0" w:color="auto"/>
            </w:tcBorders>
            <w:shd w:val="clear" w:color="auto" w:fill="auto"/>
            <w:vAlign w:val="center"/>
          </w:tcPr>
          <w:p w14:paraId="506A8E93" w14:textId="77777777" w:rsidR="00B72205" w:rsidRPr="00FF1EA5" w:rsidRDefault="00B72205" w:rsidP="00FF1EA5">
            <w:pPr>
              <w:spacing w:line="240" w:lineRule="auto"/>
              <w:jc w:val="center"/>
              <w:rPr>
                <w:rFonts w:eastAsia="Times New Roman"/>
                <w:color w:val="000000"/>
              </w:rPr>
            </w:pPr>
            <w:r w:rsidRPr="00FF1EA5">
              <w:rPr>
                <w:rFonts w:eastAsia="Times New Roman"/>
                <w:color w:val="000000"/>
              </w:rPr>
              <w:t>.</w:t>
            </w:r>
            <w:r w:rsidRPr="00FF1EA5">
              <w:rPr>
                <w:rFonts w:eastAsia="Times New Roman"/>
              </w:rPr>
              <w:t>63</w:t>
            </w:r>
          </w:p>
        </w:tc>
      </w:tr>
      <w:tr w:rsidR="00B72205" w:rsidRPr="00BD3E2E" w14:paraId="60AEAEF8" w14:textId="77777777" w:rsidTr="00FF1EA5">
        <w:trPr>
          <w:gridAfter w:val="1"/>
          <w:wAfter w:w="144" w:type="dxa"/>
          <w:trHeight w:val="20"/>
        </w:trPr>
        <w:tc>
          <w:tcPr>
            <w:tcW w:w="3120" w:type="dxa"/>
            <w:tcBorders>
              <w:top w:val="single" w:sz="4" w:space="0" w:color="auto"/>
              <w:bottom w:val="single" w:sz="4" w:space="0" w:color="auto"/>
              <w:right w:val="nil"/>
            </w:tcBorders>
            <w:shd w:val="clear" w:color="auto" w:fill="auto"/>
            <w:vAlign w:val="center"/>
          </w:tcPr>
          <w:p w14:paraId="6ABF1EB7" w14:textId="154CD434" w:rsidR="00B72205" w:rsidRPr="00FF1EA5" w:rsidRDefault="00B72205" w:rsidP="00FF1EA5">
            <w:pPr>
              <w:spacing w:line="240" w:lineRule="auto"/>
              <w:rPr>
                <w:rFonts w:eastAsia="Times New Roman"/>
                <w:color w:val="000000"/>
                <w:lang w:val="pt-BR"/>
              </w:rPr>
            </w:pPr>
            <w:r w:rsidRPr="00FF1EA5">
              <w:rPr>
                <w:rFonts w:eastAsia="Times New Roman"/>
                <w:color w:val="000000"/>
                <w:lang w:val="pt-BR"/>
              </w:rPr>
              <w:t>4. Pensamentos de que você estaria melhor morto(a) ou machucado(a) de alguma forma.</w:t>
            </w:r>
          </w:p>
        </w:tc>
        <w:tc>
          <w:tcPr>
            <w:tcW w:w="3548" w:type="dxa"/>
            <w:tcBorders>
              <w:top w:val="single" w:sz="4" w:space="0" w:color="auto"/>
              <w:left w:val="nil"/>
              <w:bottom w:val="single" w:sz="4" w:space="0" w:color="auto"/>
              <w:right w:val="nil"/>
            </w:tcBorders>
            <w:shd w:val="clear" w:color="auto" w:fill="auto"/>
            <w:vAlign w:val="center"/>
          </w:tcPr>
          <w:p w14:paraId="410A4C04" w14:textId="77777777" w:rsidR="00B72205" w:rsidRPr="00FF1EA5" w:rsidRDefault="00B72205" w:rsidP="00FF1EA5">
            <w:pPr>
              <w:spacing w:line="240" w:lineRule="auto"/>
              <w:rPr>
                <w:rFonts w:eastAsia="Times New Roman"/>
                <w:color w:val="000000"/>
                <w:lang w:val="en-US"/>
              </w:rPr>
            </w:pPr>
            <w:r w:rsidRPr="00FF1EA5">
              <w:rPr>
                <w:rFonts w:eastAsia="Times New Roman"/>
                <w:color w:val="000000"/>
                <w:lang w:val="en-US"/>
              </w:rPr>
              <w:t>I have thoughts that maybe I would be better off dead or hurt in some way.</w:t>
            </w:r>
          </w:p>
        </w:tc>
        <w:tc>
          <w:tcPr>
            <w:tcW w:w="992" w:type="dxa"/>
            <w:tcBorders>
              <w:top w:val="single" w:sz="4" w:space="0" w:color="auto"/>
              <w:left w:val="nil"/>
              <w:bottom w:val="single" w:sz="4" w:space="0" w:color="auto"/>
              <w:right w:val="nil"/>
            </w:tcBorders>
            <w:shd w:val="clear" w:color="auto" w:fill="auto"/>
            <w:vAlign w:val="center"/>
          </w:tcPr>
          <w:p w14:paraId="431300C2" w14:textId="77777777" w:rsidR="00B72205" w:rsidRPr="00FF1EA5" w:rsidRDefault="00B72205" w:rsidP="00FF1EA5">
            <w:pPr>
              <w:spacing w:line="240" w:lineRule="auto"/>
              <w:jc w:val="center"/>
              <w:rPr>
                <w:rFonts w:eastAsia="Times New Roman"/>
                <w:color w:val="000000"/>
              </w:rPr>
            </w:pPr>
            <w:r w:rsidRPr="00FF1EA5">
              <w:rPr>
                <w:rFonts w:eastAsia="Times New Roman"/>
              </w:rPr>
              <w:t>-</w:t>
            </w:r>
          </w:p>
        </w:tc>
        <w:tc>
          <w:tcPr>
            <w:tcW w:w="1276" w:type="dxa"/>
            <w:tcBorders>
              <w:top w:val="single" w:sz="4" w:space="0" w:color="auto"/>
              <w:left w:val="nil"/>
              <w:bottom w:val="single" w:sz="4" w:space="0" w:color="auto"/>
            </w:tcBorders>
            <w:shd w:val="clear" w:color="auto" w:fill="auto"/>
            <w:vAlign w:val="center"/>
          </w:tcPr>
          <w:p w14:paraId="4B10DB02" w14:textId="77777777" w:rsidR="00B72205" w:rsidRPr="00FF1EA5" w:rsidRDefault="00B72205" w:rsidP="00FF1EA5">
            <w:pPr>
              <w:spacing w:line="240" w:lineRule="auto"/>
              <w:jc w:val="center"/>
              <w:rPr>
                <w:rFonts w:eastAsia="Times New Roman"/>
                <w:color w:val="000000"/>
              </w:rPr>
            </w:pPr>
            <w:r w:rsidRPr="00FF1EA5">
              <w:rPr>
                <w:rFonts w:eastAsia="Times New Roman"/>
                <w:color w:val="000000"/>
              </w:rPr>
              <w:t>.</w:t>
            </w:r>
            <w:r w:rsidRPr="00FF1EA5">
              <w:rPr>
                <w:rFonts w:eastAsia="Times New Roman"/>
              </w:rPr>
              <w:t>67</w:t>
            </w:r>
          </w:p>
        </w:tc>
      </w:tr>
      <w:tr w:rsidR="00B72205" w:rsidRPr="00BD3E2E" w14:paraId="219B85D1" w14:textId="77777777" w:rsidTr="00FF1EA5">
        <w:trPr>
          <w:gridAfter w:val="1"/>
          <w:wAfter w:w="144" w:type="dxa"/>
          <w:trHeight w:val="20"/>
        </w:trPr>
        <w:tc>
          <w:tcPr>
            <w:tcW w:w="3120" w:type="dxa"/>
            <w:tcBorders>
              <w:top w:val="single" w:sz="4" w:space="0" w:color="auto"/>
              <w:bottom w:val="single" w:sz="4" w:space="0" w:color="auto"/>
              <w:right w:val="nil"/>
            </w:tcBorders>
            <w:shd w:val="clear" w:color="auto" w:fill="auto"/>
            <w:vAlign w:val="center"/>
          </w:tcPr>
          <w:p w14:paraId="1F07C258" w14:textId="408187F5" w:rsidR="00B72205" w:rsidRPr="00FF1EA5" w:rsidRDefault="00B72205" w:rsidP="00FF1EA5">
            <w:pPr>
              <w:spacing w:line="240" w:lineRule="auto"/>
              <w:rPr>
                <w:rFonts w:eastAsia="Times New Roman"/>
                <w:color w:val="000000"/>
                <w:lang w:val="pt-BR"/>
              </w:rPr>
            </w:pPr>
            <w:r w:rsidRPr="00FF1EA5">
              <w:rPr>
                <w:rFonts w:eastAsia="Times New Roman"/>
                <w:color w:val="000000"/>
                <w:lang w:val="pt-BR"/>
              </w:rPr>
              <w:t>5. Pouco prazer em fazer as coisas.</w:t>
            </w:r>
          </w:p>
        </w:tc>
        <w:tc>
          <w:tcPr>
            <w:tcW w:w="3548" w:type="dxa"/>
            <w:tcBorders>
              <w:top w:val="single" w:sz="4" w:space="0" w:color="auto"/>
              <w:left w:val="nil"/>
              <w:bottom w:val="single" w:sz="4" w:space="0" w:color="auto"/>
              <w:right w:val="nil"/>
            </w:tcBorders>
            <w:shd w:val="clear" w:color="auto" w:fill="auto"/>
            <w:vAlign w:val="center"/>
          </w:tcPr>
          <w:p w14:paraId="07B77D98" w14:textId="77777777" w:rsidR="00B72205" w:rsidRPr="00FF1EA5" w:rsidRDefault="00B72205" w:rsidP="00FF1EA5">
            <w:pPr>
              <w:spacing w:line="240" w:lineRule="auto"/>
              <w:rPr>
                <w:rFonts w:eastAsia="Times New Roman"/>
                <w:color w:val="000000"/>
                <w:lang w:val="en-US"/>
              </w:rPr>
            </w:pPr>
            <w:r w:rsidRPr="00FF1EA5">
              <w:rPr>
                <w:rFonts w:eastAsia="Times New Roman"/>
                <w:color w:val="000000"/>
                <w:lang w:val="en-US"/>
              </w:rPr>
              <w:t>I am feeling no pleasure in my daily activities.</w:t>
            </w:r>
          </w:p>
        </w:tc>
        <w:tc>
          <w:tcPr>
            <w:tcW w:w="992" w:type="dxa"/>
            <w:tcBorders>
              <w:top w:val="single" w:sz="4" w:space="0" w:color="auto"/>
              <w:left w:val="nil"/>
              <w:bottom w:val="single" w:sz="4" w:space="0" w:color="auto"/>
              <w:right w:val="nil"/>
            </w:tcBorders>
            <w:shd w:val="clear" w:color="auto" w:fill="auto"/>
            <w:vAlign w:val="center"/>
          </w:tcPr>
          <w:p w14:paraId="2559D89B" w14:textId="77777777" w:rsidR="00B72205" w:rsidRPr="00FF1EA5" w:rsidRDefault="00B72205" w:rsidP="00FF1EA5">
            <w:pPr>
              <w:spacing w:line="240" w:lineRule="auto"/>
              <w:jc w:val="center"/>
              <w:rPr>
                <w:rFonts w:eastAsia="Times New Roman"/>
                <w:color w:val="000000"/>
              </w:rPr>
            </w:pPr>
            <w:r w:rsidRPr="00FF1EA5">
              <w:rPr>
                <w:rFonts w:eastAsia="Times New Roman"/>
              </w:rPr>
              <w:t>-</w:t>
            </w:r>
          </w:p>
        </w:tc>
        <w:tc>
          <w:tcPr>
            <w:tcW w:w="1276" w:type="dxa"/>
            <w:tcBorders>
              <w:top w:val="single" w:sz="4" w:space="0" w:color="auto"/>
              <w:left w:val="nil"/>
              <w:bottom w:val="single" w:sz="4" w:space="0" w:color="auto"/>
            </w:tcBorders>
            <w:shd w:val="clear" w:color="auto" w:fill="auto"/>
            <w:vAlign w:val="center"/>
          </w:tcPr>
          <w:p w14:paraId="02D7887B" w14:textId="77777777" w:rsidR="00B72205" w:rsidRPr="00FF1EA5" w:rsidRDefault="00B72205" w:rsidP="00FF1EA5">
            <w:pPr>
              <w:spacing w:line="240" w:lineRule="auto"/>
              <w:jc w:val="center"/>
              <w:rPr>
                <w:rFonts w:eastAsia="Times New Roman"/>
                <w:color w:val="000000"/>
              </w:rPr>
            </w:pPr>
            <w:r w:rsidRPr="00FF1EA5">
              <w:rPr>
                <w:rFonts w:eastAsia="Times New Roman"/>
                <w:color w:val="000000"/>
              </w:rPr>
              <w:t>.</w:t>
            </w:r>
            <w:r w:rsidRPr="00FF1EA5">
              <w:rPr>
                <w:rFonts w:eastAsia="Times New Roman"/>
              </w:rPr>
              <w:t>88</w:t>
            </w:r>
          </w:p>
        </w:tc>
      </w:tr>
      <w:tr w:rsidR="00B72205" w:rsidRPr="00BD3E2E" w14:paraId="4606FD77" w14:textId="77777777" w:rsidTr="00FF1EA5">
        <w:trPr>
          <w:gridAfter w:val="1"/>
          <w:wAfter w:w="144" w:type="dxa"/>
          <w:trHeight w:val="20"/>
        </w:trPr>
        <w:tc>
          <w:tcPr>
            <w:tcW w:w="3120" w:type="dxa"/>
            <w:tcBorders>
              <w:top w:val="single" w:sz="4" w:space="0" w:color="auto"/>
              <w:bottom w:val="single" w:sz="4" w:space="0" w:color="auto"/>
              <w:right w:val="nil"/>
            </w:tcBorders>
            <w:shd w:val="clear" w:color="auto" w:fill="auto"/>
            <w:vAlign w:val="center"/>
          </w:tcPr>
          <w:p w14:paraId="73976568" w14:textId="24D9A882" w:rsidR="00B72205" w:rsidRPr="00FF1EA5" w:rsidRDefault="00B72205" w:rsidP="00FF1EA5">
            <w:pPr>
              <w:spacing w:line="240" w:lineRule="auto"/>
              <w:rPr>
                <w:rFonts w:eastAsia="Times New Roman"/>
                <w:color w:val="000000"/>
                <w:lang w:val="pt-BR"/>
              </w:rPr>
            </w:pPr>
            <w:r w:rsidRPr="00FF1EA5">
              <w:rPr>
                <w:rFonts w:eastAsia="Times New Roman"/>
                <w:color w:val="000000"/>
                <w:lang w:val="pt-BR"/>
              </w:rPr>
              <w:t>6. Preocupar-se demais com coisas diferentes.</w:t>
            </w:r>
          </w:p>
        </w:tc>
        <w:tc>
          <w:tcPr>
            <w:tcW w:w="3548" w:type="dxa"/>
            <w:tcBorders>
              <w:top w:val="single" w:sz="4" w:space="0" w:color="auto"/>
              <w:left w:val="nil"/>
              <w:bottom w:val="single" w:sz="4" w:space="0" w:color="auto"/>
              <w:right w:val="nil"/>
            </w:tcBorders>
            <w:shd w:val="clear" w:color="auto" w:fill="auto"/>
            <w:vAlign w:val="center"/>
          </w:tcPr>
          <w:p w14:paraId="121A42F1" w14:textId="77777777" w:rsidR="00B72205" w:rsidRPr="00FF1EA5" w:rsidRDefault="00B72205" w:rsidP="00FF1EA5">
            <w:pPr>
              <w:spacing w:line="240" w:lineRule="auto"/>
              <w:rPr>
                <w:rFonts w:eastAsia="Times New Roman"/>
                <w:color w:val="000000"/>
                <w:lang w:val="en-US"/>
              </w:rPr>
            </w:pPr>
            <w:r w:rsidRPr="00FF1EA5">
              <w:rPr>
                <w:rFonts w:eastAsia="Times New Roman"/>
                <w:color w:val="000000"/>
                <w:lang w:val="en-US"/>
              </w:rPr>
              <w:t>I do worry a lot about different things.</w:t>
            </w:r>
          </w:p>
        </w:tc>
        <w:tc>
          <w:tcPr>
            <w:tcW w:w="992" w:type="dxa"/>
            <w:tcBorders>
              <w:top w:val="single" w:sz="4" w:space="0" w:color="auto"/>
              <w:left w:val="nil"/>
              <w:bottom w:val="single" w:sz="4" w:space="0" w:color="auto"/>
              <w:right w:val="nil"/>
            </w:tcBorders>
            <w:shd w:val="clear" w:color="auto" w:fill="auto"/>
            <w:vAlign w:val="center"/>
          </w:tcPr>
          <w:p w14:paraId="1486CA48" w14:textId="77777777" w:rsidR="00B72205" w:rsidRPr="00FF1EA5" w:rsidRDefault="00B72205" w:rsidP="00FF1EA5">
            <w:pPr>
              <w:spacing w:line="240" w:lineRule="auto"/>
              <w:jc w:val="center"/>
              <w:rPr>
                <w:rFonts w:eastAsia="Times New Roman"/>
                <w:color w:val="000000"/>
              </w:rPr>
            </w:pPr>
            <w:r w:rsidRPr="00FF1EA5">
              <w:rPr>
                <w:rFonts w:eastAsia="Times New Roman"/>
                <w:color w:val="000000"/>
              </w:rPr>
              <w:t>.</w:t>
            </w:r>
            <w:r w:rsidRPr="00FF1EA5">
              <w:rPr>
                <w:rFonts w:eastAsia="Times New Roman"/>
              </w:rPr>
              <w:t>82</w:t>
            </w:r>
          </w:p>
        </w:tc>
        <w:tc>
          <w:tcPr>
            <w:tcW w:w="1276" w:type="dxa"/>
            <w:tcBorders>
              <w:top w:val="single" w:sz="4" w:space="0" w:color="auto"/>
              <w:left w:val="nil"/>
              <w:bottom w:val="single" w:sz="4" w:space="0" w:color="auto"/>
            </w:tcBorders>
            <w:shd w:val="clear" w:color="auto" w:fill="auto"/>
            <w:vAlign w:val="center"/>
          </w:tcPr>
          <w:p w14:paraId="120ADE83" w14:textId="77777777" w:rsidR="00B72205" w:rsidRPr="00FF1EA5" w:rsidRDefault="00B72205" w:rsidP="00FF1EA5">
            <w:pPr>
              <w:spacing w:line="240" w:lineRule="auto"/>
              <w:jc w:val="center"/>
              <w:rPr>
                <w:rFonts w:eastAsia="Times New Roman"/>
                <w:color w:val="000000"/>
              </w:rPr>
            </w:pPr>
            <w:r w:rsidRPr="00FF1EA5">
              <w:rPr>
                <w:rFonts w:eastAsia="Times New Roman"/>
              </w:rPr>
              <w:t>-</w:t>
            </w:r>
          </w:p>
        </w:tc>
      </w:tr>
      <w:tr w:rsidR="00B72205" w:rsidRPr="00BD3E2E" w14:paraId="0CEC6200" w14:textId="77777777" w:rsidTr="00FF1EA5">
        <w:trPr>
          <w:gridAfter w:val="1"/>
          <w:wAfter w:w="144" w:type="dxa"/>
          <w:trHeight w:val="20"/>
        </w:trPr>
        <w:tc>
          <w:tcPr>
            <w:tcW w:w="3120" w:type="dxa"/>
            <w:tcBorders>
              <w:top w:val="single" w:sz="4" w:space="0" w:color="auto"/>
              <w:bottom w:val="single" w:sz="4" w:space="0" w:color="auto"/>
              <w:right w:val="nil"/>
            </w:tcBorders>
            <w:shd w:val="clear" w:color="auto" w:fill="auto"/>
            <w:vAlign w:val="center"/>
          </w:tcPr>
          <w:p w14:paraId="682776B8" w14:textId="254A0267" w:rsidR="00B72205" w:rsidRPr="00FF1EA5" w:rsidRDefault="00B72205" w:rsidP="00FF1EA5">
            <w:pPr>
              <w:spacing w:line="240" w:lineRule="auto"/>
              <w:rPr>
                <w:rFonts w:eastAsia="Times New Roman"/>
                <w:color w:val="000000"/>
                <w:lang w:val="pt-BR"/>
              </w:rPr>
            </w:pPr>
            <w:r w:rsidRPr="00FF1EA5">
              <w:rPr>
                <w:rFonts w:eastAsia="Times New Roman"/>
                <w:color w:val="000000"/>
                <w:lang w:val="pt-BR"/>
              </w:rPr>
              <w:t>7. Não conseguir se livrar das preocupações.</w:t>
            </w:r>
          </w:p>
        </w:tc>
        <w:tc>
          <w:tcPr>
            <w:tcW w:w="3548" w:type="dxa"/>
            <w:tcBorders>
              <w:top w:val="single" w:sz="4" w:space="0" w:color="auto"/>
              <w:left w:val="nil"/>
              <w:bottom w:val="single" w:sz="4" w:space="0" w:color="auto"/>
              <w:right w:val="nil"/>
            </w:tcBorders>
            <w:shd w:val="clear" w:color="auto" w:fill="auto"/>
            <w:vAlign w:val="center"/>
          </w:tcPr>
          <w:p w14:paraId="4D02716C" w14:textId="77777777" w:rsidR="00B72205" w:rsidRPr="00FF1EA5" w:rsidRDefault="00B72205" w:rsidP="00FF1EA5">
            <w:pPr>
              <w:spacing w:line="240" w:lineRule="auto"/>
              <w:rPr>
                <w:rFonts w:eastAsia="Times New Roman"/>
                <w:color w:val="000000"/>
                <w:lang w:val="en-US"/>
              </w:rPr>
            </w:pPr>
            <w:r w:rsidRPr="00FF1EA5">
              <w:rPr>
                <w:rFonts w:eastAsia="Times New Roman"/>
                <w:color w:val="000000"/>
                <w:lang w:val="en-US"/>
              </w:rPr>
              <w:t>I am failing to get rid of my daily worries.</w:t>
            </w:r>
          </w:p>
        </w:tc>
        <w:tc>
          <w:tcPr>
            <w:tcW w:w="992" w:type="dxa"/>
            <w:tcBorders>
              <w:top w:val="single" w:sz="4" w:space="0" w:color="auto"/>
              <w:left w:val="nil"/>
              <w:bottom w:val="single" w:sz="4" w:space="0" w:color="auto"/>
              <w:right w:val="nil"/>
            </w:tcBorders>
            <w:shd w:val="clear" w:color="auto" w:fill="auto"/>
            <w:vAlign w:val="center"/>
          </w:tcPr>
          <w:p w14:paraId="71C60A62" w14:textId="77777777" w:rsidR="00B72205" w:rsidRPr="00FF1EA5" w:rsidRDefault="00B72205" w:rsidP="00FF1EA5">
            <w:pPr>
              <w:spacing w:line="240" w:lineRule="auto"/>
              <w:jc w:val="center"/>
              <w:rPr>
                <w:rFonts w:eastAsia="Times New Roman"/>
                <w:color w:val="000000"/>
              </w:rPr>
            </w:pPr>
            <w:r w:rsidRPr="00FF1EA5">
              <w:rPr>
                <w:rFonts w:eastAsia="Times New Roman"/>
                <w:color w:val="000000"/>
              </w:rPr>
              <w:t>.</w:t>
            </w:r>
            <w:r w:rsidRPr="00FF1EA5">
              <w:rPr>
                <w:rFonts w:eastAsia="Times New Roman"/>
              </w:rPr>
              <w:t>90</w:t>
            </w:r>
          </w:p>
        </w:tc>
        <w:tc>
          <w:tcPr>
            <w:tcW w:w="1276" w:type="dxa"/>
            <w:tcBorders>
              <w:top w:val="single" w:sz="4" w:space="0" w:color="auto"/>
              <w:left w:val="nil"/>
              <w:bottom w:val="single" w:sz="4" w:space="0" w:color="auto"/>
            </w:tcBorders>
            <w:shd w:val="clear" w:color="auto" w:fill="auto"/>
            <w:vAlign w:val="center"/>
          </w:tcPr>
          <w:p w14:paraId="55893CBF" w14:textId="77777777" w:rsidR="00B72205" w:rsidRPr="00FF1EA5" w:rsidRDefault="00B72205" w:rsidP="00FF1EA5">
            <w:pPr>
              <w:spacing w:line="240" w:lineRule="auto"/>
              <w:jc w:val="center"/>
              <w:rPr>
                <w:rFonts w:eastAsia="Times New Roman"/>
                <w:color w:val="000000"/>
              </w:rPr>
            </w:pPr>
            <w:r w:rsidRPr="00FF1EA5">
              <w:rPr>
                <w:rFonts w:eastAsia="Times New Roman"/>
              </w:rPr>
              <w:t>-</w:t>
            </w:r>
          </w:p>
        </w:tc>
      </w:tr>
      <w:tr w:rsidR="00B72205" w:rsidRPr="00BD3E2E" w14:paraId="35672639" w14:textId="77777777" w:rsidTr="00FF1EA5">
        <w:trPr>
          <w:gridAfter w:val="1"/>
          <w:wAfter w:w="144" w:type="dxa"/>
          <w:trHeight w:val="20"/>
        </w:trPr>
        <w:tc>
          <w:tcPr>
            <w:tcW w:w="3120" w:type="dxa"/>
            <w:tcBorders>
              <w:top w:val="single" w:sz="4" w:space="0" w:color="auto"/>
              <w:bottom w:val="single" w:sz="4" w:space="0" w:color="auto"/>
              <w:right w:val="nil"/>
            </w:tcBorders>
            <w:shd w:val="clear" w:color="auto" w:fill="auto"/>
            <w:vAlign w:val="center"/>
          </w:tcPr>
          <w:p w14:paraId="1C578F6E" w14:textId="06D27792" w:rsidR="00B72205" w:rsidRPr="00FF1EA5" w:rsidRDefault="00B72205" w:rsidP="00FF1EA5">
            <w:pPr>
              <w:spacing w:line="240" w:lineRule="auto"/>
              <w:rPr>
                <w:rFonts w:eastAsia="Times New Roman"/>
                <w:color w:val="000000"/>
              </w:rPr>
            </w:pPr>
            <w:r w:rsidRPr="00FF1EA5">
              <w:rPr>
                <w:rFonts w:eastAsia="Times New Roman"/>
                <w:color w:val="000000"/>
              </w:rPr>
              <w:t xml:space="preserve">8. </w:t>
            </w:r>
            <w:proofErr w:type="spellStart"/>
            <w:r w:rsidRPr="00FF1EA5">
              <w:rPr>
                <w:rFonts w:eastAsia="Times New Roman"/>
                <w:color w:val="000000"/>
              </w:rPr>
              <w:t>Dificuldade</w:t>
            </w:r>
            <w:proofErr w:type="spellEnd"/>
            <w:r w:rsidRPr="00FF1EA5">
              <w:rPr>
                <w:rFonts w:eastAsia="Times New Roman"/>
                <w:color w:val="000000"/>
              </w:rPr>
              <w:t xml:space="preserve"> para </w:t>
            </w:r>
            <w:proofErr w:type="spellStart"/>
            <w:r w:rsidRPr="00FF1EA5">
              <w:rPr>
                <w:rFonts w:eastAsia="Times New Roman"/>
                <w:color w:val="000000"/>
              </w:rPr>
              <w:t>relaxar</w:t>
            </w:r>
            <w:proofErr w:type="spellEnd"/>
            <w:r w:rsidRPr="00FF1EA5">
              <w:rPr>
                <w:rFonts w:eastAsia="Times New Roman"/>
                <w:color w:val="000000"/>
              </w:rPr>
              <w:t>.</w:t>
            </w:r>
          </w:p>
        </w:tc>
        <w:tc>
          <w:tcPr>
            <w:tcW w:w="3548" w:type="dxa"/>
            <w:tcBorders>
              <w:top w:val="single" w:sz="4" w:space="0" w:color="auto"/>
              <w:left w:val="nil"/>
              <w:bottom w:val="single" w:sz="4" w:space="0" w:color="auto"/>
              <w:right w:val="nil"/>
            </w:tcBorders>
            <w:shd w:val="clear" w:color="auto" w:fill="auto"/>
            <w:vAlign w:val="center"/>
          </w:tcPr>
          <w:p w14:paraId="66263398" w14:textId="77777777" w:rsidR="00B72205" w:rsidRPr="00FF1EA5" w:rsidRDefault="00B72205" w:rsidP="00FF1EA5">
            <w:pPr>
              <w:spacing w:line="240" w:lineRule="auto"/>
              <w:rPr>
                <w:rFonts w:eastAsia="Times New Roman"/>
                <w:color w:val="000000"/>
                <w:lang w:val="en-US"/>
              </w:rPr>
            </w:pPr>
            <w:r w:rsidRPr="00FF1EA5">
              <w:rPr>
                <w:rFonts w:eastAsia="Times New Roman"/>
                <w:color w:val="000000"/>
                <w:lang w:val="en-US"/>
              </w:rPr>
              <w:t>I have been facing difficulties to relax.</w:t>
            </w:r>
          </w:p>
        </w:tc>
        <w:tc>
          <w:tcPr>
            <w:tcW w:w="992" w:type="dxa"/>
            <w:tcBorders>
              <w:top w:val="single" w:sz="4" w:space="0" w:color="auto"/>
              <w:left w:val="nil"/>
              <w:bottom w:val="single" w:sz="4" w:space="0" w:color="auto"/>
              <w:right w:val="nil"/>
            </w:tcBorders>
            <w:shd w:val="clear" w:color="auto" w:fill="auto"/>
            <w:vAlign w:val="center"/>
          </w:tcPr>
          <w:p w14:paraId="629636BE" w14:textId="77777777" w:rsidR="00B72205" w:rsidRPr="00FF1EA5" w:rsidRDefault="00B72205" w:rsidP="00FF1EA5">
            <w:pPr>
              <w:spacing w:line="240" w:lineRule="auto"/>
              <w:jc w:val="center"/>
              <w:rPr>
                <w:rFonts w:eastAsia="Times New Roman"/>
                <w:color w:val="000000"/>
              </w:rPr>
            </w:pPr>
            <w:r w:rsidRPr="00FF1EA5">
              <w:rPr>
                <w:rFonts w:eastAsia="Times New Roman"/>
                <w:color w:val="000000"/>
              </w:rPr>
              <w:t>.</w:t>
            </w:r>
            <w:r w:rsidRPr="00FF1EA5">
              <w:rPr>
                <w:rFonts w:eastAsia="Times New Roman"/>
              </w:rPr>
              <w:t>84</w:t>
            </w:r>
          </w:p>
        </w:tc>
        <w:tc>
          <w:tcPr>
            <w:tcW w:w="1276" w:type="dxa"/>
            <w:tcBorders>
              <w:top w:val="single" w:sz="4" w:space="0" w:color="auto"/>
              <w:left w:val="nil"/>
              <w:bottom w:val="single" w:sz="4" w:space="0" w:color="auto"/>
            </w:tcBorders>
            <w:shd w:val="clear" w:color="auto" w:fill="auto"/>
            <w:vAlign w:val="center"/>
          </w:tcPr>
          <w:p w14:paraId="37BEFFC6" w14:textId="77777777" w:rsidR="00B72205" w:rsidRPr="00FF1EA5" w:rsidRDefault="00B72205" w:rsidP="00FF1EA5">
            <w:pPr>
              <w:spacing w:line="240" w:lineRule="auto"/>
              <w:jc w:val="center"/>
              <w:rPr>
                <w:rFonts w:eastAsia="Times New Roman"/>
                <w:color w:val="000000"/>
              </w:rPr>
            </w:pPr>
            <w:r w:rsidRPr="00FF1EA5">
              <w:rPr>
                <w:rFonts w:eastAsia="Times New Roman"/>
              </w:rPr>
              <w:t>-</w:t>
            </w:r>
          </w:p>
        </w:tc>
      </w:tr>
      <w:tr w:rsidR="00B72205" w:rsidRPr="00BD3E2E" w14:paraId="059D8E3C" w14:textId="77777777" w:rsidTr="00FF1EA5">
        <w:trPr>
          <w:gridAfter w:val="1"/>
          <w:wAfter w:w="144" w:type="dxa"/>
          <w:trHeight w:val="20"/>
        </w:trPr>
        <w:tc>
          <w:tcPr>
            <w:tcW w:w="3120" w:type="dxa"/>
            <w:tcBorders>
              <w:top w:val="single" w:sz="4" w:space="0" w:color="auto"/>
              <w:bottom w:val="single" w:sz="4" w:space="0" w:color="auto"/>
              <w:right w:val="nil"/>
            </w:tcBorders>
            <w:shd w:val="clear" w:color="auto" w:fill="auto"/>
            <w:vAlign w:val="center"/>
          </w:tcPr>
          <w:p w14:paraId="0B8DF045" w14:textId="14EEE3EB" w:rsidR="00B72205" w:rsidRPr="00FF1EA5" w:rsidRDefault="00B72205" w:rsidP="00FF1EA5">
            <w:pPr>
              <w:spacing w:line="240" w:lineRule="auto"/>
              <w:rPr>
                <w:rFonts w:eastAsia="Times New Roman"/>
                <w:color w:val="000000"/>
                <w:lang w:val="pt-BR"/>
              </w:rPr>
            </w:pPr>
            <w:r w:rsidRPr="00FF1EA5">
              <w:rPr>
                <w:rFonts w:eastAsia="Times New Roman"/>
                <w:color w:val="000000"/>
                <w:lang w:val="pt-BR"/>
              </w:rPr>
              <w:t>9. Estar tão inquieto(a) que é difícil ficar parado(a).</w:t>
            </w:r>
          </w:p>
        </w:tc>
        <w:tc>
          <w:tcPr>
            <w:tcW w:w="3548" w:type="dxa"/>
            <w:tcBorders>
              <w:top w:val="single" w:sz="4" w:space="0" w:color="auto"/>
              <w:left w:val="nil"/>
              <w:bottom w:val="single" w:sz="4" w:space="0" w:color="auto"/>
              <w:right w:val="nil"/>
            </w:tcBorders>
            <w:shd w:val="clear" w:color="auto" w:fill="auto"/>
            <w:vAlign w:val="center"/>
          </w:tcPr>
          <w:p w14:paraId="5F47488D" w14:textId="77777777" w:rsidR="00B72205" w:rsidRPr="00FF1EA5" w:rsidRDefault="00B72205" w:rsidP="00FF1EA5">
            <w:pPr>
              <w:spacing w:line="240" w:lineRule="auto"/>
              <w:rPr>
                <w:rFonts w:eastAsia="Times New Roman"/>
                <w:color w:val="000000"/>
                <w:lang w:val="en-US"/>
              </w:rPr>
            </w:pPr>
            <w:r w:rsidRPr="00FF1EA5">
              <w:rPr>
                <w:rFonts w:eastAsia="Times New Roman"/>
                <w:color w:val="000000"/>
                <w:lang w:val="en-US"/>
              </w:rPr>
              <w:t xml:space="preserve">I am being so restless </w:t>
            </w:r>
            <w:r w:rsidRPr="00FF1EA5">
              <w:rPr>
                <w:rFonts w:eastAsia="Times New Roman"/>
                <w:lang w:val="en-US"/>
              </w:rPr>
              <w:t>that it is</w:t>
            </w:r>
            <w:r w:rsidRPr="00FF1EA5">
              <w:rPr>
                <w:rFonts w:eastAsia="Times New Roman"/>
                <w:color w:val="000000"/>
                <w:lang w:val="en-US"/>
              </w:rPr>
              <w:t xml:space="preserve"> difficult to be quiet.</w:t>
            </w:r>
          </w:p>
        </w:tc>
        <w:tc>
          <w:tcPr>
            <w:tcW w:w="992" w:type="dxa"/>
            <w:tcBorders>
              <w:top w:val="single" w:sz="4" w:space="0" w:color="auto"/>
              <w:left w:val="nil"/>
              <w:bottom w:val="single" w:sz="4" w:space="0" w:color="auto"/>
              <w:right w:val="nil"/>
            </w:tcBorders>
            <w:shd w:val="clear" w:color="auto" w:fill="auto"/>
            <w:vAlign w:val="center"/>
          </w:tcPr>
          <w:p w14:paraId="4CB73FFC" w14:textId="77777777" w:rsidR="00B72205" w:rsidRPr="00FF1EA5" w:rsidRDefault="00B72205" w:rsidP="00FF1EA5">
            <w:pPr>
              <w:spacing w:line="240" w:lineRule="auto"/>
              <w:jc w:val="center"/>
              <w:rPr>
                <w:rFonts w:eastAsia="Times New Roman"/>
                <w:color w:val="000000"/>
              </w:rPr>
            </w:pPr>
            <w:r w:rsidRPr="00FF1EA5">
              <w:rPr>
                <w:rFonts w:eastAsia="Times New Roman"/>
                <w:color w:val="000000"/>
              </w:rPr>
              <w:t>.7</w:t>
            </w:r>
            <w:r w:rsidRPr="00FF1EA5">
              <w:rPr>
                <w:rFonts w:eastAsia="Times New Roman"/>
              </w:rPr>
              <w:t>0</w:t>
            </w:r>
          </w:p>
        </w:tc>
        <w:tc>
          <w:tcPr>
            <w:tcW w:w="1276" w:type="dxa"/>
            <w:tcBorders>
              <w:top w:val="single" w:sz="4" w:space="0" w:color="auto"/>
              <w:left w:val="nil"/>
              <w:bottom w:val="single" w:sz="4" w:space="0" w:color="auto"/>
            </w:tcBorders>
            <w:shd w:val="clear" w:color="auto" w:fill="auto"/>
            <w:vAlign w:val="center"/>
          </w:tcPr>
          <w:p w14:paraId="2D1E7C91" w14:textId="77777777" w:rsidR="00B72205" w:rsidRPr="00FF1EA5" w:rsidRDefault="00B72205" w:rsidP="00FF1EA5">
            <w:pPr>
              <w:spacing w:line="240" w:lineRule="auto"/>
              <w:jc w:val="center"/>
              <w:rPr>
                <w:rFonts w:eastAsia="Times New Roman"/>
                <w:color w:val="000000"/>
              </w:rPr>
            </w:pPr>
            <w:r w:rsidRPr="00FF1EA5">
              <w:rPr>
                <w:rFonts w:eastAsia="Times New Roman"/>
              </w:rPr>
              <w:t>-</w:t>
            </w:r>
          </w:p>
        </w:tc>
      </w:tr>
      <w:tr w:rsidR="00B72205" w:rsidRPr="00BD3E2E" w14:paraId="0F72AF53" w14:textId="77777777" w:rsidTr="00FF1EA5">
        <w:trPr>
          <w:gridAfter w:val="1"/>
          <w:wAfter w:w="144" w:type="dxa"/>
          <w:trHeight w:val="20"/>
        </w:trPr>
        <w:tc>
          <w:tcPr>
            <w:tcW w:w="3120" w:type="dxa"/>
            <w:tcBorders>
              <w:top w:val="single" w:sz="4" w:space="0" w:color="auto"/>
              <w:bottom w:val="single" w:sz="4" w:space="0" w:color="auto"/>
              <w:right w:val="nil"/>
            </w:tcBorders>
            <w:shd w:val="clear" w:color="auto" w:fill="auto"/>
            <w:vAlign w:val="center"/>
          </w:tcPr>
          <w:p w14:paraId="59781B31" w14:textId="2746F4F8" w:rsidR="00B72205" w:rsidRPr="00FF1EA5" w:rsidRDefault="00B72205" w:rsidP="00FF1EA5">
            <w:pPr>
              <w:spacing w:line="240" w:lineRule="auto"/>
              <w:rPr>
                <w:rFonts w:eastAsia="Times New Roman"/>
                <w:color w:val="000000"/>
                <w:lang w:val="pt-BR"/>
              </w:rPr>
            </w:pPr>
            <w:r w:rsidRPr="00FF1EA5">
              <w:rPr>
                <w:rFonts w:eastAsia="Times New Roman"/>
                <w:color w:val="000000"/>
                <w:lang w:val="pt-BR"/>
              </w:rPr>
              <w:t>10. Sentir medo como se algo terrível pudesse acontecer.</w:t>
            </w:r>
          </w:p>
        </w:tc>
        <w:tc>
          <w:tcPr>
            <w:tcW w:w="3548" w:type="dxa"/>
            <w:tcBorders>
              <w:top w:val="single" w:sz="4" w:space="0" w:color="auto"/>
              <w:left w:val="nil"/>
              <w:bottom w:val="single" w:sz="4" w:space="0" w:color="auto"/>
              <w:right w:val="nil"/>
            </w:tcBorders>
            <w:shd w:val="clear" w:color="auto" w:fill="auto"/>
            <w:vAlign w:val="center"/>
          </w:tcPr>
          <w:p w14:paraId="6FB80CB3" w14:textId="77777777" w:rsidR="00B72205" w:rsidRPr="00FF1EA5" w:rsidRDefault="00B72205" w:rsidP="00FF1EA5">
            <w:pPr>
              <w:spacing w:line="240" w:lineRule="auto"/>
              <w:rPr>
                <w:rFonts w:eastAsia="Times New Roman"/>
                <w:color w:val="000000"/>
                <w:lang w:val="en-US"/>
              </w:rPr>
            </w:pPr>
            <w:r w:rsidRPr="00FF1EA5">
              <w:rPr>
                <w:rFonts w:eastAsia="Times New Roman"/>
                <w:color w:val="000000"/>
                <w:lang w:val="en-US"/>
              </w:rPr>
              <w:t>I am feeling afraid like if something terrible could happen.</w:t>
            </w:r>
          </w:p>
        </w:tc>
        <w:tc>
          <w:tcPr>
            <w:tcW w:w="992" w:type="dxa"/>
            <w:tcBorders>
              <w:top w:val="single" w:sz="4" w:space="0" w:color="auto"/>
              <w:left w:val="nil"/>
              <w:bottom w:val="single" w:sz="4" w:space="0" w:color="auto"/>
              <w:right w:val="nil"/>
            </w:tcBorders>
            <w:shd w:val="clear" w:color="auto" w:fill="auto"/>
            <w:vAlign w:val="center"/>
          </w:tcPr>
          <w:p w14:paraId="02CC306F" w14:textId="77777777" w:rsidR="00B72205" w:rsidRPr="00FF1EA5" w:rsidRDefault="00B72205" w:rsidP="00FF1EA5">
            <w:pPr>
              <w:spacing w:line="240" w:lineRule="auto"/>
              <w:jc w:val="center"/>
              <w:rPr>
                <w:rFonts w:eastAsia="Times New Roman"/>
                <w:color w:val="000000"/>
              </w:rPr>
            </w:pPr>
            <w:r w:rsidRPr="00FF1EA5">
              <w:rPr>
                <w:rFonts w:eastAsia="Times New Roman"/>
                <w:color w:val="000000"/>
              </w:rPr>
              <w:t>.</w:t>
            </w:r>
            <w:r w:rsidRPr="00FF1EA5">
              <w:rPr>
                <w:rFonts w:eastAsia="Times New Roman"/>
              </w:rPr>
              <w:t>75</w:t>
            </w:r>
          </w:p>
        </w:tc>
        <w:tc>
          <w:tcPr>
            <w:tcW w:w="1276" w:type="dxa"/>
            <w:tcBorders>
              <w:top w:val="single" w:sz="4" w:space="0" w:color="auto"/>
              <w:left w:val="nil"/>
              <w:bottom w:val="single" w:sz="4" w:space="0" w:color="auto"/>
            </w:tcBorders>
            <w:shd w:val="clear" w:color="auto" w:fill="auto"/>
            <w:vAlign w:val="center"/>
          </w:tcPr>
          <w:p w14:paraId="6E6ABA1C" w14:textId="77777777" w:rsidR="00B72205" w:rsidRPr="00FF1EA5" w:rsidRDefault="00B72205" w:rsidP="00FF1EA5">
            <w:pPr>
              <w:spacing w:line="240" w:lineRule="auto"/>
              <w:jc w:val="center"/>
              <w:rPr>
                <w:rFonts w:eastAsia="Times New Roman"/>
                <w:color w:val="000000"/>
              </w:rPr>
            </w:pPr>
            <w:r w:rsidRPr="00FF1EA5">
              <w:rPr>
                <w:rFonts w:eastAsia="Times New Roman"/>
              </w:rPr>
              <w:t>-</w:t>
            </w:r>
          </w:p>
        </w:tc>
      </w:tr>
      <w:tr w:rsidR="00B72205" w:rsidRPr="00BD3E2E" w14:paraId="4D55EED2" w14:textId="77777777" w:rsidTr="00FF1EA5">
        <w:trPr>
          <w:gridAfter w:val="1"/>
          <w:wAfter w:w="144" w:type="dxa"/>
          <w:trHeight w:val="20"/>
        </w:trPr>
        <w:tc>
          <w:tcPr>
            <w:tcW w:w="6668" w:type="dxa"/>
            <w:gridSpan w:val="2"/>
            <w:tcBorders>
              <w:top w:val="single" w:sz="4" w:space="0" w:color="auto"/>
              <w:bottom w:val="single" w:sz="4" w:space="0" w:color="auto"/>
              <w:right w:val="nil"/>
            </w:tcBorders>
            <w:shd w:val="clear" w:color="auto" w:fill="auto"/>
            <w:vAlign w:val="center"/>
          </w:tcPr>
          <w:p w14:paraId="0DB6B925" w14:textId="77777777" w:rsidR="00B72205" w:rsidRPr="00FF1EA5" w:rsidRDefault="00B72205" w:rsidP="00FF1EA5">
            <w:pPr>
              <w:spacing w:line="240" w:lineRule="auto"/>
              <w:rPr>
                <w:rFonts w:eastAsia="Times New Roman"/>
                <w:color w:val="000000"/>
              </w:rPr>
            </w:pPr>
            <w:proofErr w:type="spellStart"/>
            <w:r w:rsidRPr="00FF1EA5">
              <w:rPr>
                <w:rFonts w:eastAsia="Times New Roman"/>
                <w:color w:val="000000"/>
              </w:rPr>
              <w:t>Cronbach's</w:t>
            </w:r>
            <w:proofErr w:type="spellEnd"/>
            <w:r w:rsidRPr="00FF1EA5">
              <w:rPr>
                <w:rFonts w:eastAsia="Times New Roman"/>
                <w:color w:val="000000"/>
              </w:rPr>
              <w:t xml:space="preserve"> Alpha</w:t>
            </w:r>
          </w:p>
        </w:tc>
        <w:tc>
          <w:tcPr>
            <w:tcW w:w="992" w:type="dxa"/>
            <w:tcBorders>
              <w:top w:val="single" w:sz="4" w:space="0" w:color="auto"/>
              <w:left w:val="nil"/>
              <w:bottom w:val="single" w:sz="4" w:space="0" w:color="auto"/>
              <w:right w:val="nil"/>
            </w:tcBorders>
            <w:shd w:val="clear" w:color="auto" w:fill="auto"/>
            <w:vAlign w:val="center"/>
          </w:tcPr>
          <w:p w14:paraId="35E96ED3" w14:textId="77777777" w:rsidR="00B72205" w:rsidRPr="00FF1EA5" w:rsidRDefault="00B72205" w:rsidP="00FF1EA5">
            <w:pPr>
              <w:spacing w:line="240" w:lineRule="auto"/>
              <w:jc w:val="center"/>
              <w:rPr>
                <w:rFonts w:eastAsia="Times New Roman"/>
                <w:color w:val="000000"/>
              </w:rPr>
            </w:pPr>
            <w:r w:rsidRPr="00FF1EA5">
              <w:rPr>
                <w:rFonts w:eastAsia="Times New Roman"/>
                <w:color w:val="000000"/>
              </w:rPr>
              <w:t>.88</w:t>
            </w:r>
          </w:p>
        </w:tc>
        <w:tc>
          <w:tcPr>
            <w:tcW w:w="1276" w:type="dxa"/>
            <w:tcBorders>
              <w:top w:val="single" w:sz="4" w:space="0" w:color="auto"/>
              <w:left w:val="nil"/>
              <w:bottom w:val="single" w:sz="4" w:space="0" w:color="auto"/>
            </w:tcBorders>
            <w:shd w:val="clear" w:color="auto" w:fill="auto"/>
            <w:vAlign w:val="center"/>
          </w:tcPr>
          <w:p w14:paraId="574D58D6" w14:textId="77777777" w:rsidR="00B72205" w:rsidRPr="00FF1EA5" w:rsidRDefault="00B72205" w:rsidP="00FF1EA5">
            <w:pPr>
              <w:spacing w:line="240" w:lineRule="auto"/>
              <w:jc w:val="center"/>
              <w:rPr>
                <w:rFonts w:eastAsia="Times New Roman"/>
                <w:color w:val="000000"/>
              </w:rPr>
            </w:pPr>
            <w:r w:rsidRPr="00FF1EA5">
              <w:rPr>
                <w:rFonts w:eastAsia="Times New Roman"/>
                <w:color w:val="000000"/>
              </w:rPr>
              <w:t>.85</w:t>
            </w:r>
          </w:p>
        </w:tc>
      </w:tr>
      <w:tr w:rsidR="00B72205" w:rsidRPr="00BD3E2E" w14:paraId="6778AFF3" w14:textId="77777777" w:rsidTr="00FF1EA5">
        <w:trPr>
          <w:gridAfter w:val="1"/>
          <w:wAfter w:w="144" w:type="dxa"/>
          <w:trHeight w:val="20"/>
        </w:trPr>
        <w:tc>
          <w:tcPr>
            <w:tcW w:w="6668" w:type="dxa"/>
            <w:gridSpan w:val="2"/>
            <w:tcBorders>
              <w:top w:val="single" w:sz="4" w:space="0" w:color="auto"/>
              <w:bottom w:val="single" w:sz="4" w:space="0" w:color="auto"/>
              <w:right w:val="nil"/>
            </w:tcBorders>
            <w:shd w:val="clear" w:color="auto" w:fill="auto"/>
            <w:vAlign w:val="center"/>
          </w:tcPr>
          <w:p w14:paraId="49B64976" w14:textId="77777777" w:rsidR="00B72205" w:rsidRPr="00FF1EA5" w:rsidRDefault="00B72205" w:rsidP="00FF1EA5">
            <w:pPr>
              <w:spacing w:line="240" w:lineRule="auto"/>
              <w:rPr>
                <w:rFonts w:eastAsia="Times New Roman"/>
                <w:color w:val="000000"/>
              </w:rPr>
            </w:pPr>
            <w:r w:rsidRPr="00FF1EA5">
              <w:rPr>
                <w:rFonts w:eastAsia="Times New Roman"/>
                <w:color w:val="000000"/>
              </w:rPr>
              <w:t xml:space="preserve">Mc </w:t>
            </w:r>
            <w:proofErr w:type="spellStart"/>
            <w:r w:rsidRPr="00FF1EA5">
              <w:rPr>
                <w:rFonts w:eastAsia="Times New Roman"/>
                <w:color w:val="000000"/>
              </w:rPr>
              <w:t>Donald's</w:t>
            </w:r>
            <w:proofErr w:type="spellEnd"/>
            <w:r w:rsidRPr="00FF1EA5">
              <w:rPr>
                <w:rFonts w:eastAsia="Times New Roman"/>
                <w:color w:val="000000"/>
              </w:rPr>
              <w:t xml:space="preserve"> Omega</w:t>
            </w:r>
          </w:p>
        </w:tc>
        <w:tc>
          <w:tcPr>
            <w:tcW w:w="992" w:type="dxa"/>
            <w:tcBorders>
              <w:top w:val="single" w:sz="4" w:space="0" w:color="auto"/>
              <w:left w:val="nil"/>
              <w:bottom w:val="single" w:sz="4" w:space="0" w:color="auto"/>
              <w:right w:val="nil"/>
            </w:tcBorders>
            <w:shd w:val="clear" w:color="auto" w:fill="auto"/>
            <w:vAlign w:val="center"/>
          </w:tcPr>
          <w:p w14:paraId="712D13FF" w14:textId="77777777" w:rsidR="00B72205" w:rsidRPr="00FF1EA5" w:rsidRDefault="00B72205" w:rsidP="00FF1EA5">
            <w:pPr>
              <w:spacing w:line="240" w:lineRule="auto"/>
              <w:jc w:val="center"/>
              <w:rPr>
                <w:rFonts w:eastAsia="Times New Roman"/>
                <w:color w:val="000000"/>
              </w:rPr>
            </w:pPr>
            <w:r w:rsidRPr="00FF1EA5">
              <w:rPr>
                <w:rFonts w:eastAsia="Times New Roman"/>
                <w:color w:val="000000"/>
              </w:rPr>
              <w:t>.89</w:t>
            </w:r>
          </w:p>
        </w:tc>
        <w:tc>
          <w:tcPr>
            <w:tcW w:w="1276" w:type="dxa"/>
            <w:tcBorders>
              <w:top w:val="single" w:sz="4" w:space="0" w:color="auto"/>
              <w:left w:val="nil"/>
              <w:bottom w:val="single" w:sz="4" w:space="0" w:color="auto"/>
            </w:tcBorders>
            <w:shd w:val="clear" w:color="auto" w:fill="auto"/>
            <w:vAlign w:val="center"/>
          </w:tcPr>
          <w:p w14:paraId="69651F8F" w14:textId="77777777" w:rsidR="00B72205" w:rsidRPr="00FF1EA5" w:rsidRDefault="00B72205" w:rsidP="00FF1EA5">
            <w:pPr>
              <w:spacing w:line="240" w:lineRule="auto"/>
              <w:jc w:val="center"/>
              <w:rPr>
                <w:rFonts w:eastAsia="Times New Roman"/>
                <w:color w:val="000000"/>
              </w:rPr>
            </w:pPr>
            <w:r w:rsidRPr="00FF1EA5">
              <w:rPr>
                <w:rFonts w:eastAsia="Times New Roman"/>
                <w:color w:val="000000"/>
              </w:rPr>
              <w:t>.86</w:t>
            </w:r>
          </w:p>
        </w:tc>
      </w:tr>
    </w:tbl>
    <w:p w14:paraId="484F261E" w14:textId="77777777" w:rsidR="00A44FA0" w:rsidRPr="00BD3E2E" w:rsidRDefault="00A44FA0" w:rsidP="00BD3E2E">
      <w:pPr>
        <w:spacing w:after="0" w:line="360" w:lineRule="auto"/>
        <w:rPr>
          <w:rFonts w:eastAsia="Times New Roman"/>
          <w:b/>
          <w:sz w:val="24"/>
          <w:szCs w:val="24"/>
        </w:rPr>
      </w:pPr>
    </w:p>
    <w:p w14:paraId="06D4643E" w14:textId="47F26ADE" w:rsidR="002321B9" w:rsidRPr="002E105A" w:rsidRDefault="00A44FA0" w:rsidP="00BD3E2E">
      <w:pPr>
        <w:spacing w:after="0" w:line="360" w:lineRule="auto"/>
        <w:rPr>
          <w:sz w:val="24"/>
          <w:szCs w:val="24"/>
          <w:lang w:val="en"/>
        </w:rPr>
      </w:pPr>
      <w:r w:rsidRPr="00BD3E2E">
        <w:rPr>
          <w:rFonts w:eastAsia="Times New Roman"/>
          <w:sz w:val="24"/>
          <w:szCs w:val="24"/>
          <w:lang w:val="en-US"/>
        </w:rPr>
        <w:tab/>
      </w:r>
      <w:r w:rsidRPr="00BD3E2E">
        <w:rPr>
          <w:rStyle w:val="jlqj4b"/>
          <w:sz w:val="24"/>
          <w:szCs w:val="24"/>
          <w:lang w:val="en"/>
        </w:rPr>
        <w:t>In addition, when computing the general second-order factor, adequacy for the proposed mental health screening in general is verified, with depression and anxiety as specific factors that substantially correlate with the general second-order factor that evaluates</w:t>
      </w:r>
      <w:r w:rsidRPr="00BD3E2E">
        <w:rPr>
          <w:rStyle w:val="viiyi"/>
          <w:sz w:val="24"/>
          <w:szCs w:val="24"/>
          <w:lang w:val="en"/>
        </w:rPr>
        <w:t xml:space="preserve"> </w:t>
      </w:r>
      <w:r w:rsidRPr="00BD3E2E">
        <w:rPr>
          <w:rStyle w:val="jlqj4b"/>
          <w:sz w:val="24"/>
          <w:szCs w:val="24"/>
          <w:lang w:val="en"/>
        </w:rPr>
        <w:t>student mental health.</w:t>
      </w:r>
      <w:r w:rsidRPr="00BD3E2E">
        <w:rPr>
          <w:rStyle w:val="viiyi"/>
          <w:sz w:val="24"/>
          <w:szCs w:val="24"/>
          <w:lang w:val="en"/>
        </w:rPr>
        <w:t xml:space="preserve"> </w:t>
      </w:r>
      <w:r w:rsidRPr="00BD3E2E">
        <w:rPr>
          <w:rStyle w:val="jlqj4b"/>
          <w:sz w:val="24"/>
          <w:szCs w:val="24"/>
          <w:lang w:val="en"/>
        </w:rPr>
        <w:t>The specific factor of depression showed a positive correlation with the second-order mental health factor (r = .93; p &lt;.01).</w:t>
      </w:r>
      <w:r w:rsidRPr="00BD3E2E">
        <w:rPr>
          <w:rStyle w:val="viiyi"/>
          <w:sz w:val="24"/>
          <w:szCs w:val="24"/>
          <w:lang w:val="en"/>
        </w:rPr>
        <w:t xml:space="preserve"> </w:t>
      </w:r>
      <w:r w:rsidRPr="00BD3E2E">
        <w:rPr>
          <w:rStyle w:val="jlqj4b"/>
          <w:sz w:val="24"/>
          <w:szCs w:val="24"/>
          <w:lang w:val="en"/>
        </w:rPr>
        <w:t>The specific anxiety factor also showed a positive correlation with the second-order mental health factor (r = .91; p &lt;.01).</w:t>
      </w:r>
      <w:r w:rsidRPr="00BD3E2E">
        <w:rPr>
          <w:rStyle w:val="viiyi"/>
          <w:sz w:val="24"/>
          <w:szCs w:val="24"/>
          <w:lang w:val="en"/>
        </w:rPr>
        <w:t xml:space="preserve"> </w:t>
      </w:r>
      <w:r w:rsidRPr="00BD3E2E">
        <w:rPr>
          <w:rStyle w:val="jlqj4b"/>
          <w:sz w:val="24"/>
          <w:szCs w:val="24"/>
          <w:lang w:val="en"/>
        </w:rPr>
        <w:t>The weight of the factors of depression and anxiety for the general factor of mental health are shown in Table 2.</w:t>
      </w:r>
    </w:p>
    <w:tbl>
      <w:tblPr>
        <w:tblW w:w="8648"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70"/>
        <w:gridCol w:w="2126"/>
        <w:gridCol w:w="2552"/>
      </w:tblGrid>
      <w:tr w:rsidR="00A44FA0" w:rsidRPr="00EF2544" w14:paraId="3706EFD6" w14:textId="77777777" w:rsidTr="002321B9">
        <w:trPr>
          <w:trHeight w:val="440"/>
        </w:trPr>
        <w:tc>
          <w:tcPr>
            <w:tcW w:w="8648" w:type="dxa"/>
            <w:gridSpan w:val="3"/>
            <w:tcBorders>
              <w:top w:val="nil"/>
              <w:left w:val="nil"/>
              <w:bottom w:val="single" w:sz="4" w:space="0" w:color="auto"/>
              <w:right w:val="nil"/>
            </w:tcBorders>
            <w:shd w:val="clear" w:color="auto" w:fill="auto"/>
            <w:tcMar>
              <w:top w:w="100" w:type="dxa"/>
              <w:left w:w="100" w:type="dxa"/>
              <w:bottom w:w="100" w:type="dxa"/>
              <w:right w:w="100" w:type="dxa"/>
            </w:tcMar>
          </w:tcPr>
          <w:p w14:paraId="42830295" w14:textId="203832C9" w:rsidR="00A44FA0" w:rsidRPr="00BD3E2E" w:rsidRDefault="00A44FA0" w:rsidP="00BD3E2E">
            <w:pPr>
              <w:widowControl w:val="0"/>
              <w:pBdr>
                <w:top w:val="nil"/>
                <w:left w:val="nil"/>
                <w:bottom w:val="nil"/>
                <w:right w:val="nil"/>
                <w:between w:val="nil"/>
              </w:pBdr>
              <w:spacing w:after="0" w:line="360" w:lineRule="auto"/>
              <w:jc w:val="center"/>
              <w:rPr>
                <w:rFonts w:eastAsia="Times New Roman"/>
                <w:color w:val="1D1B11" w:themeColor="background2" w:themeShade="1A"/>
                <w:sz w:val="24"/>
                <w:szCs w:val="24"/>
                <w:lang w:val="en-US"/>
              </w:rPr>
            </w:pPr>
            <w:r w:rsidRPr="00BD3E2E">
              <w:rPr>
                <w:rFonts w:eastAsia="Times New Roman"/>
                <w:color w:val="1D1B11" w:themeColor="background2" w:themeShade="1A"/>
                <w:sz w:val="24"/>
                <w:szCs w:val="24"/>
                <w:lang w:val="en-US"/>
              </w:rPr>
              <w:t>Table 2. Factorial structure for the second order factor of mental health</w:t>
            </w:r>
            <w:r w:rsidR="002F0D2A" w:rsidRPr="00BD3E2E">
              <w:rPr>
                <w:rFonts w:eastAsia="Times New Roman"/>
                <w:color w:val="1D1B11" w:themeColor="background2" w:themeShade="1A"/>
                <w:sz w:val="24"/>
                <w:szCs w:val="24"/>
                <w:lang w:val="en-US"/>
              </w:rPr>
              <w:t>.</w:t>
            </w:r>
          </w:p>
        </w:tc>
      </w:tr>
      <w:tr w:rsidR="00A44FA0" w:rsidRPr="00BD3E2E" w14:paraId="4744CDE9" w14:textId="77777777" w:rsidTr="00D25835">
        <w:trPr>
          <w:trHeight w:val="440"/>
        </w:trPr>
        <w:tc>
          <w:tcPr>
            <w:tcW w:w="3970" w:type="dxa"/>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14:paraId="202BB930" w14:textId="77777777" w:rsidR="00A44FA0" w:rsidRPr="00D25835" w:rsidRDefault="00A44FA0" w:rsidP="00BD3E2E">
            <w:pPr>
              <w:widowControl w:val="0"/>
              <w:pBdr>
                <w:top w:val="nil"/>
                <w:left w:val="nil"/>
                <w:bottom w:val="nil"/>
                <w:right w:val="nil"/>
                <w:between w:val="nil"/>
              </w:pBdr>
              <w:spacing w:after="0" w:line="360" w:lineRule="auto"/>
              <w:rPr>
                <w:rFonts w:eastAsia="Times New Roman"/>
                <w:color w:val="1D1B11" w:themeColor="background2" w:themeShade="1A"/>
              </w:rPr>
            </w:pPr>
            <w:proofErr w:type="spellStart"/>
            <w:r w:rsidRPr="00D25835">
              <w:rPr>
                <w:rFonts w:eastAsia="Times New Roman"/>
                <w:color w:val="1D1B11" w:themeColor="background2" w:themeShade="1A"/>
              </w:rPr>
              <w:t>Second</w:t>
            </w:r>
            <w:proofErr w:type="spellEnd"/>
            <w:r w:rsidRPr="00D25835">
              <w:rPr>
                <w:rFonts w:eastAsia="Times New Roman"/>
                <w:color w:val="1D1B11" w:themeColor="background2" w:themeShade="1A"/>
              </w:rPr>
              <w:t xml:space="preserve"> </w:t>
            </w:r>
            <w:proofErr w:type="spellStart"/>
            <w:r w:rsidRPr="00D25835">
              <w:rPr>
                <w:rFonts w:eastAsia="Times New Roman"/>
                <w:color w:val="1D1B11" w:themeColor="background2" w:themeShade="1A"/>
              </w:rPr>
              <w:t>Order</w:t>
            </w:r>
            <w:proofErr w:type="spellEnd"/>
            <w:r w:rsidRPr="00D25835">
              <w:rPr>
                <w:rFonts w:eastAsia="Times New Roman"/>
                <w:color w:val="1D1B11" w:themeColor="background2" w:themeShade="1A"/>
              </w:rPr>
              <w:t xml:space="preserve"> Factor</w:t>
            </w:r>
          </w:p>
        </w:tc>
        <w:tc>
          <w:tcPr>
            <w:tcW w:w="2126" w:type="dxa"/>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14:paraId="486C351D" w14:textId="77777777" w:rsidR="00A44FA0" w:rsidRPr="00D25835" w:rsidRDefault="00A44FA0" w:rsidP="00BD3E2E">
            <w:pPr>
              <w:widowControl w:val="0"/>
              <w:spacing w:after="0" w:line="360" w:lineRule="auto"/>
              <w:rPr>
                <w:rFonts w:eastAsia="Times New Roman"/>
                <w:color w:val="1D1B11" w:themeColor="background2" w:themeShade="1A"/>
              </w:rPr>
            </w:pPr>
            <w:proofErr w:type="spellStart"/>
            <w:r w:rsidRPr="00D25835">
              <w:rPr>
                <w:rFonts w:eastAsia="Times New Roman"/>
                <w:color w:val="1D1B11" w:themeColor="background2" w:themeShade="1A"/>
              </w:rPr>
              <w:t>Specific</w:t>
            </w:r>
            <w:proofErr w:type="spellEnd"/>
            <w:r w:rsidRPr="00D25835">
              <w:rPr>
                <w:rFonts w:eastAsia="Times New Roman"/>
                <w:color w:val="1D1B11" w:themeColor="background2" w:themeShade="1A"/>
              </w:rPr>
              <w:t xml:space="preserve"> Factor</w:t>
            </w:r>
          </w:p>
        </w:tc>
        <w:tc>
          <w:tcPr>
            <w:tcW w:w="2552" w:type="dxa"/>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14:paraId="7A3E68BB" w14:textId="77777777" w:rsidR="00A44FA0" w:rsidRPr="00D25835" w:rsidRDefault="00A44FA0" w:rsidP="00BD3E2E">
            <w:pPr>
              <w:widowControl w:val="0"/>
              <w:spacing w:after="0" w:line="360" w:lineRule="auto"/>
              <w:rPr>
                <w:rFonts w:eastAsia="Times New Roman"/>
                <w:color w:val="1D1B11" w:themeColor="background2" w:themeShade="1A"/>
              </w:rPr>
            </w:pPr>
            <w:proofErr w:type="spellStart"/>
            <w:r w:rsidRPr="00D25835">
              <w:rPr>
                <w:rFonts w:eastAsia="Times New Roman"/>
                <w:color w:val="1D1B11" w:themeColor="background2" w:themeShade="1A"/>
              </w:rPr>
              <w:t>Second</w:t>
            </w:r>
            <w:proofErr w:type="spellEnd"/>
            <w:r w:rsidRPr="00D25835">
              <w:rPr>
                <w:rFonts w:eastAsia="Times New Roman"/>
                <w:color w:val="1D1B11" w:themeColor="background2" w:themeShade="1A"/>
              </w:rPr>
              <w:t xml:space="preserve"> </w:t>
            </w:r>
            <w:proofErr w:type="spellStart"/>
            <w:r w:rsidRPr="00D25835">
              <w:rPr>
                <w:rFonts w:eastAsia="Times New Roman"/>
                <w:color w:val="1D1B11" w:themeColor="background2" w:themeShade="1A"/>
              </w:rPr>
              <w:t>Order</w:t>
            </w:r>
            <w:proofErr w:type="spellEnd"/>
            <w:r w:rsidRPr="00D25835">
              <w:rPr>
                <w:rFonts w:eastAsia="Times New Roman"/>
                <w:color w:val="1D1B11" w:themeColor="background2" w:themeShade="1A"/>
              </w:rPr>
              <w:t xml:space="preserve"> </w:t>
            </w:r>
            <w:proofErr w:type="spellStart"/>
            <w:r w:rsidRPr="00D25835">
              <w:rPr>
                <w:rFonts w:eastAsia="Times New Roman"/>
                <w:color w:val="1D1B11" w:themeColor="background2" w:themeShade="1A"/>
              </w:rPr>
              <w:t>Loading</w:t>
            </w:r>
            <w:proofErr w:type="spellEnd"/>
          </w:p>
        </w:tc>
      </w:tr>
      <w:tr w:rsidR="00A44FA0" w:rsidRPr="00BD3E2E" w14:paraId="5BB5053F" w14:textId="77777777" w:rsidTr="00D25835">
        <w:trPr>
          <w:trHeight w:val="440"/>
        </w:trPr>
        <w:tc>
          <w:tcPr>
            <w:tcW w:w="3970" w:type="dxa"/>
            <w:vMerge w:val="restart"/>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14:paraId="359C46C7" w14:textId="77777777" w:rsidR="00A44FA0" w:rsidRPr="00D25835" w:rsidRDefault="00A44FA0" w:rsidP="00BD3E2E">
            <w:pPr>
              <w:widowControl w:val="0"/>
              <w:pBdr>
                <w:top w:val="nil"/>
                <w:left w:val="nil"/>
                <w:bottom w:val="nil"/>
                <w:right w:val="nil"/>
                <w:between w:val="nil"/>
              </w:pBdr>
              <w:spacing w:after="0" w:line="360" w:lineRule="auto"/>
              <w:rPr>
                <w:rFonts w:eastAsia="Times New Roman"/>
                <w:color w:val="1D1B11" w:themeColor="background2" w:themeShade="1A"/>
                <w:lang w:val="en-US"/>
              </w:rPr>
            </w:pPr>
            <w:r w:rsidRPr="00D25835">
              <w:rPr>
                <w:rFonts w:eastAsia="Times New Roman"/>
                <w:color w:val="1D1B11" w:themeColor="background2" w:themeShade="1A"/>
                <w:lang w:val="en-US"/>
              </w:rPr>
              <w:t>Mental Health</w:t>
            </w:r>
          </w:p>
          <w:p w14:paraId="4753FFAF" w14:textId="77777777" w:rsidR="00A44FA0" w:rsidRPr="00D25835" w:rsidRDefault="00A44FA0" w:rsidP="00BD3E2E">
            <w:pPr>
              <w:widowControl w:val="0"/>
              <w:pBdr>
                <w:top w:val="nil"/>
                <w:left w:val="nil"/>
                <w:bottom w:val="nil"/>
                <w:right w:val="nil"/>
                <w:between w:val="nil"/>
              </w:pBdr>
              <w:spacing w:after="0" w:line="360" w:lineRule="auto"/>
              <w:rPr>
                <w:rFonts w:eastAsia="Times New Roman"/>
                <w:color w:val="1D1B11" w:themeColor="background2" w:themeShade="1A"/>
                <w:lang w:val="en-US"/>
              </w:rPr>
            </w:pPr>
          </w:p>
          <w:p w14:paraId="7C84A9AC" w14:textId="77777777" w:rsidR="00A44FA0" w:rsidRPr="00D25835" w:rsidRDefault="00A44FA0" w:rsidP="00BD3E2E">
            <w:pPr>
              <w:spacing w:after="0" w:line="360" w:lineRule="auto"/>
              <w:rPr>
                <w:rFonts w:eastAsia="Times New Roman"/>
                <w:color w:val="1D1B11" w:themeColor="background2" w:themeShade="1A"/>
                <w:lang w:val="en-US"/>
              </w:rPr>
            </w:pPr>
            <w:r w:rsidRPr="00D25835">
              <w:rPr>
                <w:rFonts w:eastAsia="Times New Roman"/>
                <w:color w:val="1D1B11" w:themeColor="background2" w:themeShade="1A"/>
                <w:lang w:val="en-US"/>
              </w:rPr>
              <w:t xml:space="preserve">          Cronbach's Alpha = .91</w:t>
            </w:r>
          </w:p>
          <w:p w14:paraId="086E282B" w14:textId="77777777" w:rsidR="00A44FA0" w:rsidRPr="00D25835" w:rsidRDefault="00A44FA0" w:rsidP="00BD3E2E">
            <w:pPr>
              <w:spacing w:after="0" w:line="360" w:lineRule="auto"/>
              <w:rPr>
                <w:rFonts w:eastAsia="Times New Roman"/>
                <w:color w:val="1D1B11" w:themeColor="background2" w:themeShade="1A"/>
                <w:lang w:val="en-US"/>
              </w:rPr>
            </w:pPr>
            <w:r w:rsidRPr="00D25835">
              <w:rPr>
                <w:rFonts w:eastAsia="Times New Roman"/>
                <w:color w:val="1D1B11" w:themeColor="background2" w:themeShade="1A"/>
                <w:lang w:val="en-US"/>
              </w:rPr>
              <w:t xml:space="preserve">        </w:t>
            </w:r>
          </w:p>
          <w:p w14:paraId="0507B6B1" w14:textId="77777777" w:rsidR="00A44FA0" w:rsidRPr="00D25835" w:rsidRDefault="00A44FA0" w:rsidP="00BD3E2E">
            <w:pPr>
              <w:spacing w:after="0" w:line="360" w:lineRule="auto"/>
              <w:rPr>
                <w:rFonts w:eastAsia="Times New Roman"/>
                <w:color w:val="1D1B11" w:themeColor="background2" w:themeShade="1A"/>
                <w:lang w:val="en-US"/>
              </w:rPr>
            </w:pPr>
            <w:r w:rsidRPr="00D25835">
              <w:rPr>
                <w:rFonts w:eastAsia="Times New Roman"/>
                <w:color w:val="1D1B11" w:themeColor="background2" w:themeShade="1A"/>
                <w:lang w:val="en-US"/>
              </w:rPr>
              <w:t xml:space="preserve">           Mc Donald's Omega =.91</w:t>
            </w:r>
          </w:p>
        </w:tc>
        <w:tc>
          <w:tcPr>
            <w:tcW w:w="2126" w:type="dxa"/>
            <w:tcBorders>
              <w:top w:val="single" w:sz="4" w:space="0" w:color="auto"/>
              <w:left w:val="nil"/>
              <w:bottom w:val="nil"/>
              <w:right w:val="nil"/>
            </w:tcBorders>
            <w:shd w:val="clear" w:color="auto" w:fill="auto"/>
            <w:tcMar>
              <w:top w:w="100" w:type="dxa"/>
              <w:left w:w="100" w:type="dxa"/>
              <w:bottom w:w="100" w:type="dxa"/>
              <w:right w:w="100" w:type="dxa"/>
            </w:tcMar>
          </w:tcPr>
          <w:p w14:paraId="13F85934" w14:textId="77777777" w:rsidR="00A44FA0" w:rsidRPr="00D25835" w:rsidRDefault="00A44FA0" w:rsidP="00BD3E2E">
            <w:pPr>
              <w:widowControl w:val="0"/>
              <w:spacing w:after="0" w:line="360" w:lineRule="auto"/>
              <w:rPr>
                <w:rFonts w:eastAsia="Times New Roman"/>
                <w:color w:val="1D1B11" w:themeColor="background2" w:themeShade="1A"/>
                <w:lang w:val="en-US"/>
              </w:rPr>
            </w:pPr>
          </w:p>
          <w:p w14:paraId="3982DC82" w14:textId="77777777" w:rsidR="00A44FA0" w:rsidRPr="00D25835" w:rsidRDefault="00A44FA0" w:rsidP="00BD3E2E">
            <w:pPr>
              <w:widowControl w:val="0"/>
              <w:spacing w:after="0" w:line="360" w:lineRule="auto"/>
              <w:rPr>
                <w:rFonts w:eastAsia="Times New Roman"/>
                <w:color w:val="1D1B11" w:themeColor="background2" w:themeShade="1A"/>
              </w:rPr>
            </w:pPr>
            <w:proofErr w:type="spellStart"/>
            <w:r w:rsidRPr="00D25835">
              <w:rPr>
                <w:rFonts w:eastAsia="Times New Roman"/>
                <w:color w:val="1D1B11" w:themeColor="background2" w:themeShade="1A"/>
              </w:rPr>
              <w:t>Depression</w:t>
            </w:r>
            <w:proofErr w:type="spellEnd"/>
          </w:p>
        </w:tc>
        <w:tc>
          <w:tcPr>
            <w:tcW w:w="2552" w:type="dxa"/>
            <w:tcBorders>
              <w:top w:val="single" w:sz="4" w:space="0" w:color="auto"/>
              <w:left w:val="nil"/>
              <w:bottom w:val="nil"/>
              <w:right w:val="nil"/>
            </w:tcBorders>
            <w:shd w:val="clear" w:color="auto" w:fill="auto"/>
            <w:tcMar>
              <w:top w:w="100" w:type="dxa"/>
              <w:left w:w="100" w:type="dxa"/>
              <w:bottom w:w="100" w:type="dxa"/>
              <w:right w:w="100" w:type="dxa"/>
            </w:tcMar>
          </w:tcPr>
          <w:p w14:paraId="6C523F0A" w14:textId="77777777" w:rsidR="00A44FA0" w:rsidRPr="00D25835" w:rsidRDefault="00A44FA0" w:rsidP="00BD3E2E">
            <w:pPr>
              <w:widowControl w:val="0"/>
              <w:spacing w:after="0" w:line="360" w:lineRule="auto"/>
              <w:rPr>
                <w:rFonts w:eastAsia="Times New Roman"/>
                <w:color w:val="1D1B11" w:themeColor="background2" w:themeShade="1A"/>
              </w:rPr>
            </w:pPr>
          </w:p>
          <w:p w14:paraId="2A495E57" w14:textId="77777777" w:rsidR="00A44FA0" w:rsidRPr="00D25835" w:rsidRDefault="00A44FA0" w:rsidP="00BD3E2E">
            <w:pPr>
              <w:widowControl w:val="0"/>
              <w:spacing w:after="0" w:line="360" w:lineRule="auto"/>
              <w:rPr>
                <w:rFonts w:eastAsia="Times New Roman"/>
                <w:color w:val="1D1B11" w:themeColor="background2" w:themeShade="1A"/>
              </w:rPr>
            </w:pPr>
            <w:r w:rsidRPr="00D25835">
              <w:rPr>
                <w:rFonts w:eastAsia="Times New Roman"/>
                <w:color w:val="1D1B11" w:themeColor="background2" w:themeShade="1A"/>
              </w:rPr>
              <w:t>.92</w:t>
            </w:r>
          </w:p>
        </w:tc>
      </w:tr>
      <w:tr w:rsidR="00A44FA0" w:rsidRPr="00BD3E2E" w14:paraId="0BE06BAE" w14:textId="77777777" w:rsidTr="00D25835">
        <w:trPr>
          <w:trHeight w:val="20"/>
        </w:trPr>
        <w:tc>
          <w:tcPr>
            <w:tcW w:w="3970" w:type="dxa"/>
            <w:vMerge/>
            <w:tcBorders>
              <w:top w:val="single" w:sz="4" w:space="0" w:color="auto"/>
              <w:left w:val="nil"/>
              <w:bottom w:val="single" w:sz="4" w:space="0" w:color="auto"/>
              <w:right w:val="nil"/>
            </w:tcBorders>
            <w:shd w:val="clear" w:color="auto" w:fill="auto"/>
            <w:tcMar>
              <w:top w:w="100" w:type="dxa"/>
              <w:left w:w="100" w:type="dxa"/>
              <w:bottom w:w="100" w:type="dxa"/>
              <w:right w:w="100" w:type="dxa"/>
            </w:tcMar>
          </w:tcPr>
          <w:p w14:paraId="4A973354" w14:textId="77777777" w:rsidR="00A44FA0" w:rsidRPr="00D25835" w:rsidRDefault="00A44FA0" w:rsidP="00BD3E2E">
            <w:pPr>
              <w:widowControl w:val="0"/>
              <w:pBdr>
                <w:top w:val="nil"/>
                <w:left w:val="nil"/>
                <w:bottom w:val="nil"/>
                <w:right w:val="nil"/>
                <w:between w:val="nil"/>
              </w:pBdr>
              <w:spacing w:after="0" w:line="360" w:lineRule="auto"/>
              <w:rPr>
                <w:rFonts w:eastAsia="Times New Roman"/>
                <w:color w:val="1D1B11" w:themeColor="background2" w:themeShade="1A"/>
              </w:rPr>
            </w:pPr>
          </w:p>
        </w:tc>
        <w:tc>
          <w:tcPr>
            <w:tcW w:w="2126" w:type="dxa"/>
            <w:tcBorders>
              <w:top w:val="nil"/>
              <w:left w:val="nil"/>
              <w:bottom w:val="single" w:sz="4" w:space="0" w:color="auto"/>
              <w:right w:val="nil"/>
            </w:tcBorders>
            <w:shd w:val="clear" w:color="auto" w:fill="auto"/>
            <w:tcMar>
              <w:top w:w="100" w:type="dxa"/>
              <w:left w:w="100" w:type="dxa"/>
              <w:bottom w:w="100" w:type="dxa"/>
              <w:right w:w="100" w:type="dxa"/>
            </w:tcMar>
          </w:tcPr>
          <w:p w14:paraId="2598F782" w14:textId="77777777" w:rsidR="00A44FA0" w:rsidRPr="00D25835" w:rsidRDefault="00A44FA0" w:rsidP="00BD3E2E">
            <w:pPr>
              <w:widowControl w:val="0"/>
              <w:spacing w:after="0" w:line="360" w:lineRule="auto"/>
              <w:rPr>
                <w:rFonts w:eastAsia="Times New Roman"/>
                <w:color w:val="1D1B11" w:themeColor="background2" w:themeShade="1A"/>
              </w:rPr>
            </w:pPr>
          </w:p>
          <w:p w14:paraId="785BEF78" w14:textId="77777777" w:rsidR="00A44FA0" w:rsidRPr="00D25835" w:rsidRDefault="00A44FA0" w:rsidP="00BD3E2E">
            <w:pPr>
              <w:widowControl w:val="0"/>
              <w:spacing w:after="0" w:line="360" w:lineRule="auto"/>
              <w:rPr>
                <w:rFonts w:eastAsia="Times New Roman"/>
                <w:color w:val="1D1B11" w:themeColor="background2" w:themeShade="1A"/>
              </w:rPr>
            </w:pPr>
            <w:proofErr w:type="spellStart"/>
            <w:r w:rsidRPr="00D25835">
              <w:rPr>
                <w:rFonts w:eastAsia="Times New Roman"/>
                <w:color w:val="1D1B11" w:themeColor="background2" w:themeShade="1A"/>
              </w:rPr>
              <w:t>Anxiety</w:t>
            </w:r>
            <w:proofErr w:type="spellEnd"/>
          </w:p>
        </w:tc>
        <w:tc>
          <w:tcPr>
            <w:tcW w:w="2552" w:type="dxa"/>
            <w:tcBorders>
              <w:top w:val="nil"/>
              <w:left w:val="nil"/>
              <w:bottom w:val="single" w:sz="4" w:space="0" w:color="auto"/>
              <w:right w:val="nil"/>
            </w:tcBorders>
            <w:shd w:val="clear" w:color="auto" w:fill="auto"/>
            <w:tcMar>
              <w:top w:w="100" w:type="dxa"/>
              <w:left w:w="100" w:type="dxa"/>
              <w:bottom w:w="100" w:type="dxa"/>
              <w:right w:w="100" w:type="dxa"/>
            </w:tcMar>
          </w:tcPr>
          <w:p w14:paraId="79FEC61A" w14:textId="77777777" w:rsidR="00A44FA0" w:rsidRPr="00D25835" w:rsidRDefault="00A44FA0" w:rsidP="00BD3E2E">
            <w:pPr>
              <w:widowControl w:val="0"/>
              <w:spacing w:after="0" w:line="360" w:lineRule="auto"/>
              <w:rPr>
                <w:rFonts w:eastAsia="Times New Roman"/>
                <w:color w:val="1D1B11" w:themeColor="background2" w:themeShade="1A"/>
              </w:rPr>
            </w:pPr>
          </w:p>
          <w:p w14:paraId="3E02C8DC" w14:textId="77777777" w:rsidR="00A44FA0" w:rsidRPr="00D25835" w:rsidRDefault="00A44FA0" w:rsidP="00BD3E2E">
            <w:pPr>
              <w:widowControl w:val="0"/>
              <w:spacing w:after="0" w:line="360" w:lineRule="auto"/>
              <w:rPr>
                <w:rFonts w:eastAsia="Times New Roman"/>
                <w:color w:val="1D1B11" w:themeColor="background2" w:themeShade="1A"/>
              </w:rPr>
            </w:pPr>
            <w:r w:rsidRPr="00D25835">
              <w:rPr>
                <w:rFonts w:eastAsia="Times New Roman"/>
                <w:color w:val="1D1B11" w:themeColor="background2" w:themeShade="1A"/>
              </w:rPr>
              <w:t>.88</w:t>
            </w:r>
          </w:p>
        </w:tc>
      </w:tr>
    </w:tbl>
    <w:p w14:paraId="3B8F97D3" w14:textId="77777777" w:rsidR="00A44FA0" w:rsidRPr="00BD3E2E" w:rsidRDefault="00A44FA0" w:rsidP="00BD3E2E">
      <w:pPr>
        <w:spacing w:after="0" w:line="360" w:lineRule="auto"/>
        <w:rPr>
          <w:rFonts w:eastAsia="Times New Roman"/>
          <w:color w:val="1D1B11" w:themeColor="background2" w:themeShade="1A"/>
          <w:sz w:val="24"/>
          <w:szCs w:val="24"/>
        </w:rPr>
      </w:pPr>
    </w:p>
    <w:p w14:paraId="0EC05A8A" w14:textId="77777777" w:rsidR="00A44FA0" w:rsidRPr="00BD3E2E" w:rsidRDefault="00A44FA0" w:rsidP="00BD3E2E">
      <w:pPr>
        <w:spacing w:after="0" w:line="360" w:lineRule="auto"/>
        <w:ind w:firstLine="720"/>
        <w:rPr>
          <w:rStyle w:val="jlqj4b"/>
          <w:sz w:val="24"/>
          <w:szCs w:val="24"/>
          <w:lang w:val="en"/>
        </w:rPr>
      </w:pPr>
      <w:r w:rsidRPr="00BD3E2E">
        <w:rPr>
          <w:rStyle w:val="jlqj4b"/>
          <w:sz w:val="24"/>
          <w:szCs w:val="24"/>
          <w:lang w:val="en"/>
        </w:rPr>
        <w:t xml:space="preserve">To identify evidence of criterion validity, an unsupervised statistical learning technique in the form of clusters was applied. The structuring of two groups was identified. The model converged with two clusters, with an explained variance percentage of 41.0%. The adjustment indices were reasonable (AIC = 6198, 94; BIC = 6235.88) and the optimization point in the Silhouette criterion was .34. The model evaluation metrics obtained entropy of. 69, diameter of 6.13, minimum separation of .09 and </w:t>
      </w:r>
      <w:proofErr w:type="spellStart"/>
      <w:r w:rsidRPr="00BD3E2E">
        <w:rPr>
          <w:rStyle w:val="jlqj4b"/>
          <w:sz w:val="24"/>
          <w:szCs w:val="24"/>
          <w:lang w:val="en"/>
        </w:rPr>
        <w:t>Calinski-Harabasz</w:t>
      </w:r>
      <w:proofErr w:type="spellEnd"/>
      <w:r w:rsidRPr="00BD3E2E">
        <w:rPr>
          <w:rStyle w:val="jlqj4b"/>
          <w:sz w:val="24"/>
          <w:szCs w:val="24"/>
          <w:lang w:val="en"/>
        </w:rPr>
        <w:t xml:space="preserve"> index in 2398.67. </w:t>
      </w:r>
    </w:p>
    <w:p w14:paraId="59502C2B" w14:textId="77777777" w:rsidR="00D25835" w:rsidRDefault="00A44FA0" w:rsidP="00BD3E2E">
      <w:pPr>
        <w:spacing w:after="0" w:line="360" w:lineRule="auto"/>
        <w:ind w:firstLine="708"/>
        <w:rPr>
          <w:rStyle w:val="jlqj4b"/>
          <w:sz w:val="24"/>
          <w:szCs w:val="24"/>
          <w:lang w:val="en"/>
        </w:rPr>
      </w:pPr>
      <w:r w:rsidRPr="00BD3E2E">
        <w:rPr>
          <w:rStyle w:val="jlqj4b"/>
          <w:sz w:val="24"/>
          <w:szCs w:val="24"/>
          <w:lang w:val="en"/>
        </w:rPr>
        <w:t xml:space="preserve">The first conglomerate was named “Students without mental health problems” with below-average values ​​for specific factors of depression (-.705) and anxiety (-.691) and second-order mental health factor (-.760). At the level of institutional welcome to diversity, students from the first conglomerate showed values ​​above the average (.123). </w:t>
      </w:r>
    </w:p>
    <w:p w14:paraId="365B1C43" w14:textId="749CD56C" w:rsidR="00C358D5" w:rsidRDefault="00A44FA0" w:rsidP="00BD3E2E">
      <w:pPr>
        <w:spacing w:after="0" w:line="360" w:lineRule="auto"/>
        <w:ind w:firstLine="708"/>
        <w:rPr>
          <w:rStyle w:val="jlqj4b"/>
          <w:sz w:val="24"/>
          <w:szCs w:val="24"/>
          <w:lang w:val="en"/>
        </w:rPr>
      </w:pPr>
      <w:r w:rsidRPr="00BD3E2E">
        <w:rPr>
          <w:rStyle w:val="jlqj4b"/>
          <w:sz w:val="24"/>
          <w:szCs w:val="24"/>
          <w:lang w:val="en"/>
        </w:rPr>
        <w:t>The second conglomerate was named “Students with mental health problems” with values ​​above the average in specific factors of depression (.820) and anxiety (.803) and in the second order factor of mental health (.884). At the level of institutional welcome to diversity, students in the second conglomerate presented values ​​below the average (-.143). In general, a relationship between symptoms of anxiety and depression was identified with little perceived acceptance of diversity at the University. This represents that the higher the score on the diversity welcoming scale, the lower the presence of depressive and anxious symptoms in the group. Figure 1 presents the graphic representation of the conglomerates for specific factors of depression and anxiety and for the second-order mental health factor and for institutional acceptance of diversity.</w:t>
      </w:r>
    </w:p>
    <w:p w14:paraId="0AE84387" w14:textId="77777777" w:rsidR="00D25835" w:rsidRPr="002321B9" w:rsidRDefault="00D25835" w:rsidP="00D25835">
      <w:pPr>
        <w:spacing w:after="0" w:line="360" w:lineRule="auto"/>
        <w:ind w:firstLine="708"/>
        <w:rPr>
          <w:sz w:val="24"/>
          <w:szCs w:val="24"/>
          <w:lang w:val="en"/>
        </w:rPr>
      </w:pPr>
      <w:r w:rsidRPr="00BD3E2E">
        <w:rPr>
          <w:rStyle w:val="jlqj4b"/>
          <w:sz w:val="24"/>
          <w:szCs w:val="24"/>
          <w:lang w:val="en"/>
        </w:rPr>
        <w:t>In sum, a relationship between symptoms of anxiety and depression was identified, as well as a relationship with those symptoms of little perception of diversity’s acceptance at the University.</w:t>
      </w:r>
      <w:r w:rsidRPr="00BD3E2E">
        <w:rPr>
          <w:rStyle w:val="viiyi"/>
          <w:sz w:val="24"/>
          <w:szCs w:val="24"/>
          <w:lang w:val="en"/>
        </w:rPr>
        <w:t xml:space="preserve"> </w:t>
      </w:r>
      <w:r w:rsidRPr="00BD3E2E">
        <w:rPr>
          <w:rStyle w:val="jlqj4b"/>
          <w:sz w:val="24"/>
          <w:szCs w:val="24"/>
          <w:lang w:val="en"/>
        </w:rPr>
        <w:t>This represents that the higher the score on the diversity welcoming scale, the lower the presence of depressive and anxious symptoms in the group.</w:t>
      </w:r>
      <w:r w:rsidRPr="00BD3E2E">
        <w:rPr>
          <w:rStyle w:val="viiyi"/>
          <w:sz w:val="24"/>
          <w:szCs w:val="24"/>
          <w:lang w:val="en"/>
        </w:rPr>
        <w:t xml:space="preserve"> </w:t>
      </w:r>
    </w:p>
    <w:p w14:paraId="3FB481E7" w14:textId="77777777" w:rsidR="00D25835" w:rsidRDefault="00D25835" w:rsidP="00BD3E2E">
      <w:pPr>
        <w:spacing w:after="0" w:line="360" w:lineRule="auto"/>
        <w:ind w:firstLine="708"/>
        <w:rPr>
          <w:rStyle w:val="jlqj4b"/>
          <w:sz w:val="24"/>
          <w:szCs w:val="24"/>
          <w:lang w:val="en"/>
        </w:rPr>
      </w:pPr>
    </w:p>
    <w:p w14:paraId="33B4E3D1" w14:textId="1FB3A8AF" w:rsidR="002321B9" w:rsidRDefault="002321B9" w:rsidP="00BD3E2E">
      <w:pPr>
        <w:spacing w:after="0" w:line="360" w:lineRule="auto"/>
        <w:ind w:firstLine="708"/>
        <w:rPr>
          <w:rStyle w:val="jlqj4b"/>
          <w:sz w:val="24"/>
          <w:szCs w:val="24"/>
          <w:lang w:val="en"/>
        </w:rPr>
      </w:pPr>
      <w:r w:rsidRPr="00BD3E2E">
        <w:rPr>
          <w:rFonts w:eastAsia="Times New Roman"/>
          <w:noProof/>
          <w:sz w:val="24"/>
          <w:szCs w:val="24"/>
        </w:rPr>
        <w:drawing>
          <wp:anchor distT="0" distB="0" distL="114300" distR="114300" simplePos="0" relativeHeight="251659264" behindDoc="0" locked="0" layoutInCell="1" allowOverlap="1" wp14:anchorId="65D9D98C" wp14:editId="7D29C42D">
            <wp:simplePos x="0" y="0"/>
            <wp:positionH relativeFrom="column">
              <wp:posOffset>-478790</wp:posOffset>
            </wp:positionH>
            <wp:positionV relativeFrom="paragraph">
              <wp:posOffset>15240</wp:posOffset>
            </wp:positionV>
            <wp:extent cx="5399405" cy="27051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a:xfrm>
                      <a:off x="0" y="0"/>
                      <a:ext cx="5399405" cy="2705100"/>
                    </a:xfrm>
                    <a:prstGeom prst="rect">
                      <a:avLst/>
                    </a:prstGeom>
                    <a:ln/>
                  </pic:spPr>
                </pic:pic>
              </a:graphicData>
            </a:graphic>
            <wp14:sizeRelH relativeFrom="margin">
              <wp14:pctWidth>0</wp14:pctWidth>
            </wp14:sizeRelH>
            <wp14:sizeRelV relativeFrom="margin">
              <wp14:pctHeight>0</wp14:pctHeight>
            </wp14:sizeRelV>
          </wp:anchor>
        </w:drawing>
      </w:r>
    </w:p>
    <w:p w14:paraId="05D11D72" w14:textId="353EA68D" w:rsidR="002321B9" w:rsidRDefault="002321B9" w:rsidP="00BD3E2E">
      <w:pPr>
        <w:spacing w:after="0" w:line="360" w:lineRule="auto"/>
        <w:ind w:firstLine="708"/>
        <w:rPr>
          <w:rStyle w:val="jlqj4b"/>
          <w:sz w:val="24"/>
          <w:szCs w:val="24"/>
          <w:lang w:val="en"/>
        </w:rPr>
      </w:pPr>
    </w:p>
    <w:p w14:paraId="773B0A25" w14:textId="305A8A58" w:rsidR="002321B9" w:rsidRDefault="002321B9" w:rsidP="00BD3E2E">
      <w:pPr>
        <w:spacing w:after="0" w:line="360" w:lineRule="auto"/>
        <w:ind w:firstLine="708"/>
        <w:rPr>
          <w:rStyle w:val="jlqj4b"/>
          <w:sz w:val="24"/>
          <w:szCs w:val="24"/>
          <w:lang w:val="en"/>
        </w:rPr>
      </w:pPr>
    </w:p>
    <w:p w14:paraId="5886640A" w14:textId="1738D7FC" w:rsidR="002321B9" w:rsidRDefault="002321B9" w:rsidP="00BD3E2E">
      <w:pPr>
        <w:spacing w:after="0" w:line="360" w:lineRule="auto"/>
        <w:ind w:firstLine="708"/>
        <w:rPr>
          <w:rStyle w:val="jlqj4b"/>
          <w:sz w:val="24"/>
          <w:szCs w:val="24"/>
          <w:lang w:val="en"/>
        </w:rPr>
      </w:pPr>
    </w:p>
    <w:p w14:paraId="666AE68C" w14:textId="4AE8AC1E" w:rsidR="002321B9" w:rsidRDefault="002321B9" w:rsidP="00BD3E2E">
      <w:pPr>
        <w:spacing w:after="0" w:line="360" w:lineRule="auto"/>
        <w:ind w:firstLine="708"/>
        <w:rPr>
          <w:rStyle w:val="jlqj4b"/>
          <w:sz w:val="24"/>
          <w:szCs w:val="24"/>
          <w:lang w:val="en"/>
        </w:rPr>
      </w:pPr>
    </w:p>
    <w:p w14:paraId="710CE07E" w14:textId="7C1C6C4E" w:rsidR="002321B9" w:rsidRDefault="002321B9" w:rsidP="00BD3E2E">
      <w:pPr>
        <w:spacing w:after="0" w:line="360" w:lineRule="auto"/>
        <w:ind w:firstLine="708"/>
        <w:rPr>
          <w:rStyle w:val="jlqj4b"/>
          <w:sz w:val="24"/>
          <w:szCs w:val="24"/>
          <w:lang w:val="en"/>
        </w:rPr>
      </w:pPr>
    </w:p>
    <w:p w14:paraId="11BDB2C8" w14:textId="78593D53" w:rsidR="002321B9" w:rsidRDefault="002321B9" w:rsidP="00BD3E2E">
      <w:pPr>
        <w:spacing w:after="0" w:line="360" w:lineRule="auto"/>
        <w:ind w:firstLine="708"/>
        <w:rPr>
          <w:rStyle w:val="jlqj4b"/>
          <w:sz w:val="24"/>
          <w:szCs w:val="24"/>
          <w:lang w:val="en"/>
        </w:rPr>
      </w:pPr>
    </w:p>
    <w:p w14:paraId="248C9195" w14:textId="77777777" w:rsidR="002321B9" w:rsidRDefault="002321B9" w:rsidP="00D25835">
      <w:pPr>
        <w:spacing w:after="0" w:line="360" w:lineRule="auto"/>
        <w:rPr>
          <w:rStyle w:val="jlqj4b"/>
          <w:sz w:val="24"/>
          <w:szCs w:val="24"/>
          <w:lang w:val="en"/>
        </w:rPr>
      </w:pPr>
    </w:p>
    <w:p w14:paraId="4A4975BD" w14:textId="77777777" w:rsidR="00D25835" w:rsidRDefault="00D25835" w:rsidP="002E105A">
      <w:pPr>
        <w:spacing w:before="120" w:after="280" w:line="360" w:lineRule="auto"/>
        <w:rPr>
          <w:rStyle w:val="jlqj4b"/>
          <w:sz w:val="24"/>
          <w:szCs w:val="24"/>
          <w:lang w:val="en"/>
        </w:rPr>
      </w:pPr>
    </w:p>
    <w:p w14:paraId="35D8CA37" w14:textId="77777777" w:rsidR="00D25835" w:rsidRDefault="00D25835" w:rsidP="002E105A">
      <w:pPr>
        <w:spacing w:before="120" w:after="280" w:line="360" w:lineRule="auto"/>
        <w:rPr>
          <w:rStyle w:val="jlqj4b"/>
          <w:sz w:val="24"/>
          <w:szCs w:val="24"/>
          <w:lang w:val="en"/>
        </w:rPr>
      </w:pPr>
    </w:p>
    <w:p w14:paraId="0135F5EF" w14:textId="58D27BD7" w:rsidR="002E105A" w:rsidRPr="00D25835" w:rsidRDefault="002F0D2A" w:rsidP="002E105A">
      <w:pPr>
        <w:spacing w:before="120" w:after="280" w:line="360" w:lineRule="auto"/>
        <w:rPr>
          <w:sz w:val="24"/>
          <w:szCs w:val="24"/>
          <w:lang w:val="en"/>
        </w:rPr>
      </w:pPr>
      <w:r w:rsidRPr="00BD3E2E">
        <w:rPr>
          <w:rStyle w:val="jlqj4b"/>
          <w:sz w:val="24"/>
          <w:szCs w:val="24"/>
          <w:lang w:val="en"/>
        </w:rPr>
        <w:t>Figure 1. Graphical demonstration of the clusters according to symptoms of anxiety, depression, second-order mental health factor, and perception of institutional acceptance of diversity at the university.</w:t>
      </w:r>
    </w:p>
    <w:p w14:paraId="163C0E8C" w14:textId="10A4D21A" w:rsidR="002F0D2A" w:rsidRPr="00BD3E2E" w:rsidRDefault="002F0D2A" w:rsidP="002321B9">
      <w:pPr>
        <w:spacing w:after="0" w:line="360" w:lineRule="auto"/>
        <w:jc w:val="center"/>
        <w:rPr>
          <w:rFonts w:eastAsia="Times New Roman"/>
          <w:b/>
          <w:sz w:val="24"/>
          <w:szCs w:val="24"/>
          <w:lang w:val="en-US"/>
        </w:rPr>
      </w:pPr>
      <w:r w:rsidRPr="00BD3E2E">
        <w:rPr>
          <w:rFonts w:eastAsia="Times New Roman"/>
          <w:b/>
          <w:sz w:val="24"/>
          <w:szCs w:val="24"/>
          <w:lang w:val="en-US"/>
        </w:rPr>
        <w:t>Discussion</w:t>
      </w:r>
    </w:p>
    <w:p w14:paraId="192BD679" w14:textId="2514ADA8" w:rsidR="00C358D5" w:rsidRPr="00BD3E2E" w:rsidRDefault="002F0D2A" w:rsidP="00BD3E2E">
      <w:pPr>
        <w:spacing w:after="0" w:line="360" w:lineRule="auto"/>
        <w:ind w:firstLine="720"/>
        <w:rPr>
          <w:rStyle w:val="jlqj4b"/>
          <w:sz w:val="24"/>
          <w:szCs w:val="24"/>
          <w:lang w:val="en"/>
        </w:rPr>
      </w:pPr>
      <w:r w:rsidRPr="00BD3E2E">
        <w:rPr>
          <w:rStyle w:val="jlqj4b"/>
          <w:sz w:val="24"/>
          <w:szCs w:val="24"/>
          <w:lang w:val="en"/>
        </w:rPr>
        <w:t>The psychometric properties of the scale indicate that it tracks university student mental health using two specific factors and a second order general factor. Regarding the internal structure of the scale, the first factor measures anxiety</w:t>
      </w:r>
      <w:r w:rsidR="00D25835">
        <w:rPr>
          <w:rStyle w:val="jlqj4b"/>
          <w:sz w:val="24"/>
          <w:szCs w:val="24"/>
          <w:lang w:val="en"/>
        </w:rPr>
        <w:t>, t</w:t>
      </w:r>
      <w:r w:rsidRPr="00BD3E2E">
        <w:rPr>
          <w:rStyle w:val="jlqj4b"/>
          <w:sz w:val="24"/>
          <w:szCs w:val="24"/>
          <w:lang w:val="en"/>
        </w:rPr>
        <w:t>he second factor evaluates depression</w:t>
      </w:r>
      <w:r w:rsidR="00D25835">
        <w:rPr>
          <w:rStyle w:val="jlqj4b"/>
          <w:sz w:val="24"/>
          <w:szCs w:val="24"/>
          <w:lang w:val="en"/>
        </w:rPr>
        <w:t>,</w:t>
      </w:r>
      <w:r w:rsidRPr="00BD3E2E">
        <w:rPr>
          <w:rStyle w:val="jlqj4b"/>
          <w:sz w:val="24"/>
          <w:szCs w:val="24"/>
          <w:lang w:val="en"/>
        </w:rPr>
        <w:t xml:space="preserve"> </w:t>
      </w:r>
      <w:r w:rsidR="00D25835">
        <w:rPr>
          <w:rStyle w:val="jlqj4b"/>
          <w:sz w:val="24"/>
          <w:szCs w:val="24"/>
          <w:lang w:val="en"/>
        </w:rPr>
        <w:t>and t</w:t>
      </w:r>
      <w:r w:rsidRPr="00BD3E2E">
        <w:rPr>
          <w:rStyle w:val="jlqj4b"/>
          <w:sz w:val="24"/>
          <w:szCs w:val="24"/>
          <w:lang w:val="en"/>
        </w:rPr>
        <w:t xml:space="preserve">he general factor combines anxiety and depression symptoms in a single score; thus, it has the conditions for screening student mental health in respect to these symptoms. </w:t>
      </w:r>
      <w:r w:rsidR="00C358D5" w:rsidRPr="00BD3E2E">
        <w:rPr>
          <w:rStyle w:val="jlqj4b"/>
          <w:sz w:val="24"/>
          <w:szCs w:val="24"/>
          <w:lang w:val="en"/>
        </w:rPr>
        <w:t>These results regarding the instrument's validity are consistent with previous investigations, since its items were extracted from instruments that were previously considered psychometrically valid for the general population and for German, Chinese, South Korean university students (Lee &amp; Kim, 2019; Kroenke et al., 2010; Zhou et al., 2020).</w:t>
      </w:r>
    </w:p>
    <w:p w14:paraId="11637E03" w14:textId="3C281A1A" w:rsidR="002F0D2A" w:rsidRPr="00BD3E2E" w:rsidRDefault="002F0D2A" w:rsidP="00BD3E2E">
      <w:pPr>
        <w:spacing w:after="0" w:line="360" w:lineRule="auto"/>
        <w:ind w:firstLine="720"/>
        <w:rPr>
          <w:rStyle w:val="jlqj4b"/>
          <w:sz w:val="24"/>
          <w:szCs w:val="24"/>
          <w:lang w:val="en"/>
        </w:rPr>
      </w:pPr>
      <w:r w:rsidRPr="00BD3E2E">
        <w:rPr>
          <w:rStyle w:val="jlqj4b"/>
          <w:sz w:val="24"/>
          <w:szCs w:val="24"/>
          <w:lang w:val="en"/>
        </w:rPr>
        <w:t xml:space="preserve">The correlations between the factors of the scale, in turn, show that higher levels of depression </w:t>
      </w:r>
      <w:r w:rsidR="00E96C6A" w:rsidRPr="00BD3E2E">
        <w:rPr>
          <w:rStyle w:val="jlqj4b"/>
          <w:sz w:val="24"/>
          <w:szCs w:val="24"/>
          <w:lang w:val="en"/>
        </w:rPr>
        <w:t xml:space="preserve">are </w:t>
      </w:r>
      <w:r w:rsidRPr="00BD3E2E">
        <w:rPr>
          <w:rStyle w:val="jlqj4b"/>
          <w:sz w:val="24"/>
          <w:szCs w:val="24"/>
          <w:lang w:val="en"/>
        </w:rPr>
        <w:t>associate with higher anxiety among university students. It is also true that higher levels of anxiety and depression have an overall impact on student mental health, which was evidenced by the correlations between specific factors of depression and anxiety, and the second order factor of student mental health. This can be explained by the centrality of anxiety and depression to impact mental health, as already pointed out in the literature (</w:t>
      </w:r>
      <w:proofErr w:type="spellStart"/>
      <w:r w:rsidRPr="00BD3E2E">
        <w:rPr>
          <w:rStyle w:val="jlqj4b"/>
          <w:sz w:val="24"/>
          <w:szCs w:val="24"/>
          <w:lang w:val="en"/>
        </w:rPr>
        <w:t>Hersi</w:t>
      </w:r>
      <w:proofErr w:type="spellEnd"/>
      <w:r w:rsidRPr="00BD3E2E">
        <w:rPr>
          <w:rStyle w:val="jlqj4b"/>
          <w:sz w:val="24"/>
          <w:szCs w:val="24"/>
          <w:lang w:val="en"/>
        </w:rPr>
        <w:t xml:space="preserve"> et al., 2017; Ribeiro et al., 2020; WHO, 2017). In a practical dimension of university life, it is possible to track anxious and depressive symptoms among students by the scale use, which could facilitate early individual and collective intervention processes, with a focus on promoting mental health and prevention of psychological distress. </w:t>
      </w:r>
    </w:p>
    <w:p w14:paraId="03491EF8" w14:textId="3639A9FD" w:rsidR="002F0D2A" w:rsidRPr="00BD3E2E" w:rsidRDefault="002F0D2A" w:rsidP="00BD3E2E">
      <w:pPr>
        <w:spacing w:after="0" w:line="360" w:lineRule="auto"/>
        <w:ind w:firstLine="720"/>
        <w:rPr>
          <w:rStyle w:val="jlqj4b"/>
          <w:sz w:val="24"/>
          <w:szCs w:val="24"/>
          <w:lang w:val="en"/>
        </w:rPr>
      </w:pPr>
      <w:r w:rsidRPr="00BD3E2E">
        <w:rPr>
          <w:rStyle w:val="jlqj4b"/>
          <w:sz w:val="24"/>
          <w:szCs w:val="24"/>
          <w:lang w:val="en"/>
        </w:rPr>
        <w:t xml:space="preserve">The scale presented criterion evidence since cluster analysis indicated that students with anxiety and depression problems also have global impairments in mental health, what is known in scientific literature (WHO, 2017). In a contextual perspective, the level of embracing at the university, converging to diversity acceptancy, also had an impact on the discrimination of conglomerates. Global losses in mental health were associated with the perception of a lower level of embracing at the university, which is a similar result of another studies (Bastos et al., 2014; </w:t>
      </w:r>
      <w:proofErr w:type="spellStart"/>
      <w:r w:rsidR="004E6BEC" w:rsidRPr="00BD3E2E">
        <w:rPr>
          <w:color w:val="000000"/>
          <w:sz w:val="24"/>
          <w:szCs w:val="24"/>
          <w:lang w:val="en-US"/>
        </w:rPr>
        <w:t>Chirikov</w:t>
      </w:r>
      <w:proofErr w:type="spellEnd"/>
      <w:r w:rsidR="004E6BEC" w:rsidRPr="00BD3E2E">
        <w:rPr>
          <w:color w:val="000000"/>
          <w:sz w:val="24"/>
          <w:szCs w:val="24"/>
          <w:lang w:val="en-US"/>
        </w:rPr>
        <w:t xml:space="preserve"> et al., 2020; </w:t>
      </w:r>
      <w:r w:rsidRPr="00BD3E2E">
        <w:rPr>
          <w:rStyle w:val="jlqj4b"/>
          <w:sz w:val="24"/>
          <w:szCs w:val="24"/>
          <w:lang w:val="en"/>
        </w:rPr>
        <w:t xml:space="preserve">Evans et al., 2018; Graner </w:t>
      </w:r>
      <w:r w:rsidR="0055798E" w:rsidRPr="00BD3E2E">
        <w:rPr>
          <w:rStyle w:val="jlqj4b"/>
          <w:sz w:val="24"/>
          <w:szCs w:val="24"/>
          <w:lang w:val="en-US"/>
        </w:rPr>
        <w:t>&amp;</w:t>
      </w:r>
      <w:r w:rsidRPr="00BD3E2E">
        <w:rPr>
          <w:rStyle w:val="jlqj4b"/>
          <w:sz w:val="24"/>
          <w:szCs w:val="24"/>
          <w:lang w:val="en"/>
        </w:rPr>
        <w:t xml:space="preserve"> </w:t>
      </w:r>
      <w:proofErr w:type="spellStart"/>
      <w:r w:rsidRPr="00BD3E2E">
        <w:rPr>
          <w:rStyle w:val="jlqj4b"/>
          <w:sz w:val="24"/>
          <w:szCs w:val="24"/>
          <w:lang w:val="en"/>
        </w:rPr>
        <w:t>Cerqueira</w:t>
      </w:r>
      <w:proofErr w:type="spellEnd"/>
      <w:r w:rsidRPr="00BD3E2E">
        <w:rPr>
          <w:rStyle w:val="jlqj4b"/>
          <w:sz w:val="24"/>
          <w:szCs w:val="24"/>
          <w:lang w:val="en"/>
        </w:rPr>
        <w:t xml:space="preserve">, 2019; Souza et al., 2015). Because levels of diversity embracing may affect student’s mental health, institutional strategies to optimize welcoming diversity are needed. </w:t>
      </w:r>
    </w:p>
    <w:p w14:paraId="1A72A35E" w14:textId="58450404" w:rsidR="0055798E" w:rsidRPr="00BD3E2E" w:rsidRDefault="002F0D2A" w:rsidP="00E65098">
      <w:pPr>
        <w:spacing w:after="0" w:line="360" w:lineRule="auto"/>
        <w:ind w:firstLine="720"/>
        <w:rPr>
          <w:rFonts w:eastAsia="Times New Roman"/>
          <w:sz w:val="24"/>
          <w:szCs w:val="24"/>
          <w:lang w:val="en"/>
        </w:rPr>
      </w:pPr>
      <w:r w:rsidRPr="00BD3E2E">
        <w:rPr>
          <w:rFonts w:eastAsia="Times New Roman"/>
          <w:sz w:val="24"/>
          <w:szCs w:val="24"/>
          <w:lang w:val="en"/>
        </w:rPr>
        <w:t xml:space="preserve">The use of the scale makes it possible to track among the different students those who have mental health issues that require emotional support and actions to prevent the worsening of psychological distress, social exclusion and being discriminated against. </w:t>
      </w:r>
      <w:r w:rsidR="00B307DB" w:rsidRPr="00BD3E2E">
        <w:rPr>
          <w:rStyle w:val="jlqj4b"/>
          <w:sz w:val="24"/>
          <w:szCs w:val="24"/>
          <w:lang w:val="en"/>
        </w:rPr>
        <w:t xml:space="preserve">Therefore, it is a screening instrument appropriate to be applied on a large scale. After identifying students with high scores on the instrument, an in-depth psychological assessment is important to verify the need for psychological, psychiatric intervention and the preparation of specific diagnoses. </w:t>
      </w:r>
      <w:r w:rsidR="00B307DB" w:rsidRPr="00BD3E2E">
        <w:rPr>
          <w:rFonts w:eastAsia="Times New Roman"/>
          <w:sz w:val="24"/>
          <w:szCs w:val="24"/>
          <w:lang w:val="en"/>
        </w:rPr>
        <w:t>In this process, university structures organized to address the challenges involved with mental health, such as student advisory bodies, tutoring and guidance for incoming</w:t>
      </w:r>
      <w:r w:rsidR="004B0E6B">
        <w:rPr>
          <w:rFonts w:eastAsia="Times New Roman"/>
          <w:sz w:val="24"/>
          <w:szCs w:val="24"/>
          <w:lang w:val="en"/>
        </w:rPr>
        <w:t xml:space="preserve"> and minority</w:t>
      </w:r>
      <w:r w:rsidR="00B307DB" w:rsidRPr="00BD3E2E">
        <w:rPr>
          <w:rFonts w:eastAsia="Times New Roman"/>
          <w:sz w:val="24"/>
          <w:szCs w:val="24"/>
          <w:lang w:val="en"/>
        </w:rPr>
        <w:t xml:space="preserve"> students are essential (</w:t>
      </w:r>
      <w:proofErr w:type="spellStart"/>
      <w:r w:rsidR="00B307DB" w:rsidRPr="00BD3E2E">
        <w:rPr>
          <w:rFonts w:eastAsia="Times New Roman"/>
          <w:sz w:val="24"/>
          <w:szCs w:val="24"/>
          <w:lang w:val="en"/>
        </w:rPr>
        <w:t>Harrer</w:t>
      </w:r>
      <w:proofErr w:type="spellEnd"/>
      <w:r w:rsidR="00B307DB" w:rsidRPr="00BD3E2E">
        <w:rPr>
          <w:rFonts w:eastAsia="Times New Roman"/>
          <w:sz w:val="24"/>
          <w:szCs w:val="24"/>
          <w:lang w:val="en"/>
        </w:rPr>
        <w:t xml:space="preserve"> et al., 2018; </w:t>
      </w:r>
      <w:proofErr w:type="spellStart"/>
      <w:r w:rsidR="00B307DB" w:rsidRPr="00BD3E2E">
        <w:rPr>
          <w:rFonts w:eastAsia="Times New Roman"/>
          <w:sz w:val="24"/>
          <w:szCs w:val="24"/>
          <w:lang w:val="en"/>
        </w:rPr>
        <w:t>Schwitzer</w:t>
      </w:r>
      <w:proofErr w:type="spellEnd"/>
      <w:r w:rsidR="00B307DB" w:rsidRPr="00BD3E2E">
        <w:rPr>
          <w:rFonts w:eastAsia="Times New Roman"/>
          <w:sz w:val="24"/>
          <w:szCs w:val="24"/>
          <w:lang w:val="en"/>
        </w:rPr>
        <w:t xml:space="preserve"> et al., 2018). Furthermore, it must be understood that inclusion is more than allowing minorities to enter universities, it also involves wider institutional strategies (Mosley-Howard et al., 2011</w:t>
      </w:r>
      <w:r w:rsidR="0019454F" w:rsidRPr="00BD3E2E">
        <w:rPr>
          <w:rFonts w:eastAsia="Times New Roman"/>
          <w:sz w:val="24"/>
          <w:szCs w:val="24"/>
          <w:lang w:val="en"/>
        </w:rPr>
        <w:t>).</w:t>
      </w:r>
    </w:p>
    <w:p w14:paraId="1E0FBC3B" w14:textId="6DA7A18F" w:rsidR="002F0D2A" w:rsidRPr="000106B1" w:rsidRDefault="002F0D2A" w:rsidP="000106B1">
      <w:pPr>
        <w:spacing w:after="0" w:line="360" w:lineRule="auto"/>
        <w:ind w:firstLine="720"/>
        <w:rPr>
          <w:sz w:val="24"/>
          <w:szCs w:val="24"/>
          <w:lang w:val="en"/>
        </w:rPr>
      </w:pPr>
      <w:r w:rsidRPr="00BD3E2E">
        <w:rPr>
          <w:rStyle w:val="y2iqfc"/>
          <w:sz w:val="24"/>
          <w:szCs w:val="24"/>
          <w:lang w:val="en"/>
        </w:rPr>
        <w:t>In summary, the instrument investigated in this study presents itself as a promising alternative for brief large-scale assessments in Higher Education context</w:t>
      </w:r>
      <w:r w:rsidR="00E96C6A" w:rsidRPr="00BD3E2E">
        <w:rPr>
          <w:rStyle w:val="y2iqfc"/>
          <w:sz w:val="24"/>
          <w:szCs w:val="24"/>
          <w:lang w:val="en"/>
        </w:rPr>
        <w:t>, because it is</w:t>
      </w:r>
      <w:r w:rsidR="00E96C6A" w:rsidRPr="00BD3E2E">
        <w:rPr>
          <w:rStyle w:val="jlqj4b"/>
          <w:sz w:val="24"/>
          <w:szCs w:val="24"/>
          <w:lang w:val="en"/>
        </w:rPr>
        <w:t xml:space="preserve"> a fast, low-cost, and empirically validated screening instrument</w:t>
      </w:r>
      <w:r w:rsidRPr="00BD3E2E">
        <w:rPr>
          <w:rStyle w:val="y2iqfc"/>
          <w:sz w:val="24"/>
          <w:szCs w:val="24"/>
          <w:lang w:val="en"/>
        </w:rPr>
        <w:t>.</w:t>
      </w:r>
      <w:r w:rsidR="000106B1">
        <w:rPr>
          <w:rStyle w:val="y2iqfc"/>
          <w:sz w:val="24"/>
          <w:szCs w:val="24"/>
          <w:lang w:val="en"/>
        </w:rPr>
        <w:t xml:space="preserve">, </w:t>
      </w:r>
      <w:r w:rsidRPr="00BD3E2E">
        <w:rPr>
          <w:rFonts w:eastAsia="Times New Roman"/>
          <w:sz w:val="24"/>
          <w:szCs w:val="24"/>
          <w:lang w:val="en"/>
        </w:rPr>
        <w:t>parsimonious for combining depressive and anxious symptoms in a single instrument and free of sensitive content, which can facilitate its use on a large scale.</w:t>
      </w:r>
    </w:p>
    <w:p w14:paraId="503EA86C" w14:textId="56F7F123" w:rsidR="002F0D2A" w:rsidRPr="00BD3E2E" w:rsidRDefault="002F0D2A" w:rsidP="00BD3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sz w:val="24"/>
          <w:szCs w:val="24"/>
          <w:lang w:val="en"/>
        </w:rPr>
      </w:pPr>
      <w:r w:rsidRPr="00BD3E2E">
        <w:rPr>
          <w:rFonts w:eastAsia="Times New Roman"/>
          <w:sz w:val="24"/>
          <w:szCs w:val="24"/>
          <w:lang w:val="en"/>
        </w:rPr>
        <w:tab/>
        <w:t>Among the limitations of the study, it is highlighted that differences in the score were not explored due to ethnic groups, areas of courses and age groups, nor evidence of invariance of the measure in these groups. Further studies can emphasize this understanding to optimize the standardization conditions for tracking university students’ mental health. In addition, it may be interesting to expand the study to other contexts and samples, including clinical groups, to determine cutoff points and to perform accuracy analysis of the instruments for effective application of screening in situations of diagnosis and referral in student mental health.</w:t>
      </w:r>
    </w:p>
    <w:p w14:paraId="02496BAE" w14:textId="6AB7F8F9" w:rsidR="00076292" w:rsidRDefault="002F0D2A" w:rsidP="00E36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sz w:val="24"/>
          <w:szCs w:val="24"/>
          <w:lang w:val="en"/>
        </w:rPr>
      </w:pPr>
      <w:r w:rsidRPr="00BD3E2E">
        <w:rPr>
          <w:rFonts w:eastAsia="Times New Roman"/>
          <w:sz w:val="24"/>
          <w:szCs w:val="24"/>
          <w:lang w:val="en"/>
        </w:rPr>
        <w:tab/>
        <w:t>It is also essential to investigate the extent to which different ethnic and social groups perceive the acceptance of diversity and to understand how this dynamic impact on the mental health of students, especially those belonging to minority groups. After all, even though university students’ mental health problems can be early tracked for referrals to health and institutional care devices using this instrument, these actions may not be sufficient to ensure student well-being. Ultimately, it is necessary to promote conditions that generate positive mental health, with the aim that health promotion among university students becomes predominant and suppress the effects triggered by depression and anxiety among university students.</w:t>
      </w:r>
      <w:bookmarkStart w:id="1" w:name="_Hlk70691959"/>
    </w:p>
    <w:p w14:paraId="2ED75B66" w14:textId="77777777" w:rsidR="00E65098" w:rsidRDefault="00E65098" w:rsidP="00E36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sz w:val="24"/>
          <w:szCs w:val="24"/>
          <w:lang w:val="en"/>
        </w:rPr>
      </w:pPr>
    </w:p>
    <w:p w14:paraId="5E5D5887" w14:textId="1C6F6259" w:rsidR="00E36C7C" w:rsidRDefault="00E36C7C" w:rsidP="00E36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eastAsia="Times New Roman"/>
          <w:sz w:val="24"/>
          <w:szCs w:val="24"/>
          <w:lang w:val="en"/>
        </w:rPr>
      </w:pPr>
      <w:r>
        <w:rPr>
          <w:rFonts w:eastAsia="Times New Roman"/>
          <w:sz w:val="24"/>
          <w:szCs w:val="24"/>
          <w:lang w:val="en"/>
        </w:rPr>
        <w:t>References</w:t>
      </w:r>
    </w:p>
    <w:p w14:paraId="50163BA0" w14:textId="74A74B4A" w:rsidR="00E36C7C" w:rsidRPr="00BD3E2E" w:rsidRDefault="00E36C7C" w:rsidP="00E36C7C">
      <w:pPr>
        <w:spacing w:after="0" w:line="360" w:lineRule="auto"/>
        <w:ind w:left="426" w:hanging="426"/>
        <w:rPr>
          <w:rFonts w:eastAsia="Times New Roman"/>
          <w:sz w:val="24"/>
          <w:szCs w:val="24"/>
          <w:lang w:val="pt-BR"/>
        </w:rPr>
      </w:pPr>
      <w:r w:rsidRPr="00BD3E2E">
        <w:rPr>
          <w:color w:val="000000"/>
          <w:sz w:val="24"/>
          <w:szCs w:val="24"/>
          <w:lang w:val="en-US"/>
        </w:rPr>
        <w:t xml:space="preserve">Bastos, J. L., Barros, A. J. D., Celeste, R. K., </w:t>
      </w:r>
      <w:proofErr w:type="spellStart"/>
      <w:r w:rsidRPr="00BD3E2E">
        <w:rPr>
          <w:color w:val="000000"/>
          <w:sz w:val="24"/>
          <w:szCs w:val="24"/>
          <w:lang w:val="en-US"/>
        </w:rPr>
        <w:t>Paradies</w:t>
      </w:r>
      <w:proofErr w:type="spellEnd"/>
      <w:r w:rsidRPr="00BD3E2E">
        <w:rPr>
          <w:color w:val="000000"/>
          <w:sz w:val="24"/>
          <w:szCs w:val="24"/>
          <w:lang w:val="en-US"/>
        </w:rPr>
        <w:t xml:space="preserve">, Y. and </w:t>
      </w:r>
      <w:proofErr w:type="spellStart"/>
      <w:r w:rsidRPr="00BD3E2E">
        <w:rPr>
          <w:color w:val="000000"/>
          <w:sz w:val="24"/>
          <w:szCs w:val="24"/>
          <w:lang w:val="en-US"/>
        </w:rPr>
        <w:t>Faerstein</w:t>
      </w:r>
      <w:proofErr w:type="spellEnd"/>
      <w:r w:rsidRPr="00BD3E2E">
        <w:rPr>
          <w:color w:val="000000"/>
          <w:sz w:val="24"/>
          <w:szCs w:val="24"/>
          <w:lang w:val="en-US"/>
        </w:rPr>
        <w:t xml:space="preserve">, E. (2014). “Age, class and race discrimination: their interactions and associations with mental health among Brazilian university students”. </w:t>
      </w:r>
      <w:r w:rsidRPr="00BD3E2E">
        <w:rPr>
          <w:i/>
          <w:iCs/>
          <w:color w:val="000000"/>
          <w:sz w:val="24"/>
          <w:szCs w:val="24"/>
          <w:lang w:val="pt-BR"/>
        </w:rPr>
        <w:t>Cadernos de Saúde Pública,</w:t>
      </w:r>
      <w:r w:rsidR="00E65098">
        <w:rPr>
          <w:i/>
          <w:iCs/>
          <w:color w:val="000000"/>
          <w:sz w:val="24"/>
          <w:szCs w:val="24"/>
          <w:lang w:val="pt-BR"/>
        </w:rPr>
        <w:t xml:space="preserve"> </w:t>
      </w:r>
      <w:r w:rsidRPr="00BD3E2E">
        <w:rPr>
          <w:i/>
          <w:iCs/>
          <w:color w:val="000000"/>
          <w:sz w:val="24"/>
          <w:szCs w:val="24"/>
          <w:lang w:val="pt-BR"/>
        </w:rPr>
        <w:t>30</w:t>
      </w:r>
      <w:r w:rsidRPr="00BD3E2E">
        <w:rPr>
          <w:color w:val="000000"/>
          <w:sz w:val="24"/>
          <w:szCs w:val="24"/>
          <w:lang w:val="pt-BR"/>
        </w:rPr>
        <w:t>(1), 175-186.</w:t>
      </w:r>
      <w:r w:rsidR="0026330D">
        <w:fldChar w:fldCharType="begin"/>
      </w:r>
      <w:r w:rsidR="0026330D" w:rsidRPr="00EF2544">
        <w:rPr>
          <w:lang w:val="pt-BR"/>
        </w:rPr>
        <w:instrText xml:space="preserve"> HYPERLINK "https://doi.org/10.1590/0102-311X00163812" </w:instrText>
      </w:r>
      <w:r w:rsidR="0026330D">
        <w:fldChar w:fldCharType="separate"/>
      </w:r>
      <w:r w:rsidRPr="00BD3E2E">
        <w:rPr>
          <w:rStyle w:val="Hyperlink"/>
          <w:color w:val="000000"/>
          <w:sz w:val="24"/>
          <w:szCs w:val="24"/>
          <w:lang w:val="pt-BR"/>
        </w:rPr>
        <w:t xml:space="preserve"> https://doi.org/10.1590/0102-311X00163812</w:t>
      </w:r>
      <w:r w:rsidR="0026330D">
        <w:rPr>
          <w:rStyle w:val="Hyperlink"/>
          <w:color w:val="000000"/>
          <w:sz w:val="24"/>
          <w:szCs w:val="24"/>
          <w:lang w:val="pt-BR"/>
        </w:rPr>
        <w:fldChar w:fldCharType="end"/>
      </w:r>
    </w:p>
    <w:p w14:paraId="7FFA5325" w14:textId="77777777" w:rsidR="00E36C7C" w:rsidRPr="00BD3E2E" w:rsidRDefault="00E36C7C" w:rsidP="00E36C7C">
      <w:pPr>
        <w:spacing w:after="0" w:line="360" w:lineRule="auto"/>
        <w:ind w:left="426" w:hanging="426"/>
        <w:rPr>
          <w:rFonts w:eastAsia="Times New Roman"/>
          <w:sz w:val="24"/>
          <w:szCs w:val="24"/>
          <w:lang w:val="en-US"/>
        </w:rPr>
      </w:pPr>
      <w:r w:rsidRPr="00BD3E2E">
        <w:rPr>
          <w:rFonts w:eastAsia="Times New Roman"/>
          <w:sz w:val="24"/>
          <w:szCs w:val="24"/>
          <w:lang w:val="pt-BR"/>
        </w:rPr>
        <w:t xml:space="preserve">Bolinski, F., </w:t>
      </w:r>
      <w:proofErr w:type="spellStart"/>
      <w:r w:rsidRPr="00BD3E2E">
        <w:rPr>
          <w:rFonts w:eastAsia="Times New Roman"/>
          <w:sz w:val="24"/>
          <w:szCs w:val="24"/>
          <w:lang w:val="pt-BR"/>
        </w:rPr>
        <w:t>Boumparis</w:t>
      </w:r>
      <w:proofErr w:type="spellEnd"/>
      <w:r w:rsidRPr="00BD3E2E">
        <w:rPr>
          <w:rFonts w:eastAsia="Times New Roman"/>
          <w:sz w:val="24"/>
          <w:szCs w:val="24"/>
          <w:lang w:val="pt-BR"/>
        </w:rPr>
        <w:t xml:space="preserve">, N., </w:t>
      </w:r>
      <w:proofErr w:type="spellStart"/>
      <w:r w:rsidRPr="00BD3E2E">
        <w:rPr>
          <w:rFonts w:eastAsia="Times New Roman"/>
          <w:sz w:val="24"/>
          <w:szCs w:val="24"/>
          <w:lang w:val="pt-BR"/>
        </w:rPr>
        <w:t>Kleiboer</w:t>
      </w:r>
      <w:proofErr w:type="spellEnd"/>
      <w:r w:rsidRPr="00BD3E2E">
        <w:rPr>
          <w:rFonts w:eastAsia="Times New Roman"/>
          <w:sz w:val="24"/>
          <w:szCs w:val="24"/>
          <w:lang w:val="pt-BR"/>
        </w:rPr>
        <w:t xml:space="preserve">, A., </w:t>
      </w:r>
      <w:proofErr w:type="spellStart"/>
      <w:r w:rsidRPr="00BD3E2E">
        <w:rPr>
          <w:rFonts w:eastAsia="Times New Roman"/>
          <w:sz w:val="24"/>
          <w:szCs w:val="24"/>
          <w:lang w:val="pt-BR"/>
        </w:rPr>
        <w:t>Cuijpers</w:t>
      </w:r>
      <w:proofErr w:type="spellEnd"/>
      <w:r w:rsidRPr="00BD3E2E">
        <w:rPr>
          <w:rFonts w:eastAsia="Times New Roman"/>
          <w:sz w:val="24"/>
          <w:szCs w:val="24"/>
          <w:lang w:val="pt-BR"/>
        </w:rPr>
        <w:t xml:space="preserve">, P., Ebert, D. D., &amp; </w:t>
      </w:r>
      <w:proofErr w:type="spellStart"/>
      <w:r w:rsidRPr="00BD3E2E">
        <w:rPr>
          <w:rFonts w:eastAsia="Times New Roman"/>
          <w:sz w:val="24"/>
          <w:szCs w:val="24"/>
          <w:lang w:val="pt-BR"/>
        </w:rPr>
        <w:t>Riper</w:t>
      </w:r>
      <w:proofErr w:type="spellEnd"/>
      <w:r w:rsidRPr="00BD3E2E">
        <w:rPr>
          <w:rFonts w:eastAsia="Times New Roman"/>
          <w:sz w:val="24"/>
          <w:szCs w:val="24"/>
          <w:lang w:val="pt-BR"/>
        </w:rPr>
        <w:t xml:space="preserve">, H. (2020). </w:t>
      </w:r>
      <w:r w:rsidRPr="00BD3E2E">
        <w:rPr>
          <w:rFonts w:eastAsia="Times New Roman"/>
          <w:sz w:val="24"/>
          <w:szCs w:val="24"/>
          <w:lang w:val="en-US"/>
        </w:rPr>
        <w:t xml:space="preserve">The effect of e-mental health interventions on academic performance in university and college students: A meta-analysis of randomized controlled trials. </w:t>
      </w:r>
      <w:r w:rsidRPr="00BD3E2E">
        <w:rPr>
          <w:rFonts w:eastAsia="Times New Roman"/>
          <w:i/>
          <w:sz w:val="24"/>
          <w:szCs w:val="24"/>
          <w:lang w:val="en-US"/>
        </w:rPr>
        <w:t>Internet Interventions</w:t>
      </w:r>
      <w:r w:rsidRPr="00BD3E2E">
        <w:rPr>
          <w:rFonts w:eastAsia="Times New Roman"/>
          <w:sz w:val="24"/>
          <w:szCs w:val="24"/>
          <w:lang w:val="en-US"/>
        </w:rPr>
        <w:t>, 100321.</w:t>
      </w:r>
    </w:p>
    <w:p w14:paraId="4154B378" w14:textId="77777777" w:rsidR="00E36C7C" w:rsidRPr="00BD3E2E" w:rsidRDefault="00E36C7C" w:rsidP="00E36C7C">
      <w:pPr>
        <w:spacing w:after="0" w:line="360" w:lineRule="auto"/>
        <w:ind w:left="426" w:hanging="426"/>
        <w:rPr>
          <w:rFonts w:eastAsia="Times New Roman"/>
          <w:sz w:val="24"/>
          <w:szCs w:val="24"/>
          <w:lang w:val="en-US"/>
        </w:rPr>
      </w:pPr>
      <w:proofErr w:type="spellStart"/>
      <w:r w:rsidRPr="00BD3E2E">
        <w:rPr>
          <w:rFonts w:eastAsia="Times New Roman"/>
          <w:sz w:val="24"/>
          <w:szCs w:val="24"/>
          <w:lang w:val="en-US"/>
        </w:rPr>
        <w:t>Bolotnyy</w:t>
      </w:r>
      <w:proofErr w:type="spellEnd"/>
      <w:r w:rsidRPr="00BD3E2E">
        <w:rPr>
          <w:rFonts w:eastAsia="Times New Roman"/>
          <w:sz w:val="24"/>
          <w:szCs w:val="24"/>
          <w:lang w:val="en-US"/>
        </w:rPr>
        <w:t xml:space="preserve">, V., </w:t>
      </w:r>
      <w:proofErr w:type="spellStart"/>
      <w:r w:rsidRPr="00BD3E2E">
        <w:rPr>
          <w:rFonts w:eastAsia="Times New Roman"/>
          <w:sz w:val="24"/>
          <w:szCs w:val="24"/>
          <w:lang w:val="en-US"/>
        </w:rPr>
        <w:t>Basilico</w:t>
      </w:r>
      <w:proofErr w:type="spellEnd"/>
      <w:r w:rsidRPr="00BD3E2E">
        <w:rPr>
          <w:rFonts w:eastAsia="Times New Roman"/>
          <w:sz w:val="24"/>
          <w:szCs w:val="24"/>
          <w:lang w:val="en-US"/>
        </w:rPr>
        <w:t xml:space="preserve">, M., </w:t>
      </w:r>
      <w:proofErr w:type="spellStart"/>
      <w:r w:rsidRPr="00BD3E2E">
        <w:rPr>
          <w:rFonts w:eastAsia="Times New Roman"/>
          <w:sz w:val="24"/>
          <w:szCs w:val="24"/>
          <w:lang w:val="en-US"/>
        </w:rPr>
        <w:t>Barreira</w:t>
      </w:r>
      <w:proofErr w:type="spellEnd"/>
      <w:r w:rsidRPr="00BD3E2E">
        <w:rPr>
          <w:rFonts w:eastAsia="Times New Roman"/>
          <w:sz w:val="24"/>
          <w:szCs w:val="24"/>
          <w:lang w:val="en-US"/>
        </w:rPr>
        <w:t xml:space="preserve">, P. (2021). </w:t>
      </w:r>
      <w:r w:rsidRPr="00BD3E2E">
        <w:rPr>
          <w:rFonts w:eastAsia="Times New Roman"/>
          <w:i/>
          <w:iCs/>
          <w:sz w:val="24"/>
          <w:szCs w:val="24"/>
          <w:lang w:val="en-US"/>
        </w:rPr>
        <w:t>Graduate Student Mental Health: Lessons from American Economics Departments.</w:t>
      </w:r>
      <w:r w:rsidRPr="00BD3E2E">
        <w:rPr>
          <w:rFonts w:eastAsia="Times New Roman"/>
          <w:sz w:val="24"/>
          <w:szCs w:val="24"/>
          <w:lang w:val="en-US"/>
        </w:rPr>
        <w:t xml:space="preserve"> Retrieved from: </w:t>
      </w:r>
      <w:r w:rsidR="0026330D">
        <w:fldChar w:fldCharType="begin"/>
      </w:r>
      <w:r w:rsidR="0026330D" w:rsidRPr="00EF2544">
        <w:rPr>
          <w:lang w:val="en-US"/>
        </w:rPr>
        <w:instrText xml:space="preserve"> HYPERLINK "https://www.valentinbolotnyy.com/files/BBB_" </w:instrText>
      </w:r>
      <w:r w:rsidR="0026330D">
        <w:fldChar w:fldCharType="separate"/>
      </w:r>
      <w:r w:rsidRPr="00BD3E2E">
        <w:rPr>
          <w:rStyle w:val="Hyperlink"/>
          <w:rFonts w:eastAsia="Times New Roman"/>
          <w:sz w:val="24"/>
          <w:szCs w:val="24"/>
          <w:lang w:val="en-US"/>
        </w:rPr>
        <w:t>https://www.valentinbolotnyy.com/files/BBB_</w:t>
      </w:r>
      <w:r w:rsidR="0026330D">
        <w:rPr>
          <w:rStyle w:val="Hyperlink"/>
          <w:rFonts w:eastAsia="Times New Roman"/>
          <w:sz w:val="24"/>
          <w:szCs w:val="24"/>
          <w:lang w:val="en-US"/>
        </w:rPr>
        <w:fldChar w:fldCharType="end"/>
      </w:r>
      <w:r w:rsidRPr="00BD3E2E">
        <w:rPr>
          <w:rFonts w:eastAsia="Times New Roman"/>
          <w:sz w:val="24"/>
          <w:szCs w:val="24"/>
          <w:lang w:val="en-US"/>
        </w:rPr>
        <w:t xml:space="preserve"> GradMentalHealth.pdf</w:t>
      </w:r>
    </w:p>
    <w:p w14:paraId="6975D457" w14:textId="77777777" w:rsidR="00E36C7C" w:rsidRPr="00BD3E2E" w:rsidRDefault="00E36C7C" w:rsidP="00E36C7C">
      <w:pPr>
        <w:spacing w:after="0" w:line="360" w:lineRule="auto"/>
        <w:ind w:left="426" w:hanging="426"/>
        <w:rPr>
          <w:rFonts w:eastAsia="Times New Roman"/>
          <w:sz w:val="24"/>
          <w:szCs w:val="24"/>
          <w:lang w:val="en-US"/>
        </w:rPr>
      </w:pPr>
      <w:proofErr w:type="spellStart"/>
      <w:r w:rsidRPr="00BD3E2E">
        <w:rPr>
          <w:rFonts w:eastAsia="Times New Roman"/>
          <w:sz w:val="24"/>
          <w:szCs w:val="24"/>
          <w:lang w:val="en-US"/>
        </w:rPr>
        <w:t>Bruffaerts</w:t>
      </w:r>
      <w:proofErr w:type="spellEnd"/>
      <w:r w:rsidRPr="00BD3E2E">
        <w:rPr>
          <w:rFonts w:eastAsia="Times New Roman"/>
          <w:sz w:val="24"/>
          <w:szCs w:val="24"/>
          <w:lang w:val="en-US"/>
        </w:rPr>
        <w:t xml:space="preserve">, R., Mortier, P., </w:t>
      </w:r>
      <w:proofErr w:type="spellStart"/>
      <w:r w:rsidRPr="00BD3E2E">
        <w:rPr>
          <w:rFonts w:eastAsia="Times New Roman"/>
          <w:sz w:val="24"/>
          <w:szCs w:val="24"/>
          <w:lang w:val="en-US"/>
        </w:rPr>
        <w:t>Kiekens</w:t>
      </w:r>
      <w:proofErr w:type="spellEnd"/>
      <w:r w:rsidRPr="00BD3E2E">
        <w:rPr>
          <w:rFonts w:eastAsia="Times New Roman"/>
          <w:sz w:val="24"/>
          <w:szCs w:val="24"/>
          <w:lang w:val="en-US"/>
        </w:rPr>
        <w:t xml:space="preserve">, G., Auerbach, R. P., </w:t>
      </w:r>
      <w:proofErr w:type="spellStart"/>
      <w:r w:rsidRPr="00BD3E2E">
        <w:rPr>
          <w:rFonts w:eastAsia="Times New Roman"/>
          <w:sz w:val="24"/>
          <w:szCs w:val="24"/>
          <w:lang w:val="en-US"/>
        </w:rPr>
        <w:t>Cuijpers</w:t>
      </w:r>
      <w:proofErr w:type="spellEnd"/>
      <w:r w:rsidRPr="00BD3E2E">
        <w:rPr>
          <w:rFonts w:eastAsia="Times New Roman"/>
          <w:sz w:val="24"/>
          <w:szCs w:val="24"/>
          <w:lang w:val="en-US"/>
        </w:rPr>
        <w:t xml:space="preserve">, P., </w:t>
      </w:r>
      <w:proofErr w:type="spellStart"/>
      <w:r w:rsidRPr="00BD3E2E">
        <w:rPr>
          <w:rFonts w:eastAsia="Times New Roman"/>
          <w:sz w:val="24"/>
          <w:szCs w:val="24"/>
          <w:lang w:val="en-US"/>
        </w:rPr>
        <w:t>Demyttenaere</w:t>
      </w:r>
      <w:proofErr w:type="spellEnd"/>
      <w:r w:rsidRPr="00BD3E2E">
        <w:rPr>
          <w:rFonts w:eastAsia="Times New Roman"/>
          <w:sz w:val="24"/>
          <w:szCs w:val="24"/>
          <w:lang w:val="en-US"/>
        </w:rPr>
        <w:t xml:space="preserve">, K., ... &amp; Kessler, R. C. (2018). Mental health problems in college freshmen: Prevalence and academic functioning. </w:t>
      </w:r>
      <w:r w:rsidRPr="00BD3E2E">
        <w:rPr>
          <w:rFonts w:eastAsia="Times New Roman"/>
          <w:i/>
          <w:sz w:val="24"/>
          <w:szCs w:val="24"/>
          <w:lang w:val="en-US"/>
        </w:rPr>
        <w:t>Journal of affective disorders</w:t>
      </w:r>
      <w:r w:rsidRPr="00BD3E2E">
        <w:rPr>
          <w:rFonts w:eastAsia="Times New Roman"/>
          <w:sz w:val="24"/>
          <w:szCs w:val="24"/>
          <w:lang w:val="en-US"/>
        </w:rPr>
        <w:t xml:space="preserve">, </w:t>
      </w:r>
      <w:r w:rsidRPr="00BD3E2E">
        <w:rPr>
          <w:rFonts w:eastAsia="Times New Roman"/>
          <w:i/>
          <w:sz w:val="24"/>
          <w:szCs w:val="24"/>
          <w:lang w:val="en-US"/>
        </w:rPr>
        <w:t>225</w:t>
      </w:r>
      <w:r w:rsidRPr="00BD3E2E">
        <w:rPr>
          <w:rFonts w:eastAsia="Times New Roman"/>
          <w:sz w:val="24"/>
          <w:szCs w:val="24"/>
          <w:lang w:val="en-US"/>
        </w:rPr>
        <w:t>, 97-103.</w:t>
      </w:r>
    </w:p>
    <w:p w14:paraId="685FEDF6" w14:textId="77777777" w:rsidR="00E36C7C" w:rsidRPr="00BD3E2E" w:rsidRDefault="00E36C7C" w:rsidP="00E36C7C">
      <w:pPr>
        <w:spacing w:after="0" w:line="360" w:lineRule="auto"/>
        <w:ind w:left="426" w:hanging="426"/>
        <w:rPr>
          <w:rFonts w:eastAsia="Times New Roman"/>
          <w:sz w:val="24"/>
          <w:szCs w:val="24"/>
          <w:lang w:val="pt-BR"/>
        </w:rPr>
      </w:pPr>
      <w:r w:rsidRPr="00EF2544">
        <w:rPr>
          <w:rFonts w:eastAsia="Times New Roman"/>
          <w:sz w:val="24"/>
          <w:szCs w:val="24"/>
          <w:lang w:val="en-US"/>
        </w:rPr>
        <w:t xml:space="preserve">Cardoso, H. F., Borsa, J. C., &amp; Segabinazi, J. D. (2018). </w:t>
      </w:r>
      <w:r w:rsidRPr="00BD3E2E">
        <w:rPr>
          <w:rFonts w:eastAsia="Times New Roman"/>
          <w:sz w:val="24"/>
          <w:szCs w:val="24"/>
          <w:lang w:val="pt-BR"/>
        </w:rPr>
        <w:t>Indicadores de saúde mental em jovens: fatores de risco e de proteção.</w:t>
      </w:r>
      <w:r w:rsidRPr="00BD3E2E">
        <w:rPr>
          <w:rFonts w:eastAsia="Times New Roman"/>
          <w:i/>
          <w:sz w:val="24"/>
          <w:szCs w:val="24"/>
          <w:lang w:val="pt-BR"/>
        </w:rPr>
        <w:t xml:space="preserve"> Estudos Interdisciplinares Em Psicologia</w:t>
      </w:r>
      <w:r w:rsidRPr="00BD3E2E">
        <w:rPr>
          <w:rFonts w:eastAsia="Times New Roman"/>
          <w:sz w:val="24"/>
          <w:szCs w:val="24"/>
          <w:lang w:val="pt-BR"/>
        </w:rPr>
        <w:t xml:space="preserve">, 9(3supl), 03. </w:t>
      </w:r>
      <w:r w:rsidR="0026330D">
        <w:fldChar w:fldCharType="begin"/>
      </w:r>
      <w:r w:rsidR="0026330D" w:rsidRPr="00EF2544">
        <w:rPr>
          <w:lang w:val="pt-BR"/>
        </w:rPr>
        <w:instrText xml:space="preserve"> HYPERLINK "https://doi.org/10.5433/2236-6407.2018v9n3suplp03" \h </w:instrText>
      </w:r>
      <w:r w:rsidR="0026330D">
        <w:fldChar w:fldCharType="separate"/>
      </w:r>
      <w:r w:rsidRPr="00BD3E2E">
        <w:rPr>
          <w:rFonts w:eastAsia="Times New Roman"/>
          <w:color w:val="1155CC"/>
          <w:sz w:val="24"/>
          <w:szCs w:val="24"/>
          <w:u w:val="single"/>
          <w:lang w:val="pt-BR"/>
        </w:rPr>
        <w:t>https://doi.org/10.5433/2236-6407.2018v9n3suplp03</w:t>
      </w:r>
      <w:r w:rsidR="0026330D">
        <w:rPr>
          <w:rFonts w:eastAsia="Times New Roman"/>
          <w:color w:val="1155CC"/>
          <w:sz w:val="24"/>
          <w:szCs w:val="24"/>
          <w:u w:val="single"/>
          <w:lang w:val="pt-BR"/>
        </w:rPr>
        <w:fldChar w:fldCharType="end"/>
      </w:r>
    </w:p>
    <w:p w14:paraId="4338E6D6" w14:textId="77777777" w:rsidR="00E36C7C" w:rsidRPr="00BD3E2E" w:rsidRDefault="00E36C7C" w:rsidP="00E36C7C">
      <w:pPr>
        <w:spacing w:after="0" w:line="360" w:lineRule="auto"/>
        <w:ind w:left="426" w:hanging="426"/>
        <w:rPr>
          <w:rFonts w:eastAsia="Times New Roman"/>
          <w:sz w:val="24"/>
          <w:szCs w:val="24"/>
          <w:lang w:val="es-419"/>
        </w:rPr>
      </w:pPr>
      <w:r w:rsidRPr="00BD3E2E">
        <w:rPr>
          <w:rFonts w:eastAsia="Times New Roman"/>
          <w:sz w:val="24"/>
          <w:szCs w:val="24"/>
          <w:lang w:val="pt-BR"/>
        </w:rPr>
        <w:t>Carmona-</w:t>
      </w:r>
      <w:proofErr w:type="spellStart"/>
      <w:r w:rsidRPr="00BD3E2E">
        <w:rPr>
          <w:rFonts w:eastAsia="Times New Roman"/>
          <w:sz w:val="24"/>
          <w:szCs w:val="24"/>
          <w:lang w:val="pt-BR"/>
        </w:rPr>
        <w:t>Halty</w:t>
      </w:r>
      <w:proofErr w:type="spellEnd"/>
      <w:r w:rsidRPr="00BD3E2E">
        <w:rPr>
          <w:rFonts w:eastAsia="Times New Roman"/>
          <w:sz w:val="24"/>
          <w:szCs w:val="24"/>
          <w:lang w:val="pt-BR"/>
        </w:rPr>
        <w:t xml:space="preserve">, M., </w:t>
      </w:r>
      <w:proofErr w:type="spellStart"/>
      <w:r w:rsidRPr="00BD3E2E">
        <w:rPr>
          <w:rFonts w:eastAsia="Times New Roman"/>
          <w:sz w:val="24"/>
          <w:szCs w:val="24"/>
          <w:lang w:val="pt-BR"/>
        </w:rPr>
        <w:t>Salanova</w:t>
      </w:r>
      <w:proofErr w:type="spellEnd"/>
      <w:r w:rsidRPr="00BD3E2E">
        <w:rPr>
          <w:rFonts w:eastAsia="Times New Roman"/>
          <w:sz w:val="24"/>
          <w:szCs w:val="24"/>
          <w:lang w:val="pt-BR"/>
        </w:rPr>
        <w:t xml:space="preserve">, M., </w:t>
      </w:r>
      <w:proofErr w:type="spellStart"/>
      <w:r w:rsidRPr="00BD3E2E">
        <w:rPr>
          <w:rFonts w:eastAsia="Times New Roman"/>
          <w:sz w:val="24"/>
          <w:szCs w:val="24"/>
          <w:lang w:val="pt-BR"/>
        </w:rPr>
        <w:t>Llorens</w:t>
      </w:r>
      <w:proofErr w:type="spellEnd"/>
      <w:r w:rsidRPr="00BD3E2E">
        <w:rPr>
          <w:rFonts w:eastAsia="Times New Roman"/>
          <w:sz w:val="24"/>
          <w:szCs w:val="24"/>
          <w:lang w:val="pt-BR"/>
        </w:rPr>
        <w:t xml:space="preserve">, S., &amp; </w:t>
      </w:r>
      <w:proofErr w:type="spellStart"/>
      <w:r w:rsidRPr="00BD3E2E">
        <w:rPr>
          <w:rFonts w:eastAsia="Times New Roman"/>
          <w:sz w:val="24"/>
          <w:szCs w:val="24"/>
          <w:lang w:val="pt-BR"/>
        </w:rPr>
        <w:t>Schaufeli</w:t>
      </w:r>
      <w:proofErr w:type="spellEnd"/>
      <w:r w:rsidRPr="00BD3E2E">
        <w:rPr>
          <w:rFonts w:eastAsia="Times New Roman"/>
          <w:sz w:val="24"/>
          <w:szCs w:val="24"/>
          <w:lang w:val="pt-BR"/>
        </w:rPr>
        <w:t xml:space="preserve">, W. B. (2019). </w:t>
      </w:r>
      <w:r w:rsidRPr="00BD3E2E">
        <w:rPr>
          <w:rFonts w:eastAsia="Times New Roman"/>
          <w:sz w:val="24"/>
          <w:szCs w:val="24"/>
          <w:lang w:val="en-US"/>
        </w:rPr>
        <w:t xml:space="preserve">Linking positive emotions and academic performance: The mediated role of academic psychological capital and academic engagement. </w:t>
      </w:r>
      <w:proofErr w:type="spellStart"/>
      <w:r w:rsidRPr="00BD3E2E">
        <w:rPr>
          <w:rFonts w:eastAsia="Times New Roman"/>
          <w:i/>
          <w:sz w:val="24"/>
          <w:szCs w:val="24"/>
          <w:lang w:val="es-419"/>
        </w:rPr>
        <w:t>Current</w:t>
      </w:r>
      <w:proofErr w:type="spellEnd"/>
      <w:r w:rsidRPr="00BD3E2E">
        <w:rPr>
          <w:rFonts w:eastAsia="Times New Roman"/>
          <w:i/>
          <w:sz w:val="24"/>
          <w:szCs w:val="24"/>
          <w:lang w:val="es-419"/>
        </w:rPr>
        <w:t xml:space="preserve"> </w:t>
      </w:r>
      <w:proofErr w:type="spellStart"/>
      <w:r w:rsidRPr="00BD3E2E">
        <w:rPr>
          <w:rFonts w:eastAsia="Times New Roman"/>
          <w:i/>
          <w:sz w:val="24"/>
          <w:szCs w:val="24"/>
          <w:lang w:val="es-419"/>
        </w:rPr>
        <w:t>Psychology</w:t>
      </w:r>
      <w:proofErr w:type="spellEnd"/>
      <w:r w:rsidRPr="00BD3E2E">
        <w:rPr>
          <w:rFonts w:eastAsia="Times New Roman"/>
          <w:sz w:val="24"/>
          <w:szCs w:val="24"/>
          <w:lang w:val="es-419"/>
        </w:rPr>
        <w:t>, 1-10.</w:t>
      </w:r>
    </w:p>
    <w:p w14:paraId="06C31279" w14:textId="77777777" w:rsidR="00E36C7C" w:rsidRPr="00BD3E2E" w:rsidRDefault="00E36C7C" w:rsidP="00E36C7C">
      <w:pPr>
        <w:spacing w:after="0" w:line="360" w:lineRule="auto"/>
        <w:ind w:left="426" w:hanging="426"/>
        <w:rPr>
          <w:rFonts w:eastAsia="Times New Roman"/>
          <w:sz w:val="24"/>
          <w:szCs w:val="24"/>
          <w:lang w:val="en-US"/>
        </w:rPr>
      </w:pPr>
      <w:proofErr w:type="spellStart"/>
      <w:r w:rsidRPr="007B786A">
        <w:rPr>
          <w:sz w:val="24"/>
          <w:szCs w:val="24"/>
          <w:lang w:val="en-US"/>
        </w:rPr>
        <w:t>Chirikov</w:t>
      </w:r>
      <w:proofErr w:type="spellEnd"/>
      <w:r w:rsidRPr="007B786A">
        <w:rPr>
          <w:sz w:val="24"/>
          <w:szCs w:val="24"/>
          <w:lang w:val="en-US"/>
        </w:rPr>
        <w:t xml:space="preserve">, I., Soria, K. M, </w:t>
      </w:r>
      <w:proofErr w:type="spellStart"/>
      <w:r w:rsidRPr="007B786A">
        <w:rPr>
          <w:sz w:val="24"/>
          <w:szCs w:val="24"/>
          <w:lang w:val="en-US"/>
        </w:rPr>
        <w:t>Horgos</w:t>
      </w:r>
      <w:proofErr w:type="spellEnd"/>
      <w:r w:rsidRPr="007B786A">
        <w:rPr>
          <w:sz w:val="24"/>
          <w:szCs w:val="24"/>
          <w:lang w:val="en-US"/>
        </w:rPr>
        <w:t xml:space="preserve">, B., &amp; Jones-White, D. (2020). </w:t>
      </w:r>
      <w:r w:rsidRPr="00BD3E2E">
        <w:rPr>
          <w:sz w:val="24"/>
          <w:szCs w:val="24"/>
          <w:lang w:val="en-US"/>
        </w:rPr>
        <w:t xml:space="preserve">Undergraduate and Graduate Students’ Mental Health During the COVID-19 Pandemic. </w:t>
      </w:r>
      <w:r w:rsidRPr="00BD3E2E">
        <w:rPr>
          <w:rStyle w:val="nfase"/>
          <w:sz w:val="24"/>
          <w:szCs w:val="24"/>
          <w:lang w:val="en-US"/>
        </w:rPr>
        <w:t>UC Berkeley: Center for Studies in Higher Education</w:t>
      </w:r>
      <w:r w:rsidRPr="00BD3E2E">
        <w:rPr>
          <w:sz w:val="24"/>
          <w:szCs w:val="24"/>
          <w:lang w:val="en-US"/>
        </w:rPr>
        <w:t xml:space="preserve">. Retrieved from </w:t>
      </w:r>
      <w:proofErr w:type="gramStart"/>
      <w:r w:rsidRPr="00BD3E2E">
        <w:rPr>
          <w:sz w:val="24"/>
          <w:szCs w:val="24"/>
          <w:lang w:val="en-US"/>
        </w:rPr>
        <w:t>https://escholarship.org/uc/item/80k5d5hw</w:t>
      </w:r>
      <w:proofErr w:type="gramEnd"/>
    </w:p>
    <w:p w14:paraId="04A851F3" w14:textId="77777777" w:rsidR="00E36C7C" w:rsidRPr="00BD3E2E" w:rsidRDefault="00E36C7C" w:rsidP="00E36C7C">
      <w:pPr>
        <w:spacing w:after="0" w:line="360" w:lineRule="auto"/>
        <w:ind w:left="426" w:hanging="426"/>
        <w:rPr>
          <w:rFonts w:eastAsia="Times New Roman"/>
          <w:sz w:val="24"/>
          <w:szCs w:val="24"/>
          <w:lang w:val="en-US"/>
        </w:rPr>
      </w:pPr>
      <w:r w:rsidRPr="00BD3E2E">
        <w:rPr>
          <w:sz w:val="24"/>
          <w:szCs w:val="24"/>
          <w:lang w:val="en-US"/>
        </w:rPr>
        <w:t xml:space="preserve">Duffy, M. E., Twenge, J. M., &amp; Joiner, T. E. (2019). Trends in Mood and Anxiety Symptoms and Suicide-Related Outcomes Among U.S. Undergraduates, 2007-2018: Evidence </w:t>
      </w:r>
      <w:proofErr w:type="gramStart"/>
      <w:r w:rsidRPr="00BD3E2E">
        <w:rPr>
          <w:sz w:val="24"/>
          <w:szCs w:val="24"/>
          <w:lang w:val="en-US"/>
        </w:rPr>
        <w:t>From</w:t>
      </w:r>
      <w:proofErr w:type="gramEnd"/>
      <w:r w:rsidRPr="00BD3E2E">
        <w:rPr>
          <w:sz w:val="24"/>
          <w:szCs w:val="24"/>
          <w:lang w:val="en-US"/>
        </w:rPr>
        <w:t xml:space="preserve"> Two National Surveys. </w:t>
      </w:r>
      <w:r w:rsidRPr="00BD3E2E">
        <w:rPr>
          <w:i/>
          <w:iCs/>
          <w:sz w:val="24"/>
          <w:szCs w:val="24"/>
          <w:lang w:val="en-US"/>
        </w:rPr>
        <w:t>The Journal of adolescent health: official publication of the Society for Adolescent Medicine</w:t>
      </w:r>
      <w:r w:rsidRPr="00BD3E2E">
        <w:rPr>
          <w:sz w:val="24"/>
          <w:szCs w:val="24"/>
          <w:lang w:val="en-US"/>
        </w:rPr>
        <w:t xml:space="preserve">, </w:t>
      </w:r>
      <w:r w:rsidRPr="00BD3E2E">
        <w:rPr>
          <w:i/>
          <w:iCs/>
          <w:sz w:val="24"/>
          <w:szCs w:val="24"/>
          <w:lang w:val="en-US"/>
        </w:rPr>
        <w:t>65</w:t>
      </w:r>
      <w:r w:rsidRPr="00BD3E2E">
        <w:rPr>
          <w:sz w:val="24"/>
          <w:szCs w:val="24"/>
          <w:lang w:val="en-US"/>
        </w:rPr>
        <w:t>(5), 590–598. https://doi.org</w:t>
      </w:r>
    </w:p>
    <w:p w14:paraId="485C8E46" w14:textId="77777777" w:rsidR="00E36C7C" w:rsidRPr="00BD3E2E" w:rsidRDefault="00E36C7C" w:rsidP="00E36C7C">
      <w:pPr>
        <w:spacing w:after="0" w:line="360" w:lineRule="auto"/>
        <w:ind w:left="426" w:hanging="426"/>
        <w:rPr>
          <w:rFonts w:eastAsia="Times New Roman"/>
          <w:sz w:val="24"/>
          <w:szCs w:val="24"/>
          <w:lang w:val="en-US"/>
        </w:rPr>
      </w:pPr>
      <w:r w:rsidRPr="00BD3E2E">
        <w:rPr>
          <w:rFonts w:eastAsia="Times New Roman"/>
          <w:sz w:val="24"/>
          <w:szCs w:val="24"/>
          <w:lang w:val="en-US"/>
        </w:rPr>
        <w:t>Evans, T. M.</w:t>
      </w:r>
      <w:proofErr w:type="gramStart"/>
      <w:r w:rsidRPr="00BD3E2E">
        <w:rPr>
          <w:rFonts w:eastAsia="Times New Roman"/>
          <w:sz w:val="24"/>
          <w:szCs w:val="24"/>
          <w:lang w:val="en-US"/>
        </w:rPr>
        <w:t xml:space="preserve">,  </w:t>
      </w:r>
      <w:proofErr w:type="spellStart"/>
      <w:r w:rsidRPr="00BD3E2E">
        <w:rPr>
          <w:rFonts w:eastAsia="Times New Roman"/>
          <w:sz w:val="24"/>
          <w:szCs w:val="24"/>
          <w:lang w:val="en-US"/>
        </w:rPr>
        <w:t>Bira</w:t>
      </w:r>
      <w:proofErr w:type="spellEnd"/>
      <w:proofErr w:type="gramEnd"/>
      <w:r w:rsidRPr="00BD3E2E">
        <w:rPr>
          <w:rFonts w:eastAsia="Times New Roman"/>
          <w:sz w:val="24"/>
          <w:szCs w:val="24"/>
          <w:lang w:val="en-US"/>
        </w:rPr>
        <w:t xml:space="preserve">, L., </w:t>
      </w:r>
      <w:proofErr w:type="spellStart"/>
      <w:r w:rsidRPr="00BD3E2E">
        <w:rPr>
          <w:rFonts w:eastAsia="Times New Roman"/>
          <w:sz w:val="24"/>
          <w:szCs w:val="24"/>
          <w:lang w:val="en-US"/>
        </w:rPr>
        <w:t>Gastelum</w:t>
      </w:r>
      <w:proofErr w:type="spellEnd"/>
      <w:r w:rsidRPr="00BD3E2E">
        <w:rPr>
          <w:rFonts w:eastAsia="Times New Roman"/>
          <w:sz w:val="24"/>
          <w:szCs w:val="24"/>
          <w:lang w:val="en-US"/>
        </w:rPr>
        <w:t xml:space="preserve">, J. B. L,  Weiss, T., </w:t>
      </w:r>
      <w:proofErr w:type="spellStart"/>
      <w:r w:rsidRPr="00BD3E2E">
        <w:rPr>
          <w:rFonts w:eastAsia="Times New Roman"/>
          <w:sz w:val="24"/>
          <w:szCs w:val="24"/>
          <w:lang w:val="en-US"/>
        </w:rPr>
        <w:t>Vanderford</w:t>
      </w:r>
      <w:proofErr w:type="spellEnd"/>
      <w:r w:rsidRPr="00BD3E2E">
        <w:rPr>
          <w:rFonts w:eastAsia="Times New Roman"/>
          <w:sz w:val="24"/>
          <w:szCs w:val="24"/>
          <w:lang w:val="en-US"/>
        </w:rPr>
        <w:t xml:space="preserve">, N. L. (2018). Evidence for a mental health crisis in graduate education. </w:t>
      </w:r>
      <w:r w:rsidRPr="00BD3E2E">
        <w:rPr>
          <w:rFonts w:eastAsia="Arial"/>
          <w:i/>
          <w:iCs/>
          <w:sz w:val="24"/>
          <w:szCs w:val="24"/>
          <w:lang w:val="en-US"/>
        </w:rPr>
        <w:t xml:space="preserve">Nature </w:t>
      </w:r>
      <w:proofErr w:type="spellStart"/>
      <w:r w:rsidRPr="00BD3E2E">
        <w:rPr>
          <w:rFonts w:eastAsia="Arial"/>
          <w:i/>
          <w:iCs/>
          <w:sz w:val="24"/>
          <w:szCs w:val="24"/>
          <w:lang w:val="en-US"/>
        </w:rPr>
        <w:t>Biothecnology</w:t>
      </w:r>
      <w:proofErr w:type="spellEnd"/>
      <w:r w:rsidRPr="00BD3E2E">
        <w:rPr>
          <w:rFonts w:eastAsia="Arial"/>
          <w:sz w:val="24"/>
          <w:szCs w:val="24"/>
          <w:lang w:val="en-US"/>
        </w:rPr>
        <w:t xml:space="preserve">, </w:t>
      </w:r>
      <w:r w:rsidRPr="00BD3E2E">
        <w:rPr>
          <w:rFonts w:eastAsia="Arial"/>
          <w:i/>
          <w:iCs/>
          <w:sz w:val="24"/>
          <w:szCs w:val="24"/>
          <w:lang w:val="en-US"/>
        </w:rPr>
        <w:t>36</w:t>
      </w:r>
      <w:r w:rsidRPr="00BD3E2E">
        <w:rPr>
          <w:rFonts w:eastAsia="Arial"/>
          <w:sz w:val="24"/>
          <w:szCs w:val="24"/>
          <w:lang w:val="en-US"/>
        </w:rPr>
        <w:t xml:space="preserve">, 282-284. </w:t>
      </w:r>
      <w:r w:rsidRPr="00BD3E2E">
        <w:rPr>
          <w:sz w:val="24"/>
          <w:szCs w:val="24"/>
          <w:lang w:val="en-US"/>
        </w:rPr>
        <w:t>https://doi.org/10.1038/nbt.4089</w:t>
      </w:r>
    </w:p>
    <w:p w14:paraId="21CAF9B5" w14:textId="77777777" w:rsidR="00E36C7C" w:rsidRPr="00BD3E2E" w:rsidRDefault="00E36C7C" w:rsidP="00E36C7C">
      <w:pPr>
        <w:spacing w:after="0" w:line="360" w:lineRule="auto"/>
        <w:ind w:left="426" w:hanging="426"/>
        <w:rPr>
          <w:rFonts w:eastAsia="Times New Roman"/>
          <w:sz w:val="24"/>
          <w:szCs w:val="24"/>
          <w:lang w:val="en-US"/>
        </w:rPr>
      </w:pPr>
      <w:r w:rsidRPr="00BD3E2E">
        <w:rPr>
          <w:rFonts w:eastAsia="Times New Roman"/>
          <w:sz w:val="24"/>
          <w:szCs w:val="24"/>
          <w:lang w:val="en-US"/>
        </w:rPr>
        <w:t xml:space="preserve">Frick, L., Stelko-Pereira, A. C., </w:t>
      </w:r>
      <w:proofErr w:type="spellStart"/>
      <w:r w:rsidRPr="00BD3E2E">
        <w:rPr>
          <w:rFonts w:eastAsia="Times New Roman"/>
          <w:sz w:val="24"/>
          <w:szCs w:val="24"/>
          <w:lang w:val="en-US"/>
        </w:rPr>
        <w:t>Zechi</w:t>
      </w:r>
      <w:proofErr w:type="spellEnd"/>
      <w:r w:rsidRPr="00BD3E2E">
        <w:rPr>
          <w:rFonts w:eastAsia="Times New Roman"/>
          <w:sz w:val="24"/>
          <w:szCs w:val="24"/>
          <w:lang w:val="en-US"/>
        </w:rPr>
        <w:t>, J. A. M., Yano, V. A. N., Amaral, E. L., Cortez, P. The Scale of Institutional Embracing of Diversity: Validity Evidence for Internal Structure and Relations with Mental Health at University (submitted).</w:t>
      </w:r>
    </w:p>
    <w:p w14:paraId="02DA6C46" w14:textId="77777777" w:rsidR="00E36C7C" w:rsidRPr="00BD3E2E" w:rsidRDefault="00E36C7C" w:rsidP="00E36C7C">
      <w:pPr>
        <w:spacing w:after="0" w:line="360" w:lineRule="auto"/>
        <w:ind w:left="426" w:hanging="426"/>
        <w:rPr>
          <w:rFonts w:eastAsia="Times New Roman"/>
          <w:sz w:val="24"/>
          <w:szCs w:val="24"/>
          <w:lang w:val="pt-BR"/>
        </w:rPr>
      </w:pPr>
      <w:proofErr w:type="spellStart"/>
      <w:r w:rsidRPr="00BD3E2E">
        <w:rPr>
          <w:rFonts w:eastAsia="Times New Roman"/>
          <w:sz w:val="24"/>
          <w:szCs w:val="24"/>
          <w:lang w:val="pt-BR"/>
        </w:rPr>
        <w:t>Graner</w:t>
      </w:r>
      <w:proofErr w:type="spellEnd"/>
      <w:r w:rsidRPr="00BD3E2E">
        <w:rPr>
          <w:rFonts w:eastAsia="Times New Roman"/>
          <w:sz w:val="24"/>
          <w:szCs w:val="24"/>
          <w:lang w:val="pt-BR"/>
        </w:rPr>
        <w:t xml:space="preserve">, K. M., &amp; Cerqueira, A. T. D. A. R. (2019). </w:t>
      </w:r>
      <w:r w:rsidRPr="00BD3E2E">
        <w:rPr>
          <w:rFonts w:eastAsia="Times New Roman"/>
          <w:sz w:val="24"/>
          <w:szCs w:val="24"/>
          <w:lang w:val="en-US"/>
        </w:rPr>
        <w:t>Integrative review: Psychological distress among university students and correlated factors.</w:t>
      </w:r>
      <w:r w:rsidRPr="00BD3E2E">
        <w:rPr>
          <w:rFonts w:eastAsia="Times New Roman"/>
          <w:i/>
          <w:sz w:val="24"/>
          <w:szCs w:val="24"/>
          <w:lang w:val="en-US"/>
        </w:rPr>
        <w:t xml:space="preserve"> </w:t>
      </w:r>
      <w:r w:rsidRPr="00BD3E2E">
        <w:rPr>
          <w:rFonts w:eastAsia="Times New Roman"/>
          <w:i/>
          <w:sz w:val="24"/>
          <w:szCs w:val="24"/>
          <w:lang w:val="pt-BR"/>
        </w:rPr>
        <w:t>Ciência e Saúde Coletiva</w:t>
      </w:r>
      <w:r w:rsidRPr="00BD3E2E">
        <w:rPr>
          <w:rFonts w:eastAsia="Times New Roman"/>
          <w:sz w:val="24"/>
          <w:szCs w:val="24"/>
          <w:lang w:val="pt-BR"/>
        </w:rPr>
        <w:t>, 24(4), 1327–1346. https://doi.org/10.1590/1413-81232018244.09692017</w:t>
      </w:r>
    </w:p>
    <w:p w14:paraId="107872E7" w14:textId="77777777" w:rsidR="00E36C7C" w:rsidRPr="00BD3E2E" w:rsidRDefault="00E36C7C" w:rsidP="00E36C7C">
      <w:pPr>
        <w:spacing w:after="0" w:line="360" w:lineRule="auto"/>
        <w:ind w:left="426" w:hanging="426"/>
        <w:rPr>
          <w:rFonts w:eastAsia="Times New Roman"/>
          <w:sz w:val="24"/>
          <w:szCs w:val="24"/>
          <w:lang w:val="en-US"/>
        </w:rPr>
      </w:pPr>
      <w:proofErr w:type="spellStart"/>
      <w:r w:rsidRPr="00E36C7C">
        <w:rPr>
          <w:rFonts w:eastAsia="Times New Roman"/>
          <w:sz w:val="24"/>
          <w:szCs w:val="24"/>
          <w:lang w:val="pt-BR"/>
        </w:rPr>
        <w:t>Kroenke</w:t>
      </w:r>
      <w:proofErr w:type="spellEnd"/>
      <w:r w:rsidRPr="00E36C7C">
        <w:rPr>
          <w:rFonts w:eastAsia="Times New Roman"/>
          <w:sz w:val="24"/>
          <w:szCs w:val="24"/>
          <w:lang w:val="pt-BR"/>
        </w:rPr>
        <w:t xml:space="preserve">, K., </w:t>
      </w:r>
      <w:bookmarkStart w:id="2" w:name="_Hlk69450034"/>
      <w:proofErr w:type="spellStart"/>
      <w:r w:rsidRPr="00E36C7C">
        <w:rPr>
          <w:rFonts w:eastAsia="Times New Roman"/>
          <w:sz w:val="24"/>
          <w:szCs w:val="24"/>
          <w:lang w:val="pt-BR"/>
        </w:rPr>
        <w:t>Spitzer</w:t>
      </w:r>
      <w:proofErr w:type="spellEnd"/>
      <w:r w:rsidRPr="00E36C7C">
        <w:rPr>
          <w:rFonts w:eastAsia="Times New Roman"/>
          <w:sz w:val="24"/>
          <w:szCs w:val="24"/>
          <w:lang w:val="pt-BR"/>
        </w:rPr>
        <w:t xml:space="preserve">, R. L., &amp; Williams, </w:t>
      </w:r>
      <w:bookmarkEnd w:id="2"/>
      <w:r w:rsidRPr="00E36C7C">
        <w:rPr>
          <w:rFonts w:eastAsia="Times New Roman"/>
          <w:sz w:val="24"/>
          <w:szCs w:val="24"/>
          <w:lang w:val="pt-BR"/>
        </w:rPr>
        <w:t xml:space="preserve">J. B. (2001). </w:t>
      </w:r>
      <w:r w:rsidRPr="00BD3E2E">
        <w:rPr>
          <w:rFonts w:eastAsia="Times New Roman"/>
          <w:sz w:val="24"/>
          <w:szCs w:val="24"/>
          <w:lang w:val="en-US"/>
        </w:rPr>
        <w:t>The PHQ-9: Validity of a brief depression severity measure.</w:t>
      </w:r>
      <w:r w:rsidRPr="00BD3E2E">
        <w:rPr>
          <w:rFonts w:eastAsia="Times New Roman"/>
          <w:i/>
          <w:sz w:val="24"/>
          <w:szCs w:val="24"/>
          <w:lang w:val="en-US"/>
        </w:rPr>
        <w:t xml:space="preserve"> Journal of General Internal Medicine</w:t>
      </w:r>
      <w:r w:rsidRPr="00BD3E2E">
        <w:rPr>
          <w:rFonts w:eastAsia="Times New Roman"/>
          <w:sz w:val="24"/>
          <w:szCs w:val="24"/>
          <w:lang w:val="en-US"/>
        </w:rPr>
        <w:t xml:space="preserve">, 16(9), 606–613. </w:t>
      </w:r>
      <w:r w:rsidR="0026330D">
        <w:fldChar w:fldCharType="begin"/>
      </w:r>
      <w:r w:rsidR="0026330D" w:rsidRPr="00EF2544">
        <w:rPr>
          <w:lang w:val="en-US"/>
        </w:rPr>
        <w:instrText xml:space="preserve"> HYPERLINK "https://doi.org/10.1046/j.1525-1497.2001.016009606.x" \h </w:instrText>
      </w:r>
      <w:r w:rsidR="0026330D">
        <w:fldChar w:fldCharType="separate"/>
      </w:r>
      <w:r w:rsidRPr="00BD3E2E">
        <w:rPr>
          <w:rFonts w:eastAsia="Times New Roman"/>
          <w:color w:val="1155CC"/>
          <w:sz w:val="24"/>
          <w:szCs w:val="24"/>
          <w:u w:val="single"/>
          <w:lang w:val="en-US"/>
        </w:rPr>
        <w:t>https://doi.org/10.1046/j.1525-1497.2001.016009606.x</w:t>
      </w:r>
      <w:r w:rsidR="0026330D">
        <w:rPr>
          <w:rFonts w:eastAsia="Times New Roman"/>
          <w:color w:val="1155CC"/>
          <w:sz w:val="24"/>
          <w:szCs w:val="24"/>
          <w:u w:val="single"/>
          <w:lang w:val="en-US"/>
        </w:rPr>
        <w:fldChar w:fldCharType="end"/>
      </w:r>
    </w:p>
    <w:p w14:paraId="77DCC79B" w14:textId="77777777" w:rsidR="00E36C7C" w:rsidRPr="00BD3E2E" w:rsidRDefault="00E36C7C" w:rsidP="00E36C7C">
      <w:pPr>
        <w:spacing w:after="0" w:line="360" w:lineRule="auto"/>
        <w:ind w:left="426" w:hanging="426"/>
        <w:rPr>
          <w:rFonts w:eastAsia="Times New Roman"/>
          <w:sz w:val="24"/>
          <w:szCs w:val="24"/>
          <w:lang w:val="en-US"/>
        </w:rPr>
      </w:pPr>
      <w:r w:rsidRPr="00BD3E2E">
        <w:rPr>
          <w:rFonts w:eastAsia="Roboto"/>
          <w:color w:val="212121"/>
          <w:sz w:val="24"/>
          <w:szCs w:val="24"/>
          <w:highlight w:val="white"/>
          <w:lang w:val="en-US"/>
        </w:rPr>
        <w:t xml:space="preserve">Kroenke, K., Spitzer, R. L., </w:t>
      </w:r>
      <w:r w:rsidRPr="00BD3E2E">
        <w:rPr>
          <w:rFonts w:eastAsia="Times New Roman"/>
          <w:sz w:val="24"/>
          <w:szCs w:val="24"/>
          <w:lang w:val="en-US"/>
        </w:rPr>
        <w:t>&amp;</w:t>
      </w:r>
      <w:r w:rsidRPr="00BD3E2E">
        <w:rPr>
          <w:rFonts w:eastAsia="Roboto"/>
          <w:color w:val="212121"/>
          <w:sz w:val="24"/>
          <w:szCs w:val="24"/>
          <w:highlight w:val="white"/>
          <w:lang w:val="en-US"/>
        </w:rPr>
        <w:t xml:space="preserve"> Williams, J. B. (2003). The Patient Health Questionnaire-2: validity of a two-item depression screener.</w:t>
      </w:r>
      <w:r w:rsidRPr="00BD3E2E">
        <w:rPr>
          <w:rFonts w:eastAsia="Roboto"/>
          <w:i/>
          <w:color w:val="212121"/>
          <w:sz w:val="24"/>
          <w:szCs w:val="24"/>
          <w:highlight w:val="white"/>
          <w:lang w:val="en-US"/>
        </w:rPr>
        <w:t xml:space="preserve"> Med Care</w:t>
      </w:r>
      <w:r w:rsidRPr="00BD3E2E">
        <w:rPr>
          <w:rFonts w:eastAsia="Roboto"/>
          <w:color w:val="212121"/>
          <w:sz w:val="24"/>
          <w:szCs w:val="24"/>
          <w:highlight w:val="white"/>
          <w:lang w:val="en-US"/>
        </w:rPr>
        <w:t xml:space="preserve">, </w:t>
      </w:r>
      <w:r w:rsidRPr="00BD3E2E">
        <w:rPr>
          <w:rFonts w:eastAsia="Roboto"/>
          <w:i/>
          <w:iCs/>
          <w:color w:val="212121"/>
          <w:sz w:val="24"/>
          <w:szCs w:val="24"/>
          <w:highlight w:val="white"/>
          <w:lang w:val="en-US"/>
        </w:rPr>
        <w:t>41</w:t>
      </w:r>
      <w:r w:rsidRPr="00BD3E2E">
        <w:rPr>
          <w:rFonts w:eastAsia="Roboto"/>
          <w:color w:val="212121"/>
          <w:sz w:val="24"/>
          <w:szCs w:val="24"/>
          <w:highlight w:val="white"/>
          <w:lang w:val="en-US"/>
        </w:rPr>
        <w:t xml:space="preserve">(11), 1284-92. </w:t>
      </w:r>
      <w:proofErr w:type="spellStart"/>
      <w:r w:rsidRPr="00BD3E2E">
        <w:rPr>
          <w:rFonts w:eastAsia="Roboto"/>
          <w:color w:val="212121"/>
          <w:sz w:val="24"/>
          <w:szCs w:val="24"/>
          <w:highlight w:val="white"/>
          <w:lang w:val="en-US"/>
        </w:rPr>
        <w:t>doi</w:t>
      </w:r>
      <w:proofErr w:type="spellEnd"/>
      <w:r w:rsidRPr="00BD3E2E">
        <w:rPr>
          <w:rFonts w:eastAsia="Roboto"/>
          <w:color w:val="212121"/>
          <w:sz w:val="24"/>
          <w:szCs w:val="24"/>
          <w:highlight w:val="white"/>
          <w:lang w:val="en-US"/>
        </w:rPr>
        <w:t>: 10.1097/01.MLR.0000093487.78664.3C. PMID: 14583691.</w:t>
      </w:r>
    </w:p>
    <w:p w14:paraId="6BE28549" w14:textId="77777777" w:rsidR="00E36C7C" w:rsidRPr="00BD3E2E" w:rsidRDefault="00E36C7C" w:rsidP="00E36C7C">
      <w:pPr>
        <w:spacing w:after="0" w:line="360" w:lineRule="auto"/>
        <w:ind w:left="426" w:hanging="426"/>
        <w:rPr>
          <w:rFonts w:eastAsia="Times New Roman"/>
          <w:sz w:val="24"/>
          <w:szCs w:val="24"/>
          <w:lang w:val="en-US"/>
        </w:rPr>
      </w:pPr>
      <w:r w:rsidRPr="00BD3E2E">
        <w:rPr>
          <w:rFonts w:eastAsia="Times New Roman"/>
          <w:sz w:val="24"/>
          <w:szCs w:val="24"/>
          <w:lang w:val="en-US"/>
        </w:rPr>
        <w:t xml:space="preserve">Kroenke, K., Spitzer, R. L., Williams, J. B. W., &amp; </w:t>
      </w:r>
      <w:proofErr w:type="spellStart"/>
      <w:r w:rsidRPr="00BD3E2E">
        <w:rPr>
          <w:rFonts w:eastAsia="Times New Roman"/>
          <w:sz w:val="24"/>
          <w:szCs w:val="24"/>
          <w:lang w:val="en-US"/>
        </w:rPr>
        <w:t>Löwe</w:t>
      </w:r>
      <w:proofErr w:type="spellEnd"/>
      <w:r w:rsidRPr="00BD3E2E">
        <w:rPr>
          <w:rFonts w:eastAsia="Times New Roman"/>
          <w:sz w:val="24"/>
          <w:szCs w:val="24"/>
          <w:lang w:val="en-US"/>
        </w:rPr>
        <w:t xml:space="preserve">, B. (2010). The Patient Health Questionnaire Somatic, Anxiety, and Depressive Symptom Scales: A systematic review. </w:t>
      </w:r>
      <w:r w:rsidRPr="00BD3E2E">
        <w:rPr>
          <w:rFonts w:eastAsia="Times New Roman"/>
          <w:i/>
          <w:sz w:val="24"/>
          <w:szCs w:val="24"/>
          <w:lang w:val="en-US"/>
        </w:rPr>
        <w:t>General Hospital Psychiatry</w:t>
      </w:r>
      <w:r w:rsidRPr="00BD3E2E">
        <w:rPr>
          <w:rFonts w:eastAsia="Times New Roman"/>
          <w:sz w:val="24"/>
          <w:szCs w:val="24"/>
          <w:lang w:val="en-US"/>
        </w:rPr>
        <w:t xml:space="preserve">, 32(4), 345–359. </w:t>
      </w:r>
      <w:r w:rsidR="0026330D">
        <w:fldChar w:fldCharType="begin"/>
      </w:r>
      <w:r w:rsidR="0026330D" w:rsidRPr="00EF2544">
        <w:rPr>
          <w:lang w:val="en-US"/>
        </w:rPr>
        <w:instrText xml:space="preserve"> HYPERLINK "https://doi.org/10.1016/j.genhosppsych.2010.03.006" </w:instrText>
      </w:r>
      <w:r w:rsidR="0026330D">
        <w:fldChar w:fldCharType="separate"/>
      </w:r>
      <w:r w:rsidRPr="00BD3E2E">
        <w:rPr>
          <w:rStyle w:val="Hyperlink"/>
          <w:rFonts w:eastAsia="Times New Roman"/>
          <w:sz w:val="24"/>
          <w:szCs w:val="24"/>
          <w:lang w:val="en-US"/>
        </w:rPr>
        <w:t>https://doi.org/10.1016/j.genhosppsych.2010.03.006</w:t>
      </w:r>
      <w:r w:rsidR="0026330D">
        <w:rPr>
          <w:rStyle w:val="Hyperlink"/>
          <w:rFonts w:eastAsia="Times New Roman"/>
          <w:sz w:val="24"/>
          <w:szCs w:val="24"/>
          <w:lang w:val="en-US"/>
        </w:rPr>
        <w:fldChar w:fldCharType="end"/>
      </w:r>
    </w:p>
    <w:p w14:paraId="6C2024A6" w14:textId="77777777" w:rsidR="00E36C7C" w:rsidRPr="00BD3E2E" w:rsidRDefault="00E36C7C" w:rsidP="00E36C7C">
      <w:pPr>
        <w:spacing w:after="0" w:line="360" w:lineRule="auto"/>
        <w:ind w:left="426" w:hanging="426"/>
        <w:rPr>
          <w:rFonts w:eastAsia="Times New Roman"/>
          <w:sz w:val="24"/>
          <w:szCs w:val="24"/>
          <w:lang w:val="en-US"/>
        </w:rPr>
      </w:pPr>
      <w:proofErr w:type="spellStart"/>
      <w:r w:rsidRPr="00BD3E2E">
        <w:rPr>
          <w:rStyle w:val="authors"/>
          <w:sz w:val="24"/>
          <w:szCs w:val="24"/>
          <w:lang w:val="en-US"/>
        </w:rPr>
        <w:t>Larcombe</w:t>
      </w:r>
      <w:proofErr w:type="spellEnd"/>
      <w:r w:rsidRPr="00BD3E2E">
        <w:rPr>
          <w:rStyle w:val="authors"/>
          <w:sz w:val="24"/>
          <w:szCs w:val="24"/>
          <w:lang w:val="en-US"/>
        </w:rPr>
        <w:t xml:space="preserve">, W., </w:t>
      </w:r>
      <w:proofErr w:type="spellStart"/>
      <w:r w:rsidRPr="00BD3E2E">
        <w:rPr>
          <w:rStyle w:val="authors"/>
          <w:sz w:val="24"/>
          <w:szCs w:val="24"/>
          <w:lang w:val="en-US"/>
        </w:rPr>
        <w:t>Baik</w:t>
      </w:r>
      <w:proofErr w:type="spellEnd"/>
      <w:r w:rsidRPr="00BD3E2E">
        <w:rPr>
          <w:rStyle w:val="authors"/>
          <w:sz w:val="24"/>
          <w:szCs w:val="24"/>
          <w:lang w:val="en-US"/>
        </w:rPr>
        <w:t>, C., &amp; Finch, S.</w:t>
      </w:r>
      <w:r w:rsidRPr="00BD3E2E">
        <w:rPr>
          <w:sz w:val="24"/>
          <w:szCs w:val="24"/>
          <w:lang w:val="en-US"/>
        </w:rPr>
        <w:t xml:space="preserve"> </w:t>
      </w:r>
      <w:r w:rsidRPr="00BD3E2E">
        <w:rPr>
          <w:rStyle w:val="Data1"/>
          <w:sz w:val="24"/>
          <w:szCs w:val="24"/>
          <w:lang w:val="en-US"/>
        </w:rPr>
        <w:t>(2021).</w:t>
      </w:r>
      <w:r w:rsidRPr="00BD3E2E">
        <w:rPr>
          <w:sz w:val="24"/>
          <w:szCs w:val="24"/>
          <w:lang w:val="en-US"/>
        </w:rPr>
        <w:t xml:space="preserve"> </w:t>
      </w:r>
      <w:r w:rsidRPr="00BD3E2E">
        <w:rPr>
          <w:rStyle w:val="arttitle"/>
          <w:sz w:val="24"/>
          <w:szCs w:val="24"/>
          <w:lang w:val="en-US"/>
        </w:rPr>
        <w:t>Exploring course experiences that predict psychological distress and mental wellbeing in Australian undergraduate and graduate coursework students.</w:t>
      </w:r>
      <w:r w:rsidRPr="00BD3E2E">
        <w:rPr>
          <w:sz w:val="24"/>
          <w:szCs w:val="24"/>
          <w:lang w:val="en-US"/>
        </w:rPr>
        <w:t xml:space="preserve"> </w:t>
      </w:r>
      <w:r w:rsidRPr="00BD3E2E">
        <w:rPr>
          <w:rStyle w:val="serialtitle"/>
          <w:i/>
          <w:iCs/>
          <w:sz w:val="24"/>
          <w:szCs w:val="24"/>
          <w:lang w:val="en-US"/>
        </w:rPr>
        <w:t>Higher Education Research &amp; Development</w:t>
      </w:r>
      <w:r w:rsidRPr="00BD3E2E">
        <w:rPr>
          <w:rStyle w:val="serialtitle"/>
          <w:sz w:val="24"/>
          <w:szCs w:val="24"/>
          <w:lang w:val="en-US"/>
        </w:rPr>
        <w:t xml:space="preserve">. </w:t>
      </w:r>
      <w:r w:rsidRPr="00BD3E2E">
        <w:rPr>
          <w:sz w:val="24"/>
          <w:szCs w:val="24"/>
          <w:lang w:val="en-US"/>
        </w:rPr>
        <w:t>https://doi.org/</w:t>
      </w:r>
      <w:r w:rsidR="0026330D">
        <w:fldChar w:fldCharType="begin"/>
      </w:r>
      <w:r w:rsidR="0026330D" w:rsidRPr="00EF2544">
        <w:rPr>
          <w:lang w:val="en-US"/>
        </w:rPr>
        <w:instrText xml:space="preserve"> HYPERLINK "https://doi.org/10.1080/07294360.2020.1865284" </w:instrText>
      </w:r>
      <w:r w:rsidR="0026330D">
        <w:fldChar w:fldCharType="separate"/>
      </w:r>
      <w:r w:rsidRPr="00BD3E2E">
        <w:rPr>
          <w:rStyle w:val="Hyperlink"/>
          <w:sz w:val="24"/>
          <w:szCs w:val="24"/>
          <w:lang w:val="en-US"/>
        </w:rPr>
        <w:t>10.1080/07294360.2020.1865284</w:t>
      </w:r>
      <w:r w:rsidR="0026330D">
        <w:rPr>
          <w:rStyle w:val="Hyperlink"/>
          <w:sz w:val="24"/>
          <w:szCs w:val="24"/>
          <w:lang w:val="en-US"/>
        </w:rPr>
        <w:fldChar w:fldCharType="end"/>
      </w:r>
      <w:r w:rsidRPr="00BD3E2E">
        <w:rPr>
          <w:sz w:val="24"/>
          <w:szCs w:val="24"/>
          <w:lang w:val="en-US"/>
        </w:rPr>
        <w:t xml:space="preserve"> </w:t>
      </w:r>
    </w:p>
    <w:p w14:paraId="282ADA22" w14:textId="77777777" w:rsidR="00E36C7C" w:rsidRPr="00BD3E2E" w:rsidRDefault="00E36C7C" w:rsidP="00E36C7C">
      <w:pPr>
        <w:spacing w:after="0" w:line="360" w:lineRule="auto"/>
        <w:ind w:left="426" w:hanging="426"/>
        <w:rPr>
          <w:rFonts w:eastAsia="Times New Roman"/>
          <w:sz w:val="24"/>
          <w:szCs w:val="24"/>
          <w:lang w:val="en-US"/>
        </w:rPr>
      </w:pPr>
      <w:r w:rsidRPr="00BD3E2E">
        <w:rPr>
          <w:rFonts w:eastAsia="Times New Roman"/>
          <w:sz w:val="24"/>
          <w:szCs w:val="24"/>
          <w:lang w:val="en-US"/>
        </w:rPr>
        <w:t xml:space="preserve">Lee, B., &amp; Kim, Y. E. (2019). The psychometric properties of the Generalized Anxiety Disorder scale (GAD-7) among Korean university students. </w:t>
      </w:r>
      <w:r w:rsidRPr="00BD3E2E">
        <w:rPr>
          <w:rFonts w:eastAsia="Times New Roman"/>
          <w:i/>
          <w:sz w:val="24"/>
          <w:szCs w:val="24"/>
          <w:lang w:val="en-US"/>
        </w:rPr>
        <w:t>Psychiatry and Clinical Psychopharmacology,</w:t>
      </w:r>
      <w:r w:rsidRPr="00BD3E2E">
        <w:rPr>
          <w:rFonts w:eastAsia="Times New Roman"/>
          <w:i/>
          <w:iCs/>
          <w:sz w:val="24"/>
          <w:szCs w:val="24"/>
          <w:lang w:val="en-US"/>
        </w:rPr>
        <w:t xml:space="preserve"> 29</w:t>
      </w:r>
      <w:r w:rsidRPr="00BD3E2E">
        <w:rPr>
          <w:rFonts w:eastAsia="Times New Roman"/>
          <w:sz w:val="24"/>
          <w:szCs w:val="24"/>
          <w:lang w:val="en-US"/>
        </w:rPr>
        <w:t>(4), 864–871. https://doi.org/10.1080/24750573.2019.1691320</w:t>
      </w:r>
    </w:p>
    <w:p w14:paraId="0EFF1E80" w14:textId="77777777" w:rsidR="00E36C7C" w:rsidRPr="00BD3E2E" w:rsidRDefault="00E36C7C" w:rsidP="00E36C7C">
      <w:pPr>
        <w:spacing w:after="0" w:line="360" w:lineRule="auto"/>
        <w:ind w:left="426" w:hanging="426"/>
        <w:rPr>
          <w:rFonts w:eastAsia="Times New Roman"/>
          <w:sz w:val="24"/>
          <w:szCs w:val="24"/>
          <w:lang w:val="pt-BR"/>
        </w:rPr>
      </w:pPr>
      <w:proofErr w:type="spellStart"/>
      <w:r w:rsidRPr="00BD3E2E">
        <w:rPr>
          <w:rFonts w:eastAsia="Times New Roman"/>
          <w:sz w:val="24"/>
          <w:szCs w:val="24"/>
          <w:lang w:val="en-US"/>
        </w:rPr>
        <w:t>Maltoni</w:t>
      </w:r>
      <w:proofErr w:type="spellEnd"/>
      <w:r w:rsidRPr="00BD3E2E">
        <w:rPr>
          <w:rFonts w:eastAsia="Times New Roman"/>
          <w:sz w:val="24"/>
          <w:szCs w:val="24"/>
          <w:lang w:val="en-US"/>
        </w:rPr>
        <w:t xml:space="preserve">, J., Palma, P. D. C., &amp; Neufeld, C. B. (2019). </w:t>
      </w:r>
      <w:r w:rsidRPr="00BD3E2E">
        <w:rPr>
          <w:rFonts w:eastAsia="Times New Roman"/>
          <w:sz w:val="24"/>
          <w:szCs w:val="24"/>
          <w:lang w:val="pt-BR"/>
        </w:rPr>
        <w:t xml:space="preserve">Sintomas ansiosos e depressivos em universitários brasileiros. </w:t>
      </w:r>
      <w:r w:rsidRPr="00BD3E2E">
        <w:rPr>
          <w:rFonts w:eastAsia="Times New Roman"/>
          <w:i/>
          <w:sz w:val="24"/>
          <w:szCs w:val="24"/>
          <w:lang w:val="pt-BR"/>
        </w:rPr>
        <w:t>Psico</w:t>
      </w:r>
      <w:r w:rsidRPr="00BD3E2E">
        <w:rPr>
          <w:rFonts w:eastAsia="Times New Roman"/>
          <w:sz w:val="24"/>
          <w:szCs w:val="24"/>
          <w:lang w:val="pt-BR"/>
        </w:rPr>
        <w:t xml:space="preserve">, </w:t>
      </w:r>
      <w:r w:rsidRPr="00BD3E2E">
        <w:rPr>
          <w:rFonts w:eastAsia="Times New Roman"/>
          <w:i/>
          <w:iCs/>
          <w:sz w:val="24"/>
          <w:szCs w:val="24"/>
          <w:lang w:val="pt-BR"/>
        </w:rPr>
        <w:t>50</w:t>
      </w:r>
      <w:r w:rsidRPr="00BD3E2E">
        <w:rPr>
          <w:rFonts w:eastAsia="Times New Roman"/>
          <w:sz w:val="24"/>
          <w:szCs w:val="24"/>
          <w:lang w:val="pt-BR"/>
        </w:rPr>
        <w:t>(1), 29213. https://doi.org/10.15448/1980-8623.2019.1.29213</w:t>
      </w:r>
    </w:p>
    <w:p w14:paraId="3287B4A8" w14:textId="77777777" w:rsidR="00E36C7C" w:rsidRPr="00BD3E2E" w:rsidRDefault="00E36C7C" w:rsidP="00E36C7C">
      <w:pPr>
        <w:spacing w:after="0" w:line="360" w:lineRule="auto"/>
        <w:ind w:left="426" w:hanging="426"/>
        <w:rPr>
          <w:rFonts w:eastAsia="Times New Roman"/>
          <w:sz w:val="24"/>
          <w:szCs w:val="24"/>
          <w:lang w:val="pt-BR"/>
        </w:rPr>
      </w:pPr>
      <w:r w:rsidRPr="00BD3E2E">
        <w:rPr>
          <w:rFonts w:eastAsia="Times New Roman"/>
          <w:sz w:val="24"/>
          <w:szCs w:val="24"/>
          <w:lang w:val="pt-BR"/>
        </w:rPr>
        <w:t xml:space="preserve">Ribeiro, C. F., Lemos, C. M. C., Alt, N. N., Marins, R. L. T., </w:t>
      </w:r>
      <w:proofErr w:type="spellStart"/>
      <w:r w:rsidRPr="00BD3E2E">
        <w:rPr>
          <w:rFonts w:eastAsia="Times New Roman"/>
          <w:sz w:val="24"/>
          <w:szCs w:val="24"/>
          <w:lang w:val="pt-BR"/>
        </w:rPr>
        <w:t>Corbiceiro</w:t>
      </w:r>
      <w:proofErr w:type="spellEnd"/>
      <w:r w:rsidRPr="00BD3E2E">
        <w:rPr>
          <w:rFonts w:eastAsia="Times New Roman"/>
          <w:sz w:val="24"/>
          <w:szCs w:val="24"/>
          <w:lang w:val="pt-BR"/>
        </w:rPr>
        <w:t xml:space="preserve">, W. C. H., &amp; Nascimento, M. I. do. </w:t>
      </w:r>
      <w:r w:rsidRPr="00BD3E2E">
        <w:rPr>
          <w:rFonts w:eastAsia="Times New Roman"/>
          <w:sz w:val="24"/>
          <w:szCs w:val="24"/>
          <w:lang w:val="en-US"/>
        </w:rPr>
        <w:t xml:space="preserve">(2020). Prevalence of and Factors Associated with Depression and Anxiety in Brazilian Medical Students. </w:t>
      </w:r>
      <w:r w:rsidRPr="00BD3E2E">
        <w:rPr>
          <w:rFonts w:eastAsia="Times New Roman"/>
          <w:i/>
          <w:sz w:val="24"/>
          <w:szCs w:val="24"/>
          <w:lang w:val="pt-BR"/>
        </w:rPr>
        <w:t>Revista Brasileira de Educação Médica</w:t>
      </w:r>
      <w:r w:rsidRPr="00BD3E2E">
        <w:rPr>
          <w:rFonts w:eastAsia="Times New Roman"/>
          <w:sz w:val="24"/>
          <w:szCs w:val="24"/>
          <w:lang w:val="pt-BR"/>
        </w:rPr>
        <w:t xml:space="preserve">, </w:t>
      </w:r>
      <w:r w:rsidRPr="00BD3E2E">
        <w:rPr>
          <w:rFonts w:eastAsia="Times New Roman"/>
          <w:i/>
          <w:iCs/>
          <w:sz w:val="24"/>
          <w:szCs w:val="24"/>
          <w:lang w:val="pt-BR"/>
        </w:rPr>
        <w:t>44</w:t>
      </w:r>
      <w:r w:rsidRPr="00BD3E2E">
        <w:rPr>
          <w:rFonts w:eastAsia="Times New Roman"/>
          <w:sz w:val="24"/>
          <w:szCs w:val="24"/>
          <w:lang w:val="pt-BR"/>
        </w:rPr>
        <w:t xml:space="preserve">(1), 1–8. </w:t>
      </w:r>
      <w:r w:rsidR="0026330D">
        <w:fldChar w:fldCharType="begin"/>
      </w:r>
      <w:r w:rsidR="0026330D" w:rsidRPr="00EF2544">
        <w:rPr>
          <w:lang w:val="pt-BR"/>
        </w:rPr>
        <w:instrText xml:space="preserve"> HYPERLINK "https://doi.org/10.1590/1981-5271v44.1-20190102.ing" </w:instrText>
      </w:r>
      <w:r w:rsidR="0026330D">
        <w:fldChar w:fldCharType="separate"/>
      </w:r>
      <w:r w:rsidRPr="00BD3E2E">
        <w:rPr>
          <w:rStyle w:val="Hyperlink"/>
          <w:rFonts w:eastAsia="Times New Roman"/>
          <w:sz w:val="24"/>
          <w:szCs w:val="24"/>
          <w:lang w:val="pt-BR"/>
        </w:rPr>
        <w:t>https://doi.org/10.1590/1981-5271v44.1-20190102.ing</w:t>
      </w:r>
      <w:r w:rsidR="0026330D">
        <w:rPr>
          <w:rStyle w:val="Hyperlink"/>
          <w:rFonts w:eastAsia="Times New Roman"/>
          <w:sz w:val="24"/>
          <w:szCs w:val="24"/>
          <w:lang w:val="pt-BR"/>
        </w:rPr>
        <w:fldChar w:fldCharType="end"/>
      </w:r>
    </w:p>
    <w:p w14:paraId="1B2A6939" w14:textId="77777777" w:rsidR="00E36C7C" w:rsidRPr="00BD3E2E" w:rsidRDefault="00E36C7C" w:rsidP="00E36C7C">
      <w:pPr>
        <w:spacing w:after="0" w:line="360" w:lineRule="auto"/>
        <w:ind w:left="426" w:hanging="426"/>
        <w:rPr>
          <w:rFonts w:eastAsia="Times New Roman"/>
          <w:sz w:val="24"/>
          <w:szCs w:val="24"/>
          <w:lang w:val="pt-BR"/>
        </w:rPr>
      </w:pPr>
      <w:r w:rsidRPr="00BD3E2E">
        <w:rPr>
          <w:rFonts w:eastAsia="Times New Roman"/>
          <w:sz w:val="24"/>
          <w:szCs w:val="24"/>
          <w:lang w:val="pt-BR"/>
        </w:rPr>
        <w:t xml:space="preserve">Santos, I. S., Tavares, B. F., Munhoz, T. N., de Almeida, L. S. P., da Silva, N. T. B., </w:t>
      </w:r>
      <w:proofErr w:type="spellStart"/>
      <w:r w:rsidRPr="00BD3E2E">
        <w:rPr>
          <w:rFonts w:eastAsia="Times New Roman"/>
          <w:sz w:val="24"/>
          <w:szCs w:val="24"/>
          <w:lang w:val="pt-BR"/>
        </w:rPr>
        <w:t>Tams</w:t>
      </w:r>
      <w:proofErr w:type="spellEnd"/>
      <w:r w:rsidRPr="00BD3E2E">
        <w:rPr>
          <w:rFonts w:eastAsia="Times New Roman"/>
          <w:sz w:val="24"/>
          <w:szCs w:val="24"/>
          <w:lang w:val="pt-BR"/>
        </w:rPr>
        <w:t xml:space="preserve">, B. D., </w:t>
      </w:r>
      <w:proofErr w:type="spellStart"/>
      <w:r w:rsidRPr="00BD3E2E">
        <w:rPr>
          <w:rFonts w:eastAsia="Times New Roman"/>
          <w:sz w:val="24"/>
          <w:szCs w:val="24"/>
          <w:lang w:val="pt-BR"/>
        </w:rPr>
        <w:t>Patella</w:t>
      </w:r>
      <w:proofErr w:type="spellEnd"/>
      <w:r w:rsidRPr="00BD3E2E">
        <w:rPr>
          <w:rFonts w:eastAsia="Times New Roman"/>
          <w:sz w:val="24"/>
          <w:szCs w:val="24"/>
          <w:lang w:val="pt-BR"/>
        </w:rPr>
        <w:t xml:space="preserve">, A. M., &amp; </w:t>
      </w:r>
      <w:proofErr w:type="spellStart"/>
      <w:r w:rsidRPr="00BD3E2E">
        <w:rPr>
          <w:rFonts w:eastAsia="Times New Roman"/>
          <w:sz w:val="24"/>
          <w:szCs w:val="24"/>
          <w:lang w:val="pt-BR"/>
        </w:rPr>
        <w:t>Matijasevich</w:t>
      </w:r>
      <w:proofErr w:type="spellEnd"/>
      <w:r w:rsidRPr="00BD3E2E">
        <w:rPr>
          <w:rFonts w:eastAsia="Times New Roman"/>
          <w:sz w:val="24"/>
          <w:szCs w:val="24"/>
          <w:lang w:val="pt-BR"/>
        </w:rPr>
        <w:t xml:space="preserve">, A. (2013). Sensibilidade e especificidade do </w:t>
      </w:r>
      <w:proofErr w:type="spellStart"/>
      <w:r w:rsidRPr="00BD3E2E">
        <w:rPr>
          <w:rFonts w:eastAsia="Times New Roman"/>
          <w:sz w:val="24"/>
          <w:szCs w:val="24"/>
          <w:lang w:val="pt-BR"/>
        </w:rPr>
        <w:t>Patient</w:t>
      </w:r>
      <w:proofErr w:type="spellEnd"/>
      <w:r w:rsidRPr="00BD3E2E">
        <w:rPr>
          <w:rFonts w:eastAsia="Times New Roman"/>
          <w:sz w:val="24"/>
          <w:szCs w:val="24"/>
          <w:lang w:val="pt-BR"/>
        </w:rPr>
        <w:t xml:space="preserve"> Health Questionnaire-9 (PHQ-9) entre adultos da população geral. </w:t>
      </w:r>
      <w:r w:rsidRPr="00BD3E2E">
        <w:rPr>
          <w:rFonts w:eastAsia="Times New Roman"/>
          <w:i/>
          <w:sz w:val="24"/>
          <w:szCs w:val="24"/>
          <w:lang w:val="pt-BR"/>
        </w:rPr>
        <w:t>Cadernos de Saude Publica</w:t>
      </w:r>
      <w:r w:rsidRPr="00BD3E2E">
        <w:rPr>
          <w:rFonts w:eastAsia="Times New Roman"/>
          <w:sz w:val="24"/>
          <w:szCs w:val="24"/>
          <w:lang w:val="pt-BR"/>
        </w:rPr>
        <w:t xml:space="preserve">, </w:t>
      </w:r>
      <w:r w:rsidRPr="00BD3E2E">
        <w:rPr>
          <w:rFonts w:eastAsia="Times New Roman"/>
          <w:i/>
          <w:iCs/>
          <w:sz w:val="24"/>
          <w:szCs w:val="24"/>
          <w:lang w:val="pt-BR"/>
        </w:rPr>
        <w:t>29</w:t>
      </w:r>
      <w:r w:rsidRPr="00BD3E2E">
        <w:rPr>
          <w:rFonts w:eastAsia="Times New Roman"/>
          <w:sz w:val="24"/>
          <w:szCs w:val="24"/>
          <w:lang w:val="pt-BR"/>
        </w:rPr>
        <w:t xml:space="preserve">(8), 1533–1543. </w:t>
      </w:r>
      <w:hyperlink r:id="rId9">
        <w:r w:rsidRPr="00BD3E2E">
          <w:rPr>
            <w:rFonts w:eastAsia="Times New Roman"/>
            <w:color w:val="1155CC"/>
            <w:sz w:val="24"/>
            <w:szCs w:val="24"/>
            <w:u w:val="single"/>
            <w:lang w:val="pt-BR"/>
          </w:rPr>
          <w:t>https://doi.org/10.1590/0102-311X00144612</w:t>
        </w:r>
      </w:hyperlink>
    </w:p>
    <w:p w14:paraId="45138187" w14:textId="77777777" w:rsidR="00E36C7C" w:rsidRPr="00BD3E2E" w:rsidRDefault="00E36C7C" w:rsidP="00E36C7C">
      <w:pPr>
        <w:spacing w:after="0" w:line="360" w:lineRule="auto"/>
        <w:ind w:left="426" w:hanging="426"/>
        <w:rPr>
          <w:rFonts w:eastAsia="Times New Roman"/>
          <w:sz w:val="24"/>
          <w:szCs w:val="24"/>
          <w:lang w:val="en-US"/>
        </w:rPr>
      </w:pPr>
      <w:r w:rsidRPr="00BD3E2E">
        <w:rPr>
          <w:rFonts w:eastAsia="Times New Roman"/>
          <w:sz w:val="24"/>
          <w:szCs w:val="24"/>
          <w:lang w:val="pt-BR"/>
        </w:rPr>
        <w:t xml:space="preserve">Santos, D. T. dos, Nazário, F. P., Freitas, R. A., Henriques, V. M., &amp; de Paiva, I. S. (2019). </w:t>
      </w:r>
      <w:r w:rsidRPr="00BD3E2E">
        <w:rPr>
          <w:rFonts w:eastAsia="Times New Roman"/>
          <w:sz w:val="24"/>
          <w:szCs w:val="24"/>
          <w:lang w:val="en-US"/>
        </w:rPr>
        <w:t xml:space="preserve">Alcohol abuse and dependence among Brazilian medical students: Association to sociodemographic variables, </w:t>
      </w:r>
      <w:proofErr w:type="gramStart"/>
      <w:r w:rsidRPr="00BD3E2E">
        <w:rPr>
          <w:rFonts w:eastAsia="Times New Roman"/>
          <w:sz w:val="24"/>
          <w:szCs w:val="24"/>
          <w:lang w:val="en-US"/>
        </w:rPr>
        <w:t>anxiety</w:t>
      </w:r>
      <w:proofErr w:type="gramEnd"/>
      <w:r w:rsidRPr="00BD3E2E">
        <w:rPr>
          <w:rFonts w:eastAsia="Times New Roman"/>
          <w:sz w:val="24"/>
          <w:szCs w:val="24"/>
          <w:lang w:val="en-US"/>
        </w:rPr>
        <w:t xml:space="preserve"> and depression. </w:t>
      </w:r>
      <w:r w:rsidRPr="00BD3E2E">
        <w:rPr>
          <w:rFonts w:eastAsia="Times New Roman"/>
          <w:i/>
          <w:sz w:val="24"/>
          <w:szCs w:val="24"/>
          <w:lang w:val="en-US"/>
        </w:rPr>
        <w:t>Journal of Substance Use</w:t>
      </w:r>
      <w:r w:rsidRPr="00BD3E2E">
        <w:rPr>
          <w:rFonts w:eastAsia="Times New Roman"/>
          <w:sz w:val="24"/>
          <w:szCs w:val="24"/>
          <w:lang w:val="en-US"/>
        </w:rPr>
        <w:t xml:space="preserve">, </w:t>
      </w:r>
      <w:r w:rsidRPr="00BD3E2E">
        <w:rPr>
          <w:rFonts w:eastAsia="Times New Roman"/>
          <w:i/>
          <w:iCs/>
          <w:sz w:val="24"/>
          <w:szCs w:val="24"/>
          <w:lang w:val="en-US"/>
        </w:rPr>
        <w:t>24</w:t>
      </w:r>
      <w:r w:rsidRPr="00BD3E2E">
        <w:rPr>
          <w:rFonts w:eastAsia="Times New Roman"/>
          <w:sz w:val="24"/>
          <w:szCs w:val="24"/>
          <w:lang w:val="en-US"/>
        </w:rPr>
        <w:t xml:space="preserve">(3), 285–292. </w:t>
      </w:r>
      <w:r w:rsidR="0026330D">
        <w:fldChar w:fldCharType="begin"/>
      </w:r>
      <w:r w:rsidR="0026330D" w:rsidRPr="00EF2544">
        <w:rPr>
          <w:lang w:val="en-US"/>
        </w:rPr>
        <w:instrText xml:space="preserve"> HYPERLINK "https://doi.org/10.1080/14659891.2018.1562574" </w:instrText>
      </w:r>
      <w:r w:rsidR="0026330D">
        <w:fldChar w:fldCharType="separate"/>
      </w:r>
      <w:r w:rsidRPr="00BD3E2E">
        <w:rPr>
          <w:rStyle w:val="Hyperlink"/>
          <w:rFonts w:eastAsia="Times New Roman"/>
          <w:sz w:val="24"/>
          <w:szCs w:val="24"/>
          <w:lang w:val="en-US"/>
        </w:rPr>
        <w:t>https://doi.org/10.1080/14659891.2018.1562574</w:t>
      </w:r>
      <w:r w:rsidR="0026330D">
        <w:rPr>
          <w:rStyle w:val="Hyperlink"/>
          <w:rFonts w:eastAsia="Times New Roman"/>
          <w:sz w:val="24"/>
          <w:szCs w:val="24"/>
          <w:lang w:val="en-US"/>
        </w:rPr>
        <w:fldChar w:fldCharType="end"/>
      </w:r>
    </w:p>
    <w:p w14:paraId="185CFF5F" w14:textId="77777777" w:rsidR="00E36C7C" w:rsidRPr="00BD3E2E" w:rsidRDefault="00E36C7C" w:rsidP="00E36C7C">
      <w:pPr>
        <w:spacing w:after="0" w:line="360" w:lineRule="auto"/>
        <w:ind w:left="426" w:hanging="426"/>
        <w:rPr>
          <w:sz w:val="24"/>
          <w:szCs w:val="24"/>
          <w:lang w:val="pt-BR"/>
        </w:rPr>
      </w:pPr>
      <w:r w:rsidRPr="00BD3E2E">
        <w:rPr>
          <w:color w:val="000000"/>
          <w:sz w:val="24"/>
          <w:szCs w:val="24"/>
          <w:lang w:val="en-US"/>
        </w:rPr>
        <w:t xml:space="preserve">Souza, M. V. C., </w:t>
      </w:r>
      <w:proofErr w:type="spellStart"/>
      <w:r w:rsidRPr="00BD3E2E">
        <w:rPr>
          <w:color w:val="000000"/>
          <w:sz w:val="24"/>
          <w:szCs w:val="24"/>
          <w:lang w:val="en-US"/>
        </w:rPr>
        <w:t>Lemkuhl</w:t>
      </w:r>
      <w:proofErr w:type="spellEnd"/>
      <w:r w:rsidRPr="00BD3E2E">
        <w:rPr>
          <w:color w:val="000000"/>
          <w:sz w:val="24"/>
          <w:szCs w:val="24"/>
          <w:lang w:val="en-US"/>
        </w:rPr>
        <w:t xml:space="preserve">, I., and Bastos, J. L. (2015). </w:t>
      </w:r>
      <w:r w:rsidRPr="00BD3E2E">
        <w:rPr>
          <w:color w:val="000000"/>
          <w:sz w:val="24"/>
          <w:szCs w:val="24"/>
          <w:lang w:val="pt-BR"/>
        </w:rPr>
        <w:t xml:space="preserve">Discriminação e sofrimento psíquico de graduandos da Universidade Federal de Santa Catarina. </w:t>
      </w:r>
      <w:r w:rsidRPr="00BD3E2E">
        <w:rPr>
          <w:i/>
          <w:iCs/>
          <w:color w:val="000000"/>
          <w:sz w:val="24"/>
          <w:szCs w:val="24"/>
          <w:lang w:val="pt-BR"/>
        </w:rPr>
        <w:t>Revista Brasileira de Epidemiologia,18</w:t>
      </w:r>
      <w:r w:rsidRPr="00BD3E2E">
        <w:rPr>
          <w:color w:val="000000"/>
          <w:sz w:val="24"/>
          <w:szCs w:val="24"/>
          <w:lang w:val="pt-BR"/>
        </w:rPr>
        <w:t xml:space="preserve"> (3), 525-537. </w:t>
      </w:r>
      <w:r w:rsidR="0026330D">
        <w:fldChar w:fldCharType="begin"/>
      </w:r>
      <w:r w:rsidR="0026330D" w:rsidRPr="00EF2544">
        <w:rPr>
          <w:lang w:val="pt-BR"/>
        </w:rPr>
        <w:instrText xml:space="preserve"> HYPERLINK "https://doi.org/10.1590/1980-5497201500030001" </w:instrText>
      </w:r>
      <w:r w:rsidR="0026330D">
        <w:fldChar w:fldCharType="separate"/>
      </w:r>
      <w:r w:rsidRPr="00BD3E2E">
        <w:rPr>
          <w:rStyle w:val="Hyperlink"/>
          <w:color w:val="000000"/>
          <w:sz w:val="24"/>
          <w:szCs w:val="24"/>
          <w:lang w:val="pt-BR"/>
        </w:rPr>
        <w:t>https://doi.org/10.1590/1980-5497201500030001</w:t>
      </w:r>
      <w:r w:rsidR="0026330D">
        <w:rPr>
          <w:rStyle w:val="Hyperlink"/>
          <w:color w:val="000000"/>
          <w:sz w:val="24"/>
          <w:szCs w:val="24"/>
          <w:lang w:val="pt-BR"/>
        </w:rPr>
        <w:fldChar w:fldCharType="end"/>
      </w:r>
    </w:p>
    <w:p w14:paraId="0082C5A5" w14:textId="77777777" w:rsidR="00E36C7C" w:rsidRPr="00BD3E2E" w:rsidRDefault="00E36C7C" w:rsidP="00E36C7C">
      <w:pPr>
        <w:spacing w:after="0" w:line="360" w:lineRule="auto"/>
        <w:ind w:left="426" w:hanging="426"/>
        <w:rPr>
          <w:rFonts w:eastAsia="Times New Roman"/>
          <w:sz w:val="24"/>
          <w:szCs w:val="24"/>
          <w:lang w:val="en-US"/>
        </w:rPr>
      </w:pPr>
      <w:proofErr w:type="spellStart"/>
      <w:r w:rsidRPr="00E65098">
        <w:rPr>
          <w:rFonts w:eastAsia="Times New Roman"/>
          <w:sz w:val="24"/>
          <w:szCs w:val="24"/>
          <w:lang w:val="pt-BR"/>
        </w:rPr>
        <w:t>Spitzer</w:t>
      </w:r>
      <w:proofErr w:type="spellEnd"/>
      <w:r w:rsidRPr="00E65098">
        <w:rPr>
          <w:rFonts w:eastAsia="Times New Roman"/>
          <w:sz w:val="24"/>
          <w:szCs w:val="24"/>
          <w:lang w:val="pt-BR"/>
        </w:rPr>
        <w:t xml:space="preserve">, R. L., </w:t>
      </w:r>
      <w:proofErr w:type="spellStart"/>
      <w:r w:rsidRPr="00E65098">
        <w:rPr>
          <w:rFonts w:eastAsia="Times New Roman"/>
          <w:sz w:val="24"/>
          <w:szCs w:val="24"/>
          <w:lang w:val="pt-BR"/>
        </w:rPr>
        <w:t>Kroenke</w:t>
      </w:r>
      <w:proofErr w:type="spellEnd"/>
      <w:r w:rsidRPr="00E65098">
        <w:rPr>
          <w:rFonts w:eastAsia="Times New Roman"/>
          <w:sz w:val="24"/>
          <w:szCs w:val="24"/>
          <w:lang w:val="pt-BR"/>
        </w:rPr>
        <w:t xml:space="preserve">, K., Williams, J. B. W., &amp; </w:t>
      </w:r>
      <w:proofErr w:type="spellStart"/>
      <w:r w:rsidRPr="00E65098">
        <w:rPr>
          <w:rFonts w:eastAsia="Times New Roman"/>
          <w:sz w:val="24"/>
          <w:szCs w:val="24"/>
          <w:lang w:val="pt-BR"/>
        </w:rPr>
        <w:t>Löwe</w:t>
      </w:r>
      <w:proofErr w:type="spellEnd"/>
      <w:r w:rsidRPr="00E65098">
        <w:rPr>
          <w:rFonts w:eastAsia="Times New Roman"/>
          <w:sz w:val="24"/>
          <w:szCs w:val="24"/>
          <w:lang w:val="pt-BR"/>
        </w:rPr>
        <w:t xml:space="preserve">, B. (2006). </w:t>
      </w:r>
      <w:r w:rsidRPr="00BD3E2E">
        <w:rPr>
          <w:rFonts w:eastAsia="Times New Roman"/>
          <w:sz w:val="24"/>
          <w:szCs w:val="24"/>
          <w:lang w:val="en-US"/>
        </w:rPr>
        <w:t xml:space="preserve">A brief measure for assessing generalized anxiety disorder: The GAD-7. </w:t>
      </w:r>
      <w:r w:rsidRPr="00BD3E2E">
        <w:rPr>
          <w:rFonts w:eastAsia="Times New Roman"/>
          <w:i/>
          <w:sz w:val="24"/>
          <w:szCs w:val="24"/>
          <w:lang w:val="en-US"/>
        </w:rPr>
        <w:t>Archives of Internal Medicine</w:t>
      </w:r>
      <w:r w:rsidRPr="00BD3E2E">
        <w:rPr>
          <w:rFonts w:eastAsia="Times New Roman"/>
          <w:sz w:val="24"/>
          <w:szCs w:val="24"/>
          <w:lang w:val="en-US"/>
        </w:rPr>
        <w:t xml:space="preserve">, </w:t>
      </w:r>
      <w:r w:rsidRPr="00BD3E2E">
        <w:rPr>
          <w:rFonts w:eastAsia="Times New Roman"/>
          <w:i/>
          <w:iCs/>
          <w:sz w:val="24"/>
          <w:szCs w:val="24"/>
          <w:lang w:val="en-US"/>
        </w:rPr>
        <w:t>166</w:t>
      </w:r>
      <w:r w:rsidRPr="00BD3E2E">
        <w:rPr>
          <w:rFonts w:eastAsia="Times New Roman"/>
          <w:sz w:val="24"/>
          <w:szCs w:val="24"/>
          <w:lang w:val="en-US"/>
        </w:rPr>
        <w:t xml:space="preserve">(10), 1092–1097. </w:t>
      </w:r>
      <w:hyperlink r:id="rId10" w:history="1">
        <w:r w:rsidRPr="00BD3E2E">
          <w:rPr>
            <w:rStyle w:val="Hyperlink"/>
            <w:rFonts w:eastAsia="Times New Roman"/>
            <w:sz w:val="24"/>
            <w:szCs w:val="24"/>
            <w:lang w:val="en-US"/>
          </w:rPr>
          <w:t>https://doi.org/10.1001/archinte.166.10.1092</w:t>
        </w:r>
      </w:hyperlink>
    </w:p>
    <w:p w14:paraId="33E4E983" w14:textId="77777777" w:rsidR="00E36C7C" w:rsidRPr="00BD3E2E" w:rsidRDefault="00E36C7C" w:rsidP="00E36C7C">
      <w:pPr>
        <w:spacing w:after="0" w:line="360" w:lineRule="auto"/>
        <w:ind w:left="426" w:hanging="426"/>
        <w:rPr>
          <w:rFonts w:eastAsia="Times New Roman"/>
          <w:sz w:val="24"/>
          <w:szCs w:val="24"/>
          <w:lang w:val="en-US"/>
        </w:rPr>
      </w:pPr>
      <w:r w:rsidRPr="00BD3E2E">
        <w:rPr>
          <w:rFonts w:eastAsia="Times New Roman"/>
          <w:sz w:val="24"/>
          <w:szCs w:val="24"/>
          <w:lang w:val="en-US"/>
        </w:rPr>
        <w:t xml:space="preserve">Zhou, Y., </w:t>
      </w:r>
      <w:bookmarkStart w:id="3" w:name="_Hlk69476343"/>
      <w:r w:rsidRPr="00BD3E2E">
        <w:rPr>
          <w:rFonts w:eastAsia="Times New Roman"/>
          <w:sz w:val="24"/>
          <w:szCs w:val="24"/>
          <w:lang w:val="en-US"/>
        </w:rPr>
        <w:t xml:space="preserve">Xu, J., &amp; </w:t>
      </w:r>
      <w:proofErr w:type="spellStart"/>
      <w:r w:rsidRPr="00BD3E2E">
        <w:rPr>
          <w:rFonts w:eastAsia="Times New Roman"/>
          <w:sz w:val="24"/>
          <w:szCs w:val="24"/>
          <w:lang w:val="en-US"/>
        </w:rPr>
        <w:t>Rief</w:t>
      </w:r>
      <w:bookmarkEnd w:id="3"/>
      <w:proofErr w:type="spellEnd"/>
      <w:r w:rsidRPr="00BD3E2E">
        <w:rPr>
          <w:rFonts w:eastAsia="Times New Roman"/>
          <w:sz w:val="24"/>
          <w:szCs w:val="24"/>
          <w:lang w:val="en-US"/>
        </w:rPr>
        <w:t>, W. (2020). Are comparisons of mental disorders between Chinese and German students possible? An examination of measurement invariance for the PHQ-15, PHQ-</w:t>
      </w:r>
      <w:proofErr w:type="gramStart"/>
      <w:r w:rsidRPr="00BD3E2E">
        <w:rPr>
          <w:rFonts w:eastAsia="Times New Roman"/>
          <w:sz w:val="24"/>
          <w:szCs w:val="24"/>
          <w:lang w:val="en-US"/>
        </w:rPr>
        <w:t>9</w:t>
      </w:r>
      <w:proofErr w:type="gramEnd"/>
      <w:r w:rsidRPr="00BD3E2E">
        <w:rPr>
          <w:rFonts w:eastAsia="Times New Roman"/>
          <w:sz w:val="24"/>
          <w:szCs w:val="24"/>
          <w:lang w:val="en-US"/>
        </w:rPr>
        <w:t xml:space="preserve"> and GAD-7. </w:t>
      </w:r>
      <w:r w:rsidRPr="00BD3E2E">
        <w:rPr>
          <w:rFonts w:eastAsia="Times New Roman"/>
          <w:i/>
          <w:sz w:val="24"/>
          <w:szCs w:val="24"/>
          <w:lang w:val="en-US"/>
        </w:rPr>
        <w:t>BMC Psychiatry</w:t>
      </w:r>
      <w:r w:rsidRPr="00BD3E2E">
        <w:rPr>
          <w:rFonts w:eastAsia="Times New Roman"/>
          <w:sz w:val="24"/>
          <w:szCs w:val="24"/>
          <w:lang w:val="en-US"/>
        </w:rPr>
        <w:t xml:space="preserve">, 20(1), 1–11. </w:t>
      </w:r>
      <w:r w:rsidR="0026330D">
        <w:fldChar w:fldCharType="begin"/>
      </w:r>
      <w:r w:rsidR="0026330D" w:rsidRPr="00EF2544">
        <w:rPr>
          <w:lang w:val="en-US"/>
        </w:rPr>
        <w:instrText xml:space="preserve"> HYPERLINK "https://doi.org/10.1186/s12888-020-02859-8" </w:instrText>
      </w:r>
      <w:r w:rsidR="0026330D">
        <w:fldChar w:fldCharType="separate"/>
      </w:r>
      <w:r w:rsidRPr="00BD3E2E">
        <w:rPr>
          <w:rStyle w:val="Hyperlink"/>
          <w:rFonts w:eastAsia="Times New Roman"/>
          <w:sz w:val="24"/>
          <w:szCs w:val="24"/>
          <w:lang w:val="en-US"/>
        </w:rPr>
        <w:t>https://doi.org/10.1186/s12888-020-02859-8</w:t>
      </w:r>
      <w:r w:rsidR="0026330D">
        <w:rPr>
          <w:rStyle w:val="Hyperlink"/>
          <w:rFonts w:eastAsia="Times New Roman"/>
          <w:sz w:val="24"/>
          <w:szCs w:val="24"/>
          <w:lang w:val="en-US"/>
        </w:rPr>
        <w:fldChar w:fldCharType="end"/>
      </w:r>
    </w:p>
    <w:p w14:paraId="6FDF24A0" w14:textId="77777777" w:rsidR="00E36C7C" w:rsidRPr="00BD3E2E" w:rsidRDefault="00E36C7C" w:rsidP="00E36C7C">
      <w:pPr>
        <w:spacing w:after="0" w:line="360" w:lineRule="auto"/>
        <w:ind w:left="426" w:hanging="426"/>
        <w:rPr>
          <w:rFonts w:eastAsia="Times New Roman"/>
          <w:sz w:val="24"/>
          <w:szCs w:val="24"/>
        </w:rPr>
      </w:pPr>
      <w:r w:rsidRPr="00BD3E2E">
        <w:rPr>
          <w:rFonts w:eastAsia="Times New Roman"/>
          <w:sz w:val="24"/>
          <w:szCs w:val="24"/>
          <w:lang w:val="en-US"/>
        </w:rPr>
        <w:t xml:space="preserve">World Health Organization. (2017). </w:t>
      </w:r>
      <w:r w:rsidRPr="00BD3E2E">
        <w:rPr>
          <w:rFonts w:eastAsia="Times New Roman"/>
          <w:i/>
          <w:sz w:val="24"/>
          <w:szCs w:val="24"/>
          <w:lang w:val="en-US"/>
        </w:rPr>
        <w:t>Depression and other common mental disorders: Global health estimates</w:t>
      </w:r>
      <w:r w:rsidRPr="00BD3E2E">
        <w:rPr>
          <w:rFonts w:eastAsia="Times New Roman"/>
          <w:sz w:val="24"/>
          <w:szCs w:val="24"/>
          <w:lang w:val="en-US"/>
        </w:rPr>
        <w:t xml:space="preserve">. </w:t>
      </w:r>
      <w:proofErr w:type="spellStart"/>
      <w:r w:rsidRPr="00BD3E2E">
        <w:rPr>
          <w:rFonts w:eastAsia="Times New Roman"/>
          <w:sz w:val="24"/>
          <w:szCs w:val="24"/>
        </w:rPr>
        <w:t>World</w:t>
      </w:r>
      <w:proofErr w:type="spellEnd"/>
      <w:r w:rsidRPr="00BD3E2E">
        <w:rPr>
          <w:rFonts w:eastAsia="Times New Roman"/>
          <w:sz w:val="24"/>
          <w:szCs w:val="24"/>
        </w:rPr>
        <w:t xml:space="preserve"> </w:t>
      </w:r>
      <w:proofErr w:type="spellStart"/>
      <w:r w:rsidRPr="00BD3E2E">
        <w:rPr>
          <w:rFonts w:eastAsia="Times New Roman"/>
          <w:sz w:val="24"/>
          <w:szCs w:val="24"/>
        </w:rPr>
        <w:t>Health</w:t>
      </w:r>
      <w:proofErr w:type="spellEnd"/>
      <w:r w:rsidRPr="00BD3E2E">
        <w:rPr>
          <w:rFonts w:eastAsia="Times New Roman"/>
          <w:sz w:val="24"/>
          <w:szCs w:val="24"/>
        </w:rPr>
        <w:t xml:space="preserve"> </w:t>
      </w:r>
      <w:proofErr w:type="spellStart"/>
      <w:r w:rsidRPr="00BD3E2E">
        <w:rPr>
          <w:rFonts w:eastAsia="Times New Roman"/>
          <w:sz w:val="24"/>
          <w:szCs w:val="24"/>
        </w:rPr>
        <w:t>Organization</w:t>
      </w:r>
      <w:proofErr w:type="spellEnd"/>
      <w:r w:rsidRPr="00BD3E2E">
        <w:rPr>
          <w:rFonts w:eastAsia="Times New Roman"/>
          <w:sz w:val="24"/>
          <w:szCs w:val="24"/>
        </w:rPr>
        <w:t>. https://hdl.handle.net/10665/254610</w:t>
      </w:r>
    </w:p>
    <w:bookmarkEnd w:id="1"/>
    <w:p w14:paraId="052C94A2" w14:textId="77777777" w:rsidR="00B902F9" w:rsidRPr="00BD3E2E" w:rsidRDefault="00B902F9" w:rsidP="007B786A">
      <w:pPr>
        <w:spacing w:after="0" w:line="360" w:lineRule="auto"/>
        <w:rPr>
          <w:sz w:val="24"/>
          <w:szCs w:val="24"/>
          <w:lang w:val="de-DE"/>
        </w:rPr>
      </w:pPr>
    </w:p>
    <w:sectPr w:rsidR="00B902F9" w:rsidRPr="00BD3E2E" w:rsidSect="00BD3E2E">
      <w:headerReference w:type="even" r:id="rId11"/>
      <w:footerReference w:type="default" r:id="rId12"/>
      <w:pgSz w:w="9639" w:h="13608"/>
      <w:pgMar w:top="1418" w:right="1418" w:bottom="1418" w:left="1418" w:header="709" w:footer="527" w:gutter="0"/>
      <w:pgNumType w:start="3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3D85C" w14:textId="77777777" w:rsidR="0026330D" w:rsidRDefault="0026330D" w:rsidP="00203A3D">
      <w:pPr>
        <w:spacing w:after="0" w:line="240" w:lineRule="auto"/>
      </w:pPr>
      <w:r>
        <w:separator/>
      </w:r>
    </w:p>
  </w:endnote>
  <w:endnote w:type="continuationSeparator" w:id="0">
    <w:p w14:paraId="3B3BAC0C" w14:textId="77777777" w:rsidR="0026330D" w:rsidRDefault="0026330D" w:rsidP="00203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391B" w14:textId="77777777" w:rsidR="00D44A97" w:rsidRPr="001B3398" w:rsidRDefault="00D44A97" w:rsidP="001B3398">
    <w:pPr>
      <w:pStyle w:val="Rodap"/>
      <w:tabs>
        <w:tab w:val="clear" w:pos="4252"/>
        <w:tab w:val="clear" w:pos="8504"/>
        <w:tab w:val="right" w:pos="7371"/>
      </w:tabs>
      <w:jc w:val="center"/>
      <w:rPr>
        <w:rFonts w:ascii="Trebuchet MS" w:hAnsi="Trebuchet MS"/>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25D9E" w14:textId="77777777" w:rsidR="0026330D" w:rsidRPr="008C65C5" w:rsidRDefault="0026330D" w:rsidP="00203A3D">
      <w:pPr>
        <w:spacing w:after="0" w:line="240" w:lineRule="auto"/>
        <w:rPr>
          <w:sz w:val="16"/>
          <w:szCs w:val="16"/>
        </w:rPr>
      </w:pPr>
      <w:r>
        <w:rPr>
          <w:sz w:val="16"/>
          <w:szCs w:val="16"/>
        </w:rPr>
        <w:t>_</w:t>
      </w:r>
      <w:r w:rsidRPr="008C65C5">
        <w:rPr>
          <w:sz w:val="16"/>
          <w:szCs w:val="16"/>
        </w:rPr>
        <w:t>______</w:t>
      </w:r>
      <w:r>
        <w:rPr>
          <w:sz w:val="16"/>
          <w:szCs w:val="16"/>
        </w:rPr>
        <w:t>___</w:t>
      </w:r>
      <w:r w:rsidRPr="008C65C5">
        <w:rPr>
          <w:sz w:val="16"/>
          <w:szCs w:val="16"/>
        </w:rPr>
        <w:t>___</w:t>
      </w:r>
    </w:p>
    <w:p w14:paraId="3C2E46B9" w14:textId="77777777" w:rsidR="0026330D" w:rsidRPr="008C65C5" w:rsidRDefault="0026330D" w:rsidP="00203A3D">
      <w:pPr>
        <w:spacing w:after="0" w:line="240" w:lineRule="auto"/>
        <w:rPr>
          <w:sz w:val="16"/>
          <w:szCs w:val="16"/>
        </w:rPr>
      </w:pPr>
    </w:p>
  </w:footnote>
  <w:footnote w:type="continuationSeparator" w:id="0">
    <w:p w14:paraId="21030DA8" w14:textId="77777777" w:rsidR="0026330D" w:rsidRPr="008C65C5" w:rsidRDefault="0026330D" w:rsidP="00C366D3">
      <w:pPr>
        <w:spacing w:after="0" w:line="240" w:lineRule="auto"/>
        <w:rPr>
          <w:sz w:val="16"/>
          <w:szCs w:val="16"/>
        </w:rPr>
      </w:pPr>
      <w:r>
        <w:rPr>
          <w:sz w:val="16"/>
          <w:szCs w:val="16"/>
        </w:rPr>
        <w:t>_</w:t>
      </w:r>
      <w:r w:rsidRPr="008C65C5">
        <w:rPr>
          <w:sz w:val="16"/>
          <w:szCs w:val="16"/>
        </w:rPr>
        <w:t>______</w:t>
      </w:r>
      <w:r>
        <w:rPr>
          <w:sz w:val="16"/>
          <w:szCs w:val="16"/>
        </w:rPr>
        <w:t>___</w:t>
      </w:r>
      <w:r w:rsidRPr="008C65C5">
        <w:rPr>
          <w:sz w:val="16"/>
          <w:szCs w:val="16"/>
        </w:rPr>
        <w:t>___</w:t>
      </w:r>
    </w:p>
    <w:p w14:paraId="0D2FAB0B" w14:textId="77777777" w:rsidR="0026330D" w:rsidRPr="00C366D3" w:rsidRDefault="0026330D" w:rsidP="00C366D3">
      <w:pPr>
        <w:pStyle w:val="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A8E6" w14:textId="37791C75" w:rsidR="00D44A97" w:rsidRPr="000A183E" w:rsidRDefault="00D44A97" w:rsidP="00C13E1B">
    <w:pPr>
      <w:pStyle w:val="Rodap"/>
      <w:tabs>
        <w:tab w:val="clear" w:pos="4252"/>
        <w:tab w:val="clear" w:pos="8504"/>
        <w:tab w:val="right" w:pos="7371"/>
      </w:tabs>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7D8"/>
    <w:multiLevelType w:val="hybridMultilevel"/>
    <w:tmpl w:val="C36CB00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58666C"/>
    <w:multiLevelType w:val="hybridMultilevel"/>
    <w:tmpl w:val="12EADEFC"/>
    <w:lvl w:ilvl="0" w:tplc="D304B8CC">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F0F30E2"/>
    <w:multiLevelType w:val="hybridMultilevel"/>
    <w:tmpl w:val="2D10387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6F317237"/>
    <w:multiLevelType w:val="hybridMultilevel"/>
    <w:tmpl w:val="CE94980C"/>
    <w:lvl w:ilvl="0" w:tplc="D248ACE4">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07F7FA7"/>
    <w:multiLevelType w:val="hybridMultilevel"/>
    <w:tmpl w:val="A9021B18"/>
    <w:lvl w:ilvl="0" w:tplc="549EB126">
      <w:start w:val="1"/>
      <w:numFmt w:val="bullet"/>
      <w:pStyle w:val="PSIVieta"/>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B1"/>
    <w:rsid w:val="000002D2"/>
    <w:rsid w:val="000106B1"/>
    <w:rsid w:val="0001579F"/>
    <w:rsid w:val="000477C2"/>
    <w:rsid w:val="00054A12"/>
    <w:rsid w:val="00076292"/>
    <w:rsid w:val="000769BF"/>
    <w:rsid w:val="00091002"/>
    <w:rsid w:val="0009710E"/>
    <w:rsid w:val="000A183E"/>
    <w:rsid w:val="000C5030"/>
    <w:rsid w:val="000C5558"/>
    <w:rsid w:val="000D6809"/>
    <w:rsid w:val="000E7DA6"/>
    <w:rsid w:val="00107A0B"/>
    <w:rsid w:val="00130B29"/>
    <w:rsid w:val="0014669D"/>
    <w:rsid w:val="001751F4"/>
    <w:rsid w:val="00175F4C"/>
    <w:rsid w:val="00184EF2"/>
    <w:rsid w:val="00192612"/>
    <w:rsid w:val="0019454F"/>
    <w:rsid w:val="001B3398"/>
    <w:rsid w:val="00203A3D"/>
    <w:rsid w:val="00223E66"/>
    <w:rsid w:val="00226347"/>
    <w:rsid w:val="00230C57"/>
    <w:rsid w:val="002321B9"/>
    <w:rsid w:val="0026326D"/>
    <w:rsid w:val="0026330D"/>
    <w:rsid w:val="002A1684"/>
    <w:rsid w:val="002B13A3"/>
    <w:rsid w:val="002D1B13"/>
    <w:rsid w:val="002D3A5B"/>
    <w:rsid w:val="002E105A"/>
    <w:rsid w:val="002E2190"/>
    <w:rsid w:val="002E3635"/>
    <w:rsid w:val="002F0D2A"/>
    <w:rsid w:val="00307E8A"/>
    <w:rsid w:val="003107BD"/>
    <w:rsid w:val="0031114A"/>
    <w:rsid w:val="00347B1F"/>
    <w:rsid w:val="0035035A"/>
    <w:rsid w:val="00351970"/>
    <w:rsid w:val="00374DD4"/>
    <w:rsid w:val="003A5FC7"/>
    <w:rsid w:val="003C4A71"/>
    <w:rsid w:val="003C4B47"/>
    <w:rsid w:val="003C7215"/>
    <w:rsid w:val="003E4CC8"/>
    <w:rsid w:val="003F12F4"/>
    <w:rsid w:val="003F2DE7"/>
    <w:rsid w:val="00421781"/>
    <w:rsid w:val="00451D0A"/>
    <w:rsid w:val="004613CD"/>
    <w:rsid w:val="00463621"/>
    <w:rsid w:val="004705F5"/>
    <w:rsid w:val="00480F0A"/>
    <w:rsid w:val="00495717"/>
    <w:rsid w:val="004B0E6B"/>
    <w:rsid w:val="004C6BDB"/>
    <w:rsid w:val="004D0C7B"/>
    <w:rsid w:val="004D0D1B"/>
    <w:rsid w:val="004D2C81"/>
    <w:rsid w:val="004E6BEC"/>
    <w:rsid w:val="004F5145"/>
    <w:rsid w:val="00502E85"/>
    <w:rsid w:val="00504722"/>
    <w:rsid w:val="00504BB8"/>
    <w:rsid w:val="00506836"/>
    <w:rsid w:val="00531668"/>
    <w:rsid w:val="00545830"/>
    <w:rsid w:val="0055798E"/>
    <w:rsid w:val="00582E07"/>
    <w:rsid w:val="005C187F"/>
    <w:rsid w:val="005F1DED"/>
    <w:rsid w:val="005F5667"/>
    <w:rsid w:val="00606606"/>
    <w:rsid w:val="00650805"/>
    <w:rsid w:val="00654E93"/>
    <w:rsid w:val="006568DE"/>
    <w:rsid w:val="0066765A"/>
    <w:rsid w:val="006A7E45"/>
    <w:rsid w:val="006B14DD"/>
    <w:rsid w:val="006E2111"/>
    <w:rsid w:val="006E617E"/>
    <w:rsid w:val="00710186"/>
    <w:rsid w:val="007301B0"/>
    <w:rsid w:val="00741C01"/>
    <w:rsid w:val="007457E3"/>
    <w:rsid w:val="0074687A"/>
    <w:rsid w:val="00753FE2"/>
    <w:rsid w:val="00766C75"/>
    <w:rsid w:val="00777BD7"/>
    <w:rsid w:val="007A3AB1"/>
    <w:rsid w:val="007A542E"/>
    <w:rsid w:val="007B786A"/>
    <w:rsid w:val="007C00EC"/>
    <w:rsid w:val="007D0615"/>
    <w:rsid w:val="007D2F79"/>
    <w:rsid w:val="007D3F09"/>
    <w:rsid w:val="007F66CD"/>
    <w:rsid w:val="00802762"/>
    <w:rsid w:val="00804648"/>
    <w:rsid w:val="00812D45"/>
    <w:rsid w:val="00816ADB"/>
    <w:rsid w:val="008360A8"/>
    <w:rsid w:val="008A61F4"/>
    <w:rsid w:val="008C0C18"/>
    <w:rsid w:val="008C65C5"/>
    <w:rsid w:val="008D1483"/>
    <w:rsid w:val="00916ECF"/>
    <w:rsid w:val="00916FD5"/>
    <w:rsid w:val="009421CF"/>
    <w:rsid w:val="00975CFA"/>
    <w:rsid w:val="00977678"/>
    <w:rsid w:val="00987B96"/>
    <w:rsid w:val="009B7733"/>
    <w:rsid w:val="009C3440"/>
    <w:rsid w:val="009C3841"/>
    <w:rsid w:val="009D3FC8"/>
    <w:rsid w:val="009D67D2"/>
    <w:rsid w:val="009F6A47"/>
    <w:rsid w:val="00A121C3"/>
    <w:rsid w:val="00A21058"/>
    <w:rsid w:val="00A44FA0"/>
    <w:rsid w:val="00A767DA"/>
    <w:rsid w:val="00A856C7"/>
    <w:rsid w:val="00AC7503"/>
    <w:rsid w:val="00AD0887"/>
    <w:rsid w:val="00AD5CAA"/>
    <w:rsid w:val="00AD6D67"/>
    <w:rsid w:val="00AE1EA9"/>
    <w:rsid w:val="00AF48EF"/>
    <w:rsid w:val="00B059FF"/>
    <w:rsid w:val="00B1452B"/>
    <w:rsid w:val="00B307DB"/>
    <w:rsid w:val="00B46D93"/>
    <w:rsid w:val="00B50B96"/>
    <w:rsid w:val="00B54A45"/>
    <w:rsid w:val="00B5550D"/>
    <w:rsid w:val="00B65944"/>
    <w:rsid w:val="00B72205"/>
    <w:rsid w:val="00B81FF9"/>
    <w:rsid w:val="00B861FD"/>
    <w:rsid w:val="00B902F9"/>
    <w:rsid w:val="00B90FFE"/>
    <w:rsid w:val="00B95CFA"/>
    <w:rsid w:val="00B97A74"/>
    <w:rsid w:val="00BB68EC"/>
    <w:rsid w:val="00BC4032"/>
    <w:rsid w:val="00BD3E2E"/>
    <w:rsid w:val="00BE43BE"/>
    <w:rsid w:val="00BE4C33"/>
    <w:rsid w:val="00C0060A"/>
    <w:rsid w:val="00C13E1B"/>
    <w:rsid w:val="00C358D5"/>
    <w:rsid w:val="00C366D3"/>
    <w:rsid w:val="00C44C15"/>
    <w:rsid w:val="00C63A1A"/>
    <w:rsid w:val="00C66180"/>
    <w:rsid w:val="00C8273F"/>
    <w:rsid w:val="00C87BB8"/>
    <w:rsid w:val="00C9197B"/>
    <w:rsid w:val="00C95D6F"/>
    <w:rsid w:val="00C972CD"/>
    <w:rsid w:val="00CC1D8D"/>
    <w:rsid w:val="00CC288B"/>
    <w:rsid w:val="00CD5720"/>
    <w:rsid w:val="00CF72A6"/>
    <w:rsid w:val="00D1253D"/>
    <w:rsid w:val="00D25835"/>
    <w:rsid w:val="00D44A97"/>
    <w:rsid w:val="00D9076E"/>
    <w:rsid w:val="00D917CC"/>
    <w:rsid w:val="00DC2A18"/>
    <w:rsid w:val="00E1264D"/>
    <w:rsid w:val="00E22711"/>
    <w:rsid w:val="00E36C7C"/>
    <w:rsid w:val="00E45BC1"/>
    <w:rsid w:val="00E473AB"/>
    <w:rsid w:val="00E5290F"/>
    <w:rsid w:val="00E64729"/>
    <w:rsid w:val="00E65098"/>
    <w:rsid w:val="00E843FC"/>
    <w:rsid w:val="00E867E3"/>
    <w:rsid w:val="00E94C35"/>
    <w:rsid w:val="00E96C6A"/>
    <w:rsid w:val="00EB21D6"/>
    <w:rsid w:val="00EC71AE"/>
    <w:rsid w:val="00EE636C"/>
    <w:rsid w:val="00EF2004"/>
    <w:rsid w:val="00EF2544"/>
    <w:rsid w:val="00EF3443"/>
    <w:rsid w:val="00F262C5"/>
    <w:rsid w:val="00F63523"/>
    <w:rsid w:val="00F653AE"/>
    <w:rsid w:val="00FA29B0"/>
    <w:rsid w:val="00FA2CB1"/>
    <w:rsid w:val="00FB5874"/>
    <w:rsid w:val="00FC026B"/>
    <w:rsid w:val="00FC78FC"/>
    <w:rsid w:val="00FD6E30"/>
    <w:rsid w:val="00FE41DB"/>
    <w:rsid w:val="00FE65FD"/>
    <w:rsid w:val="00FF1EA5"/>
    <w:rsid w:val="00FF2A9C"/>
    <w:rsid w:val="00FF3CA3"/>
    <w:rsid w:val="00FF3F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5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1C3"/>
    <w:pPr>
      <w:spacing w:after="200" w:line="240" w:lineRule="exact"/>
      <w:jc w:val="both"/>
    </w:pPr>
    <w:rPr>
      <w:rFonts w:ascii="Times New Roman" w:hAnsi="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7A3AB1"/>
    <w:rPr>
      <w:color w:val="0000FF"/>
      <w:u w:val="single"/>
    </w:rPr>
  </w:style>
  <w:style w:type="paragraph" w:styleId="Cabealho">
    <w:name w:val="header"/>
    <w:basedOn w:val="Normal"/>
    <w:link w:val="CabealhoChar"/>
    <w:uiPriority w:val="99"/>
    <w:unhideWhenUsed/>
    <w:rsid w:val="00203A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3A3D"/>
  </w:style>
  <w:style w:type="paragraph" w:styleId="Rodap">
    <w:name w:val="footer"/>
    <w:basedOn w:val="Normal"/>
    <w:link w:val="RodapChar"/>
    <w:uiPriority w:val="99"/>
    <w:unhideWhenUsed/>
    <w:rsid w:val="00203A3D"/>
    <w:pPr>
      <w:tabs>
        <w:tab w:val="center" w:pos="4252"/>
        <w:tab w:val="right" w:pos="8504"/>
      </w:tabs>
      <w:spacing w:after="0" w:line="240" w:lineRule="auto"/>
    </w:pPr>
  </w:style>
  <w:style w:type="character" w:customStyle="1" w:styleId="RodapChar">
    <w:name w:val="Rodapé Char"/>
    <w:basedOn w:val="Fontepargpadro"/>
    <w:link w:val="Rodap"/>
    <w:uiPriority w:val="99"/>
    <w:rsid w:val="00203A3D"/>
  </w:style>
  <w:style w:type="paragraph" w:styleId="NormalWeb">
    <w:name w:val="Normal (Web)"/>
    <w:basedOn w:val="Normal"/>
    <w:uiPriority w:val="99"/>
    <w:unhideWhenUsed/>
    <w:rsid w:val="00203A3D"/>
    <w:pPr>
      <w:spacing w:before="100" w:beforeAutospacing="1" w:after="100" w:afterAutospacing="1" w:line="240" w:lineRule="auto"/>
    </w:pPr>
    <w:rPr>
      <w:rFonts w:eastAsia="Times New Roman"/>
      <w:sz w:val="24"/>
      <w:szCs w:val="24"/>
      <w:lang w:eastAsia="es-ES"/>
    </w:rPr>
  </w:style>
  <w:style w:type="paragraph" w:styleId="Textodebalo">
    <w:name w:val="Balloon Text"/>
    <w:basedOn w:val="Normal"/>
    <w:link w:val="TextodebaloChar"/>
    <w:uiPriority w:val="99"/>
    <w:semiHidden/>
    <w:unhideWhenUsed/>
    <w:rsid w:val="000E7DA6"/>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0E7DA6"/>
    <w:rPr>
      <w:rFonts w:ascii="Tahoma" w:hAnsi="Tahoma" w:cs="Tahoma"/>
      <w:sz w:val="16"/>
      <w:szCs w:val="16"/>
      <w:lang w:eastAsia="en-US"/>
    </w:rPr>
  </w:style>
  <w:style w:type="paragraph" w:styleId="Textodenotadefim">
    <w:name w:val="endnote text"/>
    <w:basedOn w:val="Normal"/>
    <w:link w:val="TextodenotadefimChar"/>
    <w:uiPriority w:val="99"/>
    <w:semiHidden/>
    <w:unhideWhenUsed/>
    <w:rsid w:val="008C65C5"/>
    <w:rPr>
      <w:sz w:val="20"/>
      <w:szCs w:val="20"/>
    </w:rPr>
  </w:style>
  <w:style w:type="character" w:customStyle="1" w:styleId="TextodenotadefimChar">
    <w:name w:val="Texto de nota de fim Char"/>
    <w:link w:val="Textodenotadefim"/>
    <w:uiPriority w:val="99"/>
    <w:semiHidden/>
    <w:rsid w:val="008C65C5"/>
    <w:rPr>
      <w:lang w:eastAsia="en-US"/>
    </w:rPr>
  </w:style>
  <w:style w:type="character" w:styleId="Refdenotadefim">
    <w:name w:val="endnote reference"/>
    <w:uiPriority w:val="99"/>
    <w:semiHidden/>
    <w:unhideWhenUsed/>
    <w:rsid w:val="008C65C5"/>
    <w:rPr>
      <w:vertAlign w:val="superscript"/>
    </w:rPr>
  </w:style>
  <w:style w:type="paragraph" w:styleId="Textodenotaderodap">
    <w:name w:val="footnote text"/>
    <w:basedOn w:val="Normal"/>
    <w:link w:val="TextodenotaderodapChar"/>
    <w:uiPriority w:val="99"/>
    <w:semiHidden/>
    <w:unhideWhenUsed/>
    <w:rsid w:val="008C65C5"/>
    <w:rPr>
      <w:sz w:val="20"/>
      <w:szCs w:val="20"/>
    </w:rPr>
  </w:style>
  <w:style w:type="character" w:customStyle="1" w:styleId="TextodenotaderodapChar">
    <w:name w:val="Texto de nota de rodapé Char"/>
    <w:link w:val="Textodenotaderodap"/>
    <w:uiPriority w:val="99"/>
    <w:semiHidden/>
    <w:rsid w:val="008C65C5"/>
    <w:rPr>
      <w:lang w:eastAsia="en-US"/>
    </w:rPr>
  </w:style>
  <w:style w:type="character" w:styleId="Refdenotaderodap">
    <w:name w:val="footnote reference"/>
    <w:uiPriority w:val="99"/>
    <w:semiHidden/>
    <w:unhideWhenUsed/>
    <w:rsid w:val="008C65C5"/>
    <w:rPr>
      <w:vertAlign w:val="superscript"/>
    </w:rPr>
  </w:style>
  <w:style w:type="paragraph" w:customStyle="1" w:styleId="Ttulooriginal">
    <w:name w:val="Título original"/>
    <w:basedOn w:val="Normal"/>
    <w:qFormat/>
    <w:rsid w:val="00816ADB"/>
    <w:pPr>
      <w:tabs>
        <w:tab w:val="left" w:pos="6521"/>
      </w:tabs>
      <w:autoSpaceDE w:val="0"/>
      <w:autoSpaceDN w:val="0"/>
      <w:adjustRightInd w:val="0"/>
      <w:spacing w:before="300" w:line="240" w:lineRule="auto"/>
    </w:pPr>
    <w:rPr>
      <w:color w:val="252525"/>
      <w:sz w:val="26"/>
      <w:szCs w:val="26"/>
    </w:rPr>
  </w:style>
  <w:style w:type="paragraph" w:customStyle="1" w:styleId="Autores">
    <w:name w:val="Autores"/>
    <w:basedOn w:val="Normal"/>
    <w:qFormat/>
    <w:rsid w:val="00816ADB"/>
    <w:pPr>
      <w:tabs>
        <w:tab w:val="left" w:pos="5384"/>
      </w:tabs>
      <w:autoSpaceDE w:val="0"/>
      <w:autoSpaceDN w:val="0"/>
      <w:adjustRightInd w:val="0"/>
      <w:spacing w:after="400" w:line="240" w:lineRule="auto"/>
    </w:pPr>
    <w:rPr>
      <w:bCs/>
      <w:color w:val="252525"/>
      <w:sz w:val="20"/>
      <w:szCs w:val="20"/>
    </w:rPr>
  </w:style>
  <w:style w:type="paragraph" w:customStyle="1" w:styleId="Fechas">
    <w:name w:val="Fechas"/>
    <w:basedOn w:val="Normal"/>
    <w:qFormat/>
    <w:rsid w:val="00816ADB"/>
    <w:pPr>
      <w:autoSpaceDE w:val="0"/>
      <w:autoSpaceDN w:val="0"/>
      <w:adjustRightInd w:val="0"/>
      <w:spacing w:line="240" w:lineRule="auto"/>
    </w:pPr>
    <w:rPr>
      <w:color w:val="252525"/>
      <w:sz w:val="14"/>
      <w:szCs w:val="14"/>
    </w:rPr>
  </w:style>
  <w:style w:type="paragraph" w:customStyle="1" w:styleId="Resumen">
    <w:name w:val="Resumen"/>
    <w:aliases w:val="abstract"/>
    <w:basedOn w:val="Normal"/>
    <w:qFormat/>
    <w:rsid w:val="00B5550D"/>
    <w:pPr>
      <w:autoSpaceDE w:val="0"/>
      <w:autoSpaceDN w:val="0"/>
      <w:adjustRightInd w:val="0"/>
      <w:spacing w:after="0" w:line="200" w:lineRule="exact"/>
    </w:pPr>
    <w:rPr>
      <w:bCs/>
      <w:color w:val="252525"/>
      <w:sz w:val="18"/>
      <w:szCs w:val="18"/>
    </w:rPr>
  </w:style>
  <w:style w:type="paragraph" w:customStyle="1" w:styleId="Palabrasclave">
    <w:name w:val="Palabras clave"/>
    <w:aliases w:val="keywords"/>
    <w:basedOn w:val="Resumen"/>
    <w:qFormat/>
    <w:rsid w:val="00B5550D"/>
    <w:pPr>
      <w:spacing w:after="400"/>
    </w:pPr>
  </w:style>
  <w:style w:type="paragraph" w:customStyle="1" w:styleId="Ttuloeninglstraducido">
    <w:name w:val="Título en inglés/traducido"/>
    <w:basedOn w:val="Normal"/>
    <w:qFormat/>
    <w:rsid w:val="00816ADB"/>
    <w:pPr>
      <w:autoSpaceDE w:val="0"/>
      <w:autoSpaceDN w:val="0"/>
      <w:adjustRightInd w:val="0"/>
      <w:spacing w:line="240" w:lineRule="auto"/>
    </w:pPr>
    <w:rPr>
      <w:color w:val="252525"/>
      <w:sz w:val="24"/>
      <w:szCs w:val="24"/>
      <w:lang w:val="en-US"/>
    </w:rPr>
  </w:style>
  <w:style w:type="paragraph" w:customStyle="1" w:styleId="Sumario">
    <w:name w:val="Sumario"/>
    <w:basedOn w:val="Normal"/>
    <w:qFormat/>
    <w:rsid w:val="00B5550D"/>
    <w:pPr>
      <w:autoSpaceDE w:val="0"/>
      <w:autoSpaceDN w:val="0"/>
      <w:adjustRightInd w:val="0"/>
      <w:spacing w:line="200" w:lineRule="exact"/>
    </w:pPr>
    <w:rPr>
      <w:bCs/>
      <w:color w:val="252525"/>
      <w:sz w:val="18"/>
      <w:szCs w:val="18"/>
    </w:rPr>
  </w:style>
  <w:style w:type="paragraph" w:customStyle="1" w:styleId="Comocitar">
    <w:name w:val="Como citar"/>
    <w:basedOn w:val="Normal"/>
    <w:qFormat/>
    <w:rsid w:val="00B5550D"/>
    <w:pPr>
      <w:autoSpaceDE w:val="0"/>
      <w:autoSpaceDN w:val="0"/>
      <w:adjustRightInd w:val="0"/>
      <w:spacing w:line="240" w:lineRule="auto"/>
    </w:pPr>
    <w:rPr>
      <w:color w:val="252525"/>
      <w:sz w:val="18"/>
      <w:szCs w:val="18"/>
    </w:rPr>
  </w:style>
  <w:style w:type="paragraph" w:customStyle="1" w:styleId="Epigrafe1ernivel">
    <w:name w:val="Epigrafe 1er nivel"/>
    <w:basedOn w:val="NormalWeb"/>
    <w:uiPriority w:val="99"/>
    <w:qFormat/>
    <w:rsid w:val="00AF48EF"/>
    <w:pPr>
      <w:spacing w:before="480" w:beforeAutospacing="0" w:after="240" w:afterAutospacing="0"/>
    </w:pPr>
    <w:rPr>
      <w:b/>
      <w:sz w:val="22"/>
      <w:szCs w:val="22"/>
      <w:lang w:val="de-DE"/>
    </w:rPr>
  </w:style>
  <w:style w:type="paragraph" w:customStyle="1" w:styleId="Primerparrafo">
    <w:name w:val="Primer parrafo"/>
    <w:basedOn w:val="Galerada-parrafos"/>
    <w:uiPriority w:val="99"/>
    <w:qFormat/>
    <w:rsid w:val="00606606"/>
    <w:pPr>
      <w:spacing w:line="240" w:lineRule="exact"/>
      <w:ind w:firstLine="0"/>
    </w:pPr>
  </w:style>
  <w:style w:type="paragraph" w:customStyle="1" w:styleId="Galerada-parrafos">
    <w:name w:val="Galerada-parrafos"/>
    <w:basedOn w:val="NormalWeb"/>
    <w:uiPriority w:val="99"/>
    <w:qFormat/>
    <w:rsid w:val="00A121C3"/>
    <w:pPr>
      <w:spacing w:before="0" w:beforeAutospacing="0" w:after="0" w:afterAutospacing="0"/>
      <w:ind w:firstLine="284"/>
    </w:pPr>
    <w:rPr>
      <w:color w:val="000000"/>
      <w:sz w:val="22"/>
      <w:szCs w:val="22"/>
    </w:rPr>
  </w:style>
  <w:style w:type="paragraph" w:customStyle="1" w:styleId="Estilo2">
    <w:name w:val="Estilo2"/>
    <w:basedOn w:val="NormalWeb"/>
    <w:rsid w:val="00A121C3"/>
    <w:pPr>
      <w:spacing w:before="200" w:beforeAutospacing="0" w:after="200" w:afterAutospacing="0"/>
    </w:pPr>
    <w:rPr>
      <w:b/>
      <w:sz w:val="22"/>
      <w:szCs w:val="22"/>
      <w:lang w:val="de-DE"/>
    </w:rPr>
  </w:style>
  <w:style w:type="paragraph" w:customStyle="1" w:styleId="Epigrafe2nivel">
    <w:name w:val="Epigrafe 2nivel"/>
    <w:basedOn w:val="Estilo2"/>
    <w:uiPriority w:val="99"/>
    <w:qFormat/>
    <w:rsid w:val="00AF48EF"/>
    <w:pPr>
      <w:spacing w:before="240" w:after="240"/>
    </w:pPr>
  </w:style>
  <w:style w:type="paragraph" w:customStyle="1" w:styleId="Piedefiguras">
    <w:name w:val="Pie de figuras"/>
    <w:basedOn w:val="Normal"/>
    <w:uiPriority w:val="99"/>
    <w:qFormat/>
    <w:rsid w:val="00A121C3"/>
    <w:pPr>
      <w:spacing w:after="400" w:line="240" w:lineRule="auto"/>
      <w:jc w:val="center"/>
    </w:pPr>
    <w:rPr>
      <w:sz w:val="20"/>
      <w:szCs w:val="20"/>
      <w:lang w:val="de-DE"/>
    </w:rPr>
  </w:style>
  <w:style w:type="paragraph" w:customStyle="1" w:styleId="Pietablas">
    <w:name w:val="Pie tablas"/>
    <w:aliases w:val="cuadros"/>
    <w:basedOn w:val="Normal"/>
    <w:uiPriority w:val="99"/>
    <w:qFormat/>
    <w:rsid w:val="00A121C3"/>
    <w:pPr>
      <w:spacing w:before="400"/>
      <w:jc w:val="center"/>
    </w:pPr>
    <w:rPr>
      <w:sz w:val="20"/>
      <w:szCs w:val="20"/>
    </w:rPr>
  </w:style>
  <w:style w:type="paragraph" w:customStyle="1" w:styleId="Notasalpie">
    <w:name w:val="Notas al pie"/>
    <w:basedOn w:val="Textodenotaderodap"/>
    <w:uiPriority w:val="99"/>
    <w:qFormat/>
    <w:rsid w:val="005F1DED"/>
    <w:pPr>
      <w:spacing w:after="0" w:line="240" w:lineRule="auto"/>
      <w:ind w:left="284" w:hanging="284"/>
    </w:pPr>
    <w:rPr>
      <w:sz w:val="16"/>
      <w:szCs w:val="16"/>
    </w:rPr>
  </w:style>
  <w:style w:type="paragraph" w:customStyle="1" w:styleId="Referenciasbibliogrficas">
    <w:name w:val="Referencias bibliográficas"/>
    <w:basedOn w:val="Normal"/>
    <w:uiPriority w:val="99"/>
    <w:qFormat/>
    <w:rsid w:val="005F1DED"/>
    <w:pPr>
      <w:tabs>
        <w:tab w:val="left" w:pos="2730"/>
      </w:tabs>
      <w:spacing w:after="0" w:line="240" w:lineRule="auto"/>
      <w:ind w:left="284" w:hanging="284"/>
    </w:pPr>
    <w:rPr>
      <w:sz w:val="20"/>
      <w:szCs w:val="20"/>
      <w:lang w:val="de-DE"/>
    </w:rPr>
  </w:style>
  <w:style w:type="paragraph" w:customStyle="1" w:styleId="PSINORMAL">
    <w:name w:val="PSI_NORMAL"/>
    <w:basedOn w:val="Corpodetexto"/>
    <w:link w:val="PSINORMALCar"/>
    <w:qFormat/>
    <w:rsid w:val="00B902F9"/>
    <w:pPr>
      <w:spacing w:after="0" w:line="240" w:lineRule="auto"/>
      <w:ind w:firstLine="567"/>
    </w:pPr>
    <w:rPr>
      <w:rFonts w:eastAsia="Times New Roman"/>
      <w:sz w:val="24"/>
      <w:lang w:val="es-ES_tradnl" w:eastAsia="x-none"/>
    </w:rPr>
  </w:style>
  <w:style w:type="character" w:customStyle="1" w:styleId="PSINORMALCar">
    <w:name w:val="PSI_NORMAL Car"/>
    <w:basedOn w:val="CorpodetextoChar"/>
    <w:link w:val="PSINORMAL"/>
    <w:rsid w:val="00B902F9"/>
    <w:rPr>
      <w:rFonts w:ascii="Times New Roman" w:eastAsia="Times New Roman" w:hAnsi="Times New Roman"/>
      <w:sz w:val="24"/>
      <w:szCs w:val="22"/>
      <w:lang w:val="es-ES_tradnl" w:eastAsia="x-none"/>
    </w:rPr>
  </w:style>
  <w:style w:type="paragraph" w:customStyle="1" w:styleId="PSIVieta">
    <w:name w:val="PSI_Viñeta"/>
    <w:basedOn w:val="PSINORMAL"/>
    <w:qFormat/>
    <w:rsid w:val="00B902F9"/>
    <w:pPr>
      <w:numPr>
        <w:numId w:val="4"/>
      </w:numPr>
      <w:tabs>
        <w:tab w:val="num" w:pos="360"/>
      </w:tabs>
      <w:ind w:left="0" w:firstLine="567"/>
    </w:pPr>
  </w:style>
  <w:style w:type="paragraph" w:styleId="Corpodetexto">
    <w:name w:val="Body Text"/>
    <w:basedOn w:val="Normal"/>
    <w:link w:val="CorpodetextoChar"/>
    <w:uiPriority w:val="99"/>
    <w:semiHidden/>
    <w:unhideWhenUsed/>
    <w:rsid w:val="00B902F9"/>
    <w:pPr>
      <w:spacing w:after="120"/>
    </w:pPr>
  </w:style>
  <w:style w:type="character" w:customStyle="1" w:styleId="CorpodetextoChar">
    <w:name w:val="Corpo de texto Char"/>
    <w:basedOn w:val="Fontepargpadro"/>
    <w:link w:val="Corpodetexto"/>
    <w:uiPriority w:val="99"/>
    <w:semiHidden/>
    <w:rsid w:val="00B902F9"/>
    <w:rPr>
      <w:rFonts w:ascii="Times New Roman" w:hAnsi="Times New Roman"/>
      <w:sz w:val="22"/>
      <w:szCs w:val="22"/>
      <w:lang w:eastAsia="en-US"/>
    </w:rPr>
  </w:style>
  <w:style w:type="character" w:customStyle="1" w:styleId="jlqj4b">
    <w:name w:val="jlqj4b"/>
    <w:basedOn w:val="Fontepargpadro"/>
    <w:rsid w:val="00130B29"/>
  </w:style>
  <w:style w:type="paragraph" w:styleId="Pr-formataoHTML">
    <w:name w:val="HTML Preformatted"/>
    <w:basedOn w:val="Normal"/>
    <w:link w:val="Pr-formataoHTMLChar"/>
    <w:uiPriority w:val="99"/>
    <w:unhideWhenUsed/>
    <w:rsid w:val="00EF3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EF3443"/>
    <w:rPr>
      <w:rFonts w:ascii="Courier New" w:eastAsia="Times New Roman" w:hAnsi="Courier New" w:cs="Courier New"/>
      <w:lang w:val="pt-BR" w:eastAsia="pt-BR"/>
    </w:rPr>
  </w:style>
  <w:style w:type="character" w:customStyle="1" w:styleId="y2iqfc">
    <w:name w:val="y2iqfc"/>
    <w:basedOn w:val="Fontepargpadro"/>
    <w:rsid w:val="00230C57"/>
  </w:style>
  <w:style w:type="character" w:customStyle="1" w:styleId="viiyi">
    <w:name w:val="viiyi"/>
    <w:basedOn w:val="Fontepargpadro"/>
    <w:rsid w:val="00A44FA0"/>
  </w:style>
  <w:style w:type="character" w:styleId="MenoPendente">
    <w:name w:val="Unresolved Mention"/>
    <w:basedOn w:val="Fontepargpadro"/>
    <w:uiPriority w:val="99"/>
    <w:semiHidden/>
    <w:unhideWhenUsed/>
    <w:rsid w:val="00D44A97"/>
    <w:rPr>
      <w:color w:val="605E5C"/>
      <w:shd w:val="clear" w:color="auto" w:fill="E1DFDD"/>
    </w:rPr>
  </w:style>
  <w:style w:type="character" w:styleId="nfase">
    <w:name w:val="Emphasis"/>
    <w:basedOn w:val="Fontepargpadro"/>
    <w:uiPriority w:val="20"/>
    <w:qFormat/>
    <w:rsid w:val="00076292"/>
    <w:rPr>
      <w:i/>
      <w:iCs/>
    </w:rPr>
  </w:style>
  <w:style w:type="character" w:customStyle="1" w:styleId="authors">
    <w:name w:val="authors"/>
    <w:basedOn w:val="Fontepargpadro"/>
    <w:rsid w:val="00076292"/>
  </w:style>
  <w:style w:type="character" w:customStyle="1" w:styleId="Data1">
    <w:name w:val="Data1"/>
    <w:basedOn w:val="Fontepargpadro"/>
    <w:rsid w:val="00076292"/>
  </w:style>
  <w:style w:type="character" w:customStyle="1" w:styleId="arttitle">
    <w:name w:val="art_title"/>
    <w:basedOn w:val="Fontepargpadro"/>
    <w:rsid w:val="00076292"/>
  </w:style>
  <w:style w:type="character" w:customStyle="1" w:styleId="serialtitle">
    <w:name w:val="serial_title"/>
    <w:basedOn w:val="Fontepargpadro"/>
    <w:rsid w:val="00076292"/>
  </w:style>
  <w:style w:type="character" w:customStyle="1" w:styleId="doilink">
    <w:name w:val="doi_link"/>
    <w:basedOn w:val="Fontepargpadro"/>
    <w:rsid w:val="00076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47120">
      <w:bodyDiv w:val="1"/>
      <w:marLeft w:val="0"/>
      <w:marRight w:val="0"/>
      <w:marTop w:val="0"/>
      <w:marBottom w:val="0"/>
      <w:divBdr>
        <w:top w:val="none" w:sz="0" w:space="0" w:color="auto"/>
        <w:left w:val="none" w:sz="0" w:space="0" w:color="auto"/>
        <w:bottom w:val="none" w:sz="0" w:space="0" w:color="auto"/>
        <w:right w:val="none" w:sz="0" w:space="0" w:color="auto"/>
      </w:divBdr>
    </w:div>
    <w:div w:id="487552376">
      <w:bodyDiv w:val="1"/>
      <w:marLeft w:val="0"/>
      <w:marRight w:val="0"/>
      <w:marTop w:val="0"/>
      <w:marBottom w:val="0"/>
      <w:divBdr>
        <w:top w:val="none" w:sz="0" w:space="0" w:color="auto"/>
        <w:left w:val="none" w:sz="0" w:space="0" w:color="auto"/>
        <w:bottom w:val="none" w:sz="0" w:space="0" w:color="auto"/>
        <w:right w:val="none" w:sz="0" w:space="0" w:color="auto"/>
      </w:divBdr>
    </w:div>
    <w:div w:id="506790009">
      <w:bodyDiv w:val="1"/>
      <w:marLeft w:val="0"/>
      <w:marRight w:val="0"/>
      <w:marTop w:val="0"/>
      <w:marBottom w:val="0"/>
      <w:divBdr>
        <w:top w:val="none" w:sz="0" w:space="0" w:color="auto"/>
        <w:left w:val="none" w:sz="0" w:space="0" w:color="auto"/>
        <w:bottom w:val="none" w:sz="0" w:space="0" w:color="auto"/>
        <w:right w:val="none" w:sz="0" w:space="0" w:color="auto"/>
      </w:divBdr>
    </w:div>
    <w:div w:id="1066881100">
      <w:bodyDiv w:val="1"/>
      <w:marLeft w:val="0"/>
      <w:marRight w:val="0"/>
      <w:marTop w:val="0"/>
      <w:marBottom w:val="0"/>
      <w:divBdr>
        <w:top w:val="none" w:sz="0" w:space="0" w:color="auto"/>
        <w:left w:val="none" w:sz="0" w:space="0" w:color="auto"/>
        <w:bottom w:val="none" w:sz="0" w:space="0" w:color="auto"/>
        <w:right w:val="none" w:sz="0" w:space="0" w:color="auto"/>
      </w:divBdr>
    </w:div>
    <w:div w:id="1116407540">
      <w:bodyDiv w:val="1"/>
      <w:marLeft w:val="0"/>
      <w:marRight w:val="0"/>
      <w:marTop w:val="0"/>
      <w:marBottom w:val="0"/>
      <w:divBdr>
        <w:top w:val="none" w:sz="0" w:space="0" w:color="auto"/>
        <w:left w:val="none" w:sz="0" w:space="0" w:color="auto"/>
        <w:bottom w:val="none" w:sz="0" w:space="0" w:color="auto"/>
        <w:right w:val="none" w:sz="0" w:space="0" w:color="auto"/>
      </w:divBdr>
    </w:div>
    <w:div w:id="1719090291">
      <w:bodyDiv w:val="1"/>
      <w:marLeft w:val="0"/>
      <w:marRight w:val="0"/>
      <w:marTop w:val="0"/>
      <w:marBottom w:val="0"/>
      <w:divBdr>
        <w:top w:val="none" w:sz="0" w:space="0" w:color="auto"/>
        <w:left w:val="none" w:sz="0" w:space="0" w:color="auto"/>
        <w:bottom w:val="none" w:sz="0" w:space="0" w:color="auto"/>
        <w:right w:val="none" w:sz="0" w:space="0" w:color="auto"/>
      </w:divBdr>
    </w:div>
    <w:div w:id="176819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001/archinte.166.10.1092" TargetMode="External"/><Relationship Id="rId4" Type="http://schemas.openxmlformats.org/officeDocument/2006/relationships/webSettings" Target="webSettings.xml"/><Relationship Id="rId9" Type="http://schemas.openxmlformats.org/officeDocument/2006/relationships/hyperlink" Target="https://doi.org/10.1590/0102-311X00144612"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4715</Words>
  <Characters>25467</Characters>
  <Application>Microsoft Office Word</Application>
  <DocSecurity>0</DocSecurity>
  <Lines>212</Lines>
  <Paragraphs>60</Paragraphs>
  <ScaleCrop>false</ScaleCrop>
  <Company/>
  <LinksUpToDate>false</LinksUpToDate>
  <CharactersWithSpaces>30122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2021-05-03T11:24:00Z</dcterms:created>
  <dcterms:modified xsi:type="dcterms:W3CDTF">2021-05-03T11:24:00Z</dcterms:modified>
</cp:coreProperties>
</file>