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BC8CE" w14:textId="0A1FF783" w:rsidR="00742E4A" w:rsidRPr="002A7A4B" w:rsidRDefault="00153DC5" w:rsidP="00977250">
      <w:pPr>
        <w:pStyle w:val="Titulodeartculo"/>
        <w:rPr>
          <w:lang w:val="en-GB" w:eastAsia="pt-BR"/>
        </w:rPr>
      </w:pPr>
      <w:r w:rsidRPr="002A7A4B">
        <w:rPr>
          <w:lang w:val="en-GB"/>
        </w:rPr>
        <w:t xml:space="preserve"> </w:t>
      </w:r>
      <w:r w:rsidR="00297C4A" w:rsidRPr="002A7A4B">
        <w:rPr>
          <w:lang w:val="en-GB"/>
        </w:rPr>
        <w:t>Risk and protective factors of bullying: the vulnerable student in the Dominican Republic</w:t>
      </w:r>
    </w:p>
    <w:p w14:paraId="166E5255" w14:textId="2E8511A3" w:rsidR="00C413D4" w:rsidRPr="002A7A4B" w:rsidRDefault="00C413D4" w:rsidP="00DE1119">
      <w:pPr>
        <w:rPr>
          <w:b/>
          <w:lang w:val="en-GB"/>
        </w:rPr>
      </w:pPr>
    </w:p>
    <w:p w14:paraId="6C942DCA" w14:textId="77777777" w:rsidR="00B845A1" w:rsidRPr="002A7A4B" w:rsidRDefault="00B845A1" w:rsidP="00C413D4">
      <w:pPr>
        <w:rPr>
          <w:i/>
          <w:sz w:val="28"/>
          <w:szCs w:val="28"/>
          <w:lang w:val="en-GB"/>
        </w:rPr>
      </w:pPr>
    </w:p>
    <w:p w14:paraId="0BAD9FA3" w14:textId="098C1666" w:rsidR="00C413D4" w:rsidRPr="002A7A4B" w:rsidRDefault="00C413D4" w:rsidP="00C413D4">
      <w:pPr>
        <w:rPr>
          <w:rFonts w:ascii="Times" w:hAnsi="Times"/>
          <w:i/>
          <w:sz w:val="28"/>
          <w:szCs w:val="28"/>
          <w:lang w:val="en-GB"/>
        </w:rPr>
      </w:pPr>
      <w:r w:rsidRPr="00C960A2">
        <w:rPr>
          <w:noProof/>
          <w:lang w:val="es-E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2A7A4B" w:rsidRDefault="00C413D4" w:rsidP="00C413D4">
      <w:pPr>
        <w:rPr>
          <w:b/>
          <w:sz w:val="20"/>
          <w:szCs w:val="20"/>
          <w:lang w:val="en-GB"/>
        </w:rPr>
      </w:pPr>
    </w:p>
    <w:p w14:paraId="61F0B918" w14:textId="7AB7DCB9" w:rsidR="00C43335" w:rsidRPr="002A7A4B" w:rsidRDefault="00C413D4" w:rsidP="00C43335">
      <w:pPr>
        <w:pStyle w:val="TtuloResumen"/>
        <w:rPr>
          <w:lang w:val="en-GB"/>
        </w:rPr>
      </w:pPr>
      <w:r w:rsidRPr="002A7A4B">
        <w:rPr>
          <w:lang w:val="en-GB"/>
        </w:rPr>
        <w:t>Abstract</w:t>
      </w:r>
    </w:p>
    <w:p w14:paraId="0BF1C075" w14:textId="1EE462D1" w:rsidR="00C413D4" w:rsidRPr="002A7A4B" w:rsidRDefault="00297C4A" w:rsidP="005B5614">
      <w:pPr>
        <w:jc w:val="both"/>
        <w:rPr>
          <w:sz w:val="20"/>
          <w:szCs w:val="20"/>
          <w:lang w:val="en-GB"/>
        </w:rPr>
      </w:pPr>
      <w:r w:rsidRPr="002A7A4B">
        <w:rPr>
          <w:sz w:val="20"/>
          <w:szCs w:val="20"/>
          <w:lang w:val="en-GB"/>
        </w:rPr>
        <w:t xml:space="preserve">The objective of this work is to know which sociodemographic and psychological characteristics of the vulnerable Dominican student function as risk and protective factors for bullying. There were 531 secondary school students from the Dominican Republic. The results showed that, among the socio-demographic variables, only first grade of secondary school and male gender were linked to bullying, while psychological variables showed significant and positive relationships with physical and verbal aggression, negative suicidal ideation, and emotional instability; and negative with prosocial behaviour, positive suicidal ideation, and self-esteem. These results provide relevant information to prevent and fight against bullying, </w:t>
      </w:r>
      <w:proofErr w:type="gramStart"/>
      <w:r w:rsidRPr="002A7A4B">
        <w:rPr>
          <w:sz w:val="20"/>
          <w:szCs w:val="20"/>
          <w:lang w:val="en-GB"/>
        </w:rPr>
        <w:t>taking into account</w:t>
      </w:r>
      <w:proofErr w:type="gramEnd"/>
      <w:r w:rsidRPr="002A7A4B">
        <w:rPr>
          <w:sz w:val="20"/>
          <w:szCs w:val="20"/>
          <w:lang w:val="en-GB"/>
        </w:rPr>
        <w:t xml:space="preserve"> the control factors that may be of risk, such as physical and verbal aggression or emotional instability, and promoting those that may function as protective, such as prosocial behaviour or self-esteem.</w:t>
      </w:r>
    </w:p>
    <w:p w14:paraId="547103FF" w14:textId="77777777" w:rsidR="00C413D4" w:rsidRPr="002A7A4B" w:rsidRDefault="00C413D4" w:rsidP="00C413D4">
      <w:pPr>
        <w:rPr>
          <w:sz w:val="20"/>
          <w:szCs w:val="20"/>
          <w:lang w:val="en-GB"/>
        </w:rPr>
      </w:pPr>
    </w:p>
    <w:p w14:paraId="0EB33005" w14:textId="77777777" w:rsidR="00C413D4" w:rsidRPr="002A7A4B" w:rsidRDefault="00C413D4" w:rsidP="00C413D4">
      <w:pPr>
        <w:rPr>
          <w:b/>
          <w:sz w:val="20"/>
          <w:szCs w:val="20"/>
          <w:lang w:val="en-GB"/>
        </w:rPr>
      </w:pPr>
      <w:r w:rsidRPr="002A7A4B">
        <w:rPr>
          <w:b/>
          <w:sz w:val="20"/>
          <w:szCs w:val="20"/>
          <w:lang w:val="en-GB"/>
        </w:rPr>
        <w:t>Keywords</w:t>
      </w:r>
    </w:p>
    <w:p w14:paraId="120FF658" w14:textId="7C02D7CF" w:rsidR="00153DC5" w:rsidRPr="00094D47" w:rsidRDefault="00094D47" w:rsidP="007A7C7C">
      <w:pPr>
        <w:jc w:val="both"/>
        <w:rPr>
          <w:bCs/>
          <w:sz w:val="20"/>
          <w:szCs w:val="20"/>
          <w:lang w:val="en-GB"/>
        </w:rPr>
      </w:pPr>
      <w:r w:rsidRPr="00094D47">
        <w:rPr>
          <w:bCs/>
          <w:sz w:val="20"/>
          <w:szCs w:val="20"/>
          <w:lang w:val="en-GB"/>
        </w:rPr>
        <w:t>Bullying</w:t>
      </w:r>
      <w:r>
        <w:rPr>
          <w:bCs/>
          <w:sz w:val="20"/>
          <w:szCs w:val="20"/>
          <w:lang w:val="en-GB"/>
        </w:rPr>
        <w:t>;</w:t>
      </w:r>
      <w:r w:rsidRPr="00094D47">
        <w:rPr>
          <w:bCs/>
          <w:sz w:val="20"/>
          <w:szCs w:val="20"/>
          <w:lang w:val="en-GB"/>
        </w:rPr>
        <w:t xml:space="preserve"> secondary school students</w:t>
      </w:r>
      <w:r>
        <w:rPr>
          <w:bCs/>
          <w:sz w:val="20"/>
          <w:szCs w:val="20"/>
          <w:lang w:val="en-GB"/>
        </w:rPr>
        <w:t>;</w:t>
      </w:r>
      <w:r w:rsidRPr="00094D47">
        <w:rPr>
          <w:bCs/>
          <w:sz w:val="20"/>
          <w:szCs w:val="20"/>
          <w:lang w:val="en-GB"/>
        </w:rPr>
        <w:t xml:space="preserve"> aggression</w:t>
      </w:r>
      <w:r>
        <w:rPr>
          <w:bCs/>
          <w:sz w:val="20"/>
          <w:szCs w:val="20"/>
          <w:lang w:val="en-GB"/>
        </w:rPr>
        <w:t>;</w:t>
      </w:r>
      <w:r w:rsidRPr="00094D47">
        <w:rPr>
          <w:bCs/>
          <w:sz w:val="20"/>
          <w:szCs w:val="20"/>
          <w:lang w:val="en-GB"/>
        </w:rPr>
        <w:t xml:space="preserve"> prosocial behaviour</w:t>
      </w:r>
      <w:r>
        <w:rPr>
          <w:bCs/>
          <w:sz w:val="20"/>
          <w:szCs w:val="20"/>
          <w:lang w:val="en-GB"/>
        </w:rPr>
        <w:t>;</w:t>
      </w:r>
      <w:r w:rsidRPr="00094D47">
        <w:rPr>
          <w:bCs/>
          <w:sz w:val="20"/>
          <w:szCs w:val="20"/>
          <w:lang w:val="en-GB"/>
        </w:rPr>
        <w:t xml:space="preserve"> self-esteem</w:t>
      </w:r>
    </w:p>
    <w:p w14:paraId="3C2A8692" w14:textId="46796CA0" w:rsidR="00153DC5" w:rsidRPr="00094D47" w:rsidRDefault="00153DC5" w:rsidP="007A7C7C">
      <w:pPr>
        <w:jc w:val="both"/>
        <w:rPr>
          <w:bCs/>
          <w:sz w:val="20"/>
          <w:szCs w:val="20"/>
          <w:lang w:val="en-GB"/>
        </w:rPr>
      </w:pPr>
    </w:p>
    <w:p w14:paraId="1D18B459" w14:textId="77777777" w:rsidR="009E37BF" w:rsidRPr="00C960A2" w:rsidRDefault="009E37BF" w:rsidP="009E37BF">
      <w:pPr>
        <w:pBdr>
          <w:top w:val="nil"/>
          <w:left w:val="nil"/>
          <w:bottom w:val="nil"/>
          <w:right w:val="nil"/>
          <w:between w:val="nil"/>
        </w:pBdr>
        <w:spacing w:after="120"/>
        <w:jc w:val="center"/>
        <w:rPr>
          <w:b/>
          <w:smallCaps/>
          <w:color w:val="000000"/>
          <w:sz w:val="20"/>
          <w:szCs w:val="20"/>
          <w:lang w:val="es-ES"/>
        </w:rPr>
      </w:pPr>
      <w:r w:rsidRPr="00C960A2">
        <w:rPr>
          <w:b/>
          <w:smallCaps/>
          <w:color w:val="000000"/>
          <w:sz w:val="20"/>
          <w:szCs w:val="20"/>
          <w:lang w:val="es-ES"/>
        </w:rPr>
        <w:t xml:space="preserve">Resumen, Resumo </w:t>
      </w:r>
      <w:proofErr w:type="spellStart"/>
      <w:r w:rsidRPr="00C960A2">
        <w:rPr>
          <w:b/>
          <w:smallCaps/>
          <w:color w:val="000000"/>
          <w:sz w:val="20"/>
          <w:szCs w:val="20"/>
          <w:lang w:val="es-ES"/>
        </w:rPr>
        <w:t>ou</w:t>
      </w:r>
      <w:proofErr w:type="spellEnd"/>
      <w:r w:rsidRPr="00C960A2">
        <w:rPr>
          <w:b/>
          <w:smallCaps/>
          <w:color w:val="000000"/>
          <w:sz w:val="20"/>
          <w:szCs w:val="20"/>
          <w:lang w:val="es-ES"/>
        </w:rPr>
        <w:t xml:space="preserve"> </w:t>
      </w:r>
      <w:proofErr w:type="spellStart"/>
      <w:r w:rsidRPr="00C960A2">
        <w:rPr>
          <w:b/>
          <w:smallCaps/>
          <w:color w:val="000000"/>
          <w:sz w:val="20"/>
          <w:szCs w:val="20"/>
          <w:lang w:val="es-ES"/>
        </w:rPr>
        <w:t>R</w:t>
      </w:r>
      <w:r w:rsidRPr="00C960A2">
        <w:rPr>
          <w:b/>
          <w:smallCaps/>
          <w:sz w:val="20"/>
          <w:szCs w:val="20"/>
          <w:lang w:val="es-ES"/>
        </w:rPr>
        <w:t>ésumé</w:t>
      </w:r>
      <w:proofErr w:type="spellEnd"/>
    </w:p>
    <w:p w14:paraId="57CB705B" w14:textId="5F42E7A2" w:rsidR="009E37BF" w:rsidRPr="00C960A2" w:rsidRDefault="00094D47" w:rsidP="009E37BF">
      <w:pPr>
        <w:jc w:val="both"/>
        <w:rPr>
          <w:i/>
          <w:sz w:val="20"/>
          <w:szCs w:val="20"/>
          <w:lang w:val="es-ES"/>
        </w:rPr>
      </w:pPr>
      <w:r w:rsidRPr="00094D47">
        <w:rPr>
          <w:sz w:val="20"/>
          <w:szCs w:val="20"/>
          <w:lang w:val="es-ES"/>
        </w:rPr>
        <w:t>El objetivo de este trabajo es conocer qué características sociodemográficas y psicológicas en el alumnado dominicano vulnerable funcionan como factores de riesgo y protectores frente al acoso escolar. Se contó con una muestra de 531 estudiantes de secundaria, de República Dominicana. Los resultados mostraron que, entre las variables sociodemográficas, solo el primer grado de escolarización y el sexo masculino se vinculaban con el acoso, mientras que las variables psicológicas mostraron relaciones significativas y positivas con la agresión física y verbal, la ideación suicida negativa y la inestabilidad emocional; y negativas con la conducta prosocial, ideación suicida positiva y la autoestima. Estos resultados arrojan información relevante para prevenir y luchar contra el acoso escolar partiendo del control de los factores que pueden ser de riesgo, como la agresión física y verbal o la inestabilidad emocional, y promoviendo los que pueden resultar protectores, como la conducta prosocial o la autoestima.</w:t>
      </w:r>
    </w:p>
    <w:p w14:paraId="32A22B7A" w14:textId="77777777" w:rsidR="009E37BF" w:rsidRPr="00C960A2" w:rsidRDefault="009E37BF" w:rsidP="009E37BF">
      <w:pPr>
        <w:rPr>
          <w:sz w:val="20"/>
          <w:szCs w:val="20"/>
          <w:lang w:val="es-ES"/>
        </w:rPr>
      </w:pPr>
    </w:p>
    <w:p w14:paraId="126AA7B0" w14:textId="426836F2" w:rsidR="009E37BF" w:rsidRPr="00C960A2" w:rsidRDefault="009E37BF" w:rsidP="009E37BF">
      <w:pPr>
        <w:jc w:val="both"/>
        <w:rPr>
          <w:b/>
          <w:sz w:val="20"/>
          <w:szCs w:val="20"/>
          <w:lang w:val="es-ES"/>
        </w:rPr>
      </w:pPr>
      <w:r w:rsidRPr="00C960A2">
        <w:rPr>
          <w:b/>
          <w:sz w:val="20"/>
          <w:szCs w:val="20"/>
          <w:lang w:val="es-ES"/>
        </w:rPr>
        <w:t>Palabras clave</w:t>
      </w:r>
    </w:p>
    <w:p w14:paraId="3B35E00C" w14:textId="034328A0" w:rsidR="00483D6B" w:rsidRPr="00C960A2" w:rsidRDefault="00094D47" w:rsidP="00B6522A">
      <w:pPr>
        <w:rPr>
          <w:b/>
          <w:lang w:val="es-ES"/>
        </w:rPr>
      </w:pPr>
      <w:r w:rsidRPr="00094D47">
        <w:rPr>
          <w:sz w:val="20"/>
          <w:szCs w:val="20"/>
          <w:lang w:val="es-ES"/>
        </w:rPr>
        <w:t>Acoso escolar</w:t>
      </w:r>
      <w:r>
        <w:rPr>
          <w:sz w:val="20"/>
          <w:szCs w:val="20"/>
          <w:lang w:val="es-ES"/>
        </w:rPr>
        <w:t>;</w:t>
      </w:r>
      <w:r w:rsidRPr="00094D47">
        <w:rPr>
          <w:sz w:val="20"/>
          <w:szCs w:val="20"/>
          <w:lang w:val="es-ES"/>
        </w:rPr>
        <w:t xml:space="preserve"> estudiantes de secundaria</w:t>
      </w:r>
      <w:r>
        <w:rPr>
          <w:sz w:val="20"/>
          <w:szCs w:val="20"/>
          <w:lang w:val="es-ES"/>
        </w:rPr>
        <w:t>;</w:t>
      </w:r>
      <w:r w:rsidRPr="00094D47">
        <w:rPr>
          <w:sz w:val="20"/>
          <w:szCs w:val="20"/>
          <w:lang w:val="es-ES"/>
        </w:rPr>
        <w:t xml:space="preserve"> agresión</w:t>
      </w:r>
      <w:r>
        <w:rPr>
          <w:sz w:val="20"/>
          <w:szCs w:val="20"/>
          <w:lang w:val="es-ES"/>
        </w:rPr>
        <w:t>;</w:t>
      </w:r>
      <w:r w:rsidRPr="00094D47">
        <w:rPr>
          <w:sz w:val="20"/>
          <w:szCs w:val="20"/>
          <w:lang w:val="es-ES"/>
        </w:rPr>
        <w:t xml:space="preserve"> conducta prosocial</w:t>
      </w:r>
      <w:r>
        <w:rPr>
          <w:sz w:val="20"/>
          <w:szCs w:val="20"/>
          <w:lang w:val="es-ES"/>
        </w:rPr>
        <w:t>;</w:t>
      </w:r>
      <w:r w:rsidRPr="00094D47">
        <w:rPr>
          <w:sz w:val="20"/>
          <w:szCs w:val="20"/>
          <w:lang w:val="es-ES"/>
        </w:rPr>
        <w:t xml:space="preserve"> autoestima</w:t>
      </w:r>
    </w:p>
    <w:p w14:paraId="3F538DA7" w14:textId="33DB6FF0" w:rsidR="00153DC5" w:rsidRPr="00C960A2" w:rsidRDefault="0059034C" w:rsidP="007A7CDC">
      <w:pPr>
        <w:pStyle w:val="Ttuloprincipiodeartculo"/>
        <w:rPr>
          <w:lang w:val="es-ES"/>
        </w:rPr>
      </w:pPr>
      <w:r w:rsidRPr="00C960A2">
        <w:rPr>
          <w:lang w:val="es-ES"/>
        </w:rPr>
        <w:br w:type="page"/>
      </w:r>
      <w:r w:rsidR="00297C4A" w:rsidRPr="00C960A2">
        <w:rPr>
          <w:lang w:val="es-ES"/>
        </w:rPr>
        <w:lastRenderedPageBreak/>
        <w:t>Factores de riesgo y protectores del acoso escolar: el estudiante vulnerable en la República Dominicana</w:t>
      </w:r>
    </w:p>
    <w:p w14:paraId="4FA726CB" w14:textId="6E7485C5" w:rsidR="006A1BA2" w:rsidRPr="00C960A2" w:rsidRDefault="00153DC5" w:rsidP="00CE7D65">
      <w:pPr>
        <w:pStyle w:val="Ttulosinternos"/>
        <w:rPr>
          <w:bCs/>
          <w:lang w:val="es-ES"/>
        </w:rPr>
      </w:pPr>
      <w:r w:rsidRPr="00C960A2">
        <w:rPr>
          <w:lang w:val="es-ES"/>
        </w:rPr>
        <w:t>Introduc</w:t>
      </w:r>
      <w:r w:rsidR="00CE538B" w:rsidRPr="00C960A2">
        <w:rPr>
          <w:lang w:val="es-ES"/>
        </w:rPr>
        <w:t>c</w:t>
      </w:r>
      <w:r w:rsidRPr="00C960A2">
        <w:rPr>
          <w:lang w:val="es-ES"/>
        </w:rPr>
        <w:t>i</w:t>
      </w:r>
      <w:r w:rsidR="00CE538B" w:rsidRPr="00C960A2">
        <w:rPr>
          <w:lang w:val="es-ES"/>
        </w:rPr>
        <w:t>ó</w:t>
      </w:r>
      <w:r w:rsidRPr="00C960A2">
        <w:rPr>
          <w:lang w:val="es-ES"/>
        </w:rPr>
        <w:t>n</w:t>
      </w:r>
    </w:p>
    <w:p w14:paraId="4FA3928A" w14:textId="77777777" w:rsidR="002A7A4B" w:rsidRPr="002A7A4B" w:rsidRDefault="002A7A4B" w:rsidP="002A7A4B">
      <w:pPr>
        <w:pStyle w:val="Prrafocomn"/>
        <w:rPr>
          <w:lang w:val="es-ES"/>
        </w:rPr>
      </w:pPr>
      <w:r w:rsidRPr="002A7A4B">
        <w:rPr>
          <w:lang w:val="es-ES"/>
        </w:rPr>
        <w:t xml:space="preserve">El acoso escolar o bullying es un problema que está presente en los centros educativos de todo el mundo (Inglés et al., 2014; </w:t>
      </w:r>
      <w:proofErr w:type="spellStart"/>
      <w:r w:rsidRPr="002A7A4B">
        <w:rPr>
          <w:lang w:val="es-ES"/>
        </w:rPr>
        <w:t>Save</w:t>
      </w:r>
      <w:proofErr w:type="spellEnd"/>
      <w:r w:rsidRPr="002A7A4B">
        <w:rPr>
          <w:lang w:val="es-ES"/>
        </w:rPr>
        <w:t xml:space="preserve"> </w:t>
      </w:r>
      <w:proofErr w:type="spellStart"/>
      <w:r w:rsidRPr="002A7A4B">
        <w:rPr>
          <w:lang w:val="es-ES"/>
        </w:rPr>
        <w:t>the</w:t>
      </w:r>
      <w:proofErr w:type="spellEnd"/>
      <w:r w:rsidRPr="002A7A4B">
        <w:rPr>
          <w:lang w:val="es-ES"/>
        </w:rPr>
        <w:t xml:space="preserve"> </w:t>
      </w:r>
      <w:proofErr w:type="spellStart"/>
      <w:r w:rsidRPr="002A7A4B">
        <w:rPr>
          <w:lang w:val="es-ES"/>
        </w:rPr>
        <w:t>Children</w:t>
      </w:r>
      <w:proofErr w:type="spellEnd"/>
      <w:r w:rsidRPr="002A7A4B">
        <w:rPr>
          <w:lang w:val="es-ES"/>
        </w:rPr>
        <w:t>, 2016). Cuando hablamos de una situación de acoso escolar, nos referimos, de acuerdo con Olweus (1993), a aquel estudiante que, de manera repetitiva, sufre acciones negativas de uno o más compañeros, con un carácter intencional y deliberado, en la que la víctima no la provoca, se encuentra sola y es incapaz de resolverlo.</w:t>
      </w:r>
    </w:p>
    <w:p w14:paraId="513995B8" w14:textId="02CBDD09" w:rsidR="002A7A4B" w:rsidRPr="002A7A4B" w:rsidRDefault="002A7A4B" w:rsidP="002A7A4B">
      <w:pPr>
        <w:pStyle w:val="Prrafocomn"/>
        <w:rPr>
          <w:lang w:val="es-ES"/>
        </w:rPr>
      </w:pPr>
      <w:r w:rsidRPr="002A7A4B">
        <w:rPr>
          <w:lang w:val="es-ES"/>
        </w:rPr>
        <w:t>Estudios en varias regiones de América Latina revelan que entre un 50 y un 70 por ciento de los estudiantes ha sido víctima o conocen situaciones de bullying (</w:t>
      </w:r>
      <w:proofErr w:type="spellStart"/>
      <w:r w:rsidRPr="002A7A4B">
        <w:rPr>
          <w:lang w:val="es-ES"/>
        </w:rPr>
        <w:t>Eljach</w:t>
      </w:r>
      <w:proofErr w:type="spellEnd"/>
      <w:r w:rsidRPr="002A7A4B">
        <w:rPr>
          <w:lang w:val="es-ES"/>
        </w:rPr>
        <w:t>, 2011). Esto coincide con el hecho de que seis de los diez países más violentos del mundo están ubicados en América Latina y el Caribe (</w:t>
      </w:r>
      <w:proofErr w:type="spellStart"/>
      <w:r w:rsidRPr="002A7A4B">
        <w:rPr>
          <w:lang w:val="es-ES"/>
        </w:rPr>
        <w:t>Jaitman</w:t>
      </w:r>
      <w:proofErr w:type="spellEnd"/>
      <w:r w:rsidRPr="002A7A4B">
        <w:rPr>
          <w:lang w:val="es-ES"/>
        </w:rPr>
        <w:t xml:space="preserve"> &amp; </w:t>
      </w:r>
      <w:proofErr w:type="spellStart"/>
      <w:r w:rsidRPr="002A7A4B">
        <w:rPr>
          <w:lang w:val="es-ES"/>
        </w:rPr>
        <w:t>Machin</w:t>
      </w:r>
      <w:proofErr w:type="spellEnd"/>
      <w:r w:rsidRPr="002A7A4B">
        <w:rPr>
          <w:lang w:val="es-ES"/>
        </w:rPr>
        <w:t xml:space="preserve">, 2016). </w:t>
      </w:r>
    </w:p>
    <w:p w14:paraId="293188AA" w14:textId="149A6971" w:rsidR="002A7A4B" w:rsidRPr="002A7A4B" w:rsidRDefault="002A7A4B" w:rsidP="002A7A4B">
      <w:pPr>
        <w:pStyle w:val="Prrafocomn"/>
        <w:rPr>
          <w:lang w:val="es-ES"/>
        </w:rPr>
      </w:pPr>
      <w:r w:rsidRPr="002A7A4B">
        <w:rPr>
          <w:lang w:val="es-ES"/>
        </w:rPr>
        <w:t>Los estudios realizados en la República Dominicana indican que la prevalencia del acoso en las escuelas es muy alta, tanto a nivel del sector público (Parada et al., 2017), como en los centros educativos privados (Vergés &amp; Guzmán, 2017). En una investigación de Román</w:t>
      </w:r>
      <w:r w:rsidR="003601CC">
        <w:rPr>
          <w:lang w:val="es-ES"/>
        </w:rPr>
        <w:t xml:space="preserve"> y</w:t>
      </w:r>
      <w:r w:rsidRPr="002A7A4B">
        <w:rPr>
          <w:lang w:val="es-ES"/>
        </w:rPr>
        <w:t xml:space="preserve"> Murillo (2011), la República Dominicana ocupaba el tercer lugar de los cincos países de la región con el índice más alto de violencia entre pares, solamente superado por Argentina y Ecuador. Por esa razón, en este estudio se han querido comprobar cuáles son los factores de riesgo y protectores que pueden influir sobre el hecho de que un estudiante de secundaria dominicano sufra bullying.</w:t>
      </w:r>
    </w:p>
    <w:p w14:paraId="6F1681B6" w14:textId="6C54ACE9" w:rsidR="00CE538B" w:rsidRPr="00C960A2" w:rsidRDefault="002A7A4B" w:rsidP="002A7A4B">
      <w:pPr>
        <w:pStyle w:val="Prrafocomn"/>
        <w:rPr>
          <w:b/>
          <w:i/>
          <w:lang w:val="es-ES"/>
        </w:rPr>
      </w:pPr>
      <w:r w:rsidRPr="002A7A4B">
        <w:rPr>
          <w:lang w:val="es-ES"/>
        </w:rPr>
        <w:t>Para los estudiantes víctimas de acoso, esta situación puede convertirse en riesgo de deserción escolar, fracaso escolar, malestares físicos, emocionales, dificultad de concentración, aislamiento, afectación en el desarrollo social e infelicidad, etc. (Chu et al., 2019). Esta es una situación altamente sensible a la cual es necesario prestarle atención, ya que incide negativamente en la población estudiantil, afectando su proyecto de vida y su desarrollo personal y social</w:t>
      </w:r>
      <w:r w:rsidR="00CE538B" w:rsidRPr="00C960A2">
        <w:rPr>
          <w:lang w:val="es-ES"/>
        </w:rPr>
        <w:t>.</w:t>
      </w:r>
      <w:r w:rsidR="00CE538B" w:rsidRPr="00C960A2">
        <w:rPr>
          <w:b/>
          <w:i/>
          <w:lang w:val="es-ES"/>
        </w:rPr>
        <w:t xml:space="preserve"> </w:t>
      </w:r>
    </w:p>
    <w:p w14:paraId="4D7B02F3" w14:textId="60F47C71" w:rsidR="00CE538B" w:rsidRPr="00C960A2" w:rsidRDefault="00CE538B" w:rsidP="00CE538B">
      <w:pPr>
        <w:pStyle w:val="SubtituloInterno"/>
        <w:rPr>
          <w:lang w:val="es-ES"/>
        </w:rPr>
      </w:pPr>
      <w:r w:rsidRPr="00C960A2">
        <w:rPr>
          <w:lang w:val="es-ES"/>
        </w:rPr>
        <w:t>1.1 Factores de riesgo y protectores del acoso escolar</w:t>
      </w:r>
    </w:p>
    <w:p w14:paraId="5818DD5E" w14:textId="3ECB3419" w:rsidR="002A7A4B" w:rsidRPr="002A7A4B" w:rsidRDefault="002A7A4B" w:rsidP="002A7A4B">
      <w:pPr>
        <w:pStyle w:val="Prrafocomn"/>
        <w:rPr>
          <w:lang w:val="es-ES"/>
        </w:rPr>
      </w:pPr>
      <w:r w:rsidRPr="002A7A4B">
        <w:rPr>
          <w:lang w:val="es-ES"/>
        </w:rPr>
        <w:t>Existe una amplia gama de estudios que han puesto de manifiesto la relación entre el acoso escolar y diversos factores psicológicos y sociales, entre los que se encuentran la inestabilidad emocional, agresividad, autoestima, llegando hasta la ideación suicida o intentos de suicidio (</w:t>
      </w:r>
      <w:proofErr w:type="spellStart"/>
      <w:r w:rsidRPr="002A7A4B">
        <w:rPr>
          <w:lang w:val="es-ES"/>
        </w:rPr>
        <w:t>Baiden</w:t>
      </w:r>
      <w:proofErr w:type="spellEnd"/>
      <w:r w:rsidRPr="002A7A4B">
        <w:rPr>
          <w:lang w:val="es-ES"/>
        </w:rPr>
        <w:t xml:space="preserve"> et al., 2019; Fredrick &amp; </w:t>
      </w:r>
      <w:proofErr w:type="spellStart"/>
      <w:r w:rsidRPr="002A7A4B">
        <w:rPr>
          <w:lang w:val="es-ES"/>
        </w:rPr>
        <w:t>Demaray</w:t>
      </w:r>
      <w:proofErr w:type="spellEnd"/>
      <w:r w:rsidRPr="002A7A4B">
        <w:rPr>
          <w:lang w:val="es-ES"/>
        </w:rPr>
        <w:t>, 2018).</w:t>
      </w:r>
    </w:p>
    <w:p w14:paraId="4CF13AEF" w14:textId="61EB5299" w:rsidR="002A7A4B" w:rsidRPr="002A7A4B" w:rsidRDefault="002A7A4B" w:rsidP="002A7A4B">
      <w:pPr>
        <w:pStyle w:val="Prrafocomn"/>
        <w:rPr>
          <w:lang w:val="es-ES"/>
        </w:rPr>
      </w:pPr>
      <w:r w:rsidRPr="002A7A4B">
        <w:rPr>
          <w:lang w:val="es-ES"/>
        </w:rPr>
        <w:lastRenderedPageBreak/>
        <w:t>Esta problemática tiene un gran interés debido a la gran incidencia de la violencia en los centros educativos, que provoca que el desarrollo personal, social y académico de los estudiantes se esté viendo afectado. Actualmente en la República Dominicana, se han llevado a cabo diversos estudios sobre la violencia en los centros educativos (Espaillat, 2016; Parada et al., 2017; Vergés &amp; Guzmán, 2017), pero no se conocen estudios que hayan abordado de manera precisa los factores relacionados con el acoso escolar, ni la presencia del mismo en los factores psicológicos en los estudiantes.</w:t>
      </w:r>
    </w:p>
    <w:p w14:paraId="5D6ED038" w14:textId="1BCC977F" w:rsidR="002A7A4B" w:rsidRPr="002A7A4B" w:rsidRDefault="002A7A4B" w:rsidP="002A7A4B">
      <w:pPr>
        <w:pStyle w:val="Prrafocomn"/>
        <w:rPr>
          <w:lang w:val="es-ES"/>
        </w:rPr>
      </w:pPr>
      <w:r w:rsidRPr="002A7A4B">
        <w:rPr>
          <w:lang w:val="es-ES"/>
        </w:rPr>
        <w:t>En este sentido, existe un gran bagaje de estudios y expertos que coinciden en señalar cuatro tipos de factores que pueden incidir en los casos de bullying (Enríquez &amp; Garzón, 2015; López et al., 2010; Rosen et al., 2017; Serrano, 2013), siendo éstos: personales, escolares, familiares y sociales.</w:t>
      </w:r>
    </w:p>
    <w:p w14:paraId="7F36D5AC" w14:textId="12DC9A70" w:rsidR="002A7A4B" w:rsidRPr="002A7A4B" w:rsidRDefault="002A7A4B" w:rsidP="002A7A4B">
      <w:pPr>
        <w:pStyle w:val="Prrafocomn"/>
        <w:rPr>
          <w:lang w:val="es-ES"/>
        </w:rPr>
      </w:pPr>
      <w:r w:rsidRPr="002A7A4B">
        <w:rPr>
          <w:lang w:val="es-ES"/>
        </w:rPr>
        <w:t xml:space="preserve">En la literatura científica, las variables personales o individuales que explican el fenómeno de la violencia se organizan en dos dimensiones: la física, con los factores de sexo y edad, y la personalidad, con factores como ansiedad, autoestima, empatía, irritabilidad, la actitud positiva hacia la agresión, culpabilidad e impulsividad, entre otros (López et al., 2010). A nivel físico, la mayor parte de las investigaciones destacan la violencia escolar como un fenómeno marcadamente masculino (Rosen et al., 2017); sin embargo, se ha evidenciado que las chicas suelen ser mucho más agresivas socialmente que los varones, utilizando comportamientos más indirectos y sutiles de agresión relacional como hablar mal de otros, intimidación, manipulación, o el aislamiento social (López et al., 2010; Rosen &amp; </w:t>
      </w:r>
      <w:proofErr w:type="spellStart"/>
      <w:r w:rsidRPr="002A7A4B">
        <w:rPr>
          <w:lang w:val="es-ES"/>
        </w:rPr>
        <w:t>Rubin</w:t>
      </w:r>
      <w:proofErr w:type="spellEnd"/>
      <w:r w:rsidRPr="002A7A4B">
        <w:rPr>
          <w:lang w:val="es-ES"/>
        </w:rPr>
        <w:t>, 2016).</w:t>
      </w:r>
    </w:p>
    <w:p w14:paraId="75B025CF" w14:textId="77777777" w:rsidR="002A7A4B" w:rsidRPr="002A7A4B" w:rsidRDefault="002A7A4B" w:rsidP="002A7A4B">
      <w:pPr>
        <w:pStyle w:val="Prrafocomn"/>
        <w:rPr>
          <w:lang w:val="es-ES"/>
        </w:rPr>
      </w:pPr>
      <w:r w:rsidRPr="002A7A4B">
        <w:rPr>
          <w:lang w:val="es-ES"/>
        </w:rPr>
        <w:t>En cuanto a la edad, el consenso es evidente en las distintas investigaciones. López et al. (2010) apuntan que a mayor edad y entrando en la adolescencia se confiere una mayor atención a los ataques directos, mientras que los indirectos pasan a un segundo plano. Del mismo modo, ocurre un aumento en el tipo de acciones violentas llevadas a cabo, de manera que regularmente se envuelven primariamente en comportamientos que involucran formas menos graves de provocación, para incurrir pronto en actuaciones de mayor contacto físico o violencia explícita. A partir de los datos aportados en estos estudios, se puede afirmar que la mayoría de los acosadores y de las víctimas resultan ser de la misma edad, creando una tendencia creciente en el número de acosados y de agresores conforme aumenta la edad del estudiantado hasta llegar a los 16 años, período en que empieza a disminuir (Serrano, 2013).</w:t>
      </w:r>
    </w:p>
    <w:p w14:paraId="01A77FFF" w14:textId="732F57B1" w:rsidR="002A7A4B" w:rsidRPr="002A7A4B" w:rsidRDefault="002A7A4B" w:rsidP="002A7A4B">
      <w:pPr>
        <w:pStyle w:val="Prrafocomn"/>
        <w:rPr>
          <w:lang w:val="es-ES"/>
        </w:rPr>
      </w:pPr>
      <w:r w:rsidRPr="002A7A4B">
        <w:rPr>
          <w:lang w:val="es-ES"/>
        </w:rPr>
        <w:t xml:space="preserve">Con relación a las variables escolares, respecto al grado académico, la mayoría de los estudios señalan la Educación Secundaria (12-18 años) como la que tiene más alta </w:t>
      </w:r>
      <w:r w:rsidRPr="002A7A4B">
        <w:rPr>
          <w:lang w:val="es-ES"/>
        </w:rPr>
        <w:lastRenderedPageBreak/>
        <w:t xml:space="preserve">posibilidad de conductas violentas (Jara et al., 2017; López et al., 2010), siendo el primer ciclo educativo, en la adolescencia temprana, el más conflictivo en comparación con el segundo ciclo (Albaladejo &amp; </w:t>
      </w:r>
      <w:proofErr w:type="spellStart"/>
      <w:r w:rsidRPr="002A7A4B">
        <w:rPr>
          <w:lang w:val="es-ES"/>
        </w:rPr>
        <w:t>Caruana</w:t>
      </w:r>
      <w:proofErr w:type="spellEnd"/>
      <w:r w:rsidRPr="002A7A4B">
        <w:rPr>
          <w:lang w:val="es-ES"/>
        </w:rPr>
        <w:t xml:space="preserve">, 2014; </w:t>
      </w:r>
      <w:proofErr w:type="spellStart"/>
      <w:r w:rsidRPr="002A7A4B">
        <w:rPr>
          <w:lang w:val="es-ES"/>
        </w:rPr>
        <w:t>Pailing</w:t>
      </w:r>
      <w:proofErr w:type="spellEnd"/>
      <w:r w:rsidRPr="002A7A4B">
        <w:rPr>
          <w:lang w:val="es-ES"/>
        </w:rPr>
        <w:t xml:space="preserve"> et al., 2014; Wilson et al., 2013). De la misma manera, Piñuel </w:t>
      </w:r>
      <w:r w:rsidR="003601CC">
        <w:rPr>
          <w:lang w:val="es-ES"/>
        </w:rPr>
        <w:t>y</w:t>
      </w:r>
      <w:r w:rsidRPr="002A7A4B">
        <w:rPr>
          <w:lang w:val="es-ES"/>
        </w:rPr>
        <w:t xml:space="preserve"> Oñate (2006) señalan que los acosadores, por lo general, son del mismo grupo-clase que sus víctimas. Es decir, principalmente el acoso se da entre pares que comparten un mismo espacio áulico. Por otra parte, aspectos como el tamaño de la escuela, la cantidad de estudiantes, el tamaño de la clase y el sector rural o urbano no han arrojado relaciones significativas entre estas variables y el acoso entre escolares (Álvarez, 2014).</w:t>
      </w:r>
    </w:p>
    <w:p w14:paraId="11E60E9D" w14:textId="77777777" w:rsidR="002A7A4B" w:rsidRPr="002A7A4B" w:rsidRDefault="002A7A4B" w:rsidP="002A7A4B">
      <w:pPr>
        <w:pStyle w:val="Prrafocomn"/>
        <w:rPr>
          <w:lang w:val="es-ES"/>
        </w:rPr>
      </w:pPr>
      <w:r w:rsidRPr="002A7A4B">
        <w:rPr>
          <w:lang w:val="es-ES"/>
        </w:rPr>
        <w:t>En las variables familiares se identifica que el origen de la violencia puede vincularse a la ausencia de uno de los padres o, por el contrario, a la figura de un padre violento que pueda inducir un comportamiento agresivo en los niños y al desarrollo de la violencia en la pubertad. Por el contrario, hay investigaciones que apuntan que la falta de uno de los progenitores en la familia se vincula con la victimización, pero no con las conductas de agresión (Piñero et al., 2013). Por otro lado, se hallan diferencias entre la vinculación con cada progenitor: se percibe una relación entre la ausencia de la madre y la victimización de las chicas (Tur-</w:t>
      </w:r>
      <w:proofErr w:type="spellStart"/>
      <w:r w:rsidRPr="002A7A4B">
        <w:rPr>
          <w:lang w:val="es-ES"/>
        </w:rPr>
        <w:t>Porcar</w:t>
      </w:r>
      <w:proofErr w:type="spellEnd"/>
      <w:r w:rsidRPr="002A7A4B">
        <w:rPr>
          <w:lang w:val="es-ES"/>
        </w:rPr>
        <w:t xml:space="preserve"> et al., 2012), mientras que la falta de la figura del padre se relaciona con la victimización en sentido general (Piñero et al., 2013). Dicho de otra manera, convivir con ambos progenitores constituye un factor protector frente al acoso escolar (</w:t>
      </w:r>
      <w:proofErr w:type="spellStart"/>
      <w:r w:rsidRPr="002A7A4B">
        <w:rPr>
          <w:lang w:val="es-ES"/>
        </w:rPr>
        <w:t>Prodócimo</w:t>
      </w:r>
      <w:proofErr w:type="spellEnd"/>
      <w:r w:rsidRPr="002A7A4B">
        <w:rPr>
          <w:lang w:val="es-ES"/>
        </w:rPr>
        <w:t xml:space="preserve"> et al., 2014).</w:t>
      </w:r>
    </w:p>
    <w:p w14:paraId="542A3D32" w14:textId="41CB609F" w:rsidR="00CE7D65" w:rsidRPr="00C960A2" w:rsidRDefault="002A7A4B" w:rsidP="002A7A4B">
      <w:pPr>
        <w:pStyle w:val="Prrafocomn"/>
        <w:rPr>
          <w:lang w:val="es-ES"/>
        </w:rPr>
      </w:pPr>
      <w:r w:rsidRPr="002A7A4B">
        <w:rPr>
          <w:lang w:val="es-ES"/>
        </w:rPr>
        <w:t>Por todos los datos facilitados y debido a la importancia del tema, en la presente investigación se pretenden estudiar los factores de riesgo y protectores que influyen en el acoso escolar de los estudiantes de secundaria de la República Dominicana, concretamente, variables sociodemográficas: edad, sexo, grado de escolarización, modalidad, tipo de familia, la pertenencia o no a una asociación juvenil, práctica de deportes, si realizan un trabajo remunerado, centro rural o urbano; y las psicológicas, como: agresividad física, agresividad verbal, conducta prosocial, inestabilidad emocional, ideaciones suicidas positivas, ideaciones suicidas negativas y autoestima</w:t>
      </w:r>
      <w:r w:rsidR="00CE538B" w:rsidRPr="00C960A2">
        <w:rPr>
          <w:lang w:val="es-ES"/>
        </w:rPr>
        <w:t>.</w:t>
      </w:r>
    </w:p>
    <w:p w14:paraId="2254AC27" w14:textId="6D5B4404" w:rsidR="006F7E7E" w:rsidRPr="00C960A2" w:rsidRDefault="001516ED" w:rsidP="001516ED">
      <w:pPr>
        <w:pStyle w:val="Ttulosinternos"/>
        <w:rPr>
          <w:lang w:val="es-ES"/>
        </w:rPr>
      </w:pPr>
      <w:r w:rsidRPr="00C960A2">
        <w:rPr>
          <w:lang w:val="es-ES"/>
        </w:rPr>
        <w:t>M</w:t>
      </w:r>
      <w:r w:rsidR="00CE538B" w:rsidRPr="00C960A2">
        <w:rPr>
          <w:lang w:val="es-ES"/>
        </w:rPr>
        <w:t>étodo</w:t>
      </w:r>
    </w:p>
    <w:p w14:paraId="2F19162A" w14:textId="68AD67DF" w:rsidR="006F7E7E" w:rsidRPr="00C960A2" w:rsidRDefault="00CE538B" w:rsidP="007E3B8D">
      <w:pPr>
        <w:pStyle w:val="SubtituloInterno"/>
        <w:rPr>
          <w:rFonts w:eastAsia="Calibri"/>
          <w:lang w:val="es-ES"/>
        </w:rPr>
      </w:pPr>
      <w:r w:rsidRPr="00C960A2">
        <w:rPr>
          <w:rFonts w:eastAsia="Calibri"/>
          <w:lang w:val="es-ES"/>
        </w:rPr>
        <w:t>Diseño, participantes y procedimiento</w:t>
      </w:r>
    </w:p>
    <w:p w14:paraId="4436331C" w14:textId="77777777" w:rsidR="00CE538B" w:rsidRPr="00C960A2" w:rsidRDefault="00CE538B" w:rsidP="00CE538B">
      <w:pPr>
        <w:pStyle w:val="Prrafocomn"/>
        <w:rPr>
          <w:lang w:val="es-ES" w:eastAsia="en-US"/>
        </w:rPr>
      </w:pPr>
      <w:r w:rsidRPr="00C960A2">
        <w:rPr>
          <w:lang w:val="es-ES" w:eastAsia="en-US"/>
        </w:rPr>
        <w:t xml:space="preserve">Los participantes del presente estudio son estudiantes procedentes de los seis años de educación secundaria de cinco institutos de San Pedro de Macorís (República </w:t>
      </w:r>
      <w:r w:rsidRPr="00C960A2">
        <w:rPr>
          <w:lang w:val="es-ES" w:eastAsia="en-US"/>
        </w:rPr>
        <w:lastRenderedPageBreak/>
        <w:t xml:space="preserve">Dominicana), Distrito Educativo 05-03 de La Romana. Teniendo en cuenta los datos poblacionales de los cinco centros públicos que se encuentran en la zona, y tras un muestreo probabilístico estratificado, por escuela y nivel educativo, se obtuvo un total de 531 estudiantes como muestra. </w:t>
      </w:r>
    </w:p>
    <w:p w14:paraId="2ECD28CA" w14:textId="6E539D93" w:rsidR="006F7E7E" w:rsidRPr="00C960A2" w:rsidRDefault="00CE538B" w:rsidP="00CE538B">
      <w:pPr>
        <w:pStyle w:val="Prrafocomn"/>
        <w:rPr>
          <w:rFonts w:eastAsia="Calibri"/>
          <w:lang w:val="es-ES" w:eastAsia="en-US"/>
        </w:rPr>
      </w:pPr>
      <w:r w:rsidRPr="00C960A2">
        <w:rPr>
          <w:lang w:val="es-ES" w:eastAsia="en-US"/>
        </w:rPr>
        <w:t>La media de la edad de los estudiantes fue de 15.48 años (DT= 1.74), comprendida entre los 11 y los 21 años. De los 531 estudiantes, 227 eran varones (42.7%) y 304 eran mujeres (57.3%). Un 50.5% de los estudiantes encuestados proviene de una familia con ambos padres, un 37.5% monoparental, el restante 12% se distribuye en extendida, reconstituida y con abuelos.</w:t>
      </w:r>
    </w:p>
    <w:p w14:paraId="788EC80D" w14:textId="07D1DC92" w:rsidR="004C1FD8" w:rsidRPr="00C960A2" w:rsidRDefault="00CE538B" w:rsidP="007E3B8D">
      <w:pPr>
        <w:pStyle w:val="SubtituloInterno"/>
        <w:rPr>
          <w:lang w:val="es-ES"/>
        </w:rPr>
      </w:pPr>
      <w:r w:rsidRPr="00C960A2">
        <w:rPr>
          <w:lang w:val="es-ES"/>
        </w:rPr>
        <w:t>Instrumentos</w:t>
      </w:r>
      <w:r w:rsidR="007C3C14" w:rsidRPr="00C960A2">
        <w:rPr>
          <w:lang w:val="es-ES"/>
        </w:rPr>
        <w:t xml:space="preserve"> </w:t>
      </w:r>
    </w:p>
    <w:p w14:paraId="27451498" w14:textId="77777777" w:rsidR="00CE538B" w:rsidRPr="00C960A2" w:rsidRDefault="00CE538B" w:rsidP="00CE538B">
      <w:pPr>
        <w:pStyle w:val="Prrafocomn"/>
        <w:rPr>
          <w:lang w:val="es-ES"/>
        </w:rPr>
      </w:pPr>
      <w:r w:rsidRPr="00C960A2">
        <w:rPr>
          <w:lang w:val="es-ES"/>
        </w:rPr>
        <w:t xml:space="preserve">En primer lugar, se recopilaron datos socio-demográficos relativos la edad, el sexo, el grado o ciclo escolar que cursaban, la modalidad (regular o jornada extendida), tipo de familia (monoparental, nuclear u otros tipos), nivel de estudios de los padres, pertenencia a un grupo juvenil, práctica de algún deporte y trabajo remunerado. Adicional a estos datos, se aplicaron algunas escalas psicológicas. </w:t>
      </w:r>
    </w:p>
    <w:p w14:paraId="2033CC55" w14:textId="77777777" w:rsidR="00CE538B" w:rsidRPr="00C960A2" w:rsidRDefault="00CE538B" w:rsidP="00CE538B">
      <w:pPr>
        <w:pStyle w:val="Prrafocomn"/>
        <w:rPr>
          <w:lang w:val="es-ES"/>
        </w:rPr>
      </w:pPr>
      <w:r w:rsidRPr="00C960A2">
        <w:rPr>
          <w:lang w:val="es-ES"/>
        </w:rPr>
        <w:t>Se utilizaron los siguientes instrumentos:</w:t>
      </w:r>
    </w:p>
    <w:p w14:paraId="7E32ACCC" w14:textId="6EF2EFEC" w:rsidR="00CE538B" w:rsidRPr="00C960A2" w:rsidRDefault="00CE538B" w:rsidP="00CE538B">
      <w:pPr>
        <w:pStyle w:val="Prrafocomn"/>
        <w:rPr>
          <w:lang w:val="es-ES"/>
        </w:rPr>
      </w:pPr>
      <w:r w:rsidRPr="00C960A2">
        <w:rPr>
          <w:lang w:val="es-ES"/>
        </w:rPr>
        <w:t xml:space="preserve">-El </w:t>
      </w:r>
      <w:proofErr w:type="spellStart"/>
      <w:r w:rsidRPr="00C960A2">
        <w:rPr>
          <w:lang w:val="es-ES"/>
        </w:rPr>
        <w:t>Autotest</w:t>
      </w:r>
      <w:proofErr w:type="spellEnd"/>
      <w:r w:rsidRPr="00C960A2">
        <w:rPr>
          <w:lang w:val="es-ES"/>
        </w:rPr>
        <w:t xml:space="preserve"> Cisneros de Acoso Escolar (Piñuel </w:t>
      </w:r>
      <w:r w:rsidR="009119BC">
        <w:rPr>
          <w:lang w:val="es-ES"/>
        </w:rPr>
        <w:t>&amp;</w:t>
      </w:r>
      <w:r w:rsidRPr="00C960A2">
        <w:rPr>
          <w:lang w:val="es-ES"/>
        </w:rPr>
        <w:t xml:space="preserve"> Oñate, 2005). A través de 50 ítems, recopila información sobre ocho factores o comportamientos específicos de acoso. Además, se obtienen dos dimensiones de segundo orden de acoso con alta fiabilidad en esta muestra agrupando los diferentes factores: acoso físico (α = .86) y acoso psicológico (α = .90). El AFC con una estructura de dos factores ajustó muy bien a los datos: </w:t>
      </w:r>
      <w:r w:rsidR="00D4310C" w:rsidRPr="00C960A2">
        <w:rPr>
          <w:rFonts w:ascii="Symbol" w:hAnsi="Symbol"/>
          <w:lang w:val="es-ES"/>
        </w:rPr>
        <w:t></w:t>
      </w:r>
      <w:r w:rsidR="00D4310C" w:rsidRPr="00C960A2">
        <w:rPr>
          <w:rFonts w:ascii="Symbol" w:hAnsi="Symbol"/>
          <w:lang w:val="es-ES"/>
        </w:rPr>
        <w:t></w:t>
      </w:r>
      <w:r w:rsidR="00D4310C" w:rsidRPr="00C960A2">
        <w:rPr>
          <w:lang w:val="es-ES"/>
        </w:rPr>
        <w:t>2</w:t>
      </w:r>
      <w:r w:rsidRPr="00C960A2">
        <w:rPr>
          <w:lang w:val="es-ES"/>
        </w:rPr>
        <w:t xml:space="preserve"> (1174) = 2346.54, p &lt;.001, RMSEA = .043 [.041 - .046], CFI = .950.</w:t>
      </w:r>
    </w:p>
    <w:p w14:paraId="791BF8BB" w14:textId="62ACD84E" w:rsidR="00CE538B" w:rsidRPr="00C960A2" w:rsidRDefault="00CE538B" w:rsidP="00CE538B">
      <w:pPr>
        <w:pStyle w:val="Prrafocomn"/>
        <w:rPr>
          <w:lang w:val="es-ES"/>
        </w:rPr>
      </w:pPr>
      <w:r w:rsidRPr="00C960A2">
        <w:rPr>
          <w:lang w:val="es-ES"/>
        </w:rPr>
        <w:t>-La Escala de Agresividad Física y Verbal (</w:t>
      </w:r>
      <w:proofErr w:type="spellStart"/>
      <w:r w:rsidRPr="00C960A2">
        <w:rPr>
          <w:lang w:val="es-ES"/>
        </w:rPr>
        <w:t>Caprara</w:t>
      </w:r>
      <w:proofErr w:type="spellEnd"/>
      <w:r w:rsidRPr="00C960A2">
        <w:rPr>
          <w:lang w:val="es-ES"/>
        </w:rPr>
        <w:t xml:space="preserve"> y </w:t>
      </w:r>
      <w:proofErr w:type="spellStart"/>
      <w:r w:rsidRPr="00C960A2">
        <w:rPr>
          <w:lang w:val="es-ES"/>
        </w:rPr>
        <w:t>Pastorelli</w:t>
      </w:r>
      <w:proofErr w:type="spellEnd"/>
      <w:r w:rsidRPr="00C960A2">
        <w:rPr>
          <w:lang w:val="es-ES"/>
        </w:rPr>
        <w:t xml:space="preserve">, 1993), en su versión en español de Del Barrio, Moreno y López (2001). De los 20 ítems de esta escala, 15 describen el comportamiento de los niños referidos a lastimar a otros física o verbalmente, y cinco son ítems de control. La consistencia interna de la prueba fue α = .84 para agresividad verbal, y α = .80 para agresividad física. El AFC de dos factores tuvo un ajuste muy bueno: </w:t>
      </w:r>
      <w:r w:rsidR="00D4310C" w:rsidRPr="00C960A2">
        <w:rPr>
          <w:rFonts w:ascii="Symbol" w:hAnsi="Symbol"/>
          <w:lang w:val="es-ES"/>
        </w:rPr>
        <w:t></w:t>
      </w:r>
      <w:r w:rsidR="00D4310C" w:rsidRPr="00C960A2">
        <w:rPr>
          <w:lang w:val="es-ES"/>
        </w:rPr>
        <w:t>2</w:t>
      </w:r>
      <w:r w:rsidRPr="00C960A2">
        <w:rPr>
          <w:lang w:val="es-ES"/>
        </w:rPr>
        <w:t xml:space="preserve"> (89) = 247.65, p &lt;</w:t>
      </w:r>
      <w:r w:rsidR="00D4310C" w:rsidRPr="00C960A2">
        <w:rPr>
          <w:lang w:val="es-ES"/>
        </w:rPr>
        <w:t xml:space="preserve"> </w:t>
      </w:r>
      <w:r w:rsidRPr="00C960A2">
        <w:rPr>
          <w:lang w:val="es-ES"/>
        </w:rPr>
        <w:t>.001, RMSEA = .058 [.049 - .067], CFI = .968.</w:t>
      </w:r>
    </w:p>
    <w:p w14:paraId="41220A0E" w14:textId="6F45F596" w:rsidR="00CE538B" w:rsidRPr="00C960A2" w:rsidRDefault="00CE538B" w:rsidP="00CE538B">
      <w:pPr>
        <w:pStyle w:val="Prrafocomn"/>
        <w:rPr>
          <w:lang w:val="es-ES"/>
        </w:rPr>
      </w:pPr>
      <w:r w:rsidRPr="00C960A2">
        <w:rPr>
          <w:lang w:val="es-ES"/>
        </w:rPr>
        <w:t>-El Cuestionario de Conducta Prosocial (</w:t>
      </w:r>
      <w:proofErr w:type="spellStart"/>
      <w:r w:rsidRPr="00C960A2">
        <w:rPr>
          <w:lang w:val="es-ES"/>
        </w:rPr>
        <w:t>Caprara</w:t>
      </w:r>
      <w:proofErr w:type="spellEnd"/>
      <w:r w:rsidRPr="00C960A2">
        <w:rPr>
          <w:lang w:val="es-ES"/>
        </w:rPr>
        <w:t xml:space="preserve"> </w:t>
      </w:r>
      <w:r w:rsidR="009119BC">
        <w:rPr>
          <w:lang w:val="es-ES"/>
        </w:rPr>
        <w:t>&amp;</w:t>
      </w:r>
      <w:r w:rsidRPr="00C960A2">
        <w:rPr>
          <w:lang w:val="es-ES"/>
        </w:rPr>
        <w:t xml:space="preserve"> </w:t>
      </w:r>
      <w:proofErr w:type="spellStart"/>
      <w:r w:rsidRPr="00C960A2">
        <w:rPr>
          <w:lang w:val="es-ES"/>
        </w:rPr>
        <w:t>Pastorelli</w:t>
      </w:r>
      <w:proofErr w:type="spellEnd"/>
      <w:r w:rsidRPr="00C960A2">
        <w:rPr>
          <w:lang w:val="es-ES"/>
        </w:rPr>
        <w:t xml:space="preserve">, 1993), en su versión en español adaptada por Del Barrio et al. (2001). Consta de 15 ítems, de los cuales 10 ofrecen una descripción del comportamiento de los niños en relación al altruismo, la </w:t>
      </w:r>
      <w:r w:rsidRPr="00C960A2">
        <w:rPr>
          <w:lang w:val="es-ES"/>
        </w:rPr>
        <w:lastRenderedPageBreak/>
        <w:t xml:space="preserve">confianza y la simpatía, y cinco son ítems de control. La escala proporciona una fiabilidad para el comportamiento prosocial de α = .67, y nuevamente un AFC de un factor proporcionó un buen ajuste: </w:t>
      </w:r>
      <w:r w:rsidR="00D4310C" w:rsidRPr="00C960A2">
        <w:rPr>
          <w:rFonts w:ascii="Symbol" w:hAnsi="Symbol"/>
          <w:lang w:val="es-ES"/>
        </w:rPr>
        <w:t></w:t>
      </w:r>
      <w:r w:rsidR="00D4310C" w:rsidRPr="00C960A2">
        <w:rPr>
          <w:lang w:val="es-ES"/>
        </w:rPr>
        <w:t>2</w:t>
      </w:r>
      <w:r w:rsidRPr="00C960A2">
        <w:rPr>
          <w:lang w:val="es-ES"/>
        </w:rPr>
        <w:t xml:space="preserve"> (35) = 119.18, p &lt;</w:t>
      </w:r>
      <w:r w:rsidR="00D4310C" w:rsidRPr="00C960A2">
        <w:rPr>
          <w:lang w:val="es-ES"/>
        </w:rPr>
        <w:t xml:space="preserve"> </w:t>
      </w:r>
      <w:r w:rsidRPr="00C960A2">
        <w:rPr>
          <w:lang w:val="es-ES"/>
        </w:rPr>
        <w:t>.001, RMSEA = .067 [.054 - .081], CFI = .900.</w:t>
      </w:r>
    </w:p>
    <w:p w14:paraId="51E8991F" w14:textId="0A7F2735" w:rsidR="00CE538B" w:rsidRPr="00C960A2" w:rsidRDefault="00CE538B" w:rsidP="00CE538B">
      <w:pPr>
        <w:pStyle w:val="Prrafocomn"/>
        <w:rPr>
          <w:lang w:val="es-ES"/>
        </w:rPr>
      </w:pPr>
      <w:r w:rsidRPr="00C960A2">
        <w:rPr>
          <w:lang w:val="es-ES"/>
        </w:rPr>
        <w:t>-La Escala de Inestabilidad Emocional (</w:t>
      </w:r>
      <w:proofErr w:type="spellStart"/>
      <w:r w:rsidRPr="00C960A2">
        <w:rPr>
          <w:lang w:val="es-ES"/>
        </w:rPr>
        <w:t>Caprara</w:t>
      </w:r>
      <w:proofErr w:type="spellEnd"/>
      <w:r w:rsidRPr="00C960A2">
        <w:rPr>
          <w:lang w:val="es-ES"/>
        </w:rPr>
        <w:t xml:space="preserve"> </w:t>
      </w:r>
      <w:r w:rsidR="009119BC">
        <w:rPr>
          <w:lang w:val="es-ES"/>
        </w:rPr>
        <w:t>&amp;</w:t>
      </w:r>
      <w:r w:rsidRPr="00C960A2">
        <w:rPr>
          <w:lang w:val="es-ES"/>
        </w:rPr>
        <w:t xml:space="preserve"> </w:t>
      </w:r>
      <w:proofErr w:type="spellStart"/>
      <w:r w:rsidRPr="00C960A2">
        <w:rPr>
          <w:lang w:val="es-ES"/>
        </w:rPr>
        <w:t>Pastorelli</w:t>
      </w:r>
      <w:proofErr w:type="spellEnd"/>
      <w:r w:rsidRPr="00C960A2">
        <w:rPr>
          <w:lang w:val="es-ES"/>
        </w:rPr>
        <w:t xml:space="preserve">, 1993), en la versión en español de Del Barrio et al. (2001). Consta de 20 ítems tipo Likert con una escala de respuesta de tres puntos. Describen conductas adolescentes que miden falta de control, asociadas a una baja capacidad para contener la impulsividad, y emocionalidad. La consistencia interna de la prueba en este estudio fue α = .81, y el AFC de un factor encajó muy bien: </w:t>
      </w:r>
      <w:r w:rsidR="00D4310C" w:rsidRPr="00C960A2">
        <w:rPr>
          <w:rFonts w:ascii="Symbol" w:hAnsi="Symbol"/>
          <w:lang w:val="es-ES"/>
        </w:rPr>
        <w:t></w:t>
      </w:r>
      <w:r w:rsidR="00D4310C" w:rsidRPr="00C960A2">
        <w:rPr>
          <w:lang w:val="es-ES"/>
        </w:rPr>
        <w:t>2</w:t>
      </w:r>
      <w:r w:rsidRPr="00C960A2">
        <w:rPr>
          <w:lang w:val="es-ES"/>
        </w:rPr>
        <w:t xml:space="preserve"> (77) = 213.93, p &lt;</w:t>
      </w:r>
      <w:r w:rsidR="00D4310C" w:rsidRPr="00C960A2">
        <w:rPr>
          <w:lang w:val="es-ES"/>
        </w:rPr>
        <w:t xml:space="preserve"> </w:t>
      </w:r>
      <w:r w:rsidRPr="00C960A2">
        <w:rPr>
          <w:lang w:val="es-ES"/>
        </w:rPr>
        <w:t>.001, RMSEA = .058 [.049 - .067], CFI = .943.</w:t>
      </w:r>
    </w:p>
    <w:p w14:paraId="63471287" w14:textId="38B529B3" w:rsidR="00CE538B" w:rsidRPr="00C960A2" w:rsidRDefault="00CE538B" w:rsidP="00CE538B">
      <w:pPr>
        <w:pStyle w:val="Prrafocomn"/>
        <w:rPr>
          <w:lang w:val="es-ES"/>
        </w:rPr>
      </w:pPr>
      <w:r w:rsidRPr="00C960A2">
        <w:rPr>
          <w:lang w:val="es-ES"/>
        </w:rPr>
        <w:t xml:space="preserve">-El Inventario de Ideación Suicida Positiva y Negativa (PANSI; Osman, Gutiérrez, </w:t>
      </w:r>
      <w:proofErr w:type="spellStart"/>
      <w:r w:rsidRPr="00C960A2">
        <w:rPr>
          <w:lang w:val="es-ES"/>
        </w:rPr>
        <w:t>Kopper</w:t>
      </w:r>
      <w:proofErr w:type="spellEnd"/>
      <w:r w:rsidRPr="00C960A2">
        <w:rPr>
          <w:lang w:val="es-ES"/>
        </w:rPr>
        <w:t xml:space="preserve">, Barrios </w:t>
      </w:r>
      <w:r w:rsidR="009119BC">
        <w:rPr>
          <w:lang w:val="es-ES"/>
        </w:rPr>
        <w:t>&amp;</w:t>
      </w:r>
      <w:r w:rsidRPr="00C960A2">
        <w:rPr>
          <w:lang w:val="es-ES"/>
        </w:rPr>
        <w:t xml:space="preserve"> Chiros, 1998), adaptado al español por Villalobos-Galvis (2009). Consta de catorce ítems de los cuales seis miden la ideación suicida positiva, o factores protectores, y ocho, la ideación suicida negativa o factores de riesgo. En este estudio, el alfa de Cronbach fue .70 para ideación suicida positiva, y .89 para ideación suicida negativa. El AFC de solución de dos factores ajustó muy bien: </w:t>
      </w:r>
      <w:r w:rsidR="00D4310C" w:rsidRPr="00C960A2">
        <w:rPr>
          <w:rFonts w:ascii="Symbol" w:hAnsi="Symbol"/>
          <w:lang w:val="es-ES"/>
        </w:rPr>
        <w:t></w:t>
      </w:r>
      <w:r w:rsidR="00D4310C" w:rsidRPr="00C960A2">
        <w:rPr>
          <w:lang w:val="es-ES"/>
        </w:rPr>
        <w:t>2</w:t>
      </w:r>
      <w:r w:rsidRPr="00C960A2">
        <w:rPr>
          <w:lang w:val="es-ES"/>
        </w:rPr>
        <w:t xml:space="preserve"> (76) = 242.89, p &lt;</w:t>
      </w:r>
      <w:r w:rsidR="00D4310C" w:rsidRPr="00C960A2">
        <w:rPr>
          <w:lang w:val="es-ES"/>
        </w:rPr>
        <w:t xml:space="preserve"> </w:t>
      </w:r>
      <w:r w:rsidRPr="00C960A2">
        <w:rPr>
          <w:lang w:val="es-ES"/>
        </w:rPr>
        <w:t>.001, RMSEA = .06 [.055 - .073], CFI = .97.</w:t>
      </w:r>
    </w:p>
    <w:p w14:paraId="2D23E3C8" w14:textId="1BF30147" w:rsidR="004C1FD8" w:rsidRPr="00C960A2" w:rsidRDefault="00CE538B" w:rsidP="00CE538B">
      <w:pPr>
        <w:pStyle w:val="Prrafocomn"/>
        <w:rPr>
          <w:lang w:val="es-ES"/>
        </w:rPr>
      </w:pPr>
      <w:r w:rsidRPr="00C960A2">
        <w:rPr>
          <w:lang w:val="es-ES"/>
        </w:rPr>
        <w:t xml:space="preserve">-Escala de Autoestima Global (Rosenberg, 1986). Esta escala evalúa una sola dimensión de la autoestima. Consta de 10 ítems, los primeros cinco ítems están expresados positivamente y los otros cinco negativamente. Para el propósito de este trabajo, solo se utilizó la mitad positiva de la escala. El alfa de Cronbach de esta escala en el presente estudio fue de .70. El AFC para los cinco ítems positivos mostró un buen ajuste del modelo: </w:t>
      </w:r>
      <w:r w:rsidR="00D4310C" w:rsidRPr="00C960A2">
        <w:rPr>
          <w:rFonts w:ascii="Symbol" w:hAnsi="Symbol"/>
          <w:lang w:val="es-ES"/>
        </w:rPr>
        <w:t></w:t>
      </w:r>
      <w:r w:rsidR="00D4310C" w:rsidRPr="00C960A2">
        <w:rPr>
          <w:lang w:val="es-ES"/>
        </w:rPr>
        <w:t>2</w:t>
      </w:r>
      <w:r w:rsidRPr="00C960A2">
        <w:rPr>
          <w:lang w:val="es-ES"/>
        </w:rPr>
        <w:t xml:space="preserve"> (5)</w:t>
      </w:r>
      <w:r w:rsidR="00D4310C" w:rsidRPr="00C960A2">
        <w:rPr>
          <w:lang w:val="es-ES"/>
        </w:rPr>
        <w:t xml:space="preserve"> </w:t>
      </w:r>
      <w:r w:rsidRPr="00C960A2">
        <w:rPr>
          <w:lang w:val="es-ES"/>
        </w:rPr>
        <w:t>= 29.67, p &lt;</w:t>
      </w:r>
      <w:r w:rsidR="00D4310C" w:rsidRPr="00C960A2">
        <w:rPr>
          <w:lang w:val="es-ES"/>
        </w:rPr>
        <w:t xml:space="preserve"> </w:t>
      </w:r>
      <w:r w:rsidRPr="00C960A2">
        <w:rPr>
          <w:lang w:val="es-ES"/>
        </w:rPr>
        <w:t>.001, RMSEA = .096 [.065 - .131], CFI = .979.</w:t>
      </w:r>
    </w:p>
    <w:p w14:paraId="0F4ED851" w14:textId="00957E2B" w:rsidR="007C3C14" w:rsidRPr="00C960A2" w:rsidRDefault="00CE538B" w:rsidP="007C3C14">
      <w:pPr>
        <w:pStyle w:val="SubtituloInterno"/>
        <w:rPr>
          <w:lang w:val="es-ES"/>
        </w:rPr>
      </w:pPr>
      <w:r w:rsidRPr="00C960A2">
        <w:rPr>
          <w:lang w:val="es-ES"/>
        </w:rPr>
        <w:t>Análisis</w:t>
      </w:r>
    </w:p>
    <w:p w14:paraId="7853932D" w14:textId="1E726D79" w:rsidR="00D4310C" w:rsidRPr="00C960A2" w:rsidRDefault="00D4310C" w:rsidP="00D4310C">
      <w:pPr>
        <w:pStyle w:val="Prrafocomn"/>
        <w:rPr>
          <w:lang w:val="es-ES"/>
        </w:rPr>
      </w:pPr>
      <w:r w:rsidRPr="00C960A2">
        <w:rPr>
          <w:lang w:val="es-ES"/>
        </w:rPr>
        <w:t xml:space="preserve">Los análisis estadísticos incluyeron varios procedimientos. Específicamente, AFC para probar la validez factorial y fiabilidad de las variables psicológicas de interés (estimado en el </w:t>
      </w:r>
      <w:proofErr w:type="spellStart"/>
      <w:r w:rsidRPr="00C960A2">
        <w:rPr>
          <w:lang w:val="es-ES"/>
        </w:rPr>
        <w:t>Mplus</w:t>
      </w:r>
      <w:proofErr w:type="spellEnd"/>
      <w:r w:rsidRPr="00C960A2">
        <w:rPr>
          <w:lang w:val="es-ES"/>
        </w:rPr>
        <w:t xml:space="preserve"> 8.5). La plausibilidad de cualquier modelo AFC se evalúa utilizando varios índices y criterios de ajuste (</w:t>
      </w:r>
      <w:proofErr w:type="spellStart"/>
      <w:r w:rsidRPr="00C960A2">
        <w:rPr>
          <w:lang w:val="es-ES"/>
        </w:rPr>
        <w:t>Hu</w:t>
      </w:r>
      <w:proofErr w:type="spellEnd"/>
      <w:r w:rsidRPr="00C960A2">
        <w:rPr>
          <w:lang w:val="es-ES"/>
        </w:rPr>
        <w:t xml:space="preserve"> </w:t>
      </w:r>
      <w:r w:rsidR="009119BC">
        <w:rPr>
          <w:lang w:val="es-ES"/>
        </w:rPr>
        <w:t>&amp;</w:t>
      </w:r>
      <w:r w:rsidRPr="00C960A2">
        <w:rPr>
          <w:lang w:val="es-ES"/>
        </w:rPr>
        <w:t xml:space="preserve"> </w:t>
      </w:r>
      <w:proofErr w:type="spellStart"/>
      <w:r w:rsidRPr="00C960A2">
        <w:rPr>
          <w:lang w:val="es-ES"/>
        </w:rPr>
        <w:t>Bentler</w:t>
      </w:r>
      <w:proofErr w:type="spellEnd"/>
      <w:r w:rsidRPr="00C960A2">
        <w:rPr>
          <w:lang w:val="es-ES"/>
        </w:rPr>
        <w:t xml:space="preserve">, 1999; Tanaka, 1993). Los datos faltantes se trataron con Full </w:t>
      </w:r>
      <w:proofErr w:type="spellStart"/>
      <w:r w:rsidRPr="00C960A2">
        <w:rPr>
          <w:lang w:val="es-ES"/>
        </w:rPr>
        <w:t>Information</w:t>
      </w:r>
      <w:proofErr w:type="spellEnd"/>
      <w:r w:rsidRPr="00C960A2">
        <w:rPr>
          <w:lang w:val="es-ES"/>
        </w:rPr>
        <w:t xml:space="preserve"> </w:t>
      </w:r>
      <w:proofErr w:type="spellStart"/>
      <w:r w:rsidRPr="00C960A2">
        <w:rPr>
          <w:lang w:val="es-ES"/>
        </w:rPr>
        <w:t>Maximum</w:t>
      </w:r>
      <w:proofErr w:type="spellEnd"/>
      <w:r w:rsidRPr="00C960A2">
        <w:rPr>
          <w:lang w:val="es-ES"/>
        </w:rPr>
        <w:t xml:space="preserve"> </w:t>
      </w:r>
      <w:proofErr w:type="spellStart"/>
      <w:r w:rsidRPr="00C960A2">
        <w:rPr>
          <w:lang w:val="es-ES"/>
        </w:rPr>
        <w:t>Likelihood</w:t>
      </w:r>
      <w:proofErr w:type="spellEnd"/>
      <w:r w:rsidRPr="00C960A2">
        <w:rPr>
          <w:lang w:val="es-ES"/>
        </w:rPr>
        <w:t xml:space="preserve"> (FIML), el método recomendado para modelos estructurales (</w:t>
      </w:r>
      <w:proofErr w:type="spellStart"/>
      <w:r w:rsidRPr="00C960A2">
        <w:rPr>
          <w:lang w:val="es-ES"/>
        </w:rPr>
        <w:t>Finney</w:t>
      </w:r>
      <w:proofErr w:type="spellEnd"/>
      <w:r w:rsidRPr="00C960A2">
        <w:rPr>
          <w:lang w:val="es-ES"/>
        </w:rPr>
        <w:t xml:space="preserve"> </w:t>
      </w:r>
      <w:r w:rsidR="009119BC">
        <w:rPr>
          <w:lang w:val="es-ES"/>
        </w:rPr>
        <w:t>&amp;</w:t>
      </w:r>
      <w:r w:rsidRPr="00C960A2">
        <w:rPr>
          <w:lang w:val="es-ES"/>
        </w:rPr>
        <w:t xml:space="preserve"> </w:t>
      </w:r>
      <w:proofErr w:type="spellStart"/>
      <w:r w:rsidRPr="00C960A2">
        <w:rPr>
          <w:lang w:val="es-ES"/>
        </w:rPr>
        <w:t>DiStefano</w:t>
      </w:r>
      <w:proofErr w:type="spellEnd"/>
      <w:r w:rsidRPr="00C960A2">
        <w:rPr>
          <w:lang w:val="es-ES"/>
        </w:rPr>
        <w:t>, 2013).</w:t>
      </w:r>
    </w:p>
    <w:p w14:paraId="39421178" w14:textId="04481A9B" w:rsidR="00D4310C" w:rsidRPr="00C960A2" w:rsidRDefault="00D4310C" w:rsidP="00D4310C">
      <w:pPr>
        <w:pStyle w:val="Prrafocomn"/>
        <w:rPr>
          <w:lang w:val="es-ES"/>
        </w:rPr>
      </w:pPr>
      <w:r w:rsidRPr="00C960A2">
        <w:rPr>
          <w:lang w:val="es-ES"/>
        </w:rPr>
        <w:t xml:space="preserve">Dado que el tamaño de la muestra influye en gran medida en la decisión de aceptar o rechazar un modelo basándose en motivos estadísticos, se utilizan una serie de índices </w:t>
      </w:r>
      <w:r w:rsidRPr="00C960A2">
        <w:rPr>
          <w:lang w:val="es-ES"/>
        </w:rPr>
        <w:lastRenderedPageBreak/>
        <w:t>de ajuste prácticos para evaluar cualquier modelo. Se utilizaron los siguientes criterios: (a) el estadístico Chi-Cuadrado (Kline, 1998); (b) el índice de ajuste comparativo (CFI) (</w:t>
      </w:r>
      <w:proofErr w:type="spellStart"/>
      <w:r w:rsidRPr="00C960A2">
        <w:rPr>
          <w:lang w:val="es-ES"/>
        </w:rPr>
        <w:t>Bentler</w:t>
      </w:r>
      <w:proofErr w:type="spellEnd"/>
      <w:r w:rsidRPr="00C960A2">
        <w:rPr>
          <w:lang w:val="es-ES"/>
        </w:rPr>
        <w:t xml:space="preserve">, 1990) de más de .90 (e, idealmente, superior a .95; </w:t>
      </w:r>
      <w:proofErr w:type="spellStart"/>
      <w:r w:rsidRPr="00C960A2">
        <w:rPr>
          <w:lang w:val="es-ES"/>
        </w:rPr>
        <w:t>Hu</w:t>
      </w:r>
      <w:proofErr w:type="spellEnd"/>
      <w:r w:rsidRPr="00C960A2">
        <w:rPr>
          <w:lang w:val="es-ES"/>
        </w:rPr>
        <w:t xml:space="preserve"> </w:t>
      </w:r>
      <w:r w:rsidR="009119BC">
        <w:rPr>
          <w:lang w:val="es-ES"/>
        </w:rPr>
        <w:t>&amp;</w:t>
      </w:r>
      <w:r w:rsidRPr="00C960A2">
        <w:rPr>
          <w:lang w:val="es-ES"/>
        </w:rPr>
        <w:t xml:space="preserve"> </w:t>
      </w:r>
      <w:proofErr w:type="spellStart"/>
      <w:r w:rsidRPr="00C960A2">
        <w:rPr>
          <w:lang w:val="es-ES"/>
        </w:rPr>
        <w:t>Bentler</w:t>
      </w:r>
      <w:proofErr w:type="spellEnd"/>
      <w:r w:rsidRPr="00C960A2">
        <w:rPr>
          <w:lang w:val="es-ES"/>
        </w:rPr>
        <w:t xml:space="preserve">, 1999); (c) el error cuadrático medio de aproximación (RMSEA) de .08 o menos (e, idealmente, menos de .05) (Steiger </w:t>
      </w:r>
      <w:r w:rsidR="009119BC">
        <w:rPr>
          <w:lang w:val="es-ES"/>
        </w:rPr>
        <w:t>&amp;</w:t>
      </w:r>
      <w:r w:rsidRPr="00C960A2">
        <w:rPr>
          <w:lang w:val="es-ES"/>
        </w:rPr>
        <w:t xml:space="preserve"> </w:t>
      </w:r>
      <w:proofErr w:type="spellStart"/>
      <w:r w:rsidRPr="00C960A2">
        <w:rPr>
          <w:lang w:val="es-ES"/>
        </w:rPr>
        <w:t>Lind</w:t>
      </w:r>
      <w:proofErr w:type="spellEnd"/>
      <w:r w:rsidRPr="00C960A2">
        <w:rPr>
          <w:lang w:val="es-ES"/>
        </w:rPr>
        <w:t>, 1980); y (d) la Raíz Cuadrada Estandarizada de Residuos (SRMR) de .08 o menos (e, idealmente, menos de .05) (</w:t>
      </w:r>
      <w:proofErr w:type="spellStart"/>
      <w:r w:rsidRPr="00C960A2">
        <w:rPr>
          <w:lang w:val="es-ES"/>
        </w:rPr>
        <w:t>Hu</w:t>
      </w:r>
      <w:proofErr w:type="spellEnd"/>
      <w:r w:rsidRPr="00C960A2">
        <w:rPr>
          <w:lang w:val="es-ES"/>
        </w:rPr>
        <w:t xml:space="preserve"> </w:t>
      </w:r>
      <w:r w:rsidR="009119BC">
        <w:rPr>
          <w:lang w:val="es-ES"/>
        </w:rPr>
        <w:t>&amp;</w:t>
      </w:r>
      <w:r w:rsidRPr="00C960A2">
        <w:rPr>
          <w:lang w:val="es-ES"/>
        </w:rPr>
        <w:t xml:space="preserve"> </w:t>
      </w:r>
      <w:proofErr w:type="spellStart"/>
      <w:r w:rsidRPr="00C960A2">
        <w:rPr>
          <w:lang w:val="es-ES"/>
        </w:rPr>
        <w:t>Bentler</w:t>
      </w:r>
      <w:proofErr w:type="spellEnd"/>
      <w:r w:rsidRPr="00C960A2">
        <w:rPr>
          <w:lang w:val="es-ES"/>
        </w:rPr>
        <w:t xml:space="preserve">, 1999). Según las recomendaciones de </w:t>
      </w:r>
      <w:proofErr w:type="spellStart"/>
      <w:r w:rsidRPr="00C960A2">
        <w:rPr>
          <w:lang w:val="es-ES"/>
        </w:rPr>
        <w:t>Hu</w:t>
      </w:r>
      <w:proofErr w:type="spellEnd"/>
      <w:r w:rsidRPr="00C960A2">
        <w:rPr>
          <w:lang w:val="es-ES"/>
        </w:rPr>
        <w:t xml:space="preserve"> y </w:t>
      </w:r>
      <w:proofErr w:type="spellStart"/>
      <w:r w:rsidRPr="00C960A2">
        <w:rPr>
          <w:lang w:val="es-ES"/>
        </w:rPr>
        <w:t>Bentler</w:t>
      </w:r>
      <w:proofErr w:type="spellEnd"/>
      <w:r w:rsidRPr="00C960A2">
        <w:rPr>
          <w:lang w:val="es-ES"/>
        </w:rPr>
        <w:t xml:space="preserve"> (1999), un CFI de al menos .95, un RMSEA inferior a .06 y un SRMR inferior a .08, juntos, indicarían un buen ajuste entre el modelo hipotético y los datos.</w:t>
      </w:r>
    </w:p>
    <w:p w14:paraId="6C032FBE" w14:textId="36A506A1" w:rsidR="007C3C14" w:rsidRPr="00C960A2" w:rsidRDefault="00D4310C" w:rsidP="00D4310C">
      <w:pPr>
        <w:pStyle w:val="Prrafocomn"/>
        <w:rPr>
          <w:lang w:val="es-ES"/>
        </w:rPr>
      </w:pPr>
      <w:r w:rsidRPr="00C960A2">
        <w:rPr>
          <w:lang w:val="es-ES"/>
        </w:rPr>
        <w:t xml:space="preserve">Para poner a prueba el estudio de las relaciones entre las variables de acoso con las características sociodemográficas de los estudiantes, se emplearon análisis de medias mediante </w:t>
      </w:r>
      <w:proofErr w:type="spellStart"/>
      <w:r w:rsidRPr="00C960A2">
        <w:rPr>
          <w:lang w:val="es-ES"/>
        </w:rPr>
        <w:t>MANOVAs</w:t>
      </w:r>
      <w:proofErr w:type="spellEnd"/>
      <w:r w:rsidRPr="00C960A2">
        <w:rPr>
          <w:lang w:val="es-ES"/>
        </w:rPr>
        <w:t xml:space="preserve"> y </w:t>
      </w:r>
      <w:proofErr w:type="spellStart"/>
      <w:r w:rsidRPr="00C960A2">
        <w:rPr>
          <w:lang w:val="es-ES"/>
        </w:rPr>
        <w:t>ANOVAs</w:t>
      </w:r>
      <w:proofErr w:type="spellEnd"/>
      <w:r w:rsidRPr="00C960A2">
        <w:rPr>
          <w:lang w:val="es-ES"/>
        </w:rPr>
        <w:t xml:space="preserve"> de continuación. Además, se calcularon coeficientes de correlación de Pearson para estimar las relaciones entre las distintas variables.</w:t>
      </w:r>
    </w:p>
    <w:p w14:paraId="2C72D608" w14:textId="77777777" w:rsidR="00792739" w:rsidRPr="005B24FF" w:rsidRDefault="00792739" w:rsidP="00792739">
      <w:pPr>
        <w:pStyle w:val="SubtituloInterno"/>
        <w:rPr>
          <w:lang w:val="es-ES_tradnl"/>
        </w:rPr>
      </w:pPr>
      <w:r w:rsidRPr="005B24FF">
        <w:rPr>
          <w:lang w:val="es-ES_tradnl"/>
        </w:rPr>
        <w:t>Consideraciones éticas</w:t>
      </w:r>
    </w:p>
    <w:p w14:paraId="6EF62420" w14:textId="5D3162EE" w:rsidR="00094D47" w:rsidRPr="005B24FF" w:rsidRDefault="006350B2" w:rsidP="00094D47">
      <w:pPr>
        <w:pStyle w:val="Prrafocomn"/>
        <w:rPr>
          <w:lang w:val="es-AR"/>
        </w:rPr>
      </w:pPr>
      <w:r>
        <w:rPr>
          <w:lang w:val="es-ES_tradnl"/>
        </w:rPr>
        <w:t>En la realización de este trabajo los autores nos regimos por la</w:t>
      </w:r>
      <w:r w:rsidR="009119BC">
        <w:rPr>
          <w:lang w:val="es-ES_tradnl"/>
        </w:rPr>
        <w:t>s</w:t>
      </w:r>
      <w:r>
        <w:rPr>
          <w:lang w:val="es-ES_tradnl"/>
        </w:rPr>
        <w:t xml:space="preserve"> normas éticas contempladas para su realización en la República Dominicana</w:t>
      </w:r>
      <w:r w:rsidR="00094D47">
        <w:rPr>
          <w:lang w:val="es-ES_tradnl"/>
        </w:rPr>
        <w:t xml:space="preserve">, así como en la </w:t>
      </w:r>
      <w:r w:rsidR="00094D47" w:rsidRPr="005B24FF">
        <w:rPr>
          <w:lang w:val="es-ES_tradnl"/>
        </w:rPr>
        <w:t>Declaración Universal de Principios Éticos para Psicólogas y Psicólogos (</w:t>
      </w:r>
      <w:r w:rsidR="00094D47" w:rsidRPr="00AC0FD7">
        <w:rPr>
          <w:lang w:val="es-ES_tradnl"/>
        </w:rPr>
        <w:t xml:space="preserve">IAAP &amp; </w:t>
      </w:r>
      <w:proofErr w:type="spellStart"/>
      <w:r w:rsidR="00094D47" w:rsidRPr="00AC0FD7">
        <w:rPr>
          <w:lang w:val="es-ES_tradnl"/>
        </w:rPr>
        <w:t>IUPsyS</w:t>
      </w:r>
      <w:proofErr w:type="spellEnd"/>
      <w:r w:rsidR="00094D47" w:rsidRPr="00AC0FD7">
        <w:rPr>
          <w:lang w:val="es-ES_tradnl"/>
        </w:rPr>
        <w:t>, 2008</w:t>
      </w:r>
      <w:r w:rsidR="00094D47" w:rsidRPr="005B24FF">
        <w:rPr>
          <w:lang w:val="es-ES_tradnl"/>
        </w:rPr>
        <w:t>)</w:t>
      </w:r>
      <w:r w:rsidR="00094D47">
        <w:rPr>
          <w:lang w:val="es-ES_tradnl"/>
        </w:rPr>
        <w:t xml:space="preserve"> y las </w:t>
      </w:r>
      <w:r w:rsidR="00094D47" w:rsidRPr="005B24FF">
        <w:rPr>
          <w:lang w:val="es-ES_tradnl"/>
        </w:rPr>
        <w:t>declaraciones de la SIP vigentes</w:t>
      </w:r>
      <w:r w:rsidR="00094D47">
        <w:rPr>
          <w:lang w:val="es-ES_tradnl"/>
        </w:rPr>
        <w:t xml:space="preserve"> </w:t>
      </w:r>
      <w:r w:rsidR="00094D47" w:rsidRPr="005B24FF">
        <w:rPr>
          <w:lang w:val="es-AR"/>
        </w:rPr>
        <w:t xml:space="preserve">(SIP, </w:t>
      </w:r>
      <w:r w:rsidR="00094D47" w:rsidRPr="00AC0FD7">
        <w:rPr>
          <w:lang w:val="es-AR"/>
        </w:rPr>
        <w:t>1978</w:t>
      </w:r>
      <w:r w:rsidR="00094D47" w:rsidRPr="005B24FF">
        <w:rPr>
          <w:lang w:val="es-AR"/>
        </w:rPr>
        <w:t xml:space="preserve">, </w:t>
      </w:r>
      <w:r w:rsidR="00094D47" w:rsidRPr="00AC0FD7">
        <w:rPr>
          <w:lang w:val="es-AR"/>
        </w:rPr>
        <w:t>2008a</w:t>
      </w:r>
      <w:r w:rsidR="00094D47" w:rsidRPr="005B24FF">
        <w:rPr>
          <w:lang w:val="es-AR"/>
        </w:rPr>
        <w:t xml:space="preserve">, </w:t>
      </w:r>
      <w:r w:rsidR="00094D47" w:rsidRPr="00AC0FD7">
        <w:rPr>
          <w:lang w:val="es-AR"/>
        </w:rPr>
        <w:t>2008b</w:t>
      </w:r>
      <w:r w:rsidR="00094D47" w:rsidRPr="005B24FF">
        <w:rPr>
          <w:lang w:val="es-AR"/>
        </w:rPr>
        <w:t xml:space="preserve">, </w:t>
      </w:r>
      <w:r w:rsidR="00094D47" w:rsidRPr="00AC0FD7">
        <w:rPr>
          <w:lang w:val="es-AR"/>
        </w:rPr>
        <w:t>2014</w:t>
      </w:r>
      <w:r w:rsidR="00094D47" w:rsidRPr="005B24FF">
        <w:rPr>
          <w:lang w:val="es-AR"/>
        </w:rPr>
        <w:t xml:space="preserve">, </w:t>
      </w:r>
      <w:r w:rsidR="00094D47" w:rsidRPr="00AC0FD7">
        <w:rPr>
          <w:lang w:val="es-AR"/>
        </w:rPr>
        <w:t>2016</w:t>
      </w:r>
      <w:r w:rsidR="00094D47" w:rsidRPr="005B24FF">
        <w:rPr>
          <w:lang w:val="es-AR"/>
        </w:rPr>
        <w:t xml:space="preserve">, </w:t>
      </w:r>
      <w:r w:rsidR="00094D47" w:rsidRPr="00AC0FD7">
        <w:rPr>
          <w:lang w:val="es-AR"/>
        </w:rPr>
        <w:t>2018</w:t>
      </w:r>
      <w:r w:rsidR="00094D47" w:rsidRPr="005B24FF">
        <w:rPr>
          <w:lang w:val="es-AR"/>
        </w:rPr>
        <w:t xml:space="preserve">, </w:t>
      </w:r>
      <w:r w:rsidR="00094D47" w:rsidRPr="00AC0FD7">
        <w:rPr>
          <w:lang w:val="es-AR"/>
        </w:rPr>
        <w:t>2019</w:t>
      </w:r>
      <w:r w:rsidR="00094D47" w:rsidRPr="005B24FF">
        <w:rPr>
          <w:lang w:val="es-AR"/>
        </w:rPr>
        <w:t>).</w:t>
      </w:r>
    </w:p>
    <w:p w14:paraId="61754C2A" w14:textId="35B8E1DD" w:rsidR="006F7E7E" w:rsidRPr="00C960A2" w:rsidRDefault="005B5614" w:rsidP="00CE7D65">
      <w:pPr>
        <w:pStyle w:val="Ttulosinternos"/>
        <w:rPr>
          <w:lang w:val="es-ES"/>
        </w:rPr>
      </w:pPr>
      <w:r w:rsidRPr="00C960A2">
        <w:rPr>
          <w:lang w:val="es-ES"/>
        </w:rPr>
        <w:t>Result</w:t>
      </w:r>
      <w:r w:rsidR="00D4310C" w:rsidRPr="00C960A2">
        <w:rPr>
          <w:lang w:val="es-ES"/>
        </w:rPr>
        <w:t>ados</w:t>
      </w:r>
    </w:p>
    <w:p w14:paraId="5AC65240" w14:textId="6C299CFA" w:rsidR="00A93146" w:rsidRPr="00C960A2" w:rsidRDefault="00023561" w:rsidP="00575541">
      <w:pPr>
        <w:pStyle w:val="Prrafocomn"/>
        <w:rPr>
          <w:lang w:val="es-ES"/>
        </w:rPr>
      </w:pPr>
      <w:r w:rsidRPr="00C960A2">
        <w:rPr>
          <w:lang w:val="es-ES"/>
        </w:rPr>
        <w:t>En la Tabla 1 se muestran los valores de tendencia central, media, desviación típica, mínimo y máximo de las variables incluidas en la investigación.</w:t>
      </w:r>
    </w:p>
    <w:p w14:paraId="0BDF004A" w14:textId="77777777" w:rsidR="00023561" w:rsidRPr="00C960A2" w:rsidRDefault="00023561" w:rsidP="001A623E">
      <w:pPr>
        <w:pStyle w:val="Textoindependiente"/>
        <w:spacing w:line="100" w:lineRule="atLeast"/>
        <w:ind w:firstLine="0"/>
        <w:rPr>
          <w:sz w:val="20"/>
          <w:lang w:val="es-ES"/>
        </w:rPr>
      </w:pPr>
      <w:r w:rsidRPr="00C960A2">
        <w:rPr>
          <w:sz w:val="20"/>
          <w:lang w:val="es-ES"/>
        </w:rPr>
        <w:t xml:space="preserve">Tabla 1 </w:t>
      </w:r>
    </w:p>
    <w:p w14:paraId="051AC4AB" w14:textId="77777777" w:rsidR="00023561" w:rsidRPr="00C960A2" w:rsidRDefault="00023561" w:rsidP="001A623E">
      <w:pPr>
        <w:pStyle w:val="Textoindependiente"/>
        <w:spacing w:line="100" w:lineRule="atLeast"/>
        <w:ind w:firstLine="0"/>
        <w:rPr>
          <w:i/>
          <w:sz w:val="20"/>
          <w:lang w:val="es-ES"/>
        </w:rPr>
      </w:pPr>
      <w:r w:rsidRPr="00C960A2">
        <w:rPr>
          <w:i/>
          <w:sz w:val="20"/>
          <w:lang w:val="es-ES"/>
        </w:rPr>
        <w:t>Estadísticos descriptivos de las variables de estudio</w:t>
      </w:r>
    </w:p>
    <w:tbl>
      <w:tblPr>
        <w:tblStyle w:val="Tablaconcuadrcula"/>
        <w:tblW w:w="8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5"/>
        <w:gridCol w:w="929"/>
        <w:gridCol w:w="2057"/>
        <w:gridCol w:w="1100"/>
        <w:gridCol w:w="1142"/>
      </w:tblGrid>
      <w:tr w:rsidR="00023561" w:rsidRPr="00630FFF" w14:paraId="5ACACFB1" w14:textId="77777777" w:rsidTr="001A623E">
        <w:trPr>
          <w:trHeight w:hRule="exact" w:val="527"/>
        </w:trPr>
        <w:tc>
          <w:tcPr>
            <w:tcW w:w="0" w:type="auto"/>
            <w:tcBorders>
              <w:top w:val="single" w:sz="4" w:space="0" w:color="auto"/>
              <w:bottom w:val="single" w:sz="4" w:space="0" w:color="auto"/>
            </w:tcBorders>
            <w:vAlign w:val="center"/>
          </w:tcPr>
          <w:p w14:paraId="6EF786EC" w14:textId="77777777" w:rsidR="00023561" w:rsidRPr="0095209E" w:rsidRDefault="00023561" w:rsidP="003F24D4">
            <w:pPr>
              <w:suppressAutoHyphens/>
              <w:spacing w:line="100" w:lineRule="atLeast"/>
              <w:rPr>
                <w:color w:val="000000"/>
                <w:sz w:val="20"/>
                <w:szCs w:val="20"/>
                <w:u w:color="000000"/>
                <w:bdr w:val="nil"/>
                <w:lang w:val="es-ES"/>
                <w14:textOutline w14:w="0" w14:cap="flat" w14:cmpd="sng" w14:algn="ctr">
                  <w14:noFill/>
                  <w14:prstDash w14:val="solid"/>
                  <w14:bevel/>
                </w14:textOutline>
              </w:rPr>
            </w:pPr>
            <w:bookmarkStart w:id="0" w:name="_Hlk61259477"/>
          </w:p>
        </w:tc>
        <w:tc>
          <w:tcPr>
            <w:tcW w:w="0" w:type="auto"/>
            <w:tcBorders>
              <w:top w:val="single" w:sz="4" w:space="0" w:color="auto"/>
              <w:bottom w:val="single" w:sz="4" w:space="0" w:color="auto"/>
            </w:tcBorders>
            <w:vAlign w:val="center"/>
          </w:tcPr>
          <w:p w14:paraId="28FFEB6B" w14:textId="77777777" w:rsidR="00023561" w:rsidRPr="003F24D4" w:rsidRDefault="00023561" w:rsidP="003F24D4">
            <w:pPr>
              <w:pStyle w:val="TableParagraph"/>
              <w:suppressAutoHyphens/>
              <w:spacing w:line="100" w:lineRule="atLeast"/>
              <w:rPr>
                <w:color w:val="000000"/>
                <w:sz w:val="20"/>
                <w:szCs w:val="20"/>
                <w:u w:color="000000"/>
                <w:bdr w:val="nil"/>
                <w:lang w:eastAsia="es-ES_tradnl"/>
                <w14:textOutline w14:w="0" w14:cap="flat" w14:cmpd="sng" w14:algn="ctr">
                  <w14:noFill/>
                  <w14:prstDash w14:val="solid"/>
                  <w14:bevel/>
                </w14:textOutline>
              </w:rPr>
            </w:pPr>
            <w:r w:rsidRPr="003F24D4">
              <w:rPr>
                <w:color w:val="000000"/>
                <w:sz w:val="20"/>
                <w:szCs w:val="20"/>
                <w:u w:color="000000"/>
                <w:bdr w:val="nil"/>
                <w:lang w:eastAsia="es-ES_tradnl"/>
                <w14:textOutline w14:w="0" w14:cap="flat" w14:cmpd="sng" w14:algn="ctr">
                  <w14:noFill/>
                  <w14:prstDash w14:val="solid"/>
                  <w14:bevel/>
                </w14:textOutline>
              </w:rPr>
              <w:t>Media</w:t>
            </w:r>
          </w:p>
        </w:tc>
        <w:tc>
          <w:tcPr>
            <w:tcW w:w="0" w:type="auto"/>
            <w:tcBorders>
              <w:top w:val="single" w:sz="4" w:space="0" w:color="auto"/>
              <w:bottom w:val="single" w:sz="4" w:space="0" w:color="auto"/>
            </w:tcBorders>
            <w:vAlign w:val="center"/>
          </w:tcPr>
          <w:p w14:paraId="7CF7400F" w14:textId="77777777" w:rsidR="00023561" w:rsidRPr="003F24D4" w:rsidRDefault="00023561" w:rsidP="003F24D4">
            <w:pPr>
              <w:pStyle w:val="TableParagraph"/>
              <w:suppressAutoHyphens/>
              <w:spacing w:line="100" w:lineRule="atLeast"/>
              <w:rPr>
                <w:color w:val="000000"/>
                <w:sz w:val="20"/>
                <w:szCs w:val="20"/>
                <w:u w:color="000000"/>
                <w:bdr w:val="nil"/>
                <w:lang w:eastAsia="es-ES_tradnl"/>
                <w14:textOutline w14:w="0" w14:cap="flat" w14:cmpd="sng" w14:algn="ctr">
                  <w14:noFill/>
                  <w14:prstDash w14:val="solid"/>
                  <w14:bevel/>
                </w14:textOutline>
              </w:rPr>
            </w:pPr>
            <w:proofErr w:type="spellStart"/>
            <w:r w:rsidRPr="003F24D4">
              <w:rPr>
                <w:color w:val="000000"/>
                <w:sz w:val="20"/>
                <w:szCs w:val="20"/>
                <w:u w:color="000000"/>
                <w:bdr w:val="nil"/>
                <w:lang w:eastAsia="es-ES_tradnl"/>
                <w14:textOutline w14:w="0" w14:cap="flat" w14:cmpd="sng" w14:algn="ctr">
                  <w14:noFill/>
                  <w14:prstDash w14:val="solid"/>
                  <w14:bevel/>
                </w14:textOutline>
              </w:rPr>
              <w:t>Desviación</w:t>
            </w:r>
            <w:proofErr w:type="spellEnd"/>
            <w:r w:rsidRPr="003F24D4">
              <w:rPr>
                <w:color w:val="000000"/>
                <w:sz w:val="20"/>
                <w:szCs w:val="20"/>
                <w:u w:color="000000"/>
                <w:bdr w:val="nil"/>
                <w:lang w:eastAsia="es-ES_tradnl"/>
                <w14:textOutline w14:w="0" w14:cap="flat" w14:cmpd="sng" w14:algn="ctr">
                  <w14:noFill/>
                  <w14:prstDash w14:val="solid"/>
                  <w14:bevel/>
                </w14:textOutline>
              </w:rPr>
              <w:t xml:space="preserve"> </w:t>
            </w:r>
            <w:proofErr w:type="spellStart"/>
            <w:r w:rsidRPr="003F24D4">
              <w:rPr>
                <w:color w:val="000000"/>
                <w:sz w:val="20"/>
                <w:szCs w:val="20"/>
                <w:u w:color="000000"/>
                <w:bdr w:val="nil"/>
                <w:lang w:eastAsia="es-ES_tradnl"/>
                <w14:textOutline w14:w="0" w14:cap="flat" w14:cmpd="sng" w14:algn="ctr">
                  <w14:noFill/>
                  <w14:prstDash w14:val="solid"/>
                  <w14:bevel/>
                </w14:textOutline>
              </w:rPr>
              <w:t>típica</w:t>
            </w:r>
            <w:proofErr w:type="spellEnd"/>
          </w:p>
        </w:tc>
        <w:tc>
          <w:tcPr>
            <w:tcW w:w="0" w:type="auto"/>
            <w:tcBorders>
              <w:top w:val="single" w:sz="4" w:space="0" w:color="auto"/>
              <w:bottom w:val="single" w:sz="4" w:space="0" w:color="auto"/>
            </w:tcBorders>
            <w:vAlign w:val="center"/>
          </w:tcPr>
          <w:p w14:paraId="346177A3" w14:textId="77777777" w:rsidR="00023561" w:rsidRPr="003F24D4" w:rsidRDefault="00023561" w:rsidP="003F24D4">
            <w:pPr>
              <w:pStyle w:val="TableParagraph"/>
              <w:suppressAutoHyphens/>
              <w:spacing w:line="100" w:lineRule="atLeast"/>
              <w:rPr>
                <w:color w:val="000000"/>
                <w:sz w:val="20"/>
                <w:szCs w:val="20"/>
                <w:u w:color="000000"/>
                <w:bdr w:val="nil"/>
                <w:lang w:eastAsia="es-ES_tradnl"/>
                <w14:textOutline w14:w="0" w14:cap="flat" w14:cmpd="sng" w14:algn="ctr">
                  <w14:noFill/>
                  <w14:prstDash w14:val="solid"/>
                  <w14:bevel/>
                </w14:textOutline>
              </w:rPr>
            </w:pPr>
            <w:proofErr w:type="spellStart"/>
            <w:r w:rsidRPr="003F24D4">
              <w:rPr>
                <w:color w:val="000000"/>
                <w:sz w:val="20"/>
                <w:szCs w:val="20"/>
                <w:u w:color="000000"/>
                <w:bdr w:val="nil"/>
                <w:lang w:eastAsia="es-ES_tradnl"/>
                <w14:textOutline w14:w="0" w14:cap="flat" w14:cmpd="sng" w14:algn="ctr">
                  <w14:noFill/>
                  <w14:prstDash w14:val="solid"/>
                  <w14:bevel/>
                </w14:textOutline>
              </w:rPr>
              <w:t>Mínimo</w:t>
            </w:r>
            <w:proofErr w:type="spellEnd"/>
          </w:p>
        </w:tc>
        <w:tc>
          <w:tcPr>
            <w:tcW w:w="0" w:type="auto"/>
            <w:tcBorders>
              <w:top w:val="single" w:sz="4" w:space="0" w:color="auto"/>
              <w:bottom w:val="single" w:sz="4" w:space="0" w:color="auto"/>
            </w:tcBorders>
            <w:vAlign w:val="center"/>
          </w:tcPr>
          <w:p w14:paraId="1A37692E" w14:textId="77777777" w:rsidR="00023561" w:rsidRPr="003F24D4" w:rsidRDefault="00023561" w:rsidP="003F24D4">
            <w:pPr>
              <w:pStyle w:val="TableParagraph"/>
              <w:suppressAutoHyphens/>
              <w:spacing w:line="100" w:lineRule="atLeast"/>
              <w:rPr>
                <w:color w:val="000000"/>
                <w:sz w:val="20"/>
                <w:szCs w:val="20"/>
                <w:u w:color="000000"/>
                <w:bdr w:val="nil"/>
                <w:lang w:eastAsia="es-ES_tradnl"/>
                <w14:textOutline w14:w="0" w14:cap="flat" w14:cmpd="sng" w14:algn="ctr">
                  <w14:noFill/>
                  <w14:prstDash w14:val="solid"/>
                  <w14:bevel/>
                </w14:textOutline>
              </w:rPr>
            </w:pPr>
            <w:proofErr w:type="spellStart"/>
            <w:r w:rsidRPr="003F24D4">
              <w:rPr>
                <w:color w:val="000000"/>
                <w:sz w:val="20"/>
                <w:szCs w:val="20"/>
                <w:u w:color="000000"/>
                <w:bdr w:val="nil"/>
                <w:lang w:eastAsia="es-ES_tradnl"/>
                <w14:textOutline w14:w="0" w14:cap="flat" w14:cmpd="sng" w14:algn="ctr">
                  <w14:noFill/>
                  <w14:prstDash w14:val="solid"/>
                  <w14:bevel/>
                </w14:textOutline>
              </w:rPr>
              <w:t>Máximo</w:t>
            </w:r>
            <w:proofErr w:type="spellEnd"/>
          </w:p>
        </w:tc>
      </w:tr>
      <w:tr w:rsidR="003F24D4" w:rsidRPr="003F24D4" w14:paraId="0E4BE82A" w14:textId="77777777" w:rsidTr="001A623E">
        <w:trPr>
          <w:trHeight w:hRule="exact" w:val="515"/>
        </w:trPr>
        <w:tc>
          <w:tcPr>
            <w:tcW w:w="0" w:type="auto"/>
            <w:tcBorders>
              <w:top w:val="single" w:sz="4" w:space="0" w:color="auto"/>
            </w:tcBorders>
            <w:vAlign w:val="center"/>
          </w:tcPr>
          <w:p w14:paraId="318EAC2B"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proofErr w:type="spellStart"/>
            <w:r w:rsidRPr="003F24D4">
              <w:rPr>
                <w:color w:val="000000"/>
                <w:sz w:val="20"/>
                <w:szCs w:val="20"/>
                <w:u w:color="000000"/>
                <w:bdr w:val="nil"/>
                <w:lang w:val="en-US"/>
                <w14:textOutline w14:w="0" w14:cap="flat" w14:cmpd="sng" w14:algn="ctr">
                  <w14:noFill/>
                  <w14:prstDash w14:val="solid"/>
                  <w14:bevel/>
                </w14:textOutline>
              </w:rPr>
              <w:t>Desprecio</w:t>
            </w:r>
            <w:proofErr w:type="spellEnd"/>
          </w:p>
        </w:tc>
        <w:tc>
          <w:tcPr>
            <w:tcW w:w="0" w:type="auto"/>
            <w:tcBorders>
              <w:top w:val="single" w:sz="4" w:space="0" w:color="auto"/>
            </w:tcBorders>
            <w:vAlign w:val="center"/>
          </w:tcPr>
          <w:p w14:paraId="496FB28E"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1.47</w:t>
            </w:r>
          </w:p>
        </w:tc>
        <w:tc>
          <w:tcPr>
            <w:tcW w:w="0" w:type="auto"/>
            <w:tcBorders>
              <w:top w:val="single" w:sz="4" w:space="0" w:color="auto"/>
            </w:tcBorders>
            <w:vAlign w:val="center"/>
          </w:tcPr>
          <w:p w14:paraId="5D21CF9F"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.43</w:t>
            </w:r>
          </w:p>
        </w:tc>
        <w:tc>
          <w:tcPr>
            <w:tcW w:w="0" w:type="auto"/>
            <w:tcBorders>
              <w:top w:val="single" w:sz="4" w:space="0" w:color="auto"/>
            </w:tcBorders>
            <w:vAlign w:val="center"/>
          </w:tcPr>
          <w:p w14:paraId="7526DF06"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1.00</w:t>
            </w:r>
          </w:p>
        </w:tc>
        <w:tc>
          <w:tcPr>
            <w:tcW w:w="0" w:type="auto"/>
            <w:tcBorders>
              <w:top w:val="single" w:sz="4" w:space="0" w:color="auto"/>
            </w:tcBorders>
            <w:vAlign w:val="center"/>
          </w:tcPr>
          <w:p w14:paraId="6F46E855"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3.12</w:t>
            </w:r>
          </w:p>
        </w:tc>
      </w:tr>
      <w:tr w:rsidR="003F24D4" w:rsidRPr="003F24D4" w14:paraId="68661E95" w14:textId="77777777" w:rsidTr="001A623E">
        <w:trPr>
          <w:trHeight w:hRule="exact" w:val="453"/>
        </w:trPr>
        <w:tc>
          <w:tcPr>
            <w:tcW w:w="0" w:type="auto"/>
            <w:vAlign w:val="center"/>
          </w:tcPr>
          <w:p w14:paraId="11163A4C"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proofErr w:type="spellStart"/>
            <w:r w:rsidRPr="003F24D4">
              <w:rPr>
                <w:color w:val="000000"/>
                <w:sz w:val="20"/>
                <w:szCs w:val="20"/>
                <w:u w:color="000000"/>
                <w:bdr w:val="nil"/>
                <w:lang w:val="en-US"/>
                <w14:textOutline w14:w="0" w14:cap="flat" w14:cmpd="sng" w14:algn="ctr">
                  <w14:noFill/>
                  <w14:prstDash w14:val="solid"/>
                  <w14:bevel/>
                </w14:textOutline>
              </w:rPr>
              <w:t>Coacción</w:t>
            </w:r>
            <w:proofErr w:type="spellEnd"/>
          </w:p>
        </w:tc>
        <w:tc>
          <w:tcPr>
            <w:tcW w:w="0" w:type="auto"/>
            <w:vAlign w:val="center"/>
          </w:tcPr>
          <w:p w14:paraId="1CC74170"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1.16</w:t>
            </w:r>
          </w:p>
        </w:tc>
        <w:tc>
          <w:tcPr>
            <w:tcW w:w="0" w:type="auto"/>
            <w:vAlign w:val="center"/>
          </w:tcPr>
          <w:p w14:paraId="232638A3"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.32</w:t>
            </w:r>
          </w:p>
        </w:tc>
        <w:tc>
          <w:tcPr>
            <w:tcW w:w="0" w:type="auto"/>
            <w:vAlign w:val="center"/>
          </w:tcPr>
          <w:p w14:paraId="0C577B9E"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1.00</w:t>
            </w:r>
          </w:p>
        </w:tc>
        <w:tc>
          <w:tcPr>
            <w:tcW w:w="0" w:type="auto"/>
            <w:vAlign w:val="center"/>
          </w:tcPr>
          <w:p w14:paraId="132E0AEF"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3.25</w:t>
            </w:r>
          </w:p>
        </w:tc>
      </w:tr>
      <w:tr w:rsidR="003F24D4" w:rsidRPr="003F24D4" w14:paraId="07D96FC0" w14:textId="77777777" w:rsidTr="001A623E">
        <w:trPr>
          <w:trHeight w:hRule="exact" w:val="453"/>
        </w:trPr>
        <w:tc>
          <w:tcPr>
            <w:tcW w:w="0" w:type="auto"/>
            <w:vAlign w:val="center"/>
          </w:tcPr>
          <w:p w14:paraId="30B016F7"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proofErr w:type="spellStart"/>
            <w:r w:rsidRPr="003F24D4">
              <w:rPr>
                <w:color w:val="000000"/>
                <w:sz w:val="20"/>
                <w:szCs w:val="20"/>
                <w:u w:color="000000"/>
                <w:bdr w:val="nil"/>
                <w:lang w:val="en-US"/>
                <w14:textOutline w14:w="0" w14:cap="flat" w14:cmpd="sng" w14:algn="ctr">
                  <w14:noFill/>
                  <w14:prstDash w14:val="solid"/>
                  <w14:bevel/>
                </w14:textOutline>
              </w:rPr>
              <w:t>Restricción</w:t>
            </w:r>
            <w:proofErr w:type="spellEnd"/>
          </w:p>
        </w:tc>
        <w:tc>
          <w:tcPr>
            <w:tcW w:w="0" w:type="auto"/>
            <w:vAlign w:val="center"/>
          </w:tcPr>
          <w:p w14:paraId="6E6DDD97"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1.65</w:t>
            </w:r>
          </w:p>
        </w:tc>
        <w:tc>
          <w:tcPr>
            <w:tcW w:w="0" w:type="auto"/>
            <w:vAlign w:val="center"/>
          </w:tcPr>
          <w:p w14:paraId="07DADE39"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.46</w:t>
            </w:r>
          </w:p>
        </w:tc>
        <w:tc>
          <w:tcPr>
            <w:tcW w:w="0" w:type="auto"/>
            <w:vAlign w:val="center"/>
          </w:tcPr>
          <w:p w14:paraId="728BE7A0"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1.00</w:t>
            </w:r>
          </w:p>
        </w:tc>
        <w:tc>
          <w:tcPr>
            <w:tcW w:w="0" w:type="auto"/>
            <w:vAlign w:val="center"/>
          </w:tcPr>
          <w:p w14:paraId="7C41EACB"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3.20</w:t>
            </w:r>
          </w:p>
        </w:tc>
      </w:tr>
      <w:tr w:rsidR="003F24D4" w:rsidRPr="003F24D4" w14:paraId="2EFB7B97" w14:textId="77777777" w:rsidTr="001A623E">
        <w:trPr>
          <w:trHeight w:hRule="exact" w:val="452"/>
        </w:trPr>
        <w:tc>
          <w:tcPr>
            <w:tcW w:w="0" w:type="auto"/>
            <w:vAlign w:val="center"/>
          </w:tcPr>
          <w:p w14:paraId="3BA0D1EC"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proofErr w:type="spellStart"/>
            <w:r w:rsidRPr="003F24D4">
              <w:rPr>
                <w:color w:val="000000"/>
                <w:sz w:val="20"/>
                <w:szCs w:val="20"/>
                <w:u w:color="000000"/>
                <w:bdr w:val="nil"/>
                <w:lang w:val="en-US"/>
                <w14:textOutline w14:w="0" w14:cap="flat" w14:cmpd="sng" w14:algn="ctr">
                  <w14:noFill/>
                  <w14:prstDash w14:val="solid"/>
                  <w14:bevel/>
                </w14:textOutline>
              </w:rPr>
              <w:t>Agresiones</w:t>
            </w:r>
            <w:proofErr w:type="spellEnd"/>
          </w:p>
        </w:tc>
        <w:tc>
          <w:tcPr>
            <w:tcW w:w="0" w:type="auto"/>
            <w:vAlign w:val="center"/>
          </w:tcPr>
          <w:p w14:paraId="23A214EA"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1.35</w:t>
            </w:r>
          </w:p>
        </w:tc>
        <w:tc>
          <w:tcPr>
            <w:tcW w:w="0" w:type="auto"/>
            <w:vAlign w:val="center"/>
          </w:tcPr>
          <w:p w14:paraId="1C09281B"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.40</w:t>
            </w:r>
          </w:p>
        </w:tc>
        <w:tc>
          <w:tcPr>
            <w:tcW w:w="0" w:type="auto"/>
            <w:vAlign w:val="center"/>
          </w:tcPr>
          <w:p w14:paraId="26545825"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1.00</w:t>
            </w:r>
          </w:p>
        </w:tc>
        <w:tc>
          <w:tcPr>
            <w:tcW w:w="0" w:type="auto"/>
            <w:vAlign w:val="center"/>
          </w:tcPr>
          <w:p w14:paraId="0CC65019"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3.00</w:t>
            </w:r>
          </w:p>
        </w:tc>
      </w:tr>
      <w:tr w:rsidR="003F24D4" w:rsidRPr="003F24D4" w14:paraId="4D6F3820" w14:textId="77777777" w:rsidTr="001A623E">
        <w:trPr>
          <w:trHeight w:hRule="exact" w:val="455"/>
        </w:trPr>
        <w:tc>
          <w:tcPr>
            <w:tcW w:w="0" w:type="auto"/>
            <w:vAlign w:val="center"/>
          </w:tcPr>
          <w:p w14:paraId="00C125A7"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proofErr w:type="spellStart"/>
            <w:r w:rsidRPr="003F24D4">
              <w:rPr>
                <w:color w:val="000000"/>
                <w:sz w:val="20"/>
                <w:szCs w:val="20"/>
                <w:u w:color="000000"/>
                <w:bdr w:val="nil"/>
                <w:lang w:val="en-US"/>
                <w14:textOutline w14:w="0" w14:cap="flat" w14:cmpd="sng" w14:algn="ctr">
                  <w14:noFill/>
                  <w14:prstDash w14:val="solid"/>
                  <w14:bevel/>
                </w14:textOutline>
              </w:rPr>
              <w:t>Intimidación</w:t>
            </w:r>
            <w:proofErr w:type="spellEnd"/>
          </w:p>
        </w:tc>
        <w:tc>
          <w:tcPr>
            <w:tcW w:w="0" w:type="auto"/>
            <w:vAlign w:val="center"/>
          </w:tcPr>
          <w:p w14:paraId="0CCE2A53"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1.19</w:t>
            </w:r>
          </w:p>
        </w:tc>
        <w:tc>
          <w:tcPr>
            <w:tcW w:w="0" w:type="auto"/>
            <w:vAlign w:val="center"/>
          </w:tcPr>
          <w:p w14:paraId="5C3A5D89"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.35</w:t>
            </w:r>
          </w:p>
        </w:tc>
        <w:tc>
          <w:tcPr>
            <w:tcW w:w="0" w:type="auto"/>
            <w:vAlign w:val="center"/>
          </w:tcPr>
          <w:p w14:paraId="46233CA1"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1.00</w:t>
            </w:r>
          </w:p>
        </w:tc>
        <w:tc>
          <w:tcPr>
            <w:tcW w:w="0" w:type="auto"/>
            <w:vAlign w:val="center"/>
          </w:tcPr>
          <w:p w14:paraId="50D9C534"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3.00</w:t>
            </w:r>
          </w:p>
        </w:tc>
      </w:tr>
      <w:tr w:rsidR="003F24D4" w:rsidRPr="003F24D4" w14:paraId="68163C73" w14:textId="77777777" w:rsidTr="001A623E">
        <w:trPr>
          <w:trHeight w:hRule="exact" w:val="455"/>
        </w:trPr>
        <w:tc>
          <w:tcPr>
            <w:tcW w:w="0" w:type="auto"/>
            <w:vAlign w:val="center"/>
          </w:tcPr>
          <w:p w14:paraId="3EC91478"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proofErr w:type="spellStart"/>
            <w:r w:rsidRPr="003F24D4">
              <w:rPr>
                <w:color w:val="000000"/>
                <w:sz w:val="20"/>
                <w:szCs w:val="20"/>
                <w:u w:color="000000"/>
                <w:bdr w:val="nil"/>
                <w:lang w:val="en-US"/>
                <w14:textOutline w14:w="0" w14:cap="flat" w14:cmpd="sng" w14:algn="ctr">
                  <w14:noFill/>
                  <w14:prstDash w14:val="solid"/>
                  <w14:bevel/>
                </w14:textOutline>
              </w:rPr>
              <w:t>Exclusión</w:t>
            </w:r>
            <w:proofErr w:type="spellEnd"/>
          </w:p>
        </w:tc>
        <w:tc>
          <w:tcPr>
            <w:tcW w:w="0" w:type="auto"/>
            <w:vAlign w:val="center"/>
          </w:tcPr>
          <w:p w14:paraId="43230833"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1.32</w:t>
            </w:r>
          </w:p>
        </w:tc>
        <w:tc>
          <w:tcPr>
            <w:tcW w:w="0" w:type="auto"/>
            <w:vAlign w:val="center"/>
          </w:tcPr>
          <w:p w14:paraId="31FE66BE"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.41</w:t>
            </w:r>
          </w:p>
        </w:tc>
        <w:tc>
          <w:tcPr>
            <w:tcW w:w="0" w:type="auto"/>
            <w:vAlign w:val="center"/>
          </w:tcPr>
          <w:p w14:paraId="07B8552D"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1.00</w:t>
            </w:r>
          </w:p>
        </w:tc>
        <w:tc>
          <w:tcPr>
            <w:tcW w:w="0" w:type="auto"/>
            <w:vAlign w:val="center"/>
          </w:tcPr>
          <w:p w14:paraId="45A86422"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3.22</w:t>
            </w:r>
          </w:p>
        </w:tc>
      </w:tr>
      <w:tr w:rsidR="003F24D4" w:rsidRPr="003F24D4" w14:paraId="71F31EF3" w14:textId="77777777" w:rsidTr="001A623E">
        <w:trPr>
          <w:trHeight w:hRule="exact" w:val="452"/>
        </w:trPr>
        <w:tc>
          <w:tcPr>
            <w:tcW w:w="0" w:type="auto"/>
            <w:vAlign w:val="center"/>
          </w:tcPr>
          <w:p w14:paraId="3819E849"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proofErr w:type="spellStart"/>
            <w:r w:rsidRPr="003F24D4">
              <w:rPr>
                <w:color w:val="000000"/>
                <w:sz w:val="20"/>
                <w:szCs w:val="20"/>
                <w:u w:color="000000"/>
                <w:bdr w:val="nil"/>
                <w:lang w:val="en-US"/>
                <w14:textOutline w14:w="0" w14:cap="flat" w14:cmpd="sng" w14:algn="ctr">
                  <w14:noFill/>
                  <w14:prstDash w14:val="solid"/>
                  <w14:bevel/>
                </w14:textOutline>
              </w:rPr>
              <w:t>Hostigamiento</w:t>
            </w:r>
            <w:proofErr w:type="spellEnd"/>
          </w:p>
        </w:tc>
        <w:tc>
          <w:tcPr>
            <w:tcW w:w="0" w:type="auto"/>
            <w:vAlign w:val="center"/>
          </w:tcPr>
          <w:p w14:paraId="54F1108F"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1.57</w:t>
            </w:r>
          </w:p>
        </w:tc>
        <w:tc>
          <w:tcPr>
            <w:tcW w:w="0" w:type="auto"/>
            <w:vAlign w:val="center"/>
          </w:tcPr>
          <w:p w14:paraId="3F152833"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.47</w:t>
            </w:r>
          </w:p>
        </w:tc>
        <w:tc>
          <w:tcPr>
            <w:tcW w:w="0" w:type="auto"/>
            <w:vAlign w:val="center"/>
          </w:tcPr>
          <w:p w14:paraId="29B3F5BC"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1.00</w:t>
            </w:r>
          </w:p>
        </w:tc>
        <w:tc>
          <w:tcPr>
            <w:tcW w:w="0" w:type="auto"/>
            <w:vAlign w:val="center"/>
          </w:tcPr>
          <w:p w14:paraId="77E6F287"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4.67</w:t>
            </w:r>
          </w:p>
        </w:tc>
      </w:tr>
      <w:tr w:rsidR="003F24D4" w:rsidRPr="003F24D4" w14:paraId="54C7E8B3" w14:textId="77777777" w:rsidTr="001A623E">
        <w:trPr>
          <w:trHeight w:hRule="exact" w:val="453"/>
        </w:trPr>
        <w:tc>
          <w:tcPr>
            <w:tcW w:w="0" w:type="auto"/>
            <w:vAlign w:val="center"/>
          </w:tcPr>
          <w:p w14:paraId="16F73E80"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proofErr w:type="spellStart"/>
            <w:r w:rsidRPr="003F24D4">
              <w:rPr>
                <w:color w:val="000000"/>
                <w:sz w:val="20"/>
                <w:szCs w:val="20"/>
                <w:u w:color="000000"/>
                <w:bdr w:val="nil"/>
                <w:lang w:val="en-US"/>
                <w14:textOutline w14:w="0" w14:cap="flat" w14:cmpd="sng" w14:algn="ctr">
                  <w14:noFill/>
                  <w14:prstDash w14:val="solid"/>
                  <w14:bevel/>
                </w14:textOutline>
              </w:rPr>
              <w:lastRenderedPageBreak/>
              <w:t>Robos</w:t>
            </w:r>
            <w:proofErr w:type="spellEnd"/>
          </w:p>
        </w:tc>
        <w:tc>
          <w:tcPr>
            <w:tcW w:w="0" w:type="auto"/>
            <w:vAlign w:val="center"/>
          </w:tcPr>
          <w:p w14:paraId="26256F78"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1.42</w:t>
            </w:r>
          </w:p>
        </w:tc>
        <w:tc>
          <w:tcPr>
            <w:tcW w:w="0" w:type="auto"/>
            <w:vAlign w:val="center"/>
          </w:tcPr>
          <w:p w14:paraId="05322690"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.46</w:t>
            </w:r>
          </w:p>
        </w:tc>
        <w:tc>
          <w:tcPr>
            <w:tcW w:w="0" w:type="auto"/>
            <w:vAlign w:val="center"/>
          </w:tcPr>
          <w:p w14:paraId="6FFE1F3A"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1.00</w:t>
            </w:r>
          </w:p>
        </w:tc>
        <w:tc>
          <w:tcPr>
            <w:tcW w:w="0" w:type="auto"/>
            <w:vAlign w:val="center"/>
          </w:tcPr>
          <w:p w14:paraId="0300E7C3"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3.25</w:t>
            </w:r>
          </w:p>
        </w:tc>
      </w:tr>
      <w:tr w:rsidR="003F24D4" w:rsidRPr="003F24D4" w14:paraId="390E4946" w14:textId="77777777" w:rsidTr="001A623E">
        <w:trPr>
          <w:trHeight w:hRule="exact" w:val="453"/>
        </w:trPr>
        <w:tc>
          <w:tcPr>
            <w:tcW w:w="0" w:type="auto"/>
            <w:vAlign w:val="center"/>
          </w:tcPr>
          <w:p w14:paraId="1436F219"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proofErr w:type="spellStart"/>
            <w:r w:rsidRPr="003F24D4">
              <w:rPr>
                <w:color w:val="000000"/>
                <w:sz w:val="20"/>
                <w:szCs w:val="20"/>
                <w:u w:color="000000"/>
                <w:bdr w:val="nil"/>
                <w:lang w:val="en-US"/>
                <w14:textOutline w14:w="0" w14:cap="flat" w14:cmpd="sng" w14:algn="ctr">
                  <w14:noFill/>
                  <w14:prstDash w14:val="solid"/>
                  <w14:bevel/>
                </w14:textOutline>
              </w:rPr>
              <w:t>Acoso</w:t>
            </w:r>
            <w:proofErr w:type="spellEnd"/>
            <w:r w:rsidRPr="003F24D4">
              <w:rPr>
                <w:color w:val="000000"/>
                <w:sz w:val="20"/>
                <w:szCs w:val="20"/>
                <w:u w:color="000000"/>
                <w:bdr w:val="nil"/>
                <w:lang w:val="en-US"/>
                <w14:textOutline w14:w="0" w14:cap="flat" w14:cmpd="sng" w14:algn="ctr">
                  <w14:noFill/>
                  <w14:prstDash w14:val="solid"/>
                  <w14:bevel/>
                </w14:textOutline>
              </w:rPr>
              <w:t xml:space="preserve"> </w:t>
            </w:r>
            <w:proofErr w:type="spellStart"/>
            <w:r w:rsidRPr="003F24D4">
              <w:rPr>
                <w:color w:val="000000"/>
                <w:sz w:val="20"/>
                <w:szCs w:val="20"/>
                <w:u w:color="000000"/>
                <w:bdr w:val="nil"/>
                <w:lang w:val="en-US"/>
                <w14:textOutline w14:w="0" w14:cap="flat" w14:cmpd="sng" w14:algn="ctr">
                  <w14:noFill/>
                  <w14:prstDash w14:val="solid"/>
                  <w14:bevel/>
                </w14:textOutline>
              </w:rPr>
              <w:t>físico</w:t>
            </w:r>
            <w:proofErr w:type="spellEnd"/>
          </w:p>
        </w:tc>
        <w:tc>
          <w:tcPr>
            <w:tcW w:w="0" w:type="auto"/>
            <w:vAlign w:val="center"/>
          </w:tcPr>
          <w:p w14:paraId="1AF2761C"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1.32</w:t>
            </w:r>
          </w:p>
        </w:tc>
        <w:tc>
          <w:tcPr>
            <w:tcW w:w="0" w:type="auto"/>
            <w:vAlign w:val="center"/>
          </w:tcPr>
          <w:p w14:paraId="62A9DF85"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.35</w:t>
            </w:r>
          </w:p>
        </w:tc>
        <w:tc>
          <w:tcPr>
            <w:tcW w:w="0" w:type="auto"/>
            <w:vAlign w:val="center"/>
          </w:tcPr>
          <w:p w14:paraId="29F0D8DE"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1.00</w:t>
            </w:r>
          </w:p>
        </w:tc>
        <w:tc>
          <w:tcPr>
            <w:tcW w:w="0" w:type="auto"/>
            <w:vAlign w:val="center"/>
          </w:tcPr>
          <w:p w14:paraId="17BC978A"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2.92</w:t>
            </w:r>
          </w:p>
        </w:tc>
      </w:tr>
      <w:tr w:rsidR="003F24D4" w:rsidRPr="003F24D4" w14:paraId="63CD2DFD" w14:textId="77777777" w:rsidTr="001A623E">
        <w:trPr>
          <w:trHeight w:hRule="exact" w:val="452"/>
        </w:trPr>
        <w:tc>
          <w:tcPr>
            <w:tcW w:w="0" w:type="auto"/>
            <w:vAlign w:val="center"/>
          </w:tcPr>
          <w:p w14:paraId="741DC87C"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proofErr w:type="spellStart"/>
            <w:r w:rsidRPr="003F24D4">
              <w:rPr>
                <w:color w:val="000000"/>
                <w:sz w:val="20"/>
                <w:szCs w:val="20"/>
                <w:u w:color="000000"/>
                <w:bdr w:val="nil"/>
                <w:lang w:val="en-US"/>
                <w14:textOutline w14:w="0" w14:cap="flat" w14:cmpd="sng" w14:algn="ctr">
                  <w14:noFill/>
                  <w14:prstDash w14:val="solid"/>
                  <w14:bevel/>
                </w14:textOutline>
              </w:rPr>
              <w:t>Acoso</w:t>
            </w:r>
            <w:proofErr w:type="spellEnd"/>
            <w:r w:rsidRPr="003F24D4">
              <w:rPr>
                <w:color w:val="000000"/>
                <w:sz w:val="20"/>
                <w:szCs w:val="20"/>
                <w:u w:color="000000"/>
                <w:bdr w:val="nil"/>
                <w:lang w:val="en-US"/>
                <w14:textOutline w14:w="0" w14:cap="flat" w14:cmpd="sng" w14:algn="ctr">
                  <w14:noFill/>
                  <w14:prstDash w14:val="solid"/>
                  <w14:bevel/>
                </w14:textOutline>
              </w:rPr>
              <w:t xml:space="preserve"> </w:t>
            </w:r>
            <w:proofErr w:type="spellStart"/>
            <w:r w:rsidRPr="003F24D4">
              <w:rPr>
                <w:color w:val="000000"/>
                <w:sz w:val="20"/>
                <w:szCs w:val="20"/>
                <w:u w:color="000000"/>
                <w:bdr w:val="nil"/>
                <w:lang w:val="en-US"/>
                <w14:textOutline w14:w="0" w14:cap="flat" w14:cmpd="sng" w14:algn="ctr">
                  <w14:noFill/>
                  <w14:prstDash w14:val="solid"/>
                  <w14:bevel/>
                </w14:textOutline>
              </w:rPr>
              <w:t>psicológico</w:t>
            </w:r>
            <w:proofErr w:type="spellEnd"/>
          </w:p>
        </w:tc>
        <w:tc>
          <w:tcPr>
            <w:tcW w:w="0" w:type="auto"/>
            <w:vAlign w:val="center"/>
          </w:tcPr>
          <w:p w14:paraId="35A136E2"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1.43</w:t>
            </w:r>
          </w:p>
        </w:tc>
        <w:tc>
          <w:tcPr>
            <w:tcW w:w="0" w:type="auto"/>
            <w:vAlign w:val="center"/>
          </w:tcPr>
          <w:p w14:paraId="04C33D11"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.34</w:t>
            </w:r>
          </w:p>
        </w:tc>
        <w:tc>
          <w:tcPr>
            <w:tcW w:w="0" w:type="auto"/>
            <w:vAlign w:val="center"/>
          </w:tcPr>
          <w:p w14:paraId="510A7B28"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1.00</w:t>
            </w:r>
          </w:p>
        </w:tc>
        <w:tc>
          <w:tcPr>
            <w:tcW w:w="0" w:type="auto"/>
            <w:vAlign w:val="center"/>
          </w:tcPr>
          <w:p w14:paraId="1A23A066"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2.71</w:t>
            </w:r>
          </w:p>
        </w:tc>
      </w:tr>
      <w:tr w:rsidR="003F24D4" w:rsidRPr="003F24D4" w14:paraId="38DD7F47" w14:textId="77777777" w:rsidTr="001A623E">
        <w:trPr>
          <w:trHeight w:hRule="exact" w:val="453"/>
        </w:trPr>
        <w:tc>
          <w:tcPr>
            <w:tcW w:w="0" w:type="auto"/>
            <w:vAlign w:val="center"/>
          </w:tcPr>
          <w:p w14:paraId="516A20F2"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proofErr w:type="spellStart"/>
            <w:r w:rsidRPr="003F24D4">
              <w:rPr>
                <w:color w:val="000000"/>
                <w:sz w:val="20"/>
                <w:szCs w:val="20"/>
                <w:u w:color="000000"/>
                <w:bdr w:val="nil"/>
                <w:lang w:val="en-US"/>
                <w14:textOutline w14:w="0" w14:cap="flat" w14:cmpd="sng" w14:algn="ctr">
                  <w14:noFill/>
                  <w14:prstDash w14:val="solid"/>
                  <w14:bevel/>
                </w14:textOutline>
              </w:rPr>
              <w:t>Agresividad</w:t>
            </w:r>
            <w:proofErr w:type="spellEnd"/>
            <w:r w:rsidRPr="003F24D4">
              <w:rPr>
                <w:color w:val="000000"/>
                <w:sz w:val="20"/>
                <w:szCs w:val="20"/>
                <w:u w:color="000000"/>
                <w:bdr w:val="nil"/>
                <w:lang w:val="en-US"/>
                <w14:textOutline w14:w="0" w14:cap="flat" w14:cmpd="sng" w14:algn="ctr">
                  <w14:noFill/>
                  <w14:prstDash w14:val="solid"/>
                  <w14:bevel/>
                </w14:textOutline>
              </w:rPr>
              <w:t xml:space="preserve"> </w:t>
            </w:r>
            <w:proofErr w:type="spellStart"/>
            <w:r w:rsidRPr="003F24D4">
              <w:rPr>
                <w:color w:val="000000"/>
                <w:sz w:val="20"/>
                <w:szCs w:val="20"/>
                <w:u w:color="000000"/>
                <w:bdr w:val="nil"/>
                <w:lang w:val="en-US"/>
                <w14:textOutline w14:w="0" w14:cap="flat" w14:cmpd="sng" w14:algn="ctr">
                  <w14:noFill/>
                  <w14:prstDash w14:val="solid"/>
                  <w14:bevel/>
                </w14:textOutline>
              </w:rPr>
              <w:t>física</w:t>
            </w:r>
            <w:proofErr w:type="spellEnd"/>
          </w:p>
        </w:tc>
        <w:tc>
          <w:tcPr>
            <w:tcW w:w="0" w:type="auto"/>
            <w:vAlign w:val="center"/>
          </w:tcPr>
          <w:p w14:paraId="6F7EBC2D"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1.28</w:t>
            </w:r>
          </w:p>
        </w:tc>
        <w:tc>
          <w:tcPr>
            <w:tcW w:w="0" w:type="auto"/>
            <w:vAlign w:val="center"/>
          </w:tcPr>
          <w:p w14:paraId="6C060980"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.36</w:t>
            </w:r>
          </w:p>
        </w:tc>
        <w:tc>
          <w:tcPr>
            <w:tcW w:w="0" w:type="auto"/>
            <w:vAlign w:val="center"/>
          </w:tcPr>
          <w:p w14:paraId="3EA756C8"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1.00</w:t>
            </w:r>
          </w:p>
        </w:tc>
        <w:tc>
          <w:tcPr>
            <w:tcW w:w="0" w:type="auto"/>
            <w:vAlign w:val="center"/>
          </w:tcPr>
          <w:p w14:paraId="34B9040F"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3.00</w:t>
            </w:r>
          </w:p>
        </w:tc>
      </w:tr>
      <w:tr w:rsidR="003F24D4" w:rsidRPr="003F24D4" w14:paraId="338B9797" w14:textId="77777777" w:rsidTr="001A623E">
        <w:trPr>
          <w:trHeight w:hRule="exact" w:val="453"/>
        </w:trPr>
        <w:tc>
          <w:tcPr>
            <w:tcW w:w="0" w:type="auto"/>
            <w:vAlign w:val="center"/>
          </w:tcPr>
          <w:p w14:paraId="246899BE"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proofErr w:type="spellStart"/>
            <w:r w:rsidRPr="003F24D4">
              <w:rPr>
                <w:color w:val="000000"/>
                <w:sz w:val="20"/>
                <w:szCs w:val="20"/>
                <w:u w:color="000000"/>
                <w:bdr w:val="nil"/>
                <w:lang w:val="en-US"/>
                <w14:textOutline w14:w="0" w14:cap="flat" w14:cmpd="sng" w14:algn="ctr">
                  <w14:noFill/>
                  <w14:prstDash w14:val="solid"/>
                  <w14:bevel/>
                </w14:textOutline>
              </w:rPr>
              <w:t>Agresividad</w:t>
            </w:r>
            <w:proofErr w:type="spellEnd"/>
            <w:r w:rsidRPr="003F24D4">
              <w:rPr>
                <w:color w:val="000000"/>
                <w:sz w:val="20"/>
                <w:szCs w:val="20"/>
                <w:u w:color="000000"/>
                <w:bdr w:val="nil"/>
                <w:lang w:val="en-US"/>
                <w14:textOutline w14:w="0" w14:cap="flat" w14:cmpd="sng" w14:algn="ctr">
                  <w14:noFill/>
                  <w14:prstDash w14:val="solid"/>
                  <w14:bevel/>
                </w14:textOutline>
              </w:rPr>
              <w:t xml:space="preserve"> verbal</w:t>
            </w:r>
          </w:p>
        </w:tc>
        <w:tc>
          <w:tcPr>
            <w:tcW w:w="0" w:type="auto"/>
            <w:vAlign w:val="center"/>
          </w:tcPr>
          <w:p w14:paraId="5BDEC46C"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1.34</w:t>
            </w:r>
          </w:p>
        </w:tc>
        <w:tc>
          <w:tcPr>
            <w:tcW w:w="0" w:type="auto"/>
            <w:vAlign w:val="center"/>
          </w:tcPr>
          <w:p w14:paraId="0C223822"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.36</w:t>
            </w:r>
          </w:p>
        </w:tc>
        <w:tc>
          <w:tcPr>
            <w:tcW w:w="0" w:type="auto"/>
            <w:vAlign w:val="center"/>
          </w:tcPr>
          <w:p w14:paraId="17D01C1D"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1.00</w:t>
            </w:r>
          </w:p>
        </w:tc>
        <w:tc>
          <w:tcPr>
            <w:tcW w:w="0" w:type="auto"/>
            <w:vAlign w:val="center"/>
          </w:tcPr>
          <w:p w14:paraId="25D33B03"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3.00</w:t>
            </w:r>
          </w:p>
        </w:tc>
      </w:tr>
      <w:tr w:rsidR="003F24D4" w:rsidRPr="003F24D4" w14:paraId="597FB793" w14:textId="77777777" w:rsidTr="001A623E">
        <w:trPr>
          <w:trHeight w:hRule="exact" w:val="452"/>
        </w:trPr>
        <w:tc>
          <w:tcPr>
            <w:tcW w:w="0" w:type="auto"/>
            <w:vAlign w:val="center"/>
          </w:tcPr>
          <w:p w14:paraId="0D4349DC"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proofErr w:type="spellStart"/>
            <w:r w:rsidRPr="003F24D4">
              <w:rPr>
                <w:color w:val="000000"/>
                <w:sz w:val="20"/>
                <w:szCs w:val="20"/>
                <w:u w:color="000000"/>
                <w:bdr w:val="nil"/>
                <w:lang w:val="en-US"/>
                <w14:textOutline w14:w="0" w14:cap="flat" w14:cmpd="sng" w14:algn="ctr">
                  <w14:noFill/>
                  <w14:prstDash w14:val="solid"/>
                  <w14:bevel/>
                </w14:textOutline>
              </w:rPr>
              <w:t>Conducta</w:t>
            </w:r>
            <w:proofErr w:type="spellEnd"/>
            <w:r w:rsidRPr="003F24D4">
              <w:rPr>
                <w:color w:val="000000"/>
                <w:sz w:val="20"/>
                <w:szCs w:val="20"/>
                <w:u w:color="000000"/>
                <w:bdr w:val="nil"/>
                <w:lang w:val="en-US"/>
                <w14:textOutline w14:w="0" w14:cap="flat" w14:cmpd="sng" w14:algn="ctr">
                  <w14:noFill/>
                  <w14:prstDash w14:val="solid"/>
                  <w14:bevel/>
                </w14:textOutline>
              </w:rPr>
              <w:t xml:space="preserve"> prosocial</w:t>
            </w:r>
          </w:p>
        </w:tc>
        <w:tc>
          <w:tcPr>
            <w:tcW w:w="0" w:type="auto"/>
            <w:vAlign w:val="center"/>
          </w:tcPr>
          <w:p w14:paraId="697533C4"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2.32</w:t>
            </w:r>
          </w:p>
        </w:tc>
        <w:tc>
          <w:tcPr>
            <w:tcW w:w="0" w:type="auto"/>
            <w:vAlign w:val="center"/>
          </w:tcPr>
          <w:p w14:paraId="504FE4E8"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.30</w:t>
            </w:r>
          </w:p>
        </w:tc>
        <w:tc>
          <w:tcPr>
            <w:tcW w:w="0" w:type="auto"/>
            <w:vAlign w:val="center"/>
          </w:tcPr>
          <w:p w14:paraId="240D780B"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1.30</w:t>
            </w:r>
          </w:p>
        </w:tc>
        <w:tc>
          <w:tcPr>
            <w:tcW w:w="0" w:type="auto"/>
            <w:vAlign w:val="center"/>
          </w:tcPr>
          <w:p w14:paraId="33C2F6B8"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3.00</w:t>
            </w:r>
          </w:p>
        </w:tc>
      </w:tr>
      <w:tr w:rsidR="003F24D4" w:rsidRPr="003F24D4" w14:paraId="653B9BF2" w14:textId="77777777" w:rsidTr="001A623E">
        <w:trPr>
          <w:trHeight w:hRule="exact" w:val="455"/>
        </w:trPr>
        <w:tc>
          <w:tcPr>
            <w:tcW w:w="0" w:type="auto"/>
            <w:vAlign w:val="center"/>
          </w:tcPr>
          <w:p w14:paraId="13B26E3A"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proofErr w:type="spellStart"/>
            <w:r w:rsidRPr="003F24D4">
              <w:rPr>
                <w:color w:val="000000"/>
                <w:sz w:val="20"/>
                <w:szCs w:val="20"/>
                <w:u w:color="000000"/>
                <w:bdr w:val="nil"/>
                <w:lang w:val="en-US"/>
                <w14:textOutline w14:w="0" w14:cap="flat" w14:cmpd="sng" w14:algn="ctr">
                  <w14:noFill/>
                  <w14:prstDash w14:val="solid"/>
                  <w14:bevel/>
                </w14:textOutline>
              </w:rPr>
              <w:t>Inestabilidad</w:t>
            </w:r>
            <w:proofErr w:type="spellEnd"/>
            <w:r w:rsidRPr="003F24D4">
              <w:rPr>
                <w:color w:val="000000"/>
                <w:sz w:val="20"/>
                <w:szCs w:val="20"/>
                <w:u w:color="000000"/>
                <w:bdr w:val="nil"/>
                <w:lang w:val="en-US"/>
                <w14:textOutline w14:w="0" w14:cap="flat" w14:cmpd="sng" w14:algn="ctr">
                  <w14:noFill/>
                  <w14:prstDash w14:val="solid"/>
                  <w14:bevel/>
                </w14:textOutline>
              </w:rPr>
              <w:t xml:space="preserve"> </w:t>
            </w:r>
            <w:proofErr w:type="spellStart"/>
            <w:r w:rsidRPr="003F24D4">
              <w:rPr>
                <w:color w:val="000000"/>
                <w:sz w:val="20"/>
                <w:szCs w:val="20"/>
                <w:u w:color="000000"/>
                <w:bdr w:val="nil"/>
                <w:lang w:val="en-US"/>
                <w14:textOutline w14:w="0" w14:cap="flat" w14:cmpd="sng" w14:algn="ctr">
                  <w14:noFill/>
                  <w14:prstDash w14:val="solid"/>
                  <w14:bevel/>
                </w14:textOutline>
              </w:rPr>
              <w:t>emocional</w:t>
            </w:r>
            <w:proofErr w:type="spellEnd"/>
          </w:p>
        </w:tc>
        <w:tc>
          <w:tcPr>
            <w:tcW w:w="0" w:type="auto"/>
            <w:vAlign w:val="center"/>
          </w:tcPr>
          <w:p w14:paraId="3F3B6928"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1.62</w:t>
            </w:r>
          </w:p>
        </w:tc>
        <w:tc>
          <w:tcPr>
            <w:tcW w:w="0" w:type="auto"/>
            <w:vAlign w:val="center"/>
          </w:tcPr>
          <w:p w14:paraId="653E0550"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.34</w:t>
            </w:r>
          </w:p>
        </w:tc>
        <w:tc>
          <w:tcPr>
            <w:tcW w:w="0" w:type="auto"/>
            <w:vAlign w:val="center"/>
          </w:tcPr>
          <w:p w14:paraId="175EA97A"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1.00</w:t>
            </w:r>
          </w:p>
        </w:tc>
        <w:tc>
          <w:tcPr>
            <w:tcW w:w="0" w:type="auto"/>
            <w:vAlign w:val="center"/>
          </w:tcPr>
          <w:p w14:paraId="259877E0"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2.93</w:t>
            </w:r>
          </w:p>
        </w:tc>
      </w:tr>
      <w:tr w:rsidR="003F24D4" w:rsidRPr="003F24D4" w14:paraId="44718859" w14:textId="77777777" w:rsidTr="001A623E">
        <w:trPr>
          <w:trHeight w:hRule="exact" w:val="455"/>
        </w:trPr>
        <w:tc>
          <w:tcPr>
            <w:tcW w:w="0" w:type="auto"/>
            <w:vAlign w:val="center"/>
          </w:tcPr>
          <w:p w14:paraId="3ADA8F5F"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proofErr w:type="spellStart"/>
            <w:r w:rsidRPr="003F24D4">
              <w:rPr>
                <w:color w:val="000000"/>
                <w:sz w:val="20"/>
                <w:szCs w:val="20"/>
                <w:u w:color="000000"/>
                <w:bdr w:val="nil"/>
                <w:lang w:val="en-US"/>
                <w14:textOutline w14:w="0" w14:cap="flat" w14:cmpd="sng" w14:algn="ctr">
                  <w14:noFill/>
                  <w14:prstDash w14:val="solid"/>
                  <w14:bevel/>
                </w14:textOutline>
              </w:rPr>
              <w:t>Ideaciones</w:t>
            </w:r>
            <w:proofErr w:type="spellEnd"/>
            <w:r w:rsidRPr="003F24D4">
              <w:rPr>
                <w:color w:val="000000"/>
                <w:sz w:val="20"/>
                <w:szCs w:val="20"/>
                <w:u w:color="000000"/>
                <w:bdr w:val="nil"/>
                <w:lang w:val="en-US"/>
                <w14:textOutline w14:w="0" w14:cap="flat" w14:cmpd="sng" w14:algn="ctr">
                  <w14:noFill/>
                  <w14:prstDash w14:val="solid"/>
                  <w14:bevel/>
                </w14:textOutline>
              </w:rPr>
              <w:t xml:space="preserve"> </w:t>
            </w:r>
            <w:proofErr w:type="spellStart"/>
            <w:r w:rsidRPr="003F24D4">
              <w:rPr>
                <w:color w:val="000000"/>
                <w:sz w:val="20"/>
                <w:szCs w:val="20"/>
                <w:u w:color="000000"/>
                <w:bdr w:val="nil"/>
                <w:lang w:val="en-US"/>
                <w14:textOutline w14:w="0" w14:cap="flat" w14:cmpd="sng" w14:algn="ctr">
                  <w14:noFill/>
                  <w14:prstDash w14:val="solid"/>
                  <w14:bevel/>
                </w14:textOutline>
              </w:rPr>
              <w:t>suicidas</w:t>
            </w:r>
            <w:proofErr w:type="spellEnd"/>
            <w:r w:rsidRPr="003F24D4">
              <w:rPr>
                <w:color w:val="000000"/>
                <w:sz w:val="20"/>
                <w:szCs w:val="20"/>
                <w:u w:color="000000"/>
                <w:bdr w:val="nil"/>
                <w:lang w:val="en-US"/>
                <w14:textOutline w14:w="0" w14:cap="flat" w14:cmpd="sng" w14:algn="ctr">
                  <w14:noFill/>
                  <w14:prstDash w14:val="solid"/>
                  <w14:bevel/>
                </w14:textOutline>
              </w:rPr>
              <w:t xml:space="preserve"> </w:t>
            </w:r>
            <w:proofErr w:type="spellStart"/>
            <w:r w:rsidRPr="003F24D4">
              <w:rPr>
                <w:color w:val="000000"/>
                <w:sz w:val="20"/>
                <w:szCs w:val="20"/>
                <w:u w:color="000000"/>
                <w:bdr w:val="nil"/>
                <w:lang w:val="en-US"/>
                <w14:textOutline w14:w="0" w14:cap="flat" w14:cmpd="sng" w14:algn="ctr">
                  <w14:noFill/>
                  <w14:prstDash w14:val="solid"/>
                  <w14:bevel/>
                </w14:textOutline>
              </w:rPr>
              <w:t>positivas</w:t>
            </w:r>
            <w:proofErr w:type="spellEnd"/>
          </w:p>
        </w:tc>
        <w:tc>
          <w:tcPr>
            <w:tcW w:w="0" w:type="auto"/>
            <w:vAlign w:val="center"/>
          </w:tcPr>
          <w:p w14:paraId="6DBAFE09"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2.77</w:t>
            </w:r>
          </w:p>
        </w:tc>
        <w:tc>
          <w:tcPr>
            <w:tcW w:w="0" w:type="auto"/>
            <w:vAlign w:val="center"/>
          </w:tcPr>
          <w:p w14:paraId="39B086E5"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.76</w:t>
            </w:r>
          </w:p>
        </w:tc>
        <w:tc>
          <w:tcPr>
            <w:tcW w:w="0" w:type="auto"/>
            <w:vAlign w:val="center"/>
          </w:tcPr>
          <w:p w14:paraId="4433E11F"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.00</w:t>
            </w:r>
          </w:p>
        </w:tc>
        <w:tc>
          <w:tcPr>
            <w:tcW w:w="0" w:type="auto"/>
            <w:vAlign w:val="center"/>
          </w:tcPr>
          <w:p w14:paraId="15504B9D"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4.00</w:t>
            </w:r>
          </w:p>
        </w:tc>
      </w:tr>
      <w:tr w:rsidR="003F24D4" w:rsidRPr="003F24D4" w14:paraId="44BDF4A0" w14:textId="77777777" w:rsidTr="001A623E">
        <w:trPr>
          <w:trHeight w:hRule="exact" w:val="452"/>
        </w:trPr>
        <w:tc>
          <w:tcPr>
            <w:tcW w:w="0" w:type="auto"/>
            <w:vAlign w:val="center"/>
          </w:tcPr>
          <w:p w14:paraId="52888EA8"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proofErr w:type="spellStart"/>
            <w:r w:rsidRPr="003F24D4">
              <w:rPr>
                <w:color w:val="000000"/>
                <w:sz w:val="20"/>
                <w:szCs w:val="20"/>
                <w:u w:color="000000"/>
                <w:bdr w:val="nil"/>
                <w:lang w:val="en-US"/>
                <w14:textOutline w14:w="0" w14:cap="flat" w14:cmpd="sng" w14:algn="ctr">
                  <w14:noFill/>
                  <w14:prstDash w14:val="solid"/>
                  <w14:bevel/>
                </w14:textOutline>
              </w:rPr>
              <w:t>Ideaciones</w:t>
            </w:r>
            <w:proofErr w:type="spellEnd"/>
            <w:r w:rsidRPr="003F24D4">
              <w:rPr>
                <w:color w:val="000000"/>
                <w:sz w:val="20"/>
                <w:szCs w:val="20"/>
                <w:u w:color="000000"/>
                <w:bdr w:val="nil"/>
                <w:lang w:val="en-US"/>
                <w14:textOutline w14:w="0" w14:cap="flat" w14:cmpd="sng" w14:algn="ctr">
                  <w14:noFill/>
                  <w14:prstDash w14:val="solid"/>
                  <w14:bevel/>
                </w14:textOutline>
              </w:rPr>
              <w:t xml:space="preserve"> </w:t>
            </w:r>
            <w:proofErr w:type="spellStart"/>
            <w:r w:rsidRPr="003F24D4">
              <w:rPr>
                <w:color w:val="000000"/>
                <w:sz w:val="20"/>
                <w:szCs w:val="20"/>
                <w:u w:color="000000"/>
                <w:bdr w:val="nil"/>
                <w:lang w:val="en-US"/>
                <w14:textOutline w14:w="0" w14:cap="flat" w14:cmpd="sng" w14:algn="ctr">
                  <w14:noFill/>
                  <w14:prstDash w14:val="solid"/>
                  <w14:bevel/>
                </w14:textOutline>
              </w:rPr>
              <w:t>suicidas</w:t>
            </w:r>
            <w:proofErr w:type="spellEnd"/>
            <w:r w:rsidRPr="003F24D4">
              <w:rPr>
                <w:color w:val="000000"/>
                <w:sz w:val="20"/>
                <w:szCs w:val="20"/>
                <w:u w:color="000000"/>
                <w:bdr w:val="nil"/>
                <w:lang w:val="en-US"/>
                <w14:textOutline w14:w="0" w14:cap="flat" w14:cmpd="sng" w14:algn="ctr">
                  <w14:noFill/>
                  <w14:prstDash w14:val="solid"/>
                  <w14:bevel/>
                </w14:textOutline>
              </w:rPr>
              <w:t xml:space="preserve"> </w:t>
            </w:r>
            <w:proofErr w:type="spellStart"/>
            <w:r w:rsidRPr="003F24D4">
              <w:rPr>
                <w:color w:val="000000"/>
                <w:sz w:val="20"/>
                <w:szCs w:val="20"/>
                <w:u w:color="000000"/>
                <w:bdr w:val="nil"/>
                <w:lang w:val="en-US"/>
                <w14:textOutline w14:w="0" w14:cap="flat" w14:cmpd="sng" w14:algn="ctr">
                  <w14:noFill/>
                  <w14:prstDash w14:val="solid"/>
                  <w14:bevel/>
                </w14:textOutline>
              </w:rPr>
              <w:t>negativas</w:t>
            </w:r>
            <w:proofErr w:type="spellEnd"/>
          </w:p>
        </w:tc>
        <w:tc>
          <w:tcPr>
            <w:tcW w:w="0" w:type="auto"/>
            <w:vAlign w:val="center"/>
          </w:tcPr>
          <w:p w14:paraId="5BD59214"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.49</w:t>
            </w:r>
          </w:p>
        </w:tc>
        <w:tc>
          <w:tcPr>
            <w:tcW w:w="0" w:type="auto"/>
            <w:vAlign w:val="center"/>
          </w:tcPr>
          <w:p w14:paraId="2B51FB4F"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.77</w:t>
            </w:r>
          </w:p>
        </w:tc>
        <w:tc>
          <w:tcPr>
            <w:tcW w:w="0" w:type="auto"/>
            <w:vAlign w:val="center"/>
          </w:tcPr>
          <w:p w14:paraId="0322CAB6"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.00</w:t>
            </w:r>
          </w:p>
        </w:tc>
        <w:tc>
          <w:tcPr>
            <w:tcW w:w="0" w:type="auto"/>
            <w:vAlign w:val="center"/>
          </w:tcPr>
          <w:p w14:paraId="68C766C1"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3.50</w:t>
            </w:r>
          </w:p>
        </w:tc>
      </w:tr>
      <w:tr w:rsidR="003F24D4" w:rsidRPr="003F24D4" w14:paraId="1E563A70" w14:textId="77777777" w:rsidTr="001A623E">
        <w:trPr>
          <w:trHeight w:hRule="exact" w:val="470"/>
        </w:trPr>
        <w:tc>
          <w:tcPr>
            <w:tcW w:w="0" w:type="auto"/>
            <w:tcBorders>
              <w:bottom w:val="single" w:sz="4" w:space="0" w:color="auto"/>
            </w:tcBorders>
            <w:vAlign w:val="center"/>
          </w:tcPr>
          <w:p w14:paraId="465E67EE"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proofErr w:type="spellStart"/>
            <w:r w:rsidRPr="003F24D4">
              <w:rPr>
                <w:color w:val="000000"/>
                <w:sz w:val="20"/>
                <w:szCs w:val="20"/>
                <w:u w:color="000000"/>
                <w:bdr w:val="nil"/>
                <w:lang w:val="en-US"/>
                <w14:textOutline w14:w="0" w14:cap="flat" w14:cmpd="sng" w14:algn="ctr">
                  <w14:noFill/>
                  <w14:prstDash w14:val="solid"/>
                  <w14:bevel/>
                </w14:textOutline>
              </w:rPr>
              <w:t>Autoestima</w:t>
            </w:r>
            <w:proofErr w:type="spellEnd"/>
          </w:p>
        </w:tc>
        <w:tc>
          <w:tcPr>
            <w:tcW w:w="0" w:type="auto"/>
            <w:tcBorders>
              <w:bottom w:val="single" w:sz="4" w:space="0" w:color="auto"/>
            </w:tcBorders>
            <w:vAlign w:val="center"/>
          </w:tcPr>
          <w:p w14:paraId="2EC5EC14"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3.46</w:t>
            </w:r>
          </w:p>
        </w:tc>
        <w:tc>
          <w:tcPr>
            <w:tcW w:w="0" w:type="auto"/>
            <w:tcBorders>
              <w:bottom w:val="single" w:sz="4" w:space="0" w:color="auto"/>
            </w:tcBorders>
            <w:vAlign w:val="center"/>
          </w:tcPr>
          <w:p w14:paraId="79FE9434"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.491</w:t>
            </w:r>
          </w:p>
        </w:tc>
        <w:tc>
          <w:tcPr>
            <w:tcW w:w="0" w:type="auto"/>
            <w:tcBorders>
              <w:bottom w:val="single" w:sz="4" w:space="0" w:color="auto"/>
            </w:tcBorders>
            <w:vAlign w:val="center"/>
          </w:tcPr>
          <w:p w14:paraId="36888009"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1.00</w:t>
            </w:r>
          </w:p>
        </w:tc>
        <w:tc>
          <w:tcPr>
            <w:tcW w:w="0" w:type="auto"/>
            <w:tcBorders>
              <w:bottom w:val="single" w:sz="4" w:space="0" w:color="auto"/>
            </w:tcBorders>
            <w:vAlign w:val="center"/>
          </w:tcPr>
          <w:p w14:paraId="2DA49789" w14:textId="77777777" w:rsidR="00023561" w:rsidRPr="003F24D4" w:rsidRDefault="00023561"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4.00</w:t>
            </w:r>
          </w:p>
        </w:tc>
      </w:tr>
      <w:bookmarkEnd w:id="0"/>
    </w:tbl>
    <w:p w14:paraId="1CE08E94" w14:textId="77777777" w:rsidR="00023561" w:rsidRPr="00C960A2" w:rsidRDefault="00023561" w:rsidP="00D4310C">
      <w:pPr>
        <w:pStyle w:val="Prrafocomn"/>
        <w:rPr>
          <w:lang w:val="es-ES"/>
        </w:rPr>
      </w:pPr>
    </w:p>
    <w:p w14:paraId="12CD1B5F" w14:textId="6C2873DA" w:rsidR="00D4310C" w:rsidRPr="00C960A2" w:rsidRDefault="00023561" w:rsidP="00D4310C">
      <w:pPr>
        <w:pStyle w:val="Prrafocomn"/>
        <w:rPr>
          <w:lang w:val="es-ES"/>
        </w:rPr>
      </w:pPr>
      <w:r w:rsidRPr="00C960A2">
        <w:rPr>
          <w:lang w:val="es-ES"/>
        </w:rPr>
        <w:t>El estudio de estas variables en función de los diferentes sociodemográficos incluidos muestran resultados de interés. Así pues, se obtuvieron diferencias significativas en acoso escolar en función del grado o ciclo de escolarización al que pertenece el estudiante (</w:t>
      </w:r>
      <w:r w:rsidRPr="00C960A2">
        <w:rPr>
          <w:i/>
          <w:iCs/>
          <w:lang w:val="es-ES"/>
        </w:rPr>
        <w:t>F</w:t>
      </w:r>
      <w:r w:rsidRPr="00C960A2">
        <w:rPr>
          <w:vertAlign w:val="subscript"/>
          <w:lang w:val="es-ES"/>
        </w:rPr>
        <w:t xml:space="preserve">40,2610 </w:t>
      </w:r>
      <w:r w:rsidRPr="00C960A2">
        <w:rPr>
          <w:lang w:val="es-ES"/>
        </w:rPr>
        <w:t xml:space="preserve">= 1.56, </w:t>
      </w:r>
      <w:r w:rsidRPr="00C960A2">
        <w:rPr>
          <w:iCs/>
          <w:lang w:val="es-ES"/>
        </w:rPr>
        <w:t>p</w:t>
      </w:r>
      <w:r w:rsidRPr="00C960A2">
        <w:rPr>
          <w:i/>
          <w:iCs/>
          <w:lang w:val="es-ES"/>
        </w:rPr>
        <w:t xml:space="preserve"> </w:t>
      </w:r>
      <w:r w:rsidRPr="00C960A2">
        <w:rPr>
          <w:lang w:val="es-ES"/>
        </w:rPr>
        <w:t xml:space="preserve">&lt; .05, </w:t>
      </w:r>
      <w:r w:rsidRPr="00C960A2">
        <w:rPr>
          <w:rFonts w:ascii="Symbol" w:hAnsi="Symbol"/>
          <w:lang w:val="es-ES"/>
        </w:rPr>
        <w:t></w:t>
      </w:r>
      <w:r w:rsidRPr="00C960A2">
        <w:rPr>
          <w:rFonts w:ascii="Symbol" w:hAnsi="Symbol"/>
          <w:vertAlign w:val="superscript"/>
          <w:lang w:val="es-ES"/>
        </w:rPr>
        <w:t></w:t>
      </w:r>
      <w:r w:rsidRPr="00C960A2">
        <w:rPr>
          <w:lang w:val="es-ES"/>
        </w:rPr>
        <w:t xml:space="preserve"> = .02). Los </w:t>
      </w:r>
      <w:proofErr w:type="spellStart"/>
      <w:r w:rsidRPr="00C960A2">
        <w:rPr>
          <w:lang w:val="es-ES"/>
        </w:rPr>
        <w:t>ANOVAs</w:t>
      </w:r>
      <w:proofErr w:type="spellEnd"/>
      <w:r w:rsidRPr="00C960A2">
        <w:rPr>
          <w:lang w:val="es-ES"/>
        </w:rPr>
        <w:t xml:space="preserve"> de continuación muestran diferencias estadísticamente significativas únicamente en exclusión (Tabla 2). Más concretamente, las pruebas </w:t>
      </w:r>
      <w:proofErr w:type="spellStart"/>
      <w:r w:rsidRPr="00C960A2">
        <w:rPr>
          <w:i/>
          <w:lang w:val="es-ES"/>
        </w:rPr>
        <w:t>post-hoc</w:t>
      </w:r>
      <w:proofErr w:type="spellEnd"/>
      <w:r w:rsidRPr="00C960A2">
        <w:rPr>
          <w:lang w:val="es-ES"/>
        </w:rPr>
        <w:t xml:space="preserve"> señalan diferencias entre el primer grado y el sexto (p &lt; .01), con una media de 1.47 en el primer grado (</w:t>
      </w:r>
      <w:r w:rsidRPr="00C960A2">
        <w:rPr>
          <w:i/>
          <w:lang w:val="es-ES"/>
        </w:rPr>
        <w:t>DT</w:t>
      </w:r>
      <w:r w:rsidRPr="00C960A2">
        <w:rPr>
          <w:lang w:val="es-ES"/>
        </w:rPr>
        <w:t xml:space="preserve"> = .53) y de 1.20 en el sexto (</w:t>
      </w:r>
      <w:r w:rsidRPr="00C960A2">
        <w:rPr>
          <w:i/>
          <w:lang w:val="es-ES"/>
        </w:rPr>
        <w:t>DT</w:t>
      </w:r>
      <w:r w:rsidRPr="00C960A2">
        <w:rPr>
          <w:lang w:val="es-ES"/>
        </w:rPr>
        <w:t xml:space="preserve"> =.33). Cuando se contemplan las dos dimensiones de acoso (físico y psicológico), no se observan diferencias estadísticamente significativas (</w:t>
      </w:r>
      <w:r w:rsidRPr="00C960A2">
        <w:rPr>
          <w:i/>
          <w:iCs/>
          <w:lang w:val="es-ES"/>
        </w:rPr>
        <w:t>F</w:t>
      </w:r>
      <w:r w:rsidRPr="00C960A2">
        <w:rPr>
          <w:vertAlign w:val="subscript"/>
          <w:lang w:val="es-ES"/>
        </w:rPr>
        <w:t>10,1050</w:t>
      </w:r>
      <w:r w:rsidRPr="00C960A2">
        <w:rPr>
          <w:lang w:val="es-ES"/>
        </w:rPr>
        <w:t xml:space="preserve"> = .84, </w:t>
      </w:r>
      <w:r w:rsidRPr="00C960A2">
        <w:rPr>
          <w:iCs/>
          <w:lang w:val="es-ES"/>
        </w:rPr>
        <w:t>p</w:t>
      </w:r>
      <w:r w:rsidRPr="00C960A2">
        <w:rPr>
          <w:i/>
          <w:iCs/>
          <w:lang w:val="es-ES"/>
        </w:rPr>
        <w:t xml:space="preserve"> </w:t>
      </w:r>
      <w:r w:rsidRPr="00C960A2">
        <w:rPr>
          <w:lang w:val="es-ES"/>
        </w:rPr>
        <w:t>&gt; .05).</w:t>
      </w:r>
    </w:p>
    <w:p w14:paraId="4572E89A" w14:textId="77777777" w:rsidR="00023561" w:rsidRPr="00C960A2" w:rsidRDefault="00023561" w:rsidP="00023561">
      <w:pPr>
        <w:widowControl w:val="0"/>
        <w:autoSpaceDE w:val="0"/>
        <w:autoSpaceDN w:val="0"/>
        <w:rPr>
          <w:sz w:val="20"/>
          <w:szCs w:val="20"/>
          <w:lang w:val="es-ES"/>
        </w:rPr>
      </w:pPr>
      <w:r w:rsidRPr="00C960A2">
        <w:rPr>
          <w:sz w:val="20"/>
          <w:szCs w:val="20"/>
          <w:lang w:val="es-ES"/>
        </w:rPr>
        <w:t>Tabla 2</w:t>
      </w:r>
    </w:p>
    <w:p w14:paraId="6452321C" w14:textId="128985B2" w:rsidR="00023561" w:rsidRDefault="00023561" w:rsidP="00023561">
      <w:pPr>
        <w:widowControl w:val="0"/>
        <w:autoSpaceDE w:val="0"/>
        <w:autoSpaceDN w:val="0"/>
        <w:rPr>
          <w:i/>
          <w:sz w:val="20"/>
          <w:szCs w:val="20"/>
          <w:lang w:val="es-ES"/>
        </w:rPr>
      </w:pPr>
      <w:proofErr w:type="spellStart"/>
      <w:r w:rsidRPr="00C960A2">
        <w:rPr>
          <w:i/>
          <w:sz w:val="20"/>
          <w:szCs w:val="20"/>
          <w:lang w:val="es-ES"/>
        </w:rPr>
        <w:t>Anovas</w:t>
      </w:r>
      <w:proofErr w:type="spellEnd"/>
      <w:r w:rsidRPr="00C960A2">
        <w:rPr>
          <w:i/>
          <w:sz w:val="20"/>
          <w:szCs w:val="20"/>
          <w:lang w:val="es-ES"/>
        </w:rPr>
        <w:t xml:space="preserve"> de continuación de Acoso Escolar en función del grado o ciclo escolar</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17"/>
        <w:gridCol w:w="840"/>
        <w:gridCol w:w="1930"/>
        <w:gridCol w:w="1005"/>
        <w:gridCol w:w="1046"/>
        <w:gridCol w:w="566"/>
      </w:tblGrid>
      <w:tr w:rsidR="003F24D4" w:rsidRPr="00630FFF" w14:paraId="3D6C7E5B" w14:textId="598852F9" w:rsidTr="003F24D4">
        <w:trPr>
          <w:trHeight w:hRule="exact" w:val="527"/>
        </w:trPr>
        <w:tc>
          <w:tcPr>
            <w:tcW w:w="1832" w:type="pct"/>
            <w:tcBorders>
              <w:top w:val="single" w:sz="4" w:space="0" w:color="auto"/>
              <w:bottom w:val="single" w:sz="4" w:space="0" w:color="auto"/>
            </w:tcBorders>
            <w:vAlign w:val="center"/>
          </w:tcPr>
          <w:p w14:paraId="4B0FC4DD" w14:textId="6788AAD5" w:rsidR="003F24D4" w:rsidRPr="003F24D4" w:rsidRDefault="003F24D4"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proofErr w:type="spellStart"/>
            <w:r w:rsidRPr="003F24D4">
              <w:rPr>
                <w:color w:val="000000"/>
                <w:sz w:val="20"/>
                <w:szCs w:val="20"/>
                <w:u w:color="000000"/>
                <w:bdr w:val="nil"/>
                <w:lang w:val="en-US"/>
                <w14:textOutline w14:w="0" w14:cap="flat" w14:cmpd="sng" w14:algn="ctr">
                  <w14:noFill/>
                  <w14:prstDash w14:val="solid"/>
                  <w14:bevel/>
                </w14:textOutline>
              </w:rPr>
              <w:t>Acoso</w:t>
            </w:r>
            <w:proofErr w:type="spellEnd"/>
            <w:r w:rsidRPr="003F24D4">
              <w:rPr>
                <w:color w:val="000000"/>
                <w:sz w:val="20"/>
                <w:szCs w:val="20"/>
                <w:u w:color="000000"/>
                <w:bdr w:val="nil"/>
                <w:lang w:val="en-US"/>
                <w14:textOutline w14:w="0" w14:cap="flat" w14:cmpd="sng" w14:algn="ctr">
                  <w14:noFill/>
                  <w14:prstDash w14:val="solid"/>
                  <w14:bevel/>
                </w14:textOutline>
              </w:rPr>
              <w:t xml:space="preserve"> Escolar</w:t>
            </w:r>
          </w:p>
        </w:tc>
        <w:tc>
          <w:tcPr>
            <w:tcW w:w="494" w:type="pct"/>
            <w:tcBorders>
              <w:top w:val="single" w:sz="4" w:space="0" w:color="auto"/>
              <w:bottom w:val="single" w:sz="4" w:space="0" w:color="auto"/>
            </w:tcBorders>
            <w:vAlign w:val="center"/>
          </w:tcPr>
          <w:p w14:paraId="3700338B" w14:textId="27464B6C" w:rsidR="003F24D4" w:rsidRPr="003F24D4" w:rsidRDefault="003F24D4" w:rsidP="003F24D4">
            <w:pPr>
              <w:pStyle w:val="TableParagraph"/>
              <w:suppressAutoHyphens/>
              <w:spacing w:line="100" w:lineRule="atLeast"/>
              <w:rPr>
                <w:color w:val="000000"/>
                <w:sz w:val="20"/>
                <w:szCs w:val="20"/>
                <w:u w:color="000000"/>
                <w:bdr w:val="nil"/>
                <w:lang w:eastAsia="es-ES_tradnl"/>
                <w14:textOutline w14:w="0" w14:cap="flat" w14:cmpd="sng" w14:algn="ctr">
                  <w14:noFill/>
                  <w14:prstDash w14:val="solid"/>
                  <w14:bevel/>
                </w14:textOutline>
              </w:rPr>
            </w:pPr>
            <w:r w:rsidRPr="003F24D4">
              <w:rPr>
                <w:color w:val="000000"/>
                <w:sz w:val="20"/>
                <w:szCs w:val="20"/>
                <w:u w:color="000000"/>
                <w:bdr w:val="nil"/>
                <w14:textOutline w14:w="0" w14:cap="flat" w14:cmpd="sng" w14:algn="ctr">
                  <w14:noFill/>
                  <w14:prstDash w14:val="solid"/>
                  <w14:bevel/>
                </w14:textOutline>
              </w:rPr>
              <w:t>F</w:t>
            </w:r>
          </w:p>
        </w:tc>
        <w:tc>
          <w:tcPr>
            <w:tcW w:w="1135" w:type="pct"/>
            <w:tcBorders>
              <w:top w:val="single" w:sz="4" w:space="0" w:color="auto"/>
              <w:bottom w:val="single" w:sz="4" w:space="0" w:color="auto"/>
            </w:tcBorders>
            <w:vAlign w:val="center"/>
          </w:tcPr>
          <w:p w14:paraId="1DC62C7F" w14:textId="6F09FD0E" w:rsidR="003F24D4" w:rsidRPr="003F24D4" w:rsidRDefault="003F24D4" w:rsidP="003F24D4">
            <w:pPr>
              <w:pStyle w:val="TableParagraph"/>
              <w:suppressAutoHyphens/>
              <w:spacing w:line="100" w:lineRule="atLeast"/>
              <w:rPr>
                <w:color w:val="000000"/>
                <w:sz w:val="20"/>
                <w:szCs w:val="20"/>
                <w:u w:color="000000"/>
                <w:bdr w:val="nil"/>
                <w:lang w:eastAsia="es-ES_tradnl"/>
                <w14:textOutline w14:w="0" w14:cap="flat" w14:cmpd="sng" w14:algn="ctr">
                  <w14:noFill/>
                  <w14:prstDash w14:val="solid"/>
                  <w14:bevel/>
                </w14:textOutline>
              </w:rPr>
            </w:pPr>
            <w:proofErr w:type="spellStart"/>
            <w:r w:rsidRPr="003F24D4">
              <w:rPr>
                <w:color w:val="000000"/>
                <w:sz w:val="20"/>
                <w:szCs w:val="20"/>
                <w:u w:color="000000"/>
                <w:bdr w:val="nil"/>
                <w14:textOutline w14:w="0" w14:cap="flat" w14:cmpd="sng" w14:algn="ctr">
                  <w14:noFill/>
                  <w14:prstDash w14:val="solid"/>
                  <w14:bevel/>
                </w14:textOutline>
              </w:rPr>
              <w:t>gl</w:t>
            </w:r>
            <w:r w:rsidRPr="003F24D4">
              <w:rPr>
                <w:color w:val="000000"/>
                <w:sz w:val="20"/>
                <w:szCs w:val="20"/>
                <w:u w:color="000000"/>
                <w:bdr w:val="nil"/>
                <w:vertAlign w:val="subscript"/>
                <w14:textOutline w14:w="0" w14:cap="flat" w14:cmpd="sng" w14:algn="ctr">
                  <w14:noFill/>
                  <w14:prstDash w14:val="solid"/>
                  <w14:bevel/>
                </w14:textOutline>
              </w:rPr>
              <w:t>num</w:t>
            </w:r>
            <w:proofErr w:type="spellEnd"/>
          </w:p>
        </w:tc>
        <w:tc>
          <w:tcPr>
            <w:tcW w:w="591" w:type="pct"/>
            <w:tcBorders>
              <w:top w:val="single" w:sz="4" w:space="0" w:color="auto"/>
              <w:bottom w:val="single" w:sz="4" w:space="0" w:color="auto"/>
            </w:tcBorders>
            <w:vAlign w:val="center"/>
          </w:tcPr>
          <w:p w14:paraId="56A5C52C" w14:textId="7D1BD786" w:rsidR="003F24D4" w:rsidRPr="003F24D4" w:rsidRDefault="003F24D4" w:rsidP="003F24D4">
            <w:pPr>
              <w:pStyle w:val="TableParagraph"/>
              <w:suppressAutoHyphens/>
              <w:spacing w:line="100" w:lineRule="atLeast"/>
              <w:rPr>
                <w:color w:val="000000"/>
                <w:sz w:val="20"/>
                <w:szCs w:val="20"/>
                <w:u w:color="000000"/>
                <w:bdr w:val="nil"/>
                <w:lang w:eastAsia="es-ES_tradnl"/>
                <w14:textOutline w14:w="0" w14:cap="flat" w14:cmpd="sng" w14:algn="ctr">
                  <w14:noFill/>
                  <w14:prstDash w14:val="solid"/>
                  <w14:bevel/>
                </w14:textOutline>
              </w:rPr>
            </w:pPr>
            <w:proofErr w:type="spellStart"/>
            <w:r w:rsidRPr="003F24D4">
              <w:rPr>
                <w:color w:val="000000"/>
                <w:sz w:val="20"/>
                <w:szCs w:val="20"/>
                <w:u w:color="000000"/>
                <w:bdr w:val="nil"/>
                <w14:textOutline w14:w="0" w14:cap="flat" w14:cmpd="sng" w14:algn="ctr">
                  <w14:noFill/>
                  <w14:prstDash w14:val="solid"/>
                  <w14:bevel/>
                </w14:textOutline>
              </w:rPr>
              <w:t>gl</w:t>
            </w:r>
            <w:r w:rsidRPr="003F24D4">
              <w:rPr>
                <w:color w:val="000000"/>
                <w:sz w:val="20"/>
                <w:szCs w:val="20"/>
                <w:u w:color="000000"/>
                <w:bdr w:val="nil"/>
                <w:vertAlign w:val="subscript"/>
                <w14:textOutline w14:w="0" w14:cap="flat" w14:cmpd="sng" w14:algn="ctr">
                  <w14:noFill/>
                  <w14:prstDash w14:val="solid"/>
                  <w14:bevel/>
                </w14:textOutline>
              </w:rPr>
              <w:t>dem</w:t>
            </w:r>
            <w:proofErr w:type="spellEnd"/>
          </w:p>
        </w:tc>
        <w:tc>
          <w:tcPr>
            <w:tcW w:w="615" w:type="pct"/>
            <w:tcBorders>
              <w:top w:val="single" w:sz="4" w:space="0" w:color="auto"/>
              <w:bottom w:val="single" w:sz="4" w:space="0" w:color="auto"/>
            </w:tcBorders>
            <w:vAlign w:val="center"/>
          </w:tcPr>
          <w:p w14:paraId="308A1C4D" w14:textId="0EBC5A21" w:rsidR="003F24D4" w:rsidRPr="003F24D4" w:rsidRDefault="003F24D4" w:rsidP="003F24D4">
            <w:pPr>
              <w:pStyle w:val="TableParagraph"/>
              <w:suppressAutoHyphens/>
              <w:spacing w:line="100" w:lineRule="atLeast"/>
              <w:rPr>
                <w:color w:val="000000"/>
                <w:sz w:val="20"/>
                <w:szCs w:val="20"/>
                <w:u w:color="000000"/>
                <w:bdr w:val="nil"/>
                <w:lang w:eastAsia="es-ES_tradnl"/>
                <w14:textOutline w14:w="0" w14:cap="flat" w14:cmpd="sng" w14:algn="ctr">
                  <w14:noFill/>
                  <w14:prstDash w14:val="solid"/>
                  <w14:bevel/>
                </w14:textOutline>
              </w:rPr>
            </w:pPr>
            <w:r w:rsidRPr="003F24D4">
              <w:rPr>
                <w:color w:val="000000"/>
                <w:sz w:val="20"/>
                <w:szCs w:val="20"/>
                <w:u w:color="000000"/>
                <w:bdr w:val="nil"/>
                <w14:textOutline w14:w="0" w14:cap="flat" w14:cmpd="sng" w14:algn="ctr">
                  <w14:noFill/>
                  <w14:prstDash w14:val="solid"/>
                  <w14:bevel/>
                </w14:textOutline>
              </w:rPr>
              <w:t>p</w:t>
            </w:r>
          </w:p>
        </w:tc>
        <w:tc>
          <w:tcPr>
            <w:tcW w:w="333" w:type="pct"/>
            <w:tcBorders>
              <w:top w:val="single" w:sz="4" w:space="0" w:color="auto"/>
              <w:bottom w:val="single" w:sz="4" w:space="0" w:color="auto"/>
            </w:tcBorders>
            <w:vAlign w:val="center"/>
          </w:tcPr>
          <w:p w14:paraId="5DE400E2" w14:textId="6ADA6ADE" w:rsidR="003F24D4" w:rsidRPr="003F24D4" w:rsidRDefault="003F24D4" w:rsidP="003F24D4">
            <w:pPr>
              <w:pStyle w:val="TableParagraph"/>
              <w:suppressAutoHyphens/>
              <w:spacing w:line="100" w:lineRule="atLeast"/>
              <w:rPr>
                <w:rFonts w:ascii="Symbol" w:hAnsi="Symbol"/>
                <w:color w:val="000000"/>
                <w:sz w:val="20"/>
                <w:szCs w:val="20"/>
                <w:u w:color="000000"/>
                <w:bdr w:val="nil"/>
                <w:lang w:eastAsia="es-ES_tradnl"/>
                <w14:textOutline w14:w="0" w14:cap="flat" w14:cmpd="sng" w14:algn="ctr">
                  <w14:noFill/>
                  <w14:prstDash w14:val="solid"/>
                  <w14:bevel/>
                </w14:textOutline>
              </w:rPr>
            </w:pPr>
            <w:r w:rsidRPr="003F24D4">
              <w:rPr>
                <w:rFonts w:ascii="Symbol" w:hAnsi="Symbol"/>
                <w:color w:val="000000"/>
                <w:sz w:val="20"/>
                <w:szCs w:val="20"/>
                <w:u w:color="000000"/>
                <w:bdr w:val="nil"/>
                <w14:textOutline w14:w="0" w14:cap="flat" w14:cmpd="sng" w14:algn="ctr">
                  <w14:noFill/>
                  <w14:prstDash w14:val="solid"/>
                  <w14:bevel/>
                </w14:textOutline>
              </w:rPr>
              <w:t></w:t>
            </w:r>
            <w:r w:rsidRPr="003F24D4">
              <w:rPr>
                <w:rFonts w:ascii="Symbol" w:hAnsi="Symbol"/>
                <w:color w:val="000000"/>
                <w:sz w:val="20"/>
                <w:szCs w:val="20"/>
                <w:u w:color="000000"/>
                <w:bdr w:val="nil"/>
                <w14:textOutline w14:w="0" w14:cap="flat" w14:cmpd="sng" w14:algn="ctr">
                  <w14:noFill/>
                  <w14:prstDash w14:val="solid"/>
                  <w14:bevel/>
                </w14:textOutline>
              </w:rPr>
              <w:t></w:t>
            </w:r>
          </w:p>
        </w:tc>
      </w:tr>
      <w:tr w:rsidR="003F24D4" w:rsidRPr="003F24D4" w14:paraId="51732F92" w14:textId="0F02C38F" w:rsidTr="003F24D4">
        <w:trPr>
          <w:trHeight w:hRule="exact" w:val="515"/>
        </w:trPr>
        <w:tc>
          <w:tcPr>
            <w:tcW w:w="1832" w:type="pct"/>
            <w:tcBorders>
              <w:top w:val="single" w:sz="4" w:space="0" w:color="auto"/>
            </w:tcBorders>
            <w:vAlign w:val="center"/>
          </w:tcPr>
          <w:p w14:paraId="06382E5F" w14:textId="13DC3611" w:rsidR="003F24D4" w:rsidRPr="003F24D4" w:rsidRDefault="003F24D4"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proofErr w:type="spellStart"/>
            <w:r w:rsidRPr="003F24D4">
              <w:rPr>
                <w:color w:val="000000"/>
                <w:sz w:val="20"/>
                <w:szCs w:val="20"/>
                <w:u w:color="000000"/>
                <w:bdr w:val="nil"/>
                <w:lang w:val="en-US"/>
                <w14:textOutline w14:w="0" w14:cap="flat" w14:cmpd="sng" w14:algn="ctr">
                  <w14:noFill/>
                  <w14:prstDash w14:val="solid"/>
                  <w14:bevel/>
                </w14:textOutline>
              </w:rPr>
              <w:t>Desprecio</w:t>
            </w:r>
            <w:proofErr w:type="spellEnd"/>
          </w:p>
        </w:tc>
        <w:tc>
          <w:tcPr>
            <w:tcW w:w="494" w:type="pct"/>
            <w:tcBorders>
              <w:top w:val="single" w:sz="4" w:space="0" w:color="auto"/>
            </w:tcBorders>
            <w:vAlign w:val="center"/>
          </w:tcPr>
          <w:p w14:paraId="3457A6AA" w14:textId="2B26E650" w:rsidR="003F24D4" w:rsidRPr="003F24D4" w:rsidRDefault="003F24D4" w:rsidP="003F24D4">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.70</w:t>
            </w:r>
          </w:p>
        </w:tc>
        <w:tc>
          <w:tcPr>
            <w:tcW w:w="1135" w:type="pct"/>
            <w:tcBorders>
              <w:top w:val="single" w:sz="4" w:space="0" w:color="auto"/>
            </w:tcBorders>
            <w:vAlign w:val="center"/>
          </w:tcPr>
          <w:p w14:paraId="21A18B6C" w14:textId="53A8993E" w:rsidR="003F24D4" w:rsidRPr="003F24D4" w:rsidRDefault="003F24D4" w:rsidP="003F24D4">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5</w:t>
            </w:r>
          </w:p>
        </w:tc>
        <w:tc>
          <w:tcPr>
            <w:tcW w:w="591" w:type="pct"/>
            <w:tcBorders>
              <w:top w:val="single" w:sz="4" w:space="0" w:color="auto"/>
            </w:tcBorders>
            <w:vAlign w:val="center"/>
          </w:tcPr>
          <w:p w14:paraId="4D6E6289" w14:textId="0C09687E" w:rsidR="003F24D4" w:rsidRPr="003F24D4" w:rsidRDefault="003F24D4" w:rsidP="003F24D4">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525</w:t>
            </w:r>
          </w:p>
        </w:tc>
        <w:tc>
          <w:tcPr>
            <w:tcW w:w="615" w:type="pct"/>
            <w:tcBorders>
              <w:top w:val="single" w:sz="4" w:space="0" w:color="auto"/>
            </w:tcBorders>
            <w:vAlign w:val="center"/>
          </w:tcPr>
          <w:p w14:paraId="1EC6F35E" w14:textId="25115851" w:rsidR="003F24D4" w:rsidRPr="003F24D4" w:rsidRDefault="003F24D4" w:rsidP="003F24D4">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.61</w:t>
            </w:r>
          </w:p>
        </w:tc>
        <w:tc>
          <w:tcPr>
            <w:tcW w:w="333" w:type="pct"/>
            <w:tcBorders>
              <w:top w:val="single" w:sz="4" w:space="0" w:color="auto"/>
            </w:tcBorders>
            <w:vAlign w:val="center"/>
          </w:tcPr>
          <w:p w14:paraId="7814F62D" w14:textId="2575EA7A" w:rsidR="003F24D4" w:rsidRPr="003F24D4" w:rsidRDefault="003F24D4" w:rsidP="003F24D4">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.007</w:t>
            </w:r>
          </w:p>
        </w:tc>
      </w:tr>
      <w:tr w:rsidR="003F24D4" w:rsidRPr="003F24D4" w14:paraId="512BA7A9" w14:textId="57350326" w:rsidTr="003F24D4">
        <w:trPr>
          <w:trHeight w:hRule="exact" w:val="453"/>
        </w:trPr>
        <w:tc>
          <w:tcPr>
            <w:tcW w:w="1832" w:type="pct"/>
            <w:vAlign w:val="center"/>
          </w:tcPr>
          <w:p w14:paraId="4AF4C663" w14:textId="1FA5C303" w:rsidR="003F24D4" w:rsidRPr="003F24D4" w:rsidRDefault="003F24D4"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proofErr w:type="spellStart"/>
            <w:r w:rsidRPr="003F24D4">
              <w:rPr>
                <w:color w:val="000000"/>
                <w:sz w:val="20"/>
                <w:szCs w:val="20"/>
                <w:u w:color="000000"/>
                <w:bdr w:val="nil"/>
                <w:lang w:val="en-US"/>
                <w14:textOutline w14:w="0" w14:cap="flat" w14:cmpd="sng" w14:algn="ctr">
                  <w14:noFill/>
                  <w14:prstDash w14:val="solid"/>
                  <w14:bevel/>
                </w14:textOutline>
              </w:rPr>
              <w:t>Coacción</w:t>
            </w:r>
            <w:proofErr w:type="spellEnd"/>
          </w:p>
        </w:tc>
        <w:tc>
          <w:tcPr>
            <w:tcW w:w="494" w:type="pct"/>
            <w:vAlign w:val="center"/>
          </w:tcPr>
          <w:p w14:paraId="2B6B8F58" w14:textId="1B56C215" w:rsidR="003F24D4" w:rsidRPr="003F24D4" w:rsidRDefault="003F24D4" w:rsidP="003F24D4">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.95</w:t>
            </w:r>
          </w:p>
        </w:tc>
        <w:tc>
          <w:tcPr>
            <w:tcW w:w="1135" w:type="pct"/>
            <w:vAlign w:val="center"/>
          </w:tcPr>
          <w:p w14:paraId="5866F277" w14:textId="0C4725A6" w:rsidR="003F24D4" w:rsidRPr="003F24D4" w:rsidRDefault="003F24D4" w:rsidP="003F24D4">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5</w:t>
            </w:r>
          </w:p>
        </w:tc>
        <w:tc>
          <w:tcPr>
            <w:tcW w:w="591" w:type="pct"/>
            <w:vAlign w:val="center"/>
          </w:tcPr>
          <w:p w14:paraId="0070B4B9" w14:textId="508E214D" w:rsidR="003F24D4" w:rsidRPr="003F24D4" w:rsidRDefault="003F24D4" w:rsidP="003F24D4">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525</w:t>
            </w:r>
          </w:p>
        </w:tc>
        <w:tc>
          <w:tcPr>
            <w:tcW w:w="615" w:type="pct"/>
            <w:vAlign w:val="center"/>
          </w:tcPr>
          <w:p w14:paraId="7ED1C97C" w14:textId="61525ED7" w:rsidR="003F24D4" w:rsidRPr="003F24D4" w:rsidRDefault="003F24D4" w:rsidP="003F24D4">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.44</w:t>
            </w:r>
          </w:p>
        </w:tc>
        <w:tc>
          <w:tcPr>
            <w:tcW w:w="333" w:type="pct"/>
            <w:vAlign w:val="center"/>
          </w:tcPr>
          <w:p w14:paraId="27C6AABD" w14:textId="300D5492" w:rsidR="003F24D4" w:rsidRPr="003F24D4" w:rsidRDefault="003F24D4" w:rsidP="003F24D4">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.009</w:t>
            </w:r>
          </w:p>
        </w:tc>
      </w:tr>
      <w:tr w:rsidR="003F24D4" w:rsidRPr="003F24D4" w14:paraId="46AFB3CF" w14:textId="0B90D7A6" w:rsidTr="003F24D4">
        <w:trPr>
          <w:trHeight w:hRule="exact" w:val="453"/>
        </w:trPr>
        <w:tc>
          <w:tcPr>
            <w:tcW w:w="1832" w:type="pct"/>
            <w:vAlign w:val="center"/>
          </w:tcPr>
          <w:p w14:paraId="12CBEF51" w14:textId="5723261D" w:rsidR="003F24D4" w:rsidRPr="003F24D4" w:rsidRDefault="003F24D4"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proofErr w:type="spellStart"/>
            <w:r w:rsidRPr="003F24D4">
              <w:rPr>
                <w:color w:val="000000"/>
                <w:sz w:val="20"/>
                <w:szCs w:val="20"/>
                <w:u w:color="000000"/>
                <w:bdr w:val="nil"/>
                <w:lang w:val="en-US"/>
                <w14:textOutline w14:w="0" w14:cap="flat" w14:cmpd="sng" w14:algn="ctr">
                  <w14:noFill/>
                  <w14:prstDash w14:val="solid"/>
                  <w14:bevel/>
                </w14:textOutline>
              </w:rPr>
              <w:t>Restricción</w:t>
            </w:r>
            <w:proofErr w:type="spellEnd"/>
          </w:p>
        </w:tc>
        <w:tc>
          <w:tcPr>
            <w:tcW w:w="494" w:type="pct"/>
            <w:vAlign w:val="center"/>
          </w:tcPr>
          <w:p w14:paraId="34A89FA3" w14:textId="37E2B83A" w:rsidR="003F24D4" w:rsidRPr="003F24D4" w:rsidRDefault="003F24D4" w:rsidP="003F24D4">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1.73</w:t>
            </w:r>
          </w:p>
        </w:tc>
        <w:tc>
          <w:tcPr>
            <w:tcW w:w="1135" w:type="pct"/>
            <w:vAlign w:val="center"/>
          </w:tcPr>
          <w:p w14:paraId="4401064F" w14:textId="2C45B9C1" w:rsidR="003F24D4" w:rsidRPr="003F24D4" w:rsidRDefault="003F24D4" w:rsidP="003F24D4">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5</w:t>
            </w:r>
          </w:p>
        </w:tc>
        <w:tc>
          <w:tcPr>
            <w:tcW w:w="591" w:type="pct"/>
            <w:vAlign w:val="center"/>
          </w:tcPr>
          <w:p w14:paraId="765BD339" w14:textId="6C9C5A97" w:rsidR="003F24D4" w:rsidRPr="003F24D4" w:rsidRDefault="003F24D4" w:rsidP="003F24D4">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525</w:t>
            </w:r>
          </w:p>
        </w:tc>
        <w:tc>
          <w:tcPr>
            <w:tcW w:w="615" w:type="pct"/>
            <w:vAlign w:val="center"/>
          </w:tcPr>
          <w:p w14:paraId="3BC31955" w14:textId="1ADF066D" w:rsidR="003F24D4" w:rsidRPr="003F24D4" w:rsidRDefault="003F24D4" w:rsidP="003F24D4">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.12</w:t>
            </w:r>
          </w:p>
        </w:tc>
        <w:tc>
          <w:tcPr>
            <w:tcW w:w="333" w:type="pct"/>
            <w:vAlign w:val="center"/>
          </w:tcPr>
          <w:p w14:paraId="4EADBD9E" w14:textId="7906368C" w:rsidR="003F24D4" w:rsidRPr="003F24D4" w:rsidRDefault="003F24D4" w:rsidP="003F24D4">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.016</w:t>
            </w:r>
          </w:p>
        </w:tc>
      </w:tr>
      <w:tr w:rsidR="003F24D4" w:rsidRPr="003F24D4" w14:paraId="11D974E7" w14:textId="7A5026B8" w:rsidTr="003F24D4">
        <w:trPr>
          <w:trHeight w:hRule="exact" w:val="452"/>
        </w:trPr>
        <w:tc>
          <w:tcPr>
            <w:tcW w:w="1832" w:type="pct"/>
            <w:vAlign w:val="center"/>
          </w:tcPr>
          <w:p w14:paraId="5D91F58C" w14:textId="649EECA1" w:rsidR="003F24D4" w:rsidRPr="003F24D4" w:rsidRDefault="003F24D4"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proofErr w:type="spellStart"/>
            <w:r w:rsidRPr="003F24D4">
              <w:rPr>
                <w:color w:val="000000"/>
                <w:sz w:val="20"/>
                <w:szCs w:val="20"/>
                <w:u w:color="000000"/>
                <w:bdr w:val="nil"/>
                <w:lang w:val="en-US"/>
                <w14:textOutline w14:w="0" w14:cap="flat" w14:cmpd="sng" w14:algn="ctr">
                  <w14:noFill/>
                  <w14:prstDash w14:val="solid"/>
                  <w14:bevel/>
                </w14:textOutline>
              </w:rPr>
              <w:t>Agresiones</w:t>
            </w:r>
            <w:proofErr w:type="spellEnd"/>
          </w:p>
        </w:tc>
        <w:tc>
          <w:tcPr>
            <w:tcW w:w="494" w:type="pct"/>
            <w:vAlign w:val="center"/>
          </w:tcPr>
          <w:p w14:paraId="4385E489" w14:textId="62535063" w:rsidR="003F24D4" w:rsidRPr="003F24D4" w:rsidRDefault="003F24D4" w:rsidP="003F24D4">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.91</w:t>
            </w:r>
          </w:p>
        </w:tc>
        <w:tc>
          <w:tcPr>
            <w:tcW w:w="1135" w:type="pct"/>
            <w:vAlign w:val="center"/>
          </w:tcPr>
          <w:p w14:paraId="029D2C19" w14:textId="7768BF97" w:rsidR="003F24D4" w:rsidRPr="003F24D4" w:rsidRDefault="003F24D4" w:rsidP="003F24D4">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5</w:t>
            </w:r>
          </w:p>
        </w:tc>
        <w:tc>
          <w:tcPr>
            <w:tcW w:w="591" w:type="pct"/>
            <w:vAlign w:val="center"/>
          </w:tcPr>
          <w:p w14:paraId="62B163C4" w14:textId="54F729EC" w:rsidR="003F24D4" w:rsidRPr="003F24D4" w:rsidRDefault="003F24D4" w:rsidP="003F24D4">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525</w:t>
            </w:r>
          </w:p>
        </w:tc>
        <w:tc>
          <w:tcPr>
            <w:tcW w:w="615" w:type="pct"/>
            <w:vAlign w:val="center"/>
          </w:tcPr>
          <w:p w14:paraId="4A4D483F" w14:textId="6E0A7832" w:rsidR="003F24D4" w:rsidRPr="003F24D4" w:rsidRDefault="003F24D4" w:rsidP="003F24D4">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.47</w:t>
            </w:r>
          </w:p>
        </w:tc>
        <w:tc>
          <w:tcPr>
            <w:tcW w:w="333" w:type="pct"/>
            <w:vAlign w:val="center"/>
          </w:tcPr>
          <w:p w14:paraId="6FEA5641" w14:textId="22B20B5B" w:rsidR="003F24D4" w:rsidRPr="003F24D4" w:rsidRDefault="003F24D4" w:rsidP="003F24D4">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.009</w:t>
            </w:r>
          </w:p>
        </w:tc>
      </w:tr>
      <w:tr w:rsidR="003F24D4" w:rsidRPr="003F24D4" w14:paraId="5B4220E3" w14:textId="0BFBEDBC" w:rsidTr="003F24D4">
        <w:trPr>
          <w:trHeight w:hRule="exact" w:val="455"/>
        </w:trPr>
        <w:tc>
          <w:tcPr>
            <w:tcW w:w="1832" w:type="pct"/>
            <w:vAlign w:val="center"/>
          </w:tcPr>
          <w:p w14:paraId="5E66777D" w14:textId="41DEB4C0" w:rsidR="003F24D4" w:rsidRPr="003F24D4" w:rsidRDefault="003F24D4"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proofErr w:type="spellStart"/>
            <w:r w:rsidRPr="003F24D4">
              <w:rPr>
                <w:color w:val="000000"/>
                <w:sz w:val="20"/>
                <w:szCs w:val="20"/>
                <w:u w:color="000000"/>
                <w:bdr w:val="nil"/>
                <w:lang w:val="en-US"/>
                <w14:textOutline w14:w="0" w14:cap="flat" w14:cmpd="sng" w14:algn="ctr">
                  <w14:noFill/>
                  <w14:prstDash w14:val="solid"/>
                  <w14:bevel/>
                </w14:textOutline>
              </w:rPr>
              <w:t>Intimidación</w:t>
            </w:r>
            <w:proofErr w:type="spellEnd"/>
          </w:p>
        </w:tc>
        <w:tc>
          <w:tcPr>
            <w:tcW w:w="494" w:type="pct"/>
            <w:vAlign w:val="center"/>
          </w:tcPr>
          <w:p w14:paraId="1C02F1BF" w14:textId="171CB833" w:rsidR="003F24D4" w:rsidRPr="003F24D4" w:rsidRDefault="003F24D4" w:rsidP="003F24D4">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2.90</w:t>
            </w:r>
          </w:p>
        </w:tc>
        <w:tc>
          <w:tcPr>
            <w:tcW w:w="1135" w:type="pct"/>
            <w:vAlign w:val="center"/>
          </w:tcPr>
          <w:p w14:paraId="3800DF1D" w14:textId="1B4F40B9" w:rsidR="003F24D4" w:rsidRPr="003F24D4" w:rsidRDefault="003F24D4" w:rsidP="003F24D4">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5</w:t>
            </w:r>
          </w:p>
        </w:tc>
        <w:tc>
          <w:tcPr>
            <w:tcW w:w="591" w:type="pct"/>
            <w:vAlign w:val="center"/>
          </w:tcPr>
          <w:p w14:paraId="147C3441" w14:textId="2E403143" w:rsidR="003F24D4" w:rsidRPr="003F24D4" w:rsidRDefault="003F24D4" w:rsidP="003F24D4">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525</w:t>
            </w:r>
          </w:p>
        </w:tc>
        <w:tc>
          <w:tcPr>
            <w:tcW w:w="615" w:type="pct"/>
            <w:vAlign w:val="center"/>
          </w:tcPr>
          <w:p w14:paraId="7BED577C" w14:textId="1A3D957E" w:rsidR="003F24D4" w:rsidRPr="003F24D4" w:rsidRDefault="003F24D4" w:rsidP="003F24D4">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.06</w:t>
            </w:r>
          </w:p>
        </w:tc>
        <w:tc>
          <w:tcPr>
            <w:tcW w:w="333" w:type="pct"/>
            <w:vAlign w:val="center"/>
          </w:tcPr>
          <w:p w14:paraId="5ADBEAFC" w14:textId="479CB773" w:rsidR="003F24D4" w:rsidRPr="003F24D4" w:rsidRDefault="003F24D4" w:rsidP="003F24D4">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.020</w:t>
            </w:r>
          </w:p>
        </w:tc>
      </w:tr>
      <w:tr w:rsidR="003F24D4" w:rsidRPr="003F24D4" w14:paraId="6EEC64A4" w14:textId="41D2AD66" w:rsidTr="003F24D4">
        <w:trPr>
          <w:trHeight w:hRule="exact" w:val="455"/>
        </w:trPr>
        <w:tc>
          <w:tcPr>
            <w:tcW w:w="1832" w:type="pct"/>
            <w:vAlign w:val="center"/>
          </w:tcPr>
          <w:p w14:paraId="12F49396" w14:textId="6093835F" w:rsidR="003F24D4" w:rsidRPr="003F24D4" w:rsidRDefault="003F24D4"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proofErr w:type="spellStart"/>
            <w:r w:rsidRPr="003F24D4">
              <w:rPr>
                <w:color w:val="000000"/>
                <w:sz w:val="20"/>
                <w:szCs w:val="20"/>
                <w:u w:color="000000"/>
                <w:bdr w:val="nil"/>
                <w:lang w:val="en-US"/>
                <w14:textOutline w14:w="0" w14:cap="flat" w14:cmpd="sng" w14:algn="ctr">
                  <w14:noFill/>
                  <w14:prstDash w14:val="solid"/>
                  <w14:bevel/>
                </w14:textOutline>
              </w:rPr>
              <w:t>Exclusión</w:t>
            </w:r>
            <w:proofErr w:type="spellEnd"/>
          </w:p>
        </w:tc>
        <w:tc>
          <w:tcPr>
            <w:tcW w:w="494" w:type="pct"/>
            <w:vAlign w:val="center"/>
          </w:tcPr>
          <w:p w14:paraId="4BCEA347" w14:textId="76A64ED9" w:rsidR="003F24D4" w:rsidRPr="003F24D4" w:rsidRDefault="003F24D4" w:rsidP="003F24D4">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3.36</w:t>
            </w:r>
          </w:p>
        </w:tc>
        <w:tc>
          <w:tcPr>
            <w:tcW w:w="1135" w:type="pct"/>
            <w:vAlign w:val="center"/>
          </w:tcPr>
          <w:p w14:paraId="515AC710" w14:textId="5EC0D71D" w:rsidR="003F24D4" w:rsidRPr="003F24D4" w:rsidRDefault="003F24D4" w:rsidP="003F24D4">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5</w:t>
            </w:r>
          </w:p>
        </w:tc>
        <w:tc>
          <w:tcPr>
            <w:tcW w:w="591" w:type="pct"/>
            <w:vAlign w:val="center"/>
          </w:tcPr>
          <w:p w14:paraId="22939CB6" w14:textId="2FFA9339" w:rsidR="003F24D4" w:rsidRPr="003F24D4" w:rsidRDefault="003F24D4" w:rsidP="003F24D4">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525</w:t>
            </w:r>
          </w:p>
        </w:tc>
        <w:tc>
          <w:tcPr>
            <w:tcW w:w="615" w:type="pct"/>
            <w:vAlign w:val="center"/>
          </w:tcPr>
          <w:p w14:paraId="13EFBB2D" w14:textId="736009EC" w:rsidR="003F24D4" w:rsidRPr="003F24D4" w:rsidRDefault="003F24D4" w:rsidP="003F24D4">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.00</w:t>
            </w:r>
          </w:p>
        </w:tc>
        <w:tc>
          <w:tcPr>
            <w:tcW w:w="333" w:type="pct"/>
            <w:vAlign w:val="center"/>
          </w:tcPr>
          <w:p w14:paraId="4A52F274" w14:textId="4669857D" w:rsidR="003F24D4" w:rsidRPr="003F24D4" w:rsidRDefault="003F24D4" w:rsidP="003F24D4">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.031</w:t>
            </w:r>
          </w:p>
        </w:tc>
      </w:tr>
      <w:tr w:rsidR="003F24D4" w:rsidRPr="003F24D4" w14:paraId="10425C4E" w14:textId="6B2C2228" w:rsidTr="003F24D4">
        <w:trPr>
          <w:trHeight w:hRule="exact" w:val="452"/>
        </w:trPr>
        <w:tc>
          <w:tcPr>
            <w:tcW w:w="1832" w:type="pct"/>
            <w:vAlign w:val="center"/>
          </w:tcPr>
          <w:p w14:paraId="7DDDE9BA" w14:textId="130DDC06" w:rsidR="003F24D4" w:rsidRPr="003F24D4" w:rsidRDefault="003F24D4"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proofErr w:type="spellStart"/>
            <w:r w:rsidRPr="003F24D4">
              <w:rPr>
                <w:color w:val="000000"/>
                <w:sz w:val="20"/>
                <w:szCs w:val="20"/>
                <w:u w:color="000000"/>
                <w:bdr w:val="nil"/>
                <w:lang w:val="en-US"/>
                <w14:textOutline w14:w="0" w14:cap="flat" w14:cmpd="sng" w14:algn="ctr">
                  <w14:noFill/>
                  <w14:prstDash w14:val="solid"/>
                  <w14:bevel/>
                </w14:textOutline>
              </w:rPr>
              <w:t>Hostigamiento</w:t>
            </w:r>
            <w:proofErr w:type="spellEnd"/>
          </w:p>
        </w:tc>
        <w:tc>
          <w:tcPr>
            <w:tcW w:w="494" w:type="pct"/>
            <w:vAlign w:val="center"/>
          </w:tcPr>
          <w:p w14:paraId="455C720A" w14:textId="4CCEE506" w:rsidR="003F24D4" w:rsidRPr="003F24D4" w:rsidRDefault="003F24D4" w:rsidP="003F24D4">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.64</w:t>
            </w:r>
          </w:p>
        </w:tc>
        <w:tc>
          <w:tcPr>
            <w:tcW w:w="1135" w:type="pct"/>
            <w:vAlign w:val="center"/>
          </w:tcPr>
          <w:p w14:paraId="068FD203" w14:textId="65287ACB" w:rsidR="003F24D4" w:rsidRPr="003F24D4" w:rsidRDefault="003F24D4" w:rsidP="003F24D4">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5</w:t>
            </w:r>
          </w:p>
        </w:tc>
        <w:tc>
          <w:tcPr>
            <w:tcW w:w="591" w:type="pct"/>
            <w:vAlign w:val="center"/>
          </w:tcPr>
          <w:p w14:paraId="5678718A" w14:textId="3CE750A9" w:rsidR="003F24D4" w:rsidRPr="003F24D4" w:rsidRDefault="003F24D4" w:rsidP="003F24D4">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525</w:t>
            </w:r>
          </w:p>
        </w:tc>
        <w:tc>
          <w:tcPr>
            <w:tcW w:w="615" w:type="pct"/>
            <w:vAlign w:val="center"/>
          </w:tcPr>
          <w:p w14:paraId="65A89AAA" w14:textId="6C04E4CF" w:rsidR="003F24D4" w:rsidRPr="003F24D4" w:rsidRDefault="003F24D4" w:rsidP="003F24D4">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.66</w:t>
            </w:r>
          </w:p>
        </w:tc>
        <w:tc>
          <w:tcPr>
            <w:tcW w:w="333" w:type="pct"/>
            <w:vAlign w:val="center"/>
          </w:tcPr>
          <w:p w14:paraId="17274674" w14:textId="12CACC5E" w:rsidR="003F24D4" w:rsidRPr="003F24D4" w:rsidRDefault="003F24D4" w:rsidP="003F24D4">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.006</w:t>
            </w:r>
          </w:p>
        </w:tc>
      </w:tr>
      <w:tr w:rsidR="003F24D4" w:rsidRPr="003F24D4" w14:paraId="4B2AFCE1" w14:textId="58C69599" w:rsidTr="003F24D4">
        <w:trPr>
          <w:trHeight w:hRule="exact" w:val="453"/>
        </w:trPr>
        <w:tc>
          <w:tcPr>
            <w:tcW w:w="1832" w:type="pct"/>
            <w:tcBorders>
              <w:bottom w:val="single" w:sz="4" w:space="0" w:color="auto"/>
            </w:tcBorders>
            <w:vAlign w:val="center"/>
          </w:tcPr>
          <w:p w14:paraId="5CDBC911" w14:textId="1C9A30A5" w:rsidR="003F24D4" w:rsidRPr="003F24D4" w:rsidRDefault="003F24D4" w:rsidP="003F24D4">
            <w:pPr>
              <w:suppressAutoHyphens/>
              <w:spacing w:line="100" w:lineRule="atLeast"/>
              <w:rPr>
                <w:color w:val="000000"/>
                <w:sz w:val="20"/>
                <w:szCs w:val="20"/>
                <w:u w:color="000000"/>
                <w:bdr w:val="nil"/>
                <w:lang w:val="en-US"/>
                <w14:textOutline w14:w="0" w14:cap="flat" w14:cmpd="sng" w14:algn="ctr">
                  <w14:noFill/>
                  <w14:prstDash w14:val="solid"/>
                  <w14:bevel/>
                </w14:textOutline>
              </w:rPr>
            </w:pPr>
            <w:proofErr w:type="spellStart"/>
            <w:r w:rsidRPr="003F24D4">
              <w:rPr>
                <w:color w:val="000000"/>
                <w:sz w:val="20"/>
                <w:szCs w:val="20"/>
                <w:u w:color="000000"/>
                <w:bdr w:val="nil"/>
                <w:lang w:val="en-US"/>
                <w14:textOutline w14:w="0" w14:cap="flat" w14:cmpd="sng" w14:algn="ctr">
                  <w14:noFill/>
                  <w14:prstDash w14:val="solid"/>
                  <w14:bevel/>
                </w14:textOutline>
              </w:rPr>
              <w:t>Robos</w:t>
            </w:r>
            <w:proofErr w:type="spellEnd"/>
          </w:p>
        </w:tc>
        <w:tc>
          <w:tcPr>
            <w:tcW w:w="494" w:type="pct"/>
            <w:tcBorders>
              <w:bottom w:val="single" w:sz="4" w:space="0" w:color="auto"/>
            </w:tcBorders>
            <w:vAlign w:val="center"/>
          </w:tcPr>
          <w:p w14:paraId="76BD7BDF" w14:textId="1FC22ACA" w:rsidR="003F24D4" w:rsidRPr="003F24D4" w:rsidRDefault="003F24D4" w:rsidP="003F24D4">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1.20</w:t>
            </w:r>
          </w:p>
        </w:tc>
        <w:tc>
          <w:tcPr>
            <w:tcW w:w="1135" w:type="pct"/>
            <w:tcBorders>
              <w:bottom w:val="single" w:sz="4" w:space="0" w:color="auto"/>
            </w:tcBorders>
            <w:vAlign w:val="center"/>
          </w:tcPr>
          <w:p w14:paraId="5E460D06" w14:textId="79149B55" w:rsidR="003F24D4" w:rsidRPr="003F24D4" w:rsidRDefault="003F24D4" w:rsidP="003F24D4">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5</w:t>
            </w:r>
          </w:p>
        </w:tc>
        <w:tc>
          <w:tcPr>
            <w:tcW w:w="591" w:type="pct"/>
            <w:tcBorders>
              <w:bottom w:val="single" w:sz="4" w:space="0" w:color="auto"/>
            </w:tcBorders>
            <w:vAlign w:val="center"/>
          </w:tcPr>
          <w:p w14:paraId="406E987D" w14:textId="30C6E261" w:rsidR="003F24D4" w:rsidRPr="003F24D4" w:rsidRDefault="003F24D4" w:rsidP="003F24D4">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525</w:t>
            </w:r>
          </w:p>
        </w:tc>
        <w:tc>
          <w:tcPr>
            <w:tcW w:w="615" w:type="pct"/>
            <w:tcBorders>
              <w:bottom w:val="single" w:sz="4" w:space="0" w:color="auto"/>
            </w:tcBorders>
            <w:vAlign w:val="center"/>
          </w:tcPr>
          <w:p w14:paraId="6DDCD02B" w14:textId="4196F261" w:rsidR="003F24D4" w:rsidRPr="003F24D4" w:rsidRDefault="003F24D4" w:rsidP="003F24D4">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.30</w:t>
            </w:r>
          </w:p>
        </w:tc>
        <w:tc>
          <w:tcPr>
            <w:tcW w:w="333" w:type="pct"/>
            <w:tcBorders>
              <w:bottom w:val="single" w:sz="4" w:space="0" w:color="auto"/>
            </w:tcBorders>
            <w:vAlign w:val="center"/>
          </w:tcPr>
          <w:p w14:paraId="5565F708" w14:textId="56DD583E" w:rsidR="003F24D4" w:rsidRPr="003F24D4" w:rsidRDefault="003F24D4" w:rsidP="003F24D4">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3F24D4">
              <w:rPr>
                <w:color w:val="000000"/>
                <w:sz w:val="20"/>
                <w:szCs w:val="20"/>
                <w:u w:color="000000"/>
                <w:bdr w:val="nil"/>
                <w:lang w:val="en-US"/>
                <w14:textOutline w14:w="0" w14:cap="flat" w14:cmpd="sng" w14:algn="ctr">
                  <w14:noFill/>
                  <w14:prstDash w14:val="solid"/>
                  <w14:bevel/>
                </w14:textOutline>
              </w:rPr>
              <w:t>.011</w:t>
            </w:r>
          </w:p>
        </w:tc>
      </w:tr>
    </w:tbl>
    <w:p w14:paraId="40DACAEA" w14:textId="72B95095" w:rsidR="003F24D4" w:rsidRDefault="003F24D4" w:rsidP="00023561">
      <w:pPr>
        <w:widowControl w:val="0"/>
        <w:autoSpaceDE w:val="0"/>
        <w:autoSpaceDN w:val="0"/>
        <w:rPr>
          <w:i/>
          <w:sz w:val="20"/>
          <w:szCs w:val="20"/>
          <w:lang w:val="es-ES"/>
        </w:rPr>
      </w:pPr>
    </w:p>
    <w:p w14:paraId="4A555E56" w14:textId="14B6F2EF" w:rsidR="003F24D4" w:rsidRDefault="003F24D4" w:rsidP="00023561">
      <w:pPr>
        <w:widowControl w:val="0"/>
        <w:autoSpaceDE w:val="0"/>
        <w:autoSpaceDN w:val="0"/>
        <w:rPr>
          <w:i/>
          <w:sz w:val="20"/>
          <w:szCs w:val="20"/>
          <w:lang w:val="es-ES"/>
        </w:rPr>
      </w:pPr>
    </w:p>
    <w:p w14:paraId="5130C1B4" w14:textId="193FCC1E" w:rsidR="00D4310C" w:rsidRPr="00C960A2" w:rsidRDefault="00505B04" w:rsidP="00D4310C">
      <w:pPr>
        <w:pStyle w:val="Prrafocomn"/>
        <w:rPr>
          <w:lang w:val="es-ES"/>
        </w:rPr>
      </w:pPr>
      <w:bookmarkStart w:id="1" w:name="_GoBack"/>
      <w:bookmarkEnd w:id="1"/>
      <w:r w:rsidRPr="00C960A2">
        <w:rPr>
          <w:lang w:val="es-ES"/>
        </w:rPr>
        <w:lastRenderedPageBreak/>
        <w:t xml:space="preserve">Siguiendo con el estudio del acoso escolar, no se encuentran diferencias estadísticamente significativas en función de la edad (Tabla 3), pero sí en función del sexo (F (8,522) = 2.13, p &lt; .05, </w:t>
      </w:r>
      <w:r w:rsidRPr="00C960A2">
        <w:rPr>
          <w:rFonts w:ascii="Symbol" w:hAnsi="Symbol"/>
          <w:lang w:val="es-ES"/>
        </w:rPr>
        <w:t></w:t>
      </w:r>
      <w:r w:rsidRPr="00C960A2">
        <w:rPr>
          <w:rFonts w:ascii="Symbol" w:hAnsi="Symbol"/>
          <w:vertAlign w:val="superscript"/>
          <w:lang w:val="es-ES"/>
        </w:rPr>
        <w:t></w:t>
      </w:r>
      <w:r w:rsidRPr="00C960A2">
        <w:rPr>
          <w:rFonts w:ascii="Symbol" w:hAnsi="Symbol"/>
          <w:vertAlign w:val="superscript"/>
          <w:lang w:val="es-ES"/>
        </w:rPr>
        <w:t></w:t>
      </w:r>
      <w:r w:rsidRPr="00C960A2">
        <w:rPr>
          <w:lang w:val="es-ES"/>
        </w:rPr>
        <w:t xml:space="preserve">= .032). Concretamente, los </w:t>
      </w:r>
      <w:proofErr w:type="spellStart"/>
      <w:r w:rsidRPr="00C960A2">
        <w:rPr>
          <w:lang w:val="es-ES"/>
        </w:rPr>
        <w:t>ANOVAs</w:t>
      </w:r>
      <w:proofErr w:type="spellEnd"/>
      <w:r w:rsidRPr="00C960A2">
        <w:rPr>
          <w:lang w:val="es-ES"/>
        </w:rPr>
        <w:t xml:space="preserve"> de continuación muestran diferencias estadísticamente significativas en intimidación (Tabla 4), con una media de 1.24 para los hombres (</w:t>
      </w:r>
      <w:r w:rsidRPr="00C960A2">
        <w:rPr>
          <w:i/>
          <w:lang w:val="es-ES"/>
        </w:rPr>
        <w:t>DT</w:t>
      </w:r>
      <w:r w:rsidRPr="00C960A2">
        <w:rPr>
          <w:lang w:val="es-ES"/>
        </w:rPr>
        <w:t xml:space="preserve"> = .41) y de 1.16 para las mujeres (</w:t>
      </w:r>
      <w:r w:rsidRPr="00C960A2">
        <w:rPr>
          <w:i/>
          <w:lang w:val="es-ES"/>
        </w:rPr>
        <w:t>DT</w:t>
      </w:r>
      <w:r w:rsidRPr="00C960A2">
        <w:rPr>
          <w:lang w:val="es-ES"/>
        </w:rPr>
        <w:t xml:space="preserve"> =.30).</w:t>
      </w:r>
    </w:p>
    <w:p w14:paraId="30A4ED57" w14:textId="77777777" w:rsidR="00505B04" w:rsidRPr="00C960A2" w:rsidRDefault="00505B04" w:rsidP="00505B04">
      <w:pPr>
        <w:widowControl w:val="0"/>
        <w:autoSpaceDE w:val="0"/>
        <w:autoSpaceDN w:val="0"/>
        <w:rPr>
          <w:sz w:val="20"/>
          <w:szCs w:val="20"/>
          <w:lang w:val="es-ES"/>
        </w:rPr>
      </w:pPr>
      <w:r w:rsidRPr="00C960A2">
        <w:rPr>
          <w:sz w:val="20"/>
          <w:szCs w:val="20"/>
          <w:lang w:val="es-ES"/>
        </w:rPr>
        <w:t>Tabla 3</w:t>
      </w:r>
    </w:p>
    <w:p w14:paraId="4231EECF" w14:textId="5BE34F93" w:rsidR="00505B04" w:rsidRDefault="00505B04" w:rsidP="00505B04">
      <w:pPr>
        <w:widowControl w:val="0"/>
        <w:autoSpaceDE w:val="0"/>
        <w:autoSpaceDN w:val="0"/>
        <w:rPr>
          <w:i/>
          <w:sz w:val="20"/>
          <w:szCs w:val="20"/>
          <w:lang w:val="es-ES"/>
        </w:rPr>
      </w:pPr>
      <w:r w:rsidRPr="00C960A2">
        <w:rPr>
          <w:i/>
          <w:sz w:val="20"/>
          <w:szCs w:val="20"/>
          <w:lang w:val="es-ES"/>
        </w:rPr>
        <w:t>Correlaciones de Acoso Escolar en función de la edad y el nivel de estudios de los padres</w:t>
      </w:r>
    </w:p>
    <w:p w14:paraId="3A70A015" w14:textId="0E6410DA" w:rsidR="006254C6" w:rsidRDefault="006254C6" w:rsidP="00505B04">
      <w:pPr>
        <w:widowControl w:val="0"/>
        <w:autoSpaceDE w:val="0"/>
        <w:autoSpaceDN w:val="0"/>
        <w:rPr>
          <w:i/>
          <w:sz w:val="20"/>
          <w:szCs w:val="20"/>
          <w:lang w:val="es-ES"/>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66"/>
        <w:gridCol w:w="1134"/>
        <w:gridCol w:w="835"/>
        <w:gridCol w:w="1998"/>
        <w:gridCol w:w="1471"/>
      </w:tblGrid>
      <w:tr w:rsidR="005B059D" w:rsidRPr="00630FFF" w14:paraId="4B91313F" w14:textId="77777777" w:rsidTr="005B059D">
        <w:trPr>
          <w:trHeight w:hRule="exact" w:val="527"/>
        </w:trPr>
        <w:tc>
          <w:tcPr>
            <w:tcW w:w="1802" w:type="pct"/>
            <w:vMerge w:val="restart"/>
            <w:tcBorders>
              <w:top w:val="single" w:sz="4" w:space="0" w:color="auto"/>
            </w:tcBorders>
            <w:vAlign w:val="center"/>
          </w:tcPr>
          <w:p w14:paraId="3C43D631" w14:textId="4267C939" w:rsidR="005B059D" w:rsidRPr="003F24D4" w:rsidRDefault="005B059D" w:rsidP="005B059D">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C960A2">
              <w:rPr>
                <w:sz w:val="20"/>
                <w:szCs w:val="20"/>
                <w:lang w:val="es-ES"/>
              </w:rPr>
              <w:t>Acoso Escolar</w:t>
            </w:r>
          </w:p>
        </w:tc>
        <w:tc>
          <w:tcPr>
            <w:tcW w:w="1157" w:type="pct"/>
            <w:gridSpan w:val="2"/>
            <w:tcBorders>
              <w:top w:val="single" w:sz="4" w:space="0" w:color="auto"/>
            </w:tcBorders>
            <w:vAlign w:val="center"/>
          </w:tcPr>
          <w:p w14:paraId="000DE33F" w14:textId="11763E64" w:rsidR="005B059D" w:rsidRPr="003F24D4" w:rsidRDefault="005B059D" w:rsidP="005B059D">
            <w:pPr>
              <w:pStyle w:val="TableParagraph"/>
              <w:suppressAutoHyphens/>
              <w:spacing w:line="100" w:lineRule="atLeast"/>
              <w:rPr>
                <w:color w:val="000000"/>
                <w:sz w:val="20"/>
                <w:szCs w:val="20"/>
                <w:u w:color="000000"/>
                <w:bdr w:val="nil"/>
                <w:lang w:eastAsia="es-ES_tradnl"/>
                <w14:textOutline w14:w="0" w14:cap="flat" w14:cmpd="sng" w14:algn="ctr">
                  <w14:noFill/>
                  <w14:prstDash w14:val="solid"/>
                  <w14:bevel/>
                </w14:textOutline>
              </w:rPr>
            </w:pPr>
            <w:r w:rsidRPr="00C960A2">
              <w:rPr>
                <w:color w:val="000000"/>
                <w:sz w:val="20"/>
                <w:szCs w:val="20"/>
                <w:lang w:val="es-ES"/>
              </w:rPr>
              <w:t>Edad</w:t>
            </w:r>
          </w:p>
        </w:tc>
        <w:tc>
          <w:tcPr>
            <w:tcW w:w="2041" w:type="pct"/>
            <w:gridSpan w:val="2"/>
            <w:tcBorders>
              <w:top w:val="single" w:sz="4" w:space="0" w:color="auto"/>
            </w:tcBorders>
            <w:vAlign w:val="center"/>
          </w:tcPr>
          <w:p w14:paraId="64AB6891" w14:textId="35CCA5EA" w:rsidR="005B059D" w:rsidRPr="003F24D4" w:rsidRDefault="005B059D" w:rsidP="005B059D">
            <w:pPr>
              <w:pStyle w:val="TableParagraph"/>
              <w:suppressAutoHyphens/>
              <w:spacing w:line="100" w:lineRule="atLeast"/>
              <w:rPr>
                <w:color w:val="000000"/>
                <w:sz w:val="20"/>
                <w:szCs w:val="20"/>
                <w:u w:color="000000"/>
                <w:bdr w:val="nil"/>
                <w:lang w:eastAsia="es-ES_tradnl"/>
                <w14:textOutline w14:w="0" w14:cap="flat" w14:cmpd="sng" w14:algn="ctr">
                  <w14:noFill/>
                  <w14:prstDash w14:val="solid"/>
                  <w14:bevel/>
                </w14:textOutline>
              </w:rPr>
            </w:pPr>
            <w:r w:rsidRPr="00C960A2">
              <w:rPr>
                <w:color w:val="000000"/>
                <w:sz w:val="20"/>
                <w:szCs w:val="20"/>
                <w:lang w:val="es-ES"/>
              </w:rPr>
              <w:t>Nivel estudios padres</w:t>
            </w:r>
          </w:p>
        </w:tc>
      </w:tr>
      <w:tr w:rsidR="005B059D" w:rsidRPr="00630FFF" w14:paraId="621E6B2F" w14:textId="77777777" w:rsidTr="005B059D">
        <w:trPr>
          <w:trHeight w:hRule="exact" w:val="527"/>
        </w:trPr>
        <w:tc>
          <w:tcPr>
            <w:tcW w:w="1802" w:type="pct"/>
            <w:vMerge/>
            <w:tcBorders>
              <w:bottom w:val="single" w:sz="4" w:space="0" w:color="auto"/>
            </w:tcBorders>
            <w:vAlign w:val="center"/>
          </w:tcPr>
          <w:p w14:paraId="296CFE41" w14:textId="77777777"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p>
        </w:tc>
        <w:tc>
          <w:tcPr>
            <w:tcW w:w="667" w:type="pct"/>
            <w:tcBorders>
              <w:bottom w:val="single" w:sz="4" w:space="0" w:color="auto"/>
            </w:tcBorders>
            <w:vAlign w:val="center"/>
          </w:tcPr>
          <w:p w14:paraId="5562BAAF" w14:textId="3C74FADD" w:rsidR="005B059D" w:rsidRPr="003F24D4" w:rsidRDefault="005B059D" w:rsidP="005B059D">
            <w:pPr>
              <w:pStyle w:val="TableParagraph"/>
              <w:suppressAutoHyphens/>
              <w:spacing w:line="100" w:lineRule="atLeast"/>
              <w:rPr>
                <w:color w:val="000000"/>
                <w:sz w:val="20"/>
                <w:szCs w:val="20"/>
                <w:u w:color="000000"/>
                <w:bdr w:val="nil"/>
                <w14:textOutline w14:w="0" w14:cap="flat" w14:cmpd="sng" w14:algn="ctr">
                  <w14:noFill/>
                  <w14:prstDash w14:val="solid"/>
                  <w14:bevel/>
                </w14:textOutline>
              </w:rPr>
            </w:pPr>
            <w:proofErr w:type="spellStart"/>
            <w:r w:rsidRPr="00C960A2">
              <w:rPr>
                <w:i/>
                <w:color w:val="000000"/>
                <w:sz w:val="20"/>
                <w:szCs w:val="20"/>
                <w:lang w:val="es-ES"/>
              </w:rPr>
              <w:t>r</w:t>
            </w:r>
            <w:r w:rsidRPr="00C960A2">
              <w:rPr>
                <w:i/>
                <w:color w:val="000000"/>
                <w:sz w:val="20"/>
                <w:szCs w:val="20"/>
                <w:vertAlign w:val="subscript"/>
                <w:lang w:val="es-ES"/>
              </w:rPr>
              <w:t>xy</w:t>
            </w:r>
            <w:proofErr w:type="spellEnd"/>
          </w:p>
        </w:tc>
        <w:tc>
          <w:tcPr>
            <w:tcW w:w="491" w:type="pct"/>
            <w:tcBorders>
              <w:bottom w:val="single" w:sz="4" w:space="0" w:color="auto"/>
            </w:tcBorders>
            <w:vAlign w:val="center"/>
          </w:tcPr>
          <w:p w14:paraId="47A0B8D2" w14:textId="6EC8B897" w:rsidR="005B059D" w:rsidRPr="003F24D4" w:rsidRDefault="005B059D" w:rsidP="005B059D">
            <w:pPr>
              <w:pStyle w:val="TableParagraph"/>
              <w:suppressAutoHyphens/>
              <w:spacing w:line="100" w:lineRule="atLeast"/>
              <w:rPr>
                <w:color w:val="000000"/>
                <w:sz w:val="20"/>
                <w:szCs w:val="20"/>
                <w:u w:color="000000"/>
                <w:bdr w:val="nil"/>
                <w14:textOutline w14:w="0" w14:cap="flat" w14:cmpd="sng" w14:algn="ctr">
                  <w14:noFill/>
                  <w14:prstDash w14:val="solid"/>
                  <w14:bevel/>
                </w14:textOutline>
              </w:rPr>
            </w:pPr>
            <w:r w:rsidRPr="00C960A2">
              <w:rPr>
                <w:i/>
                <w:color w:val="000000"/>
                <w:sz w:val="20"/>
                <w:szCs w:val="20"/>
                <w:lang w:val="es-ES"/>
              </w:rPr>
              <w:t>p</w:t>
            </w:r>
          </w:p>
        </w:tc>
        <w:tc>
          <w:tcPr>
            <w:tcW w:w="1175" w:type="pct"/>
            <w:tcBorders>
              <w:bottom w:val="single" w:sz="4" w:space="0" w:color="auto"/>
            </w:tcBorders>
            <w:vAlign w:val="center"/>
          </w:tcPr>
          <w:p w14:paraId="7BDF23AE" w14:textId="3058C90F" w:rsidR="005B059D" w:rsidRPr="003F24D4" w:rsidRDefault="005B059D" w:rsidP="005B059D">
            <w:pPr>
              <w:pStyle w:val="TableParagraph"/>
              <w:suppressAutoHyphens/>
              <w:spacing w:line="100" w:lineRule="atLeast"/>
              <w:rPr>
                <w:color w:val="000000"/>
                <w:sz w:val="20"/>
                <w:szCs w:val="20"/>
                <w:u w:color="000000"/>
                <w:bdr w:val="nil"/>
                <w14:textOutline w14:w="0" w14:cap="flat" w14:cmpd="sng" w14:algn="ctr">
                  <w14:noFill/>
                  <w14:prstDash w14:val="solid"/>
                  <w14:bevel/>
                </w14:textOutline>
              </w:rPr>
            </w:pPr>
            <w:proofErr w:type="spellStart"/>
            <w:r w:rsidRPr="00C960A2">
              <w:rPr>
                <w:i/>
                <w:color w:val="000000"/>
                <w:sz w:val="20"/>
                <w:szCs w:val="20"/>
                <w:lang w:val="es-ES"/>
              </w:rPr>
              <w:t>r</w:t>
            </w:r>
            <w:r w:rsidRPr="00C960A2">
              <w:rPr>
                <w:i/>
                <w:color w:val="000000"/>
                <w:sz w:val="20"/>
                <w:szCs w:val="20"/>
                <w:vertAlign w:val="subscript"/>
                <w:lang w:val="es-ES"/>
              </w:rPr>
              <w:t>xy</w:t>
            </w:r>
            <w:proofErr w:type="spellEnd"/>
          </w:p>
        </w:tc>
        <w:tc>
          <w:tcPr>
            <w:tcW w:w="866" w:type="pct"/>
            <w:tcBorders>
              <w:bottom w:val="single" w:sz="4" w:space="0" w:color="auto"/>
            </w:tcBorders>
            <w:vAlign w:val="center"/>
          </w:tcPr>
          <w:p w14:paraId="3A68D0C8" w14:textId="261CF1CA" w:rsidR="005B059D" w:rsidRPr="003F24D4" w:rsidRDefault="005B059D" w:rsidP="005B059D">
            <w:pPr>
              <w:pStyle w:val="TableParagraph"/>
              <w:suppressAutoHyphens/>
              <w:spacing w:line="100" w:lineRule="atLeast"/>
              <w:rPr>
                <w:color w:val="000000"/>
                <w:sz w:val="20"/>
                <w:szCs w:val="20"/>
                <w:u w:color="000000"/>
                <w:bdr w:val="nil"/>
                <w14:textOutline w14:w="0" w14:cap="flat" w14:cmpd="sng" w14:algn="ctr">
                  <w14:noFill/>
                  <w14:prstDash w14:val="solid"/>
                  <w14:bevel/>
                </w14:textOutline>
              </w:rPr>
            </w:pPr>
            <w:r w:rsidRPr="00C960A2">
              <w:rPr>
                <w:i/>
                <w:color w:val="000000"/>
                <w:sz w:val="20"/>
                <w:szCs w:val="20"/>
                <w:lang w:val="es-ES"/>
              </w:rPr>
              <w:t>p</w:t>
            </w:r>
          </w:p>
        </w:tc>
      </w:tr>
      <w:tr w:rsidR="005B059D" w:rsidRPr="003F24D4" w14:paraId="3A66F690" w14:textId="77777777" w:rsidTr="005B059D">
        <w:trPr>
          <w:trHeight w:hRule="exact" w:val="515"/>
        </w:trPr>
        <w:tc>
          <w:tcPr>
            <w:tcW w:w="1802" w:type="pct"/>
            <w:tcBorders>
              <w:top w:val="single" w:sz="4" w:space="0" w:color="auto"/>
            </w:tcBorders>
            <w:vAlign w:val="center"/>
          </w:tcPr>
          <w:p w14:paraId="1C1B2A3C" w14:textId="12DC0525" w:rsidR="005B059D" w:rsidRPr="003F24D4" w:rsidRDefault="005B059D" w:rsidP="005B059D">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C960A2">
              <w:rPr>
                <w:color w:val="000000"/>
                <w:sz w:val="20"/>
                <w:szCs w:val="20"/>
                <w:lang w:val="es-ES"/>
              </w:rPr>
              <w:t>Desprecio</w:t>
            </w:r>
          </w:p>
        </w:tc>
        <w:tc>
          <w:tcPr>
            <w:tcW w:w="667" w:type="pct"/>
            <w:tcBorders>
              <w:top w:val="single" w:sz="4" w:space="0" w:color="auto"/>
            </w:tcBorders>
            <w:vAlign w:val="center"/>
          </w:tcPr>
          <w:p w14:paraId="59300C4C" w14:textId="20C8ACC9"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color w:val="000000"/>
                <w:sz w:val="20"/>
                <w:szCs w:val="20"/>
                <w:lang w:val="es-ES"/>
              </w:rPr>
              <w:t>.012</w:t>
            </w:r>
          </w:p>
        </w:tc>
        <w:tc>
          <w:tcPr>
            <w:tcW w:w="491" w:type="pct"/>
            <w:tcBorders>
              <w:top w:val="single" w:sz="4" w:space="0" w:color="auto"/>
            </w:tcBorders>
            <w:vAlign w:val="center"/>
          </w:tcPr>
          <w:p w14:paraId="2354AAE9" w14:textId="0F311B1F"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color w:val="000000"/>
                <w:sz w:val="20"/>
                <w:szCs w:val="20"/>
                <w:lang w:val="es-ES"/>
              </w:rPr>
              <w:t>.78</w:t>
            </w:r>
          </w:p>
        </w:tc>
        <w:tc>
          <w:tcPr>
            <w:tcW w:w="1175" w:type="pct"/>
            <w:tcBorders>
              <w:top w:val="single" w:sz="4" w:space="0" w:color="auto"/>
            </w:tcBorders>
            <w:vAlign w:val="center"/>
          </w:tcPr>
          <w:p w14:paraId="022D6452" w14:textId="55DE1C86"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color w:val="000000"/>
                <w:sz w:val="20"/>
                <w:szCs w:val="20"/>
                <w:lang w:val="es-ES"/>
              </w:rPr>
              <w:t>-.019</w:t>
            </w:r>
          </w:p>
        </w:tc>
        <w:tc>
          <w:tcPr>
            <w:tcW w:w="866" w:type="pct"/>
            <w:tcBorders>
              <w:top w:val="single" w:sz="4" w:space="0" w:color="auto"/>
            </w:tcBorders>
            <w:vAlign w:val="center"/>
          </w:tcPr>
          <w:p w14:paraId="226E4FB2" w14:textId="232AB59D"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color w:val="000000"/>
                <w:sz w:val="20"/>
                <w:szCs w:val="20"/>
                <w:lang w:val="es-ES"/>
              </w:rPr>
              <w:t>.69</w:t>
            </w:r>
          </w:p>
        </w:tc>
      </w:tr>
      <w:tr w:rsidR="005B059D" w:rsidRPr="003F24D4" w14:paraId="244E0CB9" w14:textId="77777777" w:rsidTr="005B059D">
        <w:trPr>
          <w:trHeight w:hRule="exact" w:val="453"/>
        </w:trPr>
        <w:tc>
          <w:tcPr>
            <w:tcW w:w="1802" w:type="pct"/>
            <w:vAlign w:val="center"/>
          </w:tcPr>
          <w:p w14:paraId="1B0DD60B" w14:textId="0708E286" w:rsidR="005B059D" w:rsidRPr="003F24D4" w:rsidRDefault="005B059D" w:rsidP="005B059D">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C960A2">
              <w:rPr>
                <w:color w:val="000000"/>
                <w:sz w:val="20"/>
                <w:szCs w:val="20"/>
                <w:lang w:val="es-ES"/>
              </w:rPr>
              <w:t>Coacción</w:t>
            </w:r>
          </w:p>
        </w:tc>
        <w:tc>
          <w:tcPr>
            <w:tcW w:w="667" w:type="pct"/>
            <w:vAlign w:val="center"/>
          </w:tcPr>
          <w:p w14:paraId="7CD934C4" w14:textId="07A9DCC2"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color w:val="000000"/>
                <w:sz w:val="20"/>
                <w:szCs w:val="20"/>
                <w:lang w:val="es-ES"/>
              </w:rPr>
              <w:t>-.007</w:t>
            </w:r>
          </w:p>
        </w:tc>
        <w:tc>
          <w:tcPr>
            <w:tcW w:w="491" w:type="pct"/>
            <w:vAlign w:val="center"/>
          </w:tcPr>
          <w:p w14:paraId="33CA3C10" w14:textId="3B5D3B36"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color w:val="000000"/>
                <w:sz w:val="20"/>
                <w:szCs w:val="20"/>
                <w:lang w:val="es-ES"/>
              </w:rPr>
              <w:t>.87</w:t>
            </w:r>
          </w:p>
        </w:tc>
        <w:tc>
          <w:tcPr>
            <w:tcW w:w="1175" w:type="pct"/>
            <w:vAlign w:val="center"/>
          </w:tcPr>
          <w:p w14:paraId="706F0B33" w14:textId="028482B7"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color w:val="000000"/>
                <w:sz w:val="20"/>
                <w:szCs w:val="20"/>
                <w:lang w:val="es-ES"/>
              </w:rPr>
              <w:t>-.010</w:t>
            </w:r>
          </w:p>
        </w:tc>
        <w:tc>
          <w:tcPr>
            <w:tcW w:w="866" w:type="pct"/>
            <w:vAlign w:val="center"/>
          </w:tcPr>
          <w:p w14:paraId="6F0D981D" w14:textId="39D5EF80"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color w:val="000000"/>
                <w:sz w:val="20"/>
                <w:szCs w:val="20"/>
                <w:lang w:val="es-ES"/>
              </w:rPr>
              <w:t>.82</w:t>
            </w:r>
          </w:p>
        </w:tc>
      </w:tr>
      <w:tr w:rsidR="005B059D" w:rsidRPr="003F24D4" w14:paraId="0956EE61" w14:textId="77777777" w:rsidTr="005B059D">
        <w:trPr>
          <w:trHeight w:hRule="exact" w:val="453"/>
        </w:trPr>
        <w:tc>
          <w:tcPr>
            <w:tcW w:w="1802" w:type="pct"/>
            <w:vAlign w:val="center"/>
          </w:tcPr>
          <w:p w14:paraId="614AD6C5" w14:textId="63D0F955" w:rsidR="005B059D" w:rsidRPr="003F24D4" w:rsidRDefault="005B059D" w:rsidP="005B059D">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C960A2">
              <w:rPr>
                <w:color w:val="000000"/>
                <w:sz w:val="20"/>
                <w:szCs w:val="20"/>
                <w:lang w:val="es-ES"/>
              </w:rPr>
              <w:t>Restricción</w:t>
            </w:r>
          </w:p>
        </w:tc>
        <w:tc>
          <w:tcPr>
            <w:tcW w:w="667" w:type="pct"/>
            <w:vAlign w:val="center"/>
          </w:tcPr>
          <w:p w14:paraId="0F1E1AF0" w14:textId="32E486DD"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color w:val="000000"/>
                <w:sz w:val="20"/>
                <w:szCs w:val="20"/>
                <w:lang w:val="es-ES"/>
              </w:rPr>
              <w:t>-.019</w:t>
            </w:r>
          </w:p>
        </w:tc>
        <w:tc>
          <w:tcPr>
            <w:tcW w:w="491" w:type="pct"/>
            <w:vAlign w:val="center"/>
          </w:tcPr>
          <w:p w14:paraId="10FC14B9" w14:textId="71AE254A"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color w:val="000000"/>
                <w:sz w:val="20"/>
                <w:szCs w:val="20"/>
                <w:lang w:val="es-ES"/>
              </w:rPr>
              <w:t>.66</w:t>
            </w:r>
          </w:p>
        </w:tc>
        <w:tc>
          <w:tcPr>
            <w:tcW w:w="1175" w:type="pct"/>
            <w:vAlign w:val="center"/>
          </w:tcPr>
          <w:p w14:paraId="31B3C524" w14:textId="71DC8177"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color w:val="000000"/>
                <w:sz w:val="20"/>
                <w:szCs w:val="20"/>
                <w:lang w:val="es-ES"/>
              </w:rPr>
              <w:t>-.019</w:t>
            </w:r>
          </w:p>
        </w:tc>
        <w:tc>
          <w:tcPr>
            <w:tcW w:w="866" w:type="pct"/>
            <w:vAlign w:val="center"/>
          </w:tcPr>
          <w:p w14:paraId="589EB7F0" w14:textId="79C8B895"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color w:val="000000"/>
                <w:sz w:val="20"/>
                <w:szCs w:val="20"/>
                <w:lang w:val="es-ES"/>
              </w:rPr>
              <w:t>.69</w:t>
            </w:r>
          </w:p>
        </w:tc>
      </w:tr>
      <w:tr w:rsidR="005B059D" w:rsidRPr="003F24D4" w14:paraId="1EB6CA4B" w14:textId="77777777" w:rsidTr="005B059D">
        <w:trPr>
          <w:trHeight w:hRule="exact" w:val="452"/>
        </w:trPr>
        <w:tc>
          <w:tcPr>
            <w:tcW w:w="1802" w:type="pct"/>
            <w:vAlign w:val="center"/>
          </w:tcPr>
          <w:p w14:paraId="6703A24D" w14:textId="4A4DBC6B" w:rsidR="005B059D" w:rsidRPr="003F24D4" w:rsidRDefault="005B059D" w:rsidP="005B059D">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C960A2">
              <w:rPr>
                <w:color w:val="000000"/>
                <w:sz w:val="20"/>
                <w:szCs w:val="20"/>
                <w:lang w:val="es-ES"/>
              </w:rPr>
              <w:t>Agresiones</w:t>
            </w:r>
          </w:p>
        </w:tc>
        <w:tc>
          <w:tcPr>
            <w:tcW w:w="667" w:type="pct"/>
            <w:vAlign w:val="center"/>
          </w:tcPr>
          <w:p w14:paraId="1176647A" w14:textId="3D6B6943"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color w:val="000000"/>
                <w:sz w:val="20"/>
                <w:szCs w:val="20"/>
                <w:lang w:val="es-ES"/>
              </w:rPr>
              <w:t>-.046</w:t>
            </w:r>
          </w:p>
        </w:tc>
        <w:tc>
          <w:tcPr>
            <w:tcW w:w="491" w:type="pct"/>
            <w:vAlign w:val="center"/>
          </w:tcPr>
          <w:p w14:paraId="05F96382" w14:textId="36674C41"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color w:val="000000"/>
                <w:sz w:val="20"/>
                <w:szCs w:val="20"/>
                <w:lang w:val="es-ES"/>
              </w:rPr>
              <w:t>.29</w:t>
            </w:r>
          </w:p>
        </w:tc>
        <w:tc>
          <w:tcPr>
            <w:tcW w:w="1175" w:type="pct"/>
            <w:vAlign w:val="center"/>
          </w:tcPr>
          <w:p w14:paraId="4B6B14C5" w14:textId="779E0138"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color w:val="000000"/>
                <w:sz w:val="20"/>
                <w:szCs w:val="20"/>
                <w:lang w:val="es-ES"/>
              </w:rPr>
              <w:t>-.077</w:t>
            </w:r>
          </w:p>
        </w:tc>
        <w:tc>
          <w:tcPr>
            <w:tcW w:w="866" w:type="pct"/>
            <w:vAlign w:val="center"/>
          </w:tcPr>
          <w:p w14:paraId="6608994A" w14:textId="6EECD0A4"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color w:val="000000"/>
                <w:sz w:val="20"/>
                <w:szCs w:val="20"/>
                <w:lang w:val="es-ES"/>
              </w:rPr>
              <w:t>.10</w:t>
            </w:r>
          </w:p>
        </w:tc>
      </w:tr>
      <w:tr w:rsidR="005B059D" w:rsidRPr="003F24D4" w14:paraId="6A148A95" w14:textId="77777777" w:rsidTr="005B059D">
        <w:trPr>
          <w:trHeight w:hRule="exact" w:val="455"/>
        </w:trPr>
        <w:tc>
          <w:tcPr>
            <w:tcW w:w="1802" w:type="pct"/>
            <w:vAlign w:val="center"/>
          </w:tcPr>
          <w:p w14:paraId="657B6168" w14:textId="288A2855" w:rsidR="005B059D" w:rsidRPr="003F24D4" w:rsidRDefault="005B059D" w:rsidP="005B059D">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C960A2">
              <w:rPr>
                <w:color w:val="000000"/>
                <w:sz w:val="20"/>
                <w:szCs w:val="20"/>
                <w:lang w:val="es-ES"/>
              </w:rPr>
              <w:t>Intimidación</w:t>
            </w:r>
          </w:p>
        </w:tc>
        <w:tc>
          <w:tcPr>
            <w:tcW w:w="667" w:type="pct"/>
            <w:vAlign w:val="center"/>
          </w:tcPr>
          <w:p w14:paraId="4954BB88" w14:textId="6BFB678A"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color w:val="000000"/>
                <w:sz w:val="20"/>
                <w:szCs w:val="20"/>
                <w:lang w:val="es-ES"/>
              </w:rPr>
              <w:t>-.076</w:t>
            </w:r>
          </w:p>
        </w:tc>
        <w:tc>
          <w:tcPr>
            <w:tcW w:w="491" w:type="pct"/>
            <w:vAlign w:val="center"/>
          </w:tcPr>
          <w:p w14:paraId="52AB27B2" w14:textId="2FD2C9DC"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color w:val="000000"/>
                <w:sz w:val="20"/>
                <w:szCs w:val="20"/>
                <w:lang w:val="es-ES"/>
              </w:rPr>
              <w:t>.07</w:t>
            </w:r>
          </w:p>
        </w:tc>
        <w:tc>
          <w:tcPr>
            <w:tcW w:w="1175" w:type="pct"/>
            <w:vAlign w:val="center"/>
          </w:tcPr>
          <w:p w14:paraId="0B1EC8F6" w14:textId="66F98832"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color w:val="000000"/>
                <w:sz w:val="20"/>
                <w:szCs w:val="20"/>
                <w:lang w:val="es-ES"/>
              </w:rPr>
              <w:t>-.081</w:t>
            </w:r>
          </w:p>
        </w:tc>
        <w:tc>
          <w:tcPr>
            <w:tcW w:w="866" w:type="pct"/>
            <w:vAlign w:val="center"/>
          </w:tcPr>
          <w:p w14:paraId="37102B0F" w14:textId="039803BC"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color w:val="000000"/>
                <w:sz w:val="20"/>
                <w:szCs w:val="20"/>
                <w:lang w:val="es-ES"/>
              </w:rPr>
              <w:t>.09</w:t>
            </w:r>
          </w:p>
        </w:tc>
      </w:tr>
      <w:tr w:rsidR="005B059D" w:rsidRPr="003F24D4" w14:paraId="6AB99AF2" w14:textId="77777777" w:rsidTr="005B059D">
        <w:trPr>
          <w:trHeight w:hRule="exact" w:val="455"/>
        </w:trPr>
        <w:tc>
          <w:tcPr>
            <w:tcW w:w="1802" w:type="pct"/>
            <w:vAlign w:val="center"/>
          </w:tcPr>
          <w:p w14:paraId="31157283" w14:textId="5463F374" w:rsidR="005B059D" w:rsidRPr="003F24D4" w:rsidRDefault="005B059D" w:rsidP="005B059D">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C960A2">
              <w:rPr>
                <w:color w:val="000000"/>
                <w:sz w:val="20"/>
                <w:szCs w:val="20"/>
                <w:lang w:val="es-ES"/>
              </w:rPr>
              <w:t>Exclusión</w:t>
            </w:r>
          </w:p>
        </w:tc>
        <w:tc>
          <w:tcPr>
            <w:tcW w:w="667" w:type="pct"/>
            <w:vAlign w:val="center"/>
          </w:tcPr>
          <w:p w14:paraId="1ED6EA27" w14:textId="4D185A1D"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color w:val="000000"/>
                <w:sz w:val="20"/>
                <w:szCs w:val="20"/>
                <w:lang w:val="es-ES"/>
              </w:rPr>
              <w:t>-.075</w:t>
            </w:r>
          </w:p>
        </w:tc>
        <w:tc>
          <w:tcPr>
            <w:tcW w:w="491" w:type="pct"/>
            <w:vAlign w:val="center"/>
          </w:tcPr>
          <w:p w14:paraId="35E1967C" w14:textId="24DB999F"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color w:val="000000"/>
                <w:sz w:val="20"/>
                <w:szCs w:val="20"/>
                <w:lang w:val="es-ES"/>
              </w:rPr>
              <w:t>.08</w:t>
            </w:r>
          </w:p>
        </w:tc>
        <w:tc>
          <w:tcPr>
            <w:tcW w:w="1175" w:type="pct"/>
            <w:vAlign w:val="center"/>
          </w:tcPr>
          <w:p w14:paraId="2A56F55B" w14:textId="1BBC56B6"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color w:val="000000"/>
                <w:sz w:val="20"/>
                <w:szCs w:val="20"/>
                <w:lang w:val="es-ES"/>
              </w:rPr>
              <w:t>-.043</w:t>
            </w:r>
          </w:p>
        </w:tc>
        <w:tc>
          <w:tcPr>
            <w:tcW w:w="866" w:type="pct"/>
            <w:vAlign w:val="center"/>
          </w:tcPr>
          <w:p w14:paraId="650F6385" w14:textId="684C623A"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color w:val="000000"/>
                <w:sz w:val="20"/>
                <w:szCs w:val="20"/>
                <w:lang w:val="es-ES"/>
              </w:rPr>
              <w:t>.37</w:t>
            </w:r>
          </w:p>
        </w:tc>
      </w:tr>
      <w:tr w:rsidR="005B059D" w:rsidRPr="003F24D4" w14:paraId="32087903" w14:textId="77777777" w:rsidTr="005B059D">
        <w:trPr>
          <w:trHeight w:hRule="exact" w:val="452"/>
        </w:trPr>
        <w:tc>
          <w:tcPr>
            <w:tcW w:w="1802" w:type="pct"/>
            <w:vAlign w:val="center"/>
          </w:tcPr>
          <w:p w14:paraId="6D7A19B7" w14:textId="0F105F6F" w:rsidR="005B059D" w:rsidRPr="003F24D4" w:rsidRDefault="005B059D" w:rsidP="005B059D">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C960A2">
              <w:rPr>
                <w:color w:val="000000"/>
                <w:sz w:val="20"/>
                <w:szCs w:val="20"/>
                <w:lang w:val="es-ES"/>
              </w:rPr>
              <w:t>Hostigamiento</w:t>
            </w:r>
          </w:p>
        </w:tc>
        <w:tc>
          <w:tcPr>
            <w:tcW w:w="667" w:type="pct"/>
            <w:vAlign w:val="center"/>
          </w:tcPr>
          <w:p w14:paraId="00397F97" w14:textId="1CA268CD"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color w:val="000000"/>
                <w:sz w:val="20"/>
                <w:szCs w:val="20"/>
                <w:lang w:val="es-ES"/>
              </w:rPr>
              <w:t>-.001</w:t>
            </w:r>
          </w:p>
        </w:tc>
        <w:tc>
          <w:tcPr>
            <w:tcW w:w="491" w:type="pct"/>
            <w:vAlign w:val="center"/>
          </w:tcPr>
          <w:p w14:paraId="38E06BF1" w14:textId="65C31E59"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color w:val="000000"/>
                <w:sz w:val="20"/>
                <w:szCs w:val="20"/>
                <w:lang w:val="es-ES"/>
              </w:rPr>
              <w:t>.98</w:t>
            </w:r>
          </w:p>
        </w:tc>
        <w:tc>
          <w:tcPr>
            <w:tcW w:w="1175" w:type="pct"/>
            <w:vAlign w:val="center"/>
          </w:tcPr>
          <w:p w14:paraId="1499DD36" w14:textId="2E626CE3"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color w:val="000000"/>
                <w:sz w:val="20"/>
                <w:szCs w:val="20"/>
                <w:lang w:val="es-ES"/>
              </w:rPr>
              <w:t>.010</w:t>
            </w:r>
          </w:p>
        </w:tc>
        <w:tc>
          <w:tcPr>
            <w:tcW w:w="866" w:type="pct"/>
            <w:vAlign w:val="center"/>
          </w:tcPr>
          <w:p w14:paraId="6DC82E9D" w14:textId="17A8E46F"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color w:val="000000"/>
                <w:sz w:val="20"/>
                <w:szCs w:val="20"/>
                <w:lang w:val="es-ES"/>
              </w:rPr>
              <w:t>.83</w:t>
            </w:r>
          </w:p>
        </w:tc>
      </w:tr>
      <w:tr w:rsidR="005B059D" w:rsidRPr="003F24D4" w14:paraId="034BA468" w14:textId="77777777" w:rsidTr="005B059D">
        <w:trPr>
          <w:trHeight w:hRule="exact" w:val="452"/>
        </w:trPr>
        <w:tc>
          <w:tcPr>
            <w:tcW w:w="1802" w:type="pct"/>
            <w:vAlign w:val="center"/>
          </w:tcPr>
          <w:p w14:paraId="482E53EF" w14:textId="45504200" w:rsidR="005B059D" w:rsidRPr="00C960A2" w:rsidRDefault="005B059D" w:rsidP="005B059D">
            <w:pPr>
              <w:suppressAutoHyphens/>
              <w:spacing w:line="100" w:lineRule="atLeast"/>
              <w:rPr>
                <w:color w:val="000000"/>
                <w:sz w:val="20"/>
                <w:szCs w:val="20"/>
                <w:lang w:val="es-ES"/>
              </w:rPr>
            </w:pPr>
            <w:r w:rsidRPr="00C960A2">
              <w:rPr>
                <w:color w:val="000000"/>
                <w:sz w:val="20"/>
                <w:szCs w:val="20"/>
                <w:lang w:val="es-ES"/>
              </w:rPr>
              <w:t>Robos</w:t>
            </w:r>
          </w:p>
        </w:tc>
        <w:tc>
          <w:tcPr>
            <w:tcW w:w="667" w:type="pct"/>
            <w:vAlign w:val="center"/>
          </w:tcPr>
          <w:p w14:paraId="3456E24C" w14:textId="3300E560" w:rsidR="005B059D" w:rsidRPr="00C960A2" w:rsidRDefault="005B059D" w:rsidP="005B059D">
            <w:pPr>
              <w:suppressAutoHyphens/>
              <w:spacing w:line="100" w:lineRule="atLeast"/>
              <w:jc w:val="center"/>
              <w:rPr>
                <w:color w:val="000000"/>
                <w:sz w:val="20"/>
                <w:szCs w:val="20"/>
                <w:lang w:val="es-ES"/>
              </w:rPr>
            </w:pPr>
            <w:r w:rsidRPr="00C960A2">
              <w:rPr>
                <w:color w:val="000000"/>
                <w:sz w:val="20"/>
                <w:szCs w:val="20"/>
                <w:lang w:val="es-ES"/>
              </w:rPr>
              <w:t>-.030</w:t>
            </w:r>
          </w:p>
        </w:tc>
        <w:tc>
          <w:tcPr>
            <w:tcW w:w="491" w:type="pct"/>
            <w:vAlign w:val="center"/>
          </w:tcPr>
          <w:p w14:paraId="04345BB9" w14:textId="446C5284" w:rsidR="005B059D" w:rsidRPr="00C960A2" w:rsidRDefault="005B059D" w:rsidP="005B059D">
            <w:pPr>
              <w:suppressAutoHyphens/>
              <w:spacing w:line="100" w:lineRule="atLeast"/>
              <w:jc w:val="center"/>
              <w:rPr>
                <w:color w:val="000000"/>
                <w:sz w:val="20"/>
                <w:szCs w:val="20"/>
                <w:lang w:val="es-ES"/>
              </w:rPr>
            </w:pPr>
            <w:r w:rsidRPr="00C960A2">
              <w:rPr>
                <w:color w:val="000000"/>
                <w:sz w:val="20"/>
                <w:szCs w:val="20"/>
                <w:lang w:val="es-ES"/>
              </w:rPr>
              <w:t>.49</w:t>
            </w:r>
          </w:p>
        </w:tc>
        <w:tc>
          <w:tcPr>
            <w:tcW w:w="1175" w:type="pct"/>
            <w:vAlign w:val="center"/>
          </w:tcPr>
          <w:p w14:paraId="67AF8113" w14:textId="0AA6661A" w:rsidR="005B059D" w:rsidRPr="00C960A2" w:rsidRDefault="005B059D" w:rsidP="005B059D">
            <w:pPr>
              <w:suppressAutoHyphens/>
              <w:spacing w:line="100" w:lineRule="atLeast"/>
              <w:jc w:val="center"/>
              <w:rPr>
                <w:color w:val="000000"/>
                <w:sz w:val="20"/>
                <w:szCs w:val="20"/>
                <w:lang w:val="es-ES"/>
              </w:rPr>
            </w:pPr>
            <w:r w:rsidRPr="00C960A2">
              <w:rPr>
                <w:color w:val="000000"/>
                <w:sz w:val="20"/>
                <w:szCs w:val="20"/>
                <w:lang w:val="es-ES"/>
              </w:rPr>
              <w:t>.024</w:t>
            </w:r>
          </w:p>
        </w:tc>
        <w:tc>
          <w:tcPr>
            <w:tcW w:w="866" w:type="pct"/>
            <w:vAlign w:val="center"/>
          </w:tcPr>
          <w:p w14:paraId="52F7B0EF" w14:textId="2CA7A640" w:rsidR="005B059D" w:rsidRPr="00C960A2" w:rsidRDefault="005B059D" w:rsidP="005B059D">
            <w:pPr>
              <w:suppressAutoHyphens/>
              <w:spacing w:line="100" w:lineRule="atLeast"/>
              <w:jc w:val="center"/>
              <w:rPr>
                <w:color w:val="000000"/>
                <w:sz w:val="20"/>
                <w:szCs w:val="20"/>
                <w:lang w:val="es-ES"/>
              </w:rPr>
            </w:pPr>
            <w:r w:rsidRPr="00C960A2">
              <w:rPr>
                <w:color w:val="000000"/>
                <w:sz w:val="20"/>
                <w:szCs w:val="20"/>
                <w:lang w:val="es-ES"/>
              </w:rPr>
              <w:t>.61</w:t>
            </w:r>
          </w:p>
        </w:tc>
      </w:tr>
      <w:tr w:rsidR="005B059D" w:rsidRPr="003F24D4" w14:paraId="1D9E797A" w14:textId="77777777" w:rsidTr="005B059D">
        <w:trPr>
          <w:trHeight w:hRule="exact" w:val="452"/>
        </w:trPr>
        <w:tc>
          <w:tcPr>
            <w:tcW w:w="1802" w:type="pct"/>
            <w:vAlign w:val="center"/>
          </w:tcPr>
          <w:p w14:paraId="19424DDF" w14:textId="36A19E92" w:rsidR="005B059D" w:rsidRPr="00C960A2" w:rsidRDefault="005B059D" w:rsidP="005B059D">
            <w:pPr>
              <w:suppressAutoHyphens/>
              <w:spacing w:line="100" w:lineRule="atLeast"/>
              <w:rPr>
                <w:color w:val="000000"/>
                <w:sz w:val="20"/>
                <w:szCs w:val="20"/>
                <w:lang w:val="es-ES"/>
              </w:rPr>
            </w:pPr>
            <w:r w:rsidRPr="00C960A2">
              <w:rPr>
                <w:color w:val="000000"/>
                <w:sz w:val="20"/>
                <w:szCs w:val="20"/>
                <w:lang w:val="es-ES"/>
              </w:rPr>
              <w:t>Acoso Físico</w:t>
            </w:r>
          </w:p>
        </w:tc>
        <w:tc>
          <w:tcPr>
            <w:tcW w:w="667" w:type="pct"/>
            <w:vAlign w:val="center"/>
          </w:tcPr>
          <w:p w14:paraId="1FB21637" w14:textId="714D1F27" w:rsidR="005B059D" w:rsidRPr="00C960A2" w:rsidRDefault="005B059D" w:rsidP="005B059D">
            <w:pPr>
              <w:suppressAutoHyphens/>
              <w:spacing w:line="100" w:lineRule="atLeast"/>
              <w:jc w:val="center"/>
              <w:rPr>
                <w:color w:val="000000"/>
                <w:sz w:val="20"/>
                <w:szCs w:val="20"/>
                <w:lang w:val="es-ES"/>
              </w:rPr>
            </w:pPr>
            <w:r w:rsidRPr="00C960A2">
              <w:rPr>
                <w:color w:val="000000"/>
                <w:sz w:val="20"/>
                <w:szCs w:val="20"/>
                <w:lang w:val="es-ES"/>
              </w:rPr>
              <w:t>-.056</w:t>
            </w:r>
          </w:p>
        </w:tc>
        <w:tc>
          <w:tcPr>
            <w:tcW w:w="491" w:type="pct"/>
            <w:vAlign w:val="center"/>
          </w:tcPr>
          <w:p w14:paraId="0E0B0A49" w14:textId="36B10C63" w:rsidR="005B059D" w:rsidRPr="00C960A2" w:rsidRDefault="005B059D" w:rsidP="005B059D">
            <w:pPr>
              <w:suppressAutoHyphens/>
              <w:spacing w:line="100" w:lineRule="atLeast"/>
              <w:jc w:val="center"/>
              <w:rPr>
                <w:color w:val="000000"/>
                <w:sz w:val="20"/>
                <w:szCs w:val="20"/>
                <w:lang w:val="es-ES"/>
              </w:rPr>
            </w:pPr>
            <w:r w:rsidRPr="00C960A2">
              <w:rPr>
                <w:color w:val="000000"/>
                <w:sz w:val="20"/>
                <w:szCs w:val="20"/>
                <w:lang w:val="es-ES"/>
              </w:rPr>
              <w:t>.20</w:t>
            </w:r>
          </w:p>
        </w:tc>
        <w:tc>
          <w:tcPr>
            <w:tcW w:w="1175" w:type="pct"/>
            <w:vAlign w:val="center"/>
          </w:tcPr>
          <w:p w14:paraId="58963EE0" w14:textId="4134F720" w:rsidR="005B059D" w:rsidRPr="00C960A2" w:rsidRDefault="005B059D" w:rsidP="005B059D">
            <w:pPr>
              <w:suppressAutoHyphens/>
              <w:spacing w:line="100" w:lineRule="atLeast"/>
              <w:jc w:val="center"/>
              <w:rPr>
                <w:color w:val="000000"/>
                <w:sz w:val="20"/>
                <w:szCs w:val="20"/>
                <w:lang w:val="es-ES"/>
              </w:rPr>
            </w:pPr>
            <w:r w:rsidRPr="00C960A2">
              <w:rPr>
                <w:color w:val="000000"/>
                <w:sz w:val="20"/>
                <w:szCs w:val="20"/>
                <w:lang w:val="es-ES"/>
              </w:rPr>
              <w:t>-.045</w:t>
            </w:r>
          </w:p>
        </w:tc>
        <w:tc>
          <w:tcPr>
            <w:tcW w:w="866" w:type="pct"/>
            <w:vAlign w:val="center"/>
          </w:tcPr>
          <w:p w14:paraId="16F70599" w14:textId="27F95334" w:rsidR="005B059D" w:rsidRPr="00C960A2" w:rsidRDefault="005B059D" w:rsidP="005B059D">
            <w:pPr>
              <w:suppressAutoHyphens/>
              <w:spacing w:line="100" w:lineRule="atLeast"/>
              <w:jc w:val="center"/>
              <w:rPr>
                <w:color w:val="000000"/>
                <w:sz w:val="20"/>
                <w:szCs w:val="20"/>
                <w:lang w:val="es-ES"/>
              </w:rPr>
            </w:pPr>
            <w:r w:rsidRPr="00C960A2">
              <w:rPr>
                <w:color w:val="000000"/>
                <w:sz w:val="20"/>
                <w:szCs w:val="20"/>
                <w:lang w:val="es-ES"/>
              </w:rPr>
              <w:t>.34</w:t>
            </w:r>
          </w:p>
        </w:tc>
      </w:tr>
      <w:tr w:rsidR="005B059D" w:rsidRPr="003F24D4" w14:paraId="71B724B0" w14:textId="77777777" w:rsidTr="005B059D">
        <w:trPr>
          <w:trHeight w:hRule="exact" w:val="453"/>
        </w:trPr>
        <w:tc>
          <w:tcPr>
            <w:tcW w:w="1802" w:type="pct"/>
            <w:tcBorders>
              <w:bottom w:val="single" w:sz="4" w:space="0" w:color="auto"/>
            </w:tcBorders>
            <w:vAlign w:val="center"/>
          </w:tcPr>
          <w:p w14:paraId="0A1747DA" w14:textId="61F2EEA9" w:rsidR="005B059D" w:rsidRPr="003F24D4" w:rsidRDefault="005B059D" w:rsidP="005B059D">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C960A2">
              <w:rPr>
                <w:color w:val="000000"/>
                <w:sz w:val="20"/>
                <w:szCs w:val="20"/>
                <w:lang w:val="es-ES"/>
              </w:rPr>
              <w:t>Acoso Psicológico</w:t>
            </w:r>
          </w:p>
        </w:tc>
        <w:tc>
          <w:tcPr>
            <w:tcW w:w="667" w:type="pct"/>
            <w:tcBorders>
              <w:bottom w:val="single" w:sz="4" w:space="0" w:color="auto"/>
            </w:tcBorders>
            <w:vAlign w:val="center"/>
          </w:tcPr>
          <w:p w14:paraId="3A2C2EEB" w14:textId="75E70889"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color w:val="000000"/>
                <w:sz w:val="20"/>
                <w:szCs w:val="20"/>
                <w:lang w:val="es-ES"/>
              </w:rPr>
              <w:t>-.022</w:t>
            </w:r>
          </w:p>
        </w:tc>
        <w:tc>
          <w:tcPr>
            <w:tcW w:w="491" w:type="pct"/>
            <w:tcBorders>
              <w:bottom w:val="single" w:sz="4" w:space="0" w:color="auto"/>
            </w:tcBorders>
            <w:vAlign w:val="center"/>
          </w:tcPr>
          <w:p w14:paraId="4C10B41A" w14:textId="0A08489B"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color w:val="000000"/>
                <w:sz w:val="20"/>
                <w:szCs w:val="20"/>
                <w:lang w:val="es-ES"/>
              </w:rPr>
              <w:t>.61</w:t>
            </w:r>
          </w:p>
        </w:tc>
        <w:tc>
          <w:tcPr>
            <w:tcW w:w="1175" w:type="pct"/>
            <w:tcBorders>
              <w:bottom w:val="single" w:sz="4" w:space="0" w:color="auto"/>
            </w:tcBorders>
            <w:vAlign w:val="center"/>
          </w:tcPr>
          <w:p w14:paraId="37DA3545" w14:textId="03AF5EF1"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color w:val="000000"/>
                <w:sz w:val="20"/>
                <w:szCs w:val="20"/>
                <w:lang w:val="es-ES"/>
              </w:rPr>
              <w:t>-.019</w:t>
            </w:r>
          </w:p>
        </w:tc>
        <w:tc>
          <w:tcPr>
            <w:tcW w:w="866" w:type="pct"/>
            <w:tcBorders>
              <w:bottom w:val="single" w:sz="4" w:space="0" w:color="auto"/>
            </w:tcBorders>
            <w:vAlign w:val="center"/>
          </w:tcPr>
          <w:p w14:paraId="493A5A27" w14:textId="3C47FDCC"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color w:val="000000"/>
                <w:sz w:val="20"/>
                <w:szCs w:val="20"/>
                <w:lang w:val="es-ES"/>
              </w:rPr>
              <w:t>.68</w:t>
            </w:r>
          </w:p>
        </w:tc>
      </w:tr>
    </w:tbl>
    <w:p w14:paraId="2FE7339E" w14:textId="43983258" w:rsidR="006254C6" w:rsidRDefault="006254C6" w:rsidP="00505B04">
      <w:pPr>
        <w:widowControl w:val="0"/>
        <w:autoSpaceDE w:val="0"/>
        <w:autoSpaceDN w:val="0"/>
        <w:rPr>
          <w:i/>
          <w:sz w:val="20"/>
          <w:szCs w:val="20"/>
          <w:lang w:val="es-ES"/>
        </w:rPr>
      </w:pPr>
    </w:p>
    <w:p w14:paraId="40D02379" w14:textId="77777777" w:rsidR="006254C6" w:rsidRPr="00C960A2" w:rsidRDefault="006254C6" w:rsidP="00505B04">
      <w:pPr>
        <w:widowControl w:val="0"/>
        <w:autoSpaceDE w:val="0"/>
        <w:autoSpaceDN w:val="0"/>
        <w:rPr>
          <w:i/>
          <w:sz w:val="20"/>
          <w:szCs w:val="20"/>
          <w:lang w:val="es-ES"/>
        </w:rPr>
      </w:pPr>
    </w:p>
    <w:p w14:paraId="0FE1A7E2" w14:textId="393D668B" w:rsidR="00505B04" w:rsidRPr="00C960A2" w:rsidRDefault="00505B04" w:rsidP="00505B04">
      <w:pPr>
        <w:widowControl w:val="0"/>
        <w:autoSpaceDE w:val="0"/>
        <w:autoSpaceDN w:val="0"/>
        <w:rPr>
          <w:sz w:val="20"/>
          <w:szCs w:val="20"/>
          <w:lang w:val="es-ES"/>
        </w:rPr>
      </w:pPr>
      <w:r w:rsidRPr="00C960A2">
        <w:rPr>
          <w:sz w:val="20"/>
          <w:szCs w:val="20"/>
          <w:lang w:val="es-ES"/>
        </w:rPr>
        <w:t>Tabla 4</w:t>
      </w:r>
    </w:p>
    <w:p w14:paraId="5EF25467" w14:textId="637A17B9" w:rsidR="00505B04" w:rsidRDefault="00505B04" w:rsidP="00505B04">
      <w:pPr>
        <w:widowControl w:val="0"/>
        <w:autoSpaceDE w:val="0"/>
        <w:autoSpaceDN w:val="0"/>
        <w:rPr>
          <w:i/>
          <w:sz w:val="20"/>
          <w:szCs w:val="20"/>
          <w:lang w:val="es-ES"/>
        </w:rPr>
      </w:pPr>
      <w:r w:rsidRPr="00C960A2">
        <w:rPr>
          <w:i/>
          <w:sz w:val="20"/>
          <w:szCs w:val="20"/>
          <w:lang w:val="es-ES"/>
        </w:rPr>
        <w:t>ANOVAS de continuación de acoso escolar en función del sexo</w:t>
      </w:r>
    </w:p>
    <w:p w14:paraId="1A212C79" w14:textId="6AD375DA" w:rsidR="005B059D" w:rsidRDefault="005B059D" w:rsidP="00505B04">
      <w:pPr>
        <w:widowControl w:val="0"/>
        <w:autoSpaceDE w:val="0"/>
        <w:autoSpaceDN w:val="0"/>
        <w:rPr>
          <w:i/>
          <w:sz w:val="20"/>
          <w:szCs w:val="20"/>
          <w:lang w:val="es-ES"/>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17"/>
        <w:gridCol w:w="840"/>
        <w:gridCol w:w="1930"/>
        <w:gridCol w:w="1005"/>
        <w:gridCol w:w="1046"/>
        <w:gridCol w:w="566"/>
      </w:tblGrid>
      <w:tr w:rsidR="005B059D" w:rsidRPr="00630FFF" w14:paraId="2E42AEBA" w14:textId="77777777" w:rsidTr="005B059D">
        <w:trPr>
          <w:trHeight w:hRule="exact" w:val="527"/>
        </w:trPr>
        <w:tc>
          <w:tcPr>
            <w:tcW w:w="1833" w:type="pct"/>
            <w:tcBorders>
              <w:top w:val="single" w:sz="4" w:space="0" w:color="auto"/>
              <w:bottom w:val="single" w:sz="4" w:space="0" w:color="auto"/>
            </w:tcBorders>
            <w:vAlign w:val="center"/>
          </w:tcPr>
          <w:p w14:paraId="1F27720E" w14:textId="77777777" w:rsidR="005B059D" w:rsidRPr="003F24D4" w:rsidRDefault="005B059D" w:rsidP="000F3D06">
            <w:pPr>
              <w:suppressAutoHyphens/>
              <w:spacing w:line="100" w:lineRule="atLeast"/>
              <w:rPr>
                <w:color w:val="000000"/>
                <w:sz w:val="20"/>
                <w:szCs w:val="20"/>
                <w:u w:color="000000"/>
                <w:bdr w:val="nil"/>
                <w:lang w:val="en-US"/>
                <w14:textOutline w14:w="0" w14:cap="flat" w14:cmpd="sng" w14:algn="ctr">
                  <w14:noFill/>
                  <w14:prstDash w14:val="solid"/>
                  <w14:bevel/>
                </w14:textOutline>
              </w:rPr>
            </w:pPr>
            <w:proofErr w:type="spellStart"/>
            <w:r w:rsidRPr="003F24D4">
              <w:rPr>
                <w:color w:val="000000"/>
                <w:sz w:val="20"/>
                <w:szCs w:val="20"/>
                <w:u w:color="000000"/>
                <w:bdr w:val="nil"/>
                <w:lang w:val="en-US"/>
                <w14:textOutline w14:w="0" w14:cap="flat" w14:cmpd="sng" w14:algn="ctr">
                  <w14:noFill/>
                  <w14:prstDash w14:val="solid"/>
                  <w14:bevel/>
                </w14:textOutline>
              </w:rPr>
              <w:t>Acoso</w:t>
            </w:r>
            <w:proofErr w:type="spellEnd"/>
            <w:r w:rsidRPr="003F24D4">
              <w:rPr>
                <w:color w:val="000000"/>
                <w:sz w:val="20"/>
                <w:szCs w:val="20"/>
                <w:u w:color="000000"/>
                <w:bdr w:val="nil"/>
                <w:lang w:val="en-US"/>
                <w14:textOutline w14:w="0" w14:cap="flat" w14:cmpd="sng" w14:algn="ctr">
                  <w14:noFill/>
                  <w14:prstDash w14:val="solid"/>
                  <w14:bevel/>
                </w14:textOutline>
              </w:rPr>
              <w:t xml:space="preserve"> Escolar</w:t>
            </w:r>
          </w:p>
        </w:tc>
        <w:tc>
          <w:tcPr>
            <w:tcW w:w="494" w:type="pct"/>
            <w:tcBorders>
              <w:top w:val="single" w:sz="4" w:space="0" w:color="auto"/>
              <w:bottom w:val="single" w:sz="4" w:space="0" w:color="auto"/>
            </w:tcBorders>
            <w:vAlign w:val="center"/>
          </w:tcPr>
          <w:p w14:paraId="474F4F10" w14:textId="77777777" w:rsidR="005B059D" w:rsidRPr="003F24D4" w:rsidRDefault="005B059D" w:rsidP="000F3D06">
            <w:pPr>
              <w:pStyle w:val="TableParagraph"/>
              <w:suppressAutoHyphens/>
              <w:spacing w:line="100" w:lineRule="atLeast"/>
              <w:rPr>
                <w:color w:val="000000"/>
                <w:sz w:val="20"/>
                <w:szCs w:val="20"/>
                <w:u w:color="000000"/>
                <w:bdr w:val="nil"/>
                <w:lang w:eastAsia="es-ES_tradnl"/>
                <w14:textOutline w14:w="0" w14:cap="flat" w14:cmpd="sng" w14:algn="ctr">
                  <w14:noFill/>
                  <w14:prstDash w14:val="solid"/>
                  <w14:bevel/>
                </w14:textOutline>
              </w:rPr>
            </w:pPr>
            <w:r w:rsidRPr="003F24D4">
              <w:rPr>
                <w:color w:val="000000"/>
                <w:sz w:val="20"/>
                <w:szCs w:val="20"/>
                <w:u w:color="000000"/>
                <w:bdr w:val="nil"/>
                <w14:textOutline w14:w="0" w14:cap="flat" w14:cmpd="sng" w14:algn="ctr">
                  <w14:noFill/>
                  <w14:prstDash w14:val="solid"/>
                  <w14:bevel/>
                </w14:textOutline>
              </w:rPr>
              <w:t>F</w:t>
            </w:r>
          </w:p>
        </w:tc>
        <w:tc>
          <w:tcPr>
            <w:tcW w:w="1135" w:type="pct"/>
            <w:tcBorders>
              <w:top w:val="single" w:sz="4" w:space="0" w:color="auto"/>
              <w:bottom w:val="single" w:sz="4" w:space="0" w:color="auto"/>
            </w:tcBorders>
            <w:vAlign w:val="center"/>
          </w:tcPr>
          <w:p w14:paraId="4898F9B2" w14:textId="77777777" w:rsidR="005B059D" w:rsidRPr="003F24D4" w:rsidRDefault="005B059D" w:rsidP="000F3D06">
            <w:pPr>
              <w:pStyle w:val="TableParagraph"/>
              <w:suppressAutoHyphens/>
              <w:spacing w:line="100" w:lineRule="atLeast"/>
              <w:rPr>
                <w:color w:val="000000"/>
                <w:sz w:val="20"/>
                <w:szCs w:val="20"/>
                <w:u w:color="000000"/>
                <w:bdr w:val="nil"/>
                <w:lang w:eastAsia="es-ES_tradnl"/>
                <w14:textOutline w14:w="0" w14:cap="flat" w14:cmpd="sng" w14:algn="ctr">
                  <w14:noFill/>
                  <w14:prstDash w14:val="solid"/>
                  <w14:bevel/>
                </w14:textOutline>
              </w:rPr>
            </w:pPr>
            <w:proofErr w:type="spellStart"/>
            <w:r w:rsidRPr="003F24D4">
              <w:rPr>
                <w:color w:val="000000"/>
                <w:sz w:val="20"/>
                <w:szCs w:val="20"/>
                <w:u w:color="000000"/>
                <w:bdr w:val="nil"/>
                <w14:textOutline w14:w="0" w14:cap="flat" w14:cmpd="sng" w14:algn="ctr">
                  <w14:noFill/>
                  <w14:prstDash w14:val="solid"/>
                  <w14:bevel/>
                </w14:textOutline>
              </w:rPr>
              <w:t>gl</w:t>
            </w:r>
            <w:r w:rsidRPr="003F24D4">
              <w:rPr>
                <w:color w:val="000000"/>
                <w:sz w:val="20"/>
                <w:szCs w:val="20"/>
                <w:u w:color="000000"/>
                <w:bdr w:val="nil"/>
                <w:vertAlign w:val="subscript"/>
                <w14:textOutline w14:w="0" w14:cap="flat" w14:cmpd="sng" w14:algn="ctr">
                  <w14:noFill/>
                  <w14:prstDash w14:val="solid"/>
                  <w14:bevel/>
                </w14:textOutline>
              </w:rPr>
              <w:t>num</w:t>
            </w:r>
            <w:proofErr w:type="spellEnd"/>
          </w:p>
        </w:tc>
        <w:tc>
          <w:tcPr>
            <w:tcW w:w="591" w:type="pct"/>
            <w:tcBorders>
              <w:top w:val="single" w:sz="4" w:space="0" w:color="auto"/>
              <w:bottom w:val="single" w:sz="4" w:space="0" w:color="auto"/>
            </w:tcBorders>
            <w:vAlign w:val="center"/>
          </w:tcPr>
          <w:p w14:paraId="2FAFF62F" w14:textId="77777777" w:rsidR="005B059D" w:rsidRPr="003F24D4" w:rsidRDefault="005B059D" w:rsidP="000F3D06">
            <w:pPr>
              <w:pStyle w:val="TableParagraph"/>
              <w:suppressAutoHyphens/>
              <w:spacing w:line="100" w:lineRule="atLeast"/>
              <w:rPr>
                <w:color w:val="000000"/>
                <w:sz w:val="20"/>
                <w:szCs w:val="20"/>
                <w:u w:color="000000"/>
                <w:bdr w:val="nil"/>
                <w:lang w:eastAsia="es-ES_tradnl"/>
                <w14:textOutline w14:w="0" w14:cap="flat" w14:cmpd="sng" w14:algn="ctr">
                  <w14:noFill/>
                  <w14:prstDash w14:val="solid"/>
                  <w14:bevel/>
                </w14:textOutline>
              </w:rPr>
            </w:pPr>
            <w:proofErr w:type="spellStart"/>
            <w:r w:rsidRPr="003F24D4">
              <w:rPr>
                <w:color w:val="000000"/>
                <w:sz w:val="20"/>
                <w:szCs w:val="20"/>
                <w:u w:color="000000"/>
                <w:bdr w:val="nil"/>
                <w14:textOutline w14:w="0" w14:cap="flat" w14:cmpd="sng" w14:algn="ctr">
                  <w14:noFill/>
                  <w14:prstDash w14:val="solid"/>
                  <w14:bevel/>
                </w14:textOutline>
              </w:rPr>
              <w:t>gl</w:t>
            </w:r>
            <w:r w:rsidRPr="003F24D4">
              <w:rPr>
                <w:color w:val="000000"/>
                <w:sz w:val="20"/>
                <w:szCs w:val="20"/>
                <w:u w:color="000000"/>
                <w:bdr w:val="nil"/>
                <w:vertAlign w:val="subscript"/>
                <w14:textOutline w14:w="0" w14:cap="flat" w14:cmpd="sng" w14:algn="ctr">
                  <w14:noFill/>
                  <w14:prstDash w14:val="solid"/>
                  <w14:bevel/>
                </w14:textOutline>
              </w:rPr>
              <w:t>dem</w:t>
            </w:r>
            <w:proofErr w:type="spellEnd"/>
          </w:p>
        </w:tc>
        <w:tc>
          <w:tcPr>
            <w:tcW w:w="615" w:type="pct"/>
            <w:tcBorders>
              <w:top w:val="single" w:sz="4" w:space="0" w:color="auto"/>
              <w:bottom w:val="single" w:sz="4" w:space="0" w:color="auto"/>
            </w:tcBorders>
            <w:vAlign w:val="center"/>
          </w:tcPr>
          <w:p w14:paraId="0C843EB9" w14:textId="77777777" w:rsidR="005B059D" w:rsidRPr="003F24D4" w:rsidRDefault="005B059D" w:rsidP="000F3D06">
            <w:pPr>
              <w:pStyle w:val="TableParagraph"/>
              <w:suppressAutoHyphens/>
              <w:spacing w:line="100" w:lineRule="atLeast"/>
              <w:rPr>
                <w:color w:val="000000"/>
                <w:sz w:val="20"/>
                <w:szCs w:val="20"/>
                <w:u w:color="000000"/>
                <w:bdr w:val="nil"/>
                <w:lang w:eastAsia="es-ES_tradnl"/>
                <w14:textOutline w14:w="0" w14:cap="flat" w14:cmpd="sng" w14:algn="ctr">
                  <w14:noFill/>
                  <w14:prstDash w14:val="solid"/>
                  <w14:bevel/>
                </w14:textOutline>
              </w:rPr>
            </w:pPr>
            <w:r w:rsidRPr="003F24D4">
              <w:rPr>
                <w:color w:val="000000"/>
                <w:sz w:val="20"/>
                <w:szCs w:val="20"/>
                <w:u w:color="000000"/>
                <w:bdr w:val="nil"/>
                <w14:textOutline w14:w="0" w14:cap="flat" w14:cmpd="sng" w14:algn="ctr">
                  <w14:noFill/>
                  <w14:prstDash w14:val="solid"/>
                  <w14:bevel/>
                </w14:textOutline>
              </w:rPr>
              <w:t>p</w:t>
            </w:r>
          </w:p>
        </w:tc>
        <w:tc>
          <w:tcPr>
            <w:tcW w:w="333" w:type="pct"/>
            <w:tcBorders>
              <w:top w:val="single" w:sz="4" w:space="0" w:color="auto"/>
              <w:bottom w:val="single" w:sz="4" w:space="0" w:color="auto"/>
            </w:tcBorders>
            <w:vAlign w:val="center"/>
          </w:tcPr>
          <w:p w14:paraId="4866E3EC" w14:textId="77777777" w:rsidR="005B059D" w:rsidRPr="003F24D4" w:rsidRDefault="005B059D" w:rsidP="000F3D06">
            <w:pPr>
              <w:pStyle w:val="TableParagraph"/>
              <w:suppressAutoHyphens/>
              <w:spacing w:line="100" w:lineRule="atLeast"/>
              <w:rPr>
                <w:rFonts w:ascii="Symbol" w:hAnsi="Symbol"/>
                <w:color w:val="000000"/>
                <w:sz w:val="20"/>
                <w:szCs w:val="20"/>
                <w:u w:color="000000"/>
                <w:bdr w:val="nil"/>
                <w:lang w:eastAsia="es-ES_tradnl"/>
                <w14:textOutline w14:w="0" w14:cap="flat" w14:cmpd="sng" w14:algn="ctr">
                  <w14:noFill/>
                  <w14:prstDash w14:val="solid"/>
                  <w14:bevel/>
                </w14:textOutline>
              </w:rPr>
            </w:pPr>
            <w:r w:rsidRPr="003F24D4">
              <w:rPr>
                <w:rFonts w:ascii="Symbol" w:hAnsi="Symbol"/>
                <w:color w:val="000000"/>
                <w:sz w:val="20"/>
                <w:szCs w:val="20"/>
                <w:u w:color="000000"/>
                <w:bdr w:val="nil"/>
                <w14:textOutline w14:w="0" w14:cap="flat" w14:cmpd="sng" w14:algn="ctr">
                  <w14:noFill/>
                  <w14:prstDash w14:val="solid"/>
                  <w14:bevel/>
                </w14:textOutline>
              </w:rPr>
              <w:t></w:t>
            </w:r>
            <w:r w:rsidRPr="003F24D4">
              <w:rPr>
                <w:rFonts w:ascii="Symbol" w:hAnsi="Symbol"/>
                <w:color w:val="000000"/>
                <w:sz w:val="20"/>
                <w:szCs w:val="20"/>
                <w:u w:color="000000"/>
                <w:bdr w:val="nil"/>
                <w14:textOutline w14:w="0" w14:cap="flat" w14:cmpd="sng" w14:algn="ctr">
                  <w14:noFill/>
                  <w14:prstDash w14:val="solid"/>
                  <w14:bevel/>
                </w14:textOutline>
              </w:rPr>
              <w:t></w:t>
            </w:r>
          </w:p>
        </w:tc>
      </w:tr>
      <w:tr w:rsidR="005B059D" w:rsidRPr="003F24D4" w14:paraId="23E73650" w14:textId="77777777" w:rsidTr="005B059D">
        <w:trPr>
          <w:trHeight w:hRule="exact" w:val="515"/>
        </w:trPr>
        <w:tc>
          <w:tcPr>
            <w:tcW w:w="1833" w:type="pct"/>
            <w:tcBorders>
              <w:top w:val="single" w:sz="4" w:space="0" w:color="auto"/>
            </w:tcBorders>
            <w:vAlign w:val="center"/>
          </w:tcPr>
          <w:p w14:paraId="4F35CED1" w14:textId="77777777" w:rsidR="005B059D" w:rsidRPr="003F24D4" w:rsidRDefault="005B059D" w:rsidP="005B059D">
            <w:pPr>
              <w:suppressAutoHyphens/>
              <w:spacing w:line="100" w:lineRule="atLeast"/>
              <w:rPr>
                <w:color w:val="000000"/>
                <w:sz w:val="20"/>
                <w:szCs w:val="20"/>
                <w:u w:color="000000"/>
                <w:bdr w:val="nil"/>
                <w:lang w:val="en-US"/>
                <w14:textOutline w14:w="0" w14:cap="flat" w14:cmpd="sng" w14:algn="ctr">
                  <w14:noFill/>
                  <w14:prstDash w14:val="solid"/>
                  <w14:bevel/>
                </w14:textOutline>
              </w:rPr>
            </w:pPr>
            <w:proofErr w:type="spellStart"/>
            <w:r w:rsidRPr="003F24D4">
              <w:rPr>
                <w:color w:val="000000"/>
                <w:sz w:val="20"/>
                <w:szCs w:val="20"/>
                <w:u w:color="000000"/>
                <w:bdr w:val="nil"/>
                <w:lang w:val="en-US"/>
                <w14:textOutline w14:w="0" w14:cap="flat" w14:cmpd="sng" w14:algn="ctr">
                  <w14:noFill/>
                  <w14:prstDash w14:val="solid"/>
                  <w14:bevel/>
                </w14:textOutline>
              </w:rPr>
              <w:t>Desprecio</w:t>
            </w:r>
            <w:proofErr w:type="spellEnd"/>
          </w:p>
        </w:tc>
        <w:tc>
          <w:tcPr>
            <w:tcW w:w="494" w:type="pct"/>
            <w:tcBorders>
              <w:top w:val="single" w:sz="4" w:space="0" w:color="auto"/>
            </w:tcBorders>
            <w:vAlign w:val="center"/>
          </w:tcPr>
          <w:p w14:paraId="5E4BF912" w14:textId="5E58CD53"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rFonts w:eastAsia="Calibri"/>
                <w:sz w:val="20"/>
                <w:szCs w:val="20"/>
                <w:lang w:val="es-ES"/>
              </w:rPr>
              <w:t>0.00</w:t>
            </w:r>
          </w:p>
        </w:tc>
        <w:tc>
          <w:tcPr>
            <w:tcW w:w="1135" w:type="pct"/>
            <w:tcBorders>
              <w:top w:val="single" w:sz="4" w:space="0" w:color="auto"/>
            </w:tcBorders>
            <w:vAlign w:val="center"/>
          </w:tcPr>
          <w:p w14:paraId="239F1CE1" w14:textId="4DD6B314"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rFonts w:eastAsia="Calibri"/>
                <w:sz w:val="20"/>
                <w:szCs w:val="20"/>
                <w:lang w:val="es-ES"/>
              </w:rPr>
              <w:t>1</w:t>
            </w:r>
          </w:p>
        </w:tc>
        <w:tc>
          <w:tcPr>
            <w:tcW w:w="591" w:type="pct"/>
            <w:tcBorders>
              <w:top w:val="single" w:sz="4" w:space="0" w:color="auto"/>
            </w:tcBorders>
            <w:vAlign w:val="center"/>
          </w:tcPr>
          <w:p w14:paraId="2A23A873" w14:textId="77017AA2"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rFonts w:eastAsia="Calibri"/>
                <w:sz w:val="20"/>
                <w:szCs w:val="20"/>
                <w:lang w:val="es-ES"/>
              </w:rPr>
              <w:t>529</w:t>
            </w:r>
          </w:p>
        </w:tc>
        <w:tc>
          <w:tcPr>
            <w:tcW w:w="615" w:type="pct"/>
            <w:tcBorders>
              <w:top w:val="single" w:sz="4" w:space="0" w:color="auto"/>
            </w:tcBorders>
            <w:vAlign w:val="center"/>
          </w:tcPr>
          <w:p w14:paraId="35020CE9" w14:textId="0B3698AB"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rFonts w:eastAsia="Calibri"/>
                <w:sz w:val="20"/>
                <w:szCs w:val="20"/>
                <w:lang w:val="es-ES"/>
              </w:rPr>
              <w:t>.96</w:t>
            </w:r>
          </w:p>
        </w:tc>
        <w:tc>
          <w:tcPr>
            <w:tcW w:w="333" w:type="pct"/>
            <w:tcBorders>
              <w:top w:val="single" w:sz="4" w:space="0" w:color="auto"/>
            </w:tcBorders>
            <w:vAlign w:val="center"/>
          </w:tcPr>
          <w:p w14:paraId="2AB604E9" w14:textId="2B496BD6"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rFonts w:eastAsia="Calibri"/>
                <w:sz w:val="20"/>
                <w:szCs w:val="20"/>
                <w:lang w:val="es-ES"/>
              </w:rPr>
              <w:t>.000</w:t>
            </w:r>
          </w:p>
        </w:tc>
      </w:tr>
      <w:tr w:rsidR="005B059D" w:rsidRPr="003F24D4" w14:paraId="3F8F7CCF" w14:textId="77777777" w:rsidTr="005B059D">
        <w:trPr>
          <w:trHeight w:hRule="exact" w:val="453"/>
        </w:trPr>
        <w:tc>
          <w:tcPr>
            <w:tcW w:w="1833" w:type="pct"/>
            <w:vAlign w:val="center"/>
          </w:tcPr>
          <w:p w14:paraId="781B6277" w14:textId="77777777" w:rsidR="005B059D" w:rsidRPr="003F24D4" w:rsidRDefault="005B059D" w:rsidP="005B059D">
            <w:pPr>
              <w:suppressAutoHyphens/>
              <w:spacing w:line="100" w:lineRule="atLeast"/>
              <w:rPr>
                <w:color w:val="000000"/>
                <w:sz w:val="20"/>
                <w:szCs w:val="20"/>
                <w:u w:color="000000"/>
                <w:bdr w:val="nil"/>
                <w:lang w:val="en-US"/>
                <w14:textOutline w14:w="0" w14:cap="flat" w14:cmpd="sng" w14:algn="ctr">
                  <w14:noFill/>
                  <w14:prstDash w14:val="solid"/>
                  <w14:bevel/>
                </w14:textOutline>
              </w:rPr>
            </w:pPr>
            <w:proofErr w:type="spellStart"/>
            <w:r w:rsidRPr="003F24D4">
              <w:rPr>
                <w:color w:val="000000"/>
                <w:sz w:val="20"/>
                <w:szCs w:val="20"/>
                <w:u w:color="000000"/>
                <w:bdr w:val="nil"/>
                <w:lang w:val="en-US"/>
                <w14:textOutline w14:w="0" w14:cap="flat" w14:cmpd="sng" w14:algn="ctr">
                  <w14:noFill/>
                  <w14:prstDash w14:val="solid"/>
                  <w14:bevel/>
                </w14:textOutline>
              </w:rPr>
              <w:t>Coacción</w:t>
            </w:r>
            <w:proofErr w:type="spellEnd"/>
          </w:p>
        </w:tc>
        <w:tc>
          <w:tcPr>
            <w:tcW w:w="494" w:type="pct"/>
            <w:vAlign w:val="center"/>
          </w:tcPr>
          <w:p w14:paraId="4D9D7367" w14:textId="26C4984D"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rFonts w:eastAsia="Calibri"/>
                <w:sz w:val="20"/>
                <w:szCs w:val="20"/>
                <w:lang w:val="es-ES"/>
              </w:rPr>
              <w:t>2.43</w:t>
            </w:r>
          </w:p>
        </w:tc>
        <w:tc>
          <w:tcPr>
            <w:tcW w:w="1135" w:type="pct"/>
            <w:vAlign w:val="center"/>
          </w:tcPr>
          <w:p w14:paraId="2C612025" w14:textId="0A1D1C7A"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rFonts w:eastAsia="Calibri"/>
                <w:sz w:val="20"/>
                <w:szCs w:val="20"/>
                <w:lang w:val="es-ES"/>
              </w:rPr>
              <w:t>1</w:t>
            </w:r>
          </w:p>
        </w:tc>
        <w:tc>
          <w:tcPr>
            <w:tcW w:w="591" w:type="pct"/>
            <w:vAlign w:val="center"/>
          </w:tcPr>
          <w:p w14:paraId="251AEA3C" w14:textId="6188EB07"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rFonts w:eastAsia="Calibri"/>
                <w:sz w:val="20"/>
                <w:szCs w:val="20"/>
                <w:lang w:val="es-ES"/>
              </w:rPr>
              <w:t>529</w:t>
            </w:r>
          </w:p>
        </w:tc>
        <w:tc>
          <w:tcPr>
            <w:tcW w:w="615" w:type="pct"/>
            <w:vAlign w:val="center"/>
          </w:tcPr>
          <w:p w14:paraId="1498BB85" w14:textId="03507878"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rFonts w:eastAsia="Calibri"/>
                <w:sz w:val="20"/>
                <w:szCs w:val="20"/>
                <w:lang w:val="es-ES"/>
              </w:rPr>
              <w:t>.11</w:t>
            </w:r>
          </w:p>
        </w:tc>
        <w:tc>
          <w:tcPr>
            <w:tcW w:w="333" w:type="pct"/>
            <w:vAlign w:val="center"/>
          </w:tcPr>
          <w:p w14:paraId="425E87E0" w14:textId="0DCA3128"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rFonts w:eastAsia="Calibri"/>
                <w:sz w:val="20"/>
                <w:szCs w:val="20"/>
                <w:lang w:val="es-ES"/>
              </w:rPr>
              <w:t>.005</w:t>
            </w:r>
          </w:p>
        </w:tc>
      </w:tr>
      <w:tr w:rsidR="005B059D" w:rsidRPr="003F24D4" w14:paraId="14B42186" w14:textId="77777777" w:rsidTr="005B059D">
        <w:trPr>
          <w:trHeight w:hRule="exact" w:val="453"/>
        </w:trPr>
        <w:tc>
          <w:tcPr>
            <w:tcW w:w="1833" w:type="pct"/>
            <w:vAlign w:val="center"/>
          </w:tcPr>
          <w:p w14:paraId="7EB3E245" w14:textId="77777777" w:rsidR="005B059D" w:rsidRPr="003F24D4" w:rsidRDefault="005B059D" w:rsidP="005B059D">
            <w:pPr>
              <w:suppressAutoHyphens/>
              <w:spacing w:line="100" w:lineRule="atLeast"/>
              <w:rPr>
                <w:color w:val="000000"/>
                <w:sz w:val="20"/>
                <w:szCs w:val="20"/>
                <w:u w:color="000000"/>
                <w:bdr w:val="nil"/>
                <w:lang w:val="en-US"/>
                <w14:textOutline w14:w="0" w14:cap="flat" w14:cmpd="sng" w14:algn="ctr">
                  <w14:noFill/>
                  <w14:prstDash w14:val="solid"/>
                  <w14:bevel/>
                </w14:textOutline>
              </w:rPr>
            </w:pPr>
            <w:proofErr w:type="spellStart"/>
            <w:r w:rsidRPr="003F24D4">
              <w:rPr>
                <w:color w:val="000000"/>
                <w:sz w:val="20"/>
                <w:szCs w:val="20"/>
                <w:u w:color="000000"/>
                <w:bdr w:val="nil"/>
                <w:lang w:val="en-US"/>
                <w14:textOutline w14:w="0" w14:cap="flat" w14:cmpd="sng" w14:algn="ctr">
                  <w14:noFill/>
                  <w14:prstDash w14:val="solid"/>
                  <w14:bevel/>
                </w14:textOutline>
              </w:rPr>
              <w:t>Restricción</w:t>
            </w:r>
            <w:proofErr w:type="spellEnd"/>
          </w:p>
        </w:tc>
        <w:tc>
          <w:tcPr>
            <w:tcW w:w="494" w:type="pct"/>
            <w:vAlign w:val="center"/>
          </w:tcPr>
          <w:p w14:paraId="55FC5F6F" w14:textId="61567435"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rFonts w:eastAsia="Calibri"/>
                <w:sz w:val="20"/>
                <w:szCs w:val="20"/>
                <w:lang w:val="es-ES"/>
              </w:rPr>
              <w:t>.01</w:t>
            </w:r>
          </w:p>
        </w:tc>
        <w:tc>
          <w:tcPr>
            <w:tcW w:w="1135" w:type="pct"/>
            <w:vAlign w:val="center"/>
          </w:tcPr>
          <w:p w14:paraId="4DE61498" w14:textId="54733B52"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rFonts w:eastAsia="Calibri"/>
                <w:sz w:val="20"/>
                <w:szCs w:val="20"/>
                <w:lang w:val="es-ES"/>
              </w:rPr>
              <w:t>1</w:t>
            </w:r>
          </w:p>
        </w:tc>
        <w:tc>
          <w:tcPr>
            <w:tcW w:w="591" w:type="pct"/>
            <w:vAlign w:val="center"/>
          </w:tcPr>
          <w:p w14:paraId="0EB0DAF2" w14:textId="160DAA51"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rFonts w:eastAsia="Calibri"/>
                <w:sz w:val="20"/>
                <w:szCs w:val="20"/>
                <w:lang w:val="es-ES"/>
              </w:rPr>
              <w:t>529</w:t>
            </w:r>
          </w:p>
        </w:tc>
        <w:tc>
          <w:tcPr>
            <w:tcW w:w="615" w:type="pct"/>
            <w:vAlign w:val="center"/>
          </w:tcPr>
          <w:p w14:paraId="31CC3395" w14:textId="61271CBA"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rFonts w:eastAsia="Calibri"/>
                <w:sz w:val="20"/>
                <w:szCs w:val="20"/>
                <w:lang w:val="es-ES"/>
              </w:rPr>
              <w:t>.91</w:t>
            </w:r>
          </w:p>
        </w:tc>
        <w:tc>
          <w:tcPr>
            <w:tcW w:w="333" w:type="pct"/>
            <w:vAlign w:val="center"/>
          </w:tcPr>
          <w:p w14:paraId="01E3A16A" w14:textId="0F8B0126"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rFonts w:eastAsia="Calibri"/>
                <w:sz w:val="20"/>
                <w:szCs w:val="20"/>
                <w:lang w:val="es-ES"/>
              </w:rPr>
              <w:t>.000</w:t>
            </w:r>
          </w:p>
        </w:tc>
      </w:tr>
      <w:tr w:rsidR="005B059D" w:rsidRPr="003F24D4" w14:paraId="2D14C797" w14:textId="77777777" w:rsidTr="005B059D">
        <w:trPr>
          <w:trHeight w:hRule="exact" w:val="452"/>
        </w:trPr>
        <w:tc>
          <w:tcPr>
            <w:tcW w:w="1833" w:type="pct"/>
            <w:vAlign w:val="center"/>
          </w:tcPr>
          <w:p w14:paraId="5D76C621" w14:textId="77777777" w:rsidR="005B059D" w:rsidRPr="003F24D4" w:rsidRDefault="005B059D" w:rsidP="005B059D">
            <w:pPr>
              <w:suppressAutoHyphens/>
              <w:spacing w:line="100" w:lineRule="atLeast"/>
              <w:rPr>
                <w:color w:val="000000"/>
                <w:sz w:val="20"/>
                <w:szCs w:val="20"/>
                <w:u w:color="000000"/>
                <w:bdr w:val="nil"/>
                <w:lang w:val="en-US"/>
                <w14:textOutline w14:w="0" w14:cap="flat" w14:cmpd="sng" w14:algn="ctr">
                  <w14:noFill/>
                  <w14:prstDash w14:val="solid"/>
                  <w14:bevel/>
                </w14:textOutline>
              </w:rPr>
            </w:pPr>
            <w:proofErr w:type="spellStart"/>
            <w:r w:rsidRPr="003F24D4">
              <w:rPr>
                <w:color w:val="000000"/>
                <w:sz w:val="20"/>
                <w:szCs w:val="20"/>
                <w:u w:color="000000"/>
                <w:bdr w:val="nil"/>
                <w:lang w:val="en-US"/>
                <w14:textOutline w14:w="0" w14:cap="flat" w14:cmpd="sng" w14:algn="ctr">
                  <w14:noFill/>
                  <w14:prstDash w14:val="solid"/>
                  <w14:bevel/>
                </w14:textOutline>
              </w:rPr>
              <w:t>Agresiones</w:t>
            </w:r>
            <w:proofErr w:type="spellEnd"/>
          </w:p>
        </w:tc>
        <w:tc>
          <w:tcPr>
            <w:tcW w:w="494" w:type="pct"/>
            <w:vAlign w:val="center"/>
          </w:tcPr>
          <w:p w14:paraId="309BD687" w14:textId="3E321B00"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rFonts w:eastAsia="Calibri"/>
                <w:sz w:val="20"/>
                <w:szCs w:val="20"/>
                <w:lang w:val="es-ES"/>
              </w:rPr>
              <w:t>1.11</w:t>
            </w:r>
          </w:p>
        </w:tc>
        <w:tc>
          <w:tcPr>
            <w:tcW w:w="1135" w:type="pct"/>
            <w:vAlign w:val="center"/>
          </w:tcPr>
          <w:p w14:paraId="6581BA27" w14:textId="50F7BEE5"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rFonts w:eastAsia="Calibri"/>
                <w:sz w:val="20"/>
                <w:szCs w:val="20"/>
                <w:lang w:val="es-ES"/>
              </w:rPr>
              <w:t>1</w:t>
            </w:r>
          </w:p>
        </w:tc>
        <w:tc>
          <w:tcPr>
            <w:tcW w:w="591" w:type="pct"/>
            <w:vAlign w:val="center"/>
          </w:tcPr>
          <w:p w14:paraId="3CCF6474" w14:textId="391D3D67"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rFonts w:eastAsia="Calibri"/>
                <w:sz w:val="20"/>
                <w:szCs w:val="20"/>
                <w:lang w:val="es-ES"/>
              </w:rPr>
              <w:t>529</w:t>
            </w:r>
          </w:p>
        </w:tc>
        <w:tc>
          <w:tcPr>
            <w:tcW w:w="615" w:type="pct"/>
            <w:vAlign w:val="center"/>
          </w:tcPr>
          <w:p w14:paraId="7B4D7A66" w14:textId="19845064"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rFonts w:eastAsia="Calibri"/>
                <w:sz w:val="20"/>
                <w:szCs w:val="20"/>
                <w:lang w:val="es-ES"/>
              </w:rPr>
              <w:t>.29</w:t>
            </w:r>
          </w:p>
        </w:tc>
        <w:tc>
          <w:tcPr>
            <w:tcW w:w="333" w:type="pct"/>
            <w:vAlign w:val="center"/>
          </w:tcPr>
          <w:p w14:paraId="665D8719" w14:textId="79F2FED0"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rFonts w:eastAsia="Calibri"/>
                <w:sz w:val="20"/>
                <w:szCs w:val="20"/>
                <w:lang w:val="es-ES"/>
              </w:rPr>
              <w:t>.002</w:t>
            </w:r>
          </w:p>
        </w:tc>
      </w:tr>
      <w:tr w:rsidR="005B059D" w:rsidRPr="003F24D4" w14:paraId="3E5CFB2A" w14:textId="77777777" w:rsidTr="005B059D">
        <w:trPr>
          <w:trHeight w:hRule="exact" w:val="455"/>
        </w:trPr>
        <w:tc>
          <w:tcPr>
            <w:tcW w:w="1833" w:type="pct"/>
            <w:vAlign w:val="center"/>
          </w:tcPr>
          <w:p w14:paraId="1139A8DA" w14:textId="77777777" w:rsidR="005B059D" w:rsidRPr="003F24D4" w:rsidRDefault="005B059D" w:rsidP="005B059D">
            <w:pPr>
              <w:suppressAutoHyphens/>
              <w:spacing w:line="100" w:lineRule="atLeast"/>
              <w:rPr>
                <w:color w:val="000000"/>
                <w:sz w:val="20"/>
                <w:szCs w:val="20"/>
                <w:u w:color="000000"/>
                <w:bdr w:val="nil"/>
                <w:lang w:val="en-US"/>
                <w14:textOutline w14:w="0" w14:cap="flat" w14:cmpd="sng" w14:algn="ctr">
                  <w14:noFill/>
                  <w14:prstDash w14:val="solid"/>
                  <w14:bevel/>
                </w14:textOutline>
              </w:rPr>
            </w:pPr>
            <w:proofErr w:type="spellStart"/>
            <w:r w:rsidRPr="003F24D4">
              <w:rPr>
                <w:color w:val="000000"/>
                <w:sz w:val="20"/>
                <w:szCs w:val="20"/>
                <w:u w:color="000000"/>
                <w:bdr w:val="nil"/>
                <w:lang w:val="en-US"/>
                <w14:textOutline w14:w="0" w14:cap="flat" w14:cmpd="sng" w14:algn="ctr">
                  <w14:noFill/>
                  <w14:prstDash w14:val="solid"/>
                  <w14:bevel/>
                </w14:textOutline>
              </w:rPr>
              <w:t>Intimidación</w:t>
            </w:r>
            <w:proofErr w:type="spellEnd"/>
          </w:p>
        </w:tc>
        <w:tc>
          <w:tcPr>
            <w:tcW w:w="494" w:type="pct"/>
            <w:vAlign w:val="center"/>
          </w:tcPr>
          <w:p w14:paraId="6C0F6120" w14:textId="2EC20B24"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rFonts w:eastAsia="Calibri"/>
                <w:sz w:val="20"/>
                <w:szCs w:val="20"/>
                <w:lang w:val="es-ES"/>
              </w:rPr>
              <w:t>7.63</w:t>
            </w:r>
          </w:p>
        </w:tc>
        <w:tc>
          <w:tcPr>
            <w:tcW w:w="1135" w:type="pct"/>
            <w:vAlign w:val="center"/>
          </w:tcPr>
          <w:p w14:paraId="250DEFBA" w14:textId="543BE982"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rFonts w:eastAsia="Calibri"/>
                <w:sz w:val="20"/>
                <w:szCs w:val="20"/>
                <w:lang w:val="es-ES"/>
              </w:rPr>
              <w:t>1</w:t>
            </w:r>
          </w:p>
        </w:tc>
        <w:tc>
          <w:tcPr>
            <w:tcW w:w="591" w:type="pct"/>
            <w:vAlign w:val="center"/>
          </w:tcPr>
          <w:p w14:paraId="22B28A04" w14:textId="76E5B692"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rFonts w:eastAsia="Calibri"/>
                <w:sz w:val="20"/>
                <w:szCs w:val="20"/>
                <w:lang w:val="es-ES"/>
              </w:rPr>
              <w:t>529</w:t>
            </w:r>
          </w:p>
        </w:tc>
        <w:tc>
          <w:tcPr>
            <w:tcW w:w="615" w:type="pct"/>
            <w:vAlign w:val="center"/>
          </w:tcPr>
          <w:p w14:paraId="36656DF5" w14:textId="5D6F1B76"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rFonts w:eastAsia="Calibri"/>
                <w:sz w:val="20"/>
                <w:szCs w:val="20"/>
                <w:lang w:val="es-ES"/>
              </w:rPr>
              <w:t>.00</w:t>
            </w:r>
          </w:p>
        </w:tc>
        <w:tc>
          <w:tcPr>
            <w:tcW w:w="333" w:type="pct"/>
            <w:vAlign w:val="center"/>
          </w:tcPr>
          <w:p w14:paraId="6C3813D0" w14:textId="08FBC581"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rFonts w:eastAsia="Calibri"/>
                <w:sz w:val="20"/>
                <w:szCs w:val="20"/>
                <w:lang w:val="es-ES"/>
              </w:rPr>
              <w:t>.014</w:t>
            </w:r>
          </w:p>
        </w:tc>
      </w:tr>
      <w:tr w:rsidR="005B059D" w:rsidRPr="003F24D4" w14:paraId="1A164C94" w14:textId="77777777" w:rsidTr="005B059D">
        <w:trPr>
          <w:trHeight w:hRule="exact" w:val="455"/>
        </w:trPr>
        <w:tc>
          <w:tcPr>
            <w:tcW w:w="1833" w:type="pct"/>
            <w:vAlign w:val="center"/>
          </w:tcPr>
          <w:p w14:paraId="101C439E" w14:textId="77777777" w:rsidR="005B059D" w:rsidRPr="003F24D4" w:rsidRDefault="005B059D" w:rsidP="005B059D">
            <w:pPr>
              <w:suppressAutoHyphens/>
              <w:spacing w:line="100" w:lineRule="atLeast"/>
              <w:rPr>
                <w:color w:val="000000"/>
                <w:sz w:val="20"/>
                <w:szCs w:val="20"/>
                <w:u w:color="000000"/>
                <w:bdr w:val="nil"/>
                <w:lang w:val="en-US"/>
                <w14:textOutline w14:w="0" w14:cap="flat" w14:cmpd="sng" w14:algn="ctr">
                  <w14:noFill/>
                  <w14:prstDash w14:val="solid"/>
                  <w14:bevel/>
                </w14:textOutline>
              </w:rPr>
            </w:pPr>
            <w:proofErr w:type="spellStart"/>
            <w:r w:rsidRPr="003F24D4">
              <w:rPr>
                <w:color w:val="000000"/>
                <w:sz w:val="20"/>
                <w:szCs w:val="20"/>
                <w:u w:color="000000"/>
                <w:bdr w:val="nil"/>
                <w:lang w:val="en-US"/>
                <w14:textOutline w14:w="0" w14:cap="flat" w14:cmpd="sng" w14:algn="ctr">
                  <w14:noFill/>
                  <w14:prstDash w14:val="solid"/>
                  <w14:bevel/>
                </w14:textOutline>
              </w:rPr>
              <w:t>Exclusión</w:t>
            </w:r>
            <w:proofErr w:type="spellEnd"/>
          </w:p>
        </w:tc>
        <w:tc>
          <w:tcPr>
            <w:tcW w:w="494" w:type="pct"/>
            <w:vAlign w:val="center"/>
          </w:tcPr>
          <w:p w14:paraId="275AB135" w14:textId="1E0EA72C"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rFonts w:eastAsia="Calibri"/>
                <w:sz w:val="20"/>
                <w:szCs w:val="20"/>
                <w:lang w:val="es-ES"/>
              </w:rPr>
              <w:t>.26</w:t>
            </w:r>
          </w:p>
        </w:tc>
        <w:tc>
          <w:tcPr>
            <w:tcW w:w="1135" w:type="pct"/>
            <w:vAlign w:val="center"/>
          </w:tcPr>
          <w:p w14:paraId="5D4D098E" w14:textId="5211BE69"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rFonts w:eastAsia="Calibri"/>
                <w:sz w:val="20"/>
                <w:szCs w:val="20"/>
                <w:lang w:val="es-ES"/>
              </w:rPr>
              <w:t>1</w:t>
            </w:r>
          </w:p>
        </w:tc>
        <w:tc>
          <w:tcPr>
            <w:tcW w:w="591" w:type="pct"/>
            <w:vAlign w:val="center"/>
          </w:tcPr>
          <w:p w14:paraId="6F747B7A" w14:textId="7D378C1B"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rFonts w:eastAsia="Calibri"/>
                <w:sz w:val="20"/>
                <w:szCs w:val="20"/>
                <w:lang w:val="es-ES"/>
              </w:rPr>
              <w:t>529</w:t>
            </w:r>
          </w:p>
        </w:tc>
        <w:tc>
          <w:tcPr>
            <w:tcW w:w="615" w:type="pct"/>
            <w:vAlign w:val="center"/>
          </w:tcPr>
          <w:p w14:paraId="62B1F0ED" w14:textId="3C5C0B27"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rFonts w:eastAsia="Calibri"/>
                <w:sz w:val="20"/>
                <w:szCs w:val="20"/>
                <w:lang w:val="es-ES"/>
              </w:rPr>
              <w:t>.60</w:t>
            </w:r>
          </w:p>
        </w:tc>
        <w:tc>
          <w:tcPr>
            <w:tcW w:w="333" w:type="pct"/>
            <w:vAlign w:val="center"/>
          </w:tcPr>
          <w:p w14:paraId="5F74ACCE" w14:textId="45FD7C02"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rFonts w:eastAsia="Calibri"/>
                <w:sz w:val="20"/>
                <w:szCs w:val="20"/>
                <w:lang w:val="es-ES"/>
              </w:rPr>
              <w:t>.001</w:t>
            </w:r>
          </w:p>
        </w:tc>
      </w:tr>
      <w:tr w:rsidR="005B059D" w:rsidRPr="003F24D4" w14:paraId="6C0C5D11" w14:textId="77777777" w:rsidTr="005B059D">
        <w:trPr>
          <w:trHeight w:hRule="exact" w:val="452"/>
        </w:trPr>
        <w:tc>
          <w:tcPr>
            <w:tcW w:w="1833" w:type="pct"/>
            <w:vAlign w:val="center"/>
          </w:tcPr>
          <w:p w14:paraId="64849943" w14:textId="77777777" w:rsidR="005B059D" w:rsidRPr="003F24D4" w:rsidRDefault="005B059D" w:rsidP="005B059D">
            <w:pPr>
              <w:suppressAutoHyphens/>
              <w:spacing w:line="100" w:lineRule="atLeast"/>
              <w:rPr>
                <w:color w:val="000000"/>
                <w:sz w:val="20"/>
                <w:szCs w:val="20"/>
                <w:u w:color="000000"/>
                <w:bdr w:val="nil"/>
                <w:lang w:val="en-US"/>
                <w14:textOutline w14:w="0" w14:cap="flat" w14:cmpd="sng" w14:algn="ctr">
                  <w14:noFill/>
                  <w14:prstDash w14:val="solid"/>
                  <w14:bevel/>
                </w14:textOutline>
              </w:rPr>
            </w:pPr>
            <w:proofErr w:type="spellStart"/>
            <w:r w:rsidRPr="003F24D4">
              <w:rPr>
                <w:color w:val="000000"/>
                <w:sz w:val="20"/>
                <w:szCs w:val="20"/>
                <w:u w:color="000000"/>
                <w:bdr w:val="nil"/>
                <w:lang w:val="en-US"/>
                <w14:textOutline w14:w="0" w14:cap="flat" w14:cmpd="sng" w14:algn="ctr">
                  <w14:noFill/>
                  <w14:prstDash w14:val="solid"/>
                  <w14:bevel/>
                </w14:textOutline>
              </w:rPr>
              <w:t>Hostigamiento</w:t>
            </w:r>
            <w:proofErr w:type="spellEnd"/>
          </w:p>
        </w:tc>
        <w:tc>
          <w:tcPr>
            <w:tcW w:w="494" w:type="pct"/>
            <w:vAlign w:val="center"/>
          </w:tcPr>
          <w:p w14:paraId="4DF894D4" w14:textId="004D88C6"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rFonts w:eastAsia="Calibri"/>
                <w:sz w:val="20"/>
                <w:szCs w:val="20"/>
                <w:lang w:val="es-ES"/>
              </w:rPr>
              <w:t>.06</w:t>
            </w:r>
          </w:p>
        </w:tc>
        <w:tc>
          <w:tcPr>
            <w:tcW w:w="1135" w:type="pct"/>
            <w:vAlign w:val="center"/>
          </w:tcPr>
          <w:p w14:paraId="54725BA9" w14:textId="343665BA"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rFonts w:eastAsia="Calibri"/>
                <w:sz w:val="20"/>
                <w:szCs w:val="20"/>
                <w:lang w:val="es-ES"/>
              </w:rPr>
              <w:t>1</w:t>
            </w:r>
          </w:p>
        </w:tc>
        <w:tc>
          <w:tcPr>
            <w:tcW w:w="591" w:type="pct"/>
            <w:vAlign w:val="center"/>
          </w:tcPr>
          <w:p w14:paraId="423349A5" w14:textId="03039998"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rFonts w:eastAsia="Calibri"/>
                <w:sz w:val="20"/>
                <w:szCs w:val="20"/>
                <w:lang w:val="es-ES"/>
              </w:rPr>
              <w:t>529</w:t>
            </w:r>
          </w:p>
        </w:tc>
        <w:tc>
          <w:tcPr>
            <w:tcW w:w="615" w:type="pct"/>
            <w:vAlign w:val="center"/>
          </w:tcPr>
          <w:p w14:paraId="449D2452" w14:textId="66202628"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rFonts w:eastAsia="Calibri"/>
                <w:sz w:val="20"/>
                <w:szCs w:val="20"/>
                <w:lang w:val="es-ES"/>
              </w:rPr>
              <w:t>.79</w:t>
            </w:r>
          </w:p>
        </w:tc>
        <w:tc>
          <w:tcPr>
            <w:tcW w:w="333" w:type="pct"/>
            <w:vAlign w:val="center"/>
          </w:tcPr>
          <w:p w14:paraId="5B872E69" w14:textId="0762A1BB"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rFonts w:eastAsia="Calibri"/>
                <w:sz w:val="20"/>
                <w:szCs w:val="20"/>
                <w:lang w:val="es-ES"/>
              </w:rPr>
              <w:t>.000</w:t>
            </w:r>
          </w:p>
        </w:tc>
      </w:tr>
      <w:tr w:rsidR="005B059D" w:rsidRPr="003F24D4" w14:paraId="356E1F40" w14:textId="77777777" w:rsidTr="005B059D">
        <w:trPr>
          <w:trHeight w:hRule="exact" w:val="453"/>
        </w:trPr>
        <w:tc>
          <w:tcPr>
            <w:tcW w:w="1833" w:type="pct"/>
            <w:tcBorders>
              <w:bottom w:val="single" w:sz="4" w:space="0" w:color="auto"/>
            </w:tcBorders>
            <w:vAlign w:val="center"/>
          </w:tcPr>
          <w:p w14:paraId="315B36BC" w14:textId="77777777" w:rsidR="005B059D" w:rsidRPr="003F24D4" w:rsidRDefault="005B059D" w:rsidP="005B059D">
            <w:pPr>
              <w:suppressAutoHyphens/>
              <w:spacing w:line="100" w:lineRule="atLeast"/>
              <w:rPr>
                <w:color w:val="000000"/>
                <w:sz w:val="20"/>
                <w:szCs w:val="20"/>
                <w:u w:color="000000"/>
                <w:bdr w:val="nil"/>
                <w:lang w:val="en-US"/>
                <w14:textOutline w14:w="0" w14:cap="flat" w14:cmpd="sng" w14:algn="ctr">
                  <w14:noFill/>
                  <w14:prstDash w14:val="solid"/>
                  <w14:bevel/>
                </w14:textOutline>
              </w:rPr>
            </w:pPr>
            <w:proofErr w:type="spellStart"/>
            <w:r w:rsidRPr="003F24D4">
              <w:rPr>
                <w:color w:val="000000"/>
                <w:sz w:val="20"/>
                <w:szCs w:val="20"/>
                <w:u w:color="000000"/>
                <w:bdr w:val="nil"/>
                <w:lang w:val="en-US"/>
                <w14:textOutline w14:w="0" w14:cap="flat" w14:cmpd="sng" w14:algn="ctr">
                  <w14:noFill/>
                  <w14:prstDash w14:val="solid"/>
                  <w14:bevel/>
                </w14:textOutline>
              </w:rPr>
              <w:t>Robos</w:t>
            </w:r>
            <w:proofErr w:type="spellEnd"/>
          </w:p>
        </w:tc>
        <w:tc>
          <w:tcPr>
            <w:tcW w:w="494" w:type="pct"/>
            <w:tcBorders>
              <w:bottom w:val="single" w:sz="4" w:space="0" w:color="auto"/>
            </w:tcBorders>
            <w:vAlign w:val="center"/>
          </w:tcPr>
          <w:p w14:paraId="134F90F5" w14:textId="432F0ED9"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rFonts w:eastAsia="Calibri"/>
                <w:sz w:val="20"/>
                <w:szCs w:val="20"/>
                <w:lang w:val="es-ES"/>
              </w:rPr>
              <w:t>.22</w:t>
            </w:r>
          </w:p>
        </w:tc>
        <w:tc>
          <w:tcPr>
            <w:tcW w:w="1135" w:type="pct"/>
            <w:tcBorders>
              <w:bottom w:val="single" w:sz="4" w:space="0" w:color="auto"/>
            </w:tcBorders>
            <w:vAlign w:val="center"/>
          </w:tcPr>
          <w:p w14:paraId="6E78C57E" w14:textId="257640D0"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rFonts w:eastAsia="Calibri"/>
                <w:sz w:val="20"/>
                <w:szCs w:val="20"/>
                <w:lang w:val="es-ES"/>
              </w:rPr>
              <w:t>1</w:t>
            </w:r>
          </w:p>
        </w:tc>
        <w:tc>
          <w:tcPr>
            <w:tcW w:w="591" w:type="pct"/>
            <w:tcBorders>
              <w:bottom w:val="single" w:sz="4" w:space="0" w:color="auto"/>
            </w:tcBorders>
            <w:vAlign w:val="center"/>
          </w:tcPr>
          <w:p w14:paraId="2A3D5F59" w14:textId="79215B66"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rFonts w:eastAsia="Calibri"/>
                <w:sz w:val="20"/>
                <w:szCs w:val="20"/>
                <w:lang w:val="es-ES"/>
              </w:rPr>
              <w:t>529</w:t>
            </w:r>
          </w:p>
        </w:tc>
        <w:tc>
          <w:tcPr>
            <w:tcW w:w="615" w:type="pct"/>
            <w:tcBorders>
              <w:bottom w:val="single" w:sz="4" w:space="0" w:color="auto"/>
            </w:tcBorders>
            <w:vAlign w:val="center"/>
          </w:tcPr>
          <w:p w14:paraId="0F7F9474" w14:textId="45FA8016"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rFonts w:eastAsia="Calibri"/>
                <w:sz w:val="20"/>
                <w:szCs w:val="20"/>
                <w:lang w:val="es-ES"/>
              </w:rPr>
              <w:t>.64</w:t>
            </w:r>
          </w:p>
        </w:tc>
        <w:tc>
          <w:tcPr>
            <w:tcW w:w="333" w:type="pct"/>
            <w:tcBorders>
              <w:bottom w:val="single" w:sz="4" w:space="0" w:color="auto"/>
            </w:tcBorders>
            <w:vAlign w:val="center"/>
          </w:tcPr>
          <w:p w14:paraId="2C6EE5AE" w14:textId="3A2671FD" w:rsidR="005B059D" w:rsidRPr="003F24D4"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C960A2">
              <w:rPr>
                <w:rFonts w:eastAsia="Calibri"/>
                <w:sz w:val="20"/>
                <w:szCs w:val="20"/>
                <w:lang w:val="es-ES"/>
              </w:rPr>
              <w:t>.000</w:t>
            </w:r>
          </w:p>
        </w:tc>
      </w:tr>
    </w:tbl>
    <w:p w14:paraId="4D5D13AC" w14:textId="31A7D092" w:rsidR="005B059D" w:rsidRDefault="005B059D" w:rsidP="00505B04">
      <w:pPr>
        <w:widowControl w:val="0"/>
        <w:autoSpaceDE w:val="0"/>
        <w:autoSpaceDN w:val="0"/>
        <w:rPr>
          <w:i/>
          <w:sz w:val="20"/>
          <w:szCs w:val="20"/>
          <w:lang w:val="es-ES"/>
        </w:rPr>
      </w:pPr>
    </w:p>
    <w:p w14:paraId="0EC552B6" w14:textId="2FB61796" w:rsidR="00D4310C" w:rsidRPr="00C960A2" w:rsidRDefault="008C19DF" w:rsidP="00D4310C">
      <w:pPr>
        <w:pStyle w:val="Prrafocomn"/>
        <w:rPr>
          <w:lang w:val="es-ES"/>
        </w:rPr>
      </w:pPr>
      <w:r w:rsidRPr="00C960A2">
        <w:rPr>
          <w:lang w:val="es-ES"/>
        </w:rPr>
        <w:t>No se hallaron diferencias estadísticamente significativas (p &gt; .05) en acoso en función de las variables modalidad, tipo de familia, pertenencia a asociación juvenil, práctica de algún deporte, trabajo remunerado y centro rural o urbano (Tabla 5). Del mismo modo, no se encontraron relaciones significativas con ninguno de los factores de acoso en función del nivel educativo de los padres (Tabla 3).</w:t>
      </w:r>
    </w:p>
    <w:p w14:paraId="66D181EC" w14:textId="77777777" w:rsidR="008C19DF" w:rsidRPr="00C960A2" w:rsidRDefault="008C19DF" w:rsidP="008C19DF">
      <w:pPr>
        <w:contextualSpacing/>
        <w:rPr>
          <w:sz w:val="20"/>
          <w:szCs w:val="20"/>
          <w:lang w:val="es-ES"/>
        </w:rPr>
      </w:pPr>
      <w:r w:rsidRPr="00C960A2">
        <w:rPr>
          <w:sz w:val="20"/>
          <w:szCs w:val="20"/>
          <w:lang w:val="es-ES"/>
        </w:rPr>
        <w:t>Tabla 5</w:t>
      </w:r>
    </w:p>
    <w:p w14:paraId="0E721B05" w14:textId="7BFC9159" w:rsidR="008C19DF" w:rsidRDefault="008C19DF" w:rsidP="008C19DF">
      <w:pPr>
        <w:contextualSpacing/>
        <w:rPr>
          <w:i/>
          <w:sz w:val="20"/>
          <w:szCs w:val="20"/>
          <w:lang w:val="es-ES"/>
        </w:rPr>
      </w:pPr>
      <w:r w:rsidRPr="00C960A2">
        <w:rPr>
          <w:i/>
          <w:sz w:val="20"/>
          <w:szCs w:val="20"/>
          <w:lang w:val="es-ES"/>
        </w:rPr>
        <w:t>Análisis bivariados de Acoso Escolar en función de variables sociodemográficas</w:t>
      </w:r>
    </w:p>
    <w:p w14:paraId="2360F7C6" w14:textId="5A0E24E5" w:rsidR="005B059D" w:rsidRDefault="005B059D" w:rsidP="008C19DF">
      <w:pPr>
        <w:contextualSpacing/>
        <w:rPr>
          <w:i/>
          <w:sz w:val="20"/>
          <w:szCs w:val="20"/>
          <w:lang w:val="es-ES"/>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17"/>
        <w:gridCol w:w="840"/>
        <w:gridCol w:w="1930"/>
        <w:gridCol w:w="1005"/>
        <w:gridCol w:w="1046"/>
        <w:gridCol w:w="566"/>
      </w:tblGrid>
      <w:tr w:rsidR="005B059D" w:rsidRPr="00630FFF" w14:paraId="041178E0" w14:textId="77777777" w:rsidTr="000F3D06">
        <w:trPr>
          <w:trHeight w:hRule="exact" w:val="527"/>
        </w:trPr>
        <w:tc>
          <w:tcPr>
            <w:tcW w:w="1833" w:type="pct"/>
            <w:tcBorders>
              <w:top w:val="single" w:sz="4" w:space="0" w:color="auto"/>
              <w:bottom w:val="single" w:sz="4" w:space="0" w:color="auto"/>
            </w:tcBorders>
            <w:vAlign w:val="center"/>
          </w:tcPr>
          <w:p w14:paraId="03D73C20" w14:textId="6FCC8143" w:rsidR="005B059D" w:rsidRPr="005B059D" w:rsidRDefault="005B059D" w:rsidP="005B059D">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5B059D">
              <w:rPr>
                <w:rFonts w:eastAsia="Calibri"/>
                <w:sz w:val="20"/>
                <w:szCs w:val="20"/>
                <w:lang w:val="es-ES"/>
              </w:rPr>
              <w:t>Sociodemográficos</w:t>
            </w:r>
          </w:p>
        </w:tc>
        <w:tc>
          <w:tcPr>
            <w:tcW w:w="494" w:type="pct"/>
            <w:tcBorders>
              <w:top w:val="single" w:sz="4" w:space="0" w:color="auto"/>
              <w:bottom w:val="single" w:sz="4" w:space="0" w:color="auto"/>
            </w:tcBorders>
            <w:vAlign w:val="center"/>
          </w:tcPr>
          <w:p w14:paraId="732A46AD" w14:textId="5C805735" w:rsidR="005B059D" w:rsidRPr="005B059D" w:rsidRDefault="005B059D" w:rsidP="005B059D">
            <w:pPr>
              <w:pStyle w:val="TableParagraph"/>
              <w:suppressAutoHyphens/>
              <w:spacing w:line="100" w:lineRule="atLeast"/>
              <w:rPr>
                <w:color w:val="000000"/>
                <w:sz w:val="20"/>
                <w:szCs w:val="20"/>
                <w:u w:color="000000"/>
                <w:bdr w:val="nil"/>
                <w:lang w:eastAsia="es-ES_tradnl"/>
                <w14:textOutline w14:w="0" w14:cap="flat" w14:cmpd="sng" w14:algn="ctr">
                  <w14:noFill/>
                  <w14:prstDash w14:val="solid"/>
                  <w14:bevel/>
                </w14:textOutline>
              </w:rPr>
            </w:pPr>
            <w:r w:rsidRPr="005B059D">
              <w:rPr>
                <w:rFonts w:eastAsia="Calibri"/>
                <w:i/>
                <w:sz w:val="20"/>
                <w:szCs w:val="20"/>
                <w:lang w:val="es-ES"/>
              </w:rPr>
              <w:t>F</w:t>
            </w:r>
          </w:p>
        </w:tc>
        <w:tc>
          <w:tcPr>
            <w:tcW w:w="1135" w:type="pct"/>
            <w:tcBorders>
              <w:top w:val="single" w:sz="4" w:space="0" w:color="auto"/>
              <w:bottom w:val="single" w:sz="4" w:space="0" w:color="auto"/>
            </w:tcBorders>
            <w:vAlign w:val="center"/>
          </w:tcPr>
          <w:p w14:paraId="37E65DC0" w14:textId="567F61AF" w:rsidR="005B059D" w:rsidRPr="005B059D" w:rsidRDefault="005B059D" w:rsidP="005B059D">
            <w:pPr>
              <w:pStyle w:val="TableParagraph"/>
              <w:suppressAutoHyphens/>
              <w:spacing w:line="100" w:lineRule="atLeast"/>
              <w:rPr>
                <w:color w:val="000000"/>
                <w:sz w:val="20"/>
                <w:szCs w:val="20"/>
                <w:u w:color="000000"/>
                <w:bdr w:val="nil"/>
                <w:lang w:eastAsia="es-ES_tradnl"/>
                <w14:textOutline w14:w="0" w14:cap="flat" w14:cmpd="sng" w14:algn="ctr">
                  <w14:noFill/>
                  <w14:prstDash w14:val="solid"/>
                  <w14:bevel/>
                </w14:textOutline>
              </w:rPr>
            </w:pPr>
            <w:proofErr w:type="spellStart"/>
            <w:r w:rsidRPr="005B059D">
              <w:rPr>
                <w:rFonts w:eastAsia="Calibri"/>
                <w:sz w:val="20"/>
                <w:szCs w:val="20"/>
                <w:lang w:val="es-ES"/>
              </w:rPr>
              <w:t>gl</w:t>
            </w:r>
            <w:r w:rsidRPr="005B059D">
              <w:rPr>
                <w:rFonts w:eastAsia="Calibri"/>
                <w:sz w:val="20"/>
                <w:szCs w:val="20"/>
                <w:vertAlign w:val="subscript"/>
                <w:lang w:val="es-ES"/>
              </w:rPr>
              <w:t>num</w:t>
            </w:r>
            <w:proofErr w:type="spellEnd"/>
          </w:p>
        </w:tc>
        <w:tc>
          <w:tcPr>
            <w:tcW w:w="591" w:type="pct"/>
            <w:tcBorders>
              <w:top w:val="single" w:sz="4" w:space="0" w:color="auto"/>
              <w:bottom w:val="single" w:sz="4" w:space="0" w:color="auto"/>
            </w:tcBorders>
            <w:vAlign w:val="center"/>
          </w:tcPr>
          <w:p w14:paraId="1BA74ED1" w14:textId="1BE87FD7" w:rsidR="005B059D" w:rsidRPr="005B059D" w:rsidRDefault="005B059D" w:rsidP="005B059D">
            <w:pPr>
              <w:pStyle w:val="TableParagraph"/>
              <w:suppressAutoHyphens/>
              <w:spacing w:line="100" w:lineRule="atLeast"/>
              <w:rPr>
                <w:color w:val="000000"/>
                <w:sz w:val="20"/>
                <w:szCs w:val="20"/>
                <w:u w:color="000000"/>
                <w:bdr w:val="nil"/>
                <w:lang w:eastAsia="es-ES_tradnl"/>
                <w14:textOutline w14:w="0" w14:cap="flat" w14:cmpd="sng" w14:algn="ctr">
                  <w14:noFill/>
                  <w14:prstDash w14:val="solid"/>
                  <w14:bevel/>
                </w14:textOutline>
              </w:rPr>
            </w:pPr>
            <w:proofErr w:type="spellStart"/>
            <w:r w:rsidRPr="005B059D">
              <w:rPr>
                <w:rFonts w:eastAsia="Calibri"/>
                <w:sz w:val="20"/>
                <w:szCs w:val="20"/>
                <w:lang w:val="es-ES"/>
              </w:rPr>
              <w:t>gl</w:t>
            </w:r>
            <w:r w:rsidRPr="005B059D">
              <w:rPr>
                <w:rFonts w:eastAsia="Calibri"/>
                <w:sz w:val="20"/>
                <w:szCs w:val="20"/>
                <w:vertAlign w:val="subscript"/>
                <w:lang w:val="es-ES"/>
              </w:rPr>
              <w:t>den</w:t>
            </w:r>
            <w:proofErr w:type="spellEnd"/>
          </w:p>
        </w:tc>
        <w:tc>
          <w:tcPr>
            <w:tcW w:w="615" w:type="pct"/>
            <w:tcBorders>
              <w:top w:val="single" w:sz="4" w:space="0" w:color="auto"/>
              <w:bottom w:val="single" w:sz="4" w:space="0" w:color="auto"/>
            </w:tcBorders>
            <w:vAlign w:val="center"/>
          </w:tcPr>
          <w:p w14:paraId="7C876703" w14:textId="7A458684" w:rsidR="005B059D" w:rsidRPr="005B059D" w:rsidRDefault="005B059D" w:rsidP="005B059D">
            <w:pPr>
              <w:pStyle w:val="TableParagraph"/>
              <w:suppressAutoHyphens/>
              <w:spacing w:line="100" w:lineRule="atLeast"/>
              <w:rPr>
                <w:color w:val="000000"/>
                <w:sz w:val="20"/>
                <w:szCs w:val="20"/>
                <w:u w:color="000000"/>
                <w:bdr w:val="nil"/>
                <w:lang w:eastAsia="es-ES_tradnl"/>
                <w14:textOutline w14:w="0" w14:cap="flat" w14:cmpd="sng" w14:algn="ctr">
                  <w14:noFill/>
                  <w14:prstDash w14:val="solid"/>
                  <w14:bevel/>
                </w14:textOutline>
              </w:rPr>
            </w:pPr>
            <w:r w:rsidRPr="005B059D">
              <w:rPr>
                <w:rFonts w:eastAsia="Calibri"/>
                <w:i/>
                <w:sz w:val="20"/>
                <w:szCs w:val="20"/>
                <w:lang w:val="es-ES"/>
              </w:rPr>
              <w:t>p</w:t>
            </w:r>
          </w:p>
        </w:tc>
        <w:tc>
          <w:tcPr>
            <w:tcW w:w="333" w:type="pct"/>
            <w:tcBorders>
              <w:top w:val="single" w:sz="4" w:space="0" w:color="auto"/>
              <w:bottom w:val="single" w:sz="4" w:space="0" w:color="auto"/>
            </w:tcBorders>
            <w:vAlign w:val="center"/>
          </w:tcPr>
          <w:p w14:paraId="7187DC0B" w14:textId="20A30021" w:rsidR="005B059D" w:rsidRPr="005B059D" w:rsidRDefault="005B059D" w:rsidP="005B059D">
            <w:pPr>
              <w:pStyle w:val="TableParagraph"/>
              <w:suppressAutoHyphens/>
              <w:spacing w:line="100" w:lineRule="atLeast"/>
              <w:rPr>
                <w:rFonts w:ascii="Symbol" w:hAnsi="Symbol"/>
                <w:color w:val="000000"/>
                <w:sz w:val="20"/>
                <w:szCs w:val="20"/>
                <w:u w:color="000000"/>
                <w:bdr w:val="nil"/>
                <w:lang w:eastAsia="es-ES_tradnl"/>
                <w14:textOutline w14:w="0" w14:cap="flat" w14:cmpd="sng" w14:algn="ctr">
                  <w14:noFill/>
                  <w14:prstDash w14:val="solid"/>
                  <w14:bevel/>
                </w14:textOutline>
              </w:rPr>
            </w:pPr>
            <w:r w:rsidRPr="005B059D">
              <w:rPr>
                <w:rFonts w:ascii="Symbol" w:hAnsi="Symbol"/>
                <w:sz w:val="20"/>
                <w:szCs w:val="20"/>
                <w:lang w:val="es-ES"/>
              </w:rPr>
              <w:t></w:t>
            </w:r>
            <w:r w:rsidRPr="005B059D">
              <w:rPr>
                <w:rFonts w:ascii="Symbol" w:hAnsi="Symbol"/>
                <w:sz w:val="20"/>
                <w:szCs w:val="20"/>
                <w:vertAlign w:val="superscript"/>
                <w:lang w:val="es-ES"/>
              </w:rPr>
              <w:t></w:t>
            </w:r>
          </w:p>
        </w:tc>
      </w:tr>
      <w:tr w:rsidR="005B059D" w:rsidRPr="003F24D4" w14:paraId="43B368AE" w14:textId="77777777" w:rsidTr="000F3D06">
        <w:trPr>
          <w:trHeight w:hRule="exact" w:val="515"/>
        </w:trPr>
        <w:tc>
          <w:tcPr>
            <w:tcW w:w="1833" w:type="pct"/>
            <w:tcBorders>
              <w:top w:val="single" w:sz="4" w:space="0" w:color="auto"/>
            </w:tcBorders>
            <w:vAlign w:val="center"/>
          </w:tcPr>
          <w:p w14:paraId="2D56EBFD" w14:textId="05F7F84B" w:rsidR="005B059D" w:rsidRPr="005B059D" w:rsidRDefault="005B059D" w:rsidP="005B059D">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5B059D">
              <w:rPr>
                <w:rFonts w:eastAsia="Calibri"/>
                <w:sz w:val="20"/>
                <w:szCs w:val="20"/>
                <w:lang w:val="es-ES"/>
              </w:rPr>
              <w:t>Modalidad</w:t>
            </w:r>
          </w:p>
        </w:tc>
        <w:tc>
          <w:tcPr>
            <w:tcW w:w="494" w:type="pct"/>
            <w:tcBorders>
              <w:top w:val="single" w:sz="4" w:space="0" w:color="auto"/>
            </w:tcBorders>
            <w:vAlign w:val="center"/>
          </w:tcPr>
          <w:p w14:paraId="7AA80EBD" w14:textId="4C0D7E51" w:rsidR="005B059D" w:rsidRPr="005B059D"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5B059D">
              <w:rPr>
                <w:rFonts w:eastAsia="Calibri"/>
                <w:sz w:val="20"/>
                <w:szCs w:val="20"/>
                <w:lang w:val="es-ES"/>
              </w:rPr>
              <w:t>.72</w:t>
            </w:r>
          </w:p>
        </w:tc>
        <w:tc>
          <w:tcPr>
            <w:tcW w:w="1135" w:type="pct"/>
            <w:tcBorders>
              <w:top w:val="single" w:sz="4" w:space="0" w:color="auto"/>
            </w:tcBorders>
            <w:vAlign w:val="center"/>
          </w:tcPr>
          <w:p w14:paraId="1C4A73F4" w14:textId="56CFBF74" w:rsidR="005B059D" w:rsidRPr="005B059D"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5B059D">
              <w:rPr>
                <w:rFonts w:eastAsia="Calibri"/>
                <w:sz w:val="20"/>
                <w:szCs w:val="20"/>
                <w:lang w:val="es-ES"/>
              </w:rPr>
              <w:t>8</w:t>
            </w:r>
          </w:p>
        </w:tc>
        <w:tc>
          <w:tcPr>
            <w:tcW w:w="591" w:type="pct"/>
            <w:tcBorders>
              <w:top w:val="single" w:sz="4" w:space="0" w:color="auto"/>
            </w:tcBorders>
            <w:vAlign w:val="center"/>
          </w:tcPr>
          <w:p w14:paraId="6F4F24E4" w14:textId="7C467265" w:rsidR="005B059D" w:rsidRPr="005B059D"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5B059D">
              <w:rPr>
                <w:rFonts w:eastAsia="Calibri"/>
                <w:sz w:val="20"/>
                <w:szCs w:val="20"/>
                <w:lang w:val="es-ES"/>
              </w:rPr>
              <w:t>522</w:t>
            </w:r>
          </w:p>
        </w:tc>
        <w:tc>
          <w:tcPr>
            <w:tcW w:w="615" w:type="pct"/>
            <w:tcBorders>
              <w:top w:val="single" w:sz="4" w:space="0" w:color="auto"/>
            </w:tcBorders>
            <w:vAlign w:val="center"/>
          </w:tcPr>
          <w:p w14:paraId="4A472315" w14:textId="44A2424D" w:rsidR="005B059D" w:rsidRPr="005B059D"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5B059D">
              <w:rPr>
                <w:rFonts w:eastAsia="Calibri"/>
                <w:sz w:val="20"/>
                <w:szCs w:val="20"/>
                <w:lang w:val="es-ES"/>
              </w:rPr>
              <w:t>.67</w:t>
            </w:r>
          </w:p>
        </w:tc>
        <w:tc>
          <w:tcPr>
            <w:tcW w:w="333" w:type="pct"/>
            <w:tcBorders>
              <w:top w:val="single" w:sz="4" w:space="0" w:color="auto"/>
            </w:tcBorders>
            <w:vAlign w:val="center"/>
          </w:tcPr>
          <w:p w14:paraId="2619B7F8" w14:textId="7DA328B0" w:rsidR="005B059D" w:rsidRPr="005B059D"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5B059D">
              <w:rPr>
                <w:rFonts w:eastAsia="Calibri"/>
                <w:sz w:val="20"/>
                <w:szCs w:val="20"/>
                <w:lang w:val="es-ES"/>
              </w:rPr>
              <w:t>.011</w:t>
            </w:r>
          </w:p>
        </w:tc>
      </w:tr>
      <w:tr w:rsidR="005B059D" w:rsidRPr="003F24D4" w14:paraId="78720A0D" w14:textId="77777777" w:rsidTr="000F3D06">
        <w:trPr>
          <w:trHeight w:hRule="exact" w:val="453"/>
        </w:trPr>
        <w:tc>
          <w:tcPr>
            <w:tcW w:w="1833" w:type="pct"/>
            <w:vAlign w:val="center"/>
          </w:tcPr>
          <w:p w14:paraId="54C3AEE8" w14:textId="426D9CF6" w:rsidR="005B059D" w:rsidRPr="005B059D" w:rsidRDefault="005B059D" w:rsidP="005B059D">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5B059D">
              <w:rPr>
                <w:rFonts w:eastAsia="Calibri"/>
                <w:sz w:val="20"/>
                <w:szCs w:val="20"/>
                <w:lang w:val="es-ES"/>
              </w:rPr>
              <w:t>Tipo de familia</w:t>
            </w:r>
          </w:p>
        </w:tc>
        <w:tc>
          <w:tcPr>
            <w:tcW w:w="494" w:type="pct"/>
            <w:vAlign w:val="center"/>
          </w:tcPr>
          <w:p w14:paraId="7219CFFF" w14:textId="540E4AFF" w:rsidR="005B059D" w:rsidRPr="005B059D"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5B059D">
              <w:rPr>
                <w:rFonts w:eastAsia="Calibri"/>
                <w:sz w:val="20"/>
                <w:szCs w:val="20"/>
                <w:lang w:val="es-ES"/>
              </w:rPr>
              <w:t>.68</w:t>
            </w:r>
          </w:p>
        </w:tc>
        <w:tc>
          <w:tcPr>
            <w:tcW w:w="1135" w:type="pct"/>
            <w:vAlign w:val="center"/>
          </w:tcPr>
          <w:p w14:paraId="634D620B" w14:textId="53DD4FDF" w:rsidR="005B059D" w:rsidRPr="005B059D"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5B059D">
              <w:rPr>
                <w:rFonts w:eastAsia="Calibri"/>
                <w:sz w:val="20"/>
                <w:szCs w:val="20"/>
                <w:lang w:val="es-ES"/>
              </w:rPr>
              <w:t>16</w:t>
            </w:r>
          </w:p>
        </w:tc>
        <w:tc>
          <w:tcPr>
            <w:tcW w:w="591" w:type="pct"/>
            <w:vAlign w:val="center"/>
          </w:tcPr>
          <w:p w14:paraId="2AB73C4E" w14:textId="091E35DC" w:rsidR="005B059D" w:rsidRPr="005B059D"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5B059D">
              <w:rPr>
                <w:rFonts w:eastAsia="Calibri"/>
                <w:sz w:val="20"/>
                <w:szCs w:val="20"/>
                <w:lang w:val="es-ES"/>
              </w:rPr>
              <w:t>1044</w:t>
            </w:r>
          </w:p>
        </w:tc>
        <w:tc>
          <w:tcPr>
            <w:tcW w:w="615" w:type="pct"/>
            <w:vAlign w:val="center"/>
          </w:tcPr>
          <w:p w14:paraId="52913CEC" w14:textId="416CA80E" w:rsidR="005B059D" w:rsidRPr="005B059D"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5B059D">
              <w:rPr>
                <w:rFonts w:eastAsia="Calibri"/>
                <w:sz w:val="20"/>
                <w:szCs w:val="20"/>
                <w:lang w:val="es-ES"/>
              </w:rPr>
              <w:t>.80</w:t>
            </w:r>
          </w:p>
        </w:tc>
        <w:tc>
          <w:tcPr>
            <w:tcW w:w="333" w:type="pct"/>
            <w:vAlign w:val="center"/>
          </w:tcPr>
          <w:p w14:paraId="28DB199B" w14:textId="18158E6D" w:rsidR="005B059D" w:rsidRPr="005B059D"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5B059D">
              <w:rPr>
                <w:rFonts w:eastAsia="Calibri"/>
                <w:sz w:val="20"/>
                <w:szCs w:val="20"/>
                <w:lang w:val="es-ES"/>
              </w:rPr>
              <w:t>.010</w:t>
            </w:r>
          </w:p>
        </w:tc>
      </w:tr>
      <w:tr w:rsidR="005B059D" w:rsidRPr="003F24D4" w14:paraId="38FD376B" w14:textId="77777777" w:rsidTr="000F3D06">
        <w:trPr>
          <w:trHeight w:hRule="exact" w:val="453"/>
        </w:trPr>
        <w:tc>
          <w:tcPr>
            <w:tcW w:w="1833" w:type="pct"/>
            <w:vAlign w:val="center"/>
          </w:tcPr>
          <w:p w14:paraId="49F87E26" w14:textId="0852BD7A" w:rsidR="005B059D" w:rsidRPr="005B059D" w:rsidRDefault="005B059D" w:rsidP="005B059D">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5B059D">
              <w:rPr>
                <w:rFonts w:eastAsia="Calibri"/>
                <w:sz w:val="20"/>
                <w:szCs w:val="20"/>
                <w:lang w:val="es-ES"/>
              </w:rPr>
              <w:t>Asociación juvenil</w:t>
            </w:r>
          </w:p>
        </w:tc>
        <w:tc>
          <w:tcPr>
            <w:tcW w:w="494" w:type="pct"/>
            <w:vAlign w:val="center"/>
          </w:tcPr>
          <w:p w14:paraId="5D0C4128" w14:textId="304F064C" w:rsidR="005B059D" w:rsidRPr="005B059D"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5B059D">
              <w:rPr>
                <w:rFonts w:eastAsia="Calibri"/>
                <w:sz w:val="20"/>
                <w:szCs w:val="20"/>
                <w:lang w:val="es-ES"/>
              </w:rPr>
              <w:t>1.29</w:t>
            </w:r>
          </w:p>
        </w:tc>
        <w:tc>
          <w:tcPr>
            <w:tcW w:w="1135" w:type="pct"/>
            <w:vAlign w:val="center"/>
          </w:tcPr>
          <w:p w14:paraId="3A2C9511" w14:textId="4726FDFB" w:rsidR="005B059D" w:rsidRPr="005B059D"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5B059D">
              <w:rPr>
                <w:rFonts w:eastAsia="Calibri"/>
                <w:sz w:val="20"/>
                <w:szCs w:val="20"/>
                <w:lang w:val="es-ES"/>
              </w:rPr>
              <w:t>8</w:t>
            </w:r>
          </w:p>
        </w:tc>
        <w:tc>
          <w:tcPr>
            <w:tcW w:w="591" w:type="pct"/>
            <w:vAlign w:val="center"/>
          </w:tcPr>
          <w:p w14:paraId="5B5F787A" w14:textId="64332F2F" w:rsidR="005B059D" w:rsidRPr="005B059D"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5B059D">
              <w:rPr>
                <w:rFonts w:eastAsia="Calibri"/>
                <w:sz w:val="20"/>
                <w:szCs w:val="20"/>
                <w:lang w:val="es-ES"/>
              </w:rPr>
              <w:t>521</w:t>
            </w:r>
          </w:p>
        </w:tc>
        <w:tc>
          <w:tcPr>
            <w:tcW w:w="615" w:type="pct"/>
            <w:vAlign w:val="center"/>
          </w:tcPr>
          <w:p w14:paraId="789DCF36" w14:textId="70B0C94D" w:rsidR="005B059D" w:rsidRPr="005B059D"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5B059D">
              <w:rPr>
                <w:rFonts w:eastAsia="Calibri"/>
                <w:sz w:val="20"/>
                <w:szCs w:val="20"/>
                <w:lang w:val="es-ES"/>
              </w:rPr>
              <w:t>.24</w:t>
            </w:r>
          </w:p>
        </w:tc>
        <w:tc>
          <w:tcPr>
            <w:tcW w:w="333" w:type="pct"/>
            <w:vAlign w:val="center"/>
          </w:tcPr>
          <w:p w14:paraId="59234439" w14:textId="0AB2C572" w:rsidR="005B059D" w:rsidRPr="005B059D"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5B059D">
              <w:rPr>
                <w:rFonts w:eastAsia="Calibri"/>
                <w:sz w:val="20"/>
                <w:szCs w:val="20"/>
                <w:lang w:val="es-ES"/>
              </w:rPr>
              <w:t>.019</w:t>
            </w:r>
          </w:p>
        </w:tc>
      </w:tr>
      <w:tr w:rsidR="005B059D" w:rsidRPr="003F24D4" w14:paraId="2080B136" w14:textId="77777777" w:rsidTr="000F3D06">
        <w:trPr>
          <w:trHeight w:hRule="exact" w:val="452"/>
        </w:trPr>
        <w:tc>
          <w:tcPr>
            <w:tcW w:w="1833" w:type="pct"/>
            <w:vAlign w:val="center"/>
          </w:tcPr>
          <w:p w14:paraId="6543CF3F" w14:textId="3C72FD87" w:rsidR="005B059D" w:rsidRPr="005B059D" w:rsidRDefault="005B059D" w:rsidP="005B059D">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5B059D">
              <w:rPr>
                <w:rFonts w:eastAsia="Calibri"/>
                <w:sz w:val="20"/>
                <w:szCs w:val="20"/>
                <w:lang w:val="es-ES"/>
              </w:rPr>
              <w:t>Practica deporte</w:t>
            </w:r>
          </w:p>
        </w:tc>
        <w:tc>
          <w:tcPr>
            <w:tcW w:w="494" w:type="pct"/>
            <w:vAlign w:val="center"/>
          </w:tcPr>
          <w:p w14:paraId="757299BF" w14:textId="7D1CFA31" w:rsidR="005B059D" w:rsidRPr="005B059D"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5B059D">
              <w:rPr>
                <w:rFonts w:eastAsia="Calibri"/>
                <w:sz w:val="20"/>
                <w:szCs w:val="20"/>
                <w:lang w:val="es-ES"/>
              </w:rPr>
              <w:t>1.50</w:t>
            </w:r>
          </w:p>
        </w:tc>
        <w:tc>
          <w:tcPr>
            <w:tcW w:w="1135" w:type="pct"/>
            <w:vAlign w:val="center"/>
          </w:tcPr>
          <w:p w14:paraId="488129E0" w14:textId="1DCD4EF0" w:rsidR="005B059D" w:rsidRPr="005B059D"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5B059D">
              <w:rPr>
                <w:rFonts w:eastAsia="Calibri"/>
                <w:sz w:val="20"/>
                <w:szCs w:val="20"/>
                <w:lang w:val="es-ES"/>
              </w:rPr>
              <w:t>8</w:t>
            </w:r>
          </w:p>
        </w:tc>
        <w:tc>
          <w:tcPr>
            <w:tcW w:w="591" w:type="pct"/>
            <w:vAlign w:val="center"/>
          </w:tcPr>
          <w:p w14:paraId="1E304906" w14:textId="5FE0EB0A" w:rsidR="005B059D" w:rsidRPr="005B059D"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5B059D">
              <w:rPr>
                <w:rFonts w:eastAsia="Calibri"/>
                <w:sz w:val="20"/>
                <w:szCs w:val="20"/>
                <w:lang w:val="es-ES"/>
              </w:rPr>
              <w:t>522</w:t>
            </w:r>
          </w:p>
        </w:tc>
        <w:tc>
          <w:tcPr>
            <w:tcW w:w="615" w:type="pct"/>
            <w:vAlign w:val="center"/>
          </w:tcPr>
          <w:p w14:paraId="3D6E2C11" w14:textId="3E76FF87" w:rsidR="005B059D" w:rsidRPr="005B059D"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5B059D">
              <w:rPr>
                <w:rFonts w:eastAsia="Calibri"/>
                <w:sz w:val="20"/>
                <w:szCs w:val="20"/>
                <w:lang w:val="es-ES"/>
              </w:rPr>
              <w:t>.15</w:t>
            </w:r>
          </w:p>
        </w:tc>
        <w:tc>
          <w:tcPr>
            <w:tcW w:w="333" w:type="pct"/>
            <w:vAlign w:val="center"/>
          </w:tcPr>
          <w:p w14:paraId="469D6D8E" w14:textId="07EA331C" w:rsidR="005B059D" w:rsidRPr="005B059D"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5B059D">
              <w:rPr>
                <w:rFonts w:eastAsia="Calibri"/>
                <w:sz w:val="20"/>
                <w:szCs w:val="20"/>
                <w:lang w:val="es-ES"/>
              </w:rPr>
              <w:t>.023</w:t>
            </w:r>
          </w:p>
        </w:tc>
      </w:tr>
      <w:tr w:rsidR="005B059D" w:rsidRPr="003F24D4" w14:paraId="5D8206DD" w14:textId="77777777" w:rsidTr="000F3D06">
        <w:trPr>
          <w:trHeight w:hRule="exact" w:val="452"/>
        </w:trPr>
        <w:tc>
          <w:tcPr>
            <w:tcW w:w="1833" w:type="pct"/>
            <w:vAlign w:val="center"/>
          </w:tcPr>
          <w:p w14:paraId="5A14BD79" w14:textId="1FB897FE" w:rsidR="005B059D" w:rsidRPr="005B059D" w:rsidRDefault="005B059D" w:rsidP="005B059D">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5B059D">
              <w:rPr>
                <w:rFonts w:eastAsia="Calibri"/>
                <w:sz w:val="20"/>
                <w:szCs w:val="20"/>
                <w:lang w:val="es-ES"/>
              </w:rPr>
              <w:t>Trabajo remunerado</w:t>
            </w:r>
          </w:p>
        </w:tc>
        <w:tc>
          <w:tcPr>
            <w:tcW w:w="494" w:type="pct"/>
            <w:vAlign w:val="center"/>
          </w:tcPr>
          <w:p w14:paraId="68B5B19B" w14:textId="62234D50" w:rsidR="005B059D" w:rsidRPr="005B059D"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5B059D">
              <w:rPr>
                <w:rFonts w:eastAsia="Calibri"/>
                <w:sz w:val="20"/>
                <w:szCs w:val="20"/>
                <w:lang w:val="es-ES"/>
              </w:rPr>
              <w:t>1.41</w:t>
            </w:r>
          </w:p>
        </w:tc>
        <w:tc>
          <w:tcPr>
            <w:tcW w:w="1135" w:type="pct"/>
            <w:vAlign w:val="center"/>
          </w:tcPr>
          <w:p w14:paraId="1D6B81AB" w14:textId="33B1E0C8" w:rsidR="005B059D" w:rsidRPr="005B059D"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5B059D">
              <w:rPr>
                <w:rFonts w:eastAsia="Calibri"/>
                <w:sz w:val="20"/>
                <w:szCs w:val="20"/>
                <w:lang w:val="es-ES"/>
              </w:rPr>
              <w:t>8</w:t>
            </w:r>
          </w:p>
        </w:tc>
        <w:tc>
          <w:tcPr>
            <w:tcW w:w="591" w:type="pct"/>
            <w:vAlign w:val="center"/>
          </w:tcPr>
          <w:p w14:paraId="405A4859" w14:textId="5AEC25F3" w:rsidR="005B059D" w:rsidRPr="005B059D"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5B059D">
              <w:rPr>
                <w:rFonts w:eastAsia="Calibri"/>
                <w:sz w:val="20"/>
                <w:szCs w:val="20"/>
                <w:lang w:val="es-ES"/>
              </w:rPr>
              <w:t>511</w:t>
            </w:r>
          </w:p>
        </w:tc>
        <w:tc>
          <w:tcPr>
            <w:tcW w:w="615" w:type="pct"/>
            <w:vAlign w:val="center"/>
          </w:tcPr>
          <w:p w14:paraId="62966641" w14:textId="23C8BA8D" w:rsidR="005B059D" w:rsidRPr="005B059D"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5B059D">
              <w:rPr>
                <w:rFonts w:eastAsia="Calibri"/>
                <w:sz w:val="20"/>
                <w:szCs w:val="20"/>
                <w:lang w:val="es-ES"/>
              </w:rPr>
              <w:t>.18</w:t>
            </w:r>
          </w:p>
        </w:tc>
        <w:tc>
          <w:tcPr>
            <w:tcW w:w="333" w:type="pct"/>
            <w:vAlign w:val="center"/>
          </w:tcPr>
          <w:p w14:paraId="3EDDC958" w14:textId="10D1F948" w:rsidR="005B059D" w:rsidRPr="005B059D"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5B059D">
              <w:rPr>
                <w:rFonts w:eastAsia="Calibri"/>
                <w:sz w:val="20"/>
                <w:szCs w:val="20"/>
                <w:lang w:val="es-ES"/>
              </w:rPr>
              <w:t>.022</w:t>
            </w:r>
          </w:p>
        </w:tc>
      </w:tr>
      <w:tr w:rsidR="005B059D" w:rsidRPr="003F24D4" w14:paraId="222FAB8A" w14:textId="77777777" w:rsidTr="000F3D06">
        <w:trPr>
          <w:trHeight w:hRule="exact" w:val="453"/>
        </w:trPr>
        <w:tc>
          <w:tcPr>
            <w:tcW w:w="1833" w:type="pct"/>
            <w:tcBorders>
              <w:bottom w:val="single" w:sz="4" w:space="0" w:color="auto"/>
            </w:tcBorders>
            <w:vAlign w:val="center"/>
          </w:tcPr>
          <w:p w14:paraId="604E3A94" w14:textId="719C2F1F" w:rsidR="005B059D" w:rsidRPr="005B059D" w:rsidRDefault="005B059D" w:rsidP="005B059D">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5B059D">
              <w:rPr>
                <w:rFonts w:eastAsia="Calibri"/>
                <w:sz w:val="20"/>
                <w:szCs w:val="20"/>
                <w:lang w:val="es-ES"/>
              </w:rPr>
              <w:t>Rural/Urbano</w:t>
            </w:r>
          </w:p>
        </w:tc>
        <w:tc>
          <w:tcPr>
            <w:tcW w:w="494" w:type="pct"/>
            <w:tcBorders>
              <w:bottom w:val="single" w:sz="4" w:space="0" w:color="auto"/>
            </w:tcBorders>
            <w:vAlign w:val="center"/>
          </w:tcPr>
          <w:p w14:paraId="342A27FE" w14:textId="21A18742" w:rsidR="005B059D" w:rsidRPr="005B059D"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5B059D">
              <w:rPr>
                <w:rFonts w:eastAsia="Calibri"/>
                <w:sz w:val="20"/>
                <w:szCs w:val="20"/>
                <w:lang w:val="es-ES"/>
              </w:rPr>
              <w:t>1.59</w:t>
            </w:r>
          </w:p>
        </w:tc>
        <w:tc>
          <w:tcPr>
            <w:tcW w:w="1135" w:type="pct"/>
            <w:tcBorders>
              <w:bottom w:val="single" w:sz="4" w:space="0" w:color="auto"/>
            </w:tcBorders>
            <w:vAlign w:val="center"/>
          </w:tcPr>
          <w:p w14:paraId="504D0826" w14:textId="2E7D2AD7" w:rsidR="005B059D" w:rsidRPr="005B059D"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5B059D">
              <w:rPr>
                <w:rFonts w:eastAsia="Calibri"/>
                <w:sz w:val="20"/>
                <w:szCs w:val="20"/>
                <w:lang w:val="es-ES"/>
              </w:rPr>
              <w:t>8</w:t>
            </w:r>
          </w:p>
        </w:tc>
        <w:tc>
          <w:tcPr>
            <w:tcW w:w="591" w:type="pct"/>
            <w:tcBorders>
              <w:bottom w:val="single" w:sz="4" w:space="0" w:color="auto"/>
            </w:tcBorders>
            <w:vAlign w:val="center"/>
          </w:tcPr>
          <w:p w14:paraId="363E8195" w14:textId="66983C87" w:rsidR="005B059D" w:rsidRPr="005B059D"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5B059D">
              <w:rPr>
                <w:rFonts w:eastAsia="Calibri"/>
                <w:sz w:val="20"/>
                <w:szCs w:val="20"/>
                <w:lang w:val="es-ES"/>
              </w:rPr>
              <w:t>522</w:t>
            </w:r>
          </w:p>
        </w:tc>
        <w:tc>
          <w:tcPr>
            <w:tcW w:w="615" w:type="pct"/>
            <w:tcBorders>
              <w:bottom w:val="single" w:sz="4" w:space="0" w:color="auto"/>
            </w:tcBorders>
            <w:vAlign w:val="center"/>
          </w:tcPr>
          <w:p w14:paraId="16FDFA90" w14:textId="17FD8D3F" w:rsidR="005B059D" w:rsidRPr="005B059D"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5B059D">
              <w:rPr>
                <w:rFonts w:eastAsia="Calibri"/>
                <w:sz w:val="20"/>
                <w:szCs w:val="20"/>
                <w:lang w:val="es-ES"/>
              </w:rPr>
              <w:t>.12</w:t>
            </w:r>
          </w:p>
        </w:tc>
        <w:tc>
          <w:tcPr>
            <w:tcW w:w="333" w:type="pct"/>
            <w:tcBorders>
              <w:bottom w:val="single" w:sz="4" w:space="0" w:color="auto"/>
            </w:tcBorders>
            <w:vAlign w:val="center"/>
          </w:tcPr>
          <w:p w14:paraId="28821A17" w14:textId="7770B605" w:rsidR="005B059D" w:rsidRPr="005B059D" w:rsidRDefault="005B059D" w:rsidP="005B059D">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5B059D">
              <w:rPr>
                <w:rFonts w:eastAsia="Calibri"/>
                <w:sz w:val="20"/>
                <w:szCs w:val="20"/>
                <w:lang w:val="es-ES"/>
              </w:rPr>
              <w:t>.024</w:t>
            </w:r>
          </w:p>
        </w:tc>
      </w:tr>
    </w:tbl>
    <w:p w14:paraId="6BAA4758" w14:textId="7E7FF938" w:rsidR="005B059D" w:rsidRDefault="005B059D" w:rsidP="008C19DF">
      <w:pPr>
        <w:contextualSpacing/>
        <w:rPr>
          <w:i/>
          <w:sz w:val="20"/>
          <w:szCs w:val="20"/>
          <w:lang w:val="es-ES"/>
        </w:rPr>
      </w:pPr>
    </w:p>
    <w:p w14:paraId="0E88DC19" w14:textId="77777777" w:rsidR="005B059D" w:rsidRPr="00C960A2" w:rsidRDefault="005B059D" w:rsidP="008C19DF">
      <w:pPr>
        <w:contextualSpacing/>
        <w:rPr>
          <w:i/>
          <w:sz w:val="20"/>
          <w:szCs w:val="20"/>
          <w:lang w:val="es-ES"/>
        </w:rPr>
      </w:pPr>
    </w:p>
    <w:p w14:paraId="18877726" w14:textId="0957A0E1" w:rsidR="001A623E" w:rsidRPr="00C960A2" w:rsidRDefault="001A623E" w:rsidP="00D4310C">
      <w:pPr>
        <w:pStyle w:val="Prrafocomn"/>
        <w:rPr>
          <w:lang w:val="es-ES"/>
        </w:rPr>
      </w:pPr>
      <w:r w:rsidRPr="00C960A2">
        <w:rPr>
          <w:lang w:val="es-ES"/>
        </w:rPr>
        <w:t>En la Tabla 6 se pueden observar las correlaciones entre las distintas variables psicológicas. La mayoría de las dimensiones de la escala de acoso presentan correlaciones estadísticamente significativas con las demás variables psicológicas incluidas en el estudio: positivamente con agresividad física y verbal, inestabilidad emocional e ideaciones suicidas negativas, y negativamente con conducta prosocial, ideaciones suicidas positivas y autoestima. Las únicas excepciones las presentan coacción, restricción, intimidación y robos, que no tienen ninguna relación con la autoestima, e intimidación, que no correlaciona con inestabilidad emocional. La dimensión de acoso psicológico tiene una relación más significativa con la autoestima que la dimensión de acoso físico.</w:t>
      </w:r>
    </w:p>
    <w:p w14:paraId="01C392C9" w14:textId="77777777" w:rsidR="001A623E" w:rsidRPr="00C960A2" w:rsidRDefault="001A623E">
      <w:pPr>
        <w:rPr>
          <w:lang w:val="es-ES"/>
        </w:rPr>
      </w:pPr>
      <w:r w:rsidRPr="00C960A2">
        <w:rPr>
          <w:lang w:val="es-ES"/>
        </w:rPr>
        <w:br w:type="page"/>
      </w:r>
    </w:p>
    <w:p w14:paraId="7ECB9CE7" w14:textId="77777777" w:rsidR="001A623E" w:rsidRPr="00C960A2" w:rsidRDefault="001A623E" w:rsidP="001A623E">
      <w:pPr>
        <w:spacing w:line="480" w:lineRule="auto"/>
        <w:rPr>
          <w:lang w:val="es-ES"/>
        </w:rPr>
        <w:sectPr w:rsidR="001A623E" w:rsidRPr="00C960A2">
          <w:headerReference w:type="default" r:id="rId8"/>
          <w:footerReference w:type="default" r:id="rId9"/>
          <w:pgSz w:w="11906" w:h="16838"/>
          <w:pgMar w:top="1417" w:right="1701" w:bottom="1417" w:left="1701" w:header="708" w:footer="708" w:gutter="0"/>
          <w:cols w:space="708"/>
          <w:docGrid w:linePitch="360"/>
        </w:sectPr>
      </w:pPr>
    </w:p>
    <w:p w14:paraId="644F4E77" w14:textId="77777777" w:rsidR="001A623E" w:rsidRPr="00C960A2" w:rsidRDefault="001A623E" w:rsidP="001A623E">
      <w:pPr>
        <w:pStyle w:val="Textoindependiente"/>
        <w:spacing w:line="240" w:lineRule="auto"/>
        <w:ind w:firstLine="539"/>
        <w:rPr>
          <w:b/>
          <w:sz w:val="20"/>
          <w:lang w:val="es-ES"/>
        </w:rPr>
      </w:pPr>
      <w:r w:rsidRPr="00C960A2">
        <w:rPr>
          <w:b/>
          <w:sz w:val="20"/>
          <w:lang w:val="es-ES"/>
        </w:rPr>
        <w:lastRenderedPageBreak/>
        <w:t xml:space="preserve">Tabla 6 </w:t>
      </w:r>
    </w:p>
    <w:p w14:paraId="51821182" w14:textId="7CF1B92B" w:rsidR="001A623E" w:rsidRDefault="001A623E" w:rsidP="001A623E">
      <w:pPr>
        <w:pStyle w:val="Textoindependiente"/>
        <w:spacing w:line="240" w:lineRule="auto"/>
        <w:ind w:firstLine="539"/>
        <w:rPr>
          <w:sz w:val="20"/>
          <w:lang w:val="es-ES"/>
        </w:rPr>
      </w:pPr>
      <w:r w:rsidRPr="00C960A2">
        <w:rPr>
          <w:i/>
          <w:sz w:val="20"/>
          <w:lang w:val="es-ES"/>
        </w:rPr>
        <w:t>Correlaciones entre acoso y variables psicológicas</w:t>
      </w:r>
      <w:r w:rsidRPr="00C960A2">
        <w:rPr>
          <w:sz w:val="20"/>
          <w:lang w:val="es-ES"/>
        </w:rPr>
        <w:t>.</w:t>
      </w:r>
    </w:p>
    <w:p w14:paraId="6059A852" w14:textId="566803AB" w:rsidR="009667D0" w:rsidRDefault="009667D0" w:rsidP="001A623E">
      <w:pPr>
        <w:pStyle w:val="Textoindependiente"/>
        <w:spacing w:line="240" w:lineRule="auto"/>
        <w:ind w:firstLine="539"/>
        <w:rPr>
          <w:sz w:val="20"/>
          <w:lang w:val="es-ES"/>
        </w:rPr>
      </w:pPr>
    </w:p>
    <w:tbl>
      <w:tblPr>
        <w:tblStyle w:val="Tablaconcuadrcula"/>
        <w:tblW w:w="15061" w:type="dxa"/>
        <w:tblInd w:w="-5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77"/>
        <w:gridCol w:w="809"/>
        <w:gridCol w:w="809"/>
        <w:gridCol w:w="766"/>
        <w:gridCol w:w="808"/>
        <w:gridCol w:w="804"/>
        <w:gridCol w:w="808"/>
        <w:gridCol w:w="808"/>
        <w:gridCol w:w="808"/>
        <w:gridCol w:w="808"/>
        <w:gridCol w:w="808"/>
        <w:gridCol w:w="808"/>
        <w:gridCol w:w="808"/>
        <w:gridCol w:w="708"/>
        <w:gridCol w:w="808"/>
        <w:gridCol w:w="808"/>
        <w:gridCol w:w="808"/>
      </w:tblGrid>
      <w:tr w:rsidR="002C32E7" w:rsidRPr="0095209E" w14:paraId="3AC601C3" w14:textId="77777777" w:rsidTr="0095209E">
        <w:trPr>
          <w:trHeight w:hRule="exact" w:val="527"/>
        </w:trPr>
        <w:tc>
          <w:tcPr>
            <w:tcW w:w="0" w:type="auto"/>
            <w:tcBorders>
              <w:top w:val="single" w:sz="4" w:space="0" w:color="auto"/>
              <w:bottom w:val="single" w:sz="4" w:space="0" w:color="auto"/>
            </w:tcBorders>
            <w:vAlign w:val="center"/>
          </w:tcPr>
          <w:p w14:paraId="7030C1A8" w14:textId="21EE2E01" w:rsidR="002C32E7" w:rsidRPr="0095209E" w:rsidRDefault="002C32E7" w:rsidP="002C32E7">
            <w:pPr>
              <w:suppressAutoHyphens/>
              <w:spacing w:line="100" w:lineRule="atLeast"/>
              <w:rPr>
                <w:color w:val="000000"/>
                <w:sz w:val="20"/>
                <w:szCs w:val="20"/>
                <w:u w:color="000000"/>
                <w:bdr w:val="nil"/>
                <w:lang w:val="es-ES"/>
                <w14:textOutline w14:w="0" w14:cap="flat" w14:cmpd="sng" w14:algn="ctr">
                  <w14:noFill/>
                  <w14:prstDash w14:val="solid"/>
                  <w14:bevel/>
                </w14:textOutline>
              </w:rPr>
            </w:pPr>
          </w:p>
        </w:tc>
        <w:tc>
          <w:tcPr>
            <w:tcW w:w="0" w:type="auto"/>
            <w:tcBorders>
              <w:top w:val="single" w:sz="4" w:space="0" w:color="auto"/>
              <w:bottom w:val="single" w:sz="4" w:space="0" w:color="auto"/>
            </w:tcBorders>
            <w:vAlign w:val="center"/>
          </w:tcPr>
          <w:p w14:paraId="67348980" w14:textId="4967B035" w:rsidR="002C32E7" w:rsidRPr="0095209E" w:rsidRDefault="002C32E7" w:rsidP="002C32E7">
            <w:pPr>
              <w:pStyle w:val="TableParagraph"/>
              <w:suppressAutoHyphens/>
              <w:spacing w:line="100" w:lineRule="atLeast"/>
              <w:rPr>
                <w:rFonts w:eastAsia="Calibri"/>
                <w:i/>
                <w:sz w:val="20"/>
                <w:szCs w:val="20"/>
                <w:lang w:val="es-ES"/>
              </w:rPr>
            </w:pPr>
            <w:r w:rsidRPr="0095209E">
              <w:rPr>
                <w:sz w:val="20"/>
                <w:szCs w:val="20"/>
                <w:lang w:val="es-ES"/>
              </w:rPr>
              <w:t>1</w:t>
            </w:r>
          </w:p>
        </w:tc>
        <w:tc>
          <w:tcPr>
            <w:tcW w:w="0" w:type="auto"/>
            <w:tcBorders>
              <w:top w:val="single" w:sz="4" w:space="0" w:color="auto"/>
              <w:bottom w:val="single" w:sz="4" w:space="0" w:color="auto"/>
            </w:tcBorders>
            <w:vAlign w:val="center"/>
          </w:tcPr>
          <w:p w14:paraId="16460B8A" w14:textId="29DFC4E9" w:rsidR="002C32E7" w:rsidRPr="0095209E" w:rsidRDefault="002C32E7" w:rsidP="002C32E7">
            <w:pPr>
              <w:pStyle w:val="TableParagraph"/>
              <w:suppressAutoHyphens/>
              <w:spacing w:line="100" w:lineRule="atLeast"/>
              <w:rPr>
                <w:rFonts w:eastAsia="Calibri"/>
                <w:i/>
                <w:sz w:val="20"/>
                <w:szCs w:val="20"/>
                <w:lang w:val="es-ES"/>
              </w:rPr>
            </w:pPr>
            <w:r w:rsidRPr="0095209E">
              <w:rPr>
                <w:sz w:val="20"/>
                <w:szCs w:val="20"/>
                <w:lang w:val="es-ES"/>
              </w:rPr>
              <w:t>2</w:t>
            </w:r>
          </w:p>
        </w:tc>
        <w:tc>
          <w:tcPr>
            <w:tcW w:w="0" w:type="auto"/>
            <w:tcBorders>
              <w:top w:val="single" w:sz="4" w:space="0" w:color="auto"/>
              <w:bottom w:val="single" w:sz="4" w:space="0" w:color="auto"/>
            </w:tcBorders>
            <w:vAlign w:val="center"/>
          </w:tcPr>
          <w:p w14:paraId="64908741" w14:textId="0891E874" w:rsidR="002C32E7" w:rsidRPr="0095209E" w:rsidRDefault="002C32E7" w:rsidP="002C32E7">
            <w:pPr>
              <w:pStyle w:val="TableParagraph"/>
              <w:suppressAutoHyphens/>
              <w:spacing w:line="100" w:lineRule="atLeast"/>
              <w:rPr>
                <w:rFonts w:eastAsia="Calibri"/>
                <w:i/>
                <w:sz w:val="20"/>
                <w:szCs w:val="20"/>
                <w:lang w:val="es-ES"/>
              </w:rPr>
            </w:pPr>
            <w:r w:rsidRPr="0095209E">
              <w:rPr>
                <w:sz w:val="20"/>
                <w:szCs w:val="20"/>
                <w:lang w:val="es-ES"/>
              </w:rPr>
              <w:t>3</w:t>
            </w:r>
          </w:p>
        </w:tc>
        <w:tc>
          <w:tcPr>
            <w:tcW w:w="0" w:type="auto"/>
            <w:tcBorders>
              <w:top w:val="single" w:sz="4" w:space="0" w:color="auto"/>
              <w:bottom w:val="single" w:sz="4" w:space="0" w:color="auto"/>
            </w:tcBorders>
            <w:vAlign w:val="center"/>
          </w:tcPr>
          <w:p w14:paraId="75EE9142" w14:textId="608F5A65" w:rsidR="002C32E7" w:rsidRPr="0095209E" w:rsidRDefault="002C32E7" w:rsidP="002C32E7">
            <w:pPr>
              <w:pStyle w:val="TableParagraph"/>
              <w:suppressAutoHyphens/>
              <w:spacing w:line="100" w:lineRule="atLeast"/>
              <w:rPr>
                <w:rFonts w:eastAsia="Calibri"/>
                <w:i/>
                <w:sz w:val="20"/>
                <w:szCs w:val="20"/>
                <w:lang w:val="es-ES"/>
              </w:rPr>
            </w:pPr>
            <w:r w:rsidRPr="0095209E">
              <w:rPr>
                <w:sz w:val="20"/>
                <w:szCs w:val="20"/>
                <w:lang w:val="es-ES"/>
              </w:rPr>
              <w:t>4</w:t>
            </w:r>
          </w:p>
        </w:tc>
        <w:tc>
          <w:tcPr>
            <w:tcW w:w="0" w:type="auto"/>
            <w:tcBorders>
              <w:top w:val="single" w:sz="4" w:space="0" w:color="auto"/>
              <w:bottom w:val="single" w:sz="4" w:space="0" w:color="auto"/>
            </w:tcBorders>
            <w:vAlign w:val="center"/>
          </w:tcPr>
          <w:p w14:paraId="2A349EF1" w14:textId="768BADA1" w:rsidR="002C32E7" w:rsidRPr="0095209E" w:rsidRDefault="002C32E7" w:rsidP="002C32E7">
            <w:pPr>
              <w:pStyle w:val="TableParagraph"/>
              <w:suppressAutoHyphens/>
              <w:spacing w:line="100" w:lineRule="atLeast"/>
              <w:rPr>
                <w:rFonts w:eastAsia="Calibri"/>
                <w:i/>
                <w:sz w:val="20"/>
                <w:szCs w:val="20"/>
                <w:lang w:val="es-ES"/>
              </w:rPr>
            </w:pPr>
            <w:r w:rsidRPr="0095209E">
              <w:rPr>
                <w:sz w:val="20"/>
                <w:szCs w:val="20"/>
                <w:lang w:val="es-ES"/>
              </w:rPr>
              <w:t>5</w:t>
            </w:r>
          </w:p>
        </w:tc>
        <w:tc>
          <w:tcPr>
            <w:tcW w:w="0" w:type="auto"/>
            <w:tcBorders>
              <w:top w:val="single" w:sz="4" w:space="0" w:color="auto"/>
              <w:bottom w:val="single" w:sz="4" w:space="0" w:color="auto"/>
            </w:tcBorders>
            <w:vAlign w:val="center"/>
          </w:tcPr>
          <w:p w14:paraId="55BFFE69" w14:textId="6790EAA1" w:rsidR="002C32E7" w:rsidRPr="0095209E" w:rsidRDefault="002C32E7" w:rsidP="002C32E7">
            <w:pPr>
              <w:pStyle w:val="TableParagraph"/>
              <w:suppressAutoHyphens/>
              <w:spacing w:line="100" w:lineRule="atLeast"/>
              <w:rPr>
                <w:rFonts w:eastAsia="Calibri"/>
                <w:i/>
                <w:sz w:val="20"/>
                <w:szCs w:val="20"/>
                <w:lang w:val="es-ES"/>
              </w:rPr>
            </w:pPr>
            <w:r w:rsidRPr="0095209E">
              <w:rPr>
                <w:sz w:val="20"/>
                <w:szCs w:val="20"/>
                <w:lang w:val="es-ES"/>
              </w:rPr>
              <w:t>6</w:t>
            </w:r>
          </w:p>
        </w:tc>
        <w:tc>
          <w:tcPr>
            <w:tcW w:w="0" w:type="auto"/>
            <w:tcBorders>
              <w:top w:val="single" w:sz="4" w:space="0" w:color="auto"/>
              <w:bottom w:val="single" w:sz="4" w:space="0" w:color="auto"/>
            </w:tcBorders>
            <w:vAlign w:val="center"/>
          </w:tcPr>
          <w:p w14:paraId="4B8741A9" w14:textId="3D86071E" w:rsidR="002C32E7" w:rsidRPr="0095209E" w:rsidRDefault="002C32E7" w:rsidP="002C32E7">
            <w:pPr>
              <w:pStyle w:val="TableParagraph"/>
              <w:suppressAutoHyphens/>
              <w:spacing w:line="100" w:lineRule="atLeast"/>
              <w:rPr>
                <w:rFonts w:eastAsia="Calibri"/>
                <w:i/>
                <w:sz w:val="20"/>
                <w:szCs w:val="20"/>
                <w:lang w:val="es-ES"/>
              </w:rPr>
            </w:pPr>
            <w:r w:rsidRPr="0095209E">
              <w:rPr>
                <w:sz w:val="20"/>
                <w:szCs w:val="20"/>
                <w:lang w:val="es-ES"/>
              </w:rPr>
              <w:t>7</w:t>
            </w:r>
          </w:p>
        </w:tc>
        <w:tc>
          <w:tcPr>
            <w:tcW w:w="0" w:type="auto"/>
            <w:tcBorders>
              <w:top w:val="single" w:sz="4" w:space="0" w:color="auto"/>
              <w:bottom w:val="single" w:sz="4" w:space="0" w:color="auto"/>
            </w:tcBorders>
            <w:vAlign w:val="center"/>
          </w:tcPr>
          <w:p w14:paraId="4FC15E6C" w14:textId="59CBE190" w:rsidR="002C32E7" w:rsidRPr="0095209E" w:rsidRDefault="002C32E7" w:rsidP="002C32E7">
            <w:pPr>
              <w:pStyle w:val="TableParagraph"/>
              <w:suppressAutoHyphens/>
              <w:spacing w:line="100" w:lineRule="atLeast"/>
              <w:rPr>
                <w:rFonts w:eastAsia="Calibri"/>
                <w:i/>
                <w:sz w:val="20"/>
                <w:szCs w:val="20"/>
                <w:lang w:val="es-ES"/>
              </w:rPr>
            </w:pPr>
            <w:r w:rsidRPr="0095209E">
              <w:rPr>
                <w:sz w:val="20"/>
                <w:szCs w:val="20"/>
                <w:lang w:val="es-ES"/>
              </w:rPr>
              <w:t>8</w:t>
            </w:r>
          </w:p>
        </w:tc>
        <w:tc>
          <w:tcPr>
            <w:tcW w:w="0" w:type="auto"/>
            <w:tcBorders>
              <w:top w:val="single" w:sz="4" w:space="0" w:color="auto"/>
              <w:bottom w:val="single" w:sz="4" w:space="0" w:color="auto"/>
            </w:tcBorders>
            <w:vAlign w:val="center"/>
          </w:tcPr>
          <w:p w14:paraId="407B821F" w14:textId="7D993F14" w:rsidR="002C32E7" w:rsidRPr="0095209E" w:rsidRDefault="002C32E7" w:rsidP="002C32E7">
            <w:pPr>
              <w:pStyle w:val="TableParagraph"/>
              <w:suppressAutoHyphens/>
              <w:spacing w:line="100" w:lineRule="atLeast"/>
              <w:rPr>
                <w:rFonts w:eastAsia="Calibri"/>
                <w:i/>
                <w:sz w:val="20"/>
                <w:szCs w:val="20"/>
                <w:lang w:val="es-ES"/>
              </w:rPr>
            </w:pPr>
            <w:r w:rsidRPr="0095209E">
              <w:rPr>
                <w:sz w:val="20"/>
                <w:szCs w:val="20"/>
                <w:lang w:val="es-ES"/>
              </w:rPr>
              <w:t>9</w:t>
            </w:r>
          </w:p>
        </w:tc>
        <w:tc>
          <w:tcPr>
            <w:tcW w:w="0" w:type="auto"/>
            <w:tcBorders>
              <w:top w:val="single" w:sz="4" w:space="0" w:color="auto"/>
              <w:bottom w:val="single" w:sz="4" w:space="0" w:color="auto"/>
            </w:tcBorders>
            <w:vAlign w:val="center"/>
          </w:tcPr>
          <w:p w14:paraId="03922642" w14:textId="7B15E670" w:rsidR="002C32E7" w:rsidRPr="0095209E" w:rsidRDefault="002C32E7" w:rsidP="002C32E7">
            <w:pPr>
              <w:pStyle w:val="TableParagraph"/>
              <w:suppressAutoHyphens/>
              <w:spacing w:line="100" w:lineRule="atLeast"/>
              <w:rPr>
                <w:rFonts w:eastAsia="Calibri"/>
                <w:i/>
                <w:sz w:val="20"/>
                <w:szCs w:val="20"/>
                <w:lang w:val="es-ES"/>
              </w:rPr>
            </w:pPr>
            <w:r w:rsidRPr="0095209E">
              <w:rPr>
                <w:sz w:val="20"/>
                <w:szCs w:val="20"/>
                <w:lang w:val="es-ES"/>
              </w:rPr>
              <w:t>10</w:t>
            </w:r>
          </w:p>
        </w:tc>
        <w:tc>
          <w:tcPr>
            <w:tcW w:w="0" w:type="auto"/>
            <w:tcBorders>
              <w:top w:val="single" w:sz="4" w:space="0" w:color="auto"/>
              <w:bottom w:val="single" w:sz="4" w:space="0" w:color="auto"/>
            </w:tcBorders>
            <w:vAlign w:val="center"/>
          </w:tcPr>
          <w:p w14:paraId="793C4974" w14:textId="1236406A" w:rsidR="002C32E7" w:rsidRPr="0095209E" w:rsidRDefault="002C32E7" w:rsidP="002C32E7">
            <w:pPr>
              <w:pStyle w:val="TableParagraph"/>
              <w:suppressAutoHyphens/>
              <w:spacing w:line="100" w:lineRule="atLeast"/>
              <w:rPr>
                <w:rFonts w:eastAsia="Calibri"/>
                <w:i/>
                <w:sz w:val="20"/>
                <w:szCs w:val="20"/>
                <w:lang w:val="es-ES"/>
              </w:rPr>
            </w:pPr>
            <w:r w:rsidRPr="0095209E">
              <w:rPr>
                <w:sz w:val="20"/>
                <w:szCs w:val="20"/>
                <w:lang w:val="es-ES"/>
              </w:rPr>
              <w:t>11</w:t>
            </w:r>
          </w:p>
        </w:tc>
        <w:tc>
          <w:tcPr>
            <w:tcW w:w="0" w:type="auto"/>
            <w:tcBorders>
              <w:top w:val="single" w:sz="4" w:space="0" w:color="auto"/>
              <w:bottom w:val="single" w:sz="4" w:space="0" w:color="auto"/>
            </w:tcBorders>
            <w:vAlign w:val="center"/>
          </w:tcPr>
          <w:p w14:paraId="19823CD3" w14:textId="4E3FE290" w:rsidR="002C32E7" w:rsidRPr="0095209E" w:rsidRDefault="002C32E7" w:rsidP="002C32E7">
            <w:pPr>
              <w:pStyle w:val="TableParagraph"/>
              <w:suppressAutoHyphens/>
              <w:spacing w:line="100" w:lineRule="atLeast"/>
              <w:rPr>
                <w:color w:val="000000"/>
                <w:sz w:val="20"/>
                <w:szCs w:val="20"/>
                <w:u w:color="000000"/>
                <w:bdr w:val="nil"/>
                <w:lang w:eastAsia="es-ES_tradnl"/>
                <w14:textOutline w14:w="0" w14:cap="flat" w14:cmpd="sng" w14:algn="ctr">
                  <w14:noFill/>
                  <w14:prstDash w14:val="solid"/>
                  <w14:bevel/>
                </w14:textOutline>
              </w:rPr>
            </w:pPr>
            <w:r w:rsidRPr="0095209E">
              <w:rPr>
                <w:sz w:val="20"/>
                <w:szCs w:val="20"/>
                <w:lang w:val="es-ES"/>
              </w:rPr>
              <w:t>12</w:t>
            </w:r>
          </w:p>
        </w:tc>
        <w:tc>
          <w:tcPr>
            <w:tcW w:w="0" w:type="auto"/>
            <w:tcBorders>
              <w:top w:val="single" w:sz="4" w:space="0" w:color="auto"/>
              <w:bottom w:val="single" w:sz="4" w:space="0" w:color="auto"/>
            </w:tcBorders>
            <w:vAlign w:val="center"/>
          </w:tcPr>
          <w:p w14:paraId="3464289E" w14:textId="48F6E858" w:rsidR="002C32E7" w:rsidRPr="0095209E" w:rsidRDefault="002C32E7" w:rsidP="002C32E7">
            <w:pPr>
              <w:pStyle w:val="TableParagraph"/>
              <w:suppressAutoHyphens/>
              <w:spacing w:line="100" w:lineRule="atLeast"/>
              <w:rPr>
                <w:color w:val="000000"/>
                <w:sz w:val="20"/>
                <w:szCs w:val="20"/>
                <w:u w:color="000000"/>
                <w:bdr w:val="nil"/>
                <w:lang w:eastAsia="es-ES_tradnl"/>
                <w14:textOutline w14:w="0" w14:cap="flat" w14:cmpd="sng" w14:algn="ctr">
                  <w14:noFill/>
                  <w14:prstDash w14:val="solid"/>
                  <w14:bevel/>
                </w14:textOutline>
              </w:rPr>
            </w:pPr>
            <w:r w:rsidRPr="0095209E">
              <w:rPr>
                <w:sz w:val="20"/>
                <w:szCs w:val="20"/>
                <w:lang w:val="es-ES"/>
              </w:rPr>
              <w:t>13</w:t>
            </w:r>
          </w:p>
        </w:tc>
        <w:tc>
          <w:tcPr>
            <w:tcW w:w="0" w:type="auto"/>
            <w:tcBorders>
              <w:top w:val="single" w:sz="4" w:space="0" w:color="auto"/>
              <w:bottom w:val="single" w:sz="4" w:space="0" w:color="auto"/>
            </w:tcBorders>
            <w:vAlign w:val="center"/>
          </w:tcPr>
          <w:p w14:paraId="0177178F" w14:textId="7A43D914" w:rsidR="002C32E7" w:rsidRPr="0095209E" w:rsidRDefault="002C32E7" w:rsidP="002C32E7">
            <w:pPr>
              <w:pStyle w:val="TableParagraph"/>
              <w:suppressAutoHyphens/>
              <w:spacing w:line="100" w:lineRule="atLeast"/>
              <w:rPr>
                <w:color w:val="000000"/>
                <w:sz w:val="20"/>
                <w:szCs w:val="20"/>
                <w:u w:color="000000"/>
                <w:bdr w:val="nil"/>
                <w:lang w:eastAsia="es-ES_tradnl"/>
                <w14:textOutline w14:w="0" w14:cap="flat" w14:cmpd="sng" w14:algn="ctr">
                  <w14:noFill/>
                  <w14:prstDash w14:val="solid"/>
                  <w14:bevel/>
                </w14:textOutline>
              </w:rPr>
            </w:pPr>
            <w:r w:rsidRPr="0095209E">
              <w:rPr>
                <w:sz w:val="20"/>
                <w:szCs w:val="20"/>
                <w:lang w:val="es-ES"/>
              </w:rPr>
              <w:t>14</w:t>
            </w:r>
          </w:p>
        </w:tc>
        <w:tc>
          <w:tcPr>
            <w:tcW w:w="0" w:type="auto"/>
            <w:tcBorders>
              <w:top w:val="single" w:sz="4" w:space="0" w:color="auto"/>
              <w:bottom w:val="single" w:sz="4" w:space="0" w:color="auto"/>
            </w:tcBorders>
            <w:vAlign w:val="center"/>
          </w:tcPr>
          <w:p w14:paraId="50CF7A7A" w14:textId="4AFE2B77" w:rsidR="002C32E7" w:rsidRPr="0095209E" w:rsidRDefault="002C32E7" w:rsidP="002C32E7">
            <w:pPr>
              <w:pStyle w:val="TableParagraph"/>
              <w:suppressAutoHyphens/>
              <w:spacing w:line="100" w:lineRule="atLeast"/>
              <w:rPr>
                <w:color w:val="000000"/>
                <w:sz w:val="20"/>
                <w:szCs w:val="20"/>
                <w:u w:color="000000"/>
                <w:bdr w:val="nil"/>
                <w:lang w:eastAsia="es-ES_tradnl"/>
                <w14:textOutline w14:w="0" w14:cap="flat" w14:cmpd="sng" w14:algn="ctr">
                  <w14:noFill/>
                  <w14:prstDash w14:val="solid"/>
                  <w14:bevel/>
                </w14:textOutline>
              </w:rPr>
            </w:pPr>
            <w:r w:rsidRPr="0095209E">
              <w:rPr>
                <w:sz w:val="20"/>
                <w:szCs w:val="20"/>
                <w:lang w:val="es-ES"/>
              </w:rPr>
              <w:t>15</w:t>
            </w:r>
          </w:p>
        </w:tc>
        <w:tc>
          <w:tcPr>
            <w:tcW w:w="0" w:type="auto"/>
            <w:tcBorders>
              <w:top w:val="single" w:sz="4" w:space="0" w:color="auto"/>
              <w:bottom w:val="single" w:sz="4" w:space="0" w:color="auto"/>
            </w:tcBorders>
            <w:vAlign w:val="center"/>
          </w:tcPr>
          <w:p w14:paraId="429A76A2" w14:textId="1EBD42E1" w:rsidR="002C32E7" w:rsidRPr="0095209E" w:rsidRDefault="002C32E7" w:rsidP="002C32E7">
            <w:pPr>
              <w:pStyle w:val="TableParagraph"/>
              <w:suppressAutoHyphens/>
              <w:spacing w:line="100" w:lineRule="atLeast"/>
              <w:rPr>
                <w:rFonts w:ascii="Symbol" w:hAnsi="Symbol"/>
                <w:color w:val="000000"/>
                <w:sz w:val="20"/>
                <w:szCs w:val="20"/>
                <w:u w:color="000000"/>
                <w:bdr w:val="nil"/>
                <w:lang w:eastAsia="es-ES_tradnl"/>
                <w14:textOutline w14:w="0" w14:cap="flat" w14:cmpd="sng" w14:algn="ctr">
                  <w14:noFill/>
                  <w14:prstDash w14:val="solid"/>
                  <w14:bevel/>
                </w14:textOutline>
              </w:rPr>
            </w:pPr>
            <w:r w:rsidRPr="0095209E">
              <w:rPr>
                <w:sz w:val="20"/>
                <w:szCs w:val="20"/>
                <w:lang w:val="es-ES"/>
              </w:rPr>
              <w:t>16</w:t>
            </w:r>
          </w:p>
        </w:tc>
      </w:tr>
      <w:tr w:rsidR="002C32E7" w:rsidRPr="0095209E" w14:paraId="7CC962C5" w14:textId="77777777" w:rsidTr="0095209E">
        <w:trPr>
          <w:trHeight w:hRule="exact" w:val="515"/>
        </w:trPr>
        <w:tc>
          <w:tcPr>
            <w:tcW w:w="0" w:type="auto"/>
            <w:tcBorders>
              <w:top w:val="single" w:sz="4" w:space="0" w:color="auto"/>
            </w:tcBorders>
            <w:vAlign w:val="center"/>
          </w:tcPr>
          <w:p w14:paraId="593E78AB" w14:textId="7A37D45D" w:rsidR="002C32E7" w:rsidRPr="0095209E" w:rsidRDefault="002C32E7" w:rsidP="002C32E7">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95209E">
              <w:rPr>
                <w:sz w:val="20"/>
                <w:szCs w:val="20"/>
                <w:lang w:val="es-ES"/>
              </w:rPr>
              <w:t>1. Desprecio</w:t>
            </w:r>
          </w:p>
        </w:tc>
        <w:tc>
          <w:tcPr>
            <w:tcW w:w="0" w:type="auto"/>
            <w:tcBorders>
              <w:top w:val="single" w:sz="4" w:space="0" w:color="auto"/>
            </w:tcBorders>
            <w:vAlign w:val="center"/>
          </w:tcPr>
          <w:p w14:paraId="434806A0" w14:textId="4ADAEBAC"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w:t>
            </w:r>
          </w:p>
        </w:tc>
        <w:tc>
          <w:tcPr>
            <w:tcW w:w="0" w:type="auto"/>
            <w:tcBorders>
              <w:top w:val="single" w:sz="4" w:space="0" w:color="auto"/>
            </w:tcBorders>
            <w:vAlign w:val="center"/>
          </w:tcPr>
          <w:p w14:paraId="526376DF" w14:textId="658BE7C9" w:rsidR="002C32E7" w:rsidRPr="0095209E" w:rsidRDefault="002C32E7" w:rsidP="002C32E7">
            <w:pPr>
              <w:suppressAutoHyphens/>
              <w:spacing w:line="100" w:lineRule="atLeast"/>
              <w:jc w:val="center"/>
              <w:rPr>
                <w:rFonts w:eastAsia="Calibri"/>
                <w:sz w:val="20"/>
                <w:szCs w:val="20"/>
                <w:lang w:val="es-ES"/>
              </w:rPr>
            </w:pPr>
          </w:p>
        </w:tc>
        <w:tc>
          <w:tcPr>
            <w:tcW w:w="0" w:type="auto"/>
            <w:tcBorders>
              <w:top w:val="single" w:sz="4" w:space="0" w:color="auto"/>
            </w:tcBorders>
            <w:vAlign w:val="center"/>
          </w:tcPr>
          <w:p w14:paraId="3403B2B6" w14:textId="18355DFD" w:rsidR="002C32E7" w:rsidRPr="0095209E" w:rsidRDefault="002C32E7" w:rsidP="002C32E7">
            <w:pPr>
              <w:suppressAutoHyphens/>
              <w:spacing w:line="100" w:lineRule="atLeast"/>
              <w:jc w:val="center"/>
              <w:rPr>
                <w:rFonts w:eastAsia="Calibri"/>
                <w:sz w:val="20"/>
                <w:szCs w:val="20"/>
                <w:lang w:val="es-ES"/>
              </w:rPr>
            </w:pPr>
          </w:p>
        </w:tc>
        <w:tc>
          <w:tcPr>
            <w:tcW w:w="0" w:type="auto"/>
            <w:tcBorders>
              <w:top w:val="single" w:sz="4" w:space="0" w:color="auto"/>
            </w:tcBorders>
            <w:vAlign w:val="center"/>
          </w:tcPr>
          <w:p w14:paraId="3D776777" w14:textId="17A1C4B3" w:rsidR="002C32E7" w:rsidRPr="0095209E" w:rsidRDefault="002C32E7" w:rsidP="002C32E7">
            <w:pPr>
              <w:suppressAutoHyphens/>
              <w:spacing w:line="100" w:lineRule="atLeast"/>
              <w:jc w:val="center"/>
              <w:rPr>
                <w:rFonts w:eastAsia="Calibri"/>
                <w:sz w:val="20"/>
                <w:szCs w:val="20"/>
                <w:lang w:val="es-ES"/>
              </w:rPr>
            </w:pPr>
          </w:p>
        </w:tc>
        <w:tc>
          <w:tcPr>
            <w:tcW w:w="0" w:type="auto"/>
            <w:tcBorders>
              <w:top w:val="single" w:sz="4" w:space="0" w:color="auto"/>
            </w:tcBorders>
            <w:vAlign w:val="center"/>
          </w:tcPr>
          <w:p w14:paraId="1AF93FDF" w14:textId="5C477C46" w:rsidR="002C32E7" w:rsidRPr="0095209E" w:rsidRDefault="002C32E7" w:rsidP="002C32E7">
            <w:pPr>
              <w:suppressAutoHyphens/>
              <w:spacing w:line="100" w:lineRule="atLeast"/>
              <w:jc w:val="center"/>
              <w:rPr>
                <w:rFonts w:eastAsia="Calibri"/>
                <w:sz w:val="20"/>
                <w:szCs w:val="20"/>
                <w:lang w:val="es-ES"/>
              </w:rPr>
            </w:pPr>
          </w:p>
        </w:tc>
        <w:tc>
          <w:tcPr>
            <w:tcW w:w="0" w:type="auto"/>
            <w:tcBorders>
              <w:top w:val="single" w:sz="4" w:space="0" w:color="auto"/>
            </w:tcBorders>
            <w:vAlign w:val="center"/>
          </w:tcPr>
          <w:p w14:paraId="473F00FC" w14:textId="3FC245B6" w:rsidR="002C32E7" w:rsidRPr="0095209E" w:rsidRDefault="002C32E7" w:rsidP="002C32E7">
            <w:pPr>
              <w:suppressAutoHyphens/>
              <w:spacing w:line="100" w:lineRule="atLeast"/>
              <w:jc w:val="center"/>
              <w:rPr>
                <w:rFonts w:eastAsia="Calibri"/>
                <w:sz w:val="20"/>
                <w:szCs w:val="20"/>
                <w:lang w:val="es-ES"/>
              </w:rPr>
            </w:pPr>
          </w:p>
        </w:tc>
        <w:tc>
          <w:tcPr>
            <w:tcW w:w="0" w:type="auto"/>
            <w:tcBorders>
              <w:top w:val="single" w:sz="4" w:space="0" w:color="auto"/>
            </w:tcBorders>
            <w:vAlign w:val="center"/>
          </w:tcPr>
          <w:p w14:paraId="47DFE7D8" w14:textId="418FDDDB" w:rsidR="002C32E7" w:rsidRPr="0095209E" w:rsidRDefault="002C32E7" w:rsidP="002C32E7">
            <w:pPr>
              <w:suppressAutoHyphens/>
              <w:spacing w:line="100" w:lineRule="atLeast"/>
              <w:jc w:val="center"/>
              <w:rPr>
                <w:rFonts w:eastAsia="Calibri"/>
                <w:sz w:val="20"/>
                <w:szCs w:val="20"/>
                <w:lang w:val="es-ES"/>
              </w:rPr>
            </w:pPr>
          </w:p>
        </w:tc>
        <w:tc>
          <w:tcPr>
            <w:tcW w:w="0" w:type="auto"/>
            <w:tcBorders>
              <w:top w:val="single" w:sz="4" w:space="0" w:color="auto"/>
            </w:tcBorders>
            <w:vAlign w:val="center"/>
          </w:tcPr>
          <w:p w14:paraId="45871075" w14:textId="1EEEBD46" w:rsidR="002C32E7" w:rsidRPr="0095209E" w:rsidRDefault="002C32E7" w:rsidP="002C32E7">
            <w:pPr>
              <w:suppressAutoHyphens/>
              <w:spacing w:line="100" w:lineRule="atLeast"/>
              <w:jc w:val="center"/>
              <w:rPr>
                <w:rFonts w:eastAsia="Calibri"/>
                <w:sz w:val="20"/>
                <w:szCs w:val="20"/>
                <w:lang w:val="es-ES"/>
              </w:rPr>
            </w:pPr>
          </w:p>
        </w:tc>
        <w:tc>
          <w:tcPr>
            <w:tcW w:w="0" w:type="auto"/>
            <w:tcBorders>
              <w:top w:val="single" w:sz="4" w:space="0" w:color="auto"/>
            </w:tcBorders>
            <w:vAlign w:val="center"/>
          </w:tcPr>
          <w:p w14:paraId="5583FFC6" w14:textId="48502422" w:rsidR="002C32E7" w:rsidRPr="0095209E" w:rsidRDefault="002C32E7" w:rsidP="002C32E7">
            <w:pPr>
              <w:suppressAutoHyphens/>
              <w:spacing w:line="100" w:lineRule="atLeast"/>
              <w:jc w:val="center"/>
              <w:rPr>
                <w:rFonts w:eastAsia="Calibri"/>
                <w:sz w:val="20"/>
                <w:szCs w:val="20"/>
                <w:lang w:val="es-ES"/>
              </w:rPr>
            </w:pPr>
          </w:p>
        </w:tc>
        <w:tc>
          <w:tcPr>
            <w:tcW w:w="0" w:type="auto"/>
            <w:tcBorders>
              <w:top w:val="single" w:sz="4" w:space="0" w:color="auto"/>
            </w:tcBorders>
            <w:vAlign w:val="center"/>
          </w:tcPr>
          <w:p w14:paraId="5BC9F675" w14:textId="5D3BADB6" w:rsidR="002C32E7" w:rsidRPr="0095209E" w:rsidRDefault="002C32E7" w:rsidP="002C32E7">
            <w:pPr>
              <w:suppressAutoHyphens/>
              <w:spacing w:line="100" w:lineRule="atLeast"/>
              <w:jc w:val="center"/>
              <w:rPr>
                <w:rFonts w:eastAsia="Calibri"/>
                <w:sz w:val="20"/>
                <w:szCs w:val="20"/>
                <w:lang w:val="es-ES"/>
              </w:rPr>
            </w:pPr>
          </w:p>
        </w:tc>
        <w:tc>
          <w:tcPr>
            <w:tcW w:w="0" w:type="auto"/>
            <w:tcBorders>
              <w:top w:val="single" w:sz="4" w:space="0" w:color="auto"/>
            </w:tcBorders>
            <w:vAlign w:val="center"/>
          </w:tcPr>
          <w:p w14:paraId="20997057" w14:textId="18D26DC6" w:rsidR="002C32E7" w:rsidRPr="0095209E" w:rsidRDefault="002C32E7" w:rsidP="002C32E7">
            <w:pPr>
              <w:suppressAutoHyphens/>
              <w:spacing w:line="100" w:lineRule="atLeast"/>
              <w:jc w:val="center"/>
              <w:rPr>
                <w:rFonts w:eastAsia="Calibri"/>
                <w:sz w:val="20"/>
                <w:szCs w:val="20"/>
                <w:lang w:val="es-ES"/>
              </w:rPr>
            </w:pPr>
          </w:p>
        </w:tc>
        <w:tc>
          <w:tcPr>
            <w:tcW w:w="0" w:type="auto"/>
            <w:tcBorders>
              <w:top w:val="single" w:sz="4" w:space="0" w:color="auto"/>
            </w:tcBorders>
            <w:vAlign w:val="center"/>
          </w:tcPr>
          <w:p w14:paraId="4CA8285D" w14:textId="4B8FF0F0" w:rsidR="002C32E7" w:rsidRPr="0095209E" w:rsidRDefault="002C32E7" w:rsidP="002C32E7">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p>
        </w:tc>
        <w:tc>
          <w:tcPr>
            <w:tcW w:w="0" w:type="auto"/>
            <w:tcBorders>
              <w:top w:val="single" w:sz="4" w:space="0" w:color="auto"/>
            </w:tcBorders>
            <w:vAlign w:val="center"/>
          </w:tcPr>
          <w:p w14:paraId="6A21555E" w14:textId="6C1AFDA7" w:rsidR="002C32E7" w:rsidRPr="0095209E" w:rsidRDefault="002C32E7" w:rsidP="002C32E7">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p>
        </w:tc>
        <w:tc>
          <w:tcPr>
            <w:tcW w:w="0" w:type="auto"/>
            <w:tcBorders>
              <w:top w:val="single" w:sz="4" w:space="0" w:color="auto"/>
            </w:tcBorders>
            <w:vAlign w:val="center"/>
          </w:tcPr>
          <w:p w14:paraId="1BD4F255" w14:textId="6281E108" w:rsidR="002C32E7" w:rsidRPr="0095209E" w:rsidRDefault="002C32E7" w:rsidP="002C32E7">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p>
        </w:tc>
        <w:tc>
          <w:tcPr>
            <w:tcW w:w="0" w:type="auto"/>
            <w:tcBorders>
              <w:top w:val="single" w:sz="4" w:space="0" w:color="auto"/>
            </w:tcBorders>
            <w:vAlign w:val="center"/>
          </w:tcPr>
          <w:p w14:paraId="53617208" w14:textId="2BA2E95E" w:rsidR="002C32E7" w:rsidRPr="0095209E" w:rsidRDefault="002C32E7" w:rsidP="002C32E7">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p>
        </w:tc>
        <w:tc>
          <w:tcPr>
            <w:tcW w:w="0" w:type="auto"/>
            <w:tcBorders>
              <w:top w:val="single" w:sz="4" w:space="0" w:color="auto"/>
            </w:tcBorders>
            <w:vAlign w:val="center"/>
          </w:tcPr>
          <w:p w14:paraId="5C607DDD" w14:textId="23DF7F7C" w:rsidR="002C32E7" w:rsidRPr="0095209E" w:rsidRDefault="002C32E7" w:rsidP="002C32E7">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p>
        </w:tc>
      </w:tr>
      <w:tr w:rsidR="002C32E7" w:rsidRPr="0095209E" w14:paraId="4D0D4B3B" w14:textId="77777777" w:rsidTr="0095209E">
        <w:trPr>
          <w:trHeight w:hRule="exact" w:val="453"/>
        </w:trPr>
        <w:tc>
          <w:tcPr>
            <w:tcW w:w="0" w:type="auto"/>
            <w:vAlign w:val="center"/>
          </w:tcPr>
          <w:p w14:paraId="54DF1773" w14:textId="0A3199E7" w:rsidR="002C32E7" w:rsidRPr="0095209E" w:rsidRDefault="002C32E7" w:rsidP="002C32E7">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95209E">
              <w:rPr>
                <w:sz w:val="20"/>
                <w:szCs w:val="20"/>
                <w:lang w:val="es-ES"/>
              </w:rPr>
              <w:t>2. Coacción</w:t>
            </w:r>
          </w:p>
        </w:tc>
        <w:tc>
          <w:tcPr>
            <w:tcW w:w="0" w:type="auto"/>
            <w:vAlign w:val="center"/>
          </w:tcPr>
          <w:p w14:paraId="6943CDE0" w14:textId="2BE9E259"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.548**</w:t>
            </w:r>
          </w:p>
        </w:tc>
        <w:tc>
          <w:tcPr>
            <w:tcW w:w="0" w:type="auto"/>
            <w:vAlign w:val="center"/>
          </w:tcPr>
          <w:p w14:paraId="7FD7078C" w14:textId="469D4959"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w:t>
            </w:r>
          </w:p>
        </w:tc>
        <w:tc>
          <w:tcPr>
            <w:tcW w:w="0" w:type="auto"/>
            <w:vAlign w:val="center"/>
          </w:tcPr>
          <w:p w14:paraId="4C173488" w14:textId="4CD4192F"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45BD98ED" w14:textId="0CEBC5FD"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05282E7C" w14:textId="28C9187F"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75013C97" w14:textId="6713FEF0"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43B7DBB2" w14:textId="5715A900"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33A8415E" w14:textId="73CE12E5"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24128A4A" w14:textId="698F25C1"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2E3E9D60" w14:textId="43F834E8"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36A62488" w14:textId="6E00C2D0"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0D938899" w14:textId="1B13AD15" w:rsidR="002C32E7" w:rsidRPr="0095209E" w:rsidRDefault="002C32E7" w:rsidP="002C32E7">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p>
        </w:tc>
        <w:tc>
          <w:tcPr>
            <w:tcW w:w="0" w:type="auto"/>
            <w:vAlign w:val="center"/>
          </w:tcPr>
          <w:p w14:paraId="6FEC05AF" w14:textId="5CE3B89F" w:rsidR="002C32E7" w:rsidRPr="0095209E" w:rsidRDefault="002C32E7" w:rsidP="002C32E7">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p>
        </w:tc>
        <w:tc>
          <w:tcPr>
            <w:tcW w:w="0" w:type="auto"/>
            <w:vAlign w:val="center"/>
          </w:tcPr>
          <w:p w14:paraId="4CA2FBF1" w14:textId="272E9C3B" w:rsidR="002C32E7" w:rsidRPr="0095209E" w:rsidRDefault="002C32E7" w:rsidP="002C32E7">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p>
        </w:tc>
        <w:tc>
          <w:tcPr>
            <w:tcW w:w="0" w:type="auto"/>
            <w:vAlign w:val="center"/>
          </w:tcPr>
          <w:p w14:paraId="23A81FA6" w14:textId="422C4F90" w:rsidR="002C32E7" w:rsidRPr="0095209E" w:rsidRDefault="002C32E7" w:rsidP="002C32E7">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p>
        </w:tc>
        <w:tc>
          <w:tcPr>
            <w:tcW w:w="0" w:type="auto"/>
            <w:vAlign w:val="center"/>
          </w:tcPr>
          <w:p w14:paraId="03D2E7A5" w14:textId="38F50FC5" w:rsidR="002C32E7" w:rsidRPr="0095209E" w:rsidRDefault="002C32E7" w:rsidP="002C32E7">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p>
        </w:tc>
      </w:tr>
      <w:tr w:rsidR="002C32E7" w:rsidRPr="0095209E" w14:paraId="080A90CC" w14:textId="77777777" w:rsidTr="0095209E">
        <w:trPr>
          <w:trHeight w:hRule="exact" w:val="453"/>
        </w:trPr>
        <w:tc>
          <w:tcPr>
            <w:tcW w:w="0" w:type="auto"/>
            <w:vAlign w:val="center"/>
          </w:tcPr>
          <w:p w14:paraId="120BE94F" w14:textId="170E68DD" w:rsidR="002C32E7" w:rsidRPr="0095209E" w:rsidRDefault="002C32E7" w:rsidP="002C32E7">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95209E">
              <w:rPr>
                <w:sz w:val="20"/>
                <w:szCs w:val="20"/>
                <w:lang w:val="es-ES"/>
              </w:rPr>
              <w:t>3. Restricción</w:t>
            </w:r>
          </w:p>
        </w:tc>
        <w:tc>
          <w:tcPr>
            <w:tcW w:w="0" w:type="auto"/>
            <w:vAlign w:val="center"/>
          </w:tcPr>
          <w:p w14:paraId="07B93486" w14:textId="1ED9AA53"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.482**</w:t>
            </w:r>
          </w:p>
        </w:tc>
        <w:tc>
          <w:tcPr>
            <w:tcW w:w="0" w:type="auto"/>
            <w:vAlign w:val="center"/>
          </w:tcPr>
          <w:p w14:paraId="59C5CFB3" w14:textId="1F67E2EF"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.301**</w:t>
            </w:r>
          </w:p>
        </w:tc>
        <w:tc>
          <w:tcPr>
            <w:tcW w:w="0" w:type="auto"/>
            <w:vAlign w:val="center"/>
          </w:tcPr>
          <w:p w14:paraId="0EB1FAA4" w14:textId="6F79A7D0"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w:t>
            </w:r>
          </w:p>
        </w:tc>
        <w:tc>
          <w:tcPr>
            <w:tcW w:w="0" w:type="auto"/>
            <w:vAlign w:val="center"/>
          </w:tcPr>
          <w:p w14:paraId="4E0C39B1" w14:textId="31471308"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209F4426" w14:textId="15A09F4E"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485C35F6" w14:textId="718BF0BC"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20A0E79C" w14:textId="4B7E53A8"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39C15541" w14:textId="7F7402EB"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7689B04B" w14:textId="58E08E56"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27D6F3E2" w14:textId="765002D6"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532A4776" w14:textId="3328306F"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6E022B20" w14:textId="2927D139" w:rsidR="002C32E7" w:rsidRPr="0095209E" w:rsidRDefault="002C32E7" w:rsidP="002C32E7">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p>
        </w:tc>
        <w:tc>
          <w:tcPr>
            <w:tcW w:w="0" w:type="auto"/>
            <w:vAlign w:val="center"/>
          </w:tcPr>
          <w:p w14:paraId="643D6A00" w14:textId="77923884" w:rsidR="002C32E7" w:rsidRPr="0095209E" w:rsidRDefault="002C32E7" w:rsidP="002C32E7">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p>
        </w:tc>
        <w:tc>
          <w:tcPr>
            <w:tcW w:w="0" w:type="auto"/>
            <w:vAlign w:val="center"/>
          </w:tcPr>
          <w:p w14:paraId="23187A1D" w14:textId="3F8F24BA" w:rsidR="002C32E7" w:rsidRPr="0095209E" w:rsidRDefault="002C32E7" w:rsidP="002C32E7">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p>
        </w:tc>
        <w:tc>
          <w:tcPr>
            <w:tcW w:w="0" w:type="auto"/>
            <w:vAlign w:val="center"/>
          </w:tcPr>
          <w:p w14:paraId="7D116487" w14:textId="7180C850" w:rsidR="002C32E7" w:rsidRPr="0095209E" w:rsidRDefault="002C32E7" w:rsidP="002C32E7">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p>
        </w:tc>
        <w:tc>
          <w:tcPr>
            <w:tcW w:w="0" w:type="auto"/>
            <w:vAlign w:val="center"/>
          </w:tcPr>
          <w:p w14:paraId="1F4A7F83" w14:textId="74918F9C" w:rsidR="002C32E7" w:rsidRPr="0095209E" w:rsidRDefault="002C32E7" w:rsidP="002C32E7">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p>
        </w:tc>
      </w:tr>
      <w:tr w:rsidR="002C32E7" w:rsidRPr="0095209E" w14:paraId="4826CED4" w14:textId="77777777" w:rsidTr="0095209E">
        <w:trPr>
          <w:trHeight w:hRule="exact" w:val="452"/>
        </w:trPr>
        <w:tc>
          <w:tcPr>
            <w:tcW w:w="0" w:type="auto"/>
            <w:vAlign w:val="center"/>
          </w:tcPr>
          <w:p w14:paraId="18618B2C" w14:textId="0776B8AF" w:rsidR="002C32E7" w:rsidRPr="0095209E" w:rsidRDefault="002C32E7" w:rsidP="002C32E7">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95209E">
              <w:rPr>
                <w:sz w:val="20"/>
                <w:szCs w:val="20"/>
                <w:lang w:val="es-ES"/>
              </w:rPr>
              <w:t>4. Agresiones</w:t>
            </w:r>
          </w:p>
        </w:tc>
        <w:tc>
          <w:tcPr>
            <w:tcW w:w="0" w:type="auto"/>
            <w:vAlign w:val="center"/>
          </w:tcPr>
          <w:p w14:paraId="6DE35065" w14:textId="7097BEFA"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.769**</w:t>
            </w:r>
          </w:p>
        </w:tc>
        <w:tc>
          <w:tcPr>
            <w:tcW w:w="0" w:type="auto"/>
            <w:vAlign w:val="center"/>
          </w:tcPr>
          <w:p w14:paraId="55FF79C4" w14:textId="08867FE0"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.589**</w:t>
            </w:r>
          </w:p>
        </w:tc>
        <w:tc>
          <w:tcPr>
            <w:tcW w:w="0" w:type="auto"/>
            <w:vAlign w:val="center"/>
          </w:tcPr>
          <w:p w14:paraId="784FFEC7" w14:textId="2AE45C04"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.369**</w:t>
            </w:r>
          </w:p>
        </w:tc>
        <w:tc>
          <w:tcPr>
            <w:tcW w:w="0" w:type="auto"/>
            <w:vAlign w:val="center"/>
          </w:tcPr>
          <w:p w14:paraId="2886D2A3" w14:textId="15AABC4E"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w:t>
            </w:r>
          </w:p>
        </w:tc>
        <w:tc>
          <w:tcPr>
            <w:tcW w:w="0" w:type="auto"/>
            <w:vAlign w:val="center"/>
          </w:tcPr>
          <w:p w14:paraId="1E5FFEA7" w14:textId="460E2AA5"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4E27E028" w14:textId="1906365B"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17A97C94" w14:textId="148F07B8"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4C9A4831" w14:textId="57E2176C"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13AC760C" w14:textId="48F07A8D"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2D999697" w14:textId="1B3D2476"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7AA725EE" w14:textId="7C56EB9B"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7124DF23" w14:textId="5206AE50" w:rsidR="002C32E7" w:rsidRPr="0095209E" w:rsidRDefault="002C32E7" w:rsidP="002C32E7">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p>
        </w:tc>
        <w:tc>
          <w:tcPr>
            <w:tcW w:w="0" w:type="auto"/>
            <w:vAlign w:val="center"/>
          </w:tcPr>
          <w:p w14:paraId="2E913ED9" w14:textId="655A12D2" w:rsidR="002C32E7" w:rsidRPr="0095209E" w:rsidRDefault="002C32E7" w:rsidP="002C32E7">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p>
        </w:tc>
        <w:tc>
          <w:tcPr>
            <w:tcW w:w="0" w:type="auto"/>
            <w:vAlign w:val="center"/>
          </w:tcPr>
          <w:p w14:paraId="1524CB80" w14:textId="4B90E15F" w:rsidR="002C32E7" w:rsidRPr="0095209E" w:rsidRDefault="002C32E7" w:rsidP="002C32E7">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p>
        </w:tc>
        <w:tc>
          <w:tcPr>
            <w:tcW w:w="0" w:type="auto"/>
            <w:vAlign w:val="center"/>
          </w:tcPr>
          <w:p w14:paraId="3F9F979C" w14:textId="1022E69C" w:rsidR="002C32E7" w:rsidRPr="0095209E" w:rsidRDefault="002C32E7" w:rsidP="002C32E7">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p>
        </w:tc>
        <w:tc>
          <w:tcPr>
            <w:tcW w:w="0" w:type="auto"/>
            <w:vAlign w:val="center"/>
          </w:tcPr>
          <w:p w14:paraId="688818A8" w14:textId="25F5B422" w:rsidR="002C32E7" w:rsidRPr="0095209E" w:rsidRDefault="002C32E7" w:rsidP="002C32E7">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p>
        </w:tc>
      </w:tr>
      <w:tr w:rsidR="002C32E7" w:rsidRPr="0095209E" w14:paraId="548F8752" w14:textId="77777777" w:rsidTr="0095209E">
        <w:trPr>
          <w:trHeight w:hRule="exact" w:val="452"/>
        </w:trPr>
        <w:tc>
          <w:tcPr>
            <w:tcW w:w="0" w:type="auto"/>
            <w:vAlign w:val="center"/>
          </w:tcPr>
          <w:p w14:paraId="13D98724" w14:textId="16C43079" w:rsidR="002C32E7" w:rsidRPr="0095209E" w:rsidRDefault="002C32E7" w:rsidP="002C32E7">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95209E">
              <w:rPr>
                <w:sz w:val="20"/>
                <w:szCs w:val="20"/>
                <w:lang w:val="es-ES"/>
              </w:rPr>
              <w:t>5. Intimidación</w:t>
            </w:r>
          </w:p>
        </w:tc>
        <w:tc>
          <w:tcPr>
            <w:tcW w:w="0" w:type="auto"/>
            <w:vAlign w:val="center"/>
          </w:tcPr>
          <w:p w14:paraId="6A5F33F9" w14:textId="7F844701"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.681**</w:t>
            </w:r>
          </w:p>
        </w:tc>
        <w:tc>
          <w:tcPr>
            <w:tcW w:w="0" w:type="auto"/>
            <w:vAlign w:val="center"/>
          </w:tcPr>
          <w:p w14:paraId="257E7C6A" w14:textId="10A4E249"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.704**</w:t>
            </w:r>
          </w:p>
        </w:tc>
        <w:tc>
          <w:tcPr>
            <w:tcW w:w="0" w:type="auto"/>
            <w:vAlign w:val="center"/>
          </w:tcPr>
          <w:p w14:paraId="59DB8C94" w14:textId="2089B3CF"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.312**</w:t>
            </w:r>
          </w:p>
        </w:tc>
        <w:tc>
          <w:tcPr>
            <w:tcW w:w="0" w:type="auto"/>
            <w:vAlign w:val="center"/>
          </w:tcPr>
          <w:p w14:paraId="0431AF80" w14:textId="5DC3C2E5"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.773**</w:t>
            </w:r>
          </w:p>
        </w:tc>
        <w:tc>
          <w:tcPr>
            <w:tcW w:w="0" w:type="auto"/>
            <w:vAlign w:val="center"/>
          </w:tcPr>
          <w:p w14:paraId="4D0D88AE" w14:textId="3A18BBF6"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w:t>
            </w:r>
          </w:p>
        </w:tc>
        <w:tc>
          <w:tcPr>
            <w:tcW w:w="0" w:type="auto"/>
            <w:vAlign w:val="center"/>
          </w:tcPr>
          <w:p w14:paraId="2945569C" w14:textId="63B90BFB"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5DD4690A" w14:textId="6ACF2EDA"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34EEFB8B" w14:textId="5C1CF449"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662AC867" w14:textId="55D058E4"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54C6A9FE" w14:textId="5A396028"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01781323" w14:textId="7832ED4D"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1B2227AD" w14:textId="61EF8E01" w:rsidR="002C32E7" w:rsidRPr="0095209E" w:rsidRDefault="002C32E7" w:rsidP="002C32E7">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p>
        </w:tc>
        <w:tc>
          <w:tcPr>
            <w:tcW w:w="0" w:type="auto"/>
            <w:vAlign w:val="center"/>
          </w:tcPr>
          <w:p w14:paraId="0858E926" w14:textId="3E279AB3" w:rsidR="002C32E7" w:rsidRPr="0095209E" w:rsidRDefault="002C32E7" w:rsidP="002C32E7">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p>
        </w:tc>
        <w:tc>
          <w:tcPr>
            <w:tcW w:w="0" w:type="auto"/>
            <w:vAlign w:val="center"/>
          </w:tcPr>
          <w:p w14:paraId="55F50D5A" w14:textId="106692CE" w:rsidR="002C32E7" w:rsidRPr="0095209E" w:rsidRDefault="002C32E7" w:rsidP="002C32E7">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p>
        </w:tc>
        <w:tc>
          <w:tcPr>
            <w:tcW w:w="0" w:type="auto"/>
            <w:vAlign w:val="center"/>
          </w:tcPr>
          <w:p w14:paraId="350E1887" w14:textId="4A1AB124" w:rsidR="002C32E7" w:rsidRPr="0095209E" w:rsidRDefault="002C32E7" w:rsidP="002C32E7">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p>
        </w:tc>
        <w:tc>
          <w:tcPr>
            <w:tcW w:w="0" w:type="auto"/>
            <w:vAlign w:val="center"/>
          </w:tcPr>
          <w:p w14:paraId="78CFBCEB" w14:textId="7D0A96C7" w:rsidR="002C32E7" w:rsidRPr="0095209E" w:rsidRDefault="002C32E7" w:rsidP="002C32E7">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p>
        </w:tc>
      </w:tr>
      <w:tr w:rsidR="002C32E7" w:rsidRPr="0095209E" w14:paraId="514EAB39" w14:textId="77777777" w:rsidTr="0095209E">
        <w:trPr>
          <w:trHeight w:hRule="exact" w:val="452"/>
        </w:trPr>
        <w:tc>
          <w:tcPr>
            <w:tcW w:w="0" w:type="auto"/>
            <w:vAlign w:val="center"/>
          </w:tcPr>
          <w:p w14:paraId="71996CF6" w14:textId="1A47554B" w:rsidR="002C32E7" w:rsidRPr="0095209E" w:rsidRDefault="002C32E7" w:rsidP="002C32E7">
            <w:pPr>
              <w:suppressAutoHyphens/>
              <w:spacing w:line="100" w:lineRule="atLeast"/>
              <w:rPr>
                <w:rFonts w:eastAsia="Calibri"/>
                <w:sz w:val="20"/>
                <w:szCs w:val="20"/>
                <w:lang w:val="es-ES"/>
              </w:rPr>
            </w:pPr>
            <w:r w:rsidRPr="0095209E">
              <w:rPr>
                <w:sz w:val="20"/>
                <w:szCs w:val="20"/>
                <w:lang w:val="es-ES"/>
              </w:rPr>
              <w:t>6. Exclusión</w:t>
            </w:r>
          </w:p>
        </w:tc>
        <w:tc>
          <w:tcPr>
            <w:tcW w:w="0" w:type="auto"/>
            <w:vAlign w:val="center"/>
          </w:tcPr>
          <w:p w14:paraId="4E1AE6EC" w14:textId="3D9FE19B"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.755**</w:t>
            </w:r>
          </w:p>
        </w:tc>
        <w:tc>
          <w:tcPr>
            <w:tcW w:w="0" w:type="auto"/>
            <w:vAlign w:val="center"/>
          </w:tcPr>
          <w:p w14:paraId="09E702B4" w14:textId="399EDC76"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.636**</w:t>
            </w:r>
          </w:p>
        </w:tc>
        <w:tc>
          <w:tcPr>
            <w:tcW w:w="0" w:type="auto"/>
            <w:vAlign w:val="center"/>
          </w:tcPr>
          <w:p w14:paraId="42EF141C" w14:textId="1E7C7CF3"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.462**</w:t>
            </w:r>
          </w:p>
        </w:tc>
        <w:tc>
          <w:tcPr>
            <w:tcW w:w="0" w:type="auto"/>
            <w:vAlign w:val="center"/>
          </w:tcPr>
          <w:p w14:paraId="3D08F97B" w14:textId="28D24734"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.707**</w:t>
            </w:r>
          </w:p>
        </w:tc>
        <w:tc>
          <w:tcPr>
            <w:tcW w:w="0" w:type="auto"/>
            <w:vAlign w:val="center"/>
          </w:tcPr>
          <w:p w14:paraId="347FA45C" w14:textId="26024FF6"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.726**</w:t>
            </w:r>
          </w:p>
        </w:tc>
        <w:tc>
          <w:tcPr>
            <w:tcW w:w="0" w:type="auto"/>
            <w:vAlign w:val="center"/>
          </w:tcPr>
          <w:p w14:paraId="17B7A394" w14:textId="41C26171"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w:t>
            </w:r>
          </w:p>
        </w:tc>
        <w:tc>
          <w:tcPr>
            <w:tcW w:w="0" w:type="auto"/>
            <w:vAlign w:val="center"/>
          </w:tcPr>
          <w:p w14:paraId="6435C0DF" w14:textId="64186A6C"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3A77F9C7" w14:textId="38CE7A47"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303AF711" w14:textId="4F34DFBB"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5EE347FF" w14:textId="12570A83"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11FE9F11" w14:textId="64745B66"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25F60F88" w14:textId="7682C64E"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6BBE991D" w14:textId="77777777"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0A04DD08" w14:textId="77777777"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77A03A2B" w14:textId="77777777"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58E481A6" w14:textId="77777777" w:rsidR="002C32E7" w:rsidRPr="0095209E" w:rsidRDefault="002C32E7" w:rsidP="002C32E7">
            <w:pPr>
              <w:suppressAutoHyphens/>
              <w:spacing w:line="100" w:lineRule="atLeast"/>
              <w:jc w:val="center"/>
              <w:rPr>
                <w:rFonts w:eastAsia="Calibri"/>
                <w:sz w:val="20"/>
                <w:szCs w:val="20"/>
                <w:lang w:val="es-ES"/>
              </w:rPr>
            </w:pPr>
          </w:p>
        </w:tc>
      </w:tr>
      <w:tr w:rsidR="002C32E7" w:rsidRPr="0095209E" w14:paraId="0210DB69" w14:textId="77777777" w:rsidTr="0095209E">
        <w:trPr>
          <w:trHeight w:hRule="exact" w:val="452"/>
        </w:trPr>
        <w:tc>
          <w:tcPr>
            <w:tcW w:w="0" w:type="auto"/>
            <w:vAlign w:val="center"/>
          </w:tcPr>
          <w:p w14:paraId="753DBE3C" w14:textId="5920F40E" w:rsidR="002C32E7" w:rsidRPr="0095209E" w:rsidRDefault="002C32E7" w:rsidP="002C32E7">
            <w:pPr>
              <w:suppressAutoHyphens/>
              <w:spacing w:line="100" w:lineRule="atLeast"/>
              <w:rPr>
                <w:rFonts w:eastAsia="Calibri"/>
                <w:sz w:val="20"/>
                <w:szCs w:val="20"/>
                <w:lang w:val="es-ES"/>
              </w:rPr>
            </w:pPr>
            <w:r w:rsidRPr="0095209E">
              <w:rPr>
                <w:sz w:val="20"/>
                <w:szCs w:val="20"/>
                <w:lang w:val="es-ES"/>
              </w:rPr>
              <w:t>7. Hostigamiento</w:t>
            </w:r>
          </w:p>
        </w:tc>
        <w:tc>
          <w:tcPr>
            <w:tcW w:w="0" w:type="auto"/>
            <w:vAlign w:val="center"/>
          </w:tcPr>
          <w:p w14:paraId="6AE8DF27" w14:textId="603FAC47"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.874**</w:t>
            </w:r>
          </w:p>
        </w:tc>
        <w:tc>
          <w:tcPr>
            <w:tcW w:w="0" w:type="auto"/>
            <w:vAlign w:val="center"/>
          </w:tcPr>
          <w:p w14:paraId="2D89E95B" w14:textId="05C10EEA"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.483**</w:t>
            </w:r>
          </w:p>
        </w:tc>
        <w:tc>
          <w:tcPr>
            <w:tcW w:w="0" w:type="auto"/>
            <w:vAlign w:val="center"/>
          </w:tcPr>
          <w:p w14:paraId="7167CCF1" w14:textId="5A65E8CB"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.453**</w:t>
            </w:r>
          </w:p>
        </w:tc>
        <w:tc>
          <w:tcPr>
            <w:tcW w:w="0" w:type="auto"/>
            <w:vAlign w:val="center"/>
          </w:tcPr>
          <w:p w14:paraId="6E30EDC0" w14:textId="12A0A005"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.776**</w:t>
            </w:r>
          </w:p>
        </w:tc>
        <w:tc>
          <w:tcPr>
            <w:tcW w:w="0" w:type="auto"/>
            <w:vAlign w:val="center"/>
          </w:tcPr>
          <w:p w14:paraId="38FF8E7A" w14:textId="3727A55A"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.595**</w:t>
            </w:r>
          </w:p>
        </w:tc>
        <w:tc>
          <w:tcPr>
            <w:tcW w:w="0" w:type="auto"/>
            <w:vAlign w:val="center"/>
          </w:tcPr>
          <w:p w14:paraId="74BC0809" w14:textId="06FF36C1"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.767**</w:t>
            </w:r>
          </w:p>
        </w:tc>
        <w:tc>
          <w:tcPr>
            <w:tcW w:w="0" w:type="auto"/>
            <w:vAlign w:val="center"/>
          </w:tcPr>
          <w:p w14:paraId="760DB09B" w14:textId="07E4416A"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w:t>
            </w:r>
          </w:p>
        </w:tc>
        <w:tc>
          <w:tcPr>
            <w:tcW w:w="0" w:type="auto"/>
            <w:vAlign w:val="center"/>
          </w:tcPr>
          <w:p w14:paraId="0E8CC4C6" w14:textId="7D3504FF"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67371638" w14:textId="27B60FE6"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580BD06B" w14:textId="612518D9"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72687A8B" w14:textId="504DE9B6"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5CB7EEA5" w14:textId="70291070"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174B0AAF" w14:textId="77777777"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34E58DC7" w14:textId="77777777"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657CD997" w14:textId="77777777"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01B46EF2" w14:textId="77777777" w:rsidR="002C32E7" w:rsidRPr="0095209E" w:rsidRDefault="002C32E7" w:rsidP="002C32E7">
            <w:pPr>
              <w:suppressAutoHyphens/>
              <w:spacing w:line="100" w:lineRule="atLeast"/>
              <w:jc w:val="center"/>
              <w:rPr>
                <w:rFonts w:eastAsia="Calibri"/>
                <w:sz w:val="20"/>
                <w:szCs w:val="20"/>
                <w:lang w:val="es-ES"/>
              </w:rPr>
            </w:pPr>
          </w:p>
        </w:tc>
      </w:tr>
      <w:tr w:rsidR="002C32E7" w:rsidRPr="0095209E" w14:paraId="75F5DA42" w14:textId="77777777" w:rsidTr="0095209E">
        <w:trPr>
          <w:trHeight w:hRule="exact" w:val="452"/>
        </w:trPr>
        <w:tc>
          <w:tcPr>
            <w:tcW w:w="0" w:type="auto"/>
            <w:vAlign w:val="center"/>
          </w:tcPr>
          <w:p w14:paraId="016E569B" w14:textId="5AAE34EE" w:rsidR="002C32E7" w:rsidRPr="0095209E" w:rsidRDefault="002C32E7" w:rsidP="002C32E7">
            <w:pPr>
              <w:suppressAutoHyphens/>
              <w:spacing w:line="100" w:lineRule="atLeast"/>
              <w:rPr>
                <w:rFonts w:eastAsia="Calibri"/>
                <w:sz w:val="20"/>
                <w:szCs w:val="20"/>
                <w:lang w:val="es-ES"/>
              </w:rPr>
            </w:pPr>
            <w:r w:rsidRPr="0095209E">
              <w:rPr>
                <w:sz w:val="20"/>
                <w:szCs w:val="20"/>
                <w:lang w:val="es-ES"/>
              </w:rPr>
              <w:t>8. Robos</w:t>
            </w:r>
          </w:p>
        </w:tc>
        <w:tc>
          <w:tcPr>
            <w:tcW w:w="0" w:type="auto"/>
            <w:vAlign w:val="center"/>
          </w:tcPr>
          <w:p w14:paraId="789DBE5D" w14:textId="68317BDB"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.521**</w:t>
            </w:r>
          </w:p>
        </w:tc>
        <w:tc>
          <w:tcPr>
            <w:tcW w:w="0" w:type="auto"/>
            <w:vAlign w:val="center"/>
          </w:tcPr>
          <w:p w14:paraId="4B83463A" w14:textId="4D6961E4"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.583**</w:t>
            </w:r>
          </w:p>
        </w:tc>
        <w:tc>
          <w:tcPr>
            <w:tcW w:w="0" w:type="auto"/>
            <w:vAlign w:val="center"/>
          </w:tcPr>
          <w:p w14:paraId="26DA8DE5" w14:textId="5EDD3FCB"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.274**</w:t>
            </w:r>
          </w:p>
        </w:tc>
        <w:tc>
          <w:tcPr>
            <w:tcW w:w="0" w:type="auto"/>
            <w:vAlign w:val="center"/>
          </w:tcPr>
          <w:p w14:paraId="22978D0C" w14:textId="68E53206"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.656**</w:t>
            </w:r>
          </w:p>
        </w:tc>
        <w:tc>
          <w:tcPr>
            <w:tcW w:w="0" w:type="auto"/>
            <w:vAlign w:val="center"/>
          </w:tcPr>
          <w:p w14:paraId="7255554A" w14:textId="3BBD03DF"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.490**</w:t>
            </w:r>
          </w:p>
        </w:tc>
        <w:tc>
          <w:tcPr>
            <w:tcW w:w="0" w:type="auto"/>
            <w:vAlign w:val="center"/>
          </w:tcPr>
          <w:p w14:paraId="017497F3" w14:textId="5D4A46DF"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.609**</w:t>
            </w:r>
          </w:p>
        </w:tc>
        <w:tc>
          <w:tcPr>
            <w:tcW w:w="0" w:type="auto"/>
            <w:vAlign w:val="center"/>
          </w:tcPr>
          <w:p w14:paraId="72474456" w14:textId="058DB015"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.563**</w:t>
            </w:r>
          </w:p>
        </w:tc>
        <w:tc>
          <w:tcPr>
            <w:tcW w:w="0" w:type="auto"/>
            <w:vAlign w:val="center"/>
          </w:tcPr>
          <w:p w14:paraId="571462A0" w14:textId="27A8CBA7"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w:t>
            </w:r>
          </w:p>
        </w:tc>
        <w:tc>
          <w:tcPr>
            <w:tcW w:w="0" w:type="auto"/>
            <w:vAlign w:val="center"/>
          </w:tcPr>
          <w:p w14:paraId="3C7FDA94" w14:textId="496587B7"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4B5B5B82" w14:textId="475C56EF"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739125FC" w14:textId="584788E3"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00FD2831" w14:textId="2D320907"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0AFB95E7" w14:textId="77777777"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70B2836F" w14:textId="77777777"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0B6939F4" w14:textId="77777777"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5EE0ED20" w14:textId="77777777" w:rsidR="002C32E7" w:rsidRPr="0095209E" w:rsidRDefault="002C32E7" w:rsidP="002C32E7">
            <w:pPr>
              <w:suppressAutoHyphens/>
              <w:spacing w:line="100" w:lineRule="atLeast"/>
              <w:jc w:val="center"/>
              <w:rPr>
                <w:rFonts w:eastAsia="Calibri"/>
                <w:sz w:val="20"/>
                <w:szCs w:val="20"/>
                <w:lang w:val="es-ES"/>
              </w:rPr>
            </w:pPr>
          </w:p>
        </w:tc>
      </w:tr>
      <w:tr w:rsidR="002C32E7" w:rsidRPr="0095209E" w14:paraId="2202CE7D" w14:textId="77777777" w:rsidTr="0095209E">
        <w:trPr>
          <w:trHeight w:hRule="exact" w:val="452"/>
        </w:trPr>
        <w:tc>
          <w:tcPr>
            <w:tcW w:w="0" w:type="auto"/>
            <w:vAlign w:val="center"/>
          </w:tcPr>
          <w:p w14:paraId="79A6BC5A" w14:textId="11999E16" w:rsidR="002C32E7" w:rsidRPr="0095209E" w:rsidRDefault="002C32E7" w:rsidP="002C32E7">
            <w:pPr>
              <w:suppressAutoHyphens/>
              <w:spacing w:line="100" w:lineRule="atLeast"/>
              <w:rPr>
                <w:rFonts w:eastAsia="Calibri"/>
                <w:sz w:val="20"/>
                <w:szCs w:val="20"/>
                <w:lang w:val="es-ES"/>
              </w:rPr>
            </w:pPr>
            <w:r w:rsidRPr="0095209E">
              <w:rPr>
                <w:sz w:val="20"/>
                <w:szCs w:val="20"/>
                <w:lang w:val="es-ES"/>
              </w:rPr>
              <w:t>9. Acoso físico</w:t>
            </w:r>
          </w:p>
        </w:tc>
        <w:tc>
          <w:tcPr>
            <w:tcW w:w="0" w:type="auto"/>
            <w:vAlign w:val="center"/>
          </w:tcPr>
          <w:p w14:paraId="5CB00984" w14:textId="4D52725B"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.745**</w:t>
            </w:r>
          </w:p>
        </w:tc>
        <w:tc>
          <w:tcPr>
            <w:tcW w:w="0" w:type="auto"/>
            <w:vAlign w:val="center"/>
          </w:tcPr>
          <w:p w14:paraId="132D9518" w14:textId="6EF9E805"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.712**</w:t>
            </w:r>
          </w:p>
        </w:tc>
        <w:tc>
          <w:tcPr>
            <w:tcW w:w="0" w:type="auto"/>
            <w:vAlign w:val="center"/>
          </w:tcPr>
          <w:p w14:paraId="05733010" w14:textId="0446F54A"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.363**</w:t>
            </w:r>
          </w:p>
        </w:tc>
        <w:tc>
          <w:tcPr>
            <w:tcW w:w="0" w:type="auto"/>
            <w:vAlign w:val="center"/>
          </w:tcPr>
          <w:p w14:paraId="559858F5" w14:textId="313CD9E5"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.923**</w:t>
            </w:r>
          </w:p>
        </w:tc>
        <w:tc>
          <w:tcPr>
            <w:tcW w:w="0" w:type="auto"/>
            <w:vAlign w:val="center"/>
          </w:tcPr>
          <w:p w14:paraId="338891EF" w14:textId="06800102"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.840**</w:t>
            </w:r>
          </w:p>
        </w:tc>
        <w:tc>
          <w:tcPr>
            <w:tcW w:w="0" w:type="auto"/>
            <w:vAlign w:val="center"/>
          </w:tcPr>
          <w:p w14:paraId="2868C95F" w14:textId="77B362E5"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.775**</w:t>
            </w:r>
          </w:p>
        </w:tc>
        <w:tc>
          <w:tcPr>
            <w:tcW w:w="0" w:type="auto"/>
            <w:vAlign w:val="center"/>
          </w:tcPr>
          <w:p w14:paraId="5C407AAD" w14:textId="37E5DBBC"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.738**</w:t>
            </w:r>
          </w:p>
        </w:tc>
        <w:tc>
          <w:tcPr>
            <w:tcW w:w="0" w:type="auto"/>
            <w:vAlign w:val="center"/>
          </w:tcPr>
          <w:p w14:paraId="7C897CFF" w14:textId="082B8E8C"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.849**</w:t>
            </w:r>
          </w:p>
        </w:tc>
        <w:tc>
          <w:tcPr>
            <w:tcW w:w="0" w:type="auto"/>
            <w:vAlign w:val="center"/>
          </w:tcPr>
          <w:p w14:paraId="3227F8E8" w14:textId="0A083CC5"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w:t>
            </w:r>
          </w:p>
        </w:tc>
        <w:tc>
          <w:tcPr>
            <w:tcW w:w="0" w:type="auto"/>
            <w:vAlign w:val="center"/>
          </w:tcPr>
          <w:p w14:paraId="456F652C" w14:textId="0FF12BBF"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04272ED8" w14:textId="0AD26B6A"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0C94C65B" w14:textId="226B2996"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428A35B3" w14:textId="77777777"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4B3AE70C" w14:textId="77777777"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2DBE9B17" w14:textId="77777777"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04509222" w14:textId="77777777" w:rsidR="002C32E7" w:rsidRPr="0095209E" w:rsidRDefault="002C32E7" w:rsidP="002C32E7">
            <w:pPr>
              <w:suppressAutoHyphens/>
              <w:spacing w:line="100" w:lineRule="atLeast"/>
              <w:jc w:val="center"/>
              <w:rPr>
                <w:rFonts w:eastAsia="Calibri"/>
                <w:sz w:val="20"/>
                <w:szCs w:val="20"/>
                <w:lang w:val="es-ES"/>
              </w:rPr>
            </w:pPr>
          </w:p>
        </w:tc>
      </w:tr>
      <w:tr w:rsidR="002C32E7" w:rsidRPr="0095209E" w14:paraId="4BC07EB2" w14:textId="77777777" w:rsidTr="0095209E">
        <w:trPr>
          <w:trHeight w:hRule="exact" w:val="452"/>
        </w:trPr>
        <w:tc>
          <w:tcPr>
            <w:tcW w:w="0" w:type="auto"/>
            <w:vAlign w:val="center"/>
          </w:tcPr>
          <w:p w14:paraId="4F41D2E5" w14:textId="791015F9" w:rsidR="002C32E7" w:rsidRPr="0095209E" w:rsidRDefault="002C32E7" w:rsidP="002C32E7">
            <w:pPr>
              <w:suppressAutoHyphens/>
              <w:spacing w:line="100" w:lineRule="atLeast"/>
              <w:rPr>
                <w:rFonts w:eastAsia="Calibri"/>
                <w:sz w:val="20"/>
                <w:szCs w:val="20"/>
                <w:lang w:val="es-ES"/>
              </w:rPr>
            </w:pPr>
            <w:r w:rsidRPr="0095209E">
              <w:rPr>
                <w:sz w:val="20"/>
                <w:szCs w:val="20"/>
                <w:lang w:val="es-ES"/>
              </w:rPr>
              <w:t>10. Acoso psicológico</w:t>
            </w:r>
          </w:p>
        </w:tc>
        <w:tc>
          <w:tcPr>
            <w:tcW w:w="0" w:type="auto"/>
            <w:vAlign w:val="center"/>
          </w:tcPr>
          <w:p w14:paraId="42492599" w14:textId="7927EB70"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.906**</w:t>
            </w:r>
          </w:p>
        </w:tc>
        <w:tc>
          <w:tcPr>
            <w:tcW w:w="0" w:type="auto"/>
            <w:vAlign w:val="center"/>
          </w:tcPr>
          <w:p w14:paraId="3FB63EEF" w14:textId="0B801CCE"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.693**</w:t>
            </w:r>
          </w:p>
        </w:tc>
        <w:tc>
          <w:tcPr>
            <w:tcW w:w="0" w:type="auto"/>
            <w:vAlign w:val="center"/>
          </w:tcPr>
          <w:p w14:paraId="4F9508C5" w14:textId="4CDDBAB7"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.683**</w:t>
            </w:r>
          </w:p>
        </w:tc>
        <w:tc>
          <w:tcPr>
            <w:tcW w:w="0" w:type="auto"/>
            <w:vAlign w:val="center"/>
          </w:tcPr>
          <w:p w14:paraId="2CD5FBA2" w14:textId="7150DAF0"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.787**</w:t>
            </w:r>
          </w:p>
        </w:tc>
        <w:tc>
          <w:tcPr>
            <w:tcW w:w="0" w:type="auto"/>
            <w:vAlign w:val="center"/>
          </w:tcPr>
          <w:p w14:paraId="2AF861B8" w14:textId="45EC2EEF"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.726**</w:t>
            </w:r>
          </w:p>
        </w:tc>
        <w:tc>
          <w:tcPr>
            <w:tcW w:w="0" w:type="auto"/>
            <w:vAlign w:val="center"/>
          </w:tcPr>
          <w:p w14:paraId="06BD9EEC" w14:textId="10D16982"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.885**</w:t>
            </w:r>
          </w:p>
        </w:tc>
        <w:tc>
          <w:tcPr>
            <w:tcW w:w="0" w:type="auto"/>
            <w:vAlign w:val="center"/>
          </w:tcPr>
          <w:p w14:paraId="4C15DE49" w14:textId="4CC95C2B"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.892**</w:t>
            </w:r>
          </w:p>
        </w:tc>
        <w:tc>
          <w:tcPr>
            <w:tcW w:w="0" w:type="auto"/>
            <w:vAlign w:val="center"/>
          </w:tcPr>
          <w:p w14:paraId="630506F4" w14:textId="63E1C372"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.615**</w:t>
            </w:r>
          </w:p>
        </w:tc>
        <w:tc>
          <w:tcPr>
            <w:tcW w:w="0" w:type="auto"/>
            <w:vAlign w:val="center"/>
          </w:tcPr>
          <w:p w14:paraId="777F7E1D" w14:textId="6713E6D8"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.809**</w:t>
            </w:r>
          </w:p>
        </w:tc>
        <w:tc>
          <w:tcPr>
            <w:tcW w:w="0" w:type="auto"/>
            <w:vAlign w:val="center"/>
          </w:tcPr>
          <w:p w14:paraId="73B02BCD" w14:textId="018BE508"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w:t>
            </w:r>
          </w:p>
        </w:tc>
        <w:tc>
          <w:tcPr>
            <w:tcW w:w="0" w:type="auto"/>
            <w:vAlign w:val="center"/>
          </w:tcPr>
          <w:p w14:paraId="2EDD68EC" w14:textId="5D893481"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2B44696B" w14:textId="6E3CD5A7"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7A8CF99F" w14:textId="77777777"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0D513B1B" w14:textId="77777777"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0055357B" w14:textId="77777777"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5FF16BC6" w14:textId="77777777" w:rsidR="002C32E7" w:rsidRPr="0095209E" w:rsidRDefault="002C32E7" w:rsidP="002C32E7">
            <w:pPr>
              <w:suppressAutoHyphens/>
              <w:spacing w:line="100" w:lineRule="atLeast"/>
              <w:jc w:val="center"/>
              <w:rPr>
                <w:rFonts w:eastAsia="Calibri"/>
                <w:sz w:val="20"/>
                <w:szCs w:val="20"/>
                <w:lang w:val="es-ES"/>
              </w:rPr>
            </w:pPr>
          </w:p>
        </w:tc>
      </w:tr>
      <w:tr w:rsidR="002C32E7" w:rsidRPr="0095209E" w14:paraId="30541A1E" w14:textId="77777777" w:rsidTr="0095209E">
        <w:trPr>
          <w:trHeight w:hRule="exact" w:val="452"/>
        </w:trPr>
        <w:tc>
          <w:tcPr>
            <w:tcW w:w="0" w:type="auto"/>
            <w:vAlign w:val="center"/>
          </w:tcPr>
          <w:p w14:paraId="3C49790E" w14:textId="6EDE2158" w:rsidR="002C32E7" w:rsidRPr="0095209E" w:rsidRDefault="002C32E7" w:rsidP="002C32E7">
            <w:pPr>
              <w:suppressAutoHyphens/>
              <w:spacing w:line="100" w:lineRule="atLeast"/>
              <w:rPr>
                <w:rFonts w:eastAsia="Calibri"/>
                <w:sz w:val="20"/>
                <w:szCs w:val="20"/>
                <w:lang w:val="es-ES"/>
              </w:rPr>
            </w:pPr>
            <w:r w:rsidRPr="0095209E">
              <w:rPr>
                <w:sz w:val="20"/>
                <w:szCs w:val="20"/>
                <w:lang w:val="es-ES"/>
              </w:rPr>
              <w:t>11. Agresividad física</w:t>
            </w:r>
          </w:p>
        </w:tc>
        <w:tc>
          <w:tcPr>
            <w:tcW w:w="0" w:type="auto"/>
            <w:vAlign w:val="center"/>
          </w:tcPr>
          <w:p w14:paraId="6E486EB0" w14:textId="5AB22B13"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.159**</w:t>
            </w:r>
          </w:p>
        </w:tc>
        <w:tc>
          <w:tcPr>
            <w:tcW w:w="0" w:type="auto"/>
            <w:vAlign w:val="center"/>
          </w:tcPr>
          <w:p w14:paraId="09FAEF47" w14:textId="002B51E5"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.235**</w:t>
            </w:r>
          </w:p>
        </w:tc>
        <w:tc>
          <w:tcPr>
            <w:tcW w:w="0" w:type="auto"/>
            <w:vAlign w:val="center"/>
          </w:tcPr>
          <w:p w14:paraId="3E9A518C" w14:textId="18F17770"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.096*</w:t>
            </w:r>
          </w:p>
        </w:tc>
        <w:tc>
          <w:tcPr>
            <w:tcW w:w="0" w:type="auto"/>
            <w:vAlign w:val="center"/>
          </w:tcPr>
          <w:p w14:paraId="6D113257" w14:textId="027FD4D7"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.184**</w:t>
            </w:r>
          </w:p>
        </w:tc>
        <w:tc>
          <w:tcPr>
            <w:tcW w:w="0" w:type="auto"/>
            <w:vAlign w:val="center"/>
          </w:tcPr>
          <w:p w14:paraId="7282A722" w14:textId="7D14F315"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.150**</w:t>
            </w:r>
          </w:p>
        </w:tc>
        <w:tc>
          <w:tcPr>
            <w:tcW w:w="0" w:type="auto"/>
            <w:vAlign w:val="center"/>
          </w:tcPr>
          <w:p w14:paraId="4A3051ED" w14:textId="27BE5AC2"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.175**</w:t>
            </w:r>
          </w:p>
        </w:tc>
        <w:tc>
          <w:tcPr>
            <w:tcW w:w="0" w:type="auto"/>
            <w:vAlign w:val="center"/>
          </w:tcPr>
          <w:p w14:paraId="7ECF2AF6" w14:textId="4CAC9746"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.174**</w:t>
            </w:r>
          </w:p>
        </w:tc>
        <w:tc>
          <w:tcPr>
            <w:tcW w:w="0" w:type="auto"/>
            <w:vAlign w:val="center"/>
          </w:tcPr>
          <w:p w14:paraId="447B66D3" w14:textId="14342742"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.157**</w:t>
            </w:r>
          </w:p>
        </w:tc>
        <w:tc>
          <w:tcPr>
            <w:tcW w:w="0" w:type="auto"/>
            <w:vAlign w:val="center"/>
          </w:tcPr>
          <w:p w14:paraId="766FC3F5" w14:textId="2FD2C5C0"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.188**</w:t>
            </w:r>
          </w:p>
        </w:tc>
        <w:tc>
          <w:tcPr>
            <w:tcW w:w="0" w:type="auto"/>
            <w:vAlign w:val="center"/>
          </w:tcPr>
          <w:p w14:paraId="6F52B1A5" w14:textId="43F9281F"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.200**</w:t>
            </w:r>
          </w:p>
        </w:tc>
        <w:tc>
          <w:tcPr>
            <w:tcW w:w="0" w:type="auto"/>
            <w:vAlign w:val="center"/>
          </w:tcPr>
          <w:p w14:paraId="7998684D" w14:textId="48851124"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w:t>
            </w:r>
          </w:p>
        </w:tc>
        <w:tc>
          <w:tcPr>
            <w:tcW w:w="0" w:type="auto"/>
            <w:vAlign w:val="center"/>
          </w:tcPr>
          <w:p w14:paraId="69B5EDC4" w14:textId="7F0EE5F2"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036F76B0" w14:textId="77777777"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6628E26D" w14:textId="77777777"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49835B0B" w14:textId="77777777"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4F48A0F8" w14:textId="77777777" w:rsidR="002C32E7" w:rsidRPr="0095209E" w:rsidRDefault="002C32E7" w:rsidP="002C32E7">
            <w:pPr>
              <w:suppressAutoHyphens/>
              <w:spacing w:line="100" w:lineRule="atLeast"/>
              <w:jc w:val="center"/>
              <w:rPr>
                <w:rFonts w:eastAsia="Calibri"/>
                <w:sz w:val="20"/>
                <w:szCs w:val="20"/>
                <w:lang w:val="es-ES"/>
              </w:rPr>
            </w:pPr>
          </w:p>
        </w:tc>
      </w:tr>
      <w:tr w:rsidR="002C32E7" w:rsidRPr="0095209E" w14:paraId="12ACE495" w14:textId="77777777" w:rsidTr="0095209E">
        <w:trPr>
          <w:trHeight w:hRule="exact" w:val="452"/>
        </w:trPr>
        <w:tc>
          <w:tcPr>
            <w:tcW w:w="0" w:type="auto"/>
            <w:vAlign w:val="center"/>
          </w:tcPr>
          <w:p w14:paraId="33E25DB7" w14:textId="33EF70CA" w:rsidR="002C32E7" w:rsidRPr="0095209E" w:rsidRDefault="002C32E7" w:rsidP="002C32E7">
            <w:pPr>
              <w:suppressAutoHyphens/>
              <w:spacing w:line="100" w:lineRule="atLeast"/>
              <w:rPr>
                <w:rFonts w:eastAsia="Calibri"/>
                <w:sz w:val="20"/>
                <w:szCs w:val="20"/>
                <w:lang w:val="es-ES"/>
              </w:rPr>
            </w:pPr>
            <w:r w:rsidRPr="0095209E">
              <w:rPr>
                <w:sz w:val="20"/>
                <w:szCs w:val="20"/>
                <w:lang w:val="es-ES"/>
              </w:rPr>
              <w:t>12. Agresividad verbal</w:t>
            </w:r>
          </w:p>
        </w:tc>
        <w:tc>
          <w:tcPr>
            <w:tcW w:w="0" w:type="auto"/>
            <w:vAlign w:val="center"/>
          </w:tcPr>
          <w:p w14:paraId="6FD775BA" w14:textId="03C6BFA4"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.188**</w:t>
            </w:r>
          </w:p>
        </w:tc>
        <w:tc>
          <w:tcPr>
            <w:tcW w:w="0" w:type="auto"/>
            <w:vAlign w:val="center"/>
          </w:tcPr>
          <w:p w14:paraId="525371FB" w14:textId="7AB2AA47"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.235**</w:t>
            </w:r>
          </w:p>
        </w:tc>
        <w:tc>
          <w:tcPr>
            <w:tcW w:w="0" w:type="auto"/>
            <w:vAlign w:val="center"/>
          </w:tcPr>
          <w:p w14:paraId="013C120E" w14:textId="333B4C5F"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.126**</w:t>
            </w:r>
          </w:p>
        </w:tc>
        <w:tc>
          <w:tcPr>
            <w:tcW w:w="0" w:type="auto"/>
            <w:vAlign w:val="center"/>
          </w:tcPr>
          <w:p w14:paraId="7405367F" w14:textId="04EDA59E"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.214*</w:t>
            </w:r>
          </w:p>
        </w:tc>
        <w:tc>
          <w:tcPr>
            <w:tcW w:w="0" w:type="auto"/>
            <w:vAlign w:val="center"/>
          </w:tcPr>
          <w:p w14:paraId="1727D022" w14:textId="2BF74E5B"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.147**</w:t>
            </w:r>
          </w:p>
        </w:tc>
        <w:tc>
          <w:tcPr>
            <w:tcW w:w="0" w:type="auto"/>
            <w:vAlign w:val="center"/>
          </w:tcPr>
          <w:p w14:paraId="02C63C74" w14:textId="4985B620"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.182**</w:t>
            </w:r>
          </w:p>
        </w:tc>
        <w:tc>
          <w:tcPr>
            <w:tcW w:w="0" w:type="auto"/>
            <w:vAlign w:val="center"/>
          </w:tcPr>
          <w:p w14:paraId="3B0B7D8C" w14:textId="29A8C4E4"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.231**</w:t>
            </w:r>
          </w:p>
        </w:tc>
        <w:tc>
          <w:tcPr>
            <w:tcW w:w="0" w:type="auto"/>
            <w:vAlign w:val="center"/>
          </w:tcPr>
          <w:p w14:paraId="0C654BAA" w14:textId="4A961B72"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.183**</w:t>
            </w:r>
          </w:p>
        </w:tc>
        <w:tc>
          <w:tcPr>
            <w:tcW w:w="0" w:type="auto"/>
            <w:vAlign w:val="center"/>
          </w:tcPr>
          <w:p w14:paraId="583C7913" w14:textId="7BA7BC3A"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.210**</w:t>
            </w:r>
          </w:p>
        </w:tc>
        <w:tc>
          <w:tcPr>
            <w:tcW w:w="0" w:type="auto"/>
            <w:vAlign w:val="center"/>
          </w:tcPr>
          <w:p w14:paraId="15DA3E28" w14:textId="6CECF8C6"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.233**</w:t>
            </w:r>
          </w:p>
        </w:tc>
        <w:tc>
          <w:tcPr>
            <w:tcW w:w="0" w:type="auto"/>
            <w:vAlign w:val="center"/>
          </w:tcPr>
          <w:p w14:paraId="2B58EC34" w14:textId="5A10BFEF"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.772**</w:t>
            </w:r>
          </w:p>
        </w:tc>
        <w:tc>
          <w:tcPr>
            <w:tcW w:w="0" w:type="auto"/>
            <w:vAlign w:val="center"/>
          </w:tcPr>
          <w:p w14:paraId="0E321132" w14:textId="4FA02557"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w:t>
            </w:r>
          </w:p>
        </w:tc>
        <w:tc>
          <w:tcPr>
            <w:tcW w:w="0" w:type="auto"/>
            <w:vAlign w:val="center"/>
          </w:tcPr>
          <w:p w14:paraId="31CA6B3B" w14:textId="77777777"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3D807586" w14:textId="77777777"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04296D46" w14:textId="77777777"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4451D6DE" w14:textId="77777777" w:rsidR="002C32E7" w:rsidRPr="0095209E" w:rsidRDefault="002C32E7" w:rsidP="002C32E7">
            <w:pPr>
              <w:suppressAutoHyphens/>
              <w:spacing w:line="100" w:lineRule="atLeast"/>
              <w:jc w:val="center"/>
              <w:rPr>
                <w:rFonts w:eastAsia="Calibri"/>
                <w:sz w:val="20"/>
                <w:szCs w:val="20"/>
                <w:lang w:val="es-ES"/>
              </w:rPr>
            </w:pPr>
          </w:p>
        </w:tc>
      </w:tr>
      <w:tr w:rsidR="002C32E7" w:rsidRPr="0095209E" w14:paraId="257E8F0B" w14:textId="77777777" w:rsidTr="0095209E">
        <w:trPr>
          <w:trHeight w:hRule="exact" w:val="452"/>
        </w:trPr>
        <w:tc>
          <w:tcPr>
            <w:tcW w:w="0" w:type="auto"/>
            <w:vAlign w:val="center"/>
          </w:tcPr>
          <w:p w14:paraId="5FC256FE" w14:textId="4DC55B90" w:rsidR="002C32E7" w:rsidRPr="0095209E" w:rsidRDefault="002C32E7" w:rsidP="002C32E7">
            <w:pPr>
              <w:suppressAutoHyphens/>
              <w:spacing w:line="100" w:lineRule="atLeast"/>
              <w:rPr>
                <w:rFonts w:eastAsia="Calibri"/>
                <w:sz w:val="20"/>
                <w:szCs w:val="20"/>
                <w:lang w:val="es-ES"/>
              </w:rPr>
            </w:pPr>
            <w:r w:rsidRPr="0095209E">
              <w:rPr>
                <w:sz w:val="20"/>
                <w:szCs w:val="20"/>
                <w:lang w:val="es-ES"/>
              </w:rPr>
              <w:t>13. Conducta prosocial</w:t>
            </w:r>
          </w:p>
        </w:tc>
        <w:tc>
          <w:tcPr>
            <w:tcW w:w="0" w:type="auto"/>
            <w:vAlign w:val="center"/>
          </w:tcPr>
          <w:p w14:paraId="331D068B" w14:textId="27567ECD"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-.138**</w:t>
            </w:r>
          </w:p>
        </w:tc>
        <w:tc>
          <w:tcPr>
            <w:tcW w:w="0" w:type="auto"/>
            <w:vAlign w:val="center"/>
          </w:tcPr>
          <w:p w14:paraId="07092B57" w14:textId="3C4B4FFF"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-.102*</w:t>
            </w:r>
          </w:p>
        </w:tc>
        <w:tc>
          <w:tcPr>
            <w:tcW w:w="0" w:type="auto"/>
            <w:vAlign w:val="center"/>
          </w:tcPr>
          <w:p w14:paraId="613044A1" w14:textId="3048B517"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.141**</w:t>
            </w:r>
          </w:p>
        </w:tc>
        <w:tc>
          <w:tcPr>
            <w:tcW w:w="0" w:type="auto"/>
            <w:vAlign w:val="center"/>
          </w:tcPr>
          <w:p w14:paraId="711BD259" w14:textId="705809D2"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-.156**</w:t>
            </w:r>
          </w:p>
        </w:tc>
        <w:tc>
          <w:tcPr>
            <w:tcW w:w="0" w:type="auto"/>
            <w:vAlign w:val="center"/>
          </w:tcPr>
          <w:p w14:paraId="56E84D93" w14:textId="7C7DAEA7" w:rsidR="002C32E7" w:rsidRPr="0095209E" w:rsidRDefault="002C32E7" w:rsidP="002C32E7">
            <w:pPr>
              <w:suppressAutoHyphens/>
              <w:spacing w:line="100" w:lineRule="atLeast"/>
              <w:jc w:val="center"/>
              <w:rPr>
                <w:rFonts w:eastAsia="Calibri"/>
                <w:sz w:val="20"/>
                <w:szCs w:val="20"/>
                <w:lang w:val="es-ES"/>
              </w:rPr>
            </w:pPr>
            <w:r w:rsidRPr="0095209E">
              <w:rPr>
                <w:spacing w:val="-1"/>
                <w:sz w:val="20"/>
                <w:szCs w:val="20"/>
                <w:lang w:val="es-ES"/>
              </w:rPr>
              <w:t>-.146**</w:t>
            </w:r>
          </w:p>
        </w:tc>
        <w:tc>
          <w:tcPr>
            <w:tcW w:w="0" w:type="auto"/>
            <w:vAlign w:val="center"/>
          </w:tcPr>
          <w:p w14:paraId="35D116B7" w14:textId="7CA23620"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-.108*</w:t>
            </w:r>
          </w:p>
        </w:tc>
        <w:tc>
          <w:tcPr>
            <w:tcW w:w="0" w:type="auto"/>
            <w:vAlign w:val="center"/>
          </w:tcPr>
          <w:p w14:paraId="1404670D" w14:textId="76035465"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-.112**</w:t>
            </w:r>
          </w:p>
        </w:tc>
        <w:tc>
          <w:tcPr>
            <w:tcW w:w="0" w:type="auto"/>
            <w:vAlign w:val="center"/>
          </w:tcPr>
          <w:p w14:paraId="1E438C0B" w14:textId="78C9A0BF"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-.091*</w:t>
            </w:r>
          </w:p>
        </w:tc>
        <w:tc>
          <w:tcPr>
            <w:tcW w:w="0" w:type="auto"/>
            <w:vAlign w:val="center"/>
          </w:tcPr>
          <w:p w14:paraId="7702223D" w14:textId="6A28BB8A"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-.147**</w:t>
            </w:r>
          </w:p>
        </w:tc>
        <w:tc>
          <w:tcPr>
            <w:tcW w:w="0" w:type="auto"/>
            <w:vAlign w:val="center"/>
          </w:tcPr>
          <w:p w14:paraId="458366F0" w14:textId="37AF9C96"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-.149**</w:t>
            </w:r>
          </w:p>
        </w:tc>
        <w:tc>
          <w:tcPr>
            <w:tcW w:w="0" w:type="auto"/>
            <w:vAlign w:val="center"/>
          </w:tcPr>
          <w:p w14:paraId="40818BFC" w14:textId="6716FF35"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-.234**</w:t>
            </w:r>
          </w:p>
        </w:tc>
        <w:tc>
          <w:tcPr>
            <w:tcW w:w="0" w:type="auto"/>
            <w:vAlign w:val="center"/>
          </w:tcPr>
          <w:p w14:paraId="3D9034C7" w14:textId="7849707D"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-.253**</w:t>
            </w:r>
          </w:p>
        </w:tc>
        <w:tc>
          <w:tcPr>
            <w:tcW w:w="0" w:type="auto"/>
            <w:vAlign w:val="center"/>
          </w:tcPr>
          <w:p w14:paraId="60457C59" w14:textId="77777777"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64C05C2A" w14:textId="77777777"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429C9E6F" w14:textId="77777777"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0D76E6BD" w14:textId="77777777" w:rsidR="002C32E7" w:rsidRPr="0095209E" w:rsidRDefault="002C32E7" w:rsidP="002C32E7">
            <w:pPr>
              <w:suppressAutoHyphens/>
              <w:spacing w:line="100" w:lineRule="atLeast"/>
              <w:jc w:val="center"/>
              <w:rPr>
                <w:rFonts w:eastAsia="Calibri"/>
                <w:sz w:val="20"/>
                <w:szCs w:val="20"/>
                <w:lang w:val="es-ES"/>
              </w:rPr>
            </w:pPr>
          </w:p>
        </w:tc>
      </w:tr>
      <w:tr w:rsidR="002C32E7" w:rsidRPr="0095209E" w14:paraId="5CB3D3DA" w14:textId="77777777" w:rsidTr="0095209E">
        <w:trPr>
          <w:trHeight w:hRule="exact" w:val="452"/>
        </w:trPr>
        <w:tc>
          <w:tcPr>
            <w:tcW w:w="0" w:type="auto"/>
            <w:vAlign w:val="center"/>
          </w:tcPr>
          <w:p w14:paraId="1BE76FAC" w14:textId="346D5C41" w:rsidR="002C32E7" w:rsidRPr="0095209E" w:rsidRDefault="002C32E7" w:rsidP="002C32E7">
            <w:pPr>
              <w:suppressAutoHyphens/>
              <w:spacing w:line="100" w:lineRule="atLeast"/>
              <w:rPr>
                <w:rFonts w:eastAsia="Calibri"/>
                <w:sz w:val="20"/>
                <w:szCs w:val="20"/>
                <w:lang w:val="es-ES"/>
              </w:rPr>
            </w:pPr>
            <w:r w:rsidRPr="0095209E">
              <w:rPr>
                <w:sz w:val="20"/>
                <w:szCs w:val="20"/>
                <w:lang w:val="es-ES"/>
              </w:rPr>
              <w:t>14. Inestabilidad emocional</w:t>
            </w:r>
          </w:p>
        </w:tc>
        <w:tc>
          <w:tcPr>
            <w:tcW w:w="0" w:type="auto"/>
            <w:vAlign w:val="center"/>
          </w:tcPr>
          <w:p w14:paraId="000B394A" w14:textId="6278F25E"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.112**</w:t>
            </w:r>
          </w:p>
        </w:tc>
        <w:tc>
          <w:tcPr>
            <w:tcW w:w="0" w:type="auto"/>
            <w:vAlign w:val="center"/>
          </w:tcPr>
          <w:p w14:paraId="22DFC088" w14:textId="54F6E84C"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.144**</w:t>
            </w:r>
          </w:p>
        </w:tc>
        <w:tc>
          <w:tcPr>
            <w:tcW w:w="0" w:type="auto"/>
            <w:vAlign w:val="center"/>
          </w:tcPr>
          <w:p w14:paraId="2680675B" w14:textId="1F3A97E2"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.091*</w:t>
            </w:r>
          </w:p>
        </w:tc>
        <w:tc>
          <w:tcPr>
            <w:tcW w:w="0" w:type="auto"/>
            <w:vAlign w:val="center"/>
          </w:tcPr>
          <w:p w14:paraId="61FCA93D" w14:textId="25E17EA3"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.139**</w:t>
            </w:r>
          </w:p>
        </w:tc>
        <w:tc>
          <w:tcPr>
            <w:tcW w:w="0" w:type="auto"/>
            <w:vAlign w:val="center"/>
          </w:tcPr>
          <w:p w14:paraId="57846A3E" w14:textId="56C3FC45"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.063</w:t>
            </w:r>
          </w:p>
        </w:tc>
        <w:tc>
          <w:tcPr>
            <w:tcW w:w="0" w:type="auto"/>
            <w:vAlign w:val="center"/>
          </w:tcPr>
          <w:p w14:paraId="79E5A633" w14:textId="37B1C0BA"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.111*</w:t>
            </w:r>
          </w:p>
        </w:tc>
        <w:tc>
          <w:tcPr>
            <w:tcW w:w="0" w:type="auto"/>
            <w:vAlign w:val="center"/>
          </w:tcPr>
          <w:p w14:paraId="6CC9E05A" w14:textId="393B7B5C"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.161**</w:t>
            </w:r>
          </w:p>
        </w:tc>
        <w:tc>
          <w:tcPr>
            <w:tcW w:w="0" w:type="auto"/>
            <w:vAlign w:val="center"/>
          </w:tcPr>
          <w:p w14:paraId="2B065A0C" w14:textId="39F83F74"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.139**</w:t>
            </w:r>
          </w:p>
        </w:tc>
        <w:tc>
          <w:tcPr>
            <w:tcW w:w="0" w:type="auto"/>
            <w:vAlign w:val="center"/>
          </w:tcPr>
          <w:p w14:paraId="19DD8EA5" w14:textId="03A7267A"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.134**</w:t>
            </w:r>
          </w:p>
        </w:tc>
        <w:tc>
          <w:tcPr>
            <w:tcW w:w="0" w:type="auto"/>
            <w:vAlign w:val="center"/>
          </w:tcPr>
          <w:p w14:paraId="68CABDEC" w14:textId="3E7BC7EC"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.151**</w:t>
            </w:r>
          </w:p>
        </w:tc>
        <w:tc>
          <w:tcPr>
            <w:tcW w:w="0" w:type="auto"/>
            <w:vAlign w:val="center"/>
          </w:tcPr>
          <w:p w14:paraId="7B395521" w14:textId="2DB18C04"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.673**</w:t>
            </w:r>
          </w:p>
        </w:tc>
        <w:tc>
          <w:tcPr>
            <w:tcW w:w="0" w:type="auto"/>
            <w:vAlign w:val="center"/>
          </w:tcPr>
          <w:p w14:paraId="18B3D1AF" w14:textId="0F5542C8"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.615**</w:t>
            </w:r>
          </w:p>
        </w:tc>
        <w:tc>
          <w:tcPr>
            <w:tcW w:w="0" w:type="auto"/>
            <w:vAlign w:val="center"/>
          </w:tcPr>
          <w:p w14:paraId="457FE2E4" w14:textId="54EFB784"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-.171*</w:t>
            </w:r>
          </w:p>
        </w:tc>
        <w:tc>
          <w:tcPr>
            <w:tcW w:w="0" w:type="auto"/>
            <w:vAlign w:val="center"/>
          </w:tcPr>
          <w:p w14:paraId="56302722" w14:textId="0B601A06"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w:t>
            </w:r>
          </w:p>
        </w:tc>
        <w:tc>
          <w:tcPr>
            <w:tcW w:w="0" w:type="auto"/>
            <w:vAlign w:val="center"/>
          </w:tcPr>
          <w:p w14:paraId="105A292F" w14:textId="77777777" w:rsidR="002C32E7" w:rsidRPr="0095209E" w:rsidRDefault="002C32E7" w:rsidP="002C32E7">
            <w:pPr>
              <w:suppressAutoHyphens/>
              <w:spacing w:line="100" w:lineRule="atLeast"/>
              <w:jc w:val="center"/>
              <w:rPr>
                <w:rFonts w:eastAsia="Calibri"/>
                <w:sz w:val="20"/>
                <w:szCs w:val="20"/>
                <w:lang w:val="es-ES"/>
              </w:rPr>
            </w:pPr>
          </w:p>
        </w:tc>
        <w:tc>
          <w:tcPr>
            <w:tcW w:w="0" w:type="auto"/>
            <w:vAlign w:val="center"/>
          </w:tcPr>
          <w:p w14:paraId="6DEA9DC7" w14:textId="77777777" w:rsidR="002C32E7" w:rsidRPr="0095209E" w:rsidRDefault="002C32E7" w:rsidP="002C32E7">
            <w:pPr>
              <w:suppressAutoHyphens/>
              <w:spacing w:line="100" w:lineRule="atLeast"/>
              <w:jc w:val="center"/>
              <w:rPr>
                <w:rFonts w:eastAsia="Calibri"/>
                <w:sz w:val="20"/>
                <w:szCs w:val="20"/>
                <w:lang w:val="es-ES"/>
              </w:rPr>
            </w:pPr>
          </w:p>
        </w:tc>
      </w:tr>
      <w:tr w:rsidR="002C32E7" w:rsidRPr="0095209E" w14:paraId="7CD525E6" w14:textId="77777777" w:rsidTr="0095209E">
        <w:trPr>
          <w:trHeight w:hRule="exact" w:val="452"/>
        </w:trPr>
        <w:tc>
          <w:tcPr>
            <w:tcW w:w="0" w:type="auto"/>
            <w:vAlign w:val="center"/>
          </w:tcPr>
          <w:p w14:paraId="547B48EA" w14:textId="00D30E35" w:rsidR="002C32E7" w:rsidRPr="0095209E" w:rsidRDefault="002C32E7" w:rsidP="002C32E7">
            <w:pPr>
              <w:suppressAutoHyphens/>
              <w:spacing w:line="100" w:lineRule="atLeast"/>
              <w:rPr>
                <w:rFonts w:eastAsia="Calibri"/>
                <w:sz w:val="20"/>
                <w:szCs w:val="20"/>
                <w:lang w:val="es-ES"/>
              </w:rPr>
            </w:pPr>
            <w:r w:rsidRPr="0095209E">
              <w:rPr>
                <w:sz w:val="20"/>
                <w:szCs w:val="20"/>
                <w:lang w:val="es-ES"/>
              </w:rPr>
              <w:t>15. Ideaciones suicidas positiva</w:t>
            </w:r>
          </w:p>
        </w:tc>
        <w:tc>
          <w:tcPr>
            <w:tcW w:w="0" w:type="auto"/>
            <w:vAlign w:val="center"/>
          </w:tcPr>
          <w:p w14:paraId="51A0151D" w14:textId="3BD4B94E"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-.187**</w:t>
            </w:r>
          </w:p>
        </w:tc>
        <w:tc>
          <w:tcPr>
            <w:tcW w:w="0" w:type="auto"/>
            <w:vAlign w:val="center"/>
          </w:tcPr>
          <w:p w14:paraId="331FA230" w14:textId="6AD5CC10"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-.142**</w:t>
            </w:r>
          </w:p>
        </w:tc>
        <w:tc>
          <w:tcPr>
            <w:tcW w:w="0" w:type="auto"/>
            <w:vAlign w:val="center"/>
          </w:tcPr>
          <w:p w14:paraId="3EDC1937" w14:textId="2702683E"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.132**</w:t>
            </w:r>
          </w:p>
        </w:tc>
        <w:tc>
          <w:tcPr>
            <w:tcW w:w="0" w:type="auto"/>
            <w:vAlign w:val="center"/>
          </w:tcPr>
          <w:p w14:paraId="46E65186" w14:textId="2265D1B1"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-.154**</w:t>
            </w:r>
          </w:p>
        </w:tc>
        <w:tc>
          <w:tcPr>
            <w:tcW w:w="0" w:type="auto"/>
            <w:vAlign w:val="center"/>
          </w:tcPr>
          <w:p w14:paraId="4B6F072E" w14:textId="372A2B7F" w:rsidR="002C32E7" w:rsidRPr="0095209E" w:rsidRDefault="002C32E7" w:rsidP="002C32E7">
            <w:pPr>
              <w:suppressAutoHyphens/>
              <w:spacing w:line="100" w:lineRule="atLeast"/>
              <w:jc w:val="center"/>
              <w:rPr>
                <w:rFonts w:eastAsia="Calibri"/>
                <w:sz w:val="20"/>
                <w:szCs w:val="20"/>
                <w:lang w:val="es-ES"/>
              </w:rPr>
            </w:pPr>
            <w:r w:rsidRPr="0095209E">
              <w:rPr>
                <w:spacing w:val="-1"/>
                <w:sz w:val="20"/>
                <w:szCs w:val="20"/>
                <w:lang w:val="es-ES"/>
              </w:rPr>
              <w:t>-.157**</w:t>
            </w:r>
          </w:p>
        </w:tc>
        <w:tc>
          <w:tcPr>
            <w:tcW w:w="0" w:type="auto"/>
            <w:vAlign w:val="center"/>
          </w:tcPr>
          <w:p w14:paraId="1A0C4212" w14:textId="67D389D1"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-.230**</w:t>
            </w:r>
          </w:p>
        </w:tc>
        <w:tc>
          <w:tcPr>
            <w:tcW w:w="0" w:type="auto"/>
            <w:vAlign w:val="center"/>
          </w:tcPr>
          <w:p w14:paraId="74EF4E21" w14:textId="395AF93C"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-.176**</w:t>
            </w:r>
          </w:p>
        </w:tc>
        <w:tc>
          <w:tcPr>
            <w:tcW w:w="0" w:type="auto"/>
            <w:vAlign w:val="center"/>
          </w:tcPr>
          <w:p w14:paraId="3699BAD1" w14:textId="72183242"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-.120**</w:t>
            </w:r>
          </w:p>
        </w:tc>
        <w:tc>
          <w:tcPr>
            <w:tcW w:w="0" w:type="auto"/>
            <w:vAlign w:val="center"/>
          </w:tcPr>
          <w:p w14:paraId="5BC46DFA" w14:textId="254D0869"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-.163**</w:t>
            </w:r>
          </w:p>
        </w:tc>
        <w:tc>
          <w:tcPr>
            <w:tcW w:w="0" w:type="auto"/>
            <w:vAlign w:val="center"/>
          </w:tcPr>
          <w:p w14:paraId="205681BA" w14:textId="1748767E"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-.213**</w:t>
            </w:r>
          </w:p>
        </w:tc>
        <w:tc>
          <w:tcPr>
            <w:tcW w:w="0" w:type="auto"/>
            <w:vAlign w:val="center"/>
          </w:tcPr>
          <w:p w14:paraId="1832FD2B" w14:textId="51F68B27"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-.165**</w:t>
            </w:r>
          </w:p>
        </w:tc>
        <w:tc>
          <w:tcPr>
            <w:tcW w:w="0" w:type="auto"/>
            <w:vAlign w:val="center"/>
          </w:tcPr>
          <w:p w14:paraId="18A92C7A" w14:textId="7A4526AA"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-.179**</w:t>
            </w:r>
          </w:p>
        </w:tc>
        <w:tc>
          <w:tcPr>
            <w:tcW w:w="0" w:type="auto"/>
            <w:vAlign w:val="center"/>
          </w:tcPr>
          <w:p w14:paraId="2D1BF447" w14:textId="49E93D3F"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.112*</w:t>
            </w:r>
          </w:p>
        </w:tc>
        <w:tc>
          <w:tcPr>
            <w:tcW w:w="0" w:type="auto"/>
            <w:vAlign w:val="center"/>
          </w:tcPr>
          <w:p w14:paraId="247704DD" w14:textId="13DF6C89"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-.130**</w:t>
            </w:r>
          </w:p>
        </w:tc>
        <w:tc>
          <w:tcPr>
            <w:tcW w:w="0" w:type="auto"/>
            <w:vAlign w:val="center"/>
          </w:tcPr>
          <w:p w14:paraId="05024730" w14:textId="7D5384A7"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w:t>
            </w:r>
          </w:p>
        </w:tc>
        <w:tc>
          <w:tcPr>
            <w:tcW w:w="0" w:type="auto"/>
            <w:vAlign w:val="center"/>
          </w:tcPr>
          <w:p w14:paraId="4371B90E" w14:textId="77777777" w:rsidR="002C32E7" w:rsidRPr="0095209E" w:rsidRDefault="002C32E7" w:rsidP="002C32E7">
            <w:pPr>
              <w:suppressAutoHyphens/>
              <w:spacing w:line="100" w:lineRule="atLeast"/>
              <w:jc w:val="center"/>
              <w:rPr>
                <w:rFonts w:eastAsia="Calibri"/>
                <w:sz w:val="20"/>
                <w:szCs w:val="20"/>
                <w:lang w:val="es-ES"/>
              </w:rPr>
            </w:pPr>
          </w:p>
        </w:tc>
      </w:tr>
      <w:tr w:rsidR="002C32E7" w:rsidRPr="0095209E" w14:paraId="0E0D19C9" w14:textId="77777777" w:rsidTr="0095209E">
        <w:trPr>
          <w:trHeight w:hRule="exact" w:val="452"/>
        </w:trPr>
        <w:tc>
          <w:tcPr>
            <w:tcW w:w="0" w:type="auto"/>
            <w:vAlign w:val="center"/>
          </w:tcPr>
          <w:p w14:paraId="3CF59CE2" w14:textId="0815066A" w:rsidR="002C32E7" w:rsidRPr="0095209E" w:rsidRDefault="002C32E7" w:rsidP="002C32E7">
            <w:pPr>
              <w:suppressAutoHyphens/>
              <w:spacing w:line="100" w:lineRule="atLeast"/>
              <w:rPr>
                <w:rFonts w:eastAsia="Calibri"/>
                <w:sz w:val="20"/>
                <w:szCs w:val="20"/>
                <w:lang w:val="es-ES"/>
              </w:rPr>
            </w:pPr>
            <w:r w:rsidRPr="0095209E">
              <w:rPr>
                <w:sz w:val="20"/>
                <w:szCs w:val="20"/>
                <w:lang w:val="es-ES"/>
              </w:rPr>
              <w:lastRenderedPageBreak/>
              <w:t>16. Ideaciones suicidas negativa</w:t>
            </w:r>
          </w:p>
        </w:tc>
        <w:tc>
          <w:tcPr>
            <w:tcW w:w="0" w:type="auto"/>
            <w:vAlign w:val="center"/>
          </w:tcPr>
          <w:p w14:paraId="71A3FCC4" w14:textId="29A3BAD8"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.271**</w:t>
            </w:r>
          </w:p>
        </w:tc>
        <w:tc>
          <w:tcPr>
            <w:tcW w:w="0" w:type="auto"/>
            <w:vAlign w:val="center"/>
          </w:tcPr>
          <w:p w14:paraId="43E54F55" w14:textId="0943BC00"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.282**</w:t>
            </w:r>
          </w:p>
        </w:tc>
        <w:tc>
          <w:tcPr>
            <w:tcW w:w="0" w:type="auto"/>
            <w:vAlign w:val="center"/>
          </w:tcPr>
          <w:p w14:paraId="11DAD91B" w14:textId="06900313"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.189**</w:t>
            </w:r>
          </w:p>
        </w:tc>
        <w:tc>
          <w:tcPr>
            <w:tcW w:w="0" w:type="auto"/>
            <w:vAlign w:val="center"/>
          </w:tcPr>
          <w:p w14:paraId="7BAC3EE4" w14:textId="5DD2B6C8"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.282**</w:t>
            </w:r>
          </w:p>
        </w:tc>
        <w:tc>
          <w:tcPr>
            <w:tcW w:w="0" w:type="auto"/>
            <w:vAlign w:val="center"/>
          </w:tcPr>
          <w:p w14:paraId="4B803065" w14:textId="77BB1069"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.229**</w:t>
            </w:r>
          </w:p>
        </w:tc>
        <w:tc>
          <w:tcPr>
            <w:tcW w:w="0" w:type="auto"/>
            <w:vAlign w:val="center"/>
          </w:tcPr>
          <w:p w14:paraId="76DE4E3A" w14:textId="5E7192B7"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.246**</w:t>
            </w:r>
          </w:p>
        </w:tc>
        <w:tc>
          <w:tcPr>
            <w:tcW w:w="0" w:type="auto"/>
            <w:vAlign w:val="center"/>
          </w:tcPr>
          <w:p w14:paraId="47D17F34" w14:textId="46165903"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.282**</w:t>
            </w:r>
          </w:p>
        </w:tc>
        <w:tc>
          <w:tcPr>
            <w:tcW w:w="0" w:type="auto"/>
            <w:vAlign w:val="center"/>
          </w:tcPr>
          <w:p w14:paraId="2BE4B6A5" w14:textId="62619C75"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.199**</w:t>
            </w:r>
          </w:p>
        </w:tc>
        <w:tc>
          <w:tcPr>
            <w:tcW w:w="0" w:type="auto"/>
            <w:vAlign w:val="center"/>
          </w:tcPr>
          <w:p w14:paraId="5B920C73" w14:textId="55BC2293"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.270**</w:t>
            </w:r>
          </w:p>
        </w:tc>
        <w:tc>
          <w:tcPr>
            <w:tcW w:w="0" w:type="auto"/>
            <w:vAlign w:val="center"/>
          </w:tcPr>
          <w:p w14:paraId="7ED78D40" w14:textId="2D8734B9"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.309**</w:t>
            </w:r>
          </w:p>
        </w:tc>
        <w:tc>
          <w:tcPr>
            <w:tcW w:w="0" w:type="auto"/>
            <w:vAlign w:val="center"/>
          </w:tcPr>
          <w:p w14:paraId="34C413AC" w14:textId="36FE7673"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.130**</w:t>
            </w:r>
          </w:p>
        </w:tc>
        <w:tc>
          <w:tcPr>
            <w:tcW w:w="0" w:type="auto"/>
            <w:vAlign w:val="center"/>
          </w:tcPr>
          <w:p w14:paraId="35905A6D" w14:textId="5B12DA11"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.146**</w:t>
            </w:r>
          </w:p>
        </w:tc>
        <w:tc>
          <w:tcPr>
            <w:tcW w:w="0" w:type="auto"/>
            <w:vAlign w:val="center"/>
          </w:tcPr>
          <w:p w14:paraId="7DE9D6A5" w14:textId="7D44922B"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-.06</w:t>
            </w:r>
          </w:p>
        </w:tc>
        <w:tc>
          <w:tcPr>
            <w:tcW w:w="0" w:type="auto"/>
            <w:vAlign w:val="center"/>
          </w:tcPr>
          <w:p w14:paraId="0EDC69FC" w14:textId="4AA86D36"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.250**</w:t>
            </w:r>
          </w:p>
        </w:tc>
        <w:tc>
          <w:tcPr>
            <w:tcW w:w="0" w:type="auto"/>
            <w:vAlign w:val="center"/>
          </w:tcPr>
          <w:p w14:paraId="38DAADB5" w14:textId="3A72988B"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-.287**</w:t>
            </w:r>
          </w:p>
        </w:tc>
        <w:tc>
          <w:tcPr>
            <w:tcW w:w="0" w:type="auto"/>
            <w:vAlign w:val="center"/>
          </w:tcPr>
          <w:p w14:paraId="3846C555" w14:textId="5952E3DC"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w:t>
            </w:r>
          </w:p>
        </w:tc>
      </w:tr>
      <w:tr w:rsidR="002C32E7" w:rsidRPr="0095209E" w14:paraId="0BF4DBC7" w14:textId="77777777" w:rsidTr="0095209E">
        <w:trPr>
          <w:trHeight w:hRule="exact" w:val="453"/>
        </w:trPr>
        <w:tc>
          <w:tcPr>
            <w:tcW w:w="0" w:type="auto"/>
            <w:tcBorders>
              <w:bottom w:val="single" w:sz="4" w:space="0" w:color="auto"/>
            </w:tcBorders>
            <w:vAlign w:val="center"/>
          </w:tcPr>
          <w:p w14:paraId="214729AF" w14:textId="7D0F3E01" w:rsidR="002C32E7" w:rsidRPr="0095209E" w:rsidRDefault="002C32E7" w:rsidP="002C32E7">
            <w:pPr>
              <w:suppressAutoHyphens/>
              <w:spacing w:line="100" w:lineRule="atLeast"/>
              <w:rPr>
                <w:color w:val="000000"/>
                <w:sz w:val="20"/>
                <w:szCs w:val="20"/>
                <w:u w:color="000000"/>
                <w:bdr w:val="nil"/>
                <w:lang w:val="en-US"/>
                <w14:textOutline w14:w="0" w14:cap="flat" w14:cmpd="sng" w14:algn="ctr">
                  <w14:noFill/>
                  <w14:prstDash w14:val="solid"/>
                  <w14:bevel/>
                </w14:textOutline>
              </w:rPr>
            </w:pPr>
            <w:r w:rsidRPr="0095209E">
              <w:rPr>
                <w:sz w:val="20"/>
                <w:szCs w:val="20"/>
                <w:lang w:val="es-ES"/>
              </w:rPr>
              <w:t>17. Autoestima</w:t>
            </w:r>
          </w:p>
        </w:tc>
        <w:tc>
          <w:tcPr>
            <w:tcW w:w="0" w:type="auto"/>
            <w:tcBorders>
              <w:bottom w:val="single" w:sz="4" w:space="0" w:color="auto"/>
            </w:tcBorders>
            <w:vAlign w:val="center"/>
          </w:tcPr>
          <w:p w14:paraId="0F14ECD0" w14:textId="4CCA9497"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-.089*</w:t>
            </w:r>
          </w:p>
        </w:tc>
        <w:tc>
          <w:tcPr>
            <w:tcW w:w="0" w:type="auto"/>
            <w:tcBorders>
              <w:bottom w:val="single" w:sz="4" w:space="0" w:color="auto"/>
            </w:tcBorders>
            <w:vAlign w:val="center"/>
          </w:tcPr>
          <w:p w14:paraId="4AB42DEA" w14:textId="12B331CF"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-.078</w:t>
            </w:r>
          </w:p>
        </w:tc>
        <w:tc>
          <w:tcPr>
            <w:tcW w:w="0" w:type="auto"/>
            <w:tcBorders>
              <w:bottom w:val="single" w:sz="4" w:space="0" w:color="auto"/>
            </w:tcBorders>
            <w:vAlign w:val="center"/>
          </w:tcPr>
          <w:p w14:paraId="69E9CDB1" w14:textId="7F8A9A94"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-.081</w:t>
            </w:r>
          </w:p>
        </w:tc>
        <w:tc>
          <w:tcPr>
            <w:tcW w:w="0" w:type="auto"/>
            <w:tcBorders>
              <w:bottom w:val="single" w:sz="4" w:space="0" w:color="auto"/>
            </w:tcBorders>
            <w:vAlign w:val="center"/>
          </w:tcPr>
          <w:p w14:paraId="02BD6469" w14:textId="03590B71"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-.108*</w:t>
            </w:r>
          </w:p>
        </w:tc>
        <w:tc>
          <w:tcPr>
            <w:tcW w:w="0" w:type="auto"/>
            <w:tcBorders>
              <w:bottom w:val="single" w:sz="4" w:space="0" w:color="auto"/>
            </w:tcBorders>
            <w:vAlign w:val="center"/>
          </w:tcPr>
          <w:p w14:paraId="5564FF1D" w14:textId="0A18A248"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-.085</w:t>
            </w:r>
          </w:p>
        </w:tc>
        <w:tc>
          <w:tcPr>
            <w:tcW w:w="0" w:type="auto"/>
            <w:tcBorders>
              <w:bottom w:val="single" w:sz="4" w:space="0" w:color="auto"/>
            </w:tcBorders>
            <w:vAlign w:val="center"/>
          </w:tcPr>
          <w:p w14:paraId="4DE1B6E3" w14:textId="6E16486B"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-.102*</w:t>
            </w:r>
          </w:p>
        </w:tc>
        <w:tc>
          <w:tcPr>
            <w:tcW w:w="0" w:type="auto"/>
            <w:tcBorders>
              <w:bottom w:val="single" w:sz="4" w:space="0" w:color="auto"/>
            </w:tcBorders>
            <w:vAlign w:val="center"/>
          </w:tcPr>
          <w:p w14:paraId="4F20DB0C" w14:textId="67E52DC6"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-.134**</w:t>
            </w:r>
          </w:p>
        </w:tc>
        <w:tc>
          <w:tcPr>
            <w:tcW w:w="0" w:type="auto"/>
            <w:tcBorders>
              <w:bottom w:val="single" w:sz="4" w:space="0" w:color="auto"/>
            </w:tcBorders>
            <w:vAlign w:val="center"/>
          </w:tcPr>
          <w:p w14:paraId="2291E580" w14:textId="5E19FD57"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-.067</w:t>
            </w:r>
          </w:p>
        </w:tc>
        <w:tc>
          <w:tcPr>
            <w:tcW w:w="0" w:type="auto"/>
            <w:tcBorders>
              <w:bottom w:val="single" w:sz="4" w:space="0" w:color="auto"/>
            </w:tcBorders>
            <w:vAlign w:val="center"/>
          </w:tcPr>
          <w:p w14:paraId="1AF39256" w14:textId="2618C87A"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-.098*</w:t>
            </w:r>
          </w:p>
        </w:tc>
        <w:tc>
          <w:tcPr>
            <w:tcW w:w="0" w:type="auto"/>
            <w:tcBorders>
              <w:bottom w:val="single" w:sz="4" w:space="0" w:color="auto"/>
            </w:tcBorders>
            <w:vAlign w:val="center"/>
          </w:tcPr>
          <w:p w14:paraId="3C0DAD20" w14:textId="1FCFA9F1"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-.120**</w:t>
            </w:r>
          </w:p>
        </w:tc>
        <w:tc>
          <w:tcPr>
            <w:tcW w:w="0" w:type="auto"/>
            <w:tcBorders>
              <w:bottom w:val="single" w:sz="4" w:space="0" w:color="auto"/>
            </w:tcBorders>
            <w:vAlign w:val="center"/>
          </w:tcPr>
          <w:p w14:paraId="0E51AA0E" w14:textId="7CB7502C" w:rsidR="002C32E7" w:rsidRPr="0095209E" w:rsidRDefault="002C32E7" w:rsidP="002C32E7">
            <w:pPr>
              <w:suppressAutoHyphens/>
              <w:spacing w:line="100" w:lineRule="atLeast"/>
              <w:jc w:val="center"/>
              <w:rPr>
                <w:rFonts w:eastAsia="Calibri"/>
                <w:sz w:val="20"/>
                <w:szCs w:val="20"/>
                <w:lang w:val="es-ES"/>
              </w:rPr>
            </w:pPr>
            <w:r w:rsidRPr="0095209E">
              <w:rPr>
                <w:sz w:val="20"/>
                <w:szCs w:val="20"/>
                <w:lang w:val="es-ES"/>
              </w:rPr>
              <w:t>-.126**</w:t>
            </w:r>
          </w:p>
        </w:tc>
        <w:tc>
          <w:tcPr>
            <w:tcW w:w="0" w:type="auto"/>
            <w:tcBorders>
              <w:bottom w:val="single" w:sz="4" w:space="0" w:color="auto"/>
            </w:tcBorders>
            <w:vAlign w:val="center"/>
          </w:tcPr>
          <w:p w14:paraId="4216F0B2" w14:textId="4CC87F49" w:rsidR="002C32E7" w:rsidRPr="0095209E" w:rsidRDefault="002C32E7" w:rsidP="002C32E7">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95209E">
              <w:rPr>
                <w:sz w:val="20"/>
                <w:szCs w:val="20"/>
                <w:lang w:val="es-ES"/>
              </w:rPr>
              <w:t>-.182**</w:t>
            </w:r>
          </w:p>
        </w:tc>
        <w:tc>
          <w:tcPr>
            <w:tcW w:w="0" w:type="auto"/>
            <w:tcBorders>
              <w:bottom w:val="single" w:sz="4" w:space="0" w:color="auto"/>
            </w:tcBorders>
            <w:vAlign w:val="center"/>
          </w:tcPr>
          <w:p w14:paraId="051CB981" w14:textId="0C904116" w:rsidR="002C32E7" w:rsidRPr="0095209E" w:rsidRDefault="002C32E7" w:rsidP="002C32E7">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95209E">
              <w:rPr>
                <w:sz w:val="20"/>
                <w:szCs w:val="20"/>
                <w:lang w:val="es-ES"/>
              </w:rPr>
              <w:t>.206*</w:t>
            </w:r>
          </w:p>
        </w:tc>
        <w:tc>
          <w:tcPr>
            <w:tcW w:w="0" w:type="auto"/>
            <w:tcBorders>
              <w:bottom w:val="single" w:sz="4" w:space="0" w:color="auto"/>
            </w:tcBorders>
            <w:vAlign w:val="center"/>
          </w:tcPr>
          <w:p w14:paraId="3A053F5D" w14:textId="2D2ACC35" w:rsidR="002C32E7" w:rsidRPr="0095209E" w:rsidRDefault="002C32E7" w:rsidP="002C32E7">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95209E">
              <w:rPr>
                <w:sz w:val="20"/>
                <w:szCs w:val="20"/>
                <w:lang w:val="es-ES"/>
              </w:rPr>
              <w:t>-.171**</w:t>
            </w:r>
          </w:p>
        </w:tc>
        <w:tc>
          <w:tcPr>
            <w:tcW w:w="0" w:type="auto"/>
            <w:tcBorders>
              <w:bottom w:val="single" w:sz="4" w:space="0" w:color="auto"/>
            </w:tcBorders>
            <w:vAlign w:val="center"/>
          </w:tcPr>
          <w:p w14:paraId="765CA0C8" w14:textId="4602AE6C" w:rsidR="002C32E7" w:rsidRPr="0095209E" w:rsidRDefault="002C32E7" w:rsidP="002C32E7">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95209E">
              <w:rPr>
                <w:sz w:val="20"/>
                <w:szCs w:val="20"/>
                <w:lang w:val="es-ES"/>
              </w:rPr>
              <w:t>.290**</w:t>
            </w:r>
          </w:p>
        </w:tc>
        <w:tc>
          <w:tcPr>
            <w:tcW w:w="0" w:type="auto"/>
            <w:tcBorders>
              <w:bottom w:val="single" w:sz="4" w:space="0" w:color="auto"/>
            </w:tcBorders>
            <w:vAlign w:val="center"/>
          </w:tcPr>
          <w:p w14:paraId="5A911C3B" w14:textId="0A9655A7" w:rsidR="002C32E7" w:rsidRPr="0095209E" w:rsidRDefault="002C32E7" w:rsidP="002C32E7">
            <w:pPr>
              <w:suppressAutoHyphens/>
              <w:spacing w:line="100" w:lineRule="atLeast"/>
              <w:jc w:val="center"/>
              <w:rPr>
                <w:color w:val="000000"/>
                <w:sz w:val="20"/>
                <w:szCs w:val="20"/>
                <w:u w:color="000000"/>
                <w:bdr w:val="nil"/>
                <w:lang w:val="en-US"/>
                <w14:textOutline w14:w="0" w14:cap="flat" w14:cmpd="sng" w14:algn="ctr">
                  <w14:noFill/>
                  <w14:prstDash w14:val="solid"/>
                  <w14:bevel/>
                </w14:textOutline>
              </w:rPr>
            </w:pPr>
            <w:r w:rsidRPr="0095209E">
              <w:rPr>
                <w:sz w:val="20"/>
                <w:szCs w:val="20"/>
                <w:lang w:val="es-ES"/>
              </w:rPr>
              <w:t>-.248**</w:t>
            </w:r>
          </w:p>
        </w:tc>
      </w:tr>
    </w:tbl>
    <w:p w14:paraId="048486A3" w14:textId="57CE860B" w:rsidR="001A623E" w:rsidRPr="00C960A2" w:rsidRDefault="002C32E7" w:rsidP="001A623E">
      <w:pPr>
        <w:spacing w:line="480" w:lineRule="auto"/>
        <w:rPr>
          <w:sz w:val="20"/>
          <w:szCs w:val="20"/>
          <w:lang w:val="es-ES"/>
        </w:rPr>
      </w:pPr>
      <w:r>
        <w:rPr>
          <w:sz w:val="20"/>
          <w:szCs w:val="20"/>
          <w:lang w:val="es-ES" w:eastAsia="en-US"/>
        </w:rPr>
        <w:t>N</w:t>
      </w:r>
      <w:r w:rsidR="001A623E" w:rsidRPr="00C960A2">
        <w:rPr>
          <w:i/>
          <w:sz w:val="20"/>
          <w:szCs w:val="20"/>
          <w:lang w:val="es-ES"/>
        </w:rPr>
        <w:t xml:space="preserve">ota: </w:t>
      </w:r>
      <w:r w:rsidR="001A623E" w:rsidRPr="00C960A2">
        <w:rPr>
          <w:sz w:val="20"/>
          <w:szCs w:val="20"/>
          <w:lang w:val="es-ES"/>
        </w:rPr>
        <w:t>*</w:t>
      </w:r>
      <w:r w:rsidR="001A623E" w:rsidRPr="00C960A2">
        <w:rPr>
          <w:i/>
          <w:sz w:val="20"/>
          <w:szCs w:val="20"/>
          <w:lang w:val="es-ES"/>
        </w:rPr>
        <w:t>p</w:t>
      </w:r>
      <w:r w:rsidR="001A623E" w:rsidRPr="00C960A2">
        <w:rPr>
          <w:sz w:val="20"/>
          <w:szCs w:val="20"/>
          <w:lang w:val="es-ES"/>
        </w:rPr>
        <w:t xml:space="preserve"> &lt;.05; ** </w:t>
      </w:r>
      <w:r w:rsidR="001A623E" w:rsidRPr="00C960A2">
        <w:rPr>
          <w:i/>
          <w:sz w:val="20"/>
          <w:szCs w:val="20"/>
          <w:lang w:val="es-ES"/>
        </w:rPr>
        <w:t>p</w:t>
      </w:r>
      <w:r w:rsidR="001A623E" w:rsidRPr="00C960A2">
        <w:rPr>
          <w:sz w:val="20"/>
          <w:szCs w:val="20"/>
          <w:lang w:val="es-ES"/>
        </w:rPr>
        <w:t xml:space="preserve"> &lt; .01</w:t>
      </w:r>
    </w:p>
    <w:p w14:paraId="6B2DBE34" w14:textId="77777777" w:rsidR="001A623E" w:rsidRPr="00C960A2" w:rsidRDefault="001A623E" w:rsidP="001A623E">
      <w:pPr>
        <w:pStyle w:val="Textoindependiente"/>
        <w:jc w:val="center"/>
        <w:rPr>
          <w:sz w:val="20"/>
          <w:lang w:val="es-ES"/>
        </w:rPr>
      </w:pPr>
    </w:p>
    <w:p w14:paraId="54E6CA6C" w14:textId="77777777" w:rsidR="001A623E" w:rsidRPr="00C960A2" w:rsidRDefault="001A623E" w:rsidP="001A623E">
      <w:pPr>
        <w:rPr>
          <w:b/>
          <w:sz w:val="20"/>
          <w:szCs w:val="20"/>
          <w:lang w:val="es-ES"/>
        </w:rPr>
        <w:sectPr w:rsidR="001A623E" w:rsidRPr="00C960A2" w:rsidSect="001A623E">
          <w:pgSz w:w="16838" w:h="11906" w:orient="landscape"/>
          <w:pgMar w:top="1701" w:right="1417" w:bottom="1701" w:left="1417" w:header="708" w:footer="708" w:gutter="0"/>
          <w:cols w:space="708"/>
          <w:docGrid w:linePitch="360"/>
        </w:sectPr>
      </w:pPr>
    </w:p>
    <w:p w14:paraId="220C813D" w14:textId="3D4473ED" w:rsidR="00CE7D65" w:rsidRPr="00C960A2" w:rsidRDefault="00CE7D65" w:rsidP="00CE7D65">
      <w:pPr>
        <w:pStyle w:val="Ttulosinternos"/>
        <w:rPr>
          <w:lang w:val="es-ES"/>
        </w:rPr>
      </w:pPr>
      <w:r w:rsidRPr="00C960A2">
        <w:rPr>
          <w:lang w:val="es-ES"/>
        </w:rPr>
        <w:lastRenderedPageBreak/>
        <w:t>Discu</w:t>
      </w:r>
      <w:r w:rsidR="001A623E" w:rsidRPr="00C960A2">
        <w:rPr>
          <w:lang w:val="es-ES"/>
        </w:rPr>
        <w:t>sión</w:t>
      </w:r>
      <w:r w:rsidR="00C960A2" w:rsidRPr="00C960A2">
        <w:rPr>
          <w:lang w:val="es-ES"/>
        </w:rPr>
        <w:t xml:space="preserve"> y Conclusiones</w:t>
      </w:r>
    </w:p>
    <w:p w14:paraId="54CAF178" w14:textId="70D48618" w:rsidR="00C960A2" w:rsidRPr="00C960A2" w:rsidRDefault="00C960A2" w:rsidP="00C960A2">
      <w:pPr>
        <w:pStyle w:val="Prrafocomn"/>
        <w:rPr>
          <w:lang w:val="es-ES"/>
        </w:rPr>
      </w:pPr>
      <w:r w:rsidRPr="00C960A2">
        <w:rPr>
          <w:lang w:val="es-ES"/>
        </w:rPr>
        <w:t xml:space="preserve">En la primera parte de nuestro objetivo de investigación, se puso a prueba la relación entre el acoso escolar en función de las variables sociodemográficas del estudiante de secundaria dominicano. En el estudio pormenorizado del grado de escolarización, de la única de las ocho escalas del </w:t>
      </w:r>
      <w:proofErr w:type="spellStart"/>
      <w:r w:rsidRPr="00C960A2">
        <w:rPr>
          <w:lang w:val="es-ES"/>
        </w:rPr>
        <w:t>Autotest</w:t>
      </w:r>
      <w:proofErr w:type="spellEnd"/>
      <w:r w:rsidRPr="00C960A2">
        <w:rPr>
          <w:lang w:val="es-ES"/>
        </w:rPr>
        <w:t xml:space="preserve"> de Acoso Escolar (Piñuel &amp; Oñate, 2005) para la que se encontraron diferencias significativas fue la de exclusión, específicamente el primer curso presentó mayor manifestación de situaciones de exclusión que sexto. Esta situación coincide con los hallazgos de la literatura en relación a que los primeros grados son más vulnerables al estar expuestos a estas variables psicológicas (Albaladejo &amp; </w:t>
      </w:r>
      <w:proofErr w:type="spellStart"/>
      <w:r w:rsidRPr="00C960A2">
        <w:rPr>
          <w:lang w:val="es-ES"/>
        </w:rPr>
        <w:t>Caruana</w:t>
      </w:r>
      <w:proofErr w:type="spellEnd"/>
      <w:r w:rsidRPr="00C960A2">
        <w:rPr>
          <w:lang w:val="es-ES"/>
        </w:rPr>
        <w:t xml:space="preserve">, 2014; </w:t>
      </w:r>
      <w:proofErr w:type="spellStart"/>
      <w:r w:rsidRPr="00C960A2">
        <w:rPr>
          <w:lang w:val="es-ES"/>
        </w:rPr>
        <w:t>Pailing</w:t>
      </w:r>
      <w:proofErr w:type="spellEnd"/>
      <w:r w:rsidRPr="00C960A2">
        <w:rPr>
          <w:lang w:val="es-ES"/>
        </w:rPr>
        <w:t xml:space="preserve"> et al., 2014; Wilson et al., 2013). De igual modo, la menor experiencia de exclusión en los últimos cursos puede estar relacionada con una consolidación del estatus y prestigio social frente a los de cursos más bajos. Sin embargo, en cuanto al grado de escolarización, no se encontraron diferencias respecto a la agresividad física y verbal.</w:t>
      </w:r>
    </w:p>
    <w:p w14:paraId="089E68F5" w14:textId="2C1ADD4F" w:rsidR="00C960A2" w:rsidRPr="00C960A2" w:rsidRDefault="00C960A2" w:rsidP="00C960A2">
      <w:pPr>
        <w:pStyle w:val="Prrafocomn"/>
        <w:rPr>
          <w:lang w:val="es-ES"/>
        </w:rPr>
      </w:pPr>
      <w:r w:rsidRPr="00C960A2">
        <w:rPr>
          <w:lang w:val="es-ES"/>
        </w:rPr>
        <w:t xml:space="preserve">Por otro lado, no hubo ninguna relación en cuanto al acoso o victimización y la edad de los estudiantes. Hay ciertos autores que señalan el primer ciclo de la adolescencia temprana como el más conflictivo en comparación con edades posteriores (Albaladejo &amp; </w:t>
      </w:r>
      <w:proofErr w:type="spellStart"/>
      <w:r w:rsidRPr="00C960A2">
        <w:rPr>
          <w:lang w:val="es-ES"/>
        </w:rPr>
        <w:t>Caruana</w:t>
      </w:r>
      <w:proofErr w:type="spellEnd"/>
      <w:r w:rsidRPr="00C960A2">
        <w:rPr>
          <w:lang w:val="es-ES"/>
        </w:rPr>
        <w:t xml:space="preserve">, 2014; </w:t>
      </w:r>
      <w:proofErr w:type="spellStart"/>
      <w:r w:rsidRPr="00C960A2">
        <w:rPr>
          <w:lang w:val="es-ES"/>
        </w:rPr>
        <w:t>Pailing</w:t>
      </w:r>
      <w:proofErr w:type="spellEnd"/>
      <w:r w:rsidRPr="00C960A2">
        <w:rPr>
          <w:lang w:val="es-ES"/>
        </w:rPr>
        <w:t xml:space="preserve"> et al., 2014; Wilson et al., 2013); y otros hablan de una tendencia creciente en el número de acosados conforme aumenta la edad del estudiantado hasta llegar a los 16 años, período en que empieza a disminuir (</w:t>
      </w:r>
      <w:proofErr w:type="spellStart"/>
      <w:r w:rsidRPr="00C960A2">
        <w:rPr>
          <w:lang w:val="es-ES"/>
        </w:rPr>
        <w:t>Mulenga</w:t>
      </w:r>
      <w:proofErr w:type="spellEnd"/>
      <w:r w:rsidRPr="00C960A2">
        <w:rPr>
          <w:lang w:val="es-ES"/>
        </w:rPr>
        <w:t xml:space="preserve"> et al., 2017; Serrano, 2013). Sin embargo, en este estudio no se encuentran evidencias de que esto suceda así; es probable que sea una característica de la población o que otras variables estén incidiendo, por lo cual se requerirían investigaciones posteriores, ya que resulta extraño que sí exista relación con el </w:t>
      </w:r>
      <w:r w:rsidR="002A7A4B" w:rsidRPr="00C960A2">
        <w:rPr>
          <w:lang w:val="es-ES"/>
        </w:rPr>
        <w:t>grado,</w:t>
      </w:r>
      <w:r w:rsidRPr="00C960A2">
        <w:rPr>
          <w:lang w:val="es-ES"/>
        </w:rPr>
        <w:t xml:space="preserve"> pero no con la edad.</w:t>
      </w:r>
    </w:p>
    <w:p w14:paraId="402D22BF" w14:textId="5F30B671" w:rsidR="00C960A2" w:rsidRPr="00C960A2" w:rsidRDefault="00C960A2" w:rsidP="00C960A2">
      <w:pPr>
        <w:pStyle w:val="Prrafocomn"/>
        <w:rPr>
          <w:lang w:val="es-ES"/>
        </w:rPr>
      </w:pPr>
      <w:r w:rsidRPr="00C960A2">
        <w:rPr>
          <w:lang w:val="es-ES"/>
        </w:rPr>
        <w:t xml:space="preserve">En la variable sexo se encontró un mayor reporte de hombres que han experimentado intimidación respecto de las mujeres. Esta diferencia podría estar explicada por el hecho de que el factor de intimidación-amenazas pertenece a la dimensión de acoso físico de la escala y, de acuerdo a las investigaciones, los hombres suelen estar más involucrados en la agresividad física que las mujeres (Rosen et al., 2017). Por esta razón, más varones se sienten intimidados o amenazados por otros varones, ya que éste no suele ser un comportamiento habitual de las mujeres. Lo mismo sucede en relación a la agresividad física, los resultados confirman los hallazgos de otras investigaciones en el sentido de que la agresividad física es más frecuente en los hombres (Rosen </w:t>
      </w:r>
      <w:r w:rsidRPr="00C960A2">
        <w:rPr>
          <w:lang w:val="es-ES"/>
        </w:rPr>
        <w:lastRenderedPageBreak/>
        <w:t xml:space="preserve">et al., 2017). Sin embargo, un descubrimiento importante que coincide con lo encontrado por Díaz-Aguado et al., (2013), indica que no se dan diferencias por sexo en la agresividad verbal, contrario a algunos estudios que la relacionan más con las mujeres y señalan que tienden a puntuar más alto (López et al., 2010; Rosen &amp; </w:t>
      </w:r>
      <w:proofErr w:type="spellStart"/>
      <w:r w:rsidRPr="00C960A2">
        <w:rPr>
          <w:lang w:val="es-ES"/>
        </w:rPr>
        <w:t>Rubin</w:t>
      </w:r>
      <w:proofErr w:type="spellEnd"/>
      <w:r w:rsidRPr="00C960A2">
        <w:rPr>
          <w:lang w:val="es-ES"/>
        </w:rPr>
        <w:t>, 2016). Esta apreciación al parecer obedece a un efecto de halo de asociar más a las chicas con la agresión verbal al observarse en ellas una menor incidencia de la agresión física.</w:t>
      </w:r>
    </w:p>
    <w:p w14:paraId="1E9AC584" w14:textId="77777777" w:rsidR="00C960A2" w:rsidRPr="00C960A2" w:rsidRDefault="00C960A2" w:rsidP="00C960A2">
      <w:pPr>
        <w:pStyle w:val="Prrafocomn"/>
        <w:rPr>
          <w:lang w:val="es-ES"/>
        </w:rPr>
      </w:pPr>
      <w:r w:rsidRPr="00C960A2">
        <w:rPr>
          <w:lang w:val="es-ES"/>
        </w:rPr>
        <w:t xml:space="preserve">El acoso escolar no mostró diferencias estadísticamente significativas con el resto de variables sociodemográficas. De manera más concreta, el tipo de centro educativo no presentó ninguna característica específica que se vincule con el bullying, ya que la evidencia señala que no existe ninguna relación con esas variables escolares como: composición de los centros, jornada extendida o media jornada, rural o urbana, o cantidad de estudiantes, entre otros (Álvarez, 2014). </w:t>
      </w:r>
    </w:p>
    <w:p w14:paraId="32982169" w14:textId="77777777" w:rsidR="00C960A2" w:rsidRPr="00C960A2" w:rsidRDefault="00C960A2" w:rsidP="00C960A2">
      <w:pPr>
        <w:pStyle w:val="Prrafocomn"/>
        <w:rPr>
          <w:lang w:val="es-ES"/>
        </w:rPr>
      </w:pPr>
      <w:r w:rsidRPr="00C960A2">
        <w:rPr>
          <w:lang w:val="es-ES"/>
        </w:rPr>
        <w:t>En cuanto a la familia, el nivel de estudios de los padres no mostró relación con el acoso escolar, como en los hallazgos de Piñero et al. (2013). De la misma manera que la anterior, el tipo de familia tampoco se vinculó con el bullying, siendo esto contrario a lo que presentan otros estudios (</w:t>
      </w:r>
      <w:proofErr w:type="spellStart"/>
      <w:r w:rsidRPr="00C960A2">
        <w:rPr>
          <w:lang w:val="es-ES"/>
        </w:rPr>
        <w:t>Prodócimo</w:t>
      </w:r>
      <w:proofErr w:type="spellEnd"/>
      <w:r w:rsidRPr="00C960A2">
        <w:rPr>
          <w:lang w:val="es-ES"/>
        </w:rPr>
        <w:t xml:space="preserve"> et al., 2014). Es probable que esto obedezca a características específicas de la población, pero evitando apresurarse, sería necesario llevar a cabo investigaciones más amplias profundizando en este sentido.</w:t>
      </w:r>
    </w:p>
    <w:p w14:paraId="1146856D" w14:textId="6AD3F7E5" w:rsidR="00C960A2" w:rsidRPr="00C960A2" w:rsidRDefault="00C960A2" w:rsidP="00C960A2">
      <w:pPr>
        <w:pStyle w:val="Prrafocomn"/>
        <w:rPr>
          <w:lang w:val="es-ES"/>
        </w:rPr>
      </w:pPr>
      <w:r w:rsidRPr="00C960A2">
        <w:rPr>
          <w:lang w:val="es-ES"/>
        </w:rPr>
        <w:t>Algunos estudios señalan que la práctica de un deporte ayuda a reducir los comportamientos violentos y conductas disruptivas al actuar como un factor protector (</w:t>
      </w:r>
      <w:proofErr w:type="spellStart"/>
      <w:r w:rsidRPr="00C960A2">
        <w:rPr>
          <w:lang w:val="es-ES"/>
        </w:rPr>
        <w:t>Baiden</w:t>
      </w:r>
      <w:proofErr w:type="spellEnd"/>
      <w:r w:rsidRPr="00C960A2">
        <w:rPr>
          <w:lang w:val="es-ES"/>
        </w:rPr>
        <w:t xml:space="preserve"> et al., 2019; Cetina &amp; Moreno 2015). Sin embargo, otros estudios señalan que el deporte podría terminar transmitiendo antivalores, identificando aspectos agresivos y perjudiciales, obedeciendo al contexto, lo que puede resultar en escenarios de mayor presencia de agresividad y acoso escolar (</w:t>
      </w:r>
      <w:proofErr w:type="spellStart"/>
      <w:r w:rsidRPr="00C960A2">
        <w:rPr>
          <w:lang w:val="es-ES"/>
        </w:rPr>
        <w:t>Alvariñas</w:t>
      </w:r>
      <w:proofErr w:type="spellEnd"/>
      <w:r w:rsidRPr="00C960A2">
        <w:rPr>
          <w:lang w:val="es-ES"/>
        </w:rPr>
        <w:t xml:space="preserve"> et al., 2009). Estos últimos estudios estarían en contraposición con los resultados obtenidos, al comprobar que no existía relación entre la práctica del deporte y el acoso escolar. </w:t>
      </w:r>
    </w:p>
    <w:p w14:paraId="597956A0" w14:textId="77777777" w:rsidR="00C960A2" w:rsidRPr="00C960A2" w:rsidRDefault="00C960A2" w:rsidP="00C960A2">
      <w:pPr>
        <w:pStyle w:val="Prrafocomn"/>
        <w:rPr>
          <w:lang w:val="es-ES"/>
        </w:rPr>
      </w:pPr>
      <w:r w:rsidRPr="00C960A2">
        <w:rPr>
          <w:lang w:val="es-ES"/>
        </w:rPr>
        <w:t xml:space="preserve">En la segunda parte del objetivo de estudio se puso a prueba la relación entre diferentes variables psicológicas del estudiante de secundaria dominicano y el acoso escolar que, en la mayoría de los factores y dimensiones de la escala de acoso, correlacionan significativa y positivamente con: la agresividad física y verbal, inestabilidad emocional e ideaciones suicidas negativas, y negativamente con conducta prosocial, ideaciones suicidas positivas y autoestima. Esto es consistente con lo encontrado en la literatura puesto que se advierte, por ejemplo, que la victimización puede estar relacionada con la agresividad y la inestabilidad emocional (Chu-Fung </w:t>
      </w:r>
      <w:r w:rsidRPr="00C960A2">
        <w:rPr>
          <w:lang w:val="es-ES"/>
        </w:rPr>
        <w:lastRenderedPageBreak/>
        <w:t xml:space="preserve">et al., 2019; Serrano, 2013), con las ideaciones suicidas (Lee et al., 2018; Schneider et al., 2012), la conducta prosocial (Polo del Río et al., 2015) y la autoestima (Garaigordobil et al., 2015; </w:t>
      </w:r>
      <w:proofErr w:type="spellStart"/>
      <w:r w:rsidRPr="00C960A2">
        <w:rPr>
          <w:lang w:val="es-ES"/>
        </w:rPr>
        <w:t>Nocito</w:t>
      </w:r>
      <w:proofErr w:type="spellEnd"/>
      <w:r w:rsidRPr="00C960A2">
        <w:rPr>
          <w:lang w:val="es-ES"/>
        </w:rPr>
        <w:t xml:space="preserve">, 2017; </w:t>
      </w:r>
      <w:proofErr w:type="spellStart"/>
      <w:r w:rsidRPr="00C960A2">
        <w:rPr>
          <w:lang w:val="es-ES"/>
        </w:rPr>
        <w:t>Save</w:t>
      </w:r>
      <w:proofErr w:type="spellEnd"/>
      <w:r w:rsidRPr="00C960A2">
        <w:rPr>
          <w:lang w:val="es-ES"/>
        </w:rPr>
        <w:t xml:space="preserve"> </w:t>
      </w:r>
      <w:proofErr w:type="spellStart"/>
      <w:r w:rsidRPr="00C960A2">
        <w:rPr>
          <w:lang w:val="es-ES"/>
        </w:rPr>
        <w:t>the</w:t>
      </w:r>
      <w:proofErr w:type="spellEnd"/>
      <w:r w:rsidRPr="00C960A2">
        <w:rPr>
          <w:lang w:val="es-ES"/>
        </w:rPr>
        <w:t xml:space="preserve"> </w:t>
      </w:r>
      <w:proofErr w:type="spellStart"/>
      <w:r w:rsidRPr="00C960A2">
        <w:rPr>
          <w:lang w:val="es-ES"/>
        </w:rPr>
        <w:t>Children</w:t>
      </w:r>
      <w:proofErr w:type="spellEnd"/>
      <w:r w:rsidRPr="00C960A2">
        <w:rPr>
          <w:lang w:val="es-ES"/>
        </w:rPr>
        <w:t xml:space="preserve">, 2016). </w:t>
      </w:r>
    </w:p>
    <w:p w14:paraId="1EFD2287" w14:textId="28370F26" w:rsidR="00C960A2" w:rsidRPr="00C960A2" w:rsidRDefault="00C960A2" w:rsidP="00C960A2">
      <w:pPr>
        <w:pStyle w:val="Prrafocomn"/>
        <w:rPr>
          <w:lang w:val="es-ES"/>
        </w:rPr>
      </w:pPr>
      <w:r w:rsidRPr="00C960A2">
        <w:rPr>
          <w:lang w:val="es-ES"/>
        </w:rPr>
        <w:t xml:space="preserve">De una manera más pormenorizada, la relación positiva de la ideación suicida con el acoso escolar coincide con numerosos estudios que confirman esta relación e incluso la señalan como un factor de riesgo (Enríquez &amp; Garzón, 2015; </w:t>
      </w:r>
      <w:proofErr w:type="spellStart"/>
      <w:r w:rsidRPr="00C960A2">
        <w:rPr>
          <w:lang w:val="es-ES"/>
        </w:rPr>
        <w:t>Foss-Sigurdson</w:t>
      </w:r>
      <w:proofErr w:type="spellEnd"/>
      <w:r w:rsidRPr="00C960A2">
        <w:rPr>
          <w:lang w:val="es-ES"/>
        </w:rPr>
        <w:t xml:space="preserve"> et al., 2018; Fredrick &amp; </w:t>
      </w:r>
      <w:proofErr w:type="spellStart"/>
      <w:r w:rsidRPr="00C960A2">
        <w:rPr>
          <w:lang w:val="es-ES"/>
        </w:rPr>
        <w:t>Demaray</w:t>
      </w:r>
      <w:proofErr w:type="spellEnd"/>
      <w:r w:rsidRPr="00C960A2">
        <w:rPr>
          <w:lang w:val="es-ES"/>
        </w:rPr>
        <w:t xml:space="preserve">, 2018; </w:t>
      </w:r>
      <w:proofErr w:type="spellStart"/>
      <w:r w:rsidRPr="00C960A2">
        <w:rPr>
          <w:lang w:val="es-ES"/>
        </w:rPr>
        <w:t>Klomek</w:t>
      </w:r>
      <w:proofErr w:type="spellEnd"/>
      <w:r w:rsidRPr="00C960A2">
        <w:rPr>
          <w:lang w:val="es-ES"/>
        </w:rPr>
        <w:t xml:space="preserve"> et al., 2019; </w:t>
      </w:r>
      <w:proofErr w:type="spellStart"/>
      <w:r w:rsidRPr="00C960A2">
        <w:rPr>
          <w:lang w:val="es-ES"/>
        </w:rPr>
        <w:t>Nocito</w:t>
      </w:r>
      <w:proofErr w:type="spellEnd"/>
      <w:r w:rsidRPr="00C960A2">
        <w:rPr>
          <w:lang w:val="es-ES"/>
        </w:rPr>
        <w:t>, 2017).</w:t>
      </w:r>
    </w:p>
    <w:p w14:paraId="702245D2" w14:textId="77777777" w:rsidR="00C960A2" w:rsidRPr="00C960A2" w:rsidRDefault="00C960A2" w:rsidP="00C960A2">
      <w:pPr>
        <w:pStyle w:val="Prrafocomn"/>
        <w:rPr>
          <w:lang w:val="es-ES"/>
        </w:rPr>
      </w:pPr>
      <w:r w:rsidRPr="00C960A2">
        <w:rPr>
          <w:lang w:val="es-ES"/>
        </w:rPr>
        <w:t xml:space="preserve">Respecto a la conducta prosocial, encontramos una relación negativa que da a entender que actúa como un factor protector ante el acoso. Pero especialmente cobra importancia su relación con la agresión física y verbal, que confirma lo planteado por otros autores, y sugiere que la conducta prosocial actúa como un inhibidor de la agresión y que ambos constructos se contraponen (Carlo et al., 2012). Lo mismo sucede con su relación con la inestabilidad emocional, confirmando la teoría de que los individuos que exhiben conductas prosociales presentan una relación negativa con la inestabilidad y descontrol emocional (Inglés et al., 2013). Esto tiene implicaciones claras para la educación puesto que, según se observa, fomentar la </w:t>
      </w:r>
      <w:proofErr w:type="spellStart"/>
      <w:r w:rsidRPr="00C960A2">
        <w:rPr>
          <w:lang w:val="es-ES"/>
        </w:rPr>
        <w:t>prosocialidad</w:t>
      </w:r>
      <w:proofErr w:type="spellEnd"/>
      <w:r w:rsidRPr="00C960A2">
        <w:rPr>
          <w:lang w:val="es-ES"/>
        </w:rPr>
        <w:t xml:space="preserve"> en los estudiantes puede prevenir las conductas de riesgo, es decir, es una manera efectiva de protegerlos contra las conductas y emociones que propician la presencia del bullying, como la inestabilidad emocional o la agresión (</w:t>
      </w:r>
      <w:proofErr w:type="spellStart"/>
      <w:r w:rsidRPr="00C960A2">
        <w:rPr>
          <w:lang w:val="es-ES"/>
        </w:rPr>
        <w:t>Caprara</w:t>
      </w:r>
      <w:proofErr w:type="spellEnd"/>
      <w:r w:rsidRPr="00C960A2">
        <w:rPr>
          <w:lang w:val="es-ES"/>
        </w:rPr>
        <w:t xml:space="preserve"> et al., 2015).</w:t>
      </w:r>
    </w:p>
    <w:p w14:paraId="6DDD6CA4" w14:textId="169EED7E" w:rsidR="00C960A2" w:rsidRPr="00C960A2" w:rsidRDefault="00C960A2" w:rsidP="00C960A2">
      <w:pPr>
        <w:pStyle w:val="Prrafocomn"/>
        <w:rPr>
          <w:lang w:val="es-ES"/>
        </w:rPr>
      </w:pPr>
      <w:r w:rsidRPr="00C960A2">
        <w:rPr>
          <w:lang w:val="es-ES"/>
        </w:rPr>
        <w:t xml:space="preserve">Por otra parte, en la literatura científica son múltiples las ocasiones en que se ha confirmado la estrecha relación que existe entre los problemas de bullying y la baja autoestima de las víctimas; tanto en estudios más clásicos (Griffin &amp; Gross, 2004), como en investigaciones más recientes (Enríquez &amp; Garzón, 2015; Garaigordobil et al., 2015; </w:t>
      </w:r>
      <w:proofErr w:type="spellStart"/>
      <w:r w:rsidRPr="00C960A2">
        <w:rPr>
          <w:lang w:val="es-ES"/>
        </w:rPr>
        <w:t>Nocito</w:t>
      </w:r>
      <w:proofErr w:type="spellEnd"/>
      <w:r w:rsidRPr="00C960A2">
        <w:rPr>
          <w:lang w:val="es-ES"/>
        </w:rPr>
        <w:t xml:space="preserve">, 2017; </w:t>
      </w:r>
      <w:proofErr w:type="spellStart"/>
      <w:r w:rsidRPr="00C960A2">
        <w:rPr>
          <w:lang w:val="es-ES"/>
        </w:rPr>
        <w:t>Save</w:t>
      </w:r>
      <w:proofErr w:type="spellEnd"/>
      <w:r w:rsidRPr="00C960A2">
        <w:rPr>
          <w:lang w:val="es-ES"/>
        </w:rPr>
        <w:t xml:space="preserve"> </w:t>
      </w:r>
      <w:proofErr w:type="spellStart"/>
      <w:r w:rsidRPr="00C960A2">
        <w:rPr>
          <w:lang w:val="es-ES"/>
        </w:rPr>
        <w:t>the</w:t>
      </w:r>
      <w:proofErr w:type="spellEnd"/>
      <w:r w:rsidRPr="00C960A2">
        <w:rPr>
          <w:lang w:val="es-ES"/>
        </w:rPr>
        <w:t xml:space="preserve"> </w:t>
      </w:r>
      <w:proofErr w:type="spellStart"/>
      <w:r w:rsidRPr="00C960A2">
        <w:rPr>
          <w:lang w:val="es-ES"/>
        </w:rPr>
        <w:t>Children</w:t>
      </w:r>
      <w:proofErr w:type="spellEnd"/>
      <w:r w:rsidRPr="00C960A2">
        <w:rPr>
          <w:lang w:val="es-ES"/>
        </w:rPr>
        <w:t>, 2016; Serrano, 2013). Esto supone un efecto de la victimización, que expone a la persona acosada a un mayor riesgo haciéndola más vulnerable. Se puede afirmar, por lo tanto, que la evidencia es concluyente en el sentido de la relación estrecha que existe entre el acoso escolar y la baja autoestima de la víctima; sin embargo, no se ha podido confirmar si la misma es la causa o consecuencia del bullying (Chu et al., 2019).</w:t>
      </w:r>
    </w:p>
    <w:p w14:paraId="629DCA62" w14:textId="6A09CA0C" w:rsidR="00C960A2" w:rsidRPr="00C960A2" w:rsidRDefault="00C960A2" w:rsidP="00C960A2">
      <w:pPr>
        <w:pStyle w:val="Prrafocomn"/>
        <w:rPr>
          <w:lang w:val="es-ES"/>
        </w:rPr>
      </w:pPr>
      <w:r w:rsidRPr="00C960A2">
        <w:rPr>
          <w:lang w:val="es-ES"/>
        </w:rPr>
        <w:t xml:space="preserve">Por tanto, se considera que dentro del sector educativo dominicano los resultados del estudio pueden contribuir a la creación de políticas que vayan orientadas a la prevención del acoso en los centros educativos. También ayudan a tener una mayor claridad conceptual para el diseño de programas dirigidos a intervenir y mitigar estos fenómenos, a través de datos basados en la </w:t>
      </w:r>
      <w:r w:rsidRPr="00C960A2">
        <w:rPr>
          <w:lang w:val="es-ES"/>
        </w:rPr>
        <w:lastRenderedPageBreak/>
        <w:t>evidencia (</w:t>
      </w:r>
      <w:proofErr w:type="spellStart"/>
      <w:r w:rsidRPr="00C960A2">
        <w:rPr>
          <w:lang w:val="es-ES"/>
        </w:rPr>
        <w:t>Jaitman</w:t>
      </w:r>
      <w:proofErr w:type="spellEnd"/>
      <w:r w:rsidRPr="00C960A2">
        <w:rPr>
          <w:lang w:val="es-ES"/>
        </w:rPr>
        <w:t xml:space="preserve"> &amp; </w:t>
      </w:r>
      <w:proofErr w:type="spellStart"/>
      <w:r w:rsidRPr="00C960A2">
        <w:rPr>
          <w:lang w:val="es-ES"/>
        </w:rPr>
        <w:t>Machin</w:t>
      </w:r>
      <w:proofErr w:type="spellEnd"/>
      <w:r w:rsidRPr="00C960A2">
        <w:rPr>
          <w:lang w:val="es-ES"/>
        </w:rPr>
        <w:t xml:space="preserve">, 2016), que aporten información para el desarrollo del proyecto de vida de los estudiantes del nivel secundario en todo el país. En ese sentido, promover variables protectoras como la autoestima o la conducta prosocial, del mismo modo que eliminar factores de riesgo como la agresión física o verbal o la inestabilidad emocional, puede prevenir en gran medida el acoso. </w:t>
      </w:r>
    </w:p>
    <w:p w14:paraId="13FA8237" w14:textId="5A6A06B7" w:rsidR="007E3B8D" w:rsidRPr="00C960A2" w:rsidRDefault="00C960A2" w:rsidP="00C960A2">
      <w:pPr>
        <w:pStyle w:val="Prrafocomn"/>
        <w:rPr>
          <w:lang w:val="es-ES"/>
        </w:rPr>
      </w:pPr>
      <w:r w:rsidRPr="00C960A2">
        <w:rPr>
          <w:lang w:val="es-ES"/>
        </w:rPr>
        <w:t xml:space="preserve">Para concluir, hemos de tener en cuenta algunas limitaciones del estudio. En primer lugar, el modelo ha sido probado en adolescentes en institutos, por lo tanto, los resultados no serían fácilmente generalizables a otro tipo de población. </w:t>
      </w:r>
      <w:proofErr w:type="gramStart"/>
      <w:r w:rsidRPr="00C960A2">
        <w:rPr>
          <w:lang w:val="es-ES"/>
        </w:rPr>
        <w:t>Además</w:t>
      </w:r>
      <w:proofErr w:type="gramEnd"/>
      <w:r w:rsidRPr="00C960A2">
        <w:rPr>
          <w:lang w:val="es-ES"/>
        </w:rPr>
        <w:t xml:space="preserve"> la segunda limitación recae en el diseño de investigación realizado; al ser transversal, siempre limita la capacidad de extraer conclusiones causales. Por otra parte, al tratarse de un diseño transversal no es posible extraer conclusiones sobre los cambios en las distintas variables según la edad de la población, por tanto, los resultados deben tomarse con la correspondiente cautela. </w:t>
      </w:r>
      <w:r w:rsidR="007E3B8D" w:rsidRPr="00C960A2">
        <w:rPr>
          <w:lang w:val="es-ES"/>
        </w:rPr>
        <w:br w:type="page"/>
      </w:r>
    </w:p>
    <w:p w14:paraId="6CD8B4A8" w14:textId="1633F5A2" w:rsidR="006F7E7E" w:rsidRPr="00C960A2" w:rsidRDefault="00CE7D65" w:rsidP="007A7CDC">
      <w:pPr>
        <w:pStyle w:val="Ttulosinternos"/>
        <w:rPr>
          <w:lang w:val="es-ES"/>
        </w:rPr>
      </w:pPr>
      <w:r w:rsidRPr="00C960A2">
        <w:rPr>
          <w:lang w:val="es-ES"/>
        </w:rPr>
        <w:lastRenderedPageBreak/>
        <w:t>Refere</w:t>
      </w:r>
      <w:r w:rsidR="00C960A2">
        <w:rPr>
          <w:lang w:val="es-ES"/>
        </w:rPr>
        <w:t>ncias</w:t>
      </w:r>
    </w:p>
    <w:p w14:paraId="0CE23D48" w14:textId="77777777" w:rsidR="00094D47" w:rsidRPr="00C960A2" w:rsidRDefault="00094D47" w:rsidP="007C3C14">
      <w:pPr>
        <w:ind w:left="720" w:hanging="720"/>
        <w:jc w:val="both"/>
        <w:rPr>
          <w:lang w:val="es-ES"/>
        </w:rPr>
      </w:pPr>
    </w:p>
    <w:p w14:paraId="5E55B312" w14:textId="77777777" w:rsidR="00094D47" w:rsidRPr="00C960A2" w:rsidRDefault="00094D47" w:rsidP="00CE7D65">
      <w:pPr>
        <w:ind w:left="720" w:hanging="720"/>
        <w:jc w:val="both"/>
        <w:rPr>
          <w:lang w:val="es-ES"/>
        </w:rPr>
      </w:pPr>
    </w:p>
    <w:p w14:paraId="18C3910F" w14:textId="77777777" w:rsidR="00094D47" w:rsidRPr="00C960A2" w:rsidRDefault="00094D47" w:rsidP="00C960A2">
      <w:pPr>
        <w:ind w:left="720" w:hanging="720"/>
        <w:jc w:val="both"/>
        <w:rPr>
          <w:lang w:val="es-ES"/>
        </w:rPr>
      </w:pPr>
      <w:r w:rsidRPr="00C960A2">
        <w:rPr>
          <w:lang w:val="es-ES"/>
        </w:rPr>
        <w:t xml:space="preserve">Albaladejo, N., &amp; </w:t>
      </w:r>
      <w:proofErr w:type="spellStart"/>
      <w:r w:rsidRPr="00C960A2">
        <w:rPr>
          <w:lang w:val="es-ES"/>
        </w:rPr>
        <w:t>Caruana</w:t>
      </w:r>
      <w:proofErr w:type="spellEnd"/>
      <w:r w:rsidRPr="00C960A2">
        <w:rPr>
          <w:lang w:val="es-ES"/>
        </w:rPr>
        <w:t xml:space="preserve">, A. (2014). El acoso escolar, </w:t>
      </w:r>
      <w:proofErr w:type="spellStart"/>
      <w:r w:rsidRPr="00C960A2">
        <w:rPr>
          <w:lang w:val="es-ES"/>
        </w:rPr>
        <w:t>cyberbullying</w:t>
      </w:r>
      <w:proofErr w:type="spellEnd"/>
      <w:r w:rsidRPr="00C960A2">
        <w:rPr>
          <w:lang w:val="es-ES"/>
        </w:rPr>
        <w:t xml:space="preserve"> y bienestar en escolares de educación primaria. En A. </w:t>
      </w:r>
      <w:proofErr w:type="spellStart"/>
      <w:r w:rsidRPr="00C960A2">
        <w:rPr>
          <w:lang w:val="es-ES"/>
        </w:rPr>
        <w:t>Caruana</w:t>
      </w:r>
      <w:proofErr w:type="spellEnd"/>
      <w:r w:rsidRPr="00C960A2">
        <w:rPr>
          <w:lang w:val="es-ES"/>
        </w:rPr>
        <w:t xml:space="preserve">, &amp; N. </w:t>
      </w:r>
      <w:proofErr w:type="spellStart"/>
      <w:r w:rsidRPr="00C960A2">
        <w:rPr>
          <w:lang w:val="es-ES"/>
        </w:rPr>
        <w:t>Gomins</w:t>
      </w:r>
      <w:proofErr w:type="spellEnd"/>
      <w:r w:rsidRPr="00C960A2">
        <w:rPr>
          <w:lang w:val="es-ES"/>
        </w:rPr>
        <w:t xml:space="preserve">, </w:t>
      </w:r>
      <w:r w:rsidRPr="003A72D7">
        <w:rPr>
          <w:i/>
          <w:lang w:val="es-ES"/>
        </w:rPr>
        <w:t>Cultivando emociones. Educación emocional de 8 a 12 años</w:t>
      </w:r>
      <w:r w:rsidRPr="00C960A2">
        <w:rPr>
          <w:lang w:val="es-ES"/>
        </w:rPr>
        <w:t xml:space="preserve"> (págs. 246-264). Valencia: Generalitat Valenciana Conselleria </w:t>
      </w:r>
      <w:proofErr w:type="spellStart"/>
      <w:r w:rsidRPr="00C960A2">
        <w:rPr>
          <w:lang w:val="es-ES"/>
        </w:rPr>
        <w:t>d’Educació</w:t>
      </w:r>
      <w:proofErr w:type="spellEnd"/>
      <w:r w:rsidRPr="00C960A2">
        <w:rPr>
          <w:lang w:val="es-ES"/>
        </w:rPr>
        <w:t xml:space="preserve">, Cultura i </w:t>
      </w:r>
      <w:proofErr w:type="spellStart"/>
      <w:r w:rsidRPr="00C960A2">
        <w:rPr>
          <w:lang w:val="es-ES"/>
        </w:rPr>
        <w:t>Esport</w:t>
      </w:r>
      <w:proofErr w:type="spellEnd"/>
      <w:r w:rsidRPr="00C960A2">
        <w:rPr>
          <w:lang w:val="es-ES"/>
        </w:rPr>
        <w:t>.</w:t>
      </w:r>
    </w:p>
    <w:p w14:paraId="21A0A5EC" w14:textId="77777777" w:rsidR="00094D47" w:rsidRPr="00C960A2" w:rsidRDefault="00094D47" w:rsidP="00C960A2">
      <w:pPr>
        <w:ind w:left="720" w:hanging="720"/>
        <w:jc w:val="both"/>
        <w:rPr>
          <w:lang w:val="es-ES"/>
        </w:rPr>
      </w:pPr>
      <w:r w:rsidRPr="00C960A2">
        <w:rPr>
          <w:lang w:val="es-ES"/>
        </w:rPr>
        <w:t xml:space="preserve">Álvarez, N. (2014). </w:t>
      </w:r>
      <w:r w:rsidRPr="003A72D7">
        <w:rPr>
          <w:i/>
          <w:lang w:val="es-ES"/>
        </w:rPr>
        <w:t>Análisis de variables individuales, familiares y escolares para el alumnado implicado en la dinámica de acoso escolar (Tesis doctoral)</w:t>
      </w:r>
      <w:r w:rsidRPr="00C960A2">
        <w:rPr>
          <w:lang w:val="es-ES"/>
        </w:rPr>
        <w:t>. Universidad de Sevilla, Sevilla, España.</w:t>
      </w:r>
    </w:p>
    <w:p w14:paraId="2B0A0E6D" w14:textId="77777777" w:rsidR="00094D47" w:rsidRPr="00C960A2" w:rsidRDefault="00094D47" w:rsidP="00C960A2">
      <w:pPr>
        <w:ind w:left="720" w:hanging="720"/>
        <w:jc w:val="both"/>
        <w:rPr>
          <w:lang w:val="es-ES"/>
        </w:rPr>
      </w:pPr>
      <w:proofErr w:type="spellStart"/>
      <w:r w:rsidRPr="00C960A2">
        <w:rPr>
          <w:lang w:val="es-ES"/>
        </w:rPr>
        <w:t>Alvariñas</w:t>
      </w:r>
      <w:proofErr w:type="spellEnd"/>
      <w:r w:rsidRPr="00C960A2">
        <w:rPr>
          <w:lang w:val="es-ES"/>
        </w:rPr>
        <w:t xml:space="preserve">, M., Fernández, M. A., &amp; López, C. (2009). Actividad Física y percepciones sobre deporte y género. </w:t>
      </w:r>
      <w:r w:rsidRPr="003A72D7">
        <w:rPr>
          <w:i/>
          <w:lang w:val="es-ES"/>
        </w:rPr>
        <w:t>Revista de Investigación en Educación, 6</w:t>
      </w:r>
      <w:r w:rsidRPr="00C960A2">
        <w:rPr>
          <w:lang w:val="es-ES"/>
        </w:rPr>
        <w:t>(1), 113-122.</w:t>
      </w:r>
    </w:p>
    <w:p w14:paraId="3BD82E36" w14:textId="77777777" w:rsidR="00094D47" w:rsidRPr="002A7A4B" w:rsidRDefault="00094D47" w:rsidP="00C960A2">
      <w:pPr>
        <w:ind w:left="720" w:hanging="720"/>
        <w:jc w:val="both"/>
        <w:rPr>
          <w:lang w:val="en-GB"/>
        </w:rPr>
      </w:pPr>
      <w:proofErr w:type="spellStart"/>
      <w:r w:rsidRPr="002A7A4B">
        <w:rPr>
          <w:lang w:val="es-ES"/>
        </w:rPr>
        <w:t>Baiden</w:t>
      </w:r>
      <w:proofErr w:type="spellEnd"/>
      <w:r w:rsidRPr="002A7A4B">
        <w:rPr>
          <w:lang w:val="es-ES"/>
        </w:rPr>
        <w:t xml:space="preserve">, P., </w:t>
      </w:r>
      <w:proofErr w:type="spellStart"/>
      <w:r w:rsidRPr="002A7A4B">
        <w:rPr>
          <w:lang w:val="es-ES"/>
        </w:rPr>
        <w:t>Kuuire</w:t>
      </w:r>
      <w:proofErr w:type="spellEnd"/>
      <w:r w:rsidRPr="002A7A4B">
        <w:rPr>
          <w:lang w:val="es-ES"/>
        </w:rPr>
        <w:t xml:space="preserve">, V., </w:t>
      </w:r>
      <w:proofErr w:type="spellStart"/>
      <w:r w:rsidRPr="002A7A4B">
        <w:rPr>
          <w:lang w:val="es-ES"/>
        </w:rPr>
        <w:t>Shrestha</w:t>
      </w:r>
      <w:proofErr w:type="spellEnd"/>
      <w:r w:rsidRPr="002A7A4B">
        <w:rPr>
          <w:lang w:val="es-ES"/>
        </w:rPr>
        <w:t xml:space="preserve">, N., </w:t>
      </w:r>
      <w:proofErr w:type="spellStart"/>
      <w:r w:rsidRPr="002A7A4B">
        <w:rPr>
          <w:lang w:val="es-ES"/>
        </w:rPr>
        <w:t>Tonui</w:t>
      </w:r>
      <w:proofErr w:type="spellEnd"/>
      <w:r w:rsidRPr="002A7A4B">
        <w:rPr>
          <w:lang w:val="es-ES"/>
        </w:rPr>
        <w:t xml:space="preserve">, B., </w:t>
      </w:r>
      <w:proofErr w:type="spellStart"/>
      <w:r w:rsidRPr="002A7A4B">
        <w:rPr>
          <w:lang w:val="es-ES"/>
        </w:rPr>
        <w:t>Dako-Gyeke</w:t>
      </w:r>
      <w:proofErr w:type="spellEnd"/>
      <w:r w:rsidRPr="002A7A4B">
        <w:rPr>
          <w:lang w:val="es-ES"/>
        </w:rPr>
        <w:t xml:space="preserve">, M., &amp; Peters, K. (2019). </w:t>
      </w:r>
      <w:r w:rsidRPr="00C960A2">
        <w:rPr>
          <w:lang w:val="en-GB"/>
        </w:rPr>
        <w:t xml:space="preserve">Bullying victimization as a predictor of suicidal ideation and suicide attempt among senior high school students in Ghana: Results from the 2012 Ghana Global School-Based Health Survey. </w:t>
      </w:r>
      <w:r w:rsidRPr="003A72D7">
        <w:rPr>
          <w:i/>
          <w:lang w:val="en-GB"/>
        </w:rPr>
        <w:t>Journal of School Violence, 18</w:t>
      </w:r>
      <w:r w:rsidRPr="00C960A2">
        <w:rPr>
          <w:lang w:val="en-GB"/>
        </w:rPr>
        <w:t>(2), 300-317.</w:t>
      </w:r>
      <w:r>
        <w:rPr>
          <w:lang w:val="en-GB"/>
        </w:rPr>
        <w:t xml:space="preserve"> </w:t>
      </w:r>
      <w:hyperlink r:id="rId10" w:history="1">
        <w:r w:rsidRPr="002A7A4B">
          <w:rPr>
            <w:rStyle w:val="Hipervnculo"/>
            <w:lang w:val="en-GB"/>
          </w:rPr>
          <w:t>https://doi.org/10.1080/15388220.2018.1486200</w:t>
        </w:r>
      </w:hyperlink>
      <w:r w:rsidRPr="002A7A4B">
        <w:rPr>
          <w:lang w:val="en-GB"/>
        </w:rPr>
        <w:t xml:space="preserve"> </w:t>
      </w:r>
    </w:p>
    <w:p w14:paraId="6F719373" w14:textId="77777777" w:rsidR="00094D47" w:rsidRPr="00C960A2" w:rsidRDefault="00094D47" w:rsidP="00C960A2">
      <w:pPr>
        <w:ind w:left="720" w:hanging="720"/>
        <w:jc w:val="both"/>
        <w:rPr>
          <w:lang w:val="en-GB"/>
        </w:rPr>
      </w:pPr>
      <w:proofErr w:type="spellStart"/>
      <w:r w:rsidRPr="002A7A4B">
        <w:rPr>
          <w:lang w:val="en-GB"/>
        </w:rPr>
        <w:t>Caprara</w:t>
      </w:r>
      <w:proofErr w:type="spellEnd"/>
      <w:r w:rsidRPr="002A7A4B">
        <w:rPr>
          <w:lang w:val="en-GB"/>
        </w:rPr>
        <w:t xml:space="preserve">, G. V., </w:t>
      </w:r>
      <w:proofErr w:type="spellStart"/>
      <w:r w:rsidRPr="002A7A4B">
        <w:rPr>
          <w:lang w:val="en-GB"/>
        </w:rPr>
        <w:t>Luengo-Kanacri</w:t>
      </w:r>
      <w:proofErr w:type="spellEnd"/>
      <w:r w:rsidRPr="002A7A4B">
        <w:rPr>
          <w:lang w:val="en-GB"/>
        </w:rPr>
        <w:t xml:space="preserve">, B. P., </w:t>
      </w:r>
      <w:proofErr w:type="spellStart"/>
      <w:r w:rsidRPr="002A7A4B">
        <w:rPr>
          <w:lang w:val="en-GB"/>
        </w:rPr>
        <w:t>Zuffianò</w:t>
      </w:r>
      <w:proofErr w:type="spellEnd"/>
      <w:r w:rsidRPr="002A7A4B">
        <w:rPr>
          <w:lang w:val="en-GB"/>
        </w:rPr>
        <w:t xml:space="preserve">, A., </w:t>
      </w:r>
      <w:proofErr w:type="spellStart"/>
      <w:r w:rsidRPr="002A7A4B">
        <w:rPr>
          <w:lang w:val="en-GB"/>
        </w:rPr>
        <w:t>Gerbino</w:t>
      </w:r>
      <w:proofErr w:type="spellEnd"/>
      <w:r w:rsidRPr="002A7A4B">
        <w:rPr>
          <w:lang w:val="en-GB"/>
        </w:rPr>
        <w:t xml:space="preserve">, M., &amp; </w:t>
      </w:r>
      <w:proofErr w:type="spellStart"/>
      <w:r w:rsidRPr="002A7A4B">
        <w:rPr>
          <w:lang w:val="en-GB"/>
        </w:rPr>
        <w:t>Pastorelli</w:t>
      </w:r>
      <w:proofErr w:type="spellEnd"/>
      <w:r w:rsidRPr="002A7A4B">
        <w:rPr>
          <w:lang w:val="en-GB"/>
        </w:rPr>
        <w:t xml:space="preserve">, C. (2015). </w:t>
      </w:r>
      <w:r w:rsidRPr="00C960A2">
        <w:rPr>
          <w:lang w:val="en-GB"/>
        </w:rPr>
        <w:t xml:space="preserve">Why and how to promote adolescents’ prosocial </w:t>
      </w:r>
      <w:proofErr w:type="spellStart"/>
      <w:r w:rsidRPr="00C960A2">
        <w:rPr>
          <w:lang w:val="en-GB"/>
        </w:rPr>
        <w:t>behaviors</w:t>
      </w:r>
      <w:proofErr w:type="spellEnd"/>
      <w:r w:rsidRPr="00C960A2">
        <w:rPr>
          <w:lang w:val="en-GB"/>
        </w:rPr>
        <w:t xml:space="preserve">: direct, mediated and moderated effects of the CEPIDEA school-based program. </w:t>
      </w:r>
      <w:r w:rsidRPr="003A72D7">
        <w:rPr>
          <w:i/>
          <w:lang w:val="en-GB"/>
        </w:rPr>
        <w:t>Journal of Youth and Adolescence, 44</w:t>
      </w:r>
      <w:r w:rsidRPr="00C960A2">
        <w:rPr>
          <w:lang w:val="en-GB"/>
        </w:rPr>
        <w:t>(12), 2211-2229.</w:t>
      </w:r>
      <w:r>
        <w:rPr>
          <w:lang w:val="en-GB"/>
        </w:rPr>
        <w:t xml:space="preserve"> </w:t>
      </w:r>
      <w:hyperlink r:id="rId11" w:history="1">
        <w:r w:rsidRPr="005C5FA4">
          <w:rPr>
            <w:rStyle w:val="Hipervnculo"/>
            <w:lang w:val="en-GB"/>
          </w:rPr>
          <w:t>https://doi.org/10.1007/s10964-015-0293-1</w:t>
        </w:r>
      </w:hyperlink>
      <w:r>
        <w:rPr>
          <w:lang w:val="en-GB"/>
        </w:rPr>
        <w:t xml:space="preserve"> </w:t>
      </w:r>
    </w:p>
    <w:p w14:paraId="733287B4" w14:textId="77777777" w:rsidR="00094D47" w:rsidRPr="00C960A2" w:rsidRDefault="00094D47" w:rsidP="00C960A2">
      <w:pPr>
        <w:ind w:left="720" w:hanging="720"/>
        <w:jc w:val="both"/>
        <w:rPr>
          <w:lang w:val="en-GB"/>
        </w:rPr>
      </w:pPr>
      <w:proofErr w:type="spellStart"/>
      <w:r w:rsidRPr="00C960A2">
        <w:rPr>
          <w:lang w:val="en-GB"/>
        </w:rPr>
        <w:t>Caprara</w:t>
      </w:r>
      <w:proofErr w:type="spellEnd"/>
      <w:r w:rsidRPr="00C960A2">
        <w:rPr>
          <w:lang w:val="en-GB"/>
        </w:rPr>
        <w:t xml:space="preserve">, G., &amp; </w:t>
      </w:r>
      <w:proofErr w:type="spellStart"/>
      <w:r w:rsidRPr="00C960A2">
        <w:rPr>
          <w:lang w:val="en-GB"/>
        </w:rPr>
        <w:t>Pastorelli</w:t>
      </w:r>
      <w:proofErr w:type="spellEnd"/>
      <w:r w:rsidRPr="00C960A2">
        <w:rPr>
          <w:lang w:val="en-GB"/>
        </w:rPr>
        <w:t xml:space="preserve">, C. (1993). Early emotional instability, prosocial behaviour and aggression: Some methodological aspects. </w:t>
      </w:r>
      <w:r w:rsidRPr="003A72D7">
        <w:rPr>
          <w:i/>
          <w:lang w:val="en-GB"/>
        </w:rPr>
        <w:t>European Journal of Personality, 7</w:t>
      </w:r>
      <w:r w:rsidRPr="00C960A2">
        <w:rPr>
          <w:lang w:val="en-GB"/>
        </w:rPr>
        <w:t>, 19-36.</w:t>
      </w:r>
      <w:r>
        <w:rPr>
          <w:lang w:val="en-GB"/>
        </w:rPr>
        <w:t xml:space="preserve"> </w:t>
      </w:r>
      <w:hyperlink r:id="rId12" w:history="1">
        <w:r w:rsidRPr="005C5FA4">
          <w:rPr>
            <w:rStyle w:val="Hipervnculo"/>
            <w:lang w:val="en-GB"/>
          </w:rPr>
          <w:t>https://doi.org/10.1002/per.2410070103</w:t>
        </w:r>
      </w:hyperlink>
      <w:r>
        <w:rPr>
          <w:lang w:val="en-GB"/>
        </w:rPr>
        <w:t xml:space="preserve"> </w:t>
      </w:r>
    </w:p>
    <w:p w14:paraId="748CF801" w14:textId="77777777" w:rsidR="00094D47" w:rsidRPr="002A7A4B" w:rsidRDefault="00094D47" w:rsidP="00C960A2">
      <w:pPr>
        <w:ind w:left="720" w:hanging="720"/>
        <w:jc w:val="both"/>
        <w:rPr>
          <w:lang w:val="en-GB"/>
        </w:rPr>
      </w:pPr>
      <w:r w:rsidRPr="00C960A2">
        <w:rPr>
          <w:lang w:val="en-GB"/>
        </w:rPr>
        <w:t xml:space="preserve">Carlo, G., Mestre, V., McGinley, M., Samper, P., Tur, A., &amp; Sandman, D. (2012). The interplay of emotional instability, empathy, and coping on prosocial and aggressive </w:t>
      </w:r>
      <w:proofErr w:type="spellStart"/>
      <w:r w:rsidRPr="00C960A2">
        <w:rPr>
          <w:lang w:val="en-GB"/>
        </w:rPr>
        <w:t>behaviors</w:t>
      </w:r>
      <w:proofErr w:type="spellEnd"/>
      <w:r w:rsidRPr="00C960A2">
        <w:rPr>
          <w:lang w:val="en-GB"/>
        </w:rPr>
        <w:t xml:space="preserve">. </w:t>
      </w:r>
      <w:r w:rsidRPr="004D186E">
        <w:rPr>
          <w:i/>
          <w:lang w:val="en-GB"/>
        </w:rPr>
        <w:t>Personality and Individual Differences, 53</w:t>
      </w:r>
      <w:r w:rsidRPr="004D186E">
        <w:rPr>
          <w:lang w:val="en-GB"/>
        </w:rPr>
        <w:t xml:space="preserve">(5), 675-680. </w:t>
      </w:r>
      <w:hyperlink r:id="rId13" w:history="1">
        <w:r w:rsidRPr="002A7A4B">
          <w:rPr>
            <w:rStyle w:val="Hipervnculo"/>
            <w:lang w:val="en-GB"/>
          </w:rPr>
          <w:t>http://dx.doi.org/10.1016/j.paid.2012.05.022</w:t>
        </w:r>
      </w:hyperlink>
      <w:r w:rsidRPr="002A7A4B">
        <w:rPr>
          <w:lang w:val="en-GB"/>
        </w:rPr>
        <w:t xml:space="preserve"> </w:t>
      </w:r>
    </w:p>
    <w:p w14:paraId="5F1322B1" w14:textId="77777777" w:rsidR="00094D47" w:rsidRPr="00C960A2" w:rsidRDefault="00094D47" w:rsidP="00C960A2">
      <w:pPr>
        <w:ind w:left="720" w:hanging="720"/>
        <w:jc w:val="both"/>
        <w:rPr>
          <w:lang w:val="es-ES"/>
        </w:rPr>
      </w:pPr>
      <w:r w:rsidRPr="00C960A2">
        <w:rPr>
          <w:lang w:val="es-ES"/>
        </w:rPr>
        <w:t xml:space="preserve">Cetina, C., &amp; Moreno, J. (2015). Adaptación en adolescentes que practican actividad física frente a los que no practican. </w:t>
      </w:r>
      <w:r w:rsidRPr="003A72D7">
        <w:rPr>
          <w:i/>
          <w:lang w:val="es-ES"/>
        </w:rPr>
        <w:t>Informes Psicológicos, 15</w:t>
      </w:r>
      <w:r w:rsidRPr="00C960A2">
        <w:rPr>
          <w:lang w:val="es-ES"/>
        </w:rPr>
        <w:t>(1), 31-46.</w:t>
      </w:r>
      <w:r w:rsidRPr="004D186E">
        <w:rPr>
          <w:lang w:val="es-ES"/>
        </w:rPr>
        <w:t xml:space="preserve"> </w:t>
      </w:r>
      <w:hyperlink r:id="rId14" w:history="1">
        <w:r w:rsidRPr="005C5FA4">
          <w:rPr>
            <w:rStyle w:val="Hipervnculo"/>
            <w:lang w:val="es-ES"/>
          </w:rPr>
          <w:t>http://dx.doi.org/10.18566/infpsicv15n1a02</w:t>
        </w:r>
      </w:hyperlink>
      <w:r>
        <w:rPr>
          <w:lang w:val="es-ES"/>
        </w:rPr>
        <w:t xml:space="preserve"> </w:t>
      </w:r>
    </w:p>
    <w:p w14:paraId="7C26C287" w14:textId="77777777" w:rsidR="00094D47" w:rsidRPr="00C960A2" w:rsidRDefault="00094D47" w:rsidP="00C960A2">
      <w:pPr>
        <w:ind w:left="720" w:hanging="720"/>
        <w:jc w:val="both"/>
        <w:rPr>
          <w:lang w:val="en-GB"/>
        </w:rPr>
      </w:pPr>
      <w:r w:rsidRPr="00C960A2">
        <w:rPr>
          <w:lang w:val="es-ES"/>
        </w:rPr>
        <w:t xml:space="preserve">Chu, X., Fan, C., </w:t>
      </w:r>
      <w:proofErr w:type="spellStart"/>
      <w:r w:rsidRPr="00C960A2">
        <w:rPr>
          <w:lang w:val="es-ES"/>
        </w:rPr>
        <w:t>Lian</w:t>
      </w:r>
      <w:proofErr w:type="spellEnd"/>
      <w:r w:rsidRPr="00C960A2">
        <w:rPr>
          <w:lang w:val="es-ES"/>
        </w:rPr>
        <w:t xml:space="preserve">, S., &amp; Zhou, Z. (2019). </w:t>
      </w:r>
      <w:r w:rsidRPr="00C960A2">
        <w:rPr>
          <w:lang w:val="en-GB"/>
        </w:rPr>
        <w:t xml:space="preserve">Does bullying victimization really influence adolescents’ psychosocial problems? A three-wave longitudinal study in China. </w:t>
      </w:r>
      <w:r w:rsidRPr="003A72D7">
        <w:rPr>
          <w:i/>
          <w:lang w:val="en-GB"/>
        </w:rPr>
        <w:t>Journal of Affective Disorders, 246</w:t>
      </w:r>
      <w:r w:rsidRPr="00C960A2">
        <w:rPr>
          <w:lang w:val="en-GB"/>
        </w:rPr>
        <w:t xml:space="preserve">, 603-610. </w:t>
      </w:r>
      <w:hyperlink r:id="rId15" w:history="1">
        <w:r w:rsidRPr="005C5FA4">
          <w:rPr>
            <w:rStyle w:val="Hipervnculo"/>
            <w:lang w:val="en-GB"/>
          </w:rPr>
          <w:t>https://doi.org/10.1016/j.jad.2018.12.103</w:t>
        </w:r>
      </w:hyperlink>
      <w:r>
        <w:rPr>
          <w:lang w:val="en-GB"/>
        </w:rPr>
        <w:t xml:space="preserve"> </w:t>
      </w:r>
    </w:p>
    <w:p w14:paraId="7601BA43" w14:textId="77777777" w:rsidR="00094D47" w:rsidRPr="00C960A2" w:rsidRDefault="00094D47" w:rsidP="00C960A2">
      <w:pPr>
        <w:ind w:left="720" w:hanging="720"/>
        <w:jc w:val="both"/>
        <w:rPr>
          <w:lang w:val="es-ES"/>
        </w:rPr>
      </w:pPr>
      <w:r w:rsidRPr="00C960A2">
        <w:rPr>
          <w:lang w:val="en-GB"/>
        </w:rPr>
        <w:t xml:space="preserve">Chu-Fung, A., Ha, E., Zhou, G., Tsang, A., Yee, M., &amp; Hung, B. (2019). Relationship Between Peer Victimization and Reactive–Proactive Aggression in School Children. </w:t>
      </w:r>
      <w:proofErr w:type="spellStart"/>
      <w:r w:rsidRPr="003A72D7">
        <w:rPr>
          <w:i/>
          <w:lang w:val="es-ES"/>
        </w:rPr>
        <w:t>Psychology</w:t>
      </w:r>
      <w:proofErr w:type="spellEnd"/>
      <w:r w:rsidRPr="003A72D7">
        <w:rPr>
          <w:i/>
          <w:lang w:val="es-ES"/>
        </w:rPr>
        <w:t xml:space="preserve"> </w:t>
      </w:r>
      <w:proofErr w:type="spellStart"/>
      <w:r w:rsidRPr="003A72D7">
        <w:rPr>
          <w:i/>
          <w:lang w:val="es-ES"/>
        </w:rPr>
        <w:t>of</w:t>
      </w:r>
      <w:proofErr w:type="spellEnd"/>
      <w:r w:rsidRPr="003A72D7">
        <w:rPr>
          <w:i/>
          <w:lang w:val="es-ES"/>
        </w:rPr>
        <w:t xml:space="preserve"> </w:t>
      </w:r>
      <w:proofErr w:type="spellStart"/>
      <w:r w:rsidRPr="003A72D7">
        <w:rPr>
          <w:i/>
          <w:lang w:val="es-ES"/>
        </w:rPr>
        <w:t>Violence</w:t>
      </w:r>
      <w:proofErr w:type="spellEnd"/>
      <w:r w:rsidRPr="003A72D7">
        <w:rPr>
          <w:i/>
          <w:lang w:val="es-ES"/>
        </w:rPr>
        <w:t>, 9</w:t>
      </w:r>
      <w:r w:rsidRPr="00C960A2">
        <w:rPr>
          <w:lang w:val="es-ES"/>
        </w:rPr>
        <w:t>(3), 350-358.</w:t>
      </w:r>
    </w:p>
    <w:p w14:paraId="3B539B0B" w14:textId="77777777" w:rsidR="00094D47" w:rsidRPr="00C960A2" w:rsidRDefault="00094D47" w:rsidP="00C960A2">
      <w:pPr>
        <w:ind w:left="720" w:hanging="720"/>
        <w:jc w:val="both"/>
        <w:rPr>
          <w:lang w:val="es-ES"/>
        </w:rPr>
      </w:pPr>
      <w:r w:rsidRPr="00C960A2">
        <w:rPr>
          <w:lang w:val="es-ES"/>
        </w:rPr>
        <w:t xml:space="preserve">Del Barrio, V., Moreno, C., &amp; López, R. (2001). Evaluación de la agresión y la inestabilidad emocional en niños españoles: su relación con la depresión. </w:t>
      </w:r>
      <w:r w:rsidRPr="003A72D7">
        <w:rPr>
          <w:i/>
          <w:lang w:val="es-ES"/>
        </w:rPr>
        <w:t>Clínica y Salud, 12</w:t>
      </w:r>
      <w:r w:rsidRPr="00C960A2">
        <w:rPr>
          <w:lang w:val="es-ES"/>
        </w:rPr>
        <w:t>, 33-50.</w:t>
      </w:r>
    </w:p>
    <w:p w14:paraId="116FD4D5" w14:textId="77777777" w:rsidR="00094D47" w:rsidRPr="00C960A2" w:rsidRDefault="00094D47" w:rsidP="00C960A2">
      <w:pPr>
        <w:ind w:left="720" w:hanging="720"/>
        <w:jc w:val="both"/>
        <w:rPr>
          <w:lang w:val="es-ES"/>
        </w:rPr>
      </w:pPr>
      <w:r w:rsidRPr="00C960A2">
        <w:rPr>
          <w:lang w:val="es-ES"/>
        </w:rPr>
        <w:t xml:space="preserve">Díaz-Aguado, M. J., Martínez, R., &amp; Martín, J. (2013). El acoso entre adolescentes en España. Prevalencia, papeles adoptados por todo el grupo y características a las que atribuyen la victimización. </w:t>
      </w:r>
      <w:r w:rsidRPr="003A72D7">
        <w:rPr>
          <w:i/>
          <w:lang w:val="es-ES"/>
        </w:rPr>
        <w:t>Revista de Educación</w:t>
      </w:r>
      <w:r w:rsidRPr="00C960A2">
        <w:rPr>
          <w:lang w:val="es-ES"/>
        </w:rPr>
        <w:t xml:space="preserve">, (362), 348-379. </w:t>
      </w:r>
    </w:p>
    <w:p w14:paraId="0A44AF12" w14:textId="77777777" w:rsidR="00094D47" w:rsidRPr="00C960A2" w:rsidRDefault="00094D47" w:rsidP="00C960A2">
      <w:pPr>
        <w:ind w:left="720" w:hanging="720"/>
        <w:jc w:val="both"/>
        <w:rPr>
          <w:lang w:val="es-ES"/>
        </w:rPr>
      </w:pPr>
      <w:proofErr w:type="spellStart"/>
      <w:r w:rsidRPr="00C960A2">
        <w:rPr>
          <w:lang w:val="es-ES"/>
        </w:rPr>
        <w:t>Eljach</w:t>
      </w:r>
      <w:proofErr w:type="spellEnd"/>
      <w:r w:rsidRPr="00C960A2">
        <w:rPr>
          <w:lang w:val="es-ES"/>
        </w:rPr>
        <w:t xml:space="preserve">, S. (2011). </w:t>
      </w:r>
      <w:r w:rsidRPr="003A72D7">
        <w:rPr>
          <w:i/>
          <w:lang w:val="es-ES"/>
        </w:rPr>
        <w:t>Violencia escolar en América Latina y el Caribe: Superficie y fondo</w:t>
      </w:r>
      <w:r w:rsidRPr="00C960A2">
        <w:rPr>
          <w:lang w:val="es-ES"/>
        </w:rPr>
        <w:t>. Panamá: Plan Internacional-UNICEF.</w:t>
      </w:r>
    </w:p>
    <w:p w14:paraId="07FD0827" w14:textId="77777777" w:rsidR="00094D47" w:rsidRPr="00C960A2" w:rsidRDefault="00094D47" w:rsidP="00C960A2">
      <w:pPr>
        <w:ind w:left="720" w:hanging="720"/>
        <w:jc w:val="both"/>
        <w:rPr>
          <w:lang w:val="es-ES"/>
        </w:rPr>
      </w:pPr>
      <w:r w:rsidRPr="00C960A2">
        <w:rPr>
          <w:lang w:val="es-ES"/>
        </w:rPr>
        <w:t xml:space="preserve">Enríquez, M., &amp; Garzón, F. (2015). El acoso escolar. </w:t>
      </w:r>
      <w:r w:rsidRPr="003A72D7">
        <w:rPr>
          <w:i/>
          <w:lang w:val="es-ES"/>
        </w:rPr>
        <w:t>Saber, Ciencia y Libertad, 10</w:t>
      </w:r>
      <w:r w:rsidRPr="00C960A2">
        <w:rPr>
          <w:lang w:val="es-ES"/>
        </w:rPr>
        <w:t>(1), 219-233.</w:t>
      </w:r>
    </w:p>
    <w:p w14:paraId="112E8601" w14:textId="77777777" w:rsidR="00094D47" w:rsidRPr="00C960A2" w:rsidRDefault="00094D47" w:rsidP="00C960A2">
      <w:pPr>
        <w:ind w:left="720" w:hanging="720"/>
        <w:jc w:val="both"/>
        <w:rPr>
          <w:lang w:val="es-ES"/>
        </w:rPr>
      </w:pPr>
      <w:r w:rsidRPr="00C960A2">
        <w:rPr>
          <w:lang w:val="es-ES"/>
        </w:rPr>
        <w:lastRenderedPageBreak/>
        <w:t xml:space="preserve">Espaillat, V. (2016). </w:t>
      </w:r>
      <w:r w:rsidRPr="003A72D7">
        <w:rPr>
          <w:i/>
          <w:lang w:val="es-ES"/>
        </w:rPr>
        <w:t>Factores asociados a la violencia en el contexto escolar y familiar: el papel del apego, las expectativas de clase social, la violencia simbólica y el género (Tesis doctoral)</w:t>
      </w:r>
      <w:r w:rsidRPr="00C960A2">
        <w:rPr>
          <w:lang w:val="es-ES"/>
        </w:rPr>
        <w:t>. Universidad de Salamanca, Salamanca, España.</w:t>
      </w:r>
    </w:p>
    <w:p w14:paraId="40D792EE" w14:textId="77777777" w:rsidR="00094D47" w:rsidRPr="00C960A2" w:rsidRDefault="00094D47" w:rsidP="00C960A2">
      <w:pPr>
        <w:ind w:left="720" w:hanging="720"/>
        <w:jc w:val="both"/>
        <w:rPr>
          <w:lang w:val="en-GB"/>
        </w:rPr>
      </w:pPr>
      <w:proofErr w:type="spellStart"/>
      <w:r w:rsidRPr="00C960A2">
        <w:rPr>
          <w:lang w:val="es-ES"/>
        </w:rPr>
        <w:t>Finney</w:t>
      </w:r>
      <w:proofErr w:type="spellEnd"/>
      <w:r w:rsidRPr="00C960A2">
        <w:rPr>
          <w:lang w:val="es-ES"/>
        </w:rPr>
        <w:t xml:space="preserve">, S. J., &amp; </w:t>
      </w:r>
      <w:proofErr w:type="spellStart"/>
      <w:r w:rsidRPr="00C960A2">
        <w:rPr>
          <w:lang w:val="es-ES"/>
        </w:rPr>
        <w:t>DiStefano</w:t>
      </w:r>
      <w:proofErr w:type="spellEnd"/>
      <w:r w:rsidRPr="00C960A2">
        <w:rPr>
          <w:lang w:val="es-ES"/>
        </w:rPr>
        <w:t xml:space="preserve">, C. (2013). </w:t>
      </w:r>
      <w:proofErr w:type="spellStart"/>
      <w:r w:rsidRPr="00C960A2">
        <w:rPr>
          <w:lang w:val="en-GB"/>
        </w:rPr>
        <w:t>Nonnormal</w:t>
      </w:r>
      <w:proofErr w:type="spellEnd"/>
      <w:r w:rsidRPr="00C960A2">
        <w:rPr>
          <w:lang w:val="en-GB"/>
        </w:rPr>
        <w:t xml:space="preserve"> and categorical data in structural equation </w:t>
      </w:r>
      <w:proofErr w:type="spellStart"/>
      <w:r w:rsidRPr="00C960A2">
        <w:rPr>
          <w:lang w:val="en-GB"/>
        </w:rPr>
        <w:t>modeling</w:t>
      </w:r>
      <w:proofErr w:type="spellEnd"/>
      <w:r w:rsidRPr="00C960A2">
        <w:rPr>
          <w:lang w:val="en-GB"/>
        </w:rPr>
        <w:t xml:space="preserve">. In G.R. Hancock &amp; R.O. Mueller (Eds.), </w:t>
      </w:r>
      <w:r w:rsidRPr="003A72D7">
        <w:rPr>
          <w:i/>
          <w:lang w:val="en-GB"/>
        </w:rPr>
        <w:t xml:space="preserve">A second course in Structural Equation </w:t>
      </w:r>
      <w:proofErr w:type="spellStart"/>
      <w:r w:rsidRPr="003A72D7">
        <w:rPr>
          <w:i/>
          <w:lang w:val="en-GB"/>
        </w:rPr>
        <w:t>Modeling</w:t>
      </w:r>
      <w:proofErr w:type="spellEnd"/>
      <w:r w:rsidRPr="00C960A2">
        <w:rPr>
          <w:lang w:val="en-GB"/>
        </w:rPr>
        <w:t xml:space="preserve"> (2nd ed., pp. 439-492). Information Age.</w:t>
      </w:r>
    </w:p>
    <w:p w14:paraId="292C81A4" w14:textId="77777777" w:rsidR="00094D47" w:rsidRPr="00C960A2" w:rsidRDefault="00094D47" w:rsidP="00C960A2">
      <w:pPr>
        <w:ind w:left="720" w:hanging="720"/>
        <w:jc w:val="both"/>
        <w:rPr>
          <w:lang w:val="en-GB"/>
        </w:rPr>
      </w:pPr>
      <w:r w:rsidRPr="00C960A2">
        <w:rPr>
          <w:lang w:val="en-GB"/>
        </w:rPr>
        <w:t>Foss-</w:t>
      </w:r>
      <w:proofErr w:type="spellStart"/>
      <w:r w:rsidRPr="00C960A2">
        <w:rPr>
          <w:lang w:val="en-GB"/>
        </w:rPr>
        <w:t>Sigurdson</w:t>
      </w:r>
      <w:proofErr w:type="spellEnd"/>
      <w:r w:rsidRPr="00C960A2">
        <w:rPr>
          <w:lang w:val="en-GB"/>
        </w:rPr>
        <w:t xml:space="preserve">, J., </w:t>
      </w:r>
      <w:proofErr w:type="spellStart"/>
      <w:r w:rsidRPr="00C960A2">
        <w:rPr>
          <w:lang w:val="en-GB"/>
        </w:rPr>
        <w:t>Undheim</w:t>
      </w:r>
      <w:proofErr w:type="spellEnd"/>
      <w:r w:rsidRPr="00C960A2">
        <w:rPr>
          <w:lang w:val="en-GB"/>
        </w:rPr>
        <w:t xml:space="preserve">, A. M., Wallander, J., </w:t>
      </w:r>
      <w:proofErr w:type="spellStart"/>
      <w:r w:rsidRPr="00C960A2">
        <w:rPr>
          <w:lang w:val="en-GB"/>
        </w:rPr>
        <w:t>Lydersen</w:t>
      </w:r>
      <w:proofErr w:type="spellEnd"/>
      <w:r w:rsidRPr="00C960A2">
        <w:rPr>
          <w:lang w:val="en-GB"/>
        </w:rPr>
        <w:t xml:space="preserve">, S., &amp; </w:t>
      </w:r>
      <w:proofErr w:type="spellStart"/>
      <w:r w:rsidRPr="00C960A2">
        <w:rPr>
          <w:lang w:val="en-GB"/>
        </w:rPr>
        <w:t>Sund</w:t>
      </w:r>
      <w:proofErr w:type="spellEnd"/>
      <w:r w:rsidRPr="00C960A2">
        <w:rPr>
          <w:lang w:val="en-GB"/>
        </w:rPr>
        <w:t xml:space="preserve">, A. M. (2018). The Longitudinal Association of Being Bullied and Gender with Suicide Ideations, Self-Harm, and Suicide Attempts from Adolescence to Young Adulthood: A Cohort Study. </w:t>
      </w:r>
      <w:r w:rsidRPr="003A72D7">
        <w:rPr>
          <w:i/>
          <w:lang w:val="en-GB"/>
        </w:rPr>
        <w:t xml:space="preserve">Suicide and Life-Threatening </w:t>
      </w:r>
      <w:proofErr w:type="spellStart"/>
      <w:r w:rsidRPr="003A72D7">
        <w:rPr>
          <w:i/>
          <w:lang w:val="en-GB"/>
        </w:rPr>
        <w:t>Behavior</w:t>
      </w:r>
      <w:proofErr w:type="spellEnd"/>
      <w:r w:rsidRPr="003A72D7">
        <w:rPr>
          <w:i/>
          <w:lang w:val="en-GB"/>
        </w:rPr>
        <w:t>, 48</w:t>
      </w:r>
      <w:r w:rsidRPr="00C960A2">
        <w:rPr>
          <w:lang w:val="en-GB"/>
        </w:rPr>
        <w:t>(2), 169-182.</w:t>
      </w:r>
      <w:r>
        <w:rPr>
          <w:lang w:val="en-GB"/>
        </w:rPr>
        <w:t xml:space="preserve"> </w:t>
      </w:r>
      <w:r w:rsidRPr="004D186E">
        <w:rPr>
          <w:lang w:val="en-GB"/>
        </w:rPr>
        <w:t>https://doi.org/ 10.1111/sltb.12358</w:t>
      </w:r>
      <w:r>
        <w:rPr>
          <w:lang w:val="en-GB"/>
        </w:rPr>
        <w:t xml:space="preserve"> </w:t>
      </w:r>
    </w:p>
    <w:p w14:paraId="2B762781" w14:textId="77777777" w:rsidR="00094D47" w:rsidRPr="0095209E" w:rsidRDefault="00094D47" w:rsidP="00C960A2">
      <w:pPr>
        <w:ind w:left="720" w:hanging="720"/>
        <w:jc w:val="both"/>
        <w:rPr>
          <w:lang w:val="en-GB"/>
        </w:rPr>
      </w:pPr>
      <w:r w:rsidRPr="00C960A2">
        <w:rPr>
          <w:lang w:val="en-GB"/>
        </w:rPr>
        <w:t xml:space="preserve">Fredrick, S., &amp; </w:t>
      </w:r>
      <w:proofErr w:type="spellStart"/>
      <w:r w:rsidRPr="00C960A2">
        <w:rPr>
          <w:lang w:val="en-GB"/>
        </w:rPr>
        <w:t>Demaray</w:t>
      </w:r>
      <w:proofErr w:type="spellEnd"/>
      <w:r w:rsidRPr="00C960A2">
        <w:rPr>
          <w:lang w:val="en-GB"/>
        </w:rPr>
        <w:t xml:space="preserve">, M. (2018). Peer victimization and suicidal ideation: The role of gender and depression in a school-based sample. </w:t>
      </w:r>
      <w:r w:rsidRPr="003A72D7">
        <w:rPr>
          <w:i/>
          <w:lang w:val="en-GB"/>
        </w:rPr>
        <w:t>Journal of School Psychology, 67</w:t>
      </w:r>
      <w:r w:rsidRPr="00C960A2">
        <w:rPr>
          <w:lang w:val="en-GB"/>
        </w:rPr>
        <w:t>, 1-15.</w:t>
      </w:r>
      <w:r>
        <w:rPr>
          <w:lang w:val="en-GB"/>
        </w:rPr>
        <w:t xml:space="preserve"> </w:t>
      </w:r>
      <w:hyperlink r:id="rId16" w:history="1">
        <w:r w:rsidRPr="0095209E">
          <w:rPr>
            <w:rStyle w:val="Hipervnculo"/>
            <w:lang w:val="en-GB"/>
          </w:rPr>
          <w:t>https://doi.org/10.1016/j.jsp.2018.02.001</w:t>
        </w:r>
      </w:hyperlink>
      <w:r w:rsidRPr="0095209E">
        <w:rPr>
          <w:lang w:val="en-GB"/>
        </w:rPr>
        <w:t xml:space="preserve"> </w:t>
      </w:r>
    </w:p>
    <w:p w14:paraId="6ED638CE" w14:textId="77777777" w:rsidR="00094D47" w:rsidRPr="00094D47" w:rsidRDefault="00094D47" w:rsidP="00C960A2">
      <w:pPr>
        <w:ind w:left="720" w:hanging="720"/>
        <w:jc w:val="both"/>
        <w:rPr>
          <w:lang w:val="es-ES"/>
        </w:rPr>
      </w:pPr>
      <w:r w:rsidRPr="00C5715C">
        <w:rPr>
          <w:lang w:val="es-ES"/>
        </w:rPr>
        <w:t>Garaigordobil, M., Martínez-</w:t>
      </w:r>
      <w:proofErr w:type="spellStart"/>
      <w:r w:rsidRPr="00C5715C">
        <w:rPr>
          <w:lang w:val="es-ES"/>
        </w:rPr>
        <w:t>Valderrey</w:t>
      </w:r>
      <w:proofErr w:type="spellEnd"/>
      <w:r w:rsidRPr="00C5715C">
        <w:rPr>
          <w:lang w:val="es-ES"/>
        </w:rPr>
        <w:t xml:space="preserve">, V., Páez, D., &amp; Cardozo, G. (2015). </w:t>
      </w:r>
      <w:r w:rsidRPr="00C960A2">
        <w:rPr>
          <w:lang w:val="es-ES"/>
        </w:rPr>
        <w:t xml:space="preserve">Bullying y </w:t>
      </w:r>
      <w:proofErr w:type="spellStart"/>
      <w:r w:rsidRPr="00C960A2">
        <w:rPr>
          <w:lang w:val="es-ES"/>
        </w:rPr>
        <w:t>ciberbulling</w:t>
      </w:r>
      <w:proofErr w:type="spellEnd"/>
      <w:r w:rsidRPr="00C960A2">
        <w:rPr>
          <w:lang w:val="es-ES"/>
        </w:rPr>
        <w:t xml:space="preserve">: diferencias entre colegios públicos-privados y religiosos y laicos. </w:t>
      </w:r>
      <w:r w:rsidRPr="00094D47">
        <w:rPr>
          <w:i/>
          <w:lang w:val="es-ES"/>
        </w:rPr>
        <w:t>Pensamiento Psicológico, 13</w:t>
      </w:r>
      <w:r w:rsidRPr="00094D47">
        <w:rPr>
          <w:lang w:val="es-ES"/>
        </w:rPr>
        <w:t xml:space="preserve">(1), 39-54. </w:t>
      </w:r>
      <w:proofErr w:type="gramStart"/>
      <w:r w:rsidRPr="00094D47">
        <w:rPr>
          <w:lang w:val="es-ES"/>
        </w:rPr>
        <w:t>doi:10.11144/Javerianacali.PPSI13-1.bcdc</w:t>
      </w:r>
      <w:proofErr w:type="gramEnd"/>
      <w:r w:rsidRPr="00094D47">
        <w:rPr>
          <w:lang w:val="es-ES"/>
        </w:rPr>
        <w:t xml:space="preserve">  </w:t>
      </w:r>
    </w:p>
    <w:p w14:paraId="2B4E38D7" w14:textId="77777777" w:rsidR="00094D47" w:rsidRPr="00C960A2" w:rsidRDefault="00094D47" w:rsidP="00C960A2">
      <w:pPr>
        <w:ind w:left="720" w:hanging="720"/>
        <w:jc w:val="both"/>
        <w:rPr>
          <w:lang w:val="en-GB"/>
        </w:rPr>
      </w:pPr>
      <w:r w:rsidRPr="00094D47">
        <w:rPr>
          <w:lang w:val="es-ES"/>
        </w:rPr>
        <w:t xml:space="preserve">Griffin, R. S., &amp; Gross, A. M. (2004). </w:t>
      </w:r>
      <w:r w:rsidRPr="00C960A2">
        <w:rPr>
          <w:lang w:val="en-GB"/>
        </w:rPr>
        <w:t xml:space="preserve">Childhood bullying: Current empirical findings and future directions for research. </w:t>
      </w:r>
      <w:r w:rsidRPr="003A72D7">
        <w:rPr>
          <w:i/>
          <w:lang w:val="en-GB"/>
        </w:rPr>
        <w:t xml:space="preserve">Aggression and Violent </w:t>
      </w:r>
      <w:proofErr w:type="spellStart"/>
      <w:r w:rsidRPr="003A72D7">
        <w:rPr>
          <w:i/>
          <w:lang w:val="en-GB"/>
        </w:rPr>
        <w:t>Behavior</w:t>
      </w:r>
      <w:proofErr w:type="spellEnd"/>
      <w:r w:rsidRPr="003A72D7">
        <w:rPr>
          <w:i/>
          <w:lang w:val="en-GB"/>
        </w:rPr>
        <w:t>, 9</w:t>
      </w:r>
      <w:r w:rsidRPr="00C960A2">
        <w:rPr>
          <w:lang w:val="en-GB"/>
        </w:rPr>
        <w:t>, 379-400.</w:t>
      </w:r>
    </w:p>
    <w:p w14:paraId="72E74946" w14:textId="77777777" w:rsidR="00094D47" w:rsidRPr="002A7A4B" w:rsidRDefault="00094D47" w:rsidP="00C960A2">
      <w:pPr>
        <w:ind w:left="720" w:hanging="720"/>
        <w:jc w:val="both"/>
        <w:rPr>
          <w:lang w:val="en-GB"/>
        </w:rPr>
      </w:pPr>
      <w:r w:rsidRPr="00C960A2">
        <w:rPr>
          <w:lang w:val="en-GB"/>
        </w:rPr>
        <w:t xml:space="preserve">Hu, L., &amp; </w:t>
      </w:r>
      <w:proofErr w:type="spellStart"/>
      <w:r w:rsidRPr="00C960A2">
        <w:rPr>
          <w:lang w:val="en-GB"/>
        </w:rPr>
        <w:t>Bentler</w:t>
      </w:r>
      <w:proofErr w:type="spellEnd"/>
      <w:r w:rsidRPr="00C960A2">
        <w:rPr>
          <w:lang w:val="en-GB"/>
        </w:rPr>
        <w:t>, P. M. (1999). Cut-off criteria for fit indexes in covariance structure analysis: Conventional criteria versus new alternatives</w:t>
      </w:r>
      <w:r w:rsidRPr="003A72D7">
        <w:rPr>
          <w:i/>
          <w:lang w:val="en-GB"/>
        </w:rPr>
        <w:t xml:space="preserve">. </w:t>
      </w:r>
      <w:r w:rsidRPr="002A7A4B">
        <w:rPr>
          <w:i/>
          <w:lang w:val="en-GB"/>
        </w:rPr>
        <w:t xml:space="preserve">Structural Equation </w:t>
      </w:r>
      <w:proofErr w:type="spellStart"/>
      <w:r w:rsidRPr="002A7A4B">
        <w:rPr>
          <w:i/>
          <w:lang w:val="en-GB"/>
        </w:rPr>
        <w:t>Modeling</w:t>
      </w:r>
      <w:proofErr w:type="spellEnd"/>
      <w:r w:rsidRPr="002A7A4B">
        <w:rPr>
          <w:i/>
          <w:lang w:val="en-GB"/>
        </w:rPr>
        <w:t>, 6</w:t>
      </w:r>
      <w:r w:rsidRPr="002A7A4B">
        <w:rPr>
          <w:lang w:val="en-GB"/>
        </w:rPr>
        <w:t xml:space="preserve">, 1-55. </w:t>
      </w:r>
      <w:hyperlink r:id="rId17" w:history="1">
        <w:r w:rsidRPr="002A7A4B">
          <w:rPr>
            <w:rStyle w:val="Hipervnculo"/>
            <w:lang w:val="en-GB"/>
          </w:rPr>
          <w:t>https://doi.org/10.1080/10705519909540118</w:t>
        </w:r>
      </w:hyperlink>
      <w:r w:rsidRPr="002A7A4B">
        <w:rPr>
          <w:lang w:val="en-GB"/>
        </w:rPr>
        <w:t xml:space="preserve"> </w:t>
      </w:r>
    </w:p>
    <w:p w14:paraId="2DF2F2F9" w14:textId="77777777" w:rsidR="00094D47" w:rsidRPr="002A7A4B" w:rsidRDefault="00094D47" w:rsidP="00094D47">
      <w:pPr>
        <w:ind w:left="720" w:hanging="720"/>
        <w:jc w:val="both"/>
        <w:rPr>
          <w:lang w:val="en-GB"/>
        </w:rPr>
      </w:pPr>
      <w:r w:rsidRPr="002A7A4B">
        <w:rPr>
          <w:lang w:val="en-GB"/>
        </w:rPr>
        <w:t xml:space="preserve">IAAP &amp; </w:t>
      </w:r>
      <w:proofErr w:type="spellStart"/>
      <w:r w:rsidRPr="002A7A4B">
        <w:rPr>
          <w:lang w:val="en-GB"/>
        </w:rPr>
        <w:t>IUPsyS</w:t>
      </w:r>
      <w:proofErr w:type="spellEnd"/>
      <w:r w:rsidRPr="002A7A4B">
        <w:rPr>
          <w:lang w:val="en-GB"/>
        </w:rPr>
        <w:t xml:space="preserve"> (2008). Universal Declaration of Ethical Principles for Psychologists. Available from the International Union of Psychological Science Web site: </w:t>
      </w:r>
      <w:hyperlink r:id="rId18" w:history="1">
        <w:r w:rsidRPr="002A7A4B">
          <w:rPr>
            <w:rStyle w:val="Hipervnculo"/>
            <w:lang w:val="en-GB"/>
          </w:rPr>
          <w:t>https://www.iupsys.net/about/governance/universal-declaration-of-ethical-principles-for-psychologists.html</w:t>
        </w:r>
      </w:hyperlink>
      <w:r w:rsidRPr="002A7A4B">
        <w:rPr>
          <w:lang w:val="en-GB"/>
        </w:rPr>
        <w:t xml:space="preserve"> </w:t>
      </w:r>
    </w:p>
    <w:p w14:paraId="5C600DB3" w14:textId="77777777" w:rsidR="00094D47" w:rsidRPr="002A7A4B" w:rsidRDefault="00094D47" w:rsidP="00C960A2">
      <w:pPr>
        <w:ind w:left="720" w:hanging="720"/>
        <w:jc w:val="both"/>
        <w:rPr>
          <w:lang w:val="es-ES"/>
        </w:rPr>
      </w:pPr>
      <w:r w:rsidRPr="00C960A2">
        <w:rPr>
          <w:lang w:val="es-ES"/>
        </w:rPr>
        <w:t xml:space="preserve">Inglés, C., Torregrosa, M., García Fernández, J. M., Martínez-Monteagudo, M., Estévez., E., &amp; Delgado, B. (2014). Conducta agresiva e inteligencia emocional en la adolescencia. </w:t>
      </w:r>
      <w:proofErr w:type="spellStart"/>
      <w:r w:rsidRPr="002A7A4B">
        <w:rPr>
          <w:i/>
          <w:lang w:val="es-ES"/>
        </w:rPr>
        <w:t>European</w:t>
      </w:r>
      <w:proofErr w:type="spellEnd"/>
      <w:r w:rsidRPr="002A7A4B">
        <w:rPr>
          <w:i/>
          <w:lang w:val="es-ES"/>
        </w:rPr>
        <w:t xml:space="preserve"> </w:t>
      </w:r>
      <w:proofErr w:type="spellStart"/>
      <w:r w:rsidRPr="002A7A4B">
        <w:rPr>
          <w:i/>
          <w:lang w:val="es-ES"/>
        </w:rPr>
        <w:t>Journal</w:t>
      </w:r>
      <w:proofErr w:type="spellEnd"/>
      <w:r w:rsidRPr="002A7A4B">
        <w:rPr>
          <w:i/>
          <w:lang w:val="es-ES"/>
        </w:rPr>
        <w:t xml:space="preserve"> </w:t>
      </w:r>
      <w:proofErr w:type="spellStart"/>
      <w:r w:rsidRPr="002A7A4B">
        <w:rPr>
          <w:i/>
          <w:lang w:val="es-ES"/>
        </w:rPr>
        <w:t>of</w:t>
      </w:r>
      <w:proofErr w:type="spellEnd"/>
      <w:r w:rsidRPr="002A7A4B">
        <w:rPr>
          <w:i/>
          <w:lang w:val="es-ES"/>
        </w:rPr>
        <w:t xml:space="preserve"> </w:t>
      </w:r>
      <w:proofErr w:type="spellStart"/>
      <w:r w:rsidRPr="002A7A4B">
        <w:rPr>
          <w:i/>
          <w:lang w:val="es-ES"/>
        </w:rPr>
        <w:t>Education</w:t>
      </w:r>
      <w:proofErr w:type="spellEnd"/>
      <w:r w:rsidRPr="002A7A4B">
        <w:rPr>
          <w:i/>
          <w:lang w:val="es-ES"/>
        </w:rPr>
        <w:t xml:space="preserve"> and </w:t>
      </w:r>
      <w:proofErr w:type="spellStart"/>
      <w:r w:rsidRPr="002A7A4B">
        <w:rPr>
          <w:i/>
          <w:lang w:val="es-ES"/>
        </w:rPr>
        <w:t>Psychology</w:t>
      </w:r>
      <w:proofErr w:type="spellEnd"/>
      <w:r w:rsidRPr="002A7A4B">
        <w:rPr>
          <w:i/>
          <w:lang w:val="es-ES"/>
        </w:rPr>
        <w:t>, 7</w:t>
      </w:r>
      <w:r w:rsidRPr="002A7A4B">
        <w:rPr>
          <w:lang w:val="es-ES"/>
        </w:rPr>
        <w:t xml:space="preserve">(1), 29-41. </w:t>
      </w:r>
      <w:hyperlink r:id="rId19" w:history="1">
        <w:r w:rsidRPr="002A7A4B">
          <w:rPr>
            <w:rStyle w:val="Hipervnculo"/>
            <w:lang w:val="es-ES"/>
          </w:rPr>
          <w:t>https://doi.org/10.30552/ejep.v7i1.97</w:t>
        </w:r>
      </w:hyperlink>
      <w:r w:rsidRPr="002A7A4B">
        <w:rPr>
          <w:lang w:val="es-ES"/>
        </w:rPr>
        <w:t xml:space="preserve"> </w:t>
      </w:r>
    </w:p>
    <w:p w14:paraId="6BFA84A9" w14:textId="77777777" w:rsidR="00094D47" w:rsidRPr="00C960A2" w:rsidRDefault="00094D47" w:rsidP="0074214E">
      <w:pPr>
        <w:ind w:left="720" w:hanging="720"/>
        <w:jc w:val="both"/>
        <w:rPr>
          <w:lang w:val="es-ES"/>
        </w:rPr>
      </w:pPr>
      <w:r w:rsidRPr="00C960A2">
        <w:rPr>
          <w:lang w:val="es-ES"/>
        </w:rPr>
        <w:t xml:space="preserve">ISP (1978). Resolución sobre la práctica psicológica y los derechos humanos. Revista Latinoamericana de Psicología, 10(2), 298-299. </w:t>
      </w:r>
      <w:hyperlink r:id="rId20" w:history="1">
        <w:r w:rsidRPr="00C960A2">
          <w:rPr>
            <w:rStyle w:val="Hipervnculo"/>
            <w:lang w:val="es-ES"/>
          </w:rPr>
          <w:t>http://doi.org/10.333.23rlp10i2.298-299</w:t>
        </w:r>
      </w:hyperlink>
      <w:r w:rsidRPr="00C960A2">
        <w:rPr>
          <w:lang w:val="es-ES"/>
        </w:rPr>
        <w:t xml:space="preserve"> </w:t>
      </w:r>
    </w:p>
    <w:p w14:paraId="04C0322C" w14:textId="77777777" w:rsidR="00094D47" w:rsidRPr="002A7A4B" w:rsidRDefault="00094D47" w:rsidP="0074214E">
      <w:pPr>
        <w:ind w:left="720" w:hanging="720"/>
        <w:jc w:val="both"/>
        <w:rPr>
          <w:lang w:val="en-GB"/>
        </w:rPr>
      </w:pPr>
      <w:r w:rsidRPr="00C960A2">
        <w:rPr>
          <w:lang w:val="es-ES"/>
        </w:rPr>
        <w:t xml:space="preserve">ISP (2008a). Declaración de la Mesa Directiva de la SIP sobre </w:t>
      </w:r>
      <w:proofErr w:type="spellStart"/>
      <w:r w:rsidRPr="00C960A2">
        <w:rPr>
          <w:lang w:val="es-ES"/>
        </w:rPr>
        <w:t>Terápias</w:t>
      </w:r>
      <w:proofErr w:type="spellEnd"/>
      <w:r w:rsidRPr="00C960A2">
        <w:rPr>
          <w:lang w:val="es-ES"/>
        </w:rPr>
        <w:t xml:space="preserve"> de Conversión. </w:t>
      </w:r>
      <w:r w:rsidRPr="002A7A4B">
        <w:rPr>
          <w:lang w:val="en-GB"/>
        </w:rPr>
        <w:t xml:space="preserve">Retrieved from </w:t>
      </w:r>
      <w:hyperlink r:id="rId21" w:history="1">
        <w:r w:rsidRPr="002A7A4B">
          <w:rPr>
            <w:rStyle w:val="Hipervnculo"/>
            <w:lang w:val="en-GB"/>
          </w:rPr>
          <w:t>https://archive.org/details/sip-2008a-declaracion-sobre-terapias-de-conversion</w:t>
        </w:r>
      </w:hyperlink>
      <w:r w:rsidRPr="002A7A4B">
        <w:rPr>
          <w:lang w:val="en-GB"/>
        </w:rPr>
        <w:t xml:space="preserve"> </w:t>
      </w:r>
    </w:p>
    <w:p w14:paraId="5C516F51" w14:textId="77777777" w:rsidR="00094D47" w:rsidRPr="002A7A4B" w:rsidRDefault="00094D47" w:rsidP="0074214E">
      <w:pPr>
        <w:ind w:left="720" w:hanging="720"/>
        <w:jc w:val="both"/>
        <w:rPr>
          <w:lang w:val="en-GB"/>
        </w:rPr>
      </w:pPr>
      <w:r w:rsidRPr="00C960A2">
        <w:rPr>
          <w:lang w:val="es-ES"/>
        </w:rPr>
        <w:t xml:space="preserve">ISP (2008b). Consideraciones Éticas de la SIP. </w:t>
      </w:r>
      <w:r w:rsidRPr="002A7A4B">
        <w:rPr>
          <w:lang w:val="en-GB"/>
        </w:rPr>
        <w:t xml:space="preserve">Retrieved from </w:t>
      </w:r>
      <w:hyperlink r:id="rId22" w:history="1">
        <w:r w:rsidRPr="002A7A4B">
          <w:rPr>
            <w:rStyle w:val="Hipervnculo"/>
            <w:lang w:val="en-GB"/>
          </w:rPr>
          <w:t>https://archive.org/details/sip-2008b-declaracion-sobre-principios-eticos</w:t>
        </w:r>
      </w:hyperlink>
      <w:r w:rsidRPr="002A7A4B">
        <w:rPr>
          <w:lang w:val="en-GB"/>
        </w:rPr>
        <w:t xml:space="preserve"> </w:t>
      </w:r>
    </w:p>
    <w:p w14:paraId="3B284C25" w14:textId="77777777" w:rsidR="00094D47" w:rsidRPr="002A7A4B" w:rsidRDefault="00094D47" w:rsidP="0074214E">
      <w:pPr>
        <w:ind w:left="720" w:hanging="720"/>
        <w:jc w:val="both"/>
        <w:rPr>
          <w:lang w:val="en-GB"/>
        </w:rPr>
      </w:pPr>
      <w:r w:rsidRPr="00C960A2">
        <w:rPr>
          <w:lang w:val="es-ES"/>
        </w:rPr>
        <w:t xml:space="preserve">ISP (2014). Declaración de la SIP sobre Refugiados menores de edad en tránsito a los Estados Unidos. </w:t>
      </w:r>
      <w:r w:rsidRPr="002A7A4B">
        <w:rPr>
          <w:lang w:val="en-GB"/>
        </w:rPr>
        <w:t xml:space="preserve">Retrieved from </w:t>
      </w:r>
      <w:hyperlink r:id="rId23" w:history="1">
        <w:r w:rsidRPr="002A7A4B">
          <w:rPr>
            <w:rStyle w:val="Hipervnculo"/>
            <w:lang w:val="en-GB"/>
          </w:rPr>
          <w:t>https://archive.org/details/sip-2014-declaracion-sobre-ninos-migrantes-en-centro-america</w:t>
        </w:r>
      </w:hyperlink>
      <w:r w:rsidRPr="002A7A4B">
        <w:rPr>
          <w:lang w:val="en-GB"/>
        </w:rPr>
        <w:t xml:space="preserve"> </w:t>
      </w:r>
    </w:p>
    <w:p w14:paraId="13FDF97E" w14:textId="77777777" w:rsidR="00094D47" w:rsidRPr="002A7A4B" w:rsidRDefault="00094D47" w:rsidP="0074214E">
      <w:pPr>
        <w:ind w:left="720" w:hanging="720"/>
        <w:jc w:val="both"/>
        <w:rPr>
          <w:lang w:val="en-GB"/>
        </w:rPr>
      </w:pPr>
      <w:r w:rsidRPr="00C960A2">
        <w:rPr>
          <w:lang w:val="es-ES"/>
        </w:rPr>
        <w:t xml:space="preserve">ISP (2016). Declaración de la SIP de apoyo a psicólogas y psicólogos colombianos que promueven los acuerdos de paz. </w:t>
      </w:r>
      <w:r w:rsidRPr="002A7A4B">
        <w:rPr>
          <w:lang w:val="en-GB"/>
        </w:rPr>
        <w:t xml:space="preserve">Retrieved from </w:t>
      </w:r>
      <w:hyperlink r:id="rId24" w:history="1">
        <w:r w:rsidRPr="002A7A4B">
          <w:rPr>
            <w:rStyle w:val="Hipervnculo"/>
            <w:lang w:val="en-GB"/>
          </w:rPr>
          <w:t>https://archive.org/details/sip-2016-declaracion-apoyo-a-acuerdos-de-paz-en-colombia</w:t>
        </w:r>
      </w:hyperlink>
      <w:r w:rsidRPr="002A7A4B">
        <w:rPr>
          <w:lang w:val="en-GB"/>
        </w:rPr>
        <w:t xml:space="preserve"> </w:t>
      </w:r>
    </w:p>
    <w:p w14:paraId="11590648" w14:textId="77777777" w:rsidR="00094D47" w:rsidRPr="002A7A4B" w:rsidRDefault="00094D47" w:rsidP="0074214E">
      <w:pPr>
        <w:ind w:left="720" w:hanging="720"/>
        <w:jc w:val="both"/>
        <w:rPr>
          <w:lang w:val="en-GB"/>
        </w:rPr>
      </w:pPr>
      <w:r w:rsidRPr="002A7A4B">
        <w:rPr>
          <w:lang w:val="en-GB"/>
        </w:rPr>
        <w:t xml:space="preserve">ISP (2018). Position Statement of the Inter-American Psychological Society (SIP). Retrieved from </w:t>
      </w:r>
      <w:hyperlink r:id="rId25" w:history="1">
        <w:r w:rsidRPr="002A7A4B">
          <w:rPr>
            <w:rStyle w:val="Hipervnculo"/>
            <w:lang w:val="en-GB"/>
          </w:rPr>
          <w:t>https://archive.org/details/sip-2018-position-statement-on-immigration</w:t>
        </w:r>
      </w:hyperlink>
      <w:r w:rsidRPr="002A7A4B">
        <w:rPr>
          <w:lang w:val="en-GB"/>
        </w:rPr>
        <w:t xml:space="preserve"> </w:t>
      </w:r>
    </w:p>
    <w:p w14:paraId="1F52B1C7" w14:textId="77777777" w:rsidR="00094D47" w:rsidRPr="002A7A4B" w:rsidRDefault="00094D47" w:rsidP="0074214E">
      <w:pPr>
        <w:ind w:left="720" w:hanging="720"/>
        <w:jc w:val="both"/>
        <w:rPr>
          <w:lang w:val="en-GB"/>
        </w:rPr>
      </w:pPr>
      <w:r w:rsidRPr="00C960A2">
        <w:rPr>
          <w:lang w:val="es-ES"/>
        </w:rPr>
        <w:t xml:space="preserve">ISP (2019). Declaración de la SIP sobre experticia de psicólogas y psicólogos en el campo de la salud mental y las ciencias del comportamiento. </w:t>
      </w:r>
      <w:r w:rsidRPr="002A7A4B">
        <w:rPr>
          <w:lang w:val="en-GB"/>
        </w:rPr>
        <w:t xml:space="preserve">Retrieved from </w:t>
      </w:r>
      <w:hyperlink r:id="rId26" w:history="1">
        <w:r w:rsidRPr="002A7A4B">
          <w:rPr>
            <w:rStyle w:val="Hipervnculo"/>
            <w:lang w:val="en-GB"/>
          </w:rPr>
          <w:t>https://archive.org/details/sip-2019-declaracion-experticia-en-salud-mental</w:t>
        </w:r>
      </w:hyperlink>
      <w:r w:rsidRPr="002A7A4B">
        <w:rPr>
          <w:lang w:val="en-GB"/>
        </w:rPr>
        <w:t xml:space="preserve"> </w:t>
      </w:r>
    </w:p>
    <w:p w14:paraId="427AECEB" w14:textId="77777777" w:rsidR="00094D47" w:rsidRPr="00C960A2" w:rsidRDefault="00094D47" w:rsidP="00C960A2">
      <w:pPr>
        <w:ind w:left="720" w:hanging="720"/>
        <w:jc w:val="both"/>
        <w:rPr>
          <w:lang w:val="es-ES"/>
        </w:rPr>
      </w:pPr>
      <w:proofErr w:type="spellStart"/>
      <w:r w:rsidRPr="00C960A2">
        <w:rPr>
          <w:lang w:val="en-GB"/>
        </w:rPr>
        <w:lastRenderedPageBreak/>
        <w:t>Jaitman</w:t>
      </w:r>
      <w:proofErr w:type="spellEnd"/>
      <w:r w:rsidRPr="00C960A2">
        <w:rPr>
          <w:lang w:val="en-GB"/>
        </w:rPr>
        <w:t xml:space="preserve">, L., &amp; Machin, S. (2016). </w:t>
      </w:r>
      <w:r w:rsidRPr="003A72D7">
        <w:rPr>
          <w:i/>
          <w:lang w:val="en-GB"/>
        </w:rPr>
        <w:t>Crime and violence in Latin America and the Caribbean: towards evidence-based policies</w:t>
      </w:r>
      <w:r w:rsidRPr="00C960A2">
        <w:rPr>
          <w:lang w:val="en-GB"/>
        </w:rPr>
        <w:t xml:space="preserve">. </w:t>
      </w:r>
      <w:r w:rsidRPr="00C960A2">
        <w:rPr>
          <w:lang w:val="es-ES"/>
        </w:rPr>
        <w:t xml:space="preserve">(No. 461). Centre </w:t>
      </w:r>
      <w:proofErr w:type="spellStart"/>
      <w:r w:rsidRPr="00C960A2">
        <w:rPr>
          <w:lang w:val="es-ES"/>
        </w:rPr>
        <w:t>for</w:t>
      </w:r>
      <w:proofErr w:type="spellEnd"/>
      <w:r w:rsidRPr="00C960A2">
        <w:rPr>
          <w:lang w:val="es-ES"/>
        </w:rPr>
        <w:t xml:space="preserve"> </w:t>
      </w:r>
      <w:proofErr w:type="spellStart"/>
      <w:r w:rsidRPr="00C960A2">
        <w:rPr>
          <w:lang w:val="es-ES"/>
        </w:rPr>
        <w:t>Economic</w:t>
      </w:r>
      <w:proofErr w:type="spellEnd"/>
      <w:r w:rsidRPr="00C960A2">
        <w:rPr>
          <w:lang w:val="es-ES"/>
        </w:rPr>
        <w:t xml:space="preserve"> Performance, LSE.</w:t>
      </w:r>
    </w:p>
    <w:p w14:paraId="00DFD41C" w14:textId="77777777" w:rsidR="00094D47" w:rsidRPr="00C960A2" w:rsidRDefault="00094D47" w:rsidP="00C960A2">
      <w:pPr>
        <w:ind w:left="720" w:hanging="720"/>
        <w:jc w:val="both"/>
        <w:rPr>
          <w:lang w:val="en-GB"/>
        </w:rPr>
      </w:pPr>
      <w:r w:rsidRPr="00C960A2">
        <w:rPr>
          <w:lang w:val="es-ES"/>
        </w:rPr>
        <w:t xml:space="preserve">Jara, N., Casas, J., &amp; Ortega-Ruiz, R. (2017). </w:t>
      </w:r>
      <w:r w:rsidRPr="00C960A2">
        <w:rPr>
          <w:lang w:val="en-GB"/>
        </w:rPr>
        <w:t xml:space="preserve">Proactive and Reactive Aggressive </w:t>
      </w:r>
      <w:proofErr w:type="spellStart"/>
      <w:r w:rsidRPr="00C960A2">
        <w:rPr>
          <w:lang w:val="en-GB"/>
        </w:rPr>
        <w:t>Behavior</w:t>
      </w:r>
      <w:proofErr w:type="spellEnd"/>
      <w:r w:rsidRPr="00C960A2">
        <w:rPr>
          <w:lang w:val="en-GB"/>
        </w:rPr>
        <w:t xml:space="preserve"> in Bullying: The Role of Values. </w:t>
      </w:r>
      <w:r w:rsidRPr="003A72D7">
        <w:rPr>
          <w:i/>
          <w:lang w:val="en-GB"/>
        </w:rPr>
        <w:t>International Journal of Educational Psychology, 6</w:t>
      </w:r>
      <w:r w:rsidRPr="00C960A2">
        <w:rPr>
          <w:lang w:val="en-GB"/>
        </w:rPr>
        <w:t>(1), 1-24.</w:t>
      </w:r>
      <w:r>
        <w:rPr>
          <w:lang w:val="en-GB"/>
        </w:rPr>
        <w:t xml:space="preserve"> </w:t>
      </w:r>
      <w:hyperlink r:id="rId27" w:history="1">
        <w:r w:rsidRPr="005C5FA4">
          <w:rPr>
            <w:rStyle w:val="Hipervnculo"/>
            <w:lang w:val="en-GB"/>
          </w:rPr>
          <w:t>http://dx.doi.org/10.17583/ijep.2017.2515</w:t>
        </w:r>
      </w:hyperlink>
      <w:r>
        <w:rPr>
          <w:lang w:val="en-GB"/>
        </w:rPr>
        <w:t xml:space="preserve"> </w:t>
      </w:r>
    </w:p>
    <w:p w14:paraId="25D8D665" w14:textId="77777777" w:rsidR="00094D47" w:rsidRPr="00C960A2" w:rsidRDefault="00094D47" w:rsidP="00C960A2">
      <w:pPr>
        <w:ind w:left="720" w:hanging="720"/>
        <w:jc w:val="both"/>
        <w:rPr>
          <w:lang w:val="en-GB"/>
        </w:rPr>
      </w:pPr>
      <w:r w:rsidRPr="00C960A2">
        <w:rPr>
          <w:lang w:val="en-GB"/>
        </w:rPr>
        <w:t xml:space="preserve">Kline, R. B. (1998). </w:t>
      </w:r>
      <w:r w:rsidRPr="003A72D7">
        <w:rPr>
          <w:i/>
          <w:lang w:val="en-GB"/>
        </w:rPr>
        <w:t xml:space="preserve">Methodology in the social sciences. Principles and practice of structural equation </w:t>
      </w:r>
      <w:proofErr w:type="spellStart"/>
      <w:r w:rsidRPr="003A72D7">
        <w:rPr>
          <w:i/>
          <w:lang w:val="en-GB"/>
        </w:rPr>
        <w:t>modeling</w:t>
      </w:r>
      <w:proofErr w:type="spellEnd"/>
      <w:r w:rsidRPr="00C960A2">
        <w:rPr>
          <w:lang w:val="en-GB"/>
        </w:rPr>
        <w:t>. Guilford Press.</w:t>
      </w:r>
    </w:p>
    <w:p w14:paraId="02DE335F" w14:textId="77777777" w:rsidR="006A5E5D" w:rsidRDefault="00094D47" w:rsidP="006350B2">
      <w:pPr>
        <w:ind w:left="720" w:hanging="720"/>
        <w:jc w:val="both"/>
        <w:rPr>
          <w:lang w:val="en-GB"/>
        </w:rPr>
      </w:pPr>
      <w:proofErr w:type="spellStart"/>
      <w:r w:rsidRPr="00C960A2">
        <w:rPr>
          <w:lang w:val="en-GB"/>
        </w:rPr>
        <w:t>Klomek</w:t>
      </w:r>
      <w:proofErr w:type="spellEnd"/>
      <w:r w:rsidRPr="00C960A2">
        <w:rPr>
          <w:lang w:val="en-GB"/>
        </w:rPr>
        <w:t xml:space="preserve">, A. B., </w:t>
      </w:r>
      <w:proofErr w:type="spellStart"/>
      <w:r w:rsidRPr="00C960A2">
        <w:rPr>
          <w:lang w:val="en-GB"/>
        </w:rPr>
        <w:t>Barzilay</w:t>
      </w:r>
      <w:proofErr w:type="spellEnd"/>
      <w:r w:rsidRPr="00C960A2">
        <w:rPr>
          <w:lang w:val="en-GB"/>
        </w:rPr>
        <w:t xml:space="preserve">, S., </w:t>
      </w:r>
      <w:proofErr w:type="spellStart"/>
      <w:r w:rsidRPr="00C960A2">
        <w:rPr>
          <w:lang w:val="en-GB"/>
        </w:rPr>
        <w:t>Apter</w:t>
      </w:r>
      <w:proofErr w:type="spellEnd"/>
      <w:r w:rsidRPr="00C960A2">
        <w:rPr>
          <w:lang w:val="en-GB"/>
        </w:rPr>
        <w:t xml:space="preserve">, A., Carli, V., Hoven, W., … Wasserman, D. (2019). Bi-directional longitudinal associations between different types of bullying victimization, suicide ideation/attempts, and depression among a large sample of European adolescents. </w:t>
      </w:r>
      <w:r w:rsidRPr="003A72D7">
        <w:rPr>
          <w:i/>
          <w:lang w:val="en-GB"/>
        </w:rPr>
        <w:t>Journal of Child Psychology and Psychiatry, 60</w:t>
      </w:r>
      <w:r w:rsidRPr="00C960A2">
        <w:rPr>
          <w:lang w:val="en-GB"/>
        </w:rPr>
        <w:t>(2), 209-215.</w:t>
      </w:r>
      <w:r>
        <w:rPr>
          <w:lang w:val="en-GB"/>
        </w:rPr>
        <w:t xml:space="preserve"> </w:t>
      </w:r>
      <w:r w:rsidRPr="006350B2">
        <w:rPr>
          <w:lang w:val="en-GB"/>
        </w:rPr>
        <w:t>https://doi.org/ 10.1111/jcpp.12951</w:t>
      </w:r>
    </w:p>
    <w:p w14:paraId="0AA59838" w14:textId="48A132E1" w:rsidR="00094D47" w:rsidRPr="00630FFF" w:rsidRDefault="00094D47" w:rsidP="006350B2">
      <w:pPr>
        <w:ind w:left="720" w:hanging="720"/>
        <w:jc w:val="both"/>
        <w:rPr>
          <w:lang w:val="es-ES"/>
        </w:rPr>
      </w:pPr>
      <w:r>
        <w:rPr>
          <w:lang w:val="en-GB"/>
        </w:rPr>
        <w:t xml:space="preserve">   </w:t>
      </w:r>
      <w:bookmarkStart w:id="2" w:name="_Hlk70755654"/>
      <w:r w:rsidR="006A5E5D" w:rsidRPr="006A5E5D">
        <w:rPr>
          <w:lang w:val="en-GB"/>
        </w:rPr>
        <w:t xml:space="preserve">Lee, D., Jung, S., Park, S., &amp; Hong, H. (2018). The impact of psychological problems and adverse life events on suicidal ideation among adolescents using nationwide data of a school‑based mental health screening test in Korea. </w:t>
      </w:r>
      <w:proofErr w:type="spellStart"/>
      <w:r w:rsidR="006A5E5D" w:rsidRPr="00630FFF">
        <w:rPr>
          <w:i/>
          <w:lang w:val="es-ES"/>
        </w:rPr>
        <w:t>European</w:t>
      </w:r>
      <w:proofErr w:type="spellEnd"/>
      <w:r w:rsidR="006A5E5D" w:rsidRPr="00630FFF">
        <w:rPr>
          <w:i/>
          <w:lang w:val="es-ES"/>
        </w:rPr>
        <w:t xml:space="preserve"> Child &amp; </w:t>
      </w:r>
      <w:proofErr w:type="spellStart"/>
      <w:r w:rsidR="006A5E5D" w:rsidRPr="00630FFF">
        <w:rPr>
          <w:i/>
          <w:lang w:val="es-ES"/>
        </w:rPr>
        <w:t>Adolescent</w:t>
      </w:r>
      <w:proofErr w:type="spellEnd"/>
      <w:r w:rsidR="006A5E5D" w:rsidRPr="00630FFF">
        <w:rPr>
          <w:i/>
          <w:lang w:val="es-ES"/>
        </w:rPr>
        <w:t xml:space="preserve"> </w:t>
      </w:r>
      <w:proofErr w:type="spellStart"/>
      <w:r w:rsidR="006A5E5D" w:rsidRPr="00630FFF">
        <w:rPr>
          <w:i/>
          <w:lang w:val="es-ES"/>
        </w:rPr>
        <w:t>Psychiatry</w:t>
      </w:r>
      <w:proofErr w:type="spellEnd"/>
      <w:r w:rsidR="006A5E5D" w:rsidRPr="00630FFF">
        <w:rPr>
          <w:i/>
          <w:lang w:val="es-ES"/>
        </w:rPr>
        <w:t>, 27</w:t>
      </w:r>
      <w:r w:rsidR="006A5E5D" w:rsidRPr="00630FFF">
        <w:rPr>
          <w:lang w:val="es-ES"/>
        </w:rPr>
        <w:t xml:space="preserve">, 1361-1372. </w:t>
      </w:r>
      <w:bookmarkEnd w:id="2"/>
    </w:p>
    <w:p w14:paraId="0DCD4BD0" w14:textId="77777777" w:rsidR="00094D47" w:rsidRPr="00C960A2" w:rsidRDefault="00094D47" w:rsidP="00C960A2">
      <w:pPr>
        <w:ind w:left="720" w:hanging="720"/>
        <w:jc w:val="both"/>
        <w:rPr>
          <w:lang w:val="es-ES"/>
        </w:rPr>
      </w:pPr>
      <w:r w:rsidRPr="00094D47">
        <w:rPr>
          <w:lang w:val="es-ES"/>
        </w:rPr>
        <w:t xml:space="preserve">López, A., Domínguez, J., &amp; Álvarez, E. (2010). </w:t>
      </w:r>
      <w:r w:rsidRPr="00C960A2">
        <w:rPr>
          <w:lang w:val="es-ES"/>
        </w:rPr>
        <w:t xml:space="preserve">Bullying vertical: variables predictivas de la violencia escolar. </w:t>
      </w:r>
      <w:r w:rsidRPr="003A72D7">
        <w:rPr>
          <w:i/>
          <w:lang w:val="es-ES"/>
        </w:rPr>
        <w:t>Revista de Investigación en Educación, 8</w:t>
      </w:r>
      <w:r w:rsidRPr="00C960A2">
        <w:rPr>
          <w:lang w:val="es-ES"/>
        </w:rPr>
        <w:t>, 24-38.</w:t>
      </w:r>
    </w:p>
    <w:p w14:paraId="17E233E2" w14:textId="77777777" w:rsidR="00094D47" w:rsidRPr="00C960A2" w:rsidRDefault="00094D47" w:rsidP="00C960A2">
      <w:pPr>
        <w:ind w:left="720" w:hanging="720"/>
        <w:jc w:val="both"/>
        <w:rPr>
          <w:lang w:val="es-ES"/>
        </w:rPr>
      </w:pPr>
      <w:proofErr w:type="spellStart"/>
      <w:r w:rsidRPr="00C960A2">
        <w:rPr>
          <w:lang w:val="es-ES"/>
        </w:rPr>
        <w:t>Mulenga</w:t>
      </w:r>
      <w:proofErr w:type="spellEnd"/>
      <w:r w:rsidRPr="00C960A2">
        <w:rPr>
          <w:lang w:val="es-ES"/>
        </w:rPr>
        <w:t xml:space="preserve">, D., </w:t>
      </w:r>
      <w:proofErr w:type="spellStart"/>
      <w:r w:rsidRPr="00C960A2">
        <w:rPr>
          <w:lang w:val="es-ES"/>
        </w:rPr>
        <w:t>Siziya</w:t>
      </w:r>
      <w:proofErr w:type="spellEnd"/>
      <w:r w:rsidRPr="00C960A2">
        <w:rPr>
          <w:lang w:val="es-ES"/>
        </w:rPr>
        <w:t xml:space="preserve">, S., Mazaba, M., </w:t>
      </w:r>
      <w:proofErr w:type="spellStart"/>
      <w:r w:rsidRPr="00C960A2">
        <w:rPr>
          <w:lang w:val="es-ES"/>
        </w:rPr>
        <w:t>Kwangu</w:t>
      </w:r>
      <w:proofErr w:type="spellEnd"/>
      <w:r w:rsidRPr="00C960A2">
        <w:rPr>
          <w:lang w:val="es-ES"/>
        </w:rPr>
        <w:t xml:space="preserve">, M., </w:t>
      </w:r>
      <w:proofErr w:type="spellStart"/>
      <w:r w:rsidRPr="00C960A2">
        <w:rPr>
          <w:lang w:val="es-ES"/>
        </w:rPr>
        <w:t>Njunju</w:t>
      </w:r>
      <w:proofErr w:type="spellEnd"/>
      <w:r w:rsidRPr="00C960A2">
        <w:rPr>
          <w:lang w:val="es-ES"/>
        </w:rPr>
        <w:t xml:space="preserve">, E. (2017). </w:t>
      </w:r>
      <w:r w:rsidRPr="00C960A2">
        <w:rPr>
          <w:lang w:val="en-GB"/>
        </w:rPr>
        <w:t xml:space="preserve">Correlates of suicidal ideation among in-school adolescents in Trinidad and Tobago. </w:t>
      </w:r>
      <w:r w:rsidRPr="003A72D7">
        <w:rPr>
          <w:i/>
          <w:lang w:val="es-ES"/>
        </w:rPr>
        <w:t xml:space="preserve">International </w:t>
      </w:r>
      <w:proofErr w:type="spellStart"/>
      <w:r w:rsidRPr="003A72D7">
        <w:rPr>
          <w:i/>
          <w:lang w:val="es-ES"/>
        </w:rPr>
        <w:t>Public</w:t>
      </w:r>
      <w:proofErr w:type="spellEnd"/>
      <w:r w:rsidRPr="003A72D7">
        <w:rPr>
          <w:i/>
          <w:lang w:val="es-ES"/>
        </w:rPr>
        <w:t xml:space="preserve"> </w:t>
      </w:r>
      <w:proofErr w:type="spellStart"/>
      <w:r w:rsidRPr="003A72D7">
        <w:rPr>
          <w:i/>
          <w:lang w:val="es-ES"/>
        </w:rPr>
        <w:t>Health</w:t>
      </w:r>
      <w:proofErr w:type="spellEnd"/>
      <w:r w:rsidRPr="003A72D7">
        <w:rPr>
          <w:i/>
          <w:lang w:val="es-ES"/>
        </w:rPr>
        <w:t xml:space="preserve"> </w:t>
      </w:r>
      <w:proofErr w:type="spellStart"/>
      <w:r w:rsidRPr="003A72D7">
        <w:rPr>
          <w:i/>
          <w:lang w:val="es-ES"/>
        </w:rPr>
        <w:t>Journal</w:t>
      </w:r>
      <w:proofErr w:type="spellEnd"/>
      <w:r w:rsidRPr="003A72D7">
        <w:rPr>
          <w:i/>
          <w:lang w:val="es-ES"/>
        </w:rPr>
        <w:t>, 9</w:t>
      </w:r>
      <w:r w:rsidRPr="00C960A2">
        <w:rPr>
          <w:lang w:val="es-ES"/>
        </w:rPr>
        <w:t>(4), 437-442.</w:t>
      </w:r>
    </w:p>
    <w:p w14:paraId="5BED219B" w14:textId="77777777" w:rsidR="00094D47" w:rsidRPr="00C960A2" w:rsidRDefault="00094D47" w:rsidP="00C960A2">
      <w:pPr>
        <w:ind w:left="720" w:hanging="720"/>
        <w:jc w:val="both"/>
        <w:rPr>
          <w:lang w:val="en-GB"/>
        </w:rPr>
      </w:pPr>
      <w:proofErr w:type="spellStart"/>
      <w:r w:rsidRPr="00C960A2">
        <w:rPr>
          <w:lang w:val="es-ES"/>
        </w:rPr>
        <w:t>Nocito</w:t>
      </w:r>
      <w:proofErr w:type="spellEnd"/>
      <w:r w:rsidRPr="00C960A2">
        <w:rPr>
          <w:lang w:val="es-ES"/>
        </w:rPr>
        <w:t xml:space="preserve">, G. (2017). Investigaciones sobre el acoso escolar en España: Implicaciones psicoeducativas. </w:t>
      </w:r>
      <w:r w:rsidRPr="003A72D7">
        <w:rPr>
          <w:i/>
          <w:lang w:val="en-GB"/>
        </w:rPr>
        <w:t>REOP, 28</w:t>
      </w:r>
      <w:r w:rsidRPr="00C960A2">
        <w:rPr>
          <w:lang w:val="en-GB"/>
        </w:rPr>
        <w:t>(1), 104-118.</w:t>
      </w:r>
      <w:r>
        <w:rPr>
          <w:lang w:val="en-GB"/>
        </w:rPr>
        <w:t xml:space="preserve"> </w:t>
      </w:r>
      <w:hyperlink r:id="rId28" w:history="1">
        <w:r w:rsidRPr="005C5FA4">
          <w:rPr>
            <w:rStyle w:val="Hipervnculo"/>
            <w:lang w:val="en-GB"/>
          </w:rPr>
          <w:t>https://doi.org/10.5944/reop.vol.28.num.1.2017.19361</w:t>
        </w:r>
      </w:hyperlink>
      <w:r>
        <w:rPr>
          <w:lang w:val="en-GB"/>
        </w:rPr>
        <w:t xml:space="preserve"> </w:t>
      </w:r>
    </w:p>
    <w:p w14:paraId="332F17DB" w14:textId="77777777" w:rsidR="00094D47" w:rsidRPr="00C960A2" w:rsidRDefault="00094D47" w:rsidP="00C960A2">
      <w:pPr>
        <w:ind w:left="720" w:hanging="720"/>
        <w:jc w:val="both"/>
        <w:rPr>
          <w:lang w:val="en-GB"/>
        </w:rPr>
      </w:pPr>
      <w:r w:rsidRPr="00C960A2">
        <w:rPr>
          <w:lang w:val="en-GB"/>
        </w:rPr>
        <w:t xml:space="preserve">Olweus, D. (1993). </w:t>
      </w:r>
      <w:r w:rsidRPr="003A72D7">
        <w:rPr>
          <w:i/>
          <w:lang w:val="en-GB"/>
        </w:rPr>
        <w:t>Bullying at school: what we know and what we can do</w:t>
      </w:r>
      <w:r w:rsidRPr="00C960A2">
        <w:rPr>
          <w:lang w:val="en-GB"/>
        </w:rPr>
        <w:t>. Malden, MA: Blackwell Publishing.</w:t>
      </w:r>
    </w:p>
    <w:p w14:paraId="30B2F4F1" w14:textId="77777777" w:rsidR="00094D47" w:rsidRPr="00C960A2" w:rsidRDefault="00094D47" w:rsidP="00C960A2">
      <w:pPr>
        <w:ind w:left="720" w:hanging="720"/>
        <w:jc w:val="both"/>
        <w:rPr>
          <w:lang w:val="en-GB"/>
        </w:rPr>
      </w:pPr>
      <w:r w:rsidRPr="002A7A4B">
        <w:rPr>
          <w:lang w:val="en-GB"/>
        </w:rPr>
        <w:t xml:space="preserve">Osman, A., Gutiérrez, P., </w:t>
      </w:r>
      <w:proofErr w:type="spellStart"/>
      <w:r w:rsidRPr="002A7A4B">
        <w:rPr>
          <w:lang w:val="en-GB"/>
        </w:rPr>
        <w:t>Kopper</w:t>
      </w:r>
      <w:proofErr w:type="spellEnd"/>
      <w:r w:rsidRPr="002A7A4B">
        <w:rPr>
          <w:lang w:val="en-GB"/>
        </w:rPr>
        <w:t xml:space="preserve">, B., Barrios, F., &amp; Chiros, C. (1998). </w:t>
      </w:r>
      <w:r w:rsidRPr="00C960A2">
        <w:rPr>
          <w:lang w:val="en-GB"/>
        </w:rPr>
        <w:t xml:space="preserve">The positive and negative suicide ideation inventory: Development and validation. </w:t>
      </w:r>
      <w:r w:rsidRPr="003A72D7">
        <w:rPr>
          <w:i/>
          <w:lang w:val="en-GB"/>
        </w:rPr>
        <w:t>Psychological Reports, 82</w:t>
      </w:r>
      <w:r w:rsidRPr="00C960A2">
        <w:rPr>
          <w:lang w:val="en-GB"/>
        </w:rPr>
        <w:t>, 783-793.</w:t>
      </w:r>
      <w:r>
        <w:rPr>
          <w:lang w:val="en-GB"/>
        </w:rPr>
        <w:t xml:space="preserve"> </w:t>
      </w:r>
      <w:hyperlink r:id="rId29" w:history="1">
        <w:r w:rsidRPr="005C5FA4">
          <w:rPr>
            <w:rStyle w:val="Hipervnculo"/>
            <w:lang w:val="en-GB"/>
          </w:rPr>
          <w:t>https://doi.org/10.2466/pr0.1998.82.3.783</w:t>
        </w:r>
      </w:hyperlink>
      <w:r>
        <w:rPr>
          <w:lang w:val="en-GB"/>
        </w:rPr>
        <w:t xml:space="preserve"> </w:t>
      </w:r>
    </w:p>
    <w:p w14:paraId="5C6B86DC" w14:textId="77777777" w:rsidR="00094D47" w:rsidRPr="00C960A2" w:rsidRDefault="00094D47" w:rsidP="00C960A2">
      <w:pPr>
        <w:ind w:left="720" w:hanging="720"/>
        <w:jc w:val="both"/>
        <w:rPr>
          <w:lang w:val="es-ES"/>
        </w:rPr>
      </w:pPr>
      <w:proofErr w:type="spellStart"/>
      <w:r w:rsidRPr="00C960A2">
        <w:rPr>
          <w:lang w:val="en-GB"/>
        </w:rPr>
        <w:t>Pailing</w:t>
      </w:r>
      <w:proofErr w:type="spellEnd"/>
      <w:r w:rsidRPr="00C960A2">
        <w:rPr>
          <w:lang w:val="en-GB"/>
        </w:rPr>
        <w:t xml:space="preserve">, A., Boon, J., &amp; Egan, V. (2014). Personality, the Dark Triad and violence. </w:t>
      </w:r>
      <w:proofErr w:type="spellStart"/>
      <w:r w:rsidRPr="003A72D7">
        <w:rPr>
          <w:i/>
          <w:lang w:val="es-ES"/>
        </w:rPr>
        <w:t>Personality</w:t>
      </w:r>
      <w:proofErr w:type="spellEnd"/>
      <w:r w:rsidRPr="003A72D7">
        <w:rPr>
          <w:i/>
          <w:lang w:val="es-ES"/>
        </w:rPr>
        <w:t xml:space="preserve"> and Individual </w:t>
      </w:r>
      <w:proofErr w:type="spellStart"/>
      <w:r w:rsidRPr="003A72D7">
        <w:rPr>
          <w:i/>
          <w:lang w:val="es-ES"/>
        </w:rPr>
        <w:t>Differences</w:t>
      </w:r>
      <w:proofErr w:type="spellEnd"/>
      <w:r w:rsidRPr="003A72D7">
        <w:rPr>
          <w:i/>
          <w:lang w:val="es-ES"/>
        </w:rPr>
        <w:t>, 67</w:t>
      </w:r>
      <w:r w:rsidRPr="00C960A2">
        <w:rPr>
          <w:lang w:val="es-ES"/>
        </w:rPr>
        <w:t xml:space="preserve">, 81–86. </w:t>
      </w:r>
    </w:p>
    <w:p w14:paraId="24218070" w14:textId="77777777" w:rsidR="00094D47" w:rsidRPr="00C960A2" w:rsidRDefault="00094D47" w:rsidP="00C960A2">
      <w:pPr>
        <w:ind w:left="720" w:hanging="720"/>
        <w:jc w:val="both"/>
        <w:rPr>
          <w:lang w:val="es-ES"/>
        </w:rPr>
      </w:pPr>
      <w:r w:rsidRPr="00C960A2">
        <w:rPr>
          <w:lang w:val="es-ES"/>
        </w:rPr>
        <w:t xml:space="preserve">Parada, H., Ibarra, A., Burgos, R., &amp; </w:t>
      </w:r>
      <w:proofErr w:type="spellStart"/>
      <w:r w:rsidRPr="00C960A2">
        <w:rPr>
          <w:lang w:val="es-ES"/>
        </w:rPr>
        <w:t>Asuad</w:t>
      </w:r>
      <w:proofErr w:type="spellEnd"/>
      <w:r w:rsidRPr="00C960A2">
        <w:rPr>
          <w:lang w:val="es-ES"/>
        </w:rPr>
        <w:t xml:space="preserve">, M. (2017). </w:t>
      </w:r>
      <w:r w:rsidRPr="003A72D7">
        <w:rPr>
          <w:i/>
          <w:lang w:val="es-ES"/>
        </w:rPr>
        <w:t>Incidencia de violencia en adolescentes de 13 a 15 años en las escuelas públicas del Sistema de Educación de la República Dominicana</w:t>
      </w:r>
      <w:r w:rsidRPr="00C960A2">
        <w:rPr>
          <w:lang w:val="es-ES"/>
        </w:rPr>
        <w:t xml:space="preserve">. Santo Domingo: Editora Búho. </w:t>
      </w:r>
    </w:p>
    <w:p w14:paraId="34490C59" w14:textId="77777777" w:rsidR="00094D47" w:rsidRPr="00C960A2" w:rsidRDefault="00094D47" w:rsidP="00C960A2">
      <w:pPr>
        <w:ind w:left="720" w:hanging="720"/>
        <w:jc w:val="both"/>
        <w:rPr>
          <w:lang w:val="es-ES"/>
        </w:rPr>
      </w:pPr>
      <w:r w:rsidRPr="00C960A2">
        <w:rPr>
          <w:lang w:val="es-ES"/>
        </w:rPr>
        <w:t xml:space="preserve">Piñero, E., </w:t>
      </w:r>
      <w:proofErr w:type="spellStart"/>
      <w:r w:rsidRPr="00C960A2">
        <w:rPr>
          <w:lang w:val="es-ES"/>
        </w:rPr>
        <w:t>Arense</w:t>
      </w:r>
      <w:proofErr w:type="spellEnd"/>
      <w:r w:rsidRPr="00C960A2">
        <w:rPr>
          <w:lang w:val="es-ES"/>
        </w:rPr>
        <w:t xml:space="preserve">, J., &amp; Cerezo, F. (2013). Contexto familiar y conductas de agresión y victimización entre escolares de educación secundaria. </w:t>
      </w:r>
      <w:r w:rsidRPr="003A72D7">
        <w:rPr>
          <w:i/>
          <w:lang w:val="es-ES"/>
        </w:rPr>
        <w:t>Bordón, 65</w:t>
      </w:r>
      <w:r w:rsidRPr="00C960A2">
        <w:rPr>
          <w:lang w:val="es-ES"/>
        </w:rPr>
        <w:t>(3), 109-129.</w:t>
      </w:r>
    </w:p>
    <w:p w14:paraId="716B8CFE" w14:textId="77777777" w:rsidR="00094D47" w:rsidRPr="00C960A2" w:rsidRDefault="00094D47" w:rsidP="00C960A2">
      <w:pPr>
        <w:ind w:left="720" w:hanging="720"/>
        <w:jc w:val="both"/>
        <w:rPr>
          <w:lang w:val="es-ES"/>
        </w:rPr>
      </w:pPr>
      <w:r w:rsidRPr="00C960A2">
        <w:rPr>
          <w:lang w:val="es-ES"/>
        </w:rPr>
        <w:t xml:space="preserve">Piñuel, I., &amp; Oñate, A. (2005). </w:t>
      </w:r>
      <w:r w:rsidRPr="003A72D7">
        <w:rPr>
          <w:i/>
          <w:lang w:val="es-ES"/>
        </w:rPr>
        <w:t>Informe Cisneros VII: Violencia y acoso escolar en alumnos de Primaria, ESO y Bachiller</w:t>
      </w:r>
      <w:r w:rsidRPr="00C960A2">
        <w:rPr>
          <w:lang w:val="es-ES"/>
        </w:rPr>
        <w:t>. Madrid: Instituto de Innovación Educativa y Desarrollo Directivo.</w:t>
      </w:r>
    </w:p>
    <w:p w14:paraId="460CE43C" w14:textId="77777777" w:rsidR="00094D47" w:rsidRPr="00C960A2" w:rsidRDefault="00094D47" w:rsidP="00C960A2">
      <w:pPr>
        <w:ind w:left="720" w:hanging="720"/>
        <w:jc w:val="both"/>
        <w:rPr>
          <w:lang w:val="es-ES"/>
        </w:rPr>
      </w:pPr>
      <w:r w:rsidRPr="00C960A2">
        <w:rPr>
          <w:lang w:val="es-ES"/>
        </w:rPr>
        <w:t xml:space="preserve">Piñuel, I., &amp; Oñate, A. (2006). </w:t>
      </w:r>
      <w:r w:rsidRPr="003A72D7">
        <w:rPr>
          <w:i/>
          <w:lang w:val="es-ES"/>
        </w:rPr>
        <w:t>Estudio Cisneros X: Acoso y violencia escolar en España</w:t>
      </w:r>
      <w:r w:rsidRPr="00C960A2">
        <w:rPr>
          <w:lang w:val="es-ES"/>
        </w:rPr>
        <w:t>. Madrid: Instituto de Innovación Educativa y Desarrollo Directivo.</w:t>
      </w:r>
    </w:p>
    <w:p w14:paraId="779CA44A" w14:textId="77777777" w:rsidR="00094D47" w:rsidRPr="00C960A2" w:rsidRDefault="00094D47" w:rsidP="00C960A2">
      <w:pPr>
        <w:ind w:left="720" w:hanging="720"/>
        <w:jc w:val="both"/>
        <w:rPr>
          <w:lang w:val="es-ES"/>
        </w:rPr>
      </w:pPr>
      <w:r w:rsidRPr="00C960A2">
        <w:rPr>
          <w:lang w:val="es-ES"/>
        </w:rPr>
        <w:t xml:space="preserve">Polo del Río, M. I., León del Barco, B., Felipe, E., Fajardo, F., &amp; Gómez, T. (2015). Análisis de la Socialización sobre Perfiles de la dinámica bullying. </w:t>
      </w:r>
      <w:proofErr w:type="spellStart"/>
      <w:r w:rsidRPr="003A72D7">
        <w:rPr>
          <w:i/>
          <w:lang w:val="es-ES"/>
        </w:rPr>
        <w:t>Universitas</w:t>
      </w:r>
      <w:proofErr w:type="spellEnd"/>
      <w:r w:rsidRPr="003A72D7">
        <w:rPr>
          <w:i/>
          <w:lang w:val="es-ES"/>
        </w:rPr>
        <w:t xml:space="preserve"> </w:t>
      </w:r>
      <w:proofErr w:type="spellStart"/>
      <w:r w:rsidRPr="003A72D7">
        <w:rPr>
          <w:i/>
          <w:lang w:val="es-ES"/>
        </w:rPr>
        <w:t>Psychologica</w:t>
      </w:r>
      <w:proofErr w:type="spellEnd"/>
      <w:r w:rsidRPr="003A72D7">
        <w:rPr>
          <w:i/>
          <w:lang w:val="es-ES"/>
        </w:rPr>
        <w:t>, 14</w:t>
      </w:r>
      <w:r w:rsidRPr="00C960A2">
        <w:rPr>
          <w:lang w:val="es-ES"/>
        </w:rPr>
        <w:t>(3), 117-1128.</w:t>
      </w:r>
      <w:r>
        <w:rPr>
          <w:lang w:val="es-ES"/>
        </w:rPr>
        <w:t xml:space="preserve"> </w:t>
      </w:r>
      <w:hyperlink r:id="rId30" w:history="1">
        <w:r w:rsidRPr="005C5FA4">
          <w:rPr>
            <w:rStyle w:val="Hipervnculo"/>
            <w:lang w:val="es-ES"/>
          </w:rPr>
          <w:t>http://dx.doi.org/10.11144/Javeriana</w:t>
        </w:r>
      </w:hyperlink>
      <w:r>
        <w:rPr>
          <w:lang w:val="es-ES"/>
        </w:rPr>
        <w:t xml:space="preserve"> </w:t>
      </w:r>
    </w:p>
    <w:p w14:paraId="4F57AA8F" w14:textId="77777777" w:rsidR="00094D47" w:rsidRPr="00C960A2" w:rsidRDefault="00094D47" w:rsidP="00C960A2">
      <w:pPr>
        <w:ind w:left="720" w:hanging="720"/>
        <w:jc w:val="both"/>
        <w:rPr>
          <w:lang w:val="es-ES"/>
        </w:rPr>
      </w:pPr>
      <w:proofErr w:type="spellStart"/>
      <w:r w:rsidRPr="00C960A2">
        <w:rPr>
          <w:lang w:val="es-ES"/>
        </w:rPr>
        <w:t>Prodócimo</w:t>
      </w:r>
      <w:proofErr w:type="spellEnd"/>
      <w:r w:rsidRPr="00C960A2">
        <w:rPr>
          <w:lang w:val="es-ES"/>
        </w:rPr>
        <w:t xml:space="preserve">, E., Cerezo, F., &amp; </w:t>
      </w:r>
      <w:proofErr w:type="spellStart"/>
      <w:r w:rsidRPr="00C960A2">
        <w:rPr>
          <w:lang w:val="es-ES"/>
        </w:rPr>
        <w:t>Arense</w:t>
      </w:r>
      <w:proofErr w:type="spellEnd"/>
      <w:r w:rsidRPr="00C960A2">
        <w:rPr>
          <w:lang w:val="es-ES"/>
        </w:rPr>
        <w:t xml:space="preserve">, J. (2014). Acoso escolar: variables sociofamiliares como factores de riesgo o de protección. </w:t>
      </w:r>
      <w:proofErr w:type="spellStart"/>
      <w:r w:rsidRPr="003A72D7">
        <w:rPr>
          <w:i/>
          <w:lang w:val="es-ES"/>
        </w:rPr>
        <w:t>Behavioral</w:t>
      </w:r>
      <w:proofErr w:type="spellEnd"/>
      <w:r w:rsidRPr="003A72D7">
        <w:rPr>
          <w:i/>
          <w:lang w:val="es-ES"/>
        </w:rPr>
        <w:t xml:space="preserve"> </w:t>
      </w:r>
      <w:proofErr w:type="spellStart"/>
      <w:r w:rsidRPr="003A72D7">
        <w:rPr>
          <w:i/>
          <w:lang w:val="es-ES"/>
        </w:rPr>
        <w:t>Psychology</w:t>
      </w:r>
      <w:proofErr w:type="spellEnd"/>
      <w:r w:rsidRPr="003A72D7">
        <w:rPr>
          <w:i/>
          <w:lang w:val="es-ES"/>
        </w:rPr>
        <w:t>, 22</w:t>
      </w:r>
      <w:r w:rsidRPr="00C960A2">
        <w:rPr>
          <w:lang w:val="es-ES"/>
        </w:rPr>
        <w:t>(2), 345-359.</w:t>
      </w:r>
    </w:p>
    <w:p w14:paraId="71371D91" w14:textId="77777777" w:rsidR="00094D47" w:rsidRPr="00C960A2" w:rsidRDefault="00094D47" w:rsidP="00C960A2">
      <w:pPr>
        <w:ind w:left="720" w:hanging="720"/>
        <w:jc w:val="both"/>
        <w:rPr>
          <w:lang w:val="en-GB"/>
        </w:rPr>
      </w:pPr>
      <w:r w:rsidRPr="00C960A2">
        <w:rPr>
          <w:lang w:val="es-ES"/>
        </w:rPr>
        <w:lastRenderedPageBreak/>
        <w:t xml:space="preserve">Román, M., &amp; Murillo, J. (2011). América Latina: violencia entre estudiantes y desempeño escolar. </w:t>
      </w:r>
      <w:proofErr w:type="spellStart"/>
      <w:r w:rsidRPr="003A72D7">
        <w:rPr>
          <w:i/>
          <w:lang w:val="en-GB"/>
        </w:rPr>
        <w:t>Revista</w:t>
      </w:r>
      <w:proofErr w:type="spellEnd"/>
      <w:r w:rsidRPr="003A72D7">
        <w:rPr>
          <w:i/>
          <w:lang w:val="en-GB"/>
        </w:rPr>
        <w:t xml:space="preserve"> CEPAL, 104</w:t>
      </w:r>
      <w:r w:rsidRPr="00C960A2">
        <w:rPr>
          <w:lang w:val="en-GB"/>
        </w:rPr>
        <w:t>, 37-54.</w:t>
      </w:r>
    </w:p>
    <w:p w14:paraId="6A7639E9" w14:textId="77777777" w:rsidR="00094D47" w:rsidRPr="00C960A2" w:rsidRDefault="00094D47" w:rsidP="00C960A2">
      <w:pPr>
        <w:ind w:left="720" w:hanging="720"/>
        <w:jc w:val="both"/>
        <w:rPr>
          <w:lang w:val="en-GB"/>
        </w:rPr>
      </w:pPr>
      <w:r w:rsidRPr="00C960A2">
        <w:rPr>
          <w:lang w:val="en-GB"/>
        </w:rPr>
        <w:t xml:space="preserve">Rosen, L. H., &amp; Rubin, L. J. (2016). Bullying. </w:t>
      </w:r>
      <w:proofErr w:type="spellStart"/>
      <w:r w:rsidRPr="00C960A2">
        <w:rPr>
          <w:lang w:val="en-GB"/>
        </w:rPr>
        <w:t>En</w:t>
      </w:r>
      <w:proofErr w:type="spellEnd"/>
      <w:r w:rsidRPr="00C960A2">
        <w:rPr>
          <w:lang w:val="en-GB"/>
        </w:rPr>
        <w:t xml:space="preserve"> N. Naples, </w:t>
      </w:r>
      <w:proofErr w:type="spellStart"/>
      <w:r w:rsidRPr="003A72D7">
        <w:rPr>
          <w:i/>
          <w:lang w:val="en-GB"/>
        </w:rPr>
        <w:t>Encyclopedia</w:t>
      </w:r>
      <w:proofErr w:type="spellEnd"/>
      <w:r w:rsidRPr="003A72D7">
        <w:rPr>
          <w:i/>
          <w:lang w:val="en-GB"/>
        </w:rPr>
        <w:t xml:space="preserve"> of Gender and Sexuality Studies.</w:t>
      </w:r>
      <w:r w:rsidRPr="00C960A2">
        <w:rPr>
          <w:lang w:val="en-GB"/>
        </w:rPr>
        <w:t xml:space="preserve"> Malden, MA: Wiley Blackwell.</w:t>
      </w:r>
    </w:p>
    <w:p w14:paraId="549891C2" w14:textId="77777777" w:rsidR="00094D47" w:rsidRPr="00C960A2" w:rsidRDefault="00094D47" w:rsidP="00C960A2">
      <w:pPr>
        <w:ind w:left="720" w:hanging="720"/>
        <w:jc w:val="both"/>
        <w:rPr>
          <w:lang w:val="en-GB"/>
        </w:rPr>
      </w:pPr>
      <w:r w:rsidRPr="00C960A2">
        <w:rPr>
          <w:lang w:val="en-GB"/>
        </w:rPr>
        <w:t xml:space="preserve">Rosen, L., Scott, S., &amp; </w:t>
      </w:r>
      <w:proofErr w:type="spellStart"/>
      <w:r w:rsidRPr="00C960A2">
        <w:rPr>
          <w:lang w:val="en-GB"/>
        </w:rPr>
        <w:t>DeOrnellas</w:t>
      </w:r>
      <w:proofErr w:type="spellEnd"/>
      <w:r w:rsidRPr="00C960A2">
        <w:rPr>
          <w:lang w:val="en-GB"/>
        </w:rPr>
        <w:t xml:space="preserve">, K. (2017). An Overview of School Bullying. </w:t>
      </w:r>
      <w:proofErr w:type="spellStart"/>
      <w:r w:rsidRPr="00C960A2">
        <w:rPr>
          <w:lang w:val="en-GB"/>
        </w:rPr>
        <w:t>En</w:t>
      </w:r>
      <w:proofErr w:type="spellEnd"/>
      <w:r w:rsidRPr="00C960A2">
        <w:rPr>
          <w:lang w:val="en-GB"/>
        </w:rPr>
        <w:t xml:space="preserve"> L. Rosen, S. Scott, &amp; K. </w:t>
      </w:r>
      <w:proofErr w:type="spellStart"/>
      <w:r w:rsidRPr="00C960A2">
        <w:rPr>
          <w:lang w:val="en-GB"/>
        </w:rPr>
        <w:t>DeOrnellas</w:t>
      </w:r>
      <w:proofErr w:type="spellEnd"/>
      <w:r w:rsidRPr="00C960A2">
        <w:rPr>
          <w:lang w:val="en-GB"/>
        </w:rPr>
        <w:t xml:space="preserve">, </w:t>
      </w:r>
      <w:r w:rsidRPr="003A72D7">
        <w:rPr>
          <w:i/>
          <w:lang w:val="en-GB"/>
        </w:rPr>
        <w:t>Bullying in School</w:t>
      </w:r>
      <w:r w:rsidRPr="00C960A2">
        <w:rPr>
          <w:lang w:val="en-GB"/>
        </w:rPr>
        <w:t xml:space="preserve"> (</w:t>
      </w:r>
      <w:proofErr w:type="spellStart"/>
      <w:r w:rsidRPr="00C960A2">
        <w:rPr>
          <w:lang w:val="en-GB"/>
        </w:rPr>
        <w:t>págs</w:t>
      </w:r>
      <w:proofErr w:type="spellEnd"/>
      <w:r w:rsidRPr="00C960A2">
        <w:rPr>
          <w:lang w:val="en-GB"/>
        </w:rPr>
        <w:t>. 1-22). New York: Palgrave Macmillan.</w:t>
      </w:r>
    </w:p>
    <w:p w14:paraId="7C1CB1D0" w14:textId="77777777" w:rsidR="00094D47" w:rsidRPr="00C960A2" w:rsidRDefault="00094D47" w:rsidP="00C960A2">
      <w:pPr>
        <w:ind w:left="720" w:hanging="720"/>
        <w:jc w:val="both"/>
        <w:rPr>
          <w:lang w:val="en-GB"/>
        </w:rPr>
      </w:pPr>
      <w:r w:rsidRPr="00C960A2">
        <w:rPr>
          <w:lang w:val="en-GB"/>
        </w:rPr>
        <w:t xml:space="preserve">Rosenberg, M. (1986). </w:t>
      </w:r>
      <w:r w:rsidRPr="003A72D7">
        <w:rPr>
          <w:i/>
          <w:lang w:val="en-GB"/>
        </w:rPr>
        <w:t>Conceiving the Self</w:t>
      </w:r>
      <w:r w:rsidRPr="00C960A2">
        <w:rPr>
          <w:lang w:val="en-GB"/>
        </w:rPr>
        <w:t>. Malabar, FL: Krieger.</w:t>
      </w:r>
    </w:p>
    <w:p w14:paraId="73DE7FCE" w14:textId="77777777" w:rsidR="00094D47" w:rsidRPr="00C960A2" w:rsidRDefault="00094D47" w:rsidP="00C960A2">
      <w:pPr>
        <w:ind w:left="720" w:hanging="720"/>
        <w:jc w:val="both"/>
        <w:rPr>
          <w:lang w:val="en-GB"/>
        </w:rPr>
      </w:pPr>
      <w:r w:rsidRPr="00C960A2">
        <w:rPr>
          <w:lang w:val="en-GB"/>
        </w:rPr>
        <w:t xml:space="preserve">Save the Children. (2016). </w:t>
      </w:r>
      <w:proofErr w:type="spellStart"/>
      <w:r w:rsidRPr="003A72D7">
        <w:rPr>
          <w:i/>
          <w:lang w:val="en-GB"/>
        </w:rPr>
        <w:t>Yo</w:t>
      </w:r>
      <w:proofErr w:type="spellEnd"/>
      <w:r w:rsidRPr="003A72D7">
        <w:rPr>
          <w:i/>
          <w:lang w:val="en-GB"/>
        </w:rPr>
        <w:t xml:space="preserve"> a </w:t>
      </w:r>
      <w:proofErr w:type="spellStart"/>
      <w:r w:rsidRPr="003A72D7">
        <w:rPr>
          <w:i/>
          <w:lang w:val="en-GB"/>
        </w:rPr>
        <w:t>eso</w:t>
      </w:r>
      <w:proofErr w:type="spellEnd"/>
      <w:r w:rsidRPr="003A72D7">
        <w:rPr>
          <w:i/>
          <w:lang w:val="en-GB"/>
        </w:rPr>
        <w:t xml:space="preserve"> no </w:t>
      </w:r>
      <w:proofErr w:type="spellStart"/>
      <w:r w:rsidRPr="003A72D7">
        <w:rPr>
          <w:i/>
          <w:lang w:val="en-GB"/>
        </w:rPr>
        <w:t>juego</w:t>
      </w:r>
      <w:proofErr w:type="spellEnd"/>
      <w:r w:rsidRPr="00C960A2">
        <w:rPr>
          <w:lang w:val="en-GB"/>
        </w:rPr>
        <w:t xml:space="preserve">. </w:t>
      </w:r>
      <w:proofErr w:type="spellStart"/>
      <w:r w:rsidRPr="00C960A2">
        <w:rPr>
          <w:lang w:val="en-GB"/>
        </w:rPr>
        <w:t>España</w:t>
      </w:r>
      <w:proofErr w:type="spellEnd"/>
      <w:r w:rsidRPr="00C960A2">
        <w:rPr>
          <w:lang w:val="en-GB"/>
        </w:rPr>
        <w:t>: Save the Children.</w:t>
      </w:r>
    </w:p>
    <w:p w14:paraId="39D9FCCB" w14:textId="77777777" w:rsidR="00094D47" w:rsidRPr="002A7A4B" w:rsidRDefault="00094D47" w:rsidP="00C960A2">
      <w:pPr>
        <w:ind w:left="720" w:hanging="720"/>
        <w:jc w:val="both"/>
        <w:rPr>
          <w:lang w:val="en-GB"/>
        </w:rPr>
      </w:pPr>
      <w:r w:rsidRPr="00C960A2">
        <w:rPr>
          <w:lang w:val="en-GB"/>
        </w:rPr>
        <w:t xml:space="preserve">Schneider, S. K., O'Donnell, L., </w:t>
      </w:r>
      <w:proofErr w:type="spellStart"/>
      <w:r w:rsidRPr="00C960A2">
        <w:rPr>
          <w:lang w:val="en-GB"/>
        </w:rPr>
        <w:t>Stueve</w:t>
      </w:r>
      <w:proofErr w:type="spellEnd"/>
      <w:r w:rsidRPr="00C960A2">
        <w:rPr>
          <w:lang w:val="en-GB"/>
        </w:rPr>
        <w:t xml:space="preserve">, A., &amp; Coulter, R. W. (2012). Cyberbullying, school bullying, and psychological distress: A regional census of high school students. </w:t>
      </w:r>
      <w:r w:rsidRPr="002A7A4B">
        <w:rPr>
          <w:i/>
          <w:lang w:val="en-GB"/>
        </w:rPr>
        <w:t>American Journal of Public Health, 102</w:t>
      </w:r>
      <w:r w:rsidRPr="002A7A4B">
        <w:rPr>
          <w:lang w:val="en-GB"/>
        </w:rPr>
        <w:t xml:space="preserve">, 171-177. </w:t>
      </w:r>
      <w:hyperlink r:id="rId31" w:history="1">
        <w:r w:rsidRPr="002A7A4B">
          <w:rPr>
            <w:rStyle w:val="Hipervnculo"/>
            <w:lang w:val="en-GB"/>
          </w:rPr>
          <w:t>https://doi.org/10.2105/AJPH.2011.300308</w:t>
        </w:r>
      </w:hyperlink>
      <w:r w:rsidRPr="002A7A4B">
        <w:rPr>
          <w:lang w:val="en-GB"/>
        </w:rPr>
        <w:t xml:space="preserve">  </w:t>
      </w:r>
    </w:p>
    <w:p w14:paraId="7AC3D46E" w14:textId="77777777" w:rsidR="00094D47" w:rsidRPr="00C960A2" w:rsidRDefault="00094D47" w:rsidP="00C960A2">
      <w:pPr>
        <w:ind w:left="720" w:hanging="720"/>
        <w:jc w:val="both"/>
        <w:rPr>
          <w:lang w:val="es-ES"/>
        </w:rPr>
      </w:pPr>
      <w:r w:rsidRPr="002A7A4B">
        <w:rPr>
          <w:lang w:val="en-GB"/>
        </w:rPr>
        <w:t xml:space="preserve">Serrano, M. (2013). </w:t>
      </w:r>
      <w:r w:rsidRPr="003A72D7">
        <w:rPr>
          <w:i/>
          <w:lang w:val="es-ES"/>
        </w:rPr>
        <w:t>Profesorado de educación secundaria obligatoria y bullying: prevención e intervención educativa. (Tesis doctoral)</w:t>
      </w:r>
      <w:r w:rsidRPr="00C960A2">
        <w:rPr>
          <w:lang w:val="es-ES"/>
        </w:rPr>
        <w:t>. Universidad de Valencia, Valencia, España.</w:t>
      </w:r>
    </w:p>
    <w:p w14:paraId="45B97440" w14:textId="77777777" w:rsidR="00094D47" w:rsidRPr="00C960A2" w:rsidRDefault="00094D47" w:rsidP="00C960A2">
      <w:pPr>
        <w:ind w:left="720" w:hanging="720"/>
        <w:jc w:val="both"/>
        <w:rPr>
          <w:lang w:val="en-GB"/>
        </w:rPr>
      </w:pPr>
      <w:r w:rsidRPr="002A7A4B">
        <w:rPr>
          <w:lang w:val="es-ES"/>
        </w:rPr>
        <w:t xml:space="preserve">Steiger, J. H., &amp; </w:t>
      </w:r>
      <w:proofErr w:type="spellStart"/>
      <w:r w:rsidRPr="002A7A4B">
        <w:rPr>
          <w:lang w:val="es-ES"/>
        </w:rPr>
        <w:t>Lind</w:t>
      </w:r>
      <w:proofErr w:type="spellEnd"/>
      <w:r w:rsidRPr="002A7A4B">
        <w:rPr>
          <w:lang w:val="es-ES"/>
        </w:rPr>
        <w:t>, C. (1980</w:t>
      </w:r>
      <w:r w:rsidRPr="002A7A4B">
        <w:rPr>
          <w:i/>
          <w:lang w:val="es-ES"/>
        </w:rPr>
        <w:t xml:space="preserve">). </w:t>
      </w:r>
      <w:r w:rsidRPr="003A72D7">
        <w:rPr>
          <w:i/>
          <w:lang w:val="en-GB"/>
        </w:rPr>
        <w:t>Statistically based tests for the number of common factors</w:t>
      </w:r>
      <w:r w:rsidRPr="00C960A2">
        <w:rPr>
          <w:lang w:val="en-GB"/>
        </w:rPr>
        <w:t>. Paper presented at the annual meeting of the Psychometric Society, Iowa City, IA.</w:t>
      </w:r>
    </w:p>
    <w:p w14:paraId="76AD917D" w14:textId="77777777" w:rsidR="00094D47" w:rsidRPr="00C960A2" w:rsidRDefault="00094D47" w:rsidP="00C960A2">
      <w:pPr>
        <w:ind w:left="720" w:hanging="720"/>
        <w:jc w:val="both"/>
        <w:rPr>
          <w:lang w:val="es-ES"/>
        </w:rPr>
      </w:pPr>
      <w:r w:rsidRPr="00C960A2">
        <w:rPr>
          <w:lang w:val="es-ES"/>
        </w:rPr>
        <w:t>Tur-</w:t>
      </w:r>
      <w:proofErr w:type="spellStart"/>
      <w:r w:rsidRPr="00C960A2">
        <w:rPr>
          <w:lang w:val="es-ES"/>
        </w:rPr>
        <w:t>Porcar</w:t>
      </w:r>
      <w:proofErr w:type="spellEnd"/>
      <w:r w:rsidRPr="00C960A2">
        <w:rPr>
          <w:lang w:val="es-ES"/>
        </w:rPr>
        <w:t xml:space="preserve">, A., Mestre, V., Samper, P., &amp; </w:t>
      </w:r>
      <w:proofErr w:type="spellStart"/>
      <w:r w:rsidRPr="00C960A2">
        <w:rPr>
          <w:lang w:val="es-ES"/>
        </w:rPr>
        <w:t>Malonda</w:t>
      </w:r>
      <w:proofErr w:type="spellEnd"/>
      <w:r w:rsidRPr="00C960A2">
        <w:rPr>
          <w:lang w:val="es-ES"/>
        </w:rPr>
        <w:t xml:space="preserve">, E. (2012). Crianza y agresividad de los menores: ¿es diferente la influencia del padre y de la madre? </w:t>
      </w:r>
      <w:proofErr w:type="spellStart"/>
      <w:r w:rsidRPr="003A72D7">
        <w:rPr>
          <w:i/>
          <w:lang w:val="es-ES"/>
        </w:rPr>
        <w:t>Psicothema</w:t>
      </w:r>
      <w:proofErr w:type="spellEnd"/>
      <w:r w:rsidRPr="003A72D7">
        <w:rPr>
          <w:i/>
          <w:lang w:val="es-ES"/>
        </w:rPr>
        <w:t>, 24</w:t>
      </w:r>
      <w:r w:rsidRPr="00C960A2">
        <w:rPr>
          <w:lang w:val="es-ES"/>
        </w:rPr>
        <w:t xml:space="preserve">(2), 284-288. </w:t>
      </w:r>
    </w:p>
    <w:p w14:paraId="7BB36B3B" w14:textId="77777777" w:rsidR="00094D47" w:rsidRPr="00C960A2" w:rsidRDefault="00094D47" w:rsidP="00C960A2">
      <w:pPr>
        <w:ind w:left="720" w:hanging="720"/>
        <w:jc w:val="both"/>
        <w:rPr>
          <w:lang w:val="es-ES"/>
        </w:rPr>
      </w:pPr>
      <w:r w:rsidRPr="00C960A2">
        <w:rPr>
          <w:lang w:val="es-ES"/>
        </w:rPr>
        <w:t xml:space="preserve">Vergés, L., &amp; Guzmán, M. (2017). </w:t>
      </w:r>
      <w:r w:rsidRPr="003A72D7">
        <w:rPr>
          <w:i/>
          <w:lang w:val="es-ES"/>
        </w:rPr>
        <w:t>Conflictividad y violencia en centros educativos privados: indagación sobre las actitudes y conductas de acoso en los actores del proceso educativo</w:t>
      </w:r>
      <w:r w:rsidRPr="00C960A2">
        <w:rPr>
          <w:lang w:val="es-ES"/>
        </w:rPr>
        <w:t xml:space="preserve">. Santo Domingo: </w:t>
      </w:r>
      <w:proofErr w:type="spellStart"/>
      <w:r w:rsidRPr="00C960A2">
        <w:rPr>
          <w:lang w:val="es-ES"/>
        </w:rPr>
        <w:t>TodoGráfico</w:t>
      </w:r>
      <w:proofErr w:type="spellEnd"/>
      <w:r w:rsidRPr="00C960A2">
        <w:rPr>
          <w:lang w:val="es-ES"/>
        </w:rPr>
        <w:t>.</w:t>
      </w:r>
    </w:p>
    <w:p w14:paraId="2D25BC55" w14:textId="77777777" w:rsidR="00094D47" w:rsidRPr="0095209E" w:rsidRDefault="00094D47" w:rsidP="00C960A2">
      <w:pPr>
        <w:ind w:left="720" w:hanging="720"/>
        <w:jc w:val="both"/>
        <w:rPr>
          <w:lang w:val="en-GB"/>
        </w:rPr>
      </w:pPr>
      <w:r w:rsidRPr="00C960A2">
        <w:rPr>
          <w:lang w:val="es-ES"/>
        </w:rPr>
        <w:t xml:space="preserve">Villalobos-Galvis, F. (2009). Validez y fiabilidad del Inventario de Ideación Suicida Positiva y Negativa–PANSI, en estudiantes colombianos. </w:t>
      </w:r>
      <w:proofErr w:type="spellStart"/>
      <w:r w:rsidRPr="0095209E">
        <w:rPr>
          <w:i/>
          <w:lang w:val="en-GB"/>
        </w:rPr>
        <w:t>Universitas</w:t>
      </w:r>
      <w:proofErr w:type="spellEnd"/>
      <w:r w:rsidRPr="0095209E">
        <w:rPr>
          <w:i/>
          <w:lang w:val="en-GB"/>
        </w:rPr>
        <w:t xml:space="preserve"> </w:t>
      </w:r>
      <w:proofErr w:type="spellStart"/>
      <w:r w:rsidRPr="0095209E">
        <w:rPr>
          <w:i/>
          <w:lang w:val="en-GB"/>
        </w:rPr>
        <w:t>Psychologica</w:t>
      </w:r>
      <w:proofErr w:type="spellEnd"/>
      <w:r w:rsidRPr="0095209E">
        <w:rPr>
          <w:i/>
          <w:lang w:val="en-GB"/>
        </w:rPr>
        <w:t>, 9</w:t>
      </w:r>
      <w:r w:rsidRPr="0095209E">
        <w:rPr>
          <w:lang w:val="en-GB"/>
        </w:rPr>
        <w:t>(2), 509-520.</w:t>
      </w:r>
    </w:p>
    <w:p w14:paraId="1BB6D323" w14:textId="77777777" w:rsidR="00094D47" w:rsidRDefault="00094D47" w:rsidP="00094D47">
      <w:pPr>
        <w:ind w:left="720" w:hanging="720"/>
        <w:jc w:val="both"/>
        <w:rPr>
          <w:lang w:val="es-ES"/>
        </w:rPr>
      </w:pPr>
      <w:r w:rsidRPr="00C960A2">
        <w:rPr>
          <w:lang w:val="en-GB"/>
        </w:rPr>
        <w:t xml:space="preserve">Wilson, M., </w:t>
      </w:r>
      <w:proofErr w:type="spellStart"/>
      <w:r w:rsidRPr="00C960A2">
        <w:rPr>
          <w:lang w:val="en-GB"/>
        </w:rPr>
        <w:t>Dunlavy</w:t>
      </w:r>
      <w:proofErr w:type="spellEnd"/>
      <w:r w:rsidRPr="00C960A2">
        <w:rPr>
          <w:lang w:val="en-GB"/>
        </w:rPr>
        <w:t xml:space="preserve">, A., &amp; </w:t>
      </w:r>
      <w:proofErr w:type="spellStart"/>
      <w:r w:rsidRPr="00C960A2">
        <w:rPr>
          <w:lang w:val="en-GB"/>
        </w:rPr>
        <w:t>Berchtold</w:t>
      </w:r>
      <w:proofErr w:type="spellEnd"/>
      <w:r w:rsidRPr="00C960A2">
        <w:rPr>
          <w:lang w:val="en-GB"/>
        </w:rPr>
        <w:t xml:space="preserve">, A. (2013). Determinants for bullying victimization among 11-16 Year Olds in 15 </w:t>
      </w:r>
      <w:proofErr w:type="gramStart"/>
      <w:r w:rsidRPr="00C960A2">
        <w:rPr>
          <w:lang w:val="en-GB"/>
        </w:rPr>
        <w:t>low and middle income</w:t>
      </w:r>
      <w:proofErr w:type="gramEnd"/>
      <w:r w:rsidRPr="00C960A2">
        <w:rPr>
          <w:lang w:val="en-GB"/>
        </w:rPr>
        <w:t xml:space="preserve"> countries: A multilevel study. </w:t>
      </w:r>
      <w:r w:rsidRPr="003A72D7">
        <w:rPr>
          <w:i/>
          <w:lang w:val="es-ES"/>
        </w:rPr>
        <w:t xml:space="preserve">Social </w:t>
      </w:r>
      <w:proofErr w:type="spellStart"/>
      <w:r w:rsidRPr="003A72D7">
        <w:rPr>
          <w:i/>
          <w:lang w:val="es-ES"/>
        </w:rPr>
        <w:t>Sciencies</w:t>
      </w:r>
      <w:proofErr w:type="spellEnd"/>
      <w:r w:rsidRPr="003A72D7">
        <w:rPr>
          <w:i/>
          <w:lang w:val="es-ES"/>
        </w:rPr>
        <w:t>, 2</w:t>
      </w:r>
      <w:r w:rsidRPr="00C960A2">
        <w:rPr>
          <w:lang w:val="es-ES"/>
        </w:rPr>
        <w:t>, 208-220.</w:t>
      </w:r>
      <w:r>
        <w:rPr>
          <w:lang w:val="es-ES"/>
        </w:rPr>
        <w:t xml:space="preserve"> </w:t>
      </w:r>
      <w:r w:rsidRPr="006350B2">
        <w:rPr>
          <w:lang w:val="es-ES"/>
        </w:rPr>
        <w:t>doi:10.3390/socsci2040208</w:t>
      </w:r>
      <w:r>
        <w:rPr>
          <w:lang w:val="es-ES"/>
        </w:rPr>
        <w:t xml:space="preserve"> </w:t>
      </w:r>
    </w:p>
    <w:p w14:paraId="5CA55FC8" w14:textId="77777777" w:rsidR="00CE7D65" w:rsidRPr="00C960A2" w:rsidRDefault="00CE7D65" w:rsidP="00CE7D65">
      <w:pPr>
        <w:ind w:left="720" w:hanging="720"/>
        <w:jc w:val="both"/>
        <w:rPr>
          <w:lang w:val="es-ES"/>
        </w:rPr>
      </w:pPr>
    </w:p>
    <w:p w14:paraId="2B09FC6A" w14:textId="567745E5" w:rsidR="00594317" w:rsidRPr="00C960A2" w:rsidRDefault="00594317" w:rsidP="007C3C14">
      <w:pPr>
        <w:shd w:val="clear" w:color="auto" w:fill="FFFFFF"/>
        <w:jc w:val="right"/>
        <w:rPr>
          <w:i/>
          <w:iCs/>
          <w:sz w:val="20"/>
          <w:szCs w:val="20"/>
          <w:lang w:val="es-ES"/>
        </w:rPr>
      </w:pPr>
      <w:proofErr w:type="spellStart"/>
      <w:r w:rsidRPr="00C960A2">
        <w:rPr>
          <w:i/>
          <w:iCs/>
          <w:sz w:val="20"/>
          <w:szCs w:val="20"/>
          <w:lang w:val="es-ES"/>
        </w:rPr>
        <w:t>Received</w:t>
      </w:r>
      <w:proofErr w:type="spellEnd"/>
      <w:r w:rsidRPr="00C960A2">
        <w:rPr>
          <w:i/>
          <w:iCs/>
          <w:sz w:val="20"/>
          <w:szCs w:val="20"/>
          <w:lang w:val="es-ES"/>
        </w:rPr>
        <w:t xml:space="preserve">: </w:t>
      </w:r>
    </w:p>
    <w:p w14:paraId="0C84C4CC" w14:textId="38C145D9" w:rsidR="00594317" w:rsidRPr="00C960A2" w:rsidRDefault="00594317" w:rsidP="007C3C14">
      <w:pPr>
        <w:shd w:val="clear" w:color="auto" w:fill="FFFFFF"/>
        <w:jc w:val="right"/>
        <w:rPr>
          <w:i/>
          <w:iCs/>
          <w:sz w:val="20"/>
          <w:szCs w:val="20"/>
          <w:lang w:val="es-ES"/>
        </w:rPr>
      </w:pPr>
      <w:proofErr w:type="spellStart"/>
      <w:r w:rsidRPr="00C960A2">
        <w:rPr>
          <w:i/>
          <w:iCs/>
          <w:sz w:val="20"/>
          <w:szCs w:val="20"/>
          <w:lang w:val="es-ES"/>
        </w:rPr>
        <w:t>Accepted</w:t>
      </w:r>
      <w:proofErr w:type="spellEnd"/>
      <w:r w:rsidRPr="00C960A2">
        <w:rPr>
          <w:i/>
          <w:iCs/>
          <w:sz w:val="20"/>
          <w:szCs w:val="20"/>
          <w:lang w:val="es-ES"/>
        </w:rPr>
        <w:t>:</w:t>
      </w:r>
      <w:r w:rsidR="007C3C14" w:rsidRPr="00C960A2">
        <w:rPr>
          <w:rFonts w:ascii="Segoe UI" w:hAnsi="Segoe UI" w:cs="Segoe UI"/>
          <w:sz w:val="21"/>
          <w:szCs w:val="21"/>
          <w:shd w:val="clear" w:color="auto" w:fill="FFFFFF"/>
          <w:lang w:val="es-ES"/>
        </w:rPr>
        <w:t xml:space="preserve"> </w:t>
      </w:r>
    </w:p>
    <w:p w14:paraId="2E2DA350" w14:textId="39EB5BDB" w:rsidR="002B644E" w:rsidRPr="00C960A2" w:rsidRDefault="002B644E" w:rsidP="00C960A2">
      <w:pPr>
        <w:rPr>
          <w:i/>
          <w:sz w:val="28"/>
          <w:szCs w:val="28"/>
          <w:lang w:val="es-ES"/>
        </w:rPr>
      </w:pPr>
    </w:p>
    <w:sectPr w:rsidR="002B644E" w:rsidRPr="00C960A2" w:rsidSect="0059034C">
      <w:headerReference w:type="even" r:id="rId32"/>
      <w:headerReference w:type="default" r:id="rId33"/>
      <w:footerReference w:type="even" r:id="rId34"/>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0C0DA" w14:textId="77777777" w:rsidR="004D4491" w:rsidRDefault="004D4491" w:rsidP="00C413D4">
      <w:r>
        <w:separator/>
      </w:r>
    </w:p>
  </w:endnote>
  <w:endnote w:type="continuationSeparator" w:id="0">
    <w:p w14:paraId="688C6773" w14:textId="77777777" w:rsidR="004D4491" w:rsidRDefault="004D4491"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36BDA" w14:textId="77777777" w:rsidR="00630FFF" w:rsidRPr="002656E0" w:rsidRDefault="00630FFF">
    <w:pPr>
      <w:pStyle w:val="Piedepgina"/>
      <w:jc w:val="right"/>
      <w:rPr>
        <w:rFonts w:ascii="Times New Roman" w:hAnsi="Times New Roman" w:cs="Times New Roman"/>
      </w:rPr>
    </w:pPr>
  </w:p>
  <w:p w14:paraId="109D944B" w14:textId="77777777" w:rsidR="00630FFF" w:rsidRDefault="00630FF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DD132DC" w:rsidR="00630FFF" w:rsidRDefault="00630FFF"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B057DC">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7A222F7A" w14:textId="77777777" w:rsidR="00630FFF" w:rsidRDefault="00630FF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1BE7C777" w:rsidR="00630FFF" w:rsidRDefault="00630FFF"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B057DC">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E421D5C" w14:textId="77777777" w:rsidR="00630FFF" w:rsidRDefault="00630F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7AECE" w14:textId="77777777" w:rsidR="004D4491" w:rsidRDefault="004D4491" w:rsidP="00C413D4">
      <w:r>
        <w:separator/>
      </w:r>
    </w:p>
  </w:footnote>
  <w:footnote w:type="continuationSeparator" w:id="0">
    <w:p w14:paraId="7B9390B6" w14:textId="77777777" w:rsidR="004D4491" w:rsidRDefault="004D4491"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3804861"/>
      <w:docPartObj>
        <w:docPartGallery w:val="Page Numbers (Top of Page)"/>
        <w:docPartUnique/>
      </w:docPartObj>
    </w:sdtPr>
    <w:sdtEndPr>
      <w:rPr>
        <w:rFonts w:ascii="Times New Roman" w:hAnsi="Times New Roman" w:cs="Times New Roman"/>
      </w:rPr>
    </w:sdtEndPr>
    <w:sdtContent>
      <w:p w14:paraId="34F0830D" w14:textId="58DE3EDA" w:rsidR="00630FFF" w:rsidRPr="007114C6" w:rsidRDefault="00630FFF">
        <w:pPr>
          <w:pStyle w:val="Encabezado"/>
          <w:jc w:val="right"/>
          <w:rPr>
            <w:rFonts w:ascii="Times New Roman" w:hAnsi="Times New Roman" w:cs="Times New Roman"/>
          </w:rPr>
        </w:pPr>
        <w:r w:rsidRPr="007114C6">
          <w:rPr>
            <w:rFonts w:ascii="Times New Roman" w:hAnsi="Times New Roman" w:cs="Times New Roman"/>
          </w:rPr>
          <w:fldChar w:fldCharType="begin"/>
        </w:r>
        <w:r w:rsidRPr="007114C6">
          <w:rPr>
            <w:rFonts w:ascii="Times New Roman" w:hAnsi="Times New Roman" w:cs="Times New Roman"/>
          </w:rPr>
          <w:instrText>PAGE   \* MERGEFORMAT</w:instrText>
        </w:r>
        <w:r w:rsidRPr="007114C6">
          <w:rPr>
            <w:rFonts w:ascii="Times New Roman" w:hAnsi="Times New Roman" w:cs="Times New Roman"/>
          </w:rPr>
          <w:fldChar w:fldCharType="separate"/>
        </w:r>
        <w:r w:rsidR="00B057DC">
          <w:rPr>
            <w:rFonts w:ascii="Times New Roman" w:hAnsi="Times New Roman" w:cs="Times New Roman"/>
            <w:noProof/>
          </w:rPr>
          <w:t>5</w:t>
        </w:r>
        <w:r w:rsidRPr="007114C6">
          <w:rPr>
            <w:rFonts w:ascii="Times New Roman" w:hAnsi="Times New Roman" w:cs="Times New Roman"/>
          </w:rPr>
          <w:fldChar w:fldCharType="end"/>
        </w:r>
      </w:p>
    </w:sdtContent>
  </w:sdt>
  <w:p w14:paraId="09E06032" w14:textId="77777777" w:rsidR="00630FFF" w:rsidRDefault="00630FF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20193" w14:textId="23941C5B" w:rsidR="00630FFF" w:rsidRPr="00B02133" w:rsidRDefault="00630FFF" w:rsidP="0059034C">
    <w:pPr>
      <w:pStyle w:val="Encabezado"/>
      <w:jc w:val="center"/>
      <w:rPr>
        <w:rFonts w:ascii="Times" w:hAnsi="Times" w:cs="Times New Roman (Body CS)"/>
        <w:iCs/>
        <w:smallCaps/>
        <w:sz w:val="20"/>
        <w:szCs w:val="20"/>
        <w:lang w:val="es-AR"/>
      </w:rPr>
    </w:pPr>
    <w:proofErr w:type="spellStart"/>
    <w:r w:rsidRPr="00B02133">
      <w:rPr>
        <w:rFonts w:ascii="Times" w:hAnsi="Times" w:cs="Times New Roman (Body CS)"/>
        <w:iCs/>
        <w:smallCaps/>
        <w:sz w:val="20"/>
        <w:szCs w:val="20"/>
        <w:lang w:val="es-ES"/>
      </w:rPr>
      <w:t>Manuscript</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submission</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model</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90CEF" w14:textId="2BDE3CB7" w:rsidR="00630FFF" w:rsidRDefault="00630FFF"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3BBF008" w:rsidR="00630FFF" w:rsidRDefault="00630FFF" w:rsidP="00977250">
    <w:pPr>
      <w:pStyle w:val="Encabezado"/>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B4E"/>
    <w:rsid w:val="00023561"/>
    <w:rsid w:val="000365CA"/>
    <w:rsid w:val="00076F0A"/>
    <w:rsid w:val="00094D47"/>
    <w:rsid w:val="000E30DA"/>
    <w:rsid w:val="001253E7"/>
    <w:rsid w:val="00127870"/>
    <w:rsid w:val="001516ED"/>
    <w:rsid w:val="00153DC5"/>
    <w:rsid w:val="0015691C"/>
    <w:rsid w:val="001A623E"/>
    <w:rsid w:val="001B7D73"/>
    <w:rsid w:val="001F7509"/>
    <w:rsid w:val="00234E5C"/>
    <w:rsid w:val="00246D04"/>
    <w:rsid w:val="002624E0"/>
    <w:rsid w:val="00271502"/>
    <w:rsid w:val="00294547"/>
    <w:rsid w:val="00297AFB"/>
    <w:rsid w:val="00297C4A"/>
    <w:rsid w:val="002A7A4B"/>
    <w:rsid w:val="002B2297"/>
    <w:rsid w:val="002B644E"/>
    <w:rsid w:val="002C009C"/>
    <w:rsid w:val="002C1EB1"/>
    <w:rsid w:val="002C32E7"/>
    <w:rsid w:val="002C3A8D"/>
    <w:rsid w:val="002C7C6D"/>
    <w:rsid w:val="002C7DF0"/>
    <w:rsid w:val="002D1053"/>
    <w:rsid w:val="002E0320"/>
    <w:rsid w:val="002F070D"/>
    <w:rsid w:val="002F257B"/>
    <w:rsid w:val="002F38C8"/>
    <w:rsid w:val="00302C5C"/>
    <w:rsid w:val="003601CC"/>
    <w:rsid w:val="003909A7"/>
    <w:rsid w:val="00393E85"/>
    <w:rsid w:val="003A72D7"/>
    <w:rsid w:val="003C4AA4"/>
    <w:rsid w:val="003E4B06"/>
    <w:rsid w:val="003F24D4"/>
    <w:rsid w:val="0042142D"/>
    <w:rsid w:val="00430C97"/>
    <w:rsid w:val="00447E89"/>
    <w:rsid w:val="00475FC0"/>
    <w:rsid w:val="0048132C"/>
    <w:rsid w:val="00483D6B"/>
    <w:rsid w:val="0048651A"/>
    <w:rsid w:val="00491E9A"/>
    <w:rsid w:val="004C0823"/>
    <w:rsid w:val="004C1FD8"/>
    <w:rsid w:val="004C2A6E"/>
    <w:rsid w:val="004D186E"/>
    <w:rsid w:val="004D4491"/>
    <w:rsid w:val="004D5719"/>
    <w:rsid w:val="00505B04"/>
    <w:rsid w:val="00507B29"/>
    <w:rsid w:val="00542090"/>
    <w:rsid w:val="00575541"/>
    <w:rsid w:val="00576894"/>
    <w:rsid w:val="005813E0"/>
    <w:rsid w:val="0059034C"/>
    <w:rsid w:val="00594317"/>
    <w:rsid w:val="005B059D"/>
    <w:rsid w:val="005B5614"/>
    <w:rsid w:val="0061199D"/>
    <w:rsid w:val="006254C6"/>
    <w:rsid w:val="00630FFF"/>
    <w:rsid w:val="006350B2"/>
    <w:rsid w:val="006937D3"/>
    <w:rsid w:val="006A1BA2"/>
    <w:rsid w:val="006A5E5D"/>
    <w:rsid w:val="006B0812"/>
    <w:rsid w:val="006B088F"/>
    <w:rsid w:val="006C21BC"/>
    <w:rsid w:val="006F6924"/>
    <w:rsid w:val="006F7E7E"/>
    <w:rsid w:val="00700F77"/>
    <w:rsid w:val="00704ECD"/>
    <w:rsid w:val="00724F5C"/>
    <w:rsid w:val="00726399"/>
    <w:rsid w:val="0074214E"/>
    <w:rsid w:val="00742E4A"/>
    <w:rsid w:val="00770AE4"/>
    <w:rsid w:val="0078702D"/>
    <w:rsid w:val="00792739"/>
    <w:rsid w:val="00795D57"/>
    <w:rsid w:val="007A7C7C"/>
    <w:rsid w:val="007A7CDC"/>
    <w:rsid w:val="007C3C14"/>
    <w:rsid w:val="007E34D6"/>
    <w:rsid w:val="007E3B8D"/>
    <w:rsid w:val="008114AC"/>
    <w:rsid w:val="008151AB"/>
    <w:rsid w:val="00816268"/>
    <w:rsid w:val="00824D3A"/>
    <w:rsid w:val="00863414"/>
    <w:rsid w:val="00872EFD"/>
    <w:rsid w:val="00880120"/>
    <w:rsid w:val="008B0F10"/>
    <w:rsid w:val="008C19DF"/>
    <w:rsid w:val="008C409A"/>
    <w:rsid w:val="008C775E"/>
    <w:rsid w:val="008D509E"/>
    <w:rsid w:val="009032D5"/>
    <w:rsid w:val="00903DEB"/>
    <w:rsid w:val="009119BC"/>
    <w:rsid w:val="0095209E"/>
    <w:rsid w:val="009667D0"/>
    <w:rsid w:val="00977250"/>
    <w:rsid w:val="009850BE"/>
    <w:rsid w:val="00993241"/>
    <w:rsid w:val="009A583F"/>
    <w:rsid w:val="009B3EF3"/>
    <w:rsid w:val="009D2551"/>
    <w:rsid w:val="009E37BF"/>
    <w:rsid w:val="00A0644D"/>
    <w:rsid w:val="00A30790"/>
    <w:rsid w:val="00A457D0"/>
    <w:rsid w:val="00A516C7"/>
    <w:rsid w:val="00A62218"/>
    <w:rsid w:val="00A741BB"/>
    <w:rsid w:val="00A871FB"/>
    <w:rsid w:val="00A93146"/>
    <w:rsid w:val="00A96141"/>
    <w:rsid w:val="00AD3238"/>
    <w:rsid w:val="00AE48D4"/>
    <w:rsid w:val="00B02133"/>
    <w:rsid w:val="00B057DC"/>
    <w:rsid w:val="00B06283"/>
    <w:rsid w:val="00B35B61"/>
    <w:rsid w:val="00B511FB"/>
    <w:rsid w:val="00B60E75"/>
    <w:rsid w:val="00B6522A"/>
    <w:rsid w:val="00B74D71"/>
    <w:rsid w:val="00B83A6E"/>
    <w:rsid w:val="00B845A1"/>
    <w:rsid w:val="00B9678D"/>
    <w:rsid w:val="00BC2AFB"/>
    <w:rsid w:val="00BD26F5"/>
    <w:rsid w:val="00BF59E7"/>
    <w:rsid w:val="00C413D4"/>
    <w:rsid w:val="00C43335"/>
    <w:rsid w:val="00C5715C"/>
    <w:rsid w:val="00C64ECF"/>
    <w:rsid w:val="00C84812"/>
    <w:rsid w:val="00C960A2"/>
    <w:rsid w:val="00CA3BFF"/>
    <w:rsid w:val="00CA3C92"/>
    <w:rsid w:val="00CB631E"/>
    <w:rsid w:val="00CE538B"/>
    <w:rsid w:val="00CE7D65"/>
    <w:rsid w:val="00CF4E1F"/>
    <w:rsid w:val="00CF5D21"/>
    <w:rsid w:val="00D4310C"/>
    <w:rsid w:val="00D609BB"/>
    <w:rsid w:val="00D94A3F"/>
    <w:rsid w:val="00DB4A71"/>
    <w:rsid w:val="00DB6400"/>
    <w:rsid w:val="00DE1119"/>
    <w:rsid w:val="00E25900"/>
    <w:rsid w:val="00E26883"/>
    <w:rsid w:val="00E3671F"/>
    <w:rsid w:val="00E416F6"/>
    <w:rsid w:val="00E449A9"/>
    <w:rsid w:val="00E55124"/>
    <w:rsid w:val="00E97D42"/>
    <w:rsid w:val="00EA58CC"/>
    <w:rsid w:val="00EA6646"/>
    <w:rsid w:val="00EB213C"/>
    <w:rsid w:val="00ED2663"/>
    <w:rsid w:val="00F21272"/>
    <w:rsid w:val="00F35B00"/>
    <w:rsid w:val="00FB0419"/>
    <w:rsid w:val="00FB4AAA"/>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Mencinsinresolver1">
    <w:name w:val="Mención sin resolver1"/>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uiPriority w:val="2"/>
    <w:qFormat/>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paragraph" w:customStyle="1" w:styleId="TableParagraph">
    <w:name w:val="Table Paragraph"/>
    <w:basedOn w:val="Normal"/>
    <w:uiPriority w:val="1"/>
    <w:qFormat/>
    <w:rsid w:val="00023561"/>
    <w:pPr>
      <w:widowControl w:val="0"/>
      <w:autoSpaceDE w:val="0"/>
      <w:autoSpaceDN w:val="0"/>
      <w:jc w:val="center"/>
    </w:pPr>
    <w:rPr>
      <w:sz w:val="22"/>
      <w:szCs w:val="22"/>
      <w:lang w:val="en-US" w:eastAsia="en-US"/>
    </w:rPr>
  </w:style>
  <w:style w:type="table" w:customStyle="1" w:styleId="Tabladelista6concolores1">
    <w:name w:val="Tabla de lista 6 con colores1"/>
    <w:basedOn w:val="Tablanormal"/>
    <w:uiPriority w:val="51"/>
    <w:rsid w:val="00023561"/>
    <w:rPr>
      <w:color w:val="000000" w:themeColor="text1"/>
      <w:sz w:val="22"/>
      <w:szCs w:val="22"/>
      <w:lang w:val="es-DO"/>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Prrafodelista">
    <w:name w:val="List Paragraph"/>
    <w:basedOn w:val="Normal"/>
    <w:uiPriority w:val="34"/>
    <w:qFormat/>
    <w:rsid w:val="00505B04"/>
    <w:pPr>
      <w:spacing w:after="200" w:line="276" w:lineRule="auto"/>
      <w:ind w:left="720"/>
      <w:contextualSpacing/>
    </w:pPr>
    <w:rPr>
      <w:rFonts w:asciiTheme="minorHAnsi" w:eastAsiaTheme="minorHAnsi" w:hAnsiTheme="minorHAnsi" w:cstheme="minorBidi"/>
      <w:sz w:val="22"/>
      <w:szCs w:val="22"/>
      <w:lang w:val="es-DO" w:eastAsia="en-US"/>
    </w:rPr>
  </w:style>
  <w:style w:type="table" w:customStyle="1" w:styleId="Tabladelista6concolores12">
    <w:name w:val="Tabla de lista 6 con colores12"/>
    <w:basedOn w:val="Tablanormal"/>
    <w:uiPriority w:val="51"/>
    <w:rsid w:val="008C19DF"/>
    <w:rPr>
      <w:color w:val="000000" w:themeColor="text1"/>
      <w:sz w:val="22"/>
      <w:szCs w:val="22"/>
      <w:lang w:val="es-DO"/>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1016/j.paid.2012.05.022" TargetMode="External"/><Relationship Id="rId18" Type="http://schemas.openxmlformats.org/officeDocument/2006/relationships/hyperlink" Target="https://www.iupsys.net/about/governance/universal-declaration-of-ethical-principles-for-psychologists.html" TargetMode="External"/><Relationship Id="rId26" Type="http://schemas.openxmlformats.org/officeDocument/2006/relationships/hyperlink" Target="https://archive.org/details/sip-2019-declaracion-experticia-en-salud-mental" TargetMode="External"/><Relationship Id="rId21" Type="http://schemas.openxmlformats.org/officeDocument/2006/relationships/hyperlink" Target="https://archive.org/details/sip-2008a-declaracion-sobre-terapias-de-conversion"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02/per.2410070103" TargetMode="External"/><Relationship Id="rId17" Type="http://schemas.openxmlformats.org/officeDocument/2006/relationships/hyperlink" Target="https://doi.org/10.1080/10705519909540118" TargetMode="External"/><Relationship Id="rId25" Type="http://schemas.openxmlformats.org/officeDocument/2006/relationships/hyperlink" Target="https://archive.org/details/sip-2018-position-statement-on-immigration"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016/j.jsp.2018.02.001" TargetMode="External"/><Relationship Id="rId20" Type="http://schemas.openxmlformats.org/officeDocument/2006/relationships/hyperlink" Target="http://doi.org/10.333.23rlp10i2.298-299" TargetMode="External"/><Relationship Id="rId29" Type="http://schemas.openxmlformats.org/officeDocument/2006/relationships/hyperlink" Target="https://doi.org/10.2466/pr0.1998.82.3.7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964-015-0293-1" TargetMode="External"/><Relationship Id="rId24" Type="http://schemas.openxmlformats.org/officeDocument/2006/relationships/hyperlink" Target="https://archive.org/details/sip-2016-declaracion-apoyo-a-acuerdos-de-paz-en-colombia"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jad.2018.12.103" TargetMode="External"/><Relationship Id="rId23" Type="http://schemas.openxmlformats.org/officeDocument/2006/relationships/hyperlink" Target="https://archive.org/details/sip-2014-declaracion-sobre-ninos-migrantes-en-centro-america" TargetMode="External"/><Relationship Id="rId28" Type="http://schemas.openxmlformats.org/officeDocument/2006/relationships/hyperlink" Target="https://doi.org/10.5944/reop.vol.28.num.1.2017.19361" TargetMode="External"/><Relationship Id="rId36" Type="http://schemas.openxmlformats.org/officeDocument/2006/relationships/fontTable" Target="fontTable.xml"/><Relationship Id="rId10" Type="http://schemas.openxmlformats.org/officeDocument/2006/relationships/hyperlink" Target="https://doi.org/10.1080/15388220.2018.1486200" TargetMode="External"/><Relationship Id="rId19" Type="http://schemas.openxmlformats.org/officeDocument/2006/relationships/hyperlink" Target="https://doi.org/10.30552/ejep.v7i1.97" TargetMode="External"/><Relationship Id="rId31" Type="http://schemas.openxmlformats.org/officeDocument/2006/relationships/hyperlink" Target="https://doi.org/10.2105/AJPH.2011.30030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x.doi.org/10.18566/infpsicv15n1a02" TargetMode="External"/><Relationship Id="rId22" Type="http://schemas.openxmlformats.org/officeDocument/2006/relationships/hyperlink" Target="https://archive.org/details/sip-2008b-declaracion-sobre-principios-eticos" TargetMode="External"/><Relationship Id="rId27" Type="http://schemas.openxmlformats.org/officeDocument/2006/relationships/hyperlink" Target="http://dx.doi.org/10.17583/ijep.2017.2515" TargetMode="External"/><Relationship Id="rId30" Type="http://schemas.openxmlformats.org/officeDocument/2006/relationships/hyperlink" Target="http://dx.doi.org/10.11144/Javeriana" TargetMode="External"/><Relationship Id="rId35" Type="http://schemas.openxmlformats.org/officeDocument/2006/relationships/footer" Target="footer3.xml"/><Relationship Id="rId8" Type="http://schemas.openxmlformats.org/officeDocument/2006/relationships/header" Target="header1.xm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E90B3-B202-4494-B8BB-3DB0C773C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7016</Words>
  <Characters>38593</Characters>
  <Application>Microsoft Office Word</Application>
  <DocSecurity>0</DocSecurity>
  <Lines>321</Lines>
  <Paragraphs>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David</cp:lastModifiedBy>
  <cp:revision>4</cp:revision>
  <cp:lastPrinted>2020-04-16T16:22:00Z</cp:lastPrinted>
  <dcterms:created xsi:type="dcterms:W3CDTF">2021-05-02T18:04:00Z</dcterms:created>
  <dcterms:modified xsi:type="dcterms:W3CDTF">2021-05-03T09:06:00Z</dcterms:modified>
</cp:coreProperties>
</file>