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6.xml.rels" ContentType="application/vnd.openxmlformats-package.relationships+xml"/>
  <Override PartName="/word/_rels/header4.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3.jpeg" ContentType="image/jpeg"/>
  <Override PartName="/word/media/image2.jpeg" ContentType="image/jpeg"/>
  <Override PartName="/word/media/image4.jpeg" ContentType="image/jpe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ind w:left="0" w:right="0" w:firstLine="720"/>
        <w:jc w:val="center"/>
        <w:rPr>
          <w:rFonts w:ascii="Times New Roman" w:hAnsi="Times New Roman" w:eastAsia="Times New Roman" w:cs="Times New Roman"/>
          <w:b/>
          <w:b/>
          <w:i w:val="false"/>
          <w:i w:val="false"/>
          <w:strike w:val="false"/>
          <w:dstrike w:val="false"/>
          <w:color w:val="000000"/>
          <w:sz w:val="24"/>
          <w:szCs w:val="24"/>
          <w:u w:val="none"/>
          <w:lang w:val="en-US"/>
        </w:rPr>
      </w:pPr>
      <w:r>
        <w:rPr>
          <w:rFonts w:eastAsia="Times New Roman" w:cs="Times New Roman"/>
          <w:b/>
          <w:i w:val="false"/>
          <w:strike w:val="false"/>
          <w:dstrike w:val="false"/>
          <w:color w:val="000000"/>
          <w:sz w:val="24"/>
          <w:szCs w:val="24"/>
          <w:u w:val="none"/>
          <w:lang w:val="en-US"/>
        </w:rPr>
        <w:t>Stress and Psychological Symptomatology in a Hospital referring to COVID-19</w:t>
      </w:r>
    </w:p>
    <w:p>
      <w:pPr>
        <w:pStyle w:val="Normal"/>
        <w:rPr>
          <w:b/>
          <w:b/>
          <w:lang w:val="en-US"/>
        </w:rPr>
      </w:pPr>
      <w:r>
        <w:rPr>
          <w:b/>
          <w:lang w:val="en-US"/>
        </w:rPr>
      </w:r>
    </w:p>
    <w:p>
      <w:pPr>
        <w:pStyle w:val="Normal"/>
        <w:rPr>
          <w:i/>
          <w:i/>
          <w:sz w:val="28"/>
          <w:szCs w:val="28"/>
          <w:lang w:val="en-US"/>
        </w:rPr>
      </w:pPr>
      <w:r>
        <w:rPr>
          <w:i/>
          <w:sz w:val="28"/>
          <w:szCs w:val="28"/>
          <w:lang w:val="en-US"/>
        </w:rPr>
      </w:r>
    </w:p>
    <w:p>
      <w:pPr>
        <w:pStyle w:val="Normal"/>
        <w:rPr>
          <w:rFonts w:ascii="Times" w:hAnsi="Times"/>
          <w:i/>
          <w:i/>
          <w:sz w:val="28"/>
          <w:szCs w:val="28"/>
          <w:lang w:val="en-US"/>
        </w:rPr>
      </w:pPr>
      <w:r>
        <w:rPr>
          <w:rFonts w:ascii="Times" w:hAnsi="Times"/>
          <w:i/>
          <w:sz w:val="28"/>
          <w:szCs w:val="28"/>
          <w:lang w:val="en-US"/>
        </w:rPr>
        <mc:AlternateContent>
          <mc:Choice Requires="wps">
            <w:drawing>
              <wp:anchor behindDoc="0" distT="0" distB="19050" distL="0" distR="19050" simplePos="0" locked="0" layoutInCell="1" allowOverlap="1" relativeHeight="12">
                <wp:simplePos x="0" y="0"/>
                <wp:positionH relativeFrom="column">
                  <wp:posOffset>0</wp:posOffset>
                </wp:positionH>
                <wp:positionV relativeFrom="paragraph">
                  <wp:posOffset>66675</wp:posOffset>
                </wp:positionV>
                <wp:extent cx="6173470" cy="635"/>
                <wp:effectExtent l="0" t="0" r="0" b="0"/>
                <wp:wrapNone/>
                <wp:docPr id="1" name="Straight Connector 8"/>
                <a:graphic xmlns:a="http://schemas.openxmlformats.org/drawingml/2006/main">
                  <a:graphicData uri="http://schemas.microsoft.com/office/word/2010/wordprocessingShape">
                    <wps:wsp>
                      <wps:cNvSpPr/>
                      <wps:spPr>
                        <a:xfrm>
                          <a:off x="0" y="0"/>
                          <a:ext cx="6172920" cy="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0pt,5.25pt" to="486pt,5.25pt" ID="Straight Connector 8" stroked="t" style="position:absolute">
                <v:stroke color="black" weight="25560" joinstyle="round" endcap="flat"/>
                <v:fill o:detectmouseclick="t" on="false"/>
              </v:line>
            </w:pict>
          </mc:Fallback>
        </mc:AlternateContent>
      </w:r>
    </w:p>
    <w:p>
      <w:pPr>
        <w:pStyle w:val="Normal"/>
        <w:rPr>
          <w:b/>
          <w:b/>
          <w:sz w:val="20"/>
          <w:szCs w:val="20"/>
          <w:lang w:val="en-US"/>
        </w:rPr>
      </w:pPr>
      <w:r>
        <w:rPr>
          <w:b/>
          <w:sz w:val="20"/>
          <w:szCs w:val="20"/>
          <w:lang w:val="en-US"/>
        </w:rPr>
      </w:r>
    </w:p>
    <w:p>
      <w:pPr>
        <w:pStyle w:val="TtuloResumen"/>
        <w:rPr>
          <w:lang w:val="en-US"/>
        </w:rPr>
      </w:pPr>
      <w:r>
        <w:rPr>
          <w:lang w:val="en-US"/>
        </w:rPr>
        <w:t>Abstract</w:t>
      </w:r>
    </w:p>
    <w:p>
      <w:pPr>
        <w:pStyle w:val="Normal"/>
        <w:spacing w:lineRule="auto" w:line="480"/>
        <w:rPr>
          <w:rFonts w:ascii="Times new roman" w:hAnsi="Times new roman"/>
          <w:b w:val="false"/>
          <w:b w:val="false"/>
          <w:bCs w:val="false"/>
          <w:sz w:val="24"/>
          <w:szCs w:val="24"/>
        </w:rPr>
      </w:pPr>
      <w:r>
        <w:rPr>
          <w:rFonts w:ascii="Times new roman" w:hAnsi="Times new roman"/>
          <w:b/>
          <w:bCs/>
          <w:sz w:val="24"/>
          <w:szCs w:val="24"/>
        </w:rPr>
        <w:t>Introduction</w:t>
      </w:r>
      <w:r>
        <w:rPr>
          <w:rFonts w:ascii="Times new roman" w:hAnsi="Times new roman"/>
          <w:b w:val="false"/>
          <w:bCs w:val="false"/>
          <w:sz w:val="24"/>
          <w:szCs w:val="24"/>
        </w:rPr>
        <w:t xml:space="preserve">: Health workers, due to their degree of exposure during the </w:t>
      </w:r>
      <w:r>
        <w:rPr>
          <w:rFonts w:ascii="Times new roman" w:hAnsi="Times new roman"/>
          <w:b w:val="false"/>
          <w:bCs w:val="false"/>
          <w:sz w:val="24"/>
          <w:szCs w:val="24"/>
        </w:rPr>
        <w:t xml:space="preserve">onset of the </w:t>
      </w:r>
      <w:r>
        <w:rPr>
          <w:rFonts w:ascii="Times new roman" w:hAnsi="Times new roman"/>
          <w:b w:val="false"/>
          <w:bCs w:val="false"/>
          <w:sz w:val="24"/>
          <w:szCs w:val="24"/>
        </w:rPr>
        <w:t>COVID-19 pandemic, have a greater risk of presenting depression, anxiety and other psychopathological disorders. It is important to evaluate psychological aspects and work stress in order to provide psychological support and eventually treatment.</w:t>
      </w:r>
    </w:p>
    <w:p>
      <w:pPr>
        <w:pStyle w:val="Normal"/>
        <w:spacing w:lineRule="auto" w:line="480"/>
        <w:rPr>
          <w:rFonts w:ascii="Times new roman" w:hAnsi="Times new roman"/>
          <w:b w:val="false"/>
          <w:b w:val="false"/>
          <w:bCs w:val="false"/>
          <w:sz w:val="24"/>
          <w:szCs w:val="24"/>
        </w:rPr>
      </w:pPr>
      <w:r>
        <w:rPr>
          <w:rFonts w:ascii="Times new roman" w:hAnsi="Times new roman"/>
          <w:b/>
          <w:bCs/>
          <w:sz w:val="24"/>
          <w:szCs w:val="24"/>
        </w:rPr>
        <w:t>Method</w:t>
      </w:r>
      <w:r>
        <w:rPr>
          <w:rFonts w:ascii="Times new roman" w:hAnsi="Times new roman"/>
          <w:b w:val="false"/>
          <w:bCs w:val="false"/>
          <w:sz w:val="24"/>
          <w:szCs w:val="24"/>
        </w:rPr>
        <w:t xml:space="preserve">: </w:t>
      </w:r>
      <w:r>
        <w:rPr>
          <w:rFonts w:ascii="Times new roman" w:hAnsi="Times new roman"/>
          <w:b w:val="false"/>
          <w:bCs w:val="false"/>
          <w:sz w:val="24"/>
          <w:szCs w:val="24"/>
        </w:rPr>
        <w:t>I</w:t>
      </w:r>
      <w:r>
        <w:rPr>
          <w:rFonts w:ascii="Times new roman" w:hAnsi="Times new roman"/>
          <w:b w:val="false"/>
          <w:bCs w:val="false"/>
          <w:sz w:val="24"/>
          <w:szCs w:val="24"/>
        </w:rPr>
        <w:t xml:space="preserve">n June 2020 it was explored psychopathological symptoms through the OQ45.2, and work stress through the </w:t>
      </w:r>
      <w:r>
        <w:rPr>
          <w:rFonts w:ascii="Times new roman" w:hAnsi="Times new roman"/>
          <w:b w:val="false"/>
          <w:bCs w:val="false"/>
          <w:i w:val="false"/>
          <w:iCs w:val="false"/>
          <w:sz w:val="24"/>
          <w:szCs w:val="24"/>
        </w:rPr>
        <w:t>Burnout</w:t>
      </w:r>
      <w:r>
        <w:rPr>
          <w:rFonts w:ascii="Times new roman" w:hAnsi="Times new roman"/>
          <w:b w:val="false"/>
          <w:bCs w:val="false"/>
          <w:sz w:val="24"/>
          <w:szCs w:val="24"/>
        </w:rPr>
        <w:t xml:space="preserve"> Short Questionnaire of the staff of a public hospital in the city of Montevideo.</w:t>
      </w:r>
    </w:p>
    <w:p>
      <w:pPr>
        <w:pStyle w:val="Normal"/>
        <w:spacing w:lineRule="auto" w:line="480"/>
        <w:rPr/>
      </w:pPr>
      <w:r>
        <w:rPr>
          <w:rFonts w:ascii="Times new roman" w:hAnsi="Times new roman"/>
          <w:b/>
          <w:bCs/>
          <w:sz w:val="24"/>
          <w:szCs w:val="24"/>
        </w:rPr>
        <w:t>Results</w:t>
      </w:r>
      <w:r>
        <w:rPr>
          <w:rFonts w:ascii="Times new roman" w:hAnsi="Times new roman"/>
          <w:b w:val="false"/>
          <w:bCs w:val="false"/>
          <w:sz w:val="24"/>
          <w:szCs w:val="24"/>
        </w:rPr>
        <w:t xml:space="preserve">: Health workers present low levels of </w:t>
      </w:r>
      <w:r>
        <w:rPr>
          <w:rFonts w:ascii="Times new roman" w:hAnsi="Times new roman"/>
          <w:b w:val="false"/>
          <w:bCs w:val="false"/>
          <w:i w:val="false"/>
          <w:iCs w:val="false"/>
          <w:sz w:val="24"/>
          <w:szCs w:val="24"/>
        </w:rPr>
        <w:t>burnout</w:t>
      </w:r>
      <w:r>
        <w:rPr>
          <w:rFonts w:ascii="Times new roman" w:hAnsi="Times new roman"/>
          <w:b w:val="false"/>
          <w:bCs w:val="false"/>
          <w:sz w:val="24"/>
          <w:szCs w:val="24"/>
        </w:rPr>
        <w:t xml:space="preserve"> and psychopathological symptoms. Participants who work in the services that care for patients on the first line (belonging to the services: Intensive </w:t>
      </w:r>
      <w:r>
        <w:rPr>
          <w:rFonts w:eastAsia="Times New Roman" w:cs="Times New Roman" w:ascii="Times new roman" w:hAnsi="Times new roman"/>
          <w:b w:val="false"/>
          <w:bCs w:val="false"/>
          <w:color w:val="auto"/>
          <w:kern w:val="0"/>
          <w:sz w:val="24"/>
          <w:szCs w:val="24"/>
          <w:lang w:val="es-ES_tradnl" w:eastAsia="es-ES_tradnl" w:bidi="ar-SA"/>
        </w:rPr>
        <w:t>and</w:t>
      </w:r>
      <w:r>
        <w:rPr>
          <w:rFonts w:ascii="Times new roman" w:hAnsi="Times new roman"/>
          <w:b w:val="false"/>
          <w:bCs w:val="false"/>
          <w:sz w:val="24"/>
          <w:szCs w:val="24"/>
        </w:rPr>
        <w:t xml:space="preserve"> Moderate Care, Emergency and Nursing) have greater </w:t>
      </w:r>
      <w:r>
        <w:rPr>
          <w:rFonts w:ascii="Times new roman" w:hAnsi="Times new roman"/>
          <w:b w:val="false"/>
          <w:bCs w:val="false"/>
          <w:i w:val="false"/>
          <w:iCs w:val="false"/>
          <w:sz w:val="24"/>
          <w:szCs w:val="24"/>
        </w:rPr>
        <w:t>burnout</w:t>
      </w:r>
      <w:r>
        <w:rPr>
          <w:rFonts w:ascii="Times new roman" w:hAnsi="Times new roman"/>
          <w:b w:val="false"/>
          <w:bCs w:val="false"/>
          <w:sz w:val="24"/>
          <w:szCs w:val="24"/>
        </w:rPr>
        <w:t>, psychopathological symptoms and work more hours per week, although they have less seniority in the hospital.</w:t>
      </w:r>
    </w:p>
    <w:p>
      <w:pPr>
        <w:pStyle w:val="Normal"/>
        <w:spacing w:lineRule="auto" w:line="480"/>
        <w:rPr/>
      </w:pPr>
      <w:r>
        <w:rPr>
          <w:rFonts w:ascii="Times new roman" w:hAnsi="Times new roman"/>
          <w:b/>
          <w:bCs/>
          <w:sz w:val="24"/>
          <w:szCs w:val="24"/>
        </w:rPr>
        <w:t>Discussion</w:t>
      </w:r>
      <w:r>
        <w:rPr>
          <w:rFonts w:ascii="Times new roman" w:hAnsi="Times new roman"/>
          <w:b w:val="false"/>
          <w:bCs w:val="false"/>
          <w:sz w:val="24"/>
          <w:szCs w:val="24"/>
        </w:rPr>
        <w:t xml:space="preserve">: This evaluation shows low values of </w:t>
      </w:r>
      <w:r>
        <w:rPr>
          <w:rFonts w:ascii="Times new roman" w:hAnsi="Times new roman"/>
          <w:b w:val="false"/>
          <w:bCs w:val="false"/>
          <w:i w:val="false"/>
          <w:iCs w:val="false"/>
          <w:sz w:val="24"/>
          <w:szCs w:val="24"/>
        </w:rPr>
        <w:t>burnout</w:t>
      </w:r>
      <w:r>
        <w:rPr>
          <w:rFonts w:ascii="Times new roman" w:hAnsi="Times new roman"/>
          <w:b w:val="false"/>
          <w:bCs w:val="false"/>
          <w:sz w:val="24"/>
          <w:szCs w:val="24"/>
        </w:rPr>
        <w:t xml:space="preserve"> and psychopathological symptoms, in relation to health teams with tools to face the crisis. Health teams </w:t>
      </w:r>
      <w:r>
        <w:rPr>
          <w:rFonts w:eastAsia="Times New Roman" w:cs="Times New Roman" w:ascii="Times new roman" w:hAnsi="Times new roman"/>
          <w:b w:val="false"/>
          <w:bCs w:val="false"/>
          <w:color w:val="auto"/>
          <w:kern w:val="0"/>
          <w:sz w:val="24"/>
          <w:szCs w:val="24"/>
          <w:lang w:val="es-ES_tradnl" w:eastAsia="es-ES_tradnl" w:bidi="ar-SA"/>
        </w:rPr>
        <w:t>was</w:t>
      </w:r>
      <w:r>
        <w:rPr>
          <w:rFonts w:ascii="Times new roman" w:hAnsi="Times new roman"/>
          <w:b w:val="false"/>
          <w:bCs w:val="false"/>
          <w:sz w:val="24"/>
          <w:szCs w:val="24"/>
        </w:rPr>
        <w:t xml:space="preserve"> prepared at different levels: inter-institutional and governmental, with the development of preventive and assistance policies.</w:t>
      </w:r>
    </w:p>
    <w:p>
      <w:pPr>
        <w:pStyle w:val="Normal"/>
        <w:spacing w:lineRule="auto" w:line="480"/>
        <w:rPr>
          <w:rFonts w:ascii="Times new roman" w:hAnsi="Times new roman"/>
          <w:b w:val="false"/>
          <w:b w:val="false"/>
          <w:bCs w:val="false"/>
          <w:sz w:val="24"/>
          <w:szCs w:val="24"/>
        </w:rPr>
      </w:pPr>
      <w:r>
        <w:rPr>
          <w:rFonts w:ascii="Times new roman" w:hAnsi="Times new roman"/>
          <w:b/>
          <w:bCs/>
          <w:sz w:val="24"/>
          <w:szCs w:val="24"/>
        </w:rPr>
        <w:t>Conclusion</w:t>
      </w:r>
      <w:r>
        <w:rPr>
          <w:rFonts w:ascii="Times new roman" w:hAnsi="Times new roman"/>
          <w:b w:val="false"/>
          <w:bCs w:val="false"/>
          <w:sz w:val="24"/>
          <w:szCs w:val="24"/>
        </w:rPr>
        <w:t>: It is important and beneficial to prepare health teams for emergency situations.</w:t>
      </w:r>
    </w:p>
    <w:p>
      <w:pPr>
        <w:pStyle w:val="Normal"/>
        <w:spacing w:lineRule="auto" w:line="480"/>
        <w:jc w:val="left"/>
        <w:rPr>
          <w:rFonts w:ascii="Times new roman" w:hAnsi="Times new roman" w:eastAsia="Times New Roman" w:cs="Times New Roman"/>
          <w:b/>
          <w:b/>
          <w:bCs/>
          <w:color w:val="auto"/>
          <w:kern w:val="0"/>
          <w:sz w:val="24"/>
          <w:szCs w:val="24"/>
          <w:lang w:val="es-ES_tradnl" w:eastAsia="es-ES_tradnl" w:bidi="ar-SA"/>
        </w:rPr>
      </w:pPr>
      <w:r>
        <w:rPr>
          <w:rFonts w:eastAsia="Times New Roman" w:cs="Times New Roman" w:ascii="Times new roman" w:hAnsi="Times new roman"/>
          <w:b/>
          <w:bCs/>
          <w:color w:val="auto"/>
          <w:kern w:val="0"/>
          <w:sz w:val="24"/>
          <w:szCs w:val="24"/>
          <w:lang w:val="es-ES_tradnl" w:eastAsia="es-ES_tradnl" w:bidi="ar-SA"/>
        </w:rPr>
        <w:t xml:space="preserve">Keywords: </w:t>
      </w:r>
    </w:p>
    <w:p>
      <w:pPr>
        <w:pStyle w:val="Normal"/>
        <w:spacing w:lineRule="auto" w:line="480"/>
        <w:jc w:val="left"/>
        <w:rPr>
          <w:sz w:val="24"/>
          <w:szCs w:val="24"/>
          <w:lang w:val="es-ES_tradnl"/>
        </w:rPr>
      </w:pPr>
      <w:r>
        <w:rPr>
          <w:rFonts w:eastAsia="Times New Roman" w:cs="Times New Roman" w:ascii="Times new roman" w:hAnsi="Times new roman"/>
          <w:b w:val="false"/>
          <w:bCs w:val="false"/>
          <w:i w:val="false"/>
          <w:iCs w:val="false"/>
          <w:color w:val="auto"/>
          <w:kern w:val="0"/>
          <w:sz w:val="24"/>
          <w:szCs w:val="24"/>
          <w:lang w:val="es-ES_tradnl" w:eastAsia="es-ES_tradnl" w:bidi="ar-SA"/>
        </w:rPr>
        <w:t>Burnout</w:t>
      </w:r>
      <w:r>
        <w:rPr>
          <w:rFonts w:eastAsia="Times New Roman" w:cs="Times New Roman" w:ascii="Times new roman" w:hAnsi="Times new roman"/>
          <w:b w:val="false"/>
          <w:bCs w:val="false"/>
          <w:color w:val="auto"/>
          <w:kern w:val="0"/>
          <w:sz w:val="24"/>
          <w:szCs w:val="24"/>
          <w:lang w:val="es-ES_tradnl" w:eastAsia="es-ES_tradnl" w:bidi="ar-SA"/>
        </w:rPr>
        <w:t xml:space="preserve">, COVID-19; </w:t>
      </w:r>
      <w:r>
        <w:rPr>
          <w:rFonts w:eastAsia="Times New Roman" w:cs="Times New Roman" w:ascii="Times new roman" w:hAnsi="Times new roman"/>
          <w:b w:val="false"/>
          <w:bCs w:val="false"/>
          <w:i w:val="false"/>
          <w:iCs w:val="false"/>
          <w:color w:val="auto"/>
          <w:kern w:val="0"/>
          <w:sz w:val="24"/>
          <w:szCs w:val="24"/>
          <w:lang w:val="es-ES_tradnl" w:eastAsia="es-ES_tradnl" w:bidi="ar-SA"/>
        </w:rPr>
        <w:t>Burnout</w:t>
      </w:r>
      <w:r>
        <w:rPr>
          <w:rFonts w:eastAsia="Times New Roman" w:cs="Times New Roman" w:ascii="Times new roman" w:hAnsi="Times new roman"/>
          <w:b w:val="false"/>
          <w:bCs w:val="false"/>
          <w:color w:val="auto"/>
          <w:kern w:val="0"/>
          <w:sz w:val="24"/>
          <w:szCs w:val="24"/>
          <w:lang w:val="es-ES_tradnl" w:eastAsia="es-ES_tradnl" w:bidi="ar-SA"/>
        </w:rPr>
        <w:t xml:space="preserve"> Short Questionnaire; psychopathology; OQ45.2; health workers</w:t>
      </w:r>
    </w:p>
    <w:p>
      <w:pPr>
        <w:pStyle w:val="Normal"/>
        <w:jc w:val="both"/>
        <w:rPr>
          <w:bCs/>
          <w:sz w:val="20"/>
          <w:szCs w:val="20"/>
          <w:lang w:val="en-US"/>
        </w:rPr>
      </w:pPr>
      <w:r>
        <w:rPr>
          <w:bCs/>
          <w:sz w:val="20"/>
          <w:szCs w:val="20"/>
          <w:lang w:val="en-US"/>
        </w:rPr>
      </w:r>
    </w:p>
    <w:p>
      <w:pPr>
        <w:pStyle w:val="TtuloResumen"/>
        <w:rPr>
          <w:lang w:val="es-AR"/>
        </w:rPr>
      </w:pPr>
      <w:r>
        <w:rPr>
          <w:lang w:val="es-AR"/>
        </w:rPr>
        <w:t>Resumen</w:t>
      </w:r>
    </w:p>
    <w:p>
      <w:pPr>
        <w:pStyle w:val="Normal"/>
        <w:spacing w:lineRule="auto" w:line="477" w:before="220" w:after="0"/>
        <w:rPr/>
      </w:pPr>
      <w:r>
        <w:rPr>
          <w:rFonts w:eastAsia="Times New Roman" w:cs="Times New Roman"/>
          <w:b/>
          <w:sz w:val="24"/>
          <w:szCs w:val="24"/>
        </w:rPr>
        <w:t xml:space="preserve">Introducción : </w:t>
      </w:r>
      <w:r>
        <w:rPr>
          <w:rFonts w:eastAsia="Times New Roman" w:cs="Times New Roman"/>
          <w:sz w:val="24"/>
          <w:szCs w:val="24"/>
        </w:rPr>
        <w:t xml:space="preserve">Los trabajadores de la salud  por su grado de exposición durante el </w:t>
      </w:r>
      <w:r>
        <w:rPr>
          <w:rFonts w:eastAsia="Times New Roman" w:cs="Times New Roman"/>
          <w:sz w:val="24"/>
          <w:szCs w:val="24"/>
        </w:rPr>
        <w:t>inicio</w:t>
      </w:r>
      <w:r>
        <w:rPr>
          <w:rFonts w:eastAsia="Times New Roman" w:cs="Times New Roman"/>
          <w:sz w:val="24"/>
          <w:szCs w:val="24"/>
        </w:rPr>
        <w:t xml:space="preserve">  de la pandemia por COVID-19, tienen un mayor riesgo de presentar depresión, ansiedad y otros trastornos psicopatológicos. Resulta importante evaluar </w:t>
      </w:r>
      <w:r>
        <w:rPr>
          <w:rFonts w:eastAsia="Times New Roman" w:cs="Times New Roman"/>
          <w:color w:val="222222"/>
          <w:sz w:val="24"/>
          <w:szCs w:val="24"/>
        </w:rPr>
        <w:t xml:space="preserve"> aspectos psicológicos y de estrés laboral a efectos</w:t>
      </w:r>
      <w:r>
        <w:rPr>
          <w:rFonts w:eastAsia="Times New Roman" w:cs="Times New Roman"/>
          <w:sz w:val="24"/>
          <w:szCs w:val="24"/>
        </w:rPr>
        <w:t xml:space="preserve"> de brindar apoyo psicológico  y  eventualmente   tratamiento.</w:t>
      </w:r>
    </w:p>
    <w:p>
      <w:pPr>
        <w:pStyle w:val="Normal"/>
        <w:spacing w:lineRule="auto" w:line="477" w:before="220" w:after="0"/>
        <w:rPr/>
      </w:pPr>
      <w:r>
        <w:rPr>
          <w:rFonts w:eastAsia="Times New Roman" w:cs="Times New Roman"/>
          <w:b/>
          <w:sz w:val="24"/>
          <w:szCs w:val="24"/>
        </w:rPr>
        <w:t xml:space="preserve">Método: </w:t>
      </w:r>
      <w:r>
        <w:rPr>
          <w:rFonts w:eastAsia="Times New Roman" w:cs="Times New Roman"/>
          <w:sz w:val="24"/>
          <w:szCs w:val="24"/>
        </w:rPr>
        <w:t xml:space="preserve">En </w:t>
      </w:r>
      <w:r>
        <w:rPr>
          <w:rFonts w:eastAsia="Times New Roman" w:cs="Times New Roman"/>
          <w:color w:val="auto"/>
          <w:kern w:val="0"/>
          <w:sz w:val="24"/>
          <w:szCs w:val="24"/>
          <w:lang w:val="es-ES_tradnl" w:eastAsia="es-ES_tradnl" w:bidi="ar-SA"/>
        </w:rPr>
        <w:t>Junio</w:t>
      </w:r>
      <w:r>
        <w:rPr>
          <w:rFonts w:eastAsia="Times New Roman" w:cs="Times New Roman"/>
          <w:sz w:val="24"/>
          <w:szCs w:val="24"/>
        </w:rPr>
        <w:t xml:space="preserve"> de 2020 s</w:t>
      </w:r>
      <w:r>
        <w:rPr>
          <w:rFonts w:eastAsia="Times New Roman" w:cs="Times New Roman"/>
          <w:sz w:val="24"/>
          <w:szCs w:val="24"/>
        </w:rPr>
        <w:t>e explora sintomatología psicopatológica</w:t>
      </w:r>
      <w:r>
        <w:rPr>
          <w:rFonts w:eastAsia="Times New Roman" w:cs="Times New Roman"/>
          <w:color w:val="222222"/>
          <w:sz w:val="24"/>
          <w:szCs w:val="24"/>
        </w:rPr>
        <w:t xml:space="preserve"> mediante OQ45.2, y el estrés laboral mediante Cuestionario Breve de </w:t>
      </w:r>
      <w:r>
        <w:rPr>
          <w:rFonts w:eastAsia="Times New Roman" w:cs="Times New Roman"/>
          <w:b w:val="false"/>
          <w:bCs w:val="false"/>
          <w:i/>
          <w:iCs/>
          <w:color w:val="222222"/>
          <w:sz w:val="24"/>
          <w:szCs w:val="24"/>
        </w:rPr>
        <w:t>Burnout</w:t>
      </w:r>
      <w:r>
        <w:rPr>
          <w:rFonts w:eastAsia="Times New Roman" w:cs="Times New Roman"/>
          <w:color w:val="222222"/>
          <w:sz w:val="24"/>
          <w:szCs w:val="24"/>
        </w:rPr>
        <w:t xml:space="preserve"> del personal de </w:t>
      </w:r>
      <w:r>
        <w:rPr>
          <w:rFonts w:eastAsia="Times New Roman" w:cs="Times New Roman"/>
          <w:color w:val="222222"/>
          <w:sz w:val="24"/>
          <w:szCs w:val="24"/>
        </w:rPr>
        <w:t xml:space="preserve"> h</w:t>
      </w:r>
      <w:r>
        <w:rPr>
          <w:rFonts w:eastAsia="Times New Roman" w:cs="Times New Roman"/>
          <w:color w:val="222222"/>
          <w:sz w:val="24"/>
          <w:szCs w:val="24"/>
        </w:rPr>
        <w:t xml:space="preserve">ospital </w:t>
      </w:r>
      <w:r>
        <w:rPr>
          <w:rFonts w:eastAsia="Times New Roman" w:cs="Times New Roman"/>
          <w:color w:val="222222"/>
          <w:sz w:val="24"/>
          <w:szCs w:val="24"/>
        </w:rPr>
        <w:t>público</w:t>
      </w:r>
      <w:r>
        <w:rPr>
          <w:rFonts w:eastAsia="Times New Roman" w:cs="Times New Roman"/>
          <w:color w:val="222222"/>
          <w:sz w:val="24"/>
          <w:szCs w:val="24"/>
        </w:rPr>
        <w:t xml:space="preserve"> de la ciudad de Montevideo.</w:t>
      </w:r>
    </w:p>
    <w:p>
      <w:pPr>
        <w:pStyle w:val="Normal"/>
        <w:spacing w:lineRule="auto" w:line="477" w:before="220" w:after="0"/>
        <w:rPr/>
      </w:pPr>
      <w:r>
        <w:rPr>
          <w:rFonts w:eastAsia="Times New Roman" w:cs="Times New Roman"/>
          <w:b/>
          <w:sz w:val="24"/>
          <w:szCs w:val="24"/>
        </w:rPr>
        <w:t>Resultados</w:t>
      </w:r>
      <w:r>
        <w:rPr>
          <w:rFonts w:eastAsia="Times New Roman" w:cs="Times New Roman"/>
          <w:sz w:val="24"/>
          <w:szCs w:val="24"/>
        </w:rPr>
        <w:t xml:space="preserve">: Los trabajadores de la salud presentan niveles bajos de </w:t>
      </w:r>
      <w:r>
        <w:rPr>
          <w:rFonts w:eastAsia="Times New Roman" w:cs="Times New Roman"/>
          <w:i/>
          <w:sz w:val="24"/>
          <w:szCs w:val="24"/>
        </w:rPr>
        <w:t>burnout</w:t>
      </w:r>
      <w:r>
        <w:rPr>
          <w:rFonts w:eastAsia="Times New Roman" w:cs="Times New Roman"/>
          <w:sz w:val="24"/>
          <w:szCs w:val="24"/>
        </w:rPr>
        <w:t xml:space="preserve"> y sintomatología psicopatológica. Los participantes que trabajan en servicios que atienden pacientes en primera línea (pertenecientes a los servicios: Cuidados Intensivos, Cuidados Moderados, Emergencia y Enfermería) tienen mayor </w:t>
      </w:r>
      <w:r>
        <w:rPr>
          <w:rFonts w:eastAsia="Times New Roman" w:cs="Times New Roman"/>
          <w:i/>
          <w:sz w:val="24"/>
          <w:szCs w:val="24"/>
        </w:rPr>
        <w:t>burnout</w:t>
      </w:r>
      <w:r>
        <w:rPr>
          <w:rFonts w:eastAsia="Times New Roman" w:cs="Times New Roman"/>
          <w:sz w:val="24"/>
          <w:szCs w:val="24"/>
        </w:rPr>
        <w:t xml:space="preserve"> (dimensión síndrome y </w:t>
      </w:r>
      <w:r>
        <w:rPr>
          <w:rFonts w:eastAsia="Times New Roman" w:cs="Times New Roman"/>
          <w:i/>
          <w:iCs/>
          <w:sz w:val="24"/>
          <w:szCs w:val="24"/>
        </w:rPr>
        <w:t>burnout</w:t>
      </w:r>
      <w:r>
        <w:rPr>
          <w:rFonts w:eastAsia="Times New Roman" w:cs="Times New Roman"/>
          <w:sz w:val="24"/>
          <w:szCs w:val="24"/>
        </w:rPr>
        <w:t xml:space="preserve"> total) , sintomatología psicopatológica y trabajan más horas por semana, aunque tienen menos antigüedad en el hospital.</w:t>
      </w:r>
    </w:p>
    <w:p>
      <w:pPr>
        <w:pStyle w:val="Normal"/>
        <w:spacing w:lineRule="auto" w:line="477" w:before="220" w:after="0"/>
        <w:rPr/>
      </w:pPr>
      <w:r>
        <w:rPr>
          <w:rFonts w:eastAsia="Times New Roman" w:cs="Times New Roman"/>
          <w:b/>
          <w:sz w:val="24"/>
          <w:szCs w:val="24"/>
        </w:rPr>
        <w:t>Discusión</w:t>
      </w:r>
      <w:r>
        <w:rPr>
          <w:rFonts w:eastAsia="Times New Roman" w:cs="Times New Roman"/>
          <w:sz w:val="24"/>
          <w:szCs w:val="24"/>
        </w:rPr>
        <w:t xml:space="preserve">: Esta evaluación muestra valores bajos de </w:t>
      </w:r>
      <w:r>
        <w:rPr>
          <w:rFonts w:eastAsia="Times New Roman" w:cs="Times New Roman"/>
          <w:i/>
          <w:iCs/>
          <w:sz w:val="24"/>
          <w:szCs w:val="24"/>
        </w:rPr>
        <w:t>burnout</w:t>
      </w:r>
      <w:r>
        <w:rPr>
          <w:rFonts w:eastAsia="Times New Roman" w:cs="Times New Roman"/>
          <w:sz w:val="24"/>
          <w:szCs w:val="24"/>
        </w:rPr>
        <w:t xml:space="preserve"> y sintomatología psicopatológica, en  relación con equipos de salud con herramientas para afrontar la crisis. </w:t>
      </w:r>
      <w:r>
        <w:rPr>
          <w:rFonts w:eastAsia="Times New Roman" w:cs="Times New Roman"/>
          <w:sz w:val="24"/>
          <w:szCs w:val="24"/>
        </w:rPr>
        <w:t>Se realiz</w:t>
      </w:r>
      <w:r>
        <w:rPr>
          <w:rFonts w:eastAsia="Times New Roman" w:cs="Times New Roman"/>
          <w:sz w:val="24"/>
          <w:szCs w:val="24"/>
        </w:rPr>
        <w:t>ó</w:t>
      </w:r>
      <w:r>
        <w:rPr>
          <w:rFonts w:eastAsia="Times New Roman" w:cs="Times New Roman"/>
          <w:sz w:val="24"/>
          <w:szCs w:val="24"/>
        </w:rPr>
        <w:t xml:space="preserve"> preparación </w:t>
      </w:r>
      <w:r>
        <w:rPr>
          <w:rFonts w:eastAsia="Times New Roman" w:cs="Times New Roman"/>
          <w:sz w:val="24"/>
          <w:szCs w:val="24"/>
        </w:rPr>
        <w:t>de</w:t>
      </w:r>
      <w:r>
        <w:rPr>
          <w:rFonts w:eastAsia="Times New Roman" w:cs="Times New Roman"/>
          <w:sz w:val="24"/>
          <w:szCs w:val="24"/>
        </w:rPr>
        <w:t xml:space="preserve"> los equipos en diferentes niveles: interinstitucional y estatal, con el desarrollo de políticas preventivas y asistenciales.</w:t>
      </w:r>
    </w:p>
    <w:p>
      <w:pPr>
        <w:pStyle w:val="Normal"/>
        <w:spacing w:lineRule="auto" w:line="477" w:before="220" w:after="0"/>
        <w:jc w:val="both"/>
        <w:rPr/>
      </w:pPr>
      <w:r>
        <w:rPr>
          <w:rFonts w:eastAsia="Times New Roman" w:cs="Times New Roman"/>
          <w:b/>
          <w:sz w:val="24"/>
          <w:szCs w:val="24"/>
          <w:lang w:val="es-AR"/>
        </w:rPr>
        <w:t>Conclusi</w:t>
      </w:r>
      <w:r>
        <w:rPr>
          <w:rFonts w:eastAsia="Times New Roman" w:cs="Times New Roman"/>
          <w:b/>
          <w:sz w:val="24"/>
          <w:szCs w:val="24"/>
          <w:lang w:val="es-AR"/>
        </w:rPr>
        <w:t>ó</w:t>
      </w:r>
      <w:r>
        <w:rPr>
          <w:rFonts w:eastAsia="Times New Roman" w:cs="Times New Roman"/>
          <w:b/>
          <w:sz w:val="24"/>
          <w:szCs w:val="24"/>
          <w:lang w:val="es-AR"/>
        </w:rPr>
        <w:t xml:space="preserve">n: </w:t>
      </w:r>
      <w:r>
        <w:rPr>
          <w:rFonts w:eastAsia="Times New Roman" w:cs="Times New Roman"/>
          <w:b w:val="false"/>
          <w:bCs w:val="false"/>
          <w:sz w:val="24"/>
          <w:szCs w:val="24"/>
          <w:lang w:val="es-AR"/>
        </w:rPr>
        <w:t xml:space="preserve"> </w:t>
      </w:r>
      <w:r>
        <w:rPr>
          <w:rFonts w:eastAsia="Times New Roman" w:cs="Times New Roman"/>
          <w:b w:val="false"/>
          <w:bCs w:val="false"/>
          <w:sz w:val="24"/>
          <w:szCs w:val="24"/>
          <w:lang w:val="es-AR"/>
        </w:rPr>
        <w:t>Es i</w:t>
      </w:r>
      <w:r>
        <w:rPr>
          <w:rFonts w:eastAsia="Times New Roman" w:cs="Times New Roman"/>
          <w:b w:val="false"/>
          <w:bCs w:val="false"/>
          <w:sz w:val="24"/>
          <w:szCs w:val="24"/>
          <w:lang w:val="es-AR"/>
        </w:rPr>
        <w:t>mportan</w:t>
      </w:r>
      <w:r>
        <w:rPr>
          <w:rFonts w:eastAsia="Times New Roman" w:cs="Times New Roman"/>
          <w:b w:val="false"/>
          <w:bCs w:val="false"/>
          <w:sz w:val="24"/>
          <w:szCs w:val="24"/>
          <w:lang w:val="es-AR"/>
        </w:rPr>
        <w:t>te</w:t>
      </w:r>
      <w:r>
        <w:rPr>
          <w:rFonts w:eastAsia="Times New Roman" w:cs="Times New Roman"/>
          <w:b w:val="false"/>
          <w:bCs w:val="false"/>
          <w:sz w:val="24"/>
          <w:szCs w:val="24"/>
          <w:lang w:val="es-AR"/>
        </w:rPr>
        <w:t xml:space="preserve"> </w:t>
      </w:r>
      <w:r>
        <w:rPr>
          <w:rFonts w:eastAsia="Times New Roman" w:cs="Times New Roman"/>
          <w:b w:val="false"/>
          <w:bCs w:val="false"/>
          <w:sz w:val="24"/>
          <w:szCs w:val="24"/>
          <w:lang w:val="es-AR"/>
        </w:rPr>
        <w:t xml:space="preserve">y beneficioso </w:t>
      </w:r>
      <w:r>
        <w:rPr>
          <w:rFonts w:eastAsia="Times New Roman" w:cs="Times New Roman"/>
          <w:b w:val="false"/>
          <w:bCs w:val="false"/>
          <w:sz w:val="24"/>
          <w:szCs w:val="24"/>
          <w:lang w:val="es-AR"/>
        </w:rPr>
        <w:t>preparar a los equipos de salud ante situaciones de emergencia.</w:t>
      </w:r>
    </w:p>
    <w:p>
      <w:pPr>
        <w:pStyle w:val="Normal"/>
        <w:jc w:val="both"/>
        <w:rPr/>
      </w:pPr>
      <w:r>
        <w:rPr>
          <w:rFonts w:eastAsia="Times New Roman" w:cs="Times New Roman"/>
          <w:b/>
          <w:color w:val="auto"/>
          <w:kern w:val="0"/>
          <w:sz w:val="24"/>
          <w:szCs w:val="24"/>
          <w:lang w:val="es-AR" w:eastAsia="es-ES_tradnl" w:bidi="ar-SA"/>
        </w:rPr>
        <w:t xml:space="preserve">Palabras clave:  </w:t>
      </w:r>
      <w:r>
        <w:rPr>
          <w:rFonts w:eastAsia="Times New Roman" w:cs="Times New Roman"/>
          <w:bCs/>
          <w:i/>
          <w:iCs/>
          <w:sz w:val="24"/>
          <w:szCs w:val="24"/>
          <w:lang w:val="es-ES"/>
        </w:rPr>
        <w:t>Burnout</w:t>
      </w:r>
      <w:r>
        <w:rPr>
          <w:rFonts w:eastAsia="Times New Roman" w:cs="Times New Roman"/>
          <w:bCs/>
          <w:sz w:val="24"/>
          <w:szCs w:val="24"/>
          <w:lang w:val="es-ES"/>
        </w:rPr>
        <w:t xml:space="preserve">, COVID-19; Cuestionario Breve de </w:t>
      </w:r>
      <w:r>
        <w:rPr>
          <w:rFonts w:eastAsia="Times New Roman" w:cs="Times New Roman"/>
          <w:bCs/>
          <w:i/>
          <w:iCs/>
          <w:sz w:val="24"/>
          <w:szCs w:val="24"/>
          <w:lang w:val="es-ES"/>
        </w:rPr>
        <w:t>Burnout;</w:t>
      </w:r>
      <w:r>
        <w:rPr>
          <w:rFonts w:eastAsia="Times New Roman" w:cs="Times New Roman"/>
          <w:bCs/>
          <w:sz w:val="24"/>
          <w:szCs w:val="24"/>
          <w:lang w:val="es-ES"/>
        </w:rPr>
        <w:t xml:space="preserve"> psicopatología; OQ45.2; trabajadores de la salud</w:t>
      </w:r>
    </w:p>
    <w:p>
      <w:pPr>
        <w:pStyle w:val="Normal"/>
        <w:jc w:val="both"/>
        <w:rPr>
          <w:bCs/>
          <w:sz w:val="20"/>
          <w:szCs w:val="20"/>
          <w:lang w:val="es-AR"/>
        </w:rPr>
      </w:pPr>
      <w:r>
        <w:rPr>
          <w:bCs/>
          <w:sz w:val="20"/>
          <w:szCs w:val="20"/>
          <w:lang w:val="es-AR"/>
        </w:rPr>
        <w:drawing>
          <wp:anchor behindDoc="0" distT="0" distB="0" distL="0" distR="0" simplePos="0" locked="0" layoutInCell="1" allowOverlap="1" relativeHeight="13">
            <wp:simplePos x="0" y="0"/>
            <wp:positionH relativeFrom="column">
              <wp:posOffset>5400675</wp:posOffset>
            </wp:positionH>
            <wp:positionV relativeFrom="page">
              <wp:posOffset>9181465</wp:posOffset>
            </wp:positionV>
            <wp:extent cx="396240" cy="259080"/>
            <wp:effectExtent l="0" t="0" r="0" b="0"/>
            <wp:wrapNone/>
            <wp:docPr id="2" name="Gráfico 3" desc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3" descr="">
                      <a:hlinkClick r:id="rId3"/>
                    </pic:cNvPr>
                    <pic:cNvPicPr>
                      <a:picLocks noChangeAspect="1" noChangeArrowheads="1"/>
                    </pic:cNvPicPr>
                  </pic:nvPicPr>
                  <pic:blipFill>
                    <a:blip r:embed="rId2"/>
                    <a:stretch>
                      <a:fillRect/>
                    </a:stretch>
                  </pic:blipFill>
                  <pic:spPr bwMode="auto">
                    <a:xfrm>
                      <a:off x="0" y="0"/>
                      <a:ext cx="396240" cy="259080"/>
                    </a:xfrm>
                    <a:prstGeom prst="rect">
                      <a:avLst/>
                    </a:prstGeom>
                  </pic:spPr>
                </pic:pic>
              </a:graphicData>
            </a:graphic>
          </wp:anchor>
        </w:drawing>
      </w:r>
    </w:p>
    <w:p>
      <w:pPr>
        <w:pStyle w:val="Normal"/>
        <w:rPr>
          <w:b/>
          <w:b/>
          <w:lang w:val="es-AR"/>
        </w:rPr>
      </w:pPr>
      <w:r>
        <w:rPr>
          <w:b/>
          <w:lang w:val="es-AR"/>
        </w:rPr>
      </w:r>
      <w:r>
        <w:br w:type="page"/>
      </w:r>
    </w:p>
    <w:p>
      <w:pPr>
        <w:pStyle w:val="Normal"/>
        <w:spacing w:lineRule="auto" w:line="480"/>
        <w:ind w:left="0" w:right="0" w:firstLine="720"/>
        <w:jc w:val="center"/>
        <w:rPr>
          <w:rFonts w:ascii="Times New Roman" w:hAnsi="Times New Roman" w:eastAsia="Times New Roman" w:cs="Times New Roman"/>
          <w:b/>
          <w:b/>
          <w:i/>
          <w:i/>
          <w:strike w:val="false"/>
          <w:dstrike w:val="false"/>
          <w:color w:val="000000"/>
          <w:sz w:val="24"/>
          <w:szCs w:val="24"/>
          <w:u w:val="none"/>
        </w:rPr>
      </w:pPr>
      <w:r>
        <w:rPr>
          <w:rFonts w:eastAsia="Times New Roman" w:cs="Times New Roman"/>
          <w:b/>
          <w:i/>
          <w:strike w:val="false"/>
          <w:dstrike w:val="false"/>
          <w:color w:val="000000"/>
          <w:sz w:val="24"/>
          <w:szCs w:val="24"/>
          <w:u w:val="none"/>
          <w:lang w:val="es-AR"/>
        </w:rPr>
        <w:t xml:space="preserve">Estrés y </w:t>
      </w:r>
      <w:r>
        <w:rPr>
          <w:rFonts w:eastAsia="Times New Roman" w:cs="Times New Roman"/>
          <w:b/>
          <w:i/>
          <w:strike w:val="false"/>
          <w:dstrike w:val="false"/>
          <w:color w:val="000000"/>
          <w:sz w:val="24"/>
          <w:szCs w:val="24"/>
          <w:u w:val="none"/>
          <w:lang w:val="es-AR"/>
        </w:rPr>
        <w:t>s</w:t>
      </w:r>
      <w:r>
        <w:rPr>
          <w:rFonts w:eastAsia="Times New Roman" w:cs="Times New Roman"/>
          <w:b/>
          <w:i/>
          <w:strike w:val="false"/>
          <w:dstrike w:val="false"/>
          <w:color w:val="000000"/>
          <w:sz w:val="24"/>
          <w:szCs w:val="24"/>
          <w:u w:val="none"/>
          <w:lang w:val="es-AR"/>
        </w:rPr>
        <w:t xml:space="preserve">intomatología psicológica en </w:t>
      </w:r>
      <w:r>
        <w:rPr>
          <w:rFonts w:eastAsia="Times New Roman" w:cs="Times New Roman"/>
          <w:b/>
          <w:i/>
          <w:strike w:val="false"/>
          <w:dstrike w:val="false"/>
          <w:color w:val="000000"/>
          <w:sz w:val="24"/>
          <w:szCs w:val="24"/>
          <w:u w:val="none"/>
          <w:lang w:val="es-AR"/>
        </w:rPr>
        <w:t>h</w:t>
      </w:r>
      <w:r>
        <w:rPr>
          <w:rFonts w:eastAsia="Times New Roman" w:cs="Times New Roman"/>
          <w:b/>
          <w:i/>
          <w:strike w:val="false"/>
          <w:dstrike w:val="false"/>
          <w:color w:val="000000"/>
          <w:sz w:val="24"/>
          <w:szCs w:val="24"/>
          <w:u w:val="none"/>
          <w:lang w:val="es-AR"/>
        </w:rPr>
        <w:t>ospital referente COVID-19</w:t>
      </w:r>
    </w:p>
    <w:p>
      <w:pPr>
        <w:pStyle w:val="Ttulosinternos"/>
        <w:spacing w:before="280" w:after="280"/>
        <w:rPr>
          <w:lang w:val="es-ES_tradnl"/>
        </w:rPr>
      </w:pPr>
      <w:r>
        <w:rPr>
          <w:lang w:val="es-ES_tradnl"/>
        </w:rPr>
        <w:t>Introducción</w:t>
      </w:r>
    </w:p>
    <w:p>
      <w:pPr>
        <w:pStyle w:val="Normal"/>
        <w:spacing w:lineRule="auto" w:line="480"/>
        <w:ind w:left="0" w:right="0" w:hanging="0"/>
        <w:rPr/>
      </w:pPr>
      <w:r>
        <w:rPr>
          <w:rFonts w:eastAsia="Times New Roman" w:cs="Times New Roman"/>
          <w:color w:val="000000"/>
          <w:position w:val="0"/>
          <w:sz w:val="24"/>
          <w:sz w:val="24"/>
          <w:szCs w:val="24"/>
          <w:vertAlign w:val="baseline"/>
        </w:rPr>
        <w:t xml:space="preserve">En diciembre de 2019, en la provincia de Wuhan en China, se reportó un virus llamado SARS-CoV-2 de la familia coronavirus que causa una infección respiratoria con alta tasa de contagio. </w:t>
      </w:r>
      <w:r>
        <w:rPr>
          <w:rFonts w:eastAsia="Times New Roman" w:cs="Times New Roman"/>
          <w:color w:val="2E2E2E"/>
          <w:sz w:val="24"/>
          <w:szCs w:val="24"/>
        </w:rPr>
        <w:t xml:space="preserve">Estos pacientes presentaron síntomas clínicos de tos seca, disnea, fiebre e infiltrados pulmonares bilaterales en las imágenes.  La enfermedad fue llamada  COVID-19 por la Organización Mundial de la Salud (OMS) </w:t>
      </w:r>
      <w:r>
        <w:rPr>
          <w:rFonts w:eastAsia="Times New Roman" w:cs="Times New Roman"/>
          <w:color w:val="2E2E2E"/>
          <w:position w:val="0"/>
          <w:sz w:val="24"/>
          <w:sz w:val="24"/>
          <w:szCs w:val="24"/>
          <w:vertAlign w:val="baseline"/>
        </w:rPr>
        <w:t>(World Health Organization, 2020b)</w:t>
      </w:r>
      <w:r>
        <w:rPr>
          <w:rFonts w:eastAsia="Times New Roman" w:cs="Times New Roman"/>
          <w:color w:val="2E2E2E"/>
          <w:sz w:val="24"/>
          <w:szCs w:val="24"/>
        </w:rPr>
        <w:t>⁠.</w:t>
      </w:r>
    </w:p>
    <w:p>
      <w:pPr>
        <w:pStyle w:val="Normal"/>
        <w:spacing w:lineRule="auto" w:line="480"/>
        <w:ind w:left="0" w:right="0" w:hanging="0"/>
        <w:rPr/>
      </w:pPr>
      <w:r>
        <w:rPr>
          <w:rFonts w:eastAsia="Times New Roman" w:cs="Times New Roman"/>
          <w:color w:val="2E2E2E"/>
          <w:sz w:val="24"/>
          <w:szCs w:val="24"/>
        </w:rPr>
        <w:t xml:space="preserve">El 30 de enero de 2020, la OMS declaró que el brote chino de COVID-19 constituía una emergencia de salud pública de importancia internacional que presentaba un alto riesgo para los países con sistemas de salud vulnerables. El Comité de Emergencia ha declarado que la propagación de COVID-19 puede verse interrumpida por la detección temprana, el aislamiento, el tratamiento oportuno y la implementación de un sistema de rastreo de contactos y de detección de focos. </w:t>
      </w:r>
      <w:r>
        <w:rPr>
          <w:rFonts w:eastAsia="Times New Roman" w:cs="Times New Roman"/>
          <w:sz w:val="24"/>
          <w:szCs w:val="24"/>
        </w:rPr>
        <w:t xml:space="preserve">A nivel internacional, el número de informes confirmados ha seguido aumentando y actualmente (octubre 2020) se ubica en más de 38 millones de casos confirmados con más de 1 millón de muertes </w:t>
      </w:r>
      <w:r>
        <w:rPr>
          <w:rFonts w:eastAsia="Times New Roman" w:cs="Times New Roman"/>
          <w:position w:val="0"/>
          <w:sz w:val="24"/>
          <w:sz w:val="24"/>
          <w:szCs w:val="24"/>
          <w:vertAlign w:val="baseline"/>
        </w:rPr>
        <w:t>(World Health Organization, 2020c, 2020b)</w:t>
      </w:r>
      <w:r>
        <w:rPr>
          <w:rFonts w:eastAsia="Times New Roman" w:cs="Times New Roman"/>
          <w:sz w:val="24"/>
          <w:szCs w:val="24"/>
        </w:rPr>
        <w:t>⁠ .</w:t>
      </w:r>
    </w:p>
    <w:p>
      <w:pPr>
        <w:pStyle w:val="Normal"/>
        <w:spacing w:lineRule="auto" w:line="480" w:before="240" w:after="240"/>
        <w:rPr>
          <w:rFonts w:ascii="Times New Roman" w:hAnsi="Times New Roman" w:eastAsia="Times New Roman" w:cs="Times New Roman"/>
          <w:b/>
          <w:b/>
          <w:i/>
          <w:i/>
          <w:sz w:val="24"/>
          <w:szCs w:val="24"/>
        </w:rPr>
      </w:pPr>
      <w:r>
        <w:rPr>
          <w:rFonts w:eastAsia="Times New Roman" w:cs="Times New Roman"/>
          <w:b/>
          <w:i/>
          <w:sz w:val="24"/>
          <w:szCs w:val="24"/>
        </w:rPr>
        <w:t>Situación en Uruguay</w:t>
      </w:r>
    </w:p>
    <w:p>
      <w:pPr>
        <w:pStyle w:val="Normal"/>
        <w:spacing w:lineRule="auto" w:line="480"/>
        <w:jc w:val="both"/>
        <w:rPr/>
      </w:pPr>
      <w:r>
        <w:rPr>
          <w:rFonts w:eastAsia="Times New Roman" w:cs="Times New Roman"/>
          <w:sz w:val="24"/>
          <w:szCs w:val="24"/>
        </w:rPr>
        <w:t xml:space="preserve">El 13 de marzo del 2020 se detectaron los primeros cuatro casos de COVID-19.  Ese mismo día el Poder Ejecutivo declaró la emergencia sanitaria </w:t>
      </w:r>
      <w:r>
        <w:rPr>
          <w:rFonts w:eastAsia="Times New Roman" w:cs="Times New Roman"/>
          <w:sz w:val="24"/>
          <w:szCs w:val="24"/>
        </w:rPr>
        <w:t xml:space="preserve"> </w:t>
      </w:r>
      <w:r>
        <w:rPr>
          <w:rFonts w:eastAsia="Times New Roman" w:cs="Times New Roman"/>
          <w:position w:val="0"/>
          <w:sz w:val="24"/>
          <w:sz w:val="24"/>
          <w:szCs w:val="24"/>
          <w:vertAlign w:val="baseline"/>
        </w:rPr>
        <w:t>(Poder Ejecutivo de la República Oriental del Uruguay, 2020)</w:t>
      </w:r>
      <w:r>
        <w:rPr>
          <w:rFonts w:eastAsia="Times New Roman" w:cs="Times New Roman"/>
          <w:sz w:val="24"/>
          <w:szCs w:val="24"/>
        </w:rPr>
        <w:t>⁠</w:t>
      </w:r>
      <w:r>
        <w:rPr>
          <w:rFonts w:eastAsia="Times New Roman" w:cs="Times New Roman"/>
          <w:sz w:val="24"/>
          <w:szCs w:val="24"/>
          <w:highlight w:val="white"/>
        </w:rPr>
        <w:t xml:space="preserve">,  proponiendo </w:t>
      </w:r>
      <w:r>
        <w:rPr>
          <w:rFonts w:eastAsia="Times New Roman" w:cs="Times New Roman"/>
          <w:sz w:val="24"/>
          <w:szCs w:val="24"/>
        </w:rPr>
        <w:t xml:space="preserve"> un protocolo de acción que implica </w:t>
      </w:r>
      <w:r>
        <w:rPr>
          <w:rFonts w:eastAsia="Times New Roman" w:cs="Times New Roman"/>
          <w:color w:val="333333"/>
          <w:sz w:val="24"/>
          <w:szCs w:val="24"/>
          <w:highlight w:val="white"/>
        </w:rPr>
        <w:t xml:space="preserve">la implementación inmediata de medidas tales como:  la suspensión de actividades en el ámbito público y privado, </w:t>
      </w:r>
      <w:r>
        <w:rPr>
          <w:rFonts w:eastAsia="Times New Roman" w:cs="Times New Roman"/>
          <w:sz w:val="24"/>
          <w:szCs w:val="24"/>
        </w:rPr>
        <w:t>el distanciamiento físico, medidas de higiene y  de protección bajo responsabilidad ciudadana,  sin cuarentena obligatoria</w:t>
      </w:r>
      <w:r>
        <w:rPr>
          <w:rFonts w:eastAsia="Times New Roman" w:cs="Times New Roman"/>
          <w:sz w:val="24"/>
          <w:szCs w:val="24"/>
          <w:highlight w:val="white"/>
        </w:rPr>
        <w:t>.</w:t>
      </w:r>
    </w:p>
    <w:p>
      <w:pPr>
        <w:pStyle w:val="Normal"/>
        <w:shd w:fill="FFFFFF" w:val="clear"/>
        <w:spacing w:lineRule="auto" w:line="480"/>
        <w:rPr>
          <w:rFonts w:ascii="Times New Roman" w:hAnsi="Times New Roman" w:eastAsia="Times New Roman" w:cs="Times New Roman"/>
          <w:sz w:val="24"/>
          <w:szCs w:val="24"/>
          <w:highlight w:val="white"/>
        </w:rPr>
      </w:pPr>
      <w:r>
        <w:rPr>
          <w:rFonts w:eastAsia="Times New Roman" w:cs="Times New Roman"/>
          <w:sz w:val="24"/>
          <w:szCs w:val="24"/>
          <w:highlight w:val="white"/>
        </w:rPr>
        <w:t xml:space="preserve">Desde que se declaró la emergencia sanitaria </w:t>
      </w:r>
      <w:r>
        <w:rPr>
          <w:rFonts w:eastAsia="Times New Roman" w:cs="Times New Roman"/>
          <w:sz w:val="24"/>
          <w:szCs w:val="24"/>
          <w:highlight w:val="white"/>
        </w:rPr>
        <w:t xml:space="preserve">hasta octubre de 2020, </w:t>
      </w:r>
      <w:r>
        <w:rPr>
          <w:rFonts w:eastAsia="Times New Roman" w:cs="Times New Roman"/>
          <w:sz w:val="24"/>
          <w:szCs w:val="24"/>
          <w:highlight w:val="white"/>
        </w:rPr>
        <w:t>se ha</w:t>
      </w:r>
      <w:r>
        <w:rPr>
          <w:rFonts w:eastAsia="Times New Roman" w:cs="Times New Roman"/>
          <w:sz w:val="24"/>
          <w:szCs w:val="24"/>
          <w:highlight w:val="white"/>
        </w:rPr>
        <w:t>bía</w:t>
      </w:r>
      <w:r>
        <w:rPr>
          <w:rFonts w:eastAsia="Times New Roman" w:cs="Times New Roman"/>
          <w:sz w:val="24"/>
          <w:szCs w:val="24"/>
          <w:highlight w:val="white"/>
        </w:rPr>
        <w:t>n procesado 270.780 tests y se ha</w:t>
      </w:r>
      <w:r>
        <w:rPr>
          <w:rFonts w:eastAsia="Times New Roman" w:cs="Times New Roman"/>
          <w:sz w:val="24"/>
          <w:szCs w:val="24"/>
          <w:highlight w:val="white"/>
        </w:rPr>
        <w:t>bía</w:t>
      </w:r>
      <w:r>
        <w:rPr>
          <w:rFonts w:eastAsia="Times New Roman" w:cs="Times New Roman"/>
          <w:sz w:val="24"/>
          <w:szCs w:val="24"/>
          <w:highlight w:val="white"/>
        </w:rPr>
        <w:t xml:space="preserve">n registrado 2388 casos positivos de Coronavirus en todo el territorio nacional. De ese total 2007 ya se recuperaron y 51 fallecieron </w:t>
      </w:r>
      <w:r>
        <w:rPr>
          <w:rFonts w:eastAsia="Times New Roman" w:cs="Times New Roman"/>
          <w:position w:val="0"/>
          <w:sz w:val="24"/>
          <w:sz w:val="24"/>
          <w:szCs w:val="24"/>
          <w:highlight w:val="white"/>
          <w:vertAlign w:val="baseline"/>
        </w:rPr>
        <w:t>(Sistema Nacional de Emergencias del Uruguay, 2020b)</w:t>
      </w:r>
      <w:r>
        <w:rPr>
          <w:rFonts w:eastAsia="Times New Roman" w:cs="Times New Roman"/>
          <w:sz w:val="24"/>
          <w:szCs w:val="24"/>
          <w:highlight w:val="white"/>
        </w:rPr>
        <w:t>⁠.</w:t>
      </w:r>
    </w:p>
    <w:p>
      <w:pPr>
        <w:pStyle w:val="Normal"/>
        <w:spacing w:lineRule="auto" w:line="480" w:before="240" w:after="240"/>
        <w:rPr>
          <w:rFonts w:ascii="Times New Roman" w:hAnsi="Times New Roman" w:eastAsia="Times New Roman" w:cs="Times New Roman"/>
          <w:sz w:val="24"/>
          <w:szCs w:val="24"/>
        </w:rPr>
      </w:pPr>
      <w:r>
        <w:rPr>
          <w:rFonts w:eastAsia="Times New Roman" w:cs="Times New Roman"/>
          <w:sz w:val="24"/>
          <w:szCs w:val="24"/>
        </w:rPr>
        <w:t xml:space="preserve">Existen distintos factores que intentan dar respuesta a la baja incidencia antes mencionada. La baja densidad demográfica de 18.8 habitantes por km2  </w:t>
      </w:r>
      <w:r>
        <w:rPr>
          <w:rFonts w:eastAsia="Times New Roman" w:cs="Times New Roman"/>
          <w:position w:val="0"/>
          <w:sz w:val="24"/>
          <w:sz w:val="24"/>
          <w:szCs w:val="24"/>
          <w:vertAlign w:val="baseline"/>
        </w:rPr>
        <w:t>(Observatorio Territorio Uruguay, 2011)</w:t>
      </w:r>
      <w:r>
        <w:rPr>
          <w:rFonts w:eastAsia="Times New Roman" w:cs="Times New Roman"/>
          <w:sz w:val="24"/>
          <w:szCs w:val="24"/>
        </w:rPr>
        <w:t>⁠, que además facilita el cumplimiento de los protocolos de distanciamiento social, medida fundamental en el marco de la emergencia sanitaria. Por otra parte, la rápida capacidad de testeo de la mano del desarrollo tecnológico local para la detección de focos, junto con el aislamiento de los casos positivos y el control de contactos.</w:t>
      </w:r>
    </w:p>
    <w:p>
      <w:pPr>
        <w:pStyle w:val="Normal"/>
        <w:spacing w:lineRule="auto" w:line="480" w:before="240" w:after="240"/>
        <w:rPr>
          <w:rFonts w:ascii="Times New Roman" w:hAnsi="Times New Roman" w:eastAsia="Times New Roman" w:cs="Times New Roman"/>
          <w:sz w:val="24"/>
          <w:szCs w:val="24"/>
        </w:rPr>
      </w:pPr>
      <w:r>
        <w:rPr>
          <w:rFonts w:eastAsia="Times New Roman" w:cs="Times New Roman"/>
          <w:sz w:val="24"/>
          <w:szCs w:val="24"/>
        </w:rPr>
        <w:t xml:space="preserve">A su vez, como infraestructura relevante se destaca  la amplia red de agua potable y de saneamiento a nivel nacional, y la cobertura universal y las mejoras en el acceso a la atención de salud incorporadas en la implementación del Sistema Nacional Integrado de Salud  </w:t>
      </w:r>
      <w:r>
        <w:rPr>
          <w:rFonts w:eastAsia="Times New Roman" w:cs="Times New Roman"/>
          <w:position w:val="0"/>
          <w:sz w:val="24"/>
          <w:sz w:val="24"/>
          <w:szCs w:val="24"/>
          <w:vertAlign w:val="baseline"/>
        </w:rPr>
        <w:t>(Asamblea General de la República Oriental del Uruguay, 2007)</w:t>
      </w:r>
      <w:r>
        <w:rPr>
          <w:rFonts w:eastAsia="Times New Roman" w:cs="Times New Roman"/>
          <w:sz w:val="24"/>
          <w:szCs w:val="24"/>
        </w:rPr>
        <w:t>⁠. De este modo, a partir de una red de atención primaria en salud, que brinda atención descentralizada en diferentes zonas del país, se logra mayor accesibilidad, además de los servicios médicos a domicilio.</w:t>
      </w:r>
    </w:p>
    <w:p>
      <w:pPr>
        <w:pStyle w:val="Normal"/>
        <w:spacing w:lineRule="auto" w:line="422"/>
        <w:rPr>
          <w:rFonts w:ascii="Times New Roman" w:hAnsi="Times New Roman" w:eastAsia="Times New Roman" w:cs="Times New Roman"/>
          <w:color w:val="333333"/>
          <w:sz w:val="24"/>
          <w:szCs w:val="24"/>
        </w:rPr>
      </w:pPr>
      <w:r>
        <w:rPr>
          <w:rFonts w:eastAsia="Times New Roman" w:cs="Times New Roman"/>
          <w:color w:val="333333"/>
          <w:sz w:val="24"/>
          <w:szCs w:val="24"/>
        </w:rPr>
        <w:t xml:space="preserve"> </w:t>
      </w:r>
    </w:p>
    <w:p>
      <w:pPr>
        <w:pStyle w:val="Normal"/>
        <w:spacing w:lineRule="auto" w:line="422"/>
        <w:rPr>
          <w:rFonts w:ascii="Times New Roman" w:hAnsi="Times New Roman" w:eastAsia="Times New Roman" w:cs="Times New Roman"/>
          <w:color w:val="333333"/>
          <w:sz w:val="24"/>
          <w:szCs w:val="24"/>
        </w:rPr>
      </w:pPr>
      <w:r>
        <w:rPr>
          <w:rFonts w:eastAsia="Times New Roman" w:cs="Times New Roman"/>
          <w:color w:val="333333"/>
          <w:sz w:val="24"/>
          <w:szCs w:val="24"/>
        </w:rPr>
      </w:r>
    </w:p>
    <w:p>
      <w:pPr>
        <w:pStyle w:val="Normal"/>
        <w:spacing w:lineRule="auto" w:line="422"/>
        <w:rPr>
          <w:rFonts w:ascii="Times New Roman" w:hAnsi="Times New Roman" w:eastAsia="Times New Roman" w:cs="Times New Roman"/>
          <w:b/>
          <w:b/>
          <w:bCs/>
          <w:i/>
          <w:i/>
          <w:iCs/>
          <w:sz w:val="24"/>
          <w:szCs w:val="24"/>
        </w:rPr>
      </w:pPr>
      <w:r>
        <w:rPr>
          <w:rFonts w:eastAsia="Times New Roman" w:cs="Times New Roman"/>
          <w:b/>
          <w:bCs/>
          <w:i/>
          <w:iCs/>
          <w:color w:val="3C4043"/>
          <w:sz w:val="24"/>
          <w:szCs w:val="24"/>
          <w:highlight w:val="white"/>
        </w:rPr>
        <w:t xml:space="preserve">Pandemia, salud mental y </w:t>
      </w:r>
      <w:r>
        <w:rPr>
          <w:rFonts w:eastAsia="Times New Roman" w:cs="Times New Roman"/>
          <w:b/>
          <w:bCs/>
          <w:i/>
          <w:iCs/>
          <w:sz w:val="24"/>
          <w:szCs w:val="24"/>
        </w:rPr>
        <w:t xml:space="preserve">trabajadores de la salud </w:t>
      </w:r>
    </w:p>
    <w:p>
      <w:pPr>
        <w:pStyle w:val="Normal"/>
        <w:spacing w:lineRule="auto" w:line="422"/>
        <w:rPr>
          <w:rFonts w:ascii="Times New Roman" w:hAnsi="Times New Roman" w:eastAsia="Times New Roman" w:cs="Times New Roman"/>
          <w:i/>
          <w:i/>
          <w:sz w:val="24"/>
          <w:szCs w:val="24"/>
          <w:highlight w:val="cyan"/>
        </w:rPr>
      </w:pPr>
      <w:r>
        <w:rPr>
          <w:rFonts w:eastAsia="Times New Roman" w:cs="Times New Roman"/>
          <w:i/>
          <w:sz w:val="24"/>
          <w:szCs w:val="24"/>
          <w:highlight w:val="cyan"/>
        </w:rPr>
      </w:r>
    </w:p>
    <w:p>
      <w:pPr>
        <w:pStyle w:val="Normal"/>
        <w:spacing w:lineRule="auto" w:line="422"/>
        <w:rPr>
          <w:rFonts w:ascii="Times New Roman" w:hAnsi="Times New Roman" w:eastAsia="Times New Roman" w:cs="Times New Roman"/>
          <w:sz w:val="24"/>
          <w:szCs w:val="24"/>
        </w:rPr>
      </w:pPr>
      <w:r>
        <w:rPr>
          <w:rFonts w:eastAsia="Times New Roman" w:cs="Times New Roman"/>
          <w:sz w:val="24"/>
          <w:szCs w:val="24"/>
        </w:rPr>
        <w:t xml:space="preserve">Las emergencias en salud pública como la declarada por la OMS  </w:t>
      </w:r>
      <w:r>
        <w:rPr>
          <w:rFonts w:eastAsia="Times New Roman" w:cs="Times New Roman"/>
          <w:position w:val="0"/>
          <w:sz w:val="24"/>
          <w:sz w:val="24"/>
          <w:szCs w:val="24"/>
          <w:vertAlign w:val="baseline"/>
        </w:rPr>
        <w:t>(2020b)</w:t>
      </w:r>
      <w:r>
        <w:rPr>
          <w:rFonts w:eastAsia="Times New Roman" w:cs="Times New Roman"/>
          <w:sz w:val="24"/>
          <w:szCs w:val="24"/>
        </w:rPr>
        <w:t xml:space="preserve">⁠ en esta oportunidad constituyen un agente desestabilizador multifactorial para las sociedades y los Estados  en general, y particularmente para los Servicios de Salud.  Exige reestructuraciones,  sobrecargas de trabajo, sobreexposición pública, tensiones diversas sobreagregadas a la posibilidad de enfermar. </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En 2003, el mundo ya  se vio afectado por la mortal epidemia de SARS, registrándose consecuencias psicológicas en los equipos de la salud y población general un año después del brote de la enfermedad, siendo significativamente mayor en los primeros, lo que sugiere la necesidad de establecer programas de apoyo e intervención posterior y específicos para los trabajadores de la salud, así como programas de prevención </w:t>
      </w:r>
      <w:r>
        <w:rPr>
          <w:rFonts w:eastAsia="Times New Roman" w:cs="Times New Roman"/>
          <w:position w:val="0"/>
          <w:sz w:val="24"/>
          <w:sz w:val="24"/>
          <w:szCs w:val="24"/>
          <w:vertAlign w:val="baseline"/>
        </w:rPr>
        <w:t>(Urzúa et al., 2020)</w:t>
      </w:r>
      <w:r>
        <w:rPr>
          <w:rFonts w:eastAsia="Times New Roman" w:cs="Times New Roman"/>
          <w:sz w:val="24"/>
          <w:szCs w:val="24"/>
        </w:rPr>
        <w:t>⁠.</w:t>
      </w:r>
    </w:p>
    <w:p>
      <w:pPr>
        <w:pStyle w:val="Normal"/>
        <w:spacing w:lineRule="auto" w:line="480"/>
        <w:rPr>
          <w:rFonts w:ascii="Times New Roman" w:hAnsi="Times New Roman" w:eastAsia="Times New Roman" w:cs="Times New Roman"/>
          <w:color w:val="222222"/>
          <w:sz w:val="24"/>
          <w:szCs w:val="24"/>
        </w:rPr>
      </w:pPr>
      <w:r>
        <w:rPr>
          <w:rFonts w:eastAsia="Times New Roman" w:cs="Times New Roman"/>
          <w:color w:val="222222"/>
          <w:sz w:val="24"/>
          <w:szCs w:val="24"/>
        </w:rPr>
        <w:t xml:space="preserve">Los trabajadores de la salud  por su grado de exposición a situaciones de incertidumbre, estrés, angustia y presiones de diferente orden durante el desarrollo  de la pandemia COVID-19, tienen un mayor riesgo de presentar depresión, ansiedad y otros trastornos o sintomatologías psicopatológicas  </w:t>
      </w:r>
      <w:r>
        <w:rPr>
          <w:rFonts w:eastAsia="Times New Roman" w:cs="Times New Roman"/>
          <w:color w:val="222222"/>
          <w:position w:val="0"/>
          <w:sz w:val="24"/>
          <w:sz w:val="24"/>
          <w:szCs w:val="24"/>
          <w:vertAlign w:val="baseline"/>
        </w:rPr>
        <w:t>(Greenberg et al., 2020; Kang et al., 2020; World Health Organization, 2020a)</w:t>
      </w:r>
      <w:r>
        <w:rPr>
          <w:rFonts w:eastAsia="Times New Roman" w:cs="Times New Roman"/>
          <w:color w:val="222222"/>
          <w:sz w:val="24"/>
          <w:szCs w:val="24"/>
        </w:rPr>
        <w:t xml:space="preserve">⁠. En este sentido los autores plantean la importancia de tomar medidas proactivas para proteger la salud mental de los equipos de salud por las situaciones que enfrenta, reforzando los mismos y proporcionando contacto regular para discutir decisiones, ir monitoreando activamente la salud mental del personal en los diferentes momentos de la pandemia (comienzo, desarrollo, fin y luego de su finalización), brindar apoyo, y cuando sea necesario proveer de tratamientos </w:t>
      </w:r>
      <w:r>
        <w:rPr>
          <w:rFonts w:eastAsia="Times New Roman" w:cs="Times New Roman"/>
          <w:color w:val="222222"/>
          <w:position w:val="0"/>
          <w:sz w:val="24"/>
          <w:sz w:val="24"/>
          <w:szCs w:val="24"/>
          <w:vertAlign w:val="baseline"/>
        </w:rPr>
        <w:t>(Greenberg et al., 2020)</w:t>
      </w:r>
      <w:r>
        <w:rPr>
          <w:rFonts w:eastAsia="Times New Roman" w:cs="Times New Roman"/>
          <w:color w:val="222222"/>
          <w:sz w:val="24"/>
          <w:szCs w:val="24"/>
        </w:rPr>
        <w:t>⁠ .</w:t>
      </w:r>
    </w:p>
    <w:p>
      <w:pPr>
        <w:pStyle w:val="Normal"/>
        <w:spacing w:lineRule="auto" w:line="480"/>
        <w:rPr>
          <w:rFonts w:ascii="Times New Roman" w:hAnsi="Times New Roman" w:eastAsia="Times New Roman" w:cs="Times New Roman"/>
          <w:color w:val="FF0000"/>
        </w:rPr>
      </w:pPr>
      <w:r>
        <w:rPr>
          <w:rFonts w:eastAsia="Times New Roman" w:cs="Times New Roman"/>
          <w:color w:val="FF0000"/>
        </w:rPr>
      </w:r>
    </w:p>
    <w:p>
      <w:pPr>
        <w:pStyle w:val="Normal"/>
        <w:widowControl/>
        <w:spacing w:lineRule="auto" w:line="480" w:before="0" w:after="0"/>
        <w:ind w:left="0" w:right="0" w:hanging="0"/>
        <w:jc w:val="both"/>
        <w:rPr/>
      </w:pPr>
      <w:r>
        <w:rPr>
          <w:rFonts w:eastAsia="Times New Roman" w:cs="Times New Roman"/>
          <w:b/>
          <w:i/>
          <w:color w:val="000000"/>
          <w:position w:val="0"/>
          <w:sz w:val="24"/>
          <w:sz w:val="24"/>
          <w:szCs w:val="24"/>
          <w:vertAlign w:val="baseline"/>
        </w:rPr>
        <w:t xml:space="preserve">Intervención institucional en </w:t>
      </w:r>
      <w:r>
        <w:rPr>
          <w:rFonts w:eastAsia="Times New Roman" w:cs="Times New Roman"/>
          <w:b/>
          <w:i/>
          <w:color w:val="000000"/>
          <w:position w:val="0"/>
          <w:sz w:val="24"/>
          <w:sz w:val="24"/>
          <w:szCs w:val="24"/>
          <w:vertAlign w:val="baseline"/>
        </w:rPr>
        <w:t>un</w:t>
      </w:r>
      <w:r>
        <w:rPr>
          <w:rFonts w:eastAsia="Times New Roman" w:cs="Times New Roman"/>
          <w:b/>
          <w:i/>
          <w:color w:val="000000"/>
          <w:position w:val="0"/>
          <w:sz w:val="24"/>
          <w:sz w:val="24"/>
          <w:szCs w:val="24"/>
          <w:vertAlign w:val="baseline"/>
        </w:rPr>
        <w:t xml:space="preserve"> </w:t>
      </w:r>
      <w:r>
        <w:rPr>
          <w:rFonts w:eastAsia="Times New Roman" w:cs="Times New Roman"/>
          <w:b/>
          <w:i/>
          <w:color w:val="000000"/>
          <w:position w:val="0"/>
          <w:sz w:val="24"/>
          <w:sz w:val="24"/>
          <w:szCs w:val="24"/>
          <w:vertAlign w:val="baseline"/>
        </w:rPr>
        <w:t>h</w:t>
      </w:r>
      <w:r>
        <w:rPr>
          <w:rFonts w:eastAsia="Times New Roman" w:cs="Times New Roman"/>
          <w:b/>
          <w:i/>
          <w:color w:val="000000"/>
          <w:position w:val="0"/>
          <w:sz w:val="24"/>
          <w:sz w:val="24"/>
          <w:szCs w:val="24"/>
          <w:vertAlign w:val="baseline"/>
        </w:rPr>
        <w:t>ospita</w:t>
      </w:r>
      <w:r>
        <w:rPr>
          <w:rFonts w:eastAsia="Times New Roman" w:cs="Times New Roman"/>
          <w:b/>
          <w:i/>
          <w:color w:val="000000"/>
          <w:position w:val="0"/>
          <w:sz w:val="24"/>
          <w:sz w:val="24"/>
          <w:szCs w:val="24"/>
          <w:vertAlign w:val="baseline"/>
        </w:rPr>
        <w:t>l público</w:t>
      </w:r>
      <w:r>
        <w:rPr>
          <w:rFonts w:eastAsia="Times New Roman" w:cs="Times New Roman"/>
          <w:b/>
          <w:i/>
          <w:color w:val="000000"/>
          <w:position w:val="0"/>
          <w:sz w:val="24"/>
          <w:sz w:val="24"/>
          <w:szCs w:val="24"/>
          <w:vertAlign w:val="baseline"/>
        </w:rPr>
        <w:t xml:space="preserve"> </w:t>
      </w:r>
    </w:p>
    <w:p>
      <w:pPr>
        <w:pStyle w:val="Normal"/>
        <w:widowControl/>
        <w:spacing w:lineRule="auto" w:line="480" w:before="0" w:after="0"/>
        <w:ind w:left="0" w:right="0" w:hanging="0"/>
        <w:jc w:val="both"/>
        <w:rPr>
          <w:rFonts w:ascii="Times New Roman" w:hAnsi="Times New Roman" w:eastAsia="Times New Roman" w:cs="Times New Roman"/>
          <w:b/>
          <w:b/>
          <w:sz w:val="24"/>
          <w:szCs w:val="24"/>
        </w:rPr>
      </w:pPr>
      <w:r>
        <w:rPr>
          <w:rFonts w:eastAsia="Times New Roman" w:cs="Times New Roman"/>
          <w:b/>
          <w:sz w:val="24"/>
          <w:szCs w:val="24"/>
        </w:rPr>
      </w:r>
    </w:p>
    <w:p>
      <w:pPr>
        <w:pStyle w:val="Normal"/>
        <w:widowControl/>
        <w:spacing w:lineRule="auto" w:line="480" w:before="0" w:after="0"/>
        <w:ind w:left="0" w:right="0" w:hanging="0"/>
        <w:jc w:val="both"/>
        <w:rPr/>
      </w:pPr>
      <w:r>
        <w:rPr>
          <w:rFonts w:eastAsia="Times New Roman" w:cs="Times New Roman"/>
          <w:sz w:val="24"/>
          <w:szCs w:val="24"/>
        </w:rPr>
        <w:t>En el marco de la  coyuntura de la pandemia COVID-19, el Equipo de Intervenciones institucionales del Servicio de Atención Psicológica Preventivo Asistencial (SAPPA) de la Facultad de Psicología de la Universidad de la República, ha sido requerido para intervenir en diferentes centros de salud de todo el país. Dicha coyuntura implicó cambios rápidos e inesperados en las dinámicas institucionales así como en los equipos de trabajo, que en muchos casos acentuó problemáticas previas, incertidumbres</w:t>
      </w:r>
      <w:r>
        <w:rPr>
          <w:rFonts w:eastAsia="Times New Roman" w:cs="Times New Roman"/>
          <w:i/>
          <w:sz w:val="24"/>
          <w:szCs w:val="24"/>
        </w:rPr>
        <w:t>,</w:t>
      </w:r>
      <w:r>
        <w:rPr>
          <w:rFonts w:eastAsia="Times New Roman" w:cs="Times New Roman"/>
          <w:sz w:val="24"/>
          <w:szCs w:val="24"/>
        </w:rPr>
        <w:t xml:space="preserve"> miedos, licencias por enfermedad.</w:t>
      </w:r>
    </w:p>
    <w:p>
      <w:pPr>
        <w:pStyle w:val="Normal"/>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t xml:space="preserve">Entre las intervenciones realizadas, destacamos en esta oportunidad </w:t>
      </w:r>
      <w:r>
        <w:rPr>
          <w:rFonts w:eastAsia="Times New Roman" w:cs="Times New Roman"/>
          <w:sz w:val="24"/>
          <w:szCs w:val="24"/>
        </w:rPr>
        <w:t>la de un h</w:t>
      </w:r>
      <w:r>
        <w:rPr>
          <w:rFonts w:eastAsia="Times New Roman" w:cs="Times New Roman"/>
          <w:sz w:val="24"/>
          <w:szCs w:val="24"/>
        </w:rPr>
        <w:t xml:space="preserve">ospital </w:t>
      </w:r>
      <w:r>
        <w:rPr>
          <w:rFonts w:eastAsia="Times New Roman" w:cs="Times New Roman"/>
          <w:sz w:val="24"/>
          <w:szCs w:val="24"/>
        </w:rPr>
        <w:t xml:space="preserve">público </w:t>
      </w:r>
      <w:r>
        <w:rPr>
          <w:rFonts w:eastAsia="Times New Roman" w:cs="Times New Roman"/>
          <w:sz w:val="24"/>
          <w:szCs w:val="24"/>
        </w:rPr>
        <w:t xml:space="preserve">de la ciudad de Montevideo, nominado en el mes de marzo de 2020 referente para pacientes COVID-19. </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0"/>
        <w:ind w:left="0" w:right="0" w:hanging="0"/>
        <w:jc w:val="both"/>
        <w:rPr/>
      </w:pPr>
      <w:r>
        <w:rPr>
          <w:rFonts w:eastAsia="Times New Roman" w:cs="Times New Roman"/>
          <w:sz w:val="24"/>
          <w:szCs w:val="24"/>
        </w:rPr>
        <w:t xml:space="preserve">El </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sz w:val="24"/>
          <w:szCs w:val="24"/>
        </w:rPr>
        <w:t>S</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APPA  </w:t>
      </w:r>
      <w:r>
        <w:rPr>
          <w:rFonts w:eastAsia="Times New Roman" w:cs="Times New Roman"/>
          <w:sz w:val="24"/>
          <w:szCs w:val="24"/>
        </w:rPr>
        <w:t>mantiene</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un convenio desde 2001 con la Administración de los Servicios de Salud del Estado (ASSE). En</w:t>
      </w:r>
      <w:r>
        <w:rPr>
          <w:rFonts w:eastAsia="Times New Roman" w:cs="Times New Roman"/>
          <w:caps w:val="false"/>
          <w:smallCaps w:val="false"/>
          <w:strike w:val="false"/>
          <w:dstrike w:val="false"/>
          <w:color w:val="000000"/>
          <w:position w:val="0"/>
          <w:sz w:val="24"/>
          <w:sz w:val="24"/>
          <w:szCs w:val="24"/>
          <w:u w:val="none"/>
          <w:vertAlign w:val="baseline"/>
        </w:rPr>
        <w:t xml:space="preserve"> </w:t>
      </w:r>
      <w:r>
        <w:rPr>
          <w:rFonts w:eastAsia="Times New Roman" w:cs="Times New Roman"/>
          <w:sz w:val="24"/>
          <w:szCs w:val="24"/>
        </w:rPr>
        <w:t xml:space="preserve">ese marco, </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el  SAPPA brinda atención psicológica a los funcionarios de salud pública y sus núcleos familiares de todo el país, así como </w:t>
      </w:r>
      <w:r>
        <w:rPr>
          <w:rFonts w:eastAsia="Times New Roman" w:cs="Times New Roman"/>
          <w:sz w:val="24"/>
          <w:szCs w:val="24"/>
        </w:rPr>
        <w:t>responde a</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solicitudes de intervención en instituciones</w:t>
      </w:r>
      <w:r>
        <w:rPr>
          <w:rFonts w:eastAsia="Times New Roman" w:cs="Times New Roman"/>
          <w:sz w:val="24"/>
          <w:szCs w:val="24"/>
        </w:rPr>
        <w:t xml:space="preserve"> de </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equipos de salud que </w:t>
      </w:r>
      <w:r>
        <w:rPr>
          <w:rFonts w:eastAsia="Times New Roman" w:cs="Times New Roman"/>
          <w:sz w:val="24"/>
          <w:szCs w:val="24"/>
        </w:rPr>
        <w:t>presentan</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diversos niveles de conflictividad</w:t>
      </w:r>
      <w:r>
        <w:rPr>
          <w:rFonts w:eastAsia="Times New Roman" w:cs="Times New Roman"/>
          <w:sz w:val="24"/>
          <w:szCs w:val="24"/>
        </w:rPr>
        <w:t>:  con el rol, con la tarea, interpersonales, interequipos, interservicios y otros. Se entiende por intervención institucional:</w:t>
      </w:r>
    </w:p>
    <w:p>
      <w:pPr>
        <w:pStyle w:val="Normal"/>
        <w:widowControl/>
        <w:spacing w:lineRule="auto" w:line="480" w:before="0" w:after="0"/>
        <w:ind w:left="720" w:right="0" w:hanging="720"/>
        <w:jc w:val="both"/>
        <w:rPr>
          <w:rFonts w:ascii="Times New Roman" w:hAnsi="Times New Roman"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 xml:space="preserve">Una acción transformadora practicada según una ética y una política formalizada en una teoría que aplica, según ciertas reglas metodológicas, una serie de recursos técnicos. Todo este procedimiento parte de una evaluación logística de disponibilidades, y es planificado según una estrategia que se descompone en tácticas. Su objetivo principal es propiciar en los colectivos intervenidos una acción instituyente, y en su límite, la implementación de procesos de autoanálisis y autogestión </w:t>
      </w:r>
      <w:r>
        <w:rPr>
          <w:rFonts w:eastAsia="Times New Roman" w:cs="Times New Roman"/>
          <w:position w:val="0"/>
          <w:sz w:val="24"/>
          <w:sz w:val="24"/>
          <w:szCs w:val="24"/>
          <w:vertAlign w:val="baseline"/>
        </w:rPr>
        <w:t>(Baremblitt, 1992, p. 178)</w:t>
      </w:r>
      <w:r>
        <w:rPr>
          <w:rFonts w:eastAsia="Times New Roman" w:cs="Times New Roman"/>
          <w:sz w:val="24"/>
          <w:szCs w:val="24"/>
        </w:rPr>
        <w:t>⁠.</w:t>
      </w:r>
    </w:p>
    <w:p>
      <w:pPr>
        <w:pStyle w:val="Normal"/>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A </w:t>
      </w:r>
      <w:r>
        <w:rPr>
          <w:rFonts w:eastAsia="Times New Roman" w:cs="Times New Roman"/>
          <w:sz w:val="24"/>
          <w:szCs w:val="24"/>
        </w:rPr>
        <w:t>finales</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de marzo de</w:t>
      </w:r>
      <w:r>
        <w:rPr>
          <w:rFonts w:eastAsia="Times New Roman" w:cs="Times New Roman"/>
          <w:sz w:val="24"/>
          <w:szCs w:val="24"/>
        </w:rPr>
        <w:t xml:space="preserve"> 2020</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i/>
          <w:caps w:val="false"/>
          <w:smallCaps w:val="false"/>
          <w:strike w:val="false"/>
          <w:dstrike w:val="false"/>
          <w:color w:val="000000"/>
          <w:position w:val="0"/>
          <w:sz w:val="24"/>
          <w:sz w:val="24"/>
          <w:szCs w:val="24"/>
          <w:u w:val="none"/>
          <w:vertAlign w:val="baseline"/>
        </w:rPr>
        <w:t>la dirección del</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Hospital solicita </w:t>
      </w:r>
      <w:r>
        <w:rPr>
          <w:rFonts w:eastAsia="Times New Roman" w:cs="Times New Roman"/>
          <w:sz w:val="24"/>
          <w:szCs w:val="24"/>
        </w:rPr>
        <w:t>intervención del equipo de intervenciones institucionales del SAPPA</w:t>
      </w:r>
      <w:r>
        <w:rPr>
          <w:rFonts w:eastAsia="Times New Roman" w:cs="Times New Roman"/>
          <w:i/>
          <w:sz w:val="24"/>
          <w:szCs w:val="24"/>
        </w:rPr>
        <w:t xml:space="preserve"> </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ante </w:t>
      </w:r>
      <w:r>
        <w:rPr>
          <w:rFonts w:eastAsia="Times New Roman" w:cs="Times New Roman"/>
          <w:sz w:val="24"/>
          <w:szCs w:val="24"/>
        </w:rPr>
        <w:t xml:space="preserve">la </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necesidad de  apoyo a los equipos </w:t>
      </w:r>
      <w:r>
        <w:rPr>
          <w:rFonts w:eastAsia="Times New Roman" w:cs="Times New Roman"/>
          <w:sz w:val="24"/>
          <w:szCs w:val="24"/>
        </w:rPr>
        <w:t>de salud</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que </w:t>
      </w:r>
      <w:r>
        <w:rPr>
          <w:rFonts w:eastAsia="Times New Roman" w:cs="Times New Roman"/>
          <w:sz w:val="24"/>
          <w:szCs w:val="24"/>
        </w:rPr>
        <w:t>trabajan</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en contacto directo con los pacientes. </w:t>
      </w:r>
    </w:p>
    <w:p>
      <w:pPr>
        <w:pStyle w:val="Normal"/>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t>La intervención a la que se hace referencia  implicó el trabajo en grupos de reflexión a lo largo de los meses de abril, mayo, junio y julio,  en primera instancia con  los Equipos de Salud de primera línea de atención -Emergencia, Cuidados moderados, CTI y Enfermería- y con Servicios apoyo. Dichas instancias, de asistencia voluntaria, fueron realizadas a través de plataformas on line, dada la perentoriedad de mantener la distancia física.</w:t>
      </w:r>
    </w:p>
    <w:p>
      <w:pPr>
        <w:pStyle w:val="Normal"/>
        <w:widowControl/>
        <w:spacing w:lineRule="auto" w:line="480" w:before="0" w:after="0"/>
        <w:ind w:left="0" w:right="0" w:hanging="0"/>
        <w:jc w:val="both"/>
        <w:rPr/>
      </w:pPr>
      <w:r>
        <w:rPr>
          <w:rFonts w:eastAsia="Times New Roman" w:cs="Times New Roman"/>
          <w:color w:val="222222"/>
          <w:sz w:val="24"/>
          <w:szCs w:val="24"/>
          <w:lang w:val="es-AR"/>
        </w:rPr>
        <w:t xml:space="preserve">Como parte de la estrategia se </w:t>
      </w:r>
      <w:r>
        <w:rPr>
          <w:rFonts w:eastAsia="Times New Roman" w:cs="Times New Roman"/>
          <w:b w:val="false"/>
          <w:color w:val="222222"/>
          <w:position w:val="0"/>
          <w:sz w:val="24"/>
          <w:sz w:val="24"/>
          <w:szCs w:val="24"/>
          <w:vertAlign w:val="baseline"/>
          <w:lang w:val="es-AR"/>
        </w:rPr>
        <w:t>decide realizar una</w:t>
      </w:r>
      <w:r>
        <w:rPr>
          <w:rFonts w:eastAsia="Times New Roman" w:cs="Times New Roman"/>
          <w:b w:val="false"/>
          <w:i w:val="false"/>
          <w:caps w:val="false"/>
          <w:smallCaps w:val="false"/>
          <w:strike w:val="false"/>
          <w:dstrike w:val="false"/>
          <w:color w:val="222222"/>
          <w:position w:val="0"/>
          <w:sz w:val="24"/>
          <w:sz w:val="24"/>
          <w:szCs w:val="24"/>
          <w:u w:val="none"/>
          <w:vertAlign w:val="baseline"/>
          <w:lang w:val="es-AR"/>
        </w:rPr>
        <w:t xml:space="preserve"> evaluación de  aspectos psicológicos y de estrés laboral al personal del Hospital, a efectos de recabar datos que aporten a la adecuación de dispositivos de intervención en salud mental, así como a la eventual necesidad de apoyo psicológico a los distintos equipos. </w:t>
      </w:r>
    </w:p>
    <w:p>
      <w:pPr>
        <w:pStyle w:val="Ttulosinternos"/>
        <w:spacing w:before="280" w:after="280"/>
        <w:rPr>
          <w:lang w:val="es-AR"/>
        </w:rPr>
      </w:pPr>
      <w:r>
        <w:rPr>
          <w:lang w:val="es-AR"/>
        </w:rPr>
        <w:t>Método</w:t>
      </w:r>
    </w:p>
    <w:p>
      <w:pPr>
        <w:pStyle w:val="Prrafocomn"/>
        <w:ind w:left="0" w:right="0" w:hanging="0"/>
        <w:rPr/>
      </w:pPr>
      <w:r>
        <w:rPr>
          <w:rFonts w:eastAsia="Times new roman" w:cs="Times new roman" w:ascii="Times new roman" w:hAnsi="Times new roman"/>
          <w:b w:val="false"/>
          <w:i w:val="false"/>
          <w:strike w:val="false"/>
          <w:dstrike w:val="false"/>
          <w:color w:val="000000"/>
          <w:position w:val="0"/>
          <w:sz w:val="24"/>
          <w:sz w:val="24"/>
          <w:szCs w:val="24"/>
          <w:u w:val="none"/>
          <w:vertAlign w:val="baseline"/>
          <w:lang w:val="es-AR"/>
        </w:rPr>
        <w:t>Se trata de</w:t>
      </w:r>
      <w:r>
        <w:rPr>
          <w:rFonts w:eastAsia="Times new roman" w:cs="Times new roman" w:ascii="Times new roman" w:hAnsi="Times new roman"/>
          <w:b w:val="false"/>
          <w:i w:val="false"/>
          <w:strike w:val="false"/>
          <w:dstrike w:val="false"/>
          <w:color w:val="000000"/>
          <w:sz w:val="24"/>
          <w:szCs w:val="24"/>
          <w:u w:val="none"/>
          <w:lang w:val="es-AR"/>
        </w:rPr>
        <w:t xml:space="preserve"> una </w:t>
      </w:r>
      <w:r>
        <w:rPr>
          <w:rFonts w:eastAsia="Times new roman" w:cs="Times new roman" w:ascii="Times new roman" w:hAnsi="Times new roman"/>
          <w:sz w:val="24"/>
          <w:szCs w:val="24"/>
          <w:lang w:val="es-AR"/>
        </w:rPr>
        <w:t>evaluación</w:t>
      </w:r>
      <w:r>
        <w:rPr>
          <w:rFonts w:eastAsia="Times new roman" w:cs="Times new roman" w:ascii="Times new roman" w:hAnsi="Times new roman"/>
          <w:b w:val="false"/>
          <w:i w:val="false"/>
          <w:strike w:val="false"/>
          <w:dstrike w:val="false"/>
          <w:color w:val="000000"/>
          <w:sz w:val="24"/>
          <w:szCs w:val="24"/>
          <w:u w:val="none"/>
          <w:lang w:val="es-AR"/>
        </w:rPr>
        <w:t xml:space="preserve"> transversal, </w:t>
      </w:r>
      <w:r>
        <w:rPr>
          <w:rFonts w:eastAsia="Times new roman" w:cs="Times new roman" w:ascii="Times new roman" w:hAnsi="Times new roman"/>
          <w:b w:val="false"/>
          <w:i w:val="false"/>
          <w:strike w:val="false"/>
          <w:dstrike w:val="false"/>
          <w:color w:val="000000"/>
          <w:sz w:val="24"/>
          <w:szCs w:val="24"/>
          <w:u w:val="none"/>
          <w:lang w:val="es-AR"/>
        </w:rPr>
        <w:t>e</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n el marco de la intervención institucional donde se pretende explorar los </w:t>
      </w:r>
      <w:r>
        <w:rPr>
          <w:rFonts w:eastAsia="Times New Roman" w:cs="Times New Roman"/>
          <w:b w:val="false"/>
          <w:i w:val="false"/>
          <w:caps w:val="false"/>
          <w:smallCaps w:val="false"/>
          <w:strike w:val="false"/>
          <w:dstrike w:val="false"/>
          <w:color w:val="222222"/>
          <w:position w:val="0"/>
          <w:sz w:val="24"/>
          <w:sz w:val="24"/>
          <w:szCs w:val="24"/>
          <w:u w:val="none"/>
          <w:vertAlign w:val="baseline"/>
          <w:lang w:val="es-AR"/>
        </w:rPr>
        <w:t xml:space="preserve"> aspectos psicológicos y de estrés laboral del personal del Hospital </w:t>
      </w:r>
      <w:r>
        <w:rPr>
          <w:rFonts w:eastAsia="Times New Roman" w:cs="Times New Roman"/>
          <w:b w:val="false"/>
          <w:i w:val="false"/>
          <w:caps w:val="false"/>
          <w:smallCaps w:val="false"/>
          <w:strike w:val="false"/>
          <w:dstrike w:val="false"/>
          <w:color w:val="222222"/>
          <w:position w:val="0"/>
          <w:sz w:val="24"/>
          <w:sz w:val="24"/>
          <w:szCs w:val="24"/>
          <w:u w:val="none"/>
          <w:vertAlign w:val="baseline"/>
          <w:lang w:val="es-AR"/>
        </w:rPr>
        <w:t>en el mes de junio de 2020</w:t>
      </w:r>
      <w:r>
        <w:rPr>
          <w:rFonts w:eastAsia="Times New Roman" w:cs="Times New Roman"/>
          <w:b w:val="false"/>
          <w:i w:val="false"/>
          <w:caps w:val="false"/>
          <w:smallCaps w:val="false"/>
          <w:strike w:val="false"/>
          <w:dstrike w:val="false"/>
          <w:color w:val="222222"/>
          <w:position w:val="0"/>
          <w:sz w:val="24"/>
          <w:sz w:val="24"/>
          <w:szCs w:val="24"/>
          <w:u w:val="none"/>
          <w:vertAlign w:val="baseline"/>
          <w:lang w:val="es-AR"/>
        </w:rPr>
        <w:t>.</w:t>
      </w:r>
    </w:p>
    <w:p>
      <w:pPr>
        <w:pStyle w:val="SubtituloInterno"/>
        <w:spacing w:before="280" w:after="280"/>
        <w:contextualSpacing/>
        <w:rPr>
          <w:rFonts w:eastAsia="Calibri"/>
          <w:lang w:val="es-ES_tradnl"/>
        </w:rPr>
      </w:pPr>
      <w:r>
        <w:rPr>
          <w:rFonts w:eastAsia="Calibri"/>
          <w:lang w:val="es-ES_tradnl"/>
        </w:rPr>
        <w:t>Participantes</w:t>
      </w:r>
    </w:p>
    <w:p>
      <w:pPr>
        <w:pStyle w:val="Normal"/>
        <w:spacing w:lineRule="auto" w:line="480"/>
        <w:jc w:val="both"/>
        <w:rPr/>
      </w:pPr>
      <w:r>
        <w:rPr>
          <w:rFonts w:eastAsia="Times New Roman" w:cs="Times New Roman"/>
          <w:b w:val="false"/>
          <w:sz w:val="24"/>
          <w:szCs w:val="24"/>
        </w:rPr>
        <w:t xml:space="preserve">Personal del Hospital </w:t>
      </w:r>
      <w:r>
        <w:rPr>
          <w:rFonts w:eastAsia="Calibri" w:cs="Times new roman" w:ascii="Times new roman" w:hAnsi="Times new roman"/>
          <w:b w:val="false"/>
          <w:i w:val="false"/>
          <w:sz w:val="24"/>
          <w:szCs w:val="24"/>
          <w:lang w:val="es-AR" w:eastAsia="en-US"/>
        </w:rPr>
        <w:t>público de la ciudad de</w:t>
      </w:r>
      <w:r>
        <w:rPr>
          <w:rFonts w:eastAsia="Calibri" w:cs="Times new roman" w:ascii="Times new roman" w:hAnsi="Times new roman"/>
          <w:b w:val="false"/>
          <w:i w:val="false"/>
          <w:sz w:val="24"/>
          <w:szCs w:val="24"/>
          <w:lang w:val="es-AR" w:eastAsia="en-US"/>
        </w:rPr>
        <w:t xml:space="preserve"> Montevideo Uruguay </w:t>
      </w:r>
      <w:r>
        <w:rPr>
          <w:rFonts w:eastAsia="Times New Roman" w:cs="Times New Roman"/>
          <w:b w:val="false"/>
          <w:sz w:val="24"/>
          <w:szCs w:val="24"/>
        </w:rPr>
        <w:t xml:space="preserve">que de manera voluntaria y anónima realicen la evaluación online sobre </w:t>
      </w:r>
      <w:r>
        <w:rPr>
          <w:rFonts w:eastAsia="Times New Roman" w:cs="Times New Roman"/>
          <w:b w:val="false"/>
          <w:i w:val="false"/>
          <w:caps w:val="false"/>
          <w:smallCaps w:val="false"/>
          <w:strike w:val="false"/>
          <w:dstrike w:val="false"/>
          <w:color w:val="222222"/>
          <w:position w:val="0"/>
          <w:sz w:val="24"/>
          <w:sz w:val="24"/>
          <w:szCs w:val="24"/>
          <w:u w:val="none"/>
          <w:vertAlign w:val="baseline"/>
        </w:rPr>
        <w:t xml:space="preserve"> aspectos psicológicos y de estrés laboral</w:t>
      </w:r>
      <w:r>
        <w:rPr>
          <w:rFonts w:eastAsia="Times New Roman" w:cs="Times New Roman"/>
          <w:b w:val="false"/>
          <w:sz w:val="24"/>
          <w:szCs w:val="24"/>
        </w:rPr>
        <w:t xml:space="preserve"> durante el mes de junio de 2020</w:t>
      </w:r>
      <w:r>
        <w:rPr>
          <w:rFonts w:eastAsia="Times new roman" w:cs="Times new roman" w:ascii="Times new roman" w:hAnsi="Times new roman"/>
          <w:b w:val="false"/>
          <w:sz w:val="24"/>
          <w:szCs w:val="24"/>
        </w:rPr>
        <w:t xml:space="preserve"> </w:t>
      </w:r>
      <w:r>
        <w:rPr>
          <w:rFonts w:eastAsia="Times new roman" w:cs="Times new roman" w:ascii="Times new roman" w:hAnsi="Times new roman"/>
          <w:b w:val="false"/>
          <w:sz w:val="24"/>
          <w:szCs w:val="24"/>
        </w:rPr>
        <w:t>(152 participantes).</w:t>
      </w:r>
    </w:p>
    <w:p>
      <w:pPr>
        <w:pStyle w:val="Normal"/>
        <w:spacing w:lineRule="auto" w:line="480"/>
        <w:rPr>
          <w:rFonts w:ascii="Times new roman" w:hAnsi="Times new roman" w:eastAsia="Calibri" w:cs="Times new roman"/>
          <w:i w:val="false"/>
          <w:i w:val="false"/>
          <w:sz w:val="24"/>
          <w:szCs w:val="24"/>
          <w:lang w:val="es-AR" w:eastAsia="en-US"/>
        </w:rPr>
      </w:pPr>
      <w:r>
        <w:rPr>
          <w:rFonts w:eastAsia="Calibri" w:cs="Times new roman" w:ascii="Times new roman" w:hAnsi="Times new roman"/>
          <w:i w:val="false"/>
          <w:sz w:val="24"/>
          <w:szCs w:val="24"/>
          <w:lang w:val="es-AR" w:eastAsia="en-US"/>
        </w:rPr>
      </w:r>
    </w:p>
    <w:p>
      <w:pPr>
        <w:pStyle w:val="SubtituloInterno"/>
        <w:spacing w:before="280" w:after="280"/>
        <w:contextualSpacing/>
        <w:rPr>
          <w:lang w:val="es-AR"/>
        </w:rPr>
      </w:pPr>
      <w:r>
        <w:rPr>
          <w:lang w:val="es-AR"/>
        </w:rPr>
        <w:t>Materiales</w:t>
      </w:r>
    </w:p>
    <w:p>
      <w:pPr>
        <w:pStyle w:val="Normal"/>
        <w:keepNext w:val="false"/>
        <w:keepLines w:val="false"/>
        <w:widowControl/>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a) Datos filiatorios básicos (edad, sexo, </w:t>
      </w:r>
      <w:r>
        <w:rPr>
          <w:rFonts w:eastAsia="Times New Roman" w:cs="Times New Roman"/>
          <w:sz w:val="24"/>
          <w:szCs w:val="24"/>
        </w:rPr>
        <w:t>profesión, estado civil, tiempo que trabaja en el hospital, cantidad de horas trabajadas por semana, servicio del hospital al que pertenece)</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r>
    </w:p>
    <w:p>
      <w:pPr>
        <w:pStyle w:val="Normal"/>
        <w:keepNext w:val="false"/>
        <w:keepLines w:val="false"/>
        <w:widowControl/>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b) Cuestionario Breve de </w:t>
      </w:r>
      <w:r>
        <w:rPr>
          <w:rFonts w:eastAsia="Times New Roman" w:cs="Times New Roman"/>
          <w:i/>
          <w:iCs/>
          <w:caps w:val="false"/>
          <w:smallCaps w:val="false"/>
          <w:strike w:val="false"/>
          <w:dstrike w:val="false"/>
          <w:color w:val="000000"/>
          <w:position w:val="0"/>
          <w:sz w:val="24"/>
          <w:sz w:val="24"/>
          <w:szCs w:val="24"/>
          <w:u w:val="none"/>
          <w:vertAlign w:val="baseline"/>
        </w:rPr>
        <w:t>Burnout</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(CBB),  </w:t>
      </w:r>
      <w:r>
        <w:rPr>
          <w:rFonts w:eastAsia="Times New Roman" w:cs="Times New Roman"/>
          <w:i w:val="false"/>
          <w:caps w:val="false"/>
          <w:smallCaps w:val="false"/>
          <w:strike w:val="false"/>
          <w:dstrike w:val="false"/>
          <w:color w:val="000000"/>
          <w:position w:val="0"/>
          <w:sz w:val="24"/>
          <w:sz w:val="24"/>
          <w:szCs w:val="24"/>
          <w:u w:val="none"/>
          <w:vertAlign w:val="baseline"/>
        </w:rPr>
        <w:t>(Montero et al., 2009; Moreno-Jiménez et al., 1997)</w:t>
      </w:r>
      <w:r>
        <w:rPr>
          <w:rFonts w:eastAsia="Times New Roman" w:cs="Times New Roman"/>
          <w:i w:val="false"/>
          <w:caps w:val="false"/>
          <w:smallCaps w:val="false"/>
          <w:strike w:val="false"/>
          <w:dstrike w:val="false"/>
          <w:color w:val="000000"/>
          <w:position w:val="0"/>
          <w:sz w:val="24"/>
          <w:sz w:val="24"/>
          <w:szCs w:val="24"/>
          <w:u w:val="none"/>
          <w:vertAlign w:val="baseline"/>
        </w:rPr>
        <w:t>⁠</w:t>
      </w:r>
      <w:r>
        <w:rPr>
          <w:rFonts w:eastAsia="Times New Roman" w:cs="Times New Roman"/>
          <w:sz w:val="24"/>
          <w:szCs w:val="24"/>
        </w:rPr>
        <w:t>.</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Evalúa el desgaste profesional o </w:t>
      </w:r>
      <w:r>
        <w:rPr>
          <w:rFonts w:eastAsia="Times New Roman" w:cs="Times New Roman"/>
          <w:i/>
          <w:caps w:val="false"/>
          <w:smallCaps w:val="false"/>
          <w:strike w:val="false"/>
          <w:dstrike w:val="false"/>
          <w:color w:val="000000"/>
          <w:position w:val="0"/>
          <w:sz w:val="24"/>
          <w:sz w:val="24"/>
          <w:szCs w:val="24"/>
          <w:u w:val="none"/>
          <w:vertAlign w:val="baseline"/>
        </w:rPr>
        <w:t>burnout</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por estrés laboral desde una perspectiva multidimensional. Está compuesto por 21 preguntas referente a tres diferentes dimensiones globales del estrés laboral: </w:t>
      </w:r>
      <w:r>
        <w:rPr>
          <w:rFonts w:eastAsia="Times New Roman" w:cs="Times New Roman"/>
          <w:sz w:val="24"/>
          <w:szCs w:val="24"/>
        </w:rPr>
        <w:t xml:space="preserve">antecedentes del síndrome (características de la tarea, tedio y organización) síndrome de </w:t>
      </w:r>
      <w:r>
        <w:rPr>
          <w:rFonts w:eastAsia="Times New Roman" w:cs="Times New Roman"/>
          <w:b w:val="false"/>
          <w:bCs w:val="false"/>
          <w:i/>
          <w:iCs/>
          <w:sz w:val="24"/>
          <w:szCs w:val="24"/>
        </w:rPr>
        <w:t>burnout</w:t>
      </w:r>
      <w:r>
        <w:rPr>
          <w:rFonts w:eastAsia="Times New Roman" w:cs="Times New Roman"/>
          <w:sz w:val="24"/>
          <w:szCs w:val="24"/>
        </w:rPr>
        <w:t xml:space="preserve"> (cansancio emocional, despersonalización y falta de realización personal) y consecuencias del </w:t>
      </w:r>
      <w:r>
        <w:rPr>
          <w:rFonts w:eastAsia="Times New Roman" w:cs="Times New Roman"/>
          <w:i/>
          <w:sz w:val="24"/>
          <w:szCs w:val="24"/>
        </w:rPr>
        <w:t>burnout</w:t>
      </w:r>
      <w:r>
        <w:rPr>
          <w:rFonts w:eastAsia="Times New Roman" w:cs="Times New Roman"/>
          <w:sz w:val="24"/>
          <w:szCs w:val="24"/>
        </w:rPr>
        <w:t xml:space="preserve"> (físicas, sobre el clima familiar y rendimiento laboral)</w:t>
      </w:r>
      <w:r>
        <w:rPr>
          <w:rFonts w:eastAsia="Times New Roman" w:cs="Times New Roman"/>
          <w:i w:val="false"/>
          <w:caps w:val="false"/>
          <w:smallCaps w:val="false"/>
          <w:strike w:val="false"/>
          <w:dstrike w:val="false"/>
          <w:color w:val="000000"/>
          <w:position w:val="0"/>
          <w:sz w:val="24"/>
          <w:sz w:val="24"/>
          <w:szCs w:val="24"/>
          <w:u w:val="none"/>
          <w:vertAlign w:val="baseline"/>
        </w:rPr>
        <w:t>. La escala de respuesta es de tipo Likert de cinco puntos.   Dicho cuestionario ha sido aplicado en poblaci</w:t>
      </w:r>
      <w:r>
        <w:rPr>
          <w:rFonts w:eastAsia="Times New Roman" w:cs="Times New Roman"/>
          <w:sz w:val="24"/>
          <w:szCs w:val="24"/>
        </w:rPr>
        <w:t xml:space="preserve">ones similares (equipos de salud)  </w:t>
      </w:r>
      <w:r>
        <w:rPr>
          <w:rFonts w:eastAsia="Times New Roman" w:cs="Times New Roman"/>
          <w:position w:val="0"/>
          <w:sz w:val="24"/>
          <w:sz w:val="24"/>
          <w:szCs w:val="24"/>
          <w:vertAlign w:val="baseline"/>
        </w:rPr>
        <w:t>(Molero Jurado et al., 2018; Paredes &amp; Sanabria-Ferrand, 2008; Pérez-Fuentes et al., 2018; Roger et al., 2013; Valdivieso Romero et al., 2016)</w:t>
      </w:r>
      <w:r>
        <w:rPr>
          <w:rFonts w:eastAsia="Times New Roman" w:cs="Times New Roman"/>
          <w:sz w:val="24"/>
          <w:szCs w:val="24"/>
        </w:rPr>
        <w:t>⁠.</w:t>
      </w:r>
    </w:p>
    <w:p>
      <w:pPr>
        <w:pStyle w:val="Normal"/>
        <w:keepNext w:val="false"/>
        <w:keepLines w:val="false"/>
        <w:widowControl/>
        <w:spacing w:lineRule="auto" w:line="480" w:before="0" w:after="120"/>
        <w:ind w:left="0" w:right="0" w:hanging="0"/>
        <w:jc w:val="left"/>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b w:val="false"/>
          <w:i w:val="false"/>
          <w:iCs/>
          <w:caps w:val="false"/>
          <w:smallCaps w:val="false"/>
          <w:strike w:val="false"/>
          <w:dstrike w:val="false"/>
          <w:color w:val="000000"/>
          <w:position w:val="0"/>
          <w:sz w:val="24"/>
          <w:sz w:val="24"/>
          <w:szCs w:val="24"/>
          <w:u w:val="none"/>
          <w:vertAlign w:val="baseline"/>
          <w:lang w:val="es-AR"/>
        </w:rPr>
        <w:t xml:space="preserve">c) Escala de sintomatología del OQ45.2 </w:t>
      </w:r>
      <w:r>
        <w:rPr>
          <w:rFonts w:eastAsia="Times New Roman" w:cs="Times New Roman"/>
          <w:b w:val="false"/>
          <w:i w:val="false"/>
          <w:iCs/>
          <w:caps w:val="false"/>
          <w:smallCaps w:val="false"/>
          <w:strike w:val="false"/>
          <w:dstrike w:val="false"/>
          <w:color w:val="000000"/>
          <w:position w:val="0"/>
          <w:sz w:val="24"/>
          <w:sz w:val="24"/>
          <w:szCs w:val="24"/>
          <w:u w:val="none"/>
          <w:vertAlign w:val="baseline"/>
          <w:lang w:val="es-AR"/>
        </w:rPr>
        <w:t>(Lambert et al., 1996; von Bergen &amp; de la Parra, 2002)</w:t>
      </w:r>
      <w:r>
        <w:rPr>
          <w:rFonts w:eastAsia="Times New Roman" w:cs="Times New Roman"/>
          <w:b w:val="false"/>
          <w:i w:val="false"/>
          <w:iCs/>
          <w:caps w:val="false"/>
          <w:smallCaps w:val="false"/>
          <w:strike w:val="false"/>
          <w:dstrike w:val="false"/>
          <w:color w:val="000000"/>
          <w:position w:val="0"/>
          <w:sz w:val="24"/>
          <w:sz w:val="24"/>
          <w:szCs w:val="24"/>
          <w:u w:val="none"/>
          <w:vertAlign w:val="baseline"/>
          <w:lang w:val="es-AR"/>
        </w:rPr>
        <w:t xml:space="preserve">⁠. Cuenta con 25 ítems que evalúan sintomatología con una escala de respuesta tipo Likert de cinco puntos. Si bien fue diseñada para la evaluación de resultados en psicoterapia, también fue diseñada para una aplicación masiva en la toma de decisiones en salud mental, incluyendo  ítems que permiten evaluar dentro de la sintomatología pensamiento suicida y consumo de sustancias⁠, aspectos estos que según la evidencia pueden presentarse en los equipos de salud </w:t>
      </w:r>
      <w:r>
        <w:rPr>
          <w:rFonts w:eastAsia="Times New Roman" w:cs="Times New Roman"/>
          <w:b w:val="false"/>
          <w:i w:val="false"/>
          <w:iCs/>
          <w:caps w:val="false"/>
          <w:smallCaps w:val="false"/>
          <w:strike w:val="false"/>
          <w:dstrike w:val="false"/>
          <w:color w:val="000000"/>
          <w:position w:val="0"/>
          <w:sz w:val="24"/>
          <w:sz w:val="24"/>
          <w:szCs w:val="24"/>
          <w:u w:val="none"/>
          <w:vertAlign w:val="baseline"/>
          <w:lang w:val="es-AR"/>
        </w:rPr>
        <w:t>(Greenberg et al., 2020; Shigemura et al., 2020; Torous et al., 2020)</w:t>
      </w:r>
      <w:r>
        <w:rPr>
          <w:rFonts w:eastAsia="Times New Roman" w:cs="Times New Roman"/>
          <w:b w:val="false"/>
          <w:i w:val="false"/>
          <w:iCs/>
          <w:caps w:val="false"/>
          <w:smallCaps w:val="false"/>
          <w:strike w:val="false"/>
          <w:dstrike w:val="false"/>
          <w:color w:val="000000"/>
          <w:position w:val="0"/>
          <w:sz w:val="24"/>
          <w:sz w:val="24"/>
          <w:szCs w:val="24"/>
          <w:u w:val="none"/>
          <w:vertAlign w:val="baseline"/>
          <w:lang w:val="es-AR"/>
        </w:rPr>
        <w:t xml:space="preserve">⁠ </w:t>
      </w:r>
    </w:p>
    <w:p>
      <w:pPr>
        <w:pStyle w:val="SubtituloInterno"/>
        <w:spacing w:before="280" w:after="280"/>
        <w:contextualSpacing/>
        <w:rPr>
          <w:lang w:val="es-AR" w:eastAsia="en-US"/>
        </w:rPr>
      </w:pPr>
      <w:r>
        <w:rPr>
          <w:lang w:val="es-AR" w:eastAsia="en-US"/>
        </w:rPr>
      </w:r>
    </w:p>
    <w:p>
      <w:pPr>
        <w:pStyle w:val="SubtituloInterno"/>
        <w:spacing w:before="280" w:after="280"/>
        <w:contextualSpacing/>
        <w:rPr>
          <w:lang w:val="es-AR"/>
        </w:rPr>
      </w:pPr>
      <w:r>
        <w:rPr>
          <w:lang w:val="es-AR"/>
        </w:rPr>
        <w:t>Procedimientos</w:t>
      </w:r>
    </w:p>
    <w:p>
      <w:pPr>
        <w:pStyle w:val="Normal"/>
        <w:keepNext w:val="false"/>
        <w:keepLines w:val="false"/>
        <w:widowControl/>
        <w:spacing w:lineRule="auto" w:line="480" w:before="0" w:after="0"/>
        <w:ind w:left="0" w:right="0" w:hanging="0"/>
        <w:jc w:val="both"/>
        <w:rPr/>
      </w:pP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La evaluación </w:t>
      </w:r>
      <w:r>
        <w:rPr>
          <w:rFonts w:eastAsia="Times New Roman" w:cs="Times New Roman"/>
          <w:b w:val="false"/>
          <w:i w:val="false"/>
          <w:caps w:val="false"/>
          <w:smallCaps w:val="false"/>
          <w:strike w:val="false"/>
          <w:dstrike w:val="false"/>
          <w:color w:val="000000"/>
          <w:sz w:val="24"/>
          <w:szCs w:val="24"/>
          <w:u w:val="none"/>
          <w:lang w:val="es-AR"/>
        </w:rPr>
        <w:t xml:space="preserve">se realizó </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en forma voluntaria, online mediante </w:t>
      </w:r>
      <w:r>
        <w:rPr>
          <w:rFonts w:eastAsia="Times New Roman" w:cs="Times New Roman"/>
          <w:sz w:val="24"/>
          <w:szCs w:val="24"/>
          <w:lang w:val="es-AR"/>
        </w:rPr>
        <w:t>f</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ormulario </w:t>
      </w:r>
      <w:r>
        <w:rPr>
          <w:rFonts w:eastAsia="Times New Roman" w:cs="Times New Roman"/>
          <w:b w:val="false"/>
          <w:i w:val="false"/>
          <w:caps w:val="false"/>
          <w:smallCaps w:val="false"/>
          <w:strike w:val="false"/>
          <w:dstrike w:val="false"/>
          <w:color w:val="000000"/>
          <w:sz w:val="24"/>
          <w:szCs w:val="24"/>
          <w:u w:val="none"/>
          <w:lang w:val="es-AR"/>
        </w:rPr>
        <w:t>google</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 y constaba de los </w:t>
      </w:r>
      <w:r>
        <w:rPr>
          <w:rFonts w:eastAsia="Times New Roman" w:cs="Times New Roman"/>
          <w:sz w:val="24"/>
          <w:szCs w:val="24"/>
          <w:lang w:val="es-AR"/>
        </w:rPr>
        <w:t>ítems</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 que se detallaron en el apartado </w:t>
      </w:r>
      <w:r>
        <w:rPr>
          <w:rFonts w:eastAsia="Times New Roman" w:cs="Times New Roman"/>
          <w:b w:val="false"/>
          <w:i w:val="false"/>
          <w:caps w:val="false"/>
          <w:smallCaps w:val="false"/>
          <w:strike w:val="false"/>
          <w:dstrike w:val="false"/>
          <w:color w:val="auto"/>
          <w:kern w:val="0"/>
          <w:position w:val="0"/>
          <w:sz w:val="24"/>
          <w:sz w:val="24"/>
          <w:szCs w:val="24"/>
          <w:u w:val="none"/>
          <w:vertAlign w:val="baseline"/>
          <w:lang w:val="es-AR" w:eastAsia="es-ES_tradnl" w:bidi="ar-SA"/>
        </w:rPr>
        <w:t>correspondiente</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w:t>
      </w:r>
    </w:p>
    <w:p>
      <w:pPr>
        <w:pStyle w:val="SubtituloInterno"/>
        <w:spacing w:before="280" w:after="280"/>
        <w:contextualSpacing/>
        <w:rPr>
          <w:lang w:val="es-AR"/>
        </w:rPr>
      </w:pPr>
      <w:r>
        <w:rPr>
          <w:lang w:val="es-AR"/>
        </w:rPr>
        <w:t>Análisis de los datos</w:t>
      </w:r>
    </w:p>
    <w:p>
      <w:pPr>
        <w:pStyle w:val="Normal"/>
        <w:spacing w:lineRule="auto" w:line="480"/>
        <w:jc w:val="both"/>
        <w:rPr/>
      </w:pP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Se utiliza el test de </w:t>
      </w:r>
      <w:r>
        <w:rPr>
          <w:rFonts w:eastAsia="Times New Roman" w:cs="Times New Roman"/>
          <w:b w:val="false"/>
          <w:i w:val="false"/>
          <w:caps w:val="false"/>
          <w:smallCaps w:val="false"/>
          <w:strike w:val="false"/>
          <w:dstrike w:val="false"/>
          <w:color w:val="000000"/>
          <w:sz w:val="24"/>
          <w:szCs w:val="24"/>
          <w:u w:val="none"/>
          <w:lang w:val="es-AR"/>
        </w:rPr>
        <w:t>Kolmogorov Smirnov</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 xml:space="preserve"> para evaluar la normalidad de las </w:t>
      </w:r>
      <w:r>
        <w:rPr>
          <w:rFonts w:eastAsia="Times New Roman" w:cs="Times New Roman"/>
          <w:b w:val="false"/>
          <w:i w:val="false"/>
          <w:caps w:val="false"/>
          <w:smallCaps w:val="false"/>
          <w:strike w:val="false"/>
          <w:dstrike w:val="false"/>
          <w:color w:val="000000"/>
          <w:sz w:val="24"/>
          <w:szCs w:val="24"/>
          <w:u w:val="none"/>
          <w:lang w:val="es-AR"/>
        </w:rPr>
        <w:t xml:space="preserve"> variables, se utilizan el test de correlación de Pearson y el Test T student para variables normales  y el test </w:t>
      </w: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correlación de Spearman y el test de Wilcoxon para variables no normales</w:t>
      </w:r>
    </w:p>
    <w:p>
      <w:pPr>
        <w:pStyle w:val="SubtituloInterno"/>
        <w:spacing w:before="280" w:after="280"/>
        <w:contextualSpacing/>
        <w:rPr>
          <w:lang w:val="es-ES_tradnl"/>
        </w:rPr>
      </w:pPr>
      <w:r>
        <w:rPr>
          <w:lang w:val="es-ES_tradnl"/>
        </w:rPr>
        <w:t>Consideraciones éticas</w:t>
      </w:r>
    </w:p>
    <w:p>
      <w:pPr>
        <w:pStyle w:val="Normal"/>
        <w:spacing w:lineRule="auto" w:line="4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s-AR"/>
        </w:rPr>
        <w:t xml:space="preserve">Esta evaluación fue autorizada a realizarse por </w:t>
      </w:r>
      <w:r>
        <w:rPr>
          <w:rFonts w:eastAsia="Times new roman" w:cs="Times new roman" w:ascii="Times new roman" w:hAnsi="Times new roman"/>
          <w:sz w:val="24"/>
          <w:szCs w:val="24"/>
          <w:lang w:val="es-AR"/>
        </w:rPr>
        <w:t xml:space="preserve">la dirección del </w:t>
      </w:r>
      <w:r>
        <w:rPr>
          <w:rFonts w:eastAsia="Times new roman" w:cs="Times new roman" w:ascii="Times new roman" w:hAnsi="Times new roman"/>
          <w:sz w:val="24"/>
          <w:szCs w:val="24"/>
          <w:lang w:val="es-AR"/>
        </w:rPr>
        <w:t>Hospital, y consta de cuestionarios que los integrantes del equipo de intervención del SAPPA han utilizado.</w:t>
      </w:r>
    </w:p>
    <w:p>
      <w:pPr>
        <w:pStyle w:val="Ttulosinternos"/>
        <w:spacing w:before="280" w:after="280"/>
        <w:rPr>
          <w:lang w:val="es-ES_tradnl"/>
        </w:rPr>
      </w:pPr>
      <w:r>
        <w:rPr>
          <w:lang w:val="es-ES_tradnl"/>
        </w:rPr>
        <w:t>Resultados</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r>
    </w:p>
    <w:p>
      <w:pPr>
        <w:pStyle w:val="Normal"/>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Participaron 152 personas (124 mujeres y 28 hombres)</w:t>
      </w:r>
    </w:p>
    <w:p>
      <w:pPr>
        <w:pStyle w:val="Normal"/>
        <w:keepNext w:val="false"/>
        <w:keepLines w:val="false"/>
        <w:widowControl/>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Núcl</w:t>
      </w:r>
      <w:r>
        <w:rPr>
          <w:rFonts w:eastAsia="Times New Roman" w:cs="Times New Roman"/>
          <w:sz w:val="24"/>
          <w:szCs w:val="24"/>
        </w:rPr>
        <w:t xml:space="preserve">eo </w:t>
      </w:r>
      <w:r>
        <w:rPr>
          <w:rFonts w:eastAsia="Times New Roman" w:cs="Times New Roman"/>
          <w:i w:val="false"/>
          <w:caps w:val="false"/>
          <w:smallCaps w:val="false"/>
          <w:strike w:val="false"/>
          <w:dstrike w:val="false"/>
          <w:color w:val="000000"/>
          <w:position w:val="0"/>
          <w:sz w:val="24"/>
          <w:sz w:val="24"/>
          <w:szCs w:val="24"/>
          <w:u w:val="none"/>
          <w:vertAlign w:val="baseline"/>
        </w:rPr>
        <w:t>Familiar 71.7 % tienen hijos, 60.6 % tienen pareja, 14.2 % viven con padre/madre, 10.2% viven con otros familiares (abuelos, tíos, etc) y 15.9 viven solos.</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0"/>
        <w:ind w:left="0" w:right="0" w:hanging="0"/>
        <w:jc w:val="both"/>
        <w:rPr/>
      </w:pPr>
      <w:r>
        <w:rPr>
          <w:rFonts w:eastAsia="Times New Roman" w:cs="Times New Roman"/>
          <w:b/>
          <w:i/>
          <w:caps w:val="false"/>
          <w:smallCaps w:val="false"/>
          <w:strike w:val="false"/>
          <w:dstrike w:val="false"/>
          <w:color w:val="000000"/>
          <w:position w:val="0"/>
          <w:sz w:val="24"/>
          <w:sz w:val="24"/>
          <w:szCs w:val="24"/>
          <w:vertAlign w:val="baseline"/>
        </w:rPr>
        <w:t>Estadística Descriptiva de las variables a estudia</w:t>
      </w:r>
      <w:r>
        <w:rPr>
          <w:rFonts w:eastAsia="Times New Roman" w:cs="Times New Roman"/>
          <w:b/>
          <w:i/>
          <w:sz w:val="24"/>
          <w:szCs w:val="24"/>
        </w:rPr>
        <w:t>r</w:t>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t>Se presenta la e</w:t>
      </w:r>
      <w:r>
        <w:rPr>
          <w:rFonts w:eastAsia="Times New Roman" w:cs="Times New Roman"/>
          <w:sz w:val="24"/>
          <w:szCs w:val="24"/>
        </w:rPr>
        <w:t xml:space="preserve">stadística descriptiva </w:t>
      </w:r>
      <w:r>
        <w:rPr>
          <w:rFonts w:eastAsia="Times New Roman" w:cs="Times New Roman"/>
          <w:sz w:val="24"/>
          <w:szCs w:val="24"/>
        </w:rPr>
        <w:t>de la variables participantes en la Tabla 1, y la correlaciones significativas en la Tabla 2.</w:t>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r>
    </w:p>
    <w:p>
      <w:pPr>
        <w:pStyle w:val="Normal"/>
        <w:widowControl/>
        <w:spacing w:lineRule="auto" w:line="480" w:before="0" w:after="120"/>
        <w:ind w:left="0" w:right="0" w:hanging="0"/>
        <w:jc w:val="left"/>
        <w:rPr>
          <w:rFonts w:ascii="Times New Roman" w:hAnsi="Times New Roman" w:eastAsia="Times New Roman" w:cs="Times New Roman"/>
          <w:sz w:val="24"/>
          <w:szCs w:val="24"/>
        </w:rPr>
      </w:pPr>
      <w:r>
        <w:rPr>
          <w:rFonts w:eastAsia="Times New Roman" w:cs="Times New Roman"/>
          <w:sz w:val="24"/>
          <w:szCs w:val="24"/>
        </w:rPr>
      </w:r>
    </w:p>
    <w:p>
      <w:pPr>
        <w:pStyle w:val="Normal"/>
        <w:widowControl/>
        <w:pBdr>
          <w:bottom w:val="single" w:sz="2" w:space="2" w:color="000000"/>
        </w:pBdr>
        <w:spacing w:lineRule="auto" w:line="480" w:before="0" w:after="120"/>
        <w:ind w:left="0" w:right="0" w:hanging="0"/>
        <w:jc w:val="left"/>
        <w:rPr>
          <w:rFonts w:ascii="Times New Roman" w:hAnsi="Times New Roman" w:eastAsia="Times New Roman" w:cs="Times New Roman"/>
          <w:i/>
          <w:i/>
          <w:sz w:val="24"/>
          <w:szCs w:val="24"/>
        </w:rPr>
      </w:pPr>
      <w:r>
        <w:rPr>
          <w:rFonts w:eastAsia="Times New Roman" w:cs="Times New Roman"/>
          <w:i/>
          <w:sz w:val="24"/>
          <w:szCs w:val="24"/>
        </w:rPr>
        <w:t>Tabla 1. Estadística descriptiva</w:t>
      </w:r>
    </w:p>
    <w:p>
      <w:pPr>
        <w:pStyle w:val="Normal"/>
        <w:keepNext w:val="false"/>
        <w:keepLines w:val="false"/>
        <w:widowControl/>
        <w:pBdr>
          <w:bottom w:val="single" w:sz="2" w:space="2" w:color="000000"/>
        </w:pBdr>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Variables              </w:t>
        <w:tab/>
      </w:r>
      <w:r>
        <w:rPr>
          <w:rFonts w:eastAsia="Times New Roman" w:cs="Times New Roman"/>
          <w:i/>
          <w:iCs/>
          <w:caps w:val="false"/>
          <w:smallCaps w:val="false"/>
          <w:strike w:val="false"/>
          <w:dstrike w:val="false"/>
          <w:color w:val="000000"/>
          <w:position w:val="0"/>
          <w:sz w:val="24"/>
          <w:sz w:val="24"/>
          <w:szCs w:val="24"/>
          <w:u w:val="none"/>
          <w:vertAlign w:val="baseline"/>
        </w:rPr>
        <w:t>N</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w:t>
        <w:tab/>
        <w:tab/>
        <w:t xml:space="preserve">Media      </w:t>
        <w:tab/>
      </w:r>
      <w:r>
        <w:rPr>
          <w:rFonts w:eastAsia="Times New Roman" w:cs="Times New Roman"/>
          <w:i/>
          <w:iCs/>
          <w:caps w:val="false"/>
          <w:smallCaps w:val="false"/>
          <w:strike w:val="false"/>
          <w:dstrike w:val="false"/>
          <w:color w:val="000000"/>
          <w:position w:val="0"/>
          <w:sz w:val="24"/>
          <w:sz w:val="24"/>
          <w:szCs w:val="24"/>
          <w:u w:val="none"/>
          <w:vertAlign w:val="baseline"/>
        </w:rPr>
        <w:t>DS</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w:t>
        <w:tab/>
        <w:t xml:space="preserve"> Mínimo     </w:t>
        <w:tab/>
        <w:t>Máximo</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CBB               </w:t>
        <w:tab/>
        <w:tab/>
        <w:t xml:space="preserve">152      </w:t>
        <w:tab/>
        <w:tab/>
        <w:t xml:space="preserve">21.12         5.26 </w:t>
        <w:tab/>
        <w:tab/>
        <w:t xml:space="preserve">12.00  </w:t>
        <w:tab/>
        <w:tab/>
        <w:t>34.33</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Consecuencias</w:t>
        <w:tab/>
        <w:tab/>
        <w:t xml:space="preserve">152       </w:t>
        <w:tab/>
        <w:tab/>
        <w:t xml:space="preserve">6.94          2.85  </w:t>
        <w:tab/>
        <w:tab/>
        <w:t xml:space="preserve">3.00    </w:t>
        <w:tab/>
        <w:tab/>
        <w:t>14.00</w:t>
      </w:r>
    </w:p>
    <w:p>
      <w:pPr>
        <w:pStyle w:val="Normal"/>
        <w:keepNext w:val="false"/>
        <w:keepLines w:val="false"/>
        <w:widowControl/>
        <w:spacing w:lineRule="auto" w:line="480" w:before="0" w:after="0"/>
        <w:ind w:left="0" w:right="0" w:hanging="0"/>
        <w:jc w:val="both"/>
        <w:rPr/>
      </w:pPr>
      <w:r>
        <w:rPr>
          <w:rFonts w:eastAsia="Times New Roman" w:cs="Times New Roman"/>
          <w:sz w:val="24"/>
          <w:szCs w:val="24"/>
        </w:rPr>
        <w:t>Antecedentes</w:t>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 </w:t>
        <w:tab/>
        <w:t xml:space="preserve">   </w:t>
        <w:tab/>
        <w:t xml:space="preserve">152       </w:t>
        <w:tab/>
        <w:tab/>
        <w:t xml:space="preserve">6.76          1.78 </w:t>
        <w:tab/>
        <w:tab/>
        <w:t xml:space="preserve">3.67   </w:t>
        <w:tab/>
        <w:tab/>
        <w:t>11.67</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Síndrome        </w:t>
        <w:tab/>
        <w:tab/>
        <w:t xml:space="preserve">152       </w:t>
        <w:tab/>
        <w:tab/>
        <w:t xml:space="preserve">7.41          1.70 </w:t>
        <w:tab/>
        <w:tab/>
        <w:t xml:space="preserve">3.00    </w:t>
        <w:tab/>
        <w:tab/>
        <w:t>11.33</w:t>
      </w:r>
    </w:p>
    <w:p>
      <w:pPr>
        <w:pStyle w:val="Normal"/>
        <w:keepNext w:val="false"/>
        <w:keepLines w:val="false"/>
        <w:widowControl/>
        <w:spacing w:lineRule="auto" w:line="480" w:before="0" w:after="0"/>
        <w:ind w:left="0" w:right="0" w:hanging="0"/>
        <w:jc w:val="both"/>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OQ45              </w:t>
        <w:tab/>
        <w:tab/>
        <w:t xml:space="preserve">152      </w:t>
        <w:tab/>
        <w:tab/>
        <w:t>28.44         12.49</w:t>
      </w:r>
      <w:r>
        <w:rPr>
          <w:rFonts w:eastAsia="Times New Roman" w:cs="Times New Roman"/>
          <w:sz w:val="24"/>
          <w:szCs w:val="24"/>
        </w:rPr>
        <w:t xml:space="preserve"> </w:t>
        <w:tab/>
      </w:r>
      <w:r>
        <w:rPr>
          <w:rFonts w:eastAsia="Times New Roman" w:cs="Times New Roman"/>
          <w:i w:val="false"/>
          <w:caps w:val="false"/>
          <w:smallCaps w:val="false"/>
          <w:strike w:val="false"/>
          <w:dstrike w:val="false"/>
          <w:color w:val="000000"/>
          <w:position w:val="0"/>
          <w:sz w:val="24"/>
          <w:sz w:val="24"/>
          <w:szCs w:val="24"/>
          <w:u w:val="none"/>
          <w:vertAlign w:val="baseline"/>
        </w:rPr>
        <w:t xml:space="preserve">11.00 </w:t>
        <w:tab/>
        <w:tab/>
        <w:t>69.00</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Edad                </w:t>
        <w:tab/>
        <w:t xml:space="preserve">152      </w:t>
        <w:tab/>
        <w:tab/>
        <w:t xml:space="preserve">43.15         9.26  </w:t>
        <w:tab/>
        <w:tab/>
        <w:t xml:space="preserve">22.00  </w:t>
        <w:tab/>
        <w:tab/>
        <w:t>63.00</w:t>
      </w:r>
    </w:p>
    <w:p>
      <w:pPr>
        <w:pStyle w:val="Normal"/>
        <w:keepNext w:val="false"/>
        <w:keepLines w:val="false"/>
        <w:widowControl/>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Tiempo Hospital     </w:t>
        <w:tab/>
        <w:t xml:space="preserve">152       </w:t>
        <w:tab/>
        <w:tab/>
        <w:t xml:space="preserve">7.85          5.73    </w:t>
        <w:tab/>
        <w:t xml:space="preserve">0.00    </w:t>
        <w:tab/>
        <w:tab/>
        <w:t>40.00</w:t>
      </w:r>
    </w:p>
    <w:p>
      <w:pPr>
        <w:sectPr>
          <w:headerReference w:type="even" r:id="rId4"/>
          <w:headerReference w:type="default" r:id="rId5"/>
          <w:footerReference w:type="even" r:id="rId6"/>
          <w:footerReference w:type="default" r:id="rId7"/>
          <w:type w:val="nextPage"/>
          <w:pgSz w:w="12240" w:h="15840"/>
          <w:pgMar w:left="1440" w:right="1440" w:header="720" w:top="1440" w:footer="720" w:bottom="1440" w:gutter="0"/>
          <w:pgNumType w:fmt="decimal"/>
          <w:formProt w:val="false"/>
          <w:textDirection w:val="lrTb"/>
          <w:docGrid w:type="default" w:linePitch="360" w:charSpace="0"/>
        </w:sectPr>
        <w:pStyle w:val="Normal"/>
        <w:keepNext w:val="false"/>
        <w:keepLines w:val="false"/>
        <w:widowControl/>
        <w:pBdr>
          <w:bottom w:val="single" w:sz="2" w:space="2" w:color="000000"/>
        </w:pBdr>
        <w:spacing w:lineRule="auto" w:line="480" w:before="0" w:after="0"/>
        <w:ind w:left="0" w:right="0" w:hanging="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t xml:space="preserve">Horas Semanales    </w:t>
        <w:tab/>
        <w:t xml:space="preserve">152      </w:t>
        <w:tab/>
        <w:tab/>
        <w:t xml:space="preserve">36.08         20.12  </w:t>
        <w:tab/>
        <w:t xml:space="preserve">5.00  </w:t>
        <w:tab/>
        <w:tab/>
        <w:t>120.00</w:t>
      </w:r>
    </w:p>
    <w:p>
      <w:pPr>
        <w:pStyle w:val="Normal"/>
        <w:pBdr>
          <w:bottom w:val="single" w:sz="2" w:space="2" w:color="000000"/>
        </w:pBdr>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Tabla 2. Correlación de Variables</w:t>
      </w:r>
    </w:p>
    <w:p>
      <w:pPr>
        <w:pStyle w:val="Normal"/>
        <w:pBdr>
          <w:bottom w:val="single" w:sz="2" w:space="2" w:color="000000"/>
        </w:pBdr>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Variable 1</w:t>
        <w:tab/>
        <w:t>Variable 2</w:t>
        <w:tab/>
        <w:t>Coeficiente</w:t>
        <w:tab/>
        <w:tab/>
        <w:t>Dirección</w:t>
        <w:tab/>
        <w:t>Intensidad</w:t>
        <w:tab/>
        <w:t>n</w:t>
        <w:tab/>
        <w:t>p</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Edad</w:t>
        <w:tab/>
        <w:tab/>
        <w:t>Antecedentes</w:t>
        <w:tab/>
        <w:t>r</w:t>
        <w:tab/>
        <w:tab/>
        <w:tab/>
        <w:t>-</w:t>
        <w:tab/>
        <w:tab/>
        <w:t>.1814</w:t>
        <w:tab/>
        <w:tab/>
        <w:t>152</w:t>
        <w:tab/>
        <w:t>0.0258</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Edad</w:t>
        <w:tab/>
        <w:tab/>
        <w:t>Síndrome</w:t>
        <w:tab/>
        <w:t>r</w:t>
        <w:tab/>
        <w:tab/>
        <w:tab/>
        <w:t>-</w:t>
        <w:tab/>
        <w:tab/>
        <w:t>.2394</w:t>
        <w:tab/>
        <w:tab/>
        <w:t>152</w:t>
        <w:tab/>
        <w:t>0.0031</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Edad</w:t>
        <w:tab/>
        <w:tab/>
        <w:t>CBB</w:t>
        <w:tab/>
        <w:tab/>
        <w:t>r</w:t>
        <w:tab/>
        <w:tab/>
        <w:tab/>
        <w:t>-</w:t>
        <w:tab/>
        <w:tab/>
        <w:t>.2367</w:t>
        <w:tab/>
        <w:tab/>
        <w:t>152</w:t>
        <w:tab/>
        <w:t>0.0000</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OQ45.2    Consecuencias</w:t>
        <w:tab/>
        <w:t>Spearman</w:t>
        <w:tab/>
        <w:tab/>
        <w:t>+</w:t>
        <w:tab/>
        <w:tab/>
        <w:t>.6157</w:t>
        <w:tab/>
        <w:tab/>
        <w:t>152</w:t>
        <w:tab/>
        <w:t>0.0000</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OQ45.2</w:t>
        <w:tab/>
        <w:t>Antecedentes</w:t>
        <w:tab/>
        <w:t>Spearman</w:t>
        <w:tab/>
        <w:tab/>
        <w:t>+</w:t>
        <w:tab/>
        <w:tab/>
        <w:t>.3603</w:t>
        <w:tab/>
        <w:tab/>
        <w:t>152</w:t>
        <w:tab/>
        <w:t>0.0000</w:t>
      </w:r>
    </w:p>
    <w:p>
      <w:pPr>
        <w:pStyle w:val="Normal"/>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OQ45.2</w:t>
        <w:tab/>
        <w:t>Síndrome</w:t>
        <w:tab/>
        <w:t>Spearman</w:t>
        <w:tab/>
        <w:tab/>
        <w:t>+</w:t>
        <w:tab/>
        <w:tab/>
        <w:t>.4862</w:t>
        <w:tab/>
        <w:tab/>
        <w:t>152</w:t>
        <w:tab/>
        <w:t>0.0000</w:t>
      </w:r>
    </w:p>
    <w:p>
      <w:pPr>
        <w:pStyle w:val="Normal"/>
        <w:pBdr>
          <w:bottom w:val="single" w:sz="2" w:space="2" w:color="000000"/>
        </w:pBdr>
        <w:spacing w:lineRule="auto" w:line="480" w:before="240" w:after="0"/>
        <w:rPr>
          <w:rFonts w:ascii="Times New Roman" w:hAnsi="Times New Roman" w:eastAsia="Times New Roman" w:cs="Times New Roman"/>
          <w:i/>
          <w:i/>
          <w:sz w:val="24"/>
          <w:szCs w:val="24"/>
        </w:rPr>
      </w:pPr>
      <w:r>
        <w:rPr>
          <w:rFonts w:eastAsia="Times New Roman" w:cs="Times New Roman"/>
          <w:i/>
          <w:sz w:val="24"/>
          <w:szCs w:val="24"/>
        </w:rPr>
        <w:t>OQ45.2</w:t>
        <w:tab/>
        <w:t>CBB</w:t>
        <w:tab/>
        <w:tab/>
        <w:t>Spearman</w:t>
        <w:tab/>
        <w:tab/>
        <w:t>+</w:t>
        <w:tab/>
        <w:tab/>
        <w:t>.6137</w:t>
        <w:tab/>
        <w:tab/>
        <w:t>152</w:t>
        <w:tab/>
        <w:t>0.0000</w:t>
      </w:r>
    </w:p>
    <w:p>
      <w:pPr>
        <w:pStyle w:val="Normal"/>
        <w:widowControl/>
        <w:spacing w:lineRule="auto" w:line="480" w:before="240" w:after="0"/>
        <w:ind w:left="0" w:right="0" w:hanging="0"/>
        <w:jc w:val="both"/>
        <w:rPr>
          <w:rFonts w:ascii="Times New Roman" w:hAnsi="Times New Roman" w:eastAsia="Times New Roman" w:cs="Times New Roman"/>
          <w:i/>
          <w:i/>
          <w:sz w:val="24"/>
          <w:szCs w:val="24"/>
        </w:rPr>
      </w:pPr>
      <w:r>
        <w:rPr>
          <w:rFonts w:eastAsia="Times New Roman" w:cs="Times New Roman"/>
          <w:i/>
          <w:sz w:val="24"/>
          <w:szCs w:val="24"/>
        </w:rPr>
      </w:r>
    </w:p>
    <w:p>
      <w:pPr>
        <w:pStyle w:val="Normal"/>
        <w:spacing w:lineRule="auto" w:line="480"/>
        <w:rPr>
          <w:rFonts w:ascii="Times New Roman" w:hAnsi="Times New Roman" w:eastAsia="Times New Roman" w:cs="Times New Roman"/>
          <w:b/>
          <w:b/>
          <w:i/>
          <w:i/>
          <w:sz w:val="24"/>
          <w:szCs w:val="24"/>
        </w:rPr>
      </w:pPr>
      <w:r>
        <w:rPr>
          <w:rFonts w:eastAsia="Times New Roman" w:cs="Times New Roman"/>
          <w:b/>
          <w:i/>
          <w:sz w:val="24"/>
          <w:szCs w:val="24"/>
        </w:rPr>
        <w:t>Se realizaron Pruebas T o Wilcoxon según sus participantes tengan o no pareja (pareja = 1 son participantes que tienen pareja, pareja=0 no tienen pareja)  con las variables mencionadas en la estadística descriptiva, encontrándose las siguientes diferencias significativas entre grupos:</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 </w:t>
      </w:r>
    </w:p>
    <w:p>
      <w:pPr>
        <w:pStyle w:val="Normal"/>
        <w:spacing w:lineRule="auto" w:line="480"/>
        <w:rPr/>
      </w:pPr>
      <w:r>
        <w:rPr>
          <w:rFonts w:eastAsia="Times New Roman" w:cs="Times New Roman"/>
          <w:i/>
          <w:sz w:val="24"/>
          <w:szCs w:val="24"/>
        </w:rPr>
        <w:t>Horas semanales trabajadas</w:t>
      </w:r>
      <w:r>
        <w:rPr>
          <w:rFonts w:eastAsia="Times New Roman" w:cs="Times New Roman"/>
          <w:sz w:val="24"/>
          <w:szCs w:val="24"/>
        </w:rPr>
        <w:t xml:space="preserve"> (</w:t>
      </w:r>
      <w:r>
        <w:rPr>
          <w:rFonts w:eastAsia="Times New Roman" w:cs="Times New Roman"/>
          <w:i/>
          <w:iCs/>
          <w:sz w:val="24"/>
          <w:szCs w:val="24"/>
        </w:rPr>
        <w:t>p</w:t>
      </w:r>
      <w:r>
        <w:rPr>
          <w:rFonts w:eastAsia="Times New Roman" w:cs="Times New Roman"/>
          <w:sz w:val="24"/>
          <w:szCs w:val="24"/>
        </w:rPr>
        <w:t>=.0324, Test Wilcoxon)</w:t>
      </w:r>
    </w:p>
    <w:p>
      <w:pPr>
        <w:pStyle w:val="Normal"/>
        <w:spacing w:lineRule="auto" w:line="480"/>
        <w:rPr/>
      </w:pPr>
      <w:r>
        <w:rPr>
          <w:rFonts w:eastAsia="Times New Roman" w:cs="Times New Roman"/>
          <w:color w:val="000000"/>
          <w:sz w:val="24"/>
          <w:szCs w:val="24"/>
        </w:rPr>
        <w:t xml:space="preserve">Pareja </w:t>
        <w:tab/>
      </w:r>
      <w:r>
        <w:rPr>
          <w:rFonts w:eastAsia="Times New Roman" w:cs="Times New Roman"/>
          <w:sz w:val="24"/>
          <w:szCs w:val="24"/>
        </w:rPr>
        <w:tab/>
      </w:r>
      <w:r>
        <w:rPr>
          <w:rFonts w:eastAsia="Times New Roman" w:cs="Times New Roman"/>
          <w:i/>
          <w:iCs/>
          <w:sz w:val="24"/>
          <w:szCs w:val="24"/>
        </w:rPr>
        <w:t>n</w:t>
      </w:r>
      <w:r>
        <w:rPr>
          <w:rFonts w:eastAsia="Times New Roman" w:cs="Times New Roman"/>
          <w:i/>
          <w:iCs/>
          <w:color w:val="000000"/>
          <w:sz w:val="24"/>
          <w:szCs w:val="24"/>
        </w:rPr>
        <w:tab/>
      </w:r>
      <w:r>
        <w:rPr>
          <w:rFonts w:eastAsia="Times New Roman" w:cs="Times New Roman"/>
          <w:i/>
          <w:iCs/>
          <w:sz w:val="24"/>
          <w:szCs w:val="24"/>
        </w:rPr>
        <w:t>Rango Promedio</w:t>
      </w:r>
    </w:p>
    <w:p>
      <w:pPr>
        <w:pStyle w:val="Normal"/>
        <w:spacing w:lineRule="auto" w:line="480"/>
        <w:rPr/>
      </w:pPr>
      <w:r>
        <w:rPr>
          <w:rFonts w:eastAsia="Times New Roman" w:cs="Times New Roman"/>
          <w:color w:val="000000"/>
          <w:sz w:val="24"/>
          <w:szCs w:val="24"/>
        </w:rPr>
        <w:t xml:space="preserve">no     </w:t>
        <w:tab/>
        <w:tab/>
        <w:t xml:space="preserve">73   </w:t>
      </w:r>
      <w:r>
        <w:rPr>
          <w:rFonts w:eastAsia="Times New Roman" w:cs="Times New Roman"/>
          <w:sz w:val="24"/>
          <w:szCs w:val="24"/>
        </w:rPr>
        <w:tab/>
      </w:r>
      <w:r>
        <w:rPr>
          <w:rFonts w:eastAsia="Times New Roman" w:cs="Times New Roman"/>
          <w:color w:val="000000"/>
          <w:sz w:val="24"/>
          <w:szCs w:val="24"/>
        </w:rPr>
        <w:t>83.8</w:t>
      </w:r>
    </w:p>
    <w:p>
      <w:pPr>
        <w:pStyle w:val="Normal"/>
        <w:spacing w:lineRule="auto" w:line="480"/>
        <w:rPr/>
      </w:pPr>
      <w:r>
        <w:rPr>
          <w:rFonts w:eastAsia="Times New Roman" w:cs="Times New Roman"/>
          <w:sz w:val="24"/>
          <w:szCs w:val="24"/>
        </w:rPr>
        <w:t>si</w:t>
      </w:r>
      <w:r>
        <w:rPr>
          <w:rFonts w:eastAsia="Times New Roman" w:cs="Times New Roman"/>
          <w:color w:val="000000"/>
          <w:sz w:val="24"/>
          <w:szCs w:val="24"/>
        </w:rPr>
        <w:t xml:space="preserve">     </w:t>
        <w:tab/>
        <w:tab/>
        <w:t xml:space="preserve">78     </w:t>
      </w:r>
      <w:r>
        <w:rPr>
          <w:rFonts w:eastAsia="Times New Roman" w:cs="Times New Roman"/>
          <w:sz w:val="24"/>
          <w:szCs w:val="24"/>
        </w:rPr>
        <w:tab/>
      </w:r>
      <w:r>
        <w:rPr>
          <w:rFonts w:eastAsia="Times New Roman" w:cs="Times New Roman"/>
          <w:color w:val="000000"/>
          <w:sz w:val="24"/>
          <w:szCs w:val="24"/>
        </w:rPr>
        <w:t>68.7</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Las/os que no tienen pareja trabajan significativamente más horas</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r>
    </w:p>
    <w:p>
      <w:pPr>
        <w:pStyle w:val="Normal"/>
        <w:spacing w:lineRule="auto" w:line="480" w:before="240" w:after="0"/>
        <w:jc w:val="both"/>
        <w:rPr>
          <w:rFonts w:ascii="Times New Roman" w:hAnsi="Times New Roman" w:eastAsia="Times New Roman" w:cs="Times New Roman"/>
          <w:b/>
          <w:b/>
          <w:i/>
          <w:i/>
          <w:sz w:val="24"/>
          <w:szCs w:val="24"/>
        </w:rPr>
      </w:pPr>
      <w:r>
        <w:rPr>
          <w:rFonts w:eastAsia="Times New Roman" w:cs="Times New Roman"/>
          <w:b/>
          <w:i/>
          <w:sz w:val="24"/>
          <w:szCs w:val="24"/>
        </w:rPr>
        <w:t>Se realizaron Pruebas T o Wilcoxon según sus participantes sean profesionales universitarios o no (participante profesional universitario profesión = 1, de los contrario profesión = 0)  con las variables mencionadas en la estadística descriptiva, encontrándose las siguientes diferencias entre grupos significativas:</w:t>
      </w:r>
    </w:p>
    <w:p>
      <w:pPr>
        <w:pStyle w:val="Normal"/>
        <w:spacing w:lineRule="auto" w:line="480" w:before="240" w:after="0"/>
        <w:jc w:val="both"/>
        <w:rPr/>
      </w:pPr>
      <w:r>
        <w:rPr>
          <w:rFonts w:eastAsia="Times New Roman" w:cs="Times New Roman"/>
          <w:i/>
          <w:sz w:val="24"/>
          <w:szCs w:val="24"/>
        </w:rPr>
        <w:t>Consecuencias del Burnout</w:t>
      </w:r>
      <w:r>
        <w:rPr>
          <w:rFonts w:eastAsia="Times New Roman" w:cs="Times New Roman"/>
          <w:sz w:val="24"/>
          <w:szCs w:val="24"/>
        </w:rPr>
        <w:t xml:space="preserve">  (</w:t>
      </w:r>
      <w:r>
        <w:rPr>
          <w:rFonts w:eastAsia="Times New Roman" w:cs="Times New Roman"/>
          <w:i/>
          <w:iCs/>
          <w:sz w:val="24"/>
          <w:szCs w:val="24"/>
        </w:rPr>
        <w:t>p</w:t>
      </w:r>
      <w:r>
        <w:rPr>
          <w:rFonts w:eastAsia="Times New Roman" w:cs="Times New Roman"/>
          <w:sz w:val="24"/>
          <w:szCs w:val="24"/>
        </w:rPr>
        <w:t>=0.0544, Test Wilcoxon)</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Profesión</w:t>
        <w:tab/>
      </w:r>
      <w:r>
        <w:rPr>
          <w:rFonts w:eastAsia="Times New Roman" w:cs="Times New Roman"/>
          <w:i/>
          <w:iCs/>
          <w:sz w:val="24"/>
          <w:szCs w:val="24"/>
        </w:rPr>
        <w:t>n</w:t>
      </w:r>
      <w:r>
        <w:rPr>
          <w:rFonts w:eastAsia="Times New Roman" w:cs="Times New Roman"/>
          <w:i/>
          <w:iCs/>
          <w:sz w:val="24"/>
          <w:szCs w:val="24"/>
        </w:rPr>
        <w:tab/>
        <w:t>Rango Promedio</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1         </w:t>
        <w:tab/>
        <w:tab/>
        <w:t>63</w:t>
        <w:tab/>
        <w:t>84.6</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0         </w:t>
        <w:tab/>
        <w:tab/>
        <w:t>89</w:t>
        <w:tab/>
        <w:t>70.8</w:t>
      </w:r>
    </w:p>
    <w:p>
      <w:pPr>
        <w:pStyle w:val="Normal"/>
        <w:spacing w:lineRule="auto" w:line="480"/>
        <w:rPr/>
      </w:pPr>
      <w:r>
        <w:rPr>
          <w:rFonts w:eastAsia="Times New Roman" w:cs="Times New Roman"/>
          <w:sz w:val="24"/>
          <w:szCs w:val="24"/>
        </w:rPr>
        <w:t xml:space="preserve">Las/os profesionales universitarios puntúan marginalmente significativo más en Consecuencias </w:t>
      </w:r>
      <w:r>
        <w:rPr>
          <w:rFonts w:eastAsia="Times New Roman" w:cs="Times New Roman"/>
          <w:i/>
          <w:sz w:val="24"/>
          <w:szCs w:val="24"/>
        </w:rPr>
        <w:t>Burnout</w:t>
      </w:r>
    </w:p>
    <w:p>
      <w:pPr>
        <w:pStyle w:val="Normal"/>
        <w:spacing w:lineRule="auto" w:line="480"/>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r>
    </w:p>
    <w:p>
      <w:pPr>
        <w:pStyle w:val="Normal"/>
        <w:spacing w:lineRule="auto" w:line="480" w:before="240" w:after="0"/>
        <w:jc w:val="both"/>
        <w:rPr/>
      </w:pPr>
      <w:r>
        <w:rPr>
          <w:rFonts w:eastAsia="Times New Roman" w:cs="Times New Roman"/>
          <w:i/>
          <w:sz w:val="24"/>
          <w:szCs w:val="24"/>
        </w:rPr>
        <w:t>Horas semanales trabajadas</w:t>
      </w:r>
      <w:r>
        <w:rPr>
          <w:rFonts w:eastAsia="Times New Roman" w:cs="Times New Roman"/>
          <w:sz w:val="24"/>
          <w:szCs w:val="24"/>
        </w:rPr>
        <w:t xml:space="preserve"> (</w:t>
      </w:r>
      <w:r>
        <w:rPr>
          <w:rFonts w:eastAsia="Times New Roman" w:cs="Times New Roman"/>
          <w:i/>
          <w:iCs/>
          <w:sz w:val="24"/>
          <w:szCs w:val="24"/>
        </w:rPr>
        <w:t>p</w:t>
      </w:r>
      <w:r>
        <w:rPr>
          <w:rFonts w:eastAsia="Times New Roman" w:cs="Times New Roman"/>
          <w:sz w:val="24"/>
          <w:szCs w:val="24"/>
        </w:rPr>
        <w:t>=.01089, Test Wilcoxon)</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Profesión</w:t>
        <w:tab/>
      </w:r>
      <w:r>
        <w:rPr>
          <w:rFonts w:eastAsia="Times New Roman" w:cs="Times New Roman"/>
          <w:i/>
          <w:iCs/>
          <w:sz w:val="24"/>
          <w:szCs w:val="24"/>
        </w:rPr>
        <w:t>n</w:t>
      </w:r>
      <w:r>
        <w:rPr>
          <w:rFonts w:eastAsia="Times New Roman" w:cs="Times New Roman"/>
          <w:i/>
          <w:iCs/>
          <w:sz w:val="24"/>
          <w:szCs w:val="24"/>
        </w:rPr>
        <w:tab/>
        <w:t>Rango Promedio</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1         </w:t>
        <w:tab/>
        <w:tab/>
        <w:t>63</w:t>
        <w:tab/>
        <w:t>66.2</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0         </w:t>
        <w:tab/>
        <w:tab/>
        <w:t>89</w:t>
        <w:tab/>
        <w:t>83.0</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Las/os que no son profesionales universitarios trabajan significativamente más horas por semana</w:t>
      </w:r>
    </w:p>
    <w:p>
      <w:pPr>
        <w:pStyle w:val="Normal"/>
        <w:spacing w:lineRule="auto" w:line="480"/>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r>
    </w:p>
    <w:p>
      <w:pPr>
        <w:pStyle w:val="Normal"/>
        <w:spacing w:lineRule="auto" w:line="480" w:before="240" w:after="0"/>
        <w:jc w:val="both"/>
        <w:rPr/>
      </w:pPr>
      <w:r>
        <w:rPr>
          <w:rFonts w:eastAsia="Times New Roman" w:cs="Times New Roman"/>
          <w:b/>
          <w:i/>
          <w:sz w:val="24"/>
          <w:szCs w:val="24"/>
        </w:rPr>
        <w:t xml:space="preserve">Se realizaron Pruebas T o Wilcoxon según sus participantes trabajen en los servicios que atienden a pacientes en primera línea (pertenecientes a los servicios: </w:t>
      </w:r>
      <w:r>
        <w:rPr>
          <w:rFonts w:eastAsia="Times New Roman" w:cs="Times New Roman"/>
          <w:b/>
          <w:sz w:val="24"/>
          <w:szCs w:val="24"/>
        </w:rPr>
        <w:t>Cuidados Intensivos, Cuidados Moderados, Emergencia y Enfermería)</w:t>
      </w:r>
      <w:r>
        <w:rPr>
          <w:rFonts w:eastAsia="Times New Roman" w:cs="Times New Roman"/>
          <w:b/>
          <w:i/>
          <w:sz w:val="24"/>
          <w:szCs w:val="24"/>
        </w:rPr>
        <w:t xml:space="preserve"> o pertenecen a otros servicios. ( Línea = 1 son participantes que trabajan en la primera línea de atención, Línea = 0 son participantes que no trabajan en la primera línea de atención)  con las variables mencionadas en la estadística descriptiva, encontrándose las siguientes diferencias significativas entre grupos:</w:t>
      </w:r>
    </w:p>
    <w:p>
      <w:pPr>
        <w:pStyle w:val="Normal"/>
        <w:spacing w:lineRule="auto" w:line="480"/>
        <w:rPr>
          <w:rFonts w:ascii="Times New Roman" w:hAnsi="Times New Roman" w:eastAsia="Times New Roman" w:cs="Times New Roman"/>
          <w:b/>
          <w:b/>
          <w:sz w:val="24"/>
          <w:szCs w:val="24"/>
        </w:rPr>
      </w:pPr>
      <w:r>
        <w:rPr>
          <w:rFonts w:eastAsia="Times New Roman" w:cs="Times New Roman"/>
          <w:b/>
          <w:sz w:val="24"/>
          <w:szCs w:val="24"/>
        </w:rPr>
      </w:r>
    </w:p>
    <w:p>
      <w:pPr>
        <w:pStyle w:val="Normal"/>
        <w:spacing w:lineRule="auto" w:line="480"/>
        <w:rPr/>
      </w:pPr>
      <w:r>
        <w:rPr>
          <w:rFonts w:eastAsia="Times New Roman" w:cs="Times New Roman"/>
          <w:i/>
          <w:sz w:val="24"/>
          <w:szCs w:val="24"/>
        </w:rPr>
        <w:t xml:space="preserve">Puntuación total del Cuestionario Breve de Burnout </w:t>
      </w:r>
      <w:r>
        <w:rPr>
          <w:rFonts w:eastAsia="Times New Roman" w:cs="Times New Roman"/>
          <w:sz w:val="24"/>
          <w:szCs w:val="24"/>
        </w:rPr>
        <w:t xml:space="preserve"> (T test, </w:t>
      </w:r>
      <w:r>
        <w:rPr>
          <w:rFonts w:eastAsia="Times New Roman" w:cs="Times New Roman"/>
          <w:i/>
          <w:iCs/>
          <w:sz w:val="24"/>
          <w:szCs w:val="24"/>
        </w:rPr>
        <w:t>p</w:t>
      </w:r>
      <w:r>
        <w:rPr>
          <w:rFonts w:eastAsia="Times New Roman" w:cs="Times New Roman"/>
          <w:sz w:val="24"/>
          <w:szCs w:val="24"/>
        </w:rPr>
        <w:t>= .0310)</w:t>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Línea</w:t>
        <w:tab/>
        <w:tab/>
      </w:r>
      <w:r>
        <w:rPr>
          <w:rFonts w:eastAsia="Times New Roman" w:cs="Times New Roman"/>
          <w:i/>
          <w:iCs/>
          <w:sz w:val="24"/>
          <w:szCs w:val="24"/>
        </w:rPr>
        <w:t xml:space="preserve">n </w:t>
        <w:tab/>
        <w:t>media</w:t>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 xml:space="preserve">0 </w:t>
        <w:tab/>
        <w:tab/>
        <w:t>78</w:t>
        <w:tab/>
        <w:t xml:space="preserve">20.257 </w:t>
        <w:tab/>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 xml:space="preserve">1 </w:t>
        <w:tab/>
        <w:tab/>
        <w:t>74</w:t>
        <w:tab/>
        <w:t xml:space="preserve">22.100 </w:t>
        <w:tab/>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Los/as trabajadores/as de primera línea puntúan significativamente más en CBB</w:t>
      </w:r>
    </w:p>
    <w:p>
      <w:pPr>
        <w:pStyle w:val="Normal"/>
        <w:spacing w:lineRule="auto" w:line="480" w:before="240" w:after="0"/>
        <w:rPr/>
      </w:pPr>
      <w:r>
        <w:rPr>
          <w:rFonts w:eastAsia="Times New Roman" w:cs="Times New Roman"/>
          <w:i/>
          <w:sz w:val="24"/>
          <w:szCs w:val="24"/>
        </w:rPr>
        <w:t>Síndrome de Burnout</w:t>
      </w:r>
      <w:r>
        <w:rPr>
          <w:rFonts w:eastAsia="Times New Roman" w:cs="Times New Roman"/>
          <w:sz w:val="24"/>
          <w:szCs w:val="24"/>
        </w:rPr>
        <w:t xml:space="preserve">  (T test, </w:t>
      </w:r>
      <w:r>
        <w:rPr>
          <w:rFonts w:eastAsia="Times New Roman" w:cs="Times New Roman"/>
          <w:i/>
          <w:iCs/>
          <w:sz w:val="24"/>
          <w:szCs w:val="24"/>
        </w:rPr>
        <w:t>p</w:t>
      </w:r>
      <w:r>
        <w:rPr>
          <w:rFonts w:eastAsia="Times New Roman" w:cs="Times New Roman"/>
          <w:sz w:val="24"/>
          <w:szCs w:val="24"/>
        </w:rPr>
        <w:t>= .0479)</w:t>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Línea</w:t>
        <w:tab/>
        <w:tab/>
      </w:r>
      <w:r>
        <w:rPr>
          <w:rFonts w:eastAsia="Times New Roman" w:cs="Times New Roman"/>
          <w:i/>
          <w:iCs/>
          <w:sz w:val="24"/>
          <w:szCs w:val="24"/>
        </w:rPr>
        <w:t xml:space="preserve">n </w:t>
        <w:tab/>
        <w:t xml:space="preserve">media </w:t>
        <w:tab/>
      </w:r>
      <w:r>
        <w:rPr>
          <w:rFonts w:eastAsia="Times New Roman" w:cs="Times New Roman"/>
          <w:sz w:val="24"/>
          <w:szCs w:val="24"/>
        </w:rPr>
        <w:tab/>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 xml:space="preserve">0 </w:t>
        <w:tab/>
        <w:tab/>
        <w:t>78</w:t>
        <w:tab/>
        <w:t xml:space="preserve">7.1322 </w:t>
        <w:tab/>
      </w:r>
    </w:p>
    <w:p>
      <w:pPr>
        <w:pStyle w:val="Normal"/>
        <w:spacing w:lineRule="auto" w:line="480" w:before="240" w:after="0"/>
        <w:rPr>
          <w:rFonts w:ascii="Times New Roman" w:hAnsi="Times New Roman" w:eastAsia="Times New Roman" w:cs="Times New Roman"/>
          <w:sz w:val="24"/>
          <w:szCs w:val="24"/>
        </w:rPr>
      </w:pPr>
      <w:r>
        <w:rPr>
          <w:rFonts w:eastAsia="Times New Roman" w:cs="Times New Roman"/>
          <w:sz w:val="24"/>
          <w:szCs w:val="24"/>
        </w:rPr>
        <w:t xml:space="preserve">1 </w:t>
        <w:tab/>
        <w:tab/>
        <w:t>74</w:t>
        <w:tab/>
        <w:t xml:space="preserve">7.6841 </w:t>
        <w:tab/>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Los/as trabajadores/as de primera línea puntúan significativamente más Síndrome de </w:t>
      </w:r>
      <w:r>
        <w:rPr>
          <w:rFonts w:eastAsia="Times New Roman" w:cs="Times New Roman"/>
          <w:i/>
          <w:iCs/>
          <w:sz w:val="24"/>
          <w:szCs w:val="24"/>
        </w:rPr>
        <w:t>Burnout</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r>
    </w:p>
    <w:p>
      <w:pPr>
        <w:pStyle w:val="Normal"/>
        <w:spacing w:lineRule="auto" w:line="480"/>
        <w:rPr/>
      </w:pPr>
      <w:r>
        <w:rPr>
          <w:rFonts w:eastAsia="Times New Roman" w:cs="Times New Roman"/>
          <w:i/>
          <w:sz w:val="24"/>
          <w:szCs w:val="24"/>
        </w:rPr>
        <w:t>Horas trabajadas por semana</w:t>
      </w:r>
      <w:r>
        <w:rPr>
          <w:rFonts w:eastAsia="Times New Roman" w:cs="Times New Roman"/>
          <w:sz w:val="24"/>
          <w:szCs w:val="24"/>
        </w:rPr>
        <w:t xml:space="preserve"> (</w:t>
      </w:r>
      <w:r>
        <w:rPr>
          <w:rFonts w:eastAsia="Times New Roman" w:cs="Times New Roman"/>
          <w:color w:val="000000"/>
          <w:sz w:val="24"/>
          <w:szCs w:val="24"/>
        </w:rPr>
        <w:t xml:space="preserve">Wilcoxon, p= </w:t>
      </w:r>
      <w:r>
        <w:rPr>
          <w:rFonts w:eastAsia="Times New Roman" w:cs="Times New Roman"/>
          <w:sz w:val="24"/>
          <w:szCs w:val="24"/>
        </w:rPr>
        <w:t>.0000)</w:t>
      </w:r>
    </w:p>
    <w:p>
      <w:pPr>
        <w:pStyle w:val="Normal"/>
        <w:spacing w:lineRule="auto" w:line="480"/>
        <w:rPr/>
      </w:pPr>
      <w:r>
        <w:rPr>
          <w:rFonts w:eastAsia="Times New Roman" w:cs="Times New Roman"/>
          <w:sz w:val="24"/>
          <w:szCs w:val="24"/>
        </w:rPr>
        <w:t>Línea</w:t>
      </w:r>
      <w:r>
        <w:rPr>
          <w:rFonts w:eastAsia="Times New Roman" w:cs="Times New Roman"/>
          <w:color w:val="000000"/>
          <w:sz w:val="24"/>
          <w:szCs w:val="24"/>
        </w:rPr>
        <w:t xml:space="preserve">   </w:t>
      </w:r>
      <w:r>
        <w:rPr>
          <w:rFonts w:eastAsia="Times New Roman" w:cs="Times New Roman"/>
          <w:sz w:val="24"/>
          <w:szCs w:val="24"/>
        </w:rPr>
        <w:tab/>
      </w:r>
      <w:r>
        <w:rPr>
          <w:rFonts w:eastAsia="Times New Roman" w:cs="Times New Roman"/>
          <w:i/>
          <w:iCs/>
          <w:sz w:val="24"/>
          <w:szCs w:val="24"/>
        </w:rPr>
        <w:t>n</w:t>
      </w:r>
      <w:r>
        <w:rPr>
          <w:rFonts w:eastAsia="Times New Roman" w:cs="Times New Roman"/>
          <w:i/>
          <w:iCs/>
          <w:color w:val="000000"/>
          <w:sz w:val="24"/>
          <w:szCs w:val="24"/>
        </w:rPr>
        <w:tab/>
      </w:r>
      <w:r>
        <w:rPr>
          <w:rFonts w:eastAsia="Times New Roman" w:cs="Times New Roman"/>
          <w:i/>
          <w:iCs/>
          <w:sz w:val="24"/>
          <w:szCs w:val="24"/>
        </w:rPr>
        <w:t>Rango promedio</w:t>
      </w:r>
    </w:p>
    <w:p>
      <w:pPr>
        <w:pStyle w:val="Normal"/>
        <w:spacing w:lineRule="auto" w:line="480"/>
        <w:rPr/>
      </w:pPr>
      <w:r>
        <w:rPr>
          <w:rFonts w:eastAsia="Times New Roman" w:cs="Times New Roman"/>
          <w:color w:val="000000"/>
          <w:sz w:val="24"/>
          <w:szCs w:val="24"/>
        </w:rPr>
        <w:t xml:space="preserve">0     </w:t>
      </w:r>
      <w:r>
        <w:rPr>
          <w:rFonts w:eastAsia="Times New Roman" w:cs="Times New Roman"/>
          <w:sz w:val="24"/>
          <w:szCs w:val="24"/>
        </w:rPr>
        <w:tab/>
        <w:tab/>
      </w:r>
      <w:r>
        <w:rPr>
          <w:rFonts w:eastAsia="Times New Roman" w:cs="Times New Roman"/>
          <w:color w:val="000000"/>
          <w:sz w:val="24"/>
          <w:szCs w:val="24"/>
        </w:rPr>
        <w:t>78</w:t>
      </w:r>
      <w:r>
        <w:rPr>
          <w:rFonts w:eastAsia="Times New Roman" w:cs="Times New Roman"/>
          <w:sz w:val="24"/>
          <w:szCs w:val="24"/>
        </w:rPr>
        <w:tab/>
      </w:r>
      <w:r>
        <w:rPr>
          <w:rFonts w:eastAsia="Times New Roman" w:cs="Times New Roman"/>
          <w:color w:val="000000"/>
          <w:sz w:val="24"/>
          <w:szCs w:val="24"/>
        </w:rPr>
        <w:t>60.2</w:t>
      </w:r>
    </w:p>
    <w:p>
      <w:pPr>
        <w:pStyle w:val="Normal"/>
        <w:spacing w:lineRule="auto" w:line="480"/>
        <w:rPr/>
      </w:pPr>
      <w:r>
        <w:rPr>
          <w:rFonts w:eastAsia="Times New Roman" w:cs="Times New Roman"/>
          <w:color w:val="000000"/>
          <w:sz w:val="24"/>
          <w:szCs w:val="24"/>
        </w:rPr>
        <w:t xml:space="preserve">1     </w:t>
      </w:r>
      <w:r>
        <w:rPr>
          <w:rFonts w:eastAsia="Times New Roman" w:cs="Times New Roman"/>
          <w:sz w:val="24"/>
          <w:szCs w:val="24"/>
        </w:rPr>
        <w:tab/>
        <w:tab/>
      </w:r>
      <w:r>
        <w:rPr>
          <w:rFonts w:eastAsia="Times New Roman" w:cs="Times New Roman"/>
          <w:color w:val="000000"/>
          <w:sz w:val="24"/>
          <w:szCs w:val="24"/>
        </w:rPr>
        <w:t>73</w:t>
      </w:r>
      <w:r>
        <w:rPr>
          <w:rFonts w:eastAsia="Times New Roman" w:cs="Times New Roman"/>
          <w:sz w:val="24"/>
          <w:szCs w:val="24"/>
        </w:rPr>
        <w:tab/>
      </w:r>
      <w:r>
        <w:rPr>
          <w:rFonts w:eastAsia="Times New Roman" w:cs="Times New Roman"/>
          <w:color w:val="000000"/>
          <w:sz w:val="24"/>
          <w:szCs w:val="24"/>
        </w:rPr>
        <w:t>92.9</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Los/as trabajadores/as de primera línea trabajan significativamente más horas por semana</w:t>
      </w:r>
    </w:p>
    <w:p>
      <w:pPr>
        <w:pStyle w:val="Normal"/>
        <w:spacing w:lineRule="auto" w:line="480"/>
        <w:rPr/>
      </w:pPr>
      <w:r>
        <w:rPr>
          <w:rFonts w:eastAsia="Times New Roman" w:cs="Times New Roman"/>
          <w:i/>
          <w:sz w:val="24"/>
          <w:szCs w:val="24"/>
        </w:rPr>
        <w:t xml:space="preserve">Sintomatología psicopatológica según </w:t>
      </w:r>
      <w:r>
        <w:rPr>
          <w:rFonts w:eastAsia="Times New Roman" w:cs="Times New Roman"/>
          <w:i/>
          <w:color w:val="000000"/>
          <w:sz w:val="24"/>
          <w:szCs w:val="24"/>
        </w:rPr>
        <w:t>OQ45</w:t>
      </w:r>
      <w:r>
        <w:rPr>
          <w:rFonts w:eastAsia="Times New Roman" w:cs="Times New Roman"/>
          <w:color w:val="000000"/>
          <w:sz w:val="24"/>
          <w:szCs w:val="24"/>
        </w:rPr>
        <w:t xml:space="preserve"> </w:t>
      </w:r>
      <w:r>
        <w:rPr>
          <w:rFonts w:eastAsia="Times New Roman" w:cs="Times New Roman"/>
          <w:sz w:val="24"/>
          <w:szCs w:val="24"/>
        </w:rPr>
        <w:t xml:space="preserve">(Wilcoxon, </w:t>
      </w:r>
      <w:r>
        <w:rPr>
          <w:rFonts w:eastAsia="Times New Roman" w:cs="Times New Roman"/>
          <w:i/>
          <w:iCs/>
          <w:sz w:val="24"/>
          <w:szCs w:val="24"/>
        </w:rPr>
        <w:t>p</w:t>
      </w:r>
      <w:r>
        <w:rPr>
          <w:rFonts w:eastAsia="Times New Roman" w:cs="Times New Roman"/>
          <w:sz w:val="24"/>
          <w:szCs w:val="24"/>
        </w:rPr>
        <w:t>=.0546)</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Línea</w:t>
        <w:tab/>
        <w:tab/>
      </w:r>
      <w:r>
        <w:rPr>
          <w:rFonts w:eastAsia="Times New Roman" w:cs="Times New Roman"/>
          <w:i/>
          <w:iCs/>
          <w:sz w:val="24"/>
          <w:szCs w:val="24"/>
        </w:rPr>
        <w:t>n</w:t>
        <w:tab/>
        <w:t>Rango promedio</w:t>
      </w:r>
    </w:p>
    <w:p>
      <w:pPr>
        <w:pStyle w:val="Normal"/>
        <w:spacing w:lineRule="auto" w:line="480"/>
        <w:rPr/>
      </w:pPr>
      <w:r>
        <w:rPr>
          <w:rFonts w:eastAsia="Times New Roman" w:cs="Times New Roman"/>
          <w:color w:val="000000"/>
          <w:sz w:val="24"/>
          <w:szCs w:val="24"/>
        </w:rPr>
        <w:t xml:space="preserve">0     </w:t>
        <w:tab/>
        <w:tab/>
        <w:t>78</w:t>
      </w:r>
      <w:r>
        <w:rPr>
          <w:rFonts w:eastAsia="Times New Roman" w:cs="Times New Roman"/>
          <w:sz w:val="24"/>
          <w:szCs w:val="24"/>
        </w:rPr>
        <w:tab/>
      </w:r>
      <w:r>
        <w:rPr>
          <w:rFonts w:eastAsia="Times New Roman" w:cs="Times New Roman"/>
          <w:color w:val="000000"/>
          <w:sz w:val="24"/>
          <w:szCs w:val="24"/>
        </w:rPr>
        <w:t>69.8</w:t>
      </w:r>
    </w:p>
    <w:p>
      <w:pPr>
        <w:pStyle w:val="Normal"/>
        <w:spacing w:lineRule="auto" w:line="480"/>
        <w:rPr/>
      </w:pPr>
      <w:r>
        <w:rPr>
          <w:rFonts w:eastAsia="Times New Roman" w:cs="Times New Roman"/>
          <w:color w:val="000000"/>
          <w:sz w:val="24"/>
          <w:szCs w:val="24"/>
        </w:rPr>
        <w:t>1</w:t>
      </w:r>
      <w:r>
        <w:rPr>
          <w:rFonts w:eastAsia="Times New Roman" w:cs="Times New Roman"/>
          <w:sz w:val="24"/>
          <w:szCs w:val="24"/>
        </w:rPr>
        <w:tab/>
        <w:tab/>
      </w:r>
      <w:r>
        <w:rPr>
          <w:rFonts w:eastAsia="Times New Roman" w:cs="Times New Roman"/>
          <w:color w:val="000000"/>
          <w:sz w:val="24"/>
          <w:szCs w:val="24"/>
        </w:rPr>
        <w:t xml:space="preserve">74      </w:t>
        <w:tab/>
        <w:t>83.5</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Los/as trabajadores/as de primera línea tienen marginalmente significativamente mayores valores en sintomatología del OQ45</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r>
    </w:p>
    <w:p>
      <w:pPr>
        <w:pStyle w:val="Normal"/>
        <w:spacing w:lineRule="auto" w:line="480"/>
        <w:rPr/>
      </w:pPr>
      <w:r>
        <w:rPr>
          <w:rFonts w:eastAsia="Times New Roman" w:cs="Times New Roman"/>
          <w:i/>
          <w:sz w:val="24"/>
          <w:szCs w:val="24"/>
        </w:rPr>
        <w:t>Tiempo en el Hospital</w:t>
      </w:r>
      <w:r>
        <w:rPr>
          <w:rFonts w:eastAsia="Times New Roman" w:cs="Times New Roman"/>
          <w:sz w:val="24"/>
          <w:szCs w:val="24"/>
        </w:rPr>
        <w:t xml:space="preserve"> (Wilcoxon, </w:t>
      </w:r>
      <w:r>
        <w:rPr>
          <w:rFonts w:eastAsia="Times New Roman" w:cs="Times New Roman"/>
          <w:i/>
          <w:iCs/>
          <w:sz w:val="24"/>
          <w:szCs w:val="24"/>
        </w:rPr>
        <w:t>p</w:t>
      </w:r>
      <w:r>
        <w:rPr>
          <w:rFonts w:eastAsia="Times New Roman" w:cs="Times New Roman"/>
          <w:sz w:val="24"/>
          <w:szCs w:val="24"/>
        </w:rPr>
        <w:t>=.0055)</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Línea</w:t>
        <w:tab/>
        <w:tab/>
        <w:t>n</w:t>
        <w:tab/>
        <w:t>Rango promedio</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 xml:space="preserve">0     </w:t>
        <w:tab/>
        <w:tab/>
        <w:t>78</w:t>
        <w:tab/>
        <w:t>86.1</w:t>
      </w:r>
    </w:p>
    <w:p>
      <w:pPr>
        <w:pStyle w:val="Normal"/>
        <w:spacing w:lineRule="auto" w:line="480"/>
        <w:rPr>
          <w:rFonts w:ascii="Times New Roman" w:hAnsi="Times New Roman" w:eastAsia="Times New Roman" w:cs="Times New Roman"/>
          <w:sz w:val="24"/>
          <w:szCs w:val="24"/>
        </w:rPr>
      </w:pPr>
      <w:r>
        <w:rPr>
          <w:rFonts w:eastAsia="Times New Roman" w:cs="Times New Roman"/>
          <w:sz w:val="24"/>
          <w:szCs w:val="24"/>
        </w:rPr>
        <w:t>1</w:t>
        <w:tab/>
        <w:tab/>
        <w:t xml:space="preserve">74      </w:t>
        <w:tab/>
        <w:t>66.4</w:t>
      </w:r>
    </w:p>
    <w:p>
      <w:pPr>
        <w:pStyle w:val="Normal"/>
        <w:keepNext w:val="false"/>
        <w:keepLines w:val="false"/>
        <w:widowControl/>
        <w:pBdr/>
        <w:spacing w:lineRule="auto" w:line="480" w:before="0" w:after="12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lang w:val="es-AR"/>
        </w:rPr>
      </w:pPr>
      <w:r>
        <w:rPr>
          <w:rFonts w:eastAsia="Times New Roman" w:cs="Times New Roman"/>
          <w:b w:val="false"/>
          <w:i w:val="false"/>
          <w:caps w:val="false"/>
          <w:smallCaps w:val="false"/>
          <w:strike w:val="false"/>
          <w:dstrike w:val="false"/>
          <w:color w:val="000000"/>
          <w:position w:val="0"/>
          <w:sz w:val="24"/>
          <w:sz w:val="24"/>
          <w:szCs w:val="24"/>
          <w:u w:val="none"/>
          <w:vertAlign w:val="baseline"/>
          <w:lang w:val="es-AR"/>
        </w:rPr>
        <w:t>Los/as trabajadores/as de primera línea tienen significativamente menos tiempo en el hospital.</w:t>
      </w:r>
    </w:p>
    <w:p>
      <w:pPr>
        <w:pStyle w:val="Ttulosinternos"/>
        <w:spacing w:before="280" w:after="280"/>
        <w:rPr>
          <w:lang w:val="es-ES_tradnl"/>
        </w:rPr>
      </w:pPr>
      <w:r>
        <w:rPr>
          <w:lang w:val="es-ES_tradnl"/>
        </w:rPr>
        <w:t>Discusión</w:t>
      </w:r>
    </w:p>
    <w:p>
      <w:pPr>
        <w:pStyle w:val="Normal"/>
        <w:spacing w:lineRule="auto" w:line="480" w:before="220" w:after="0"/>
        <w:jc w:val="both"/>
        <w:rPr/>
      </w:pPr>
      <w:r>
        <w:rPr>
          <w:rFonts w:eastAsia="Times New Roman" w:cs="Times New Roman"/>
          <w:sz w:val="24"/>
          <w:szCs w:val="24"/>
        </w:rPr>
        <w:t xml:space="preserve">En la evaluación se visualizan relaciones inversas entre la edad y los antecedentes, el síndrome y el puntaje total de </w:t>
      </w:r>
      <w:r>
        <w:rPr>
          <w:rFonts w:eastAsia="Times New Roman" w:cs="Times New Roman"/>
          <w:i/>
          <w:sz w:val="24"/>
          <w:szCs w:val="24"/>
        </w:rPr>
        <w:t>burnout</w:t>
      </w:r>
      <w:r>
        <w:rPr>
          <w:rFonts w:eastAsia="Times New Roman" w:cs="Times New Roman"/>
          <w:sz w:val="24"/>
          <w:szCs w:val="24"/>
        </w:rPr>
        <w:t xml:space="preserve">, esto implica que a menor edad hay mayor </w:t>
      </w:r>
      <w:r>
        <w:rPr>
          <w:rFonts w:eastAsia="Times New Roman" w:cs="Times New Roman"/>
          <w:i/>
          <w:sz w:val="24"/>
          <w:szCs w:val="24"/>
        </w:rPr>
        <w:t>burnout</w:t>
      </w:r>
      <w:r>
        <w:rPr>
          <w:rFonts w:eastAsia="Times New Roman" w:cs="Times New Roman"/>
          <w:sz w:val="24"/>
          <w:szCs w:val="24"/>
        </w:rPr>
        <w:t xml:space="preserve">. La edad según algunos estudios puede tener relaciones no concluyentes referente al </w:t>
      </w:r>
      <w:r>
        <w:rPr>
          <w:rFonts w:eastAsia="Times New Roman" w:cs="Times New Roman"/>
          <w:i/>
          <w:sz w:val="24"/>
          <w:szCs w:val="24"/>
        </w:rPr>
        <w:t>burnout</w:t>
      </w:r>
      <w:r>
        <w:rPr>
          <w:rFonts w:eastAsia="Times New Roman" w:cs="Times New Roman"/>
          <w:sz w:val="24"/>
          <w:szCs w:val="24"/>
        </w:rPr>
        <w:t xml:space="preserve"> </w:t>
      </w:r>
      <w:r>
        <w:rPr>
          <w:rFonts w:eastAsia="Times New Roman" w:cs="Times New Roman"/>
          <w:position w:val="0"/>
          <w:sz w:val="24"/>
          <w:sz w:val="24"/>
          <w:szCs w:val="24"/>
          <w:vertAlign w:val="baseline"/>
        </w:rPr>
        <w:t>(Paredes &amp; Sanabria-Ferrand, 2008; Roger et al., 2013)</w:t>
      </w:r>
      <w:r>
        <w:rPr>
          <w:rFonts w:eastAsia="Times New Roman" w:cs="Times New Roman"/>
          <w:sz w:val="24"/>
          <w:szCs w:val="24"/>
        </w:rPr>
        <w:t xml:space="preserve">⁠, o puede ser un elemento en su desarrollo </w:t>
      </w:r>
      <w:r>
        <w:rPr>
          <w:rFonts w:eastAsia="Times New Roman" w:cs="Times New Roman"/>
          <w:position w:val="0"/>
          <w:sz w:val="24"/>
          <w:sz w:val="24"/>
          <w:szCs w:val="24"/>
          <w:vertAlign w:val="baseline"/>
        </w:rPr>
        <w:t>(Valdivieso Romero et al., 2016)</w:t>
      </w:r>
      <w:r>
        <w:rPr>
          <w:rFonts w:eastAsia="Times New Roman" w:cs="Times New Roman"/>
          <w:sz w:val="24"/>
          <w:szCs w:val="24"/>
        </w:rPr>
        <w:t>⁠.</w:t>
      </w:r>
    </w:p>
    <w:p>
      <w:pPr>
        <w:pStyle w:val="Normal"/>
        <w:spacing w:lineRule="auto" w:line="480" w:before="220" w:after="0"/>
        <w:jc w:val="both"/>
        <w:rPr/>
      </w:pPr>
      <w:r>
        <w:rPr>
          <w:rFonts w:eastAsia="Times New Roman" w:cs="Times New Roman"/>
          <w:sz w:val="24"/>
          <w:szCs w:val="24"/>
        </w:rPr>
        <w:t xml:space="preserve">Sin embargo, en otro estudio que se realizó en otro hospital público en Montevideo,  se menciona  “un aumento de la incidencia del síndrome a partir de los 44 años” </w:t>
      </w:r>
      <w:r>
        <w:rPr>
          <w:rFonts w:eastAsia="Times New Roman" w:cs="Times New Roman"/>
          <w:position w:val="0"/>
          <w:sz w:val="24"/>
          <w:sz w:val="24"/>
          <w:szCs w:val="24"/>
          <w:vertAlign w:val="baseline"/>
        </w:rPr>
        <w:t>(Barrale et al., 2012)</w:t>
      </w:r>
      <w:r>
        <w:rPr>
          <w:rFonts w:eastAsia="Times New Roman" w:cs="Times New Roman"/>
          <w:sz w:val="24"/>
          <w:szCs w:val="24"/>
        </w:rPr>
        <w:t xml:space="preserve">⁠.  En tal sentido, el equipo de intervenciones institucionales del SAPPA, realiza Pruebas T o Wilcoxon según sus participantes tengan edades mayores o iguales a 45 años y menores, observándose, que hay mayor puntuación, en forma significativa en las dimensiones y el puntaje total de </w:t>
      </w:r>
      <w:r>
        <w:rPr>
          <w:rFonts w:eastAsia="Times New Roman" w:cs="Times New Roman"/>
          <w:i/>
          <w:sz w:val="24"/>
          <w:szCs w:val="24"/>
        </w:rPr>
        <w:t>burnout</w:t>
      </w:r>
      <w:r>
        <w:rPr>
          <w:rFonts w:eastAsia="Times New Roman" w:cs="Times New Roman"/>
          <w:sz w:val="24"/>
          <w:szCs w:val="24"/>
        </w:rPr>
        <w:t xml:space="preserve"> en participantes de mayor edad a 45 años,  congruente con el último estudio citado y relativizando el hallazgo inicial.</w:t>
      </w:r>
    </w:p>
    <w:p>
      <w:pPr>
        <w:pStyle w:val="Normal"/>
        <w:spacing w:lineRule="auto" w:line="480" w:before="220" w:after="0"/>
        <w:jc w:val="both"/>
        <w:rPr/>
      </w:pPr>
      <w:r>
        <w:rPr>
          <w:rFonts w:eastAsia="Times New Roman" w:cs="Times New Roman"/>
          <w:sz w:val="24"/>
          <w:szCs w:val="24"/>
        </w:rPr>
        <w:t xml:space="preserve">Se observa una fuerte relación entre todas las dimensiones y el puntaje total de </w:t>
      </w:r>
      <w:r>
        <w:rPr>
          <w:rFonts w:eastAsia="Times New Roman" w:cs="Times New Roman"/>
          <w:i/>
          <w:sz w:val="24"/>
          <w:szCs w:val="24"/>
        </w:rPr>
        <w:t>burnout</w:t>
      </w:r>
      <w:r>
        <w:rPr>
          <w:rFonts w:eastAsia="Times New Roman" w:cs="Times New Roman"/>
          <w:sz w:val="24"/>
          <w:szCs w:val="24"/>
        </w:rPr>
        <w:t xml:space="preserve"> con la sintomatología psicopatológica, siendo más relevante las consecuencias y el </w:t>
      </w:r>
      <w:r>
        <w:rPr>
          <w:rFonts w:eastAsia="Times New Roman" w:cs="Times New Roman"/>
          <w:i/>
          <w:sz w:val="24"/>
          <w:szCs w:val="24"/>
        </w:rPr>
        <w:t>burnout</w:t>
      </w:r>
      <w:r>
        <w:rPr>
          <w:rFonts w:eastAsia="Times New Roman" w:cs="Times New Roman"/>
          <w:sz w:val="24"/>
          <w:szCs w:val="24"/>
        </w:rPr>
        <w:t xml:space="preserve"> total. Sería algo esperable, dada que las consecuencias y el </w:t>
      </w:r>
      <w:r>
        <w:rPr>
          <w:rFonts w:eastAsia="Times New Roman" w:cs="Times New Roman"/>
          <w:i/>
          <w:iCs/>
          <w:sz w:val="24"/>
          <w:szCs w:val="24"/>
        </w:rPr>
        <w:t>burnout</w:t>
      </w:r>
      <w:r>
        <w:rPr>
          <w:rFonts w:eastAsia="Times New Roman" w:cs="Times New Roman"/>
          <w:sz w:val="24"/>
          <w:szCs w:val="24"/>
        </w:rPr>
        <w:t xml:space="preserve"> conceptualmente se hallan relacionadas con la sintomatología psicopatológica.</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 xml:space="preserve">Los participantes que no tienen pareja, trabajan más horas. Si bien no se encontraron estudios con esta asociación, en un metaanálisis se encontró que los participantes sin pareja tenían niveles más altos de  una dimensión del </w:t>
      </w:r>
      <w:r>
        <w:rPr>
          <w:rFonts w:eastAsia="Times New Roman" w:cs="Times New Roman"/>
          <w:i/>
          <w:iCs/>
          <w:sz w:val="24"/>
          <w:szCs w:val="24"/>
        </w:rPr>
        <w:t>Burnout</w:t>
      </w:r>
      <w:r>
        <w:rPr>
          <w:rFonts w:eastAsia="Times New Roman" w:cs="Times New Roman"/>
          <w:sz w:val="24"/>
          <w:szCs w:val="24"/>
        </w:rPr>
        <w:t xml:space="preserve"> “Esto podría deberse a que el entorno familiar del estilo de vida de pareja es un factor que brinda seguridad y apoyo “ </w:t>
      </w:r>
      <w:r>
        <w:rPr>
          <w:rFonts w:eastAsia="Times New Roman" w:cs="Times New Roman"/>
          <w:position w:val="0"/>
          <w:sz w:val="24"/>
          <w:sz w:val="24"/>
          <w:szCs w:val="24"/>
          <w:vertAlign w:val="baseline"/>
        </w:rPr>
        <w:t>(Cañadas-de-la-Fuente et al., 2018)</w:t>
      </w:r>
      <w:r>
        <w:rPr>
          <w:rFonts w:eastAsia="Times New Roman" w:cs="Times New Roman"/>
          <w:sz w:val="24"/>
          <w:szCs w:val="24"/>
        </w:rPr>
        <w:t>⁠.</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 xml:space="preserve">Los profesionales universitarios tienen mayores consecuencias de </w:t>
      </w:r>
      <w:r>
        <w:rPr>
          <w:rFonts w:eastAsia="Times New Roman" w:cs="Times New Roman"/>
          <w:i/>
          <w:iCs/>
          <w:sz w:val="24"/>
          <w:szCs w:val="24"/>
        </w:rPr>
        <w:t>burnout</w:t>
      </w:r>
      <w:r>
        <w:rPr>
          <w:rFonts w:eastAsia="Times New Roman" w:cs="Times New Roman"/>
          <w:sz w:val="24"/>
          <w:szCs w:val="24"/>
        </w:rPr>
        <w:t xml:space="preserve">, probablemente por las exigencias que ello implica, dado que generalmente tienen cargos de mayor responsabilidad. Por otro lado, trabajan menos horas que los que no son profesionales universitarios, lo que podría vincularse con lo antedicho, aunque la variable económica puede ser un aspecto a considerar, en el sentido de que tiene mayor valor la hora de trabajo. Estos aspectos también son planteados en otro estudio  </w:t>
      </w:r>
      <w:r>
        <w:rPr>
          <w:rFonts w:eastAsia="Times New Roman" w:cs="Times New Roman"/>
          <w:position w:val="0"/>
          <w:sz w:val="24"/>
          <w:sz w:val="24"/>
          <w:szCs w:val="24"/>
          <w:vertAlign w:val="baseline"/>
        </w:rPr>
        <w:t>(Cañadas et al., 2014)</w:t>
      </w:r>
      <w:r>
        <w:rPr>
          <w:rFonts w:eastAsia="Times New Roman" w:cs="Times New Roman"/>
          <w:sz w:val="24"/>
          <w:szCs w:val="24"/>
        </w:rPr>
        <w:t>⁠.</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 xml:space="preserve">Si bien como se verá más adelante, en la población estudiada hay niveles bajos y pocos participantes con </w:t>
      </w:r>
      <w:r>
        <w:rPr>
          <w:rFonts w:eastAsia="Times New Roman" w:cs="Times New Roman"/>
          <w:i/>
          <w:iCs/>
          <w:sz w:val="24"/>
          <w:szCs w:val="24"/>
        </w:rPr>
        <w:t>burnout</w:t>
      </w:r>
      <w:r>
        <w:rPr>
          <w:rFonts w:eastAsia="Times New Roman" w:cs="Times New Roman"/>
          <w:sz w:val="24"/>
          <w:szCs w:val="24"/>
        </w:rPr>
        <w:t xml:space="preserve"> y sintomatología psicopatológica, los participantes que trabajan en los servicios que atienden a pacientes en primera línea (pertenecientes a los servicios: Cuidados Intensivos, Cuidados Moderados, Emergencia y Enfermería) presentan mayor </w:t>
      </w:r>
      <w:r>
        <w:rPr>
          <w:rFonts w:eastAsia="Times New Roman" w:cs="Times New Roman"/>
          <w:i/>
          <w:iCs/>
          <w:sz w:val="24"/>
          <w:szCs w:val="24"/>
        </w:rPr>
        <w:t>burnout</w:t>
      </w:r>
      <w:r>
        <w:rPr>
          <w:rFonts w:eastAsia="Times New Roman" w:cs="Times New Roman"/>
          <w:sz w:val="24"/>
          <w:szCs w:val="24"/>
        </w:rPr>
        <w:t xml:space="preserve"> (dimensión síndrome y </w:t>
      </w:r>
      <w:r>
        <w:rPr>
          <w:rFonts w:eastAsia="Times New Roman" w:cs="Times New Roman"/>
          <w:i/>
          <w:iCs/>
          <w:sz w:val="24"/>
          <w:szCs w:val="24"/>
        </w:rPr>
        <w:t>burnout</w:t>
      </w:r>
      <w:r>
        <w:rPr>
          <w:rFonts w:eastAsia="Times New Roman" w:cs="Times New Roman"/>
          <w:sz w:val="24"/>
          <w:szCs w:val="24"/>
        </w:rPr>
        <w:t xml:space="preserve"> total), sintomatología psicopatológica y trabajan más horas por semana, aunque tiene menor antigüedad en el hospital. Estos hallazgos aunque no con altos niveles, se han encontrado en otros estudios </w:t>
      </w:r>
      <w:r>
        <w:rPr>
          <w:rFonts w:eastAsia="Times New Roman" w:cs="Times New Roman"/>
          <w:position w:val="0"/>
          <w:sz w:val="24"/>
          <w:sz w:val="24"/>
          <w:szCs w:val="24"/>
          <w:vertAlign w:val="baseline"/>
        </w:rPr>
        <w:t>(Chen et al., 2020; Kang et al., 2020; Moreno-Jiménez et al., 2020; Torales et al., 2020; Urzúa et al., 2020)</w:t>
      </w:r>
      <w:r>
        <w:rPr>
          <w:rFonts w:eastAsia="Times New Roman" w:cs="Times New Roman"/>
          <w:sz w:val="24"/>
          <w:szCs w:val="24"/>
        </w:rPr>
        <w:t>⁠.</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r>
    </w:p>
    <w:p>
      <w:pPr>
        <w:pStyle w:val="Normal"/>
        <w:spacing w:lineRule="auto" w:line="480" w:before="220" w:after="0"/>
        <w:jc w:val="both"/>
        <w:rPr/>
      </w:pPr>
      <w:r>
        <w:rPr>
          <w:rFonts w:eastAsia="Times New Roman" w:cs="Times New Roman"/>
          <w:sz w:val="24"/>
          <w:szCs w:val="24"/>
        </w:rPr>
        <w:t xml:space="preserve">Finalmente, los resultados muestran que de los trabajadores de la salud del Hospital,  sólo 34 de los 152 participantes presentan afectación de </w:t>
      </w:r>
      <w:r>
        <w:rPr>
          <w:rFonts w:eastAsia="Times New Roman" w:cs="Times New Roman"/>
          <w:i/>
          <w:sz w:val="24"/>
          <w:szCs w:val="24"/>
        </w:rPr>
        <w:t>burnout</w:t>
      </w:r>
      <w:r>
        <w:rPr>
          <w:rFonts w:eastAsia="Times New Roman" w:cs="Times New Roman"/>
          <w:sz w:val="24"/>
          <w:szCs w:val="24"/>
        </w:rPr>
        <w:t xml:space="preserve"> (22.4%), por debajo de resultados obtenidos en otras investigaciones con poblaciones similares pero no en situación de pandemia por COVID-19 </w:t>
      </w:r>
      <w:r>
        <w:rPr>
          <w:rFonts w:eastAsia="Times New Roman" w:cs="Times New Roman"/>
          <w:position w:val="0"/>
          <w:sz w:val="24"/>
          <w:sz w:val="24"/>
          <w:szCs w:val="24"/>
          <w:vertAlign w:val="baseline"/>
        </w:rPr>
        <w:t>(Paredes &amp; Sanabria-Ferrand, 2008; Pérez-Fuentes et al., 2018; Roger et al., 2013; Valdivieso Romero et al., 2016)</w:t>
      </w:r>
      <w:r>
        <w:rPr>
          <w:rFonts w:eastAsia="Times New Roman" w:cs="Times New Roman"/>
          <w:sz w:val="24"/>
          <w:szCs w:val="24"/>
        </w:rPr>
        <w:t>⁠.</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 xml:space="preserve">Referente a la sintomatología psicopatológica del OQ45.2 sólo 18 estuvieron por encima del punto de corte (11.8%), lo que implica una baja incidencia. Sin embargo hay estudios que indican la importante incidencia de problemas psicológicos y de estrés a los que están sometidos los equipos de salud  en la pandemia </w:t>
      </w:r>
      <w:r>
        <w:rPr>
          <w:rFonts w:eastAsia="Times New Roman" w:cs="Times New Roman"/>
          <w:position w:val="0"/>
          <w:sz w:val="24"/>
          <w:sz w:val="24"/>
          <w:szCs w:val="24"/>
          <w:vertAlign w:val="baseline"/>
        </w:rPr>
        <w:t>(Kang et al., 2020; Li et al., 2020; Urzúa et al., 2020)</w:t>
      </w:r>
      <w:r>
        <w:rPr>
          <w:rFonts w:eastAsia="Times New Roman" w:cs="Times New Roman"/>
          <w:sz w:val="24"/>
          <w:szCs w:val="24"/>
        </w:rPr>
        <w:t>⁠ , que contradicen el presente estudio.</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No obstante, estos bajos resultados, y de muy poca afectación se enmarcan en aspectos generales relacionados a cómo Uruguay ha manejado la pandemia hasta este momento, sus características y recursos, y a aspectos particulares de gestión del Hospital.</w:t>
      </w:r>
    </w:p>
    <w:p>
      <w:pPr>
        <w:pStyle w:val="Normal"/>
        <w:spacing w:lineRule="auto" w:line="480" w:before="220" w:after="0"/>
        <w:jc w:val="both"/>
        <w:rPr>
          <w:rFonts w:ascii="Times New Roman" w:hAnsi="Times New Roman" w:eastAsia="Times New Roman" w:cs="Times New Roman"/>
          <w:sz w:val="24"/>
          <w:szCs w:val="24"/>
        </w:rPr>
      </w:pPr>
      <w:r>
        <w:rPr>
          <w:rFonts w:eastAsia="Times New Roman" w:cs="Times New Roman"/>
          <w:sz w:val="24"/>
          <w:szCs w:val="24"/>
        </w:rPr>
        <w:t xml:space="preserve">En cuanto a los aspectos generales, el cumplimiento de la población a las disposiciones sanitarias decretadas por el gobierno, la poca densidad de población, la detección de focos, su testeo inmediato y puesta en cuarentena a los contactos,  y la estructura del sistema de salud, ha permitido que la pandemia por coronavirus hasta la fecha ha podido ser controlada. A su vez, desde marzo a la fecha, el mes de junio (mes en que se realizó la evaluación)  fue el mes de menor cantidad de casos </w:t>
      </w:r>
      <w:r>
        <w:rPr>
          <w:rFonts w:eastAsia="Times New Roman" w:cs="Times New Roman"/>
          <w:position w:val="0"/>
          <w:sz w:val="24"/>
          <w:sz w:val="24"/>
          <w:szCs w:val="24"/>
          <w:vertAlign w:val="baseline"/>
        </w:rPr>
        <w:t>(Sistema Nacional de Emergencias del Uruguay, 2020a)</w:t>
      </w:r>
      <w:r>
        <w:rPr>
          <w:rFonts w:eastAsia="Times New Roman" w:cs="Times New Roman"/>
          <w:sz w:val="24"/>
          <w:szCs w:val="24"/>
        </w:rPr>
        <w:t>⁠. En cuanto a los aspectos particulares del Hospital, desde marzo se venía preparando para la emergencia, esperando recibir un influjo importante de pacientes COVID-19, lo que implicó realizar remodelaciones edilicias, redistribución de roles, incorporación de equipamiento, adiestramiento del personal y adecuación de protocolos. En esta línea se enmarca la solicitud de apoyo del equipo de intervenciones institucionales del SAPPA. El Hospital se preparaba para recibir una “ola” de pacientes tal como estaba sucediendo en el mundo y en países vecinos, situación que no ha sucedido a la fecha. En el momento de realizar la evaluación no había pacientes  positivos COVID-19 en el hospital.</w:t>
      </w:r>
    </w:p>
    <w:p>
      <w:pPr>
        <w:pStyle w:val="Normal"/>
        <w:spacing w:lineRule="auto" w:line="480" w:before="220" w:after="0"/>
        <w:jc w:val="both"/>
        <w:rPr>
          <w:rFonts w:ascii="Times New Roman" w:hAnsi="Times New Roman" w:eastAsia="Times New Roman" w:cs="Times New Roman"/>
          <w:i w:val="false"/>
          <w:i w:val="false"/>
          <w:caps w:val="false"/>
          <w:smallCaps w:val="false"/>
          <w:strike w:val="false"/>
          <w:dstrike w:val="false"/>
          <w:color w:val="000000"/>
          <w:position w:val="0"/>
          <w:sz w:val="24"/>
          <w:sz w:val="24"/>
          <w:szCs w:val="24"/>
          <w:u w:val="none"/>
          <w:vertAlign w:val="baseline"/>
        </w:rPr>
      </w:pPr>
      <w:r>
        <w:rPr>
          <w:rFonts w:eastAsia="Times New Roman" w:cs="Times New Roman"/>
          <w:i w:val="false"/>
          <w:caps w:val="false"/>
          <w:smallCaps w:val="false"/>
          <w:strike w:val="false"/>
          <w:dstrike w:val="false"/>
          <w:color w:val="000000"/>
          <w:position w:val="0"/>
          <w:sz w:val="24"/>
          <w:sz w:val="24"/>
          <w:szCs w:val="24"/>
          <w:u w:val="none"/>
          <w:vertAlign w:val="baseline"/>
        </w:rPr>
      </w:r>
    </w:p>
    <w:p>
      <w:pPr>
        <w:pStyle w:val="Normal"/>
        <w:spacing w:lineRule="auto" w:line="480" w:before="220" w:after="0"/>
        <w:jc w:val="both"/>
        <w:rPr/>
      </w:pPr>
      <w:r>
        <w:rPr>
          <w:rFonts w:eastAsia="Times New Roman" w:cs="Times New Roman"/>
          <w:i w:val="false"/>
          <w:caps w:val="false"/>
          <w:smallCaps w:val="false"/>
          <w:strike w:val="false"/>
          <w:dstrike w:val="false"/>
          <w:color w:val="000000"/>
          <w:position w:val="0"/>
          <w:sz w:val="24"/>
          <w:sz w:val="24"/>
          <w:szCs w:val="24"/>
          <w:u w:val="none"/>
          <w:vertAlign w:val="baseline"/>
          <w:lang w:val="es-ES_tradnl"/>
        </w:rPr>
        <w:t>Concluimos que l</w:t>
      </w:r>
      <w:r>
        <w:rPr>
          <w:rFonts w:eastAsia="Times New Roman" w:cs="Times New Roman"/>
          <w:i w:val="false"/>
          <w:caps w:val="false"/>
          <w:smallCaps w:val="false"/>
          <w:strike w:val="false"/>
          <w:dstrike w:val="false"/>
          <w:color w:val="000000"/>
          <w:position w:val="0"/>
          <w:sz w:val="24"/>
          <w:sz w:val="24"/>
          <w:szCs w:val="24"/>
          <w:u w:val="none"/>
          <w:vertAlign w:val="baseline"/>
          <w:lang w:val="es-ES_tradnl"/>
        </w:rPr>
        <w:t>os resultados de la evaluación</w:t>
      </w:r>
      <w:r>
        <w:rPr>
          <w:rFonts w:eastAsia="Times New Roman" w:cs="Times New Roman"/>
          <w:i w:val="false"/>
          <w:caps w:val="false"/>
          <w:smallCaps w:val="false"/>
          <w:color w:val="000000"/>
          <w:position w:val="0"/>
          <w:sz w:val="24"/>
          <w:sz w:val="24"/>
          <w:szCs w:val="24"/>
          <w:u w:val="none"/>
          <w:vertAlign w:val="baseline"/>
          <w:lang w:val="es-ES_tradnl"/>
        </w:rPr>
        <w:t xml:space="preserve"> </w:t>
      </w:r>
      <w:r>
        <w:rPr>
          <w:rFonts w:eastAsia="Times New Roman" w:cs="Times New Roman"/>
          <w:i w:val="false"/>
          <w:caps w:val="false"/>
          <w:smallCaps w:val="false"/>
          <w:strike w:val="false"/>
          <w:dstrike w:val="false"/>
          <w:color w:val="000000"/>
          <w:position w:val="0"/>
          <w:sz w:val="24"/>
          <w:sz w:val="24"/>
          <w:szCs w:val="24"/>
          <w:highlight w:val="white"/>
          <w:u w:val="none"/>
          <w:vertAlign w:val="baseline"/>
          <w:lang w:val="es-ES_tradnl"/>
        </w:rPr>
        <w:t xml:space="preserve">reflejan también los modos de la Institución de gestión de la crisis, que además incluyó la atención de la salud mental de los equipos. Resalta </w:t>
      </w:r>
      <w:r>
        <w:rPr>
          <w:rFonts w:eastAsia="Times New Roman" w:cs="Times New Roman"/>
          <w:i w:val="false"/>
          <w:caps w:val="false"/>
          <w:smallCaps w:val="false"/>
          <w:strike w:val="false"/>
          <w:dstrike w:val="false"/>
          <w:color w:val="000000"/>
          <w:position w:val="0"/>
          <w:sz w:val="24"/>
          <w:sz w:val="24"/>
          <w:szCs w:val="24"/>
          <w:u w:val="none"/>
          <w:vertAlign w:val="baseline"/>
          <w:lang w:val="es-ES_tradnl"/>
        </w:rPr>
        <w:t xml:space="preserve"> l</w:t>
      </w:r>
      <w:r>
        <w:rPr>
          <w:rFonts w:eastAsia="Times New Roman" w:cs="Times New Roman"/>
          <w:sz w:val="24"/>
          <w:szCs w:val="24"/>
          <w:lang w:val="es-ES_tradnl"/>
        </w:rPr>
        <w:t xml:space="preserve">a  importancia de preparar a los equipos de salud ante situaciones de emergencia. Dicha preparación ocurre en diferentes niveles: interinstitucional y estatal, con el desarrollo de políticas preventivas y asistenciales; intrahospitalaria, incluyendo la implementación de estrategias de trabajo institucional con los equipos de salud. Estas últimas fueron promovidas desde la Dirección del Hospital,  posibilitando el autoanálisis, la escucha mutua y la participación activa. </w:t>
      </w:r>
      <w:r>
        <w:br w:type="page"/>
      </w:r>
    </w:p>
    <w:p>
      <w:pPr>
        <w:pStyle w:val="Ttulosinternos"/>
        <w:spacing w:before="280" w:after="280"/>
        <w:rPr>
          <w:lang w:val="es-ES_tradnl"/>
        </w:rPr>
      </w:pPr>
      <w:r>
        <w:rPr>
          <w:lang w:val="es-ES_tradnl"/>
        </w:rPr>
        <w:t>Referencias</w:t>
      </w:r>
    </w:p>
    <w:p>
      <w:pPr>
        <w:pStyle w:val="Normal"/>
        <w:ind w:left="720" w:right="0" w:hanging="720"/>
        <w:jc w:val="both"/>
        <w:rPr>
          <w:rStyle w:val="EnlacedeInternet"/>
        </w:rPr>
      </w:pPr>
      <w:hyperlink r:id="rId8">
        <w:r>
          <w:rPr/>
        </w:r>
      </w:hyperlink>
    </w:p>
    <w:p>
      <w:pPr>
        <w:pStyle w:val="Normal"/>
        <w:ind w:left="720" w:right="0" w:hanging="720"/>
        <w:jc w:val="both"/>
        <w:rPr/>
      </w:pPr>
      <w:bookmarkStart w:id="0" w:name="MendeleyTempCursorBookmark1"/>
      <w:bookmarkEnd w:id="0"/>
      <w:r>
        <w:rPr>
          <w:rStyle w:val="EnlacedeInternet"/>
          <w:lang w:val="es-AR"/>
        </w:rPr>
        <w:t xml:space="preserve"> </w:t>
      </w:r>
    </w:p>
    <w:p>
      <w:pPr>
        <w:sectPr>
          <w:headerReference w:type="even" r:id="rId9"/>
          <w:headerReference w:type="default" r:id="rId10"/>
          <w:footerReference w:type="even" r:id="rId11"/>
          <w:footerReference w:type="default" r:id="rId12"/>
          <w:type w:val="nextPage"/>
          <w:pgSz w:w="12240" w:h="15840"/>
          <w:pgMar w:left="1440" w:right="1440" w:header="720" w:top="1440" w:footer="720" w:bottom="1440" w:gutter="0"/>
          <w:pgNumType w:fmt="decimal"/>
          <w:formProt w:val="false"/>
          <w:textDirection w:val="lrTb"/>
          <w:docGrid w:type="default" w:linePitch="360" w:charSpace="0"/>
        </w:sectPr>
      </w:pPr>
    </w:p>
    <w:p>
      <w:pPr>
        <w:pStyle w:val="Normal"/>
        <w:spacing w:lineRule="auto" w:line="288" w:before="0" w:after="140"/>
        <w:ind w:left="480" w:right="0" w:hanging="480"/>
        <w:rPr>
          <w:rFonts w:ascii="Times New Roman" w:hAnsi="Times New Roman"/>
          <w:sz w:val="24"/>
        </w:rPr>
      </w:pPr>
      <w:r>
        <w:rPr>
          <w:sz w:val="24"/>
        </w:rPr>
        <w:t xml:space="preserve">Asamblea General de la República Oriental del Uruguay. (2007). </w:t>
      </w:r>
      <w:r>
        <w:rPr>
          <w:i/>
          <w:sz w:val="24"/>
        </w:rPr>
        <w:t>Sistema Nacional Integrado de Salud</w:t>
      </w:r>
      <w:r>
        <w:rPr>
          <w:sz w:val="24"/>
        </w:rPr>
        <w:t xml:space="preserve"> (ley 18211). https://legislativo.parlamento.gub.uy/temporales/leytemp9626206.htm</w:t>
      </w:r>
    </w:p>
    <w:p>
      <w:pPr>
        <w:pStyle w:val="Normal"/>
        <w:spacing w:lineRule="auto" w:line="288" w:before="0" w:after="140"/>
        <w:ind w:left="480" w:right="0" w:hanging="480"/>
        <w:rPr>
          <w:rFonts w:ascii="Times New Roman" w:hAnsi="Times New Roman"/>
          <w:sz w:val="24"/>
        </w:rPr>
      </w:pPr>
      <w:r>
        <w:rPr>
          <w:sz w:val="24"/>
        </w:rPr>
        <w:t xml:space="preserve">Baremblitt, G. (1992). </w:t>
      </w:r>
      <w:r>
        <w:rPr>
          <w:i/>
          <w:sz w:val="24"/>
        </w:rPr>
        <w:t>Compendio de análisis institucional : y otras corrientes. Teoría y práctica</w:t>
      </w:r>
      <w:r>
        <w:rPr>
          <w:sz w:val="24"/>
        </w:rPr>
        <w:t>. Ediciones madres de plaza de mayo.</w:t>
      </w:r>
    </w:p>
    <w:p>
      <w:pPr>
        <w:pStyle w:val="Normal"/>
        <w:spacing w:lineRule="auto" w:line="288" w:before="0" w:after="140"/>
        <w:ind w:left="480" w:right="0" w:hanging="480"/>
        <w:rPr>
          <w:rFonts w:ascii="Times New Roman" w:hAnsi="Times New Roman"/>
          <w:sz w:val="24"/>
        </w:rPr>
      </w:pPr>
      <w:r>
        <w:rPr>
          <w:sz w:val="24"/>
        </w:rPr>
        <w:t xml:space="preserve">Barrale, P., Bogliacino, V., &amp; Escudero, E. (2012). Incidencia del Síndrome de Burn Out en un Hospital Público de Montevideo. </w:t>
      </w:r>
      <w:r>
        <w:rPr>
          <w:i/>
          <w:sz w:val="24"/>
        </w:rPr>
        <w:t>Psicología</w:t>
      </w:r>
      <w:r>
        <w:rPr>
          <w:sz w:val="24"/>
        </w:rPr>
        <w:t xml:space="preserve">, </w:t>
      </w:r>
      <w:r>
        <w:rPr>
          <w:i/>
          <w:sz w:val="24"/>
        </w:rPr>
        <w:t>2</w:t>
      </w:r>
      <w:r>
        <w:rPr>
          <w:sz w:val="24"/>
        </w:rPr>
        <w:t>(1), 130–148.</w:t>
      </w:r>
    </w:p>
    <w:p>
      <w:pPr>
        <w:pStyle w:val="Normal"/>
        <w:spacing w:lineRule="auto" w:line="288" w:before="0" w:after="140"/>
        <w:ind w:left="480" w:right="0" w:hanging="480"/>
        <w:rPr>
          <w:rFonts w:ascii="Times New Roman" w:hAnsi="Times New Roman"/>
          <w:sz w:val="24"/>
        </w:rPr>
      </w:pPr>
      <w:r>
        <w:rPr>
          <w:sz w:val="24"/>
        </w:rPr>
        <w:t xml:space="preserve">Cañadas-de-la-Fuente, G., Ortega, E., Ramirez-Baena, L., De-la-Fuente-Solana, E., Vargas, C., &amp; Gómez-Urquiza, J.-L. (2018). Gender, marital status, and children as risk factors for burnout in nurses: A meta-analytic study. </w:t>
      </w:r>
      <w:r>
        <w:rPr>
          <w:i/>
          <w:sz w:val="24"/>
        </w:rPr>
        <w:t>International Journal of Environmental Research and Public Health</w:t>
      </w:r>
      <w:r>
        <w:rPr>
          <w:sz w:val="24"/>
        </w:rPr>
        <w:t xml:space="preserve">, </w:t>
      </w:r>
      <w:r>
        <w:rPr>
          <w:i/>
          <w:sz w:val="24"/>
        </w:rPr>
        <w:t>15</w:t>
      </w:r>
      <w:r>
        <w:rPr>
          <w:sz w:val="24"/>
        </w:rPr>
        <w:t>(10). https://doi.org/10.3390/ijerph15102102</w:t>
      </w:r>
    </w:p>
    <w:p>
      <w:pPr>
        <w:pStyle w:val="Normal"/>
        <w:spacing w:lineRule="auto" w:line="288" w:before="0" w:after="140"/>
        <w:ind w:left="480" w:right="0" w:hanging="480"/>
        <w:rPr>
          <w:rFonts w:ascii="Times New Roman" w:hAnsi="Times New Roman"/>
          <w:sz w:val="24"/>
        </w:rPr>
      </w:pPr>
      <w:r>
        <w:rPr>
          <w:sz w:val="24"/>
        </w:rPr>
        <w:t xml:space="preserve">Cañadas, G., Luis, C., Lozano, L.-M., Vargas, C., García, I., &amp; De-la-Fuente, E. (2014). Evidencia de validez factorial del Maslach Burnout Inventory y estudio de los niveles de burnout en profesionales sanitarios. </w:t>
      </w:r>
      <w:r>
        <w:rPr>
          <w:i/>
          <w:sz w:val="24"/>
        </w:rPr>
        <w:t>Revista Latinoamericana de Psicologia</w:t>
      </w:r>
      <w:r>
        <w:rPr>
          <w:sz w:val="24"/>
        </w:rPr>
        <w:t xml:space="preserve">, </w:t>
      </w:r>
      <w:r>
        <w:rPr>
          <w:i/>
          <w:sz w:val="24"/>
        </w:rPr>
        <w:t>46</w:t>
      </w:r>
      <w:r>
        <w:rPr>
          <w:sz w:val="24"/>
        </w:rPr>
        <w:t>(1), 44–52. https://doi.org/10.1016/S0120-0534(14)70005-6</w:t>
      </w:r>
    </w:p>
    <w:p>
      <w:pPr>
        <w:pStyle w:val="Normal"/>
        <w:spacing w:lineRule="auto" w:line="288" w:before="0" w:after="140"/>
        <w:ind w:left="480" w:right="0" w:hanging="480"/>
        <w:rPr>
          <w:rFonts w:ascii="Times New Roman" w:hAnsi="Times New Roman"/>
          <w:sz w:val="24"/>
        </w:rPr>
      </w:pPr>
      <w:r>
        <w:rPr>
          <w:sz w:val="24"/>
        </w:rPr>
        <w:t xml:space="preserve">Chen, Q., Liang, M., Li, Y., Guo, J., Fei, D., Wang, L., He, L., Sheng, C., Cai, Y., Li, X., Wang, J., &amp; Zhang, Z. (2020). Mental health care for medical staff in China during the COVID-19 outbreak. </w:t>
      </w:r>
      <w:r>
        <w:rPr>
          <w:i/>
          <w:sz w:val="24"/>
        </w:rPr>
        <w:t>The Lancet Psychiatry</w:t>
      </w:r>
      <w:r>
        <w:rPr>
          <w:sz w:val="24"/>
        </w:rPr>
        <w:t xml:space="preserve">, </w:t>
      </w:r>
      <w:r>
        <w:rPr>
          <w:i/>
          <w:sz w:val="24"/>
        </w:rPr>
        <w:t>7</w:t>
      </w:r>
      <w:r>
        <w:rPr>
          <w:sz w:val="24"/>
        </w:rPr>
        <w:t>(4), e15–e16. https://doi.org/10.1016/S2215-0366(20)30078-X</w:t>
      </w:r>
    </w:p>
    <w:p>
      <w:pPr>
        <w:pStyle w:val="Normal"/>
        <w:spacing w:lineRule="auto" w:line="288" w:before="0" w:after="140"/>
        <w:ind w:left="480" w:right="0" w:hanging="480"/>
        <w:rPr>
          <w:rFonts w:ascii="Times New Roman" w:hAnsi="Times New Roman"/>
          <w:sz w:val="24"/>
        </w:rPr>
      </w:pPr>
      <w:r>
        <w:rPr>
          <w:sz w:val="24"/>
        </w:rPr>
        <w:t xml:space="preserve">Greenberg, N., Docherty, M., Gnanapragasam, S., &amp; Wessely, S. (2020). Managing mental health challenges faced by healthcare workers during covid-19 pandemic. </w:t>
      </w:r>
      <w:r>
        <w:rPr>
          <w:i/>
          <w:sz w:val="24"/>
        </w:rPr>
        <w:t>BMJ (Clinical Research Ed.)</w:t>
      </w:r>
      <w:r>
        <w:rPr>
          <w:sz w:val="24"/>
        </w:rPr>
        <w:t xml:space="preserve">, </w:t>
      </w:r>
      <w:r>
        <w:rPr>
          <w:i/>
          <w:sz w:val="24"/>
        </w:rPr>
        <w:t>368</w:t>
      </w:r>
      <w:r>
        <w:rPr>
          <w:sz w:val="24"/>
        </w:rPr>
        <w:t>(March), m1211. https://doi.org/10.1136/bmj.m1211</w:t>
      </w:r>
    </w:p>
    <w:p>
      <w:pPr>
        <w:pStyle w:val="Normal"/>
        <w:spacing w:lineRule="auto" w:line="288" w:before="0" w:after="140"/>
        <w:ind w:left="480" w:right="0" w:hanging="480"/>
        <w:rPr>
          <w:rFonts w:ascii="Times New Roman" w:hAnsi="Times New Roman"/>
          <w:sz w:val="24"/>
        </w:rPr>
      </w:pPr>
      <w:r>
        <w:rPr>
          <w:sz w:val="24"/>
        </w:rPr>
        <w:t xml:space="preserve">Kang, L., Li, Y., Hu, S., Chen, M., Yang, C., Yang, B. X., Wang, Y., Hu, J., Lai, J., Ma, X., Chen, J., Guan, L., Wang, G., Ma, H., &amp; Liu, Z. (2020). The mental health of medical workers in Wuhan, China dealing with the 2019 novel coronavirus. </w:t>
      </w:r>
      <w:r>
        <w:rPr>
          <w:i/>
          <w:sz w:val="24"/>
        </w:rPr>
        <w:t>The Lancet Psychiatry</w:t>
      </w:r>
      <w:r>
        <w:rPr>
          <w:sz w:val="24"/>
        </w:rPr>
        <w:t xml:space="preserve">, </w:t>
      </w:r>
      <w:r>
        <w:rPr>
          <w:i/>
          <w:sz w:val="24"/>
        </w:rPr>
        <w:t>7</w:t>
      </w:r>
      <w:r>
        <w:rPr>
          <w:sz w:val="24"/>
        </w:rPr>
        <w:t>(3), e14. https://doi.org/10.1016/S2215-0366(20)30047-X</w:t>
      </w:r>
    </w:p>
    <w:p>
      <w:pPr>
        <w:pStyle w:val="Normal"/>
        <w:spacing w:lineRule="auto" w:line="288" w:before="0" w:after="140"/>
        <w:ind w:left="480" w:right="0" w:hanging="480"/>
        <w:rPr>
          <w:rFonts w:ascii="Times New Roman" w:hAnsi="Times New Roman"/>
          <w:sz w:val="24"/>
        </w:rPr>
      </w:pPr>
      <w:r>
        <w:rPr>
          <w:sz w:val="24"/>
        </w:rPr>
        <w:t xml:space="preserve">Lambert, M. J., Burlingame, G. M., Umphress, V., Hansen, N. B., Vermeersch, D. A., Clouse, G. C., &amp; Yanchar, S. C. (1996). The reliability and validity of the Outcome Questionnaire. </w:t>
      </w:r>
      <w:r>
        <w:rPr>
          <w:i/>
          <w:sz w:val="24"/>
        </w:rPr>
        <w:t>Clinical Psychology &amp; Psychotherapy: An International Journal of Theory and Practice</w:t>
      </w:r>
      <w:r>
        <w:rPr>
          <w:sz w:val="24"/>
        </w:rPr>
        <w:t xml:space="preserve">, </w:t>
      </w:r>
      <w:r>
        <w:rPr>
          <w:i/>
          <w:sz w:val="24"/>
        </w:rPr>
        <w:t>3</w:t>
      </w:r>
      <w:r>
        <w:rPr>
          <w:sz w:val="24"/>
        </w:rPr>
        <w:t>(4), 249–258.</w:t>
      </w:r>
    </w:p>
    <w:p>
      <w:pPr>
        <w:pStyle w:val="Normal"/>
        <w:spacing w:lineRule="auto" w:line="288" w:before="0" w:after="140"/>
        <w:ind w:left="480" w:right="0" w:hanging="480"/>
        <w:rPr>
          <w:rFonts w:ascii="Times New Roman" w:hAnsi="Times New Roman"/>
          <w:sz w:val="24"/>
        </w:rPr>
      </w:pPr>
      <w:r>
        <w:rPr>
          <w:sz w:val="24"/>
        </w:rPr>
        <w:t xml:space="preserve">Li, Z., Ge, J., Yang, M., Feng, J., Qiao, M., Jiang, R., Bi, J., Zhan, G., Xu, X., Wang, L., Zhou, Q., Zhou, C., Pan, Y., Liu, S., Zhang, H., Yang, J., Zhu, B., Hu, Y., Hashimoto, K., … Yang, C. (2020). Vicarious traumatization in the general public, members, and non-members of medical teams aiding in COVID-19 control. </w:t>
      </w:r>
      <w:r>
        <w:rPr>
          <w:i/>
          <w:sz w:val="24"/>
        </w:rPr>
        <w:t>Brain, Behavior, and Immunity</w:t>
      </w:r>
      <w:r>
        <w:rPr>
          <w:sz w:val="24"/>
        </w:rPr>
        <w:t xml:space="preserve">, </w:t>
      </w:r>
      <w:r>
        <w:rPr>
          <w:i/>
          <w:sz w:val="24"/>
        </w:rPr>
        <w:t>March</w:t>
      </w:r>
      <w:r>
        <w:rPr>
          <w:sz w:val="24"/>
        </w:rPr>
        <w:t>, 0–1. https://doi.org/10.1016/j.bbi.2020.03.007</w:t>
      </w:r>
    </w:p>
    <w:p>
      <w:pPr>
        <w:pStyle w:val="Normal"/>
        <w:spacing w:lineRule="auto" w:line="288" w:before="0" w:after="140"/>
        <w:ind w:left="480" w:right="0" w:hanging="480"/>
        <w:rPr>
          <w:rFonts w:ascii="Times New Roman" w:hAnsi="Times New Roman"/>
          <w:sz w:val="24"/>
        </w:rPr>
      </w:pPr>
      <w:r>
        <w:rPr>
          <w:sz w:val="24"/>
        </w:rPr>
        <w:t xml:space="preserve">Molero Jurado, M. D. M., Pérez-Fuentes, M. D. C., Gázquez Linares, J. J. G., Simón Márquez, M. D. M., &amp; Martos Martínez, Á. (2018). Burnout Risk and Protection Factors in Certified Nursing Aides. </w:t>
      </w:r>
      <w:r>
        <w:rPr>
          <w:i/>
          <w:sz w:val="24"/>
        </w:rPr>
        <w:t>International Journal of Environmental Research and Public Health</w:t>
      </w:r>
      <w:r>
        <w:rPr>
          <w:sz w:val="24"/>
        </w:rPr>
        <w:t xml:space="preserve">, </w:t>
      </w:r>
      <w:r>
        <w:rPr>
          <w:i/>
          <w:sz w:val="24"/>
        </w:rPr>
        <w:t>15</w:t>
      </w:r>
      <w:r>
        <w:rPr>
          <w:sz w:val="24"/>
        </w:rPr>
        <w:t>(6). https://doi.org/10.3390/ijerph15061116</w:t>
      </w:r>
    </w:p>
    <w:p>
      <w:pPr>
        <w:pStyle w:val="Normal"/>
        <w:spacing w:lineRule="auto" w:line="288" w:before="0" w:after="140"/>
        <w:ind w:left="480" w:right="0" w:hanging="480"/>
        <w:rPr>
          <w:rFonts w:ascii="Times New Roman" w:hAnsi="Times New Roman"/>
          <w:sz w:val="24"/>
        </w:rPr>
      </w:pPr>
      <w:r>
        <w:rPr>
          <w:sz w:val="24"/>
        </w:rPr>
        <w:t xml:space="preserve">Montero, J., García Campayo, J., &amp; Andrés, E. (2009). Validez factorial de la estructura del cuestionario breve de Burnout (CBB) en una muestra de docentes en Aragón. </w:t>
      </w:r>
      <w:r>
        <w:rPr>
          <w:i/>
          <w:sz w:val="24"/>
        </w:rPr>
        <w:t>Revista de Psicopatología y Psicología Clínica</w:t>
      </w:r>
      <w:r>
        <w:rPr>
          <w:sz w:val="24"/>
        </w:rPr>
        <w:t xml:space="preserve">, </w:t>
      </w:r>
      <w:r>
        <w:rPr>
          <w:i/>
          <w:sz w:val="24"/>
        </w:rPr>
        <w:t>14</w:t>
      </w:r>
      <w:r>
        <w:rPr>
          <w:sz w:val="24"/>
        </w:rPr>
        <w:t>(2), 123–132. https://doi.org/10.5944/rppc.vol.14.num.2.2009.4071</w:t>
      </w:r>
    </w:p>
    <w:p>
      <w:pPr>
        <w:pStyle w:val="Normal"/>
        <w:spacing w:lineRule="auto" w:line="288" w:before="0" w:after="140"/>
        <w:ind w:left="480" w:right="0" w:hanging="480"/>
        <w:rPr>
          <w:rFonts w:ascii="Times New Roman" w:hAnsi="Times New Roman"/>
          <w:sz w:val="24"/>
        </w:rPr>
      </w:pPr>
      <w:r>
        <w:rPr>
          <w:sz w:val="24"/>
        </w:rPr>
        <w:t xml:space="preserve">Moreno-Jiménez, B., Bustos, R., Matallana, A., &amp; Mirales, T. (1997). La evaluación del burnout: Problemas y alternativas: EL CBB como evaluación de los elementos del proceso. </w:t>
      </w:r>
      <w:r>
        <w:rPr>
          <w:i/>
          <w:sz w:val="24"/>
        </w:rPr>
        <w:t>Revista de Psicología Del Trabajo y de Las Organizaciones</w:t>
      </w:r>
      <w:r>
        <w:rPr>
          <w:sz w:val="24"/>
        </w:rPr>
        <w:t xml:space="preserve">, </w:t>
      </w:r>
      <w:r>
        <w:rPr>
          <w:i/>
          <w:sz w:val="24"/>
        </w:rPr>
        <w:t>13</w:t>
      </w:r>
      <w:r>
        <w:rPr>
          <w:sz w:val="24"/>
        </w:rPr>
        <w:t>(2), 185–208.</w:t>
      </w:r>
    </w:p>
    <w:p>
      <w:pPr>
        <w:pStyle w:val="Normal"/>
        <w:spacing w:lineRule="auto" w:line="288" w:before="0" w:after="140"/>
        <w:ind w:left="480" w:right="0" w:hanging="480"/>
        <w:rPr>
          <w:rFonts w:ascii="Times New Roman" w:hAnsi="Times New Roman"/>
          <w:sz w:val="24"/>
        </w:rPr>
      </w:pPr>
      <w:r>
        <w:rPr>
          <w:sz w:val="24"/>
        </w:rPr>
        <w:t xml:space="preserve">Moreno-Jiménez, B., Yeo-ayala, M.-C., &amp; Fresán-Orellana, A. (2020). An exploration of key issues and potential solutions that impact physician wellbeing and professional fulfillment at an academic center. </w:t>
      </w:r>
      <w:r>
        <w:rPr>
          <w:i/>
          <w:sz w:val="24"/>
        </w:rPr>
        <w:t>Salud Mental</w:t>
      </w:r>
      <w:r>
        <w:rPr>
          <w:sz w:val="24"/>
        </w:rPr>
        <w:t xml:space="preserve">, </w:t>
      </w:r>
      <w:r>
        <w:rPr>
          <w:i/>
          <w:sz w:val="24"/>
        </w:rPr>
        <w:t>45</w:t>
      </w:r>
      <w:r>
        <w:rPr>
          <w:sz w:val="24"/>
        </w:rPr>
        <w:t>(5), 191–193. https://doi.org/10.7717/peerj.1783</w:t>
      </w:r>
    </w:p>
    <w:p>
      <w:pPr>
        <w:pStyle w:val="Normal"/>
        <w:spacing w:lineRule="auto" w:line="288" w:before="0" w:after="140"/>
        <w:ind w:left="480" w:right="0" w:hanging="480"/>
        <w:rPr>
          <w:rFonts w:ascii="Times New Roman" w:hAnsi="Times New Roman"/>
          <w:sz w:val="24"/>
        </w:rPr>
      </w:pPr>
      <w:r>
        <w:rPr>
          <w:sz w:val="24"/>
        </w:rPr>
        <w:t xml:space="preserve">Observatorio Territorio Uruguay. (2011). </w:t>
      </w:r>
      <w:r>
        <w:rPr>
          <w:i/>
          <w:sz w:val="24"/>
        </w:rPr>
        <w:t>Densidad de Población</w:t>
      </w:r>
      <w:r>
        <w:rPr>
          <w:sz w:val="24"/>
        </w:rPr>
        <w:t>. https://otu.opp.gub.uy/?q=listados/listados_datos_formato&amp;id=1319&amp;cant=0&amp;fecha=2011-01-01</w:t>
      </w:r>
    </w:p>
    <w:p>
      <w:pPr>
        <w:pStyle w:val="Normal"/>
        <w:spacing w:lineRule="auto" w:line="288" w:before="0" w:after="140"/>
        <w:ind w:left="480" w:right="0" w:hanging="480"/>
        <w:rPr>
          <w:rFonts w:ascii="Times New Roman" w:hAnsi="Times New Roman"/>
          <w:sz w:val="24"/>
        </w:rPr>
      </w:pPr>
      <w:r>
        <w:rPr>
          <w:sz w:val="24"/>
        </w:rPr>
        <w:t xml:space="preserve">Paredes, O., &amp; Sanabria-Ferrand, P. (2008). Prevalencia del Síndrome de Burnout en residentes de especialidades médico quirúrgicas, su relación con el bienestar psicológico y con variables sociodemográficas y laborales. </w:t>
      </w:r>
      <w:r>
        <w:rPr>
          <w:i/>
          <w:sz w:val="24"/>
        </w:rPr>
        <w:t>Revista Med</w:t>
      </w:r>
      <w:r>
        <w:rPr>
          <w:sz w:val="24"/>
        </w:rPr>
        <w:t xml:space="preserve">, </w:t>
      </w:r>
      <w:r>
        <w:rPr>
          <w:i/>
          <w:sz w:val="24"/>
        </w:rPr>
        <w:t>16</w:t>
      </w:r>
      <w:r>
        <w:rPr>
          <w:sz w:val="24"/>
        </w:rPr>
        <w:t>(1), 25–32.</w:t>
      </w:r>
    </w:p>
    <w:p>
      <w:pPr>
        <w:pStyle w:val="Normal"/>
        <w:spacing w:lineRule="auto" w:line="288" w:before="0" w:after="140"/>
        <w:ind w:left="480" w:right="0" w:hanging="480"/>
        <w:rPr>
          <w:rFonts w:ascii="Times New Roman" w:hAnsi="Times New Roman"/>
          <w:sz w:val="24"/>
        </w:rPr>
      </w:pPr>
      <w:r>
        <w:rPr>
          <w:sz w:val="24"/>
        </w:rPr>
        <w:t xml:space="preserve">Pérez-Fuentes, M. D. C., Jurado, M. D. M. M., Martínez, Á. M., &amp; Linares, J. J. G. (2018). New burnout evaluation model based on the brief burnout questionnaire: Psychometric properties for nursing. </w:t>
      </w:r>
      <w:r>
        <w:rPr>
          <w:i/>
          <w:sz w:val="24"/>
        </w:rPr>
        <w:t>International Journal of Environmental Research and Public Health</w:t>
      </w:r>
      <w:r>
        <w:rPr>
          <w:sz w:val="24"/>
        </w:rPr>
        <w:t xml:space="preserve">, </w:t>
      </w:r>
      <w:r>
        <w:rPr>
          <w:i/>
          <w:sz w:val="24"/>
        </w:rPr>
        <w:t>15</w:t>
      </w:r>
      <w:r>
        <w:rPr>
          <w:sz w:val="24"/>
        </w:rPr>
        <w:t>(12). https://doi.org/10.3390/ijerph15122718</w:t>
      </w:r>
    </w:p>
    <w:p>
      <w:pPr>
        <w:pStyle w:val="Normal"/>
        <w:spacing w:lineRule="auto" w:line="288" w:before="0" w:after="140"/>
        <w:ind w:left="480" w:right="0" w:hanging="480"/>
        <w:rPr>
          <w:rFonts w:ascii="Times New Roman" w:hAnsi="Times New Roman"/>
          <w:sz w:val="24"/>
        </w:rPr>
      </w:pPr>
      <w:r>
        <w:rPr>
          <w:sz w:val="24"/>
        </w:rPr>
        <w:t xml:space="preserve">Poder Ejecutivo de la República Oriental del Uruguay. (2020). </w:t>
      </w:r>
      <w:r>
        <w:rPr>
          <w:i/>
          <w:sz w:val="24"/>
        </w:rPr>
        <w:t>Decreto Nro 93/20. Declaración del estado de emergencia nacional sanitaria como consecuencia de la pandemia originada por el virus COVID-19 (Coronavirus)</w:t>
      </w:r>
      <w:r>
        <w:rPr>
          <w:sz w:val="24"/>
        </w:rPr>
        <w:t>. https://www.impo.com.uy/bases/decretos/93-2020</w:t>
      </w:r>
    </w:p>
    <w:p>
      <w:pPr>
        <w:pStyle w:val="Normal"/>
        <w:spacing w:lineRule="auto" w:line="288" w:before="0" w:after="140"/>
        <w:ind w:left="480" w:right="0" w:hanging="480"/>
        <w:rPr>
          <w:rFonts w:ascii="Times New Roman" w:hAnsi="Times New Roman"/>
          <w:sz w:val="24"/>
        </w:rPr>
      </w:pPr>
      <w:r>
        <w:rPr>
          <w:sz w:val="24"/>
        </w:rPr>
        <w:t xml:space="preserve">Roger, M. C., Abalo, J. G., Guerra, M. E., &amp; Pérez, C. M. (2013). Afrontamientos y emociones en profesionales de enfermería oncológica con síndrome de desgaste profesional. </w:t>
      </w:r>
      <w:r>
        <w:rPr>
          <w:i/>
          <w:sz w:val="24"/>
        </w:rPr>
        <w:t>Psicología y Salud</w:t>
      </w:r>
      <w:r>
        <w:rPr>
          <w:sz w:val="24"/>
        </w:rPr>
        <w:t xml:space="preserve">, </w:t>
      </w:r>
      <w:r>
        <w:rPr>
          <w:i/>
          <w:sz w:val="24"/>
        </w:rPr>
        <w:t>16</w:t>
      </w:r>
      <w:r>
        <w:rPr>
          <w:sz w:val="24"/>
        </w:rPr>
        <w:t>(2), 115–128.</w:t>
      </w:r>
    </w:p>
    <w:p>
      <w:pPr>
        <w:pStyle w:val="Normal"/>
        <w:spacing w:lineRule="auto" w:line="288" w:before="0" w:after="140"/>
        <w:ind w:left="480" w:right="0" w:hanging="480"/>
        <w:rPr>
          <w:rFonts w:ascii="Times New Roman" w:hAnsi="Times New Roman"/>
          <w:sz w:val="24"/>
        </w:rPr>
      </w:pPr>
      <w:r>
        <w:rPr>
          <w:sz w:val="24"/>
        </w:rPr>
        <w:t xml:space="preserve">Shigemura, J., Ursano, R. J., Morganstein, J. C., Kurosawa, M., &amp; Benedek, D. M. (2020). Public responses to the novel 2019 coronavirus (2019‐nCoV) in Japan: mental health consequences and target populations. </w:t>
      </w:r>
      <w:r>
        <w:rPr>
          <w:i/>
          <w:sz w:val="24"/>
        </w:rPr>
        <w:t>Psychiatry and Clinical Neurosciences</w:t>
      </w:r>
      <w:r>
        <w:rPr>
          <w:sz w:val="24"/>
        </w:rPr>
        <w:t>. https://doi.org/10.1111/pcn.12988</w:t>
      </w:r>
    </w:p>
    <w:p>
      <w:pPr>
        <w:pStyle w:val="Normal"/>
        <w:spacing w:lineRule="auto" w:line="288" w:before="0" w:after="140"/>
        <w:ind w:left="480" w:right="0" w:hanging="480"/>
        <w:rPr>
          <w:rFonts w:ascii="Times New Roman" w:hAnsi="Times New Roman"/>
          <w:sz w:val="24"/>
        </w:rPr>
      </w:pPr>
      <w:r>
        <w:rPr>
          <w:sz w:val="24"/>
        </w:rPr>
        <w:t xml:space="preserve">Sistema Nacional de Emergencias del Uruguay. (2020a). </w:t>
      </w:r>
      <w:r>
        <w:rPr>
          <w:i/>
          <w:sz w:val="24"/>
        </w:rPr>
        <w:t>Informe de situación sobre coronavirus COVID-19 en Uruguay 14 de octubre</w:t>
      </w:r>
      <w:r>
        <w:rPr>
          <w:sz w:val="24"/>
        </w:rPr>
        <w:t>.</w:t>
      </w:r>
    </w:p>
    <w:p>
      <w:pPr>
        <w:pStyle w:val="Normal"/>
        <w:spacing w:lineRule="auto" w:line="288" w:before="0" w:after="140"/>
        <w:ind w:left="480" w:right="0" w:hanging="480"/>
        <w:rPr>
          <w:rFonts w:ascii="Times New Roman" w:hAnsi="Times New Roman"/>
          <w:sz w:val="24"/>
        </w:rPr>
      </w:pPr>
      <w:r>
        <w:rPr>
          <w:sz w:val="24"/>
        </w:rPr>
        <w:t xml:space="preserve">Sistema Nacional de Emergencias del Uruguay. (2020b). </w:t>
      </w:r>
      <w:r>
        <w:rPr>
          <w:i/>
          <w:sz w:val="24"/>
        </w:rPr>
        <w:t>Informe de situación sobre coronavirus COVID-19 en Uruguay 18 de Junio</w:t>
      </w:r>
      <w:r>
        <w:rPr>
          <w:sz w:val="24"/>
        </w:rPr>
        <w:t>.</w:t>
      </w:r>
    </w:p>
    <w:p>
      <w:pPr>
        <w:pStyle w:val="Normal"/>
        <w:spacing w:lineRule="auto" w:line="288" w:before="0" w:after="140"/>
        <w:ind w:left="480" w:right="0" w:hanging="480"/>
        <w:rPr>
          <w:rFonts w:ascii="Times New Roman" w:hAnsi="Times New Roman"/>
          <w:sz w:val="24"/>
        </w:rPr>
      </w:pPr>
      <w:r>
        <w:rPr>
          <w:sz w:val="24"/>
        </w:rPr>
        <w:t xml:space="preserve">Torales, J., Higgins, M. O., Castaldelli-maia, J. M., &amp; Ventriglio, A. (2020). The outbreak of COVID-19 coronavirus and its impact on global mental health. </w:t>
      </w:r>
      <w:r>
        <w:rPr>
          <w:i/>
          <w:sz w:val="24"/>
        </w:rPr>
        <w:t>International Journal of Social Psychiatry</w:t>
      </w:r>
      <w:r>
        <w:rPr>
          <w:sz w:val="24"/>
        </w:rPr>
        <w:t xml:space="preserve">, </w:t>
      </w:r>
      <w:r>
        <w:rPr>
          <w:i/>
          <w:sz w:val="24"/>
        </w:rPr>
        <w:t>00</w:t>
      </w:r>
      <w:r>
        <w:rPr>
          <w:sz w:val="24"/>
        </w:rPr>
        <w:t>(0), 1–4. https://doi.org/10.1177/0020764020915212</w:t>
      </w:r>
    </w:p>
    <w:p>
      <w:pPr>
        <w:pStyle w:val="Normal"/>
        <w:spacing w:lineRule="auto" w:line="288" w:before="0" w:after="140"/>
        <w:ind w:left="480" w:right="0" w:hanging="480"/>
        <w:rPr>
          <w:rFonts w:ascii="Times New Roman" w:hAnsi="Times New Roman"/>
          <w:sz w:val="24"/>
        </w:rPr>
      </w:pPr>
      <w:r>
        <w:rPr>
          <w:sz w:val="24"/>
        </w:rPr>
        <w:t xml:space="preserve">Torous, J., Jän Myrick, K., Rauseo-Ricupero, N., &amp; Firth, J. (2020). Digital Mental Health and COVID-19: Using Technology Today to Accelerate the Curve on Access and Quality Tomorrow. </w:t>
      </w:r>
      <w:r>
        <w:rPr>
          <w:i/>
          <w:sz w:val="24"/>
        </w:rPr>
        <w:t>JMIR Mental Health</w:t>
      </w:r>
      <w:r>
        <w:rPr>
          <w:sz w:val="24"/>
        </w:rPr>
        <w:t xml:space="preserve">, </w:t>
      </w:r>
      <w:r>
        <w:rPr>
          <w:i/>
          <w:sz w:val="24"/>
        </w:rPr>
        <w:t>7</w:t>
      </w:r>
      <w:r>
        <w:rPr>
          <w:sz w:val="24"/>
        </w:rPr>
        <w:t>(3), e18848. https://doi.org/10.2196/18848</w:t>
      </w:r>
    </w:p>
    <w:p>
      <w:pPr>
        <w:pStyle w:val="Normal"/>
        <w:spacing w:lineRule="auto" w:line="288" w:before="0" w:after="140"/>
        <w:ind w:left="480" w:right="0" w:hanging="480"/>
        <w:rPr>
          <w:rFonts w:ascii="Times New Roman" w:hAnsi="Times New Roman"/>
          <w:sz w:val="24"/>
        </w:rPr>
      </w:pPr>
      <w:r>
        <w:rPr>
          <w:sz w:val="24"/>
        </w:rPr>
        <w:t xml:space="preserve">Urzúa, A., Vera-Villarroel, P., Caqueo-Urízar, A., &amp; Polanco-Carrasco, R. (2020). La Psicología en la prevención y manejo del COVID-19. Aportes desde la evidencia inicial. </w:t>
      </w:r>
      <w:r>
        <w:rPr>
          <w:i/>
          <w:sz w:val="24"/>
        </w:rPr>
        <w:t>Terapia Psicológica</w:t>
      </w:r>
      <w:r>
        <w:rPr>
          <w:sz w:val="24"/>
        </w:rPr>
        <w:t xml:space="preserve">, </w:t>
      </w:r>
      <w:r>
        <w:rPr>
          <w:i/>
          <w:sz w:val="24"/>
        </w:rPr>
        <w:t>38</w:t>
      </w:r>
      <w:r>
        <w:rPr>
          <w:sz w:val="24"/>
        </w:rPr>
        <w:t>(1), 103–118. https://doi.org/10.4067/s0718-48082020000100103</w:t>
      </w:r>
    </w:p>
    <w:p>
      <w:pPr>
        <w:pStyle w:val="Normal"/>
        <w:spacing w:lineRule="auto" w:line="288" w:before="0" w:after="140"/>
        <w:ind w:left="480" w:right="0" w:hanging="480"/>
        <w:rPr>
          <w:rFonts w:ascii="Times New Roman" w:hAnsi="Times New Roman"/>
          <w:sz w:val="24"/>
        </w:rPr>
      </w:pPr>
      <w:r>
        <w:rPr>
          <w:sz w:val="24"/>
        </w:rPr>
        <w:t xml:space="preserve">Valdivieso Romero, J. F., Amador Romero, F. J., Gómez Hernández, L., &amp; Hernández de la Cantera, D. (2016). Sindrome de Burnout en Enfermeros que laboran en las Unidades de Cuidados Intensivos, Intermedios y Coronarios del Hospital “Joaquin Albarran.” </w:t>
      </w:r>
      <w:r>
        <w:rPr>
          <w:i/>
          <w:sz w:val="24"/>
        </w:rPr>
        <w:t>Revista Cubana de Salud y Trabajo</w:t>
      </w:r>
      <w:r>
        <w:rPr>
          <w:sz w:val="24"/>
        </w:rPr>
        <w:t xml:space="preserve">, </w:t>
      </w:r>
      <w:r>
        <w:rPr>
          <w:i/>
          <w:sz w:val="24"/>
        </w:rPr>
        <w:t>17</w:t>
      </w:r>
      <w:r>
        <w:rPr>
          <w:sz w:val="24"/>
        </w:rPr>
        <w:t>(4), 3–11.</w:t>
      </w:r>
    </w:p>
    <w:p>
      <w:pPr>
        <w:pStyle w:val="Normal"/>
        <w:spacing w:lineRule="auto" w:line="288" w:before="0" w:after="140"/>
        <w:ind w:left="480" w:right="0" w:hanging="480"/>
        <w:rPr>
          <w:rFonts w:ascii="Times New Roman" w:hAnsi="Times New Roman"/>
          <w:sz w:val="24"/>
        </w:rPr>
      </w:pPr>
      <w:r>
        <w:rPr>
          <w:sz w:val="24"/>
        </w:rPr>
        <w:t xml:space="preserve">von Bergen, A., &amp; de la Parra, G. (2002). OQ-45.2, Cuestionario para evaluación de resultados y evolución en psicoterapia: Adaptación, validación e indicaciones para su aplicación e interpretación. </w:t>
      </w:r>
      <w:r>
        <w:rPr>
          <w:i/>
          <w:sz w:val="24"/>
        </w:rPr>
        <w:t>Terapia Psicológica</w:t>
      </w:r>
      <w:r>
        <w:rPr>
          <w:sz w:val="24"/>
        </w:rPr>
        <w:t>.</w:t>
      </w:r>
    </w:p>
    <w:p>
      <w:pPr>
        <w:pStyle w:val="Normal"/>
        <w:spacing w:lineRule="auto" w:line="288" w:before="0" w:after="140"/>
        <w:ind w:left="480" w:right="0" w:hanging="480"/>
        <w:rPr>
          <w:rFonts w:ascii="Times New Roman" w:hAnsi="Times New Roman"/>
          <w:sz w:val="24"/>
        </w:rPr>
      </w:pPr>
      <w:r>
        <w:rPr>
          <w:sz w:val="24"/>
        </w:rPr>
        <w:t xml:space="preserve">World Health Organization. (2020a). Mental Health and Psychosocial Considerations During COVID-19 Outbreak. In </w:t>
      </w:r>
      <w:r>
        <w:rPr>
          <w:i/>
          <w:sz w:val="24"/>
        </w:rPr>
        <w:t>World Health Organization</w:t>
      </w:r>
      <w:r>
        <w:rPr>
          <w:sz w:val="24"/>
        </w:rPr>
        <w:t xml:space="preserve"> (Issue March).</w:t>
      </w:r>
    </w:p>
    <w:p>
      <w:pPr>
        <w:pStyle w:val="Normal"/>
        <w:spacing w:lineRule="auto" w:line="288" w:before="0" w:after="140"/>
        <w:ind w:left="480" w:right="0" w:hanging="480"/>
        <w:rPr>
          <w:rFonts w:ascii="Times New Roman" w:hAnsi="Times New Roman"/>
          <w:sz w:val="24"/>
        </w:rPr>
      </w:pPr>
      <w:r>
        <w:rPr>
          <w:sz w:val="24"/>
        </w:rPr>
        <w:t xml:space="preserve">World Health Organization. (2020b). </w:t>
      </w:r>
      <w:r>
        <w:rPr>
          <w:i/>
          <w:sz w:val="24"/>
        </w:rPr>
        <w:t>Nuevo coronavirus 2019</w:t>
      </w:r>
      <w:r>
        <w:rPr>
          <w:sz w:val="24"/>
        </w:rPr>
        <w:t>. Brote de Enfermedad Por Coronavirus (COVID-19). https://www.who.int/es/emergencies/diseases/novel-coronavirus-2019</w:t>
      </w:r>
    </w:p>
    <w:p>
      <w:pPr>
        <w:pStyle w:val="Normal"/>
        <w:rPr>
          <w:rFonts w:ascii="Times New Roman" w:hAnsi="Times New Roman"/>
          <w:sz w:val="24"/>
        </w:rPr>
      </w:pPr>
      <w:r>
        <w:rPr>
          <w:sz w:val="24"/>
        </w:rPr>
        <w:t xml:space="preserve">World Health Organization. (2020c). </w:t>
      </w:r>
      <w:r>
        <w:rPr>
          <w:i/>
          <w:sz w:val="24"/>
        </w:rPr>
        <w:t>WHO Coronavirus Disease (COVID-19) Dashboard</w:t>
      </w:r>
      <w:r>
        <w:rPr>
          <w:sz w:val="24"/>
        </w:rPr>
        <w:t>. https://covid19.who.int/</w:t>
      </w:r>
    </w:p>
    <w:p>
      <w:pPr>
        <w:sectPr>
          <w:type w:val="continuous"/>
          <w:pgSz w:w="12240" w:h="15840"/>
          <w:pgMar w:left="1440" w:right="1440" w:header="720" w:top="1440" w:footer="720" w:bottom="1440" w:gutter="0"/>
          <w:formProt w:val="false"/>
          <w:textDirection w:val="lrTb"/>
          <w:docGrid w:type="default" w:linePitch="360" w:charSpace="0"/>
        </w:sectPr>
      </w:pPr>
    </w:p>
    <w:p>
      <w:pPr>
        <w:pStyle w:val="Normal"/>
        <w:ind w:left="720" w:right="0" w:hanging="720"/>
        <w:jc w:val="both"/>
        <w:rPr/>
      </w:pPr>
      <w:r>
        <w:rPr>
          <w:rStyle w:val="EnlacedeInternet"/>
          <w:lang w:val="es-AR"/>
        </w:rPr>
        <w:t xml:space="preserve"> </w:t>
      </w:r>
    </w:p>
    <w:sectPr>
      <w:headerReference w:type="even" r:id="rId13"/>
      <w:headerReference w:type="default" r:id="rId14"/>
      <w:footerReference w:type="even" r:id="rId15"/>
      <w:footerReference w:type="default" r:id="rId16"/>
      <w:type w:val="continuous"/>
      <w:pgSz w:w="12240" w:h="15840"/>
      <w:pgMar w:left="1440" w:right="144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Times new roman">
    <w:charset w:val="01"/>
    <w:family w:val="roman"/>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left="3960" w:right="0" w:firstLine="3960"/>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20</w:t>
    </w:r>
    <w:r>
      <w:rPr>
        <w:rStyle w:val="Pagenumber"/>
        <w:sz w:val="16"/>
        <w:szCs w:val="16"/>
        <w:rFonts w:ascii="Times" w:hAnsi="Times"/>
      </w:rPr>
      <w:fldChar w:fldCharType="end"/>
    </w:r>
  </w:p>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19</w:t>
    </w:r>
    <w:r>
      <w:rPr>
        <w:rStyle w:val="Pagenumber"/>
        <w:sz w:val="16"/>
        <w:szCs w:val="16"/>
        <w:rFonts w:ascii="Times" w:hAnsi="Times"/>
      </w:rPr>
      <w:fldChar w:fldCharType="end"/>
    </w:r>
  </w:p>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left="3960" w:right="0" w:firstLine="3960"/>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20</w:t>
    </w:r>
    <w:r>
      <w:rPr>
        <w:rStyle w:val="Pagenumber"/>
        <w:sz w:val="16"/>
        <w:szCs w:val="16"/>
        <w:rFonts w:ascii="Times" w:hAnsi="Times"/>
      </w:rPr>
      <w:fldChar w:fldCharType="end"/>
    </w:r>
  </w:p>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19</w:t>
    </w:r>
    <w:r>
      <w:rPr>
        <w:rStyle w:val="Pagenumber"/>
        <w:sz w:val="16"/>
        <w:szCs w:val="16"/>
        <w:rFonts w:ascii="Times" w:hAnsi="Times"/>
      </w:rPr>
      <w:fldChar w:fldCharType="end"/>
    </w:r>
  </w:p>
  <w:p>
    <w:pPr>
      <w:pStyle w:val="Piedepgin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left="3960" w:right="0" w:firstLine="3960"/>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20</w:t>
    </w:r>
    <w:r>
      <w:rPr>
        <w:rStyle w:val="Pagenumber"/>
        <w:sz w:val="16"/>
        <w:szCs w:val="16"/>
        <w:rFonts w:ascii="Times" w:hAnsi="Times"/>
      </w:rPr>
      <w:fldChar w:fldCharType="end"/>
    </w:r>
  </w:p>
  <w:p>
    <w:pPr>
      <w:pStyle w:val="Piedepgina"/>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Fonts w:cs="Times" w:ascii="Times" w:hAnsi="Times"/>
        <w:sz w:val="16"/>
        <w:szCs w:val="16"/>
      </w:rPr>
      <w:t xml:space="preserve">ARTICLE | </w:t>
    </w:r>
    <w:r>
      <w:rPr>
        <w:rStyle w:val="Pagenumber"/>
        <w:rFonts w:ascii="Times" w:hAnsi="Times"/>
        <w:sz w:val="16"/>
        <w:szCs w:val="16"/>
      </w:rPr>
      <w:fldChar w:fldCharType="begin"/>
    </w:r>
    <w:r>
      <w:rPr>
        <w:rStyle w:val="Pagenumber"/>
        <w:sz w:val="16"/>
        <w:szCs w:val="16"/>
        <w:rFonts w:ascii="Times" w:hAnsi="Times"/>
      </w:rPr>
      <w:instrText> PAGE </w:instrText>
    </w:r>
    <w:r>
      <w:rPr>
        <w:rStyle w:val="Pagenumber"/>
        <w:sz w:val="16"/>
        <w:szCs w:val="16"/>
        <w:rFonts w:ascii="Times" w:hAnsi="Times"/>
      </w:rPr>
      <w:fldChar w:fldCharType="separate"/>
    </w:r>
    <w:r>
      <w:rPr>
        <w:rStyle w:val="Pagenumber"/>
        <w:sz w:val="16"/>
        <w:szCs w:val="16"/>
        <w:rFonts w:ascii="Times" w:hAnsi="Times"/>
      </w:rPr>
      <w:t>19</w:t>
    </w:r>
    <w:r>
      <w:rPr>
        <w:rStyle w:val="Pagenumber"/>
        <w:sz w:val="16"/>
        <w:szCs w:val="16"/>
        <w:rFonts w:ascii="Times" w:hAnsi="Times"/>
      </w:rPr>
      <w:fldChar w:fldCharType="end"/>
    </w:r>
  </w:p>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ascii="Times" w:hAnsi="Times" w:cs="Times New Roman (Body CS)"/>
        <w:smallCaps/>
        <w:sz w:val="20"/>
        <w:szCs w:val="20"/>
        <w:lang w:val="es-ES"/>
      </w:rPr>
    </w:pPr>
    <w:r>
      <w:rPr>
        <w:rFonts w:cs="Times New Roman (Body CS)" w:ascii="Times" w:hAnsi="Times"/>
        <w:smallCaps/>
        <w:sz w:val="20"/>
        <w:szCs w:val="20"/>
        <w:lang w:val="es-ES"/>
      </w:rPr>
      <w:t>Modelo de Envío de Manuscrito</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Times" w:hAnsi="Times"/>
        <w:b/>
        <w:b/>
        <w:i/>
        <w:i/>
        <w:sz w:val="18"/>
        <w:szCs w:val="18"/>
        <w:lang w:val="es-ES"/>
      </w:rPr>
    </w:pPr>
    <w:r>
      <w:drawing>
        <wp:anchor behindDoc="1" distT="0" distB="0" distL="0" distR="0" simplePos="0" locked="0" layoutInCell="1" allowOverlap="1" relativeHeight="11">
          <wp:simplePos x="0" y="0"/>
          <wp:positionH relativeFrom="column">
            <wp:posOffset>64770</wp:posOffset>
          </wp:positionH>
          <wp:positionV relativeFrom="paragraph">
            <wp:posOffset>-253365</wp:posOffset>
          </wp:positionV>
          <wp:extent cx="681355" cy="628015"/>
          <wp:effectExtent l="0" t="0" r="0" b="0"/>
          <wp:wrapNone/>
          <wp:docPr id="3" name="Imagem 2" desc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
                    <a:hlinkClick r:id="rId2"/>
                  </pic:cNvPr>
                  <pic:cNvPicPr>
                    <a:picLocks noChangeAspect="1" noChangeArrowheads="1"/>
                  </pic:cNvPicPr>
                </pic:nvPicPr>
                <pic:blipFill>
                  <a:blip r:embed="rId1"/>
                  <a:srcRect l="18635" t="0" r="0" b="0"/>
                  <a:stretch>
                    <a:fillRect/>
                  </a:stretch>
                </pic:blipFill>
                <pic:spPr bwMode="auto">
                  <a:xfrm>
                    <a:off x="0" y="0"/>
                    <a:ext cx="681355" cy="628015"/>
                  </a:xfrm>
                  <a:prstGeom prst="rect">
                    <a:avLst/>
                  </a:prstGeom>
                </pic:spPr>
              </pic:pic>
            </a:graphicData>
          </a:graphic>
        </wp:anchor>
      </w:drawing>
    </w:r>
    <w:r>
      <w:rPr>
        <w:rFonts w:ascii="Times" w:hAnsi="Times"/>
        <w:b/>
        <w:i/>
        <w:sz w:val="18"/>
        <w:szCs w:val="18"/>
        <w:lang w:val="es-ES"/>
      </w:rPr>
      <w:t>R</w:t>
    </w:r>
    <w:r>
      <w:rPr>
        <w:rFonts w:ascii="Times" w:hAnsi="Times"/>
        <w:b/>
        <w:i/>
        <w:sz w:val="18"/>
        <w:szCs w:val="18"/>
        <w:lang w:val="es-ES"/>
      </w:rPr>
      <w:t>evista Interamericana de Psicología/Interamerican Journal of Psychology</w:t>
    </w:r>
  </w:p>
  <w:p>
    <w:pPr>
      <w:pStyle w:val="Cabecera"/>
      <w:jc w:val="right"/>
      <w:rPr>
        <w:rFonts w:ascii="Times" w:hAnsi="Times"/>
        <w:i/>
        <w:i/>
        <w:sz w:val="18"/>
        <w:szCs w:val="18"/>
        <w:lang w:val="es-ES"/>
      </w:rPr>
    </w:pPr>
    <w:r>
      <w:rPr>
        <w:rFonts w:ascii="Times" w:hAnsi="Times"/>
        <w:i/>
        <w:sz w:val="18"/>
        <w:szCs w:val="18"/>
        <w:lang w:val="es-ES"/>
      </w:rPr>
      <w:t>Modelo de Envío de Manuscrito</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ascii="Times" w:hAnsi="Times" w:cs="Times New Roman (Body CS)"/>
        <w:smallCaps/>
        <w:sz w:val="20"/>
        <w:szCs w:val="20"/>
        <w:lang w:val="es-ES"/>
      </w:rPr>
    </w:pPr>
    <w:r>
      <w:rPr>
        <w:rFonts w:cs="Times New Roman (Body CS)" w:ascii="Times" w:hAnsi="Times"/>
        <w:smallCaps/>
        <w:sz w:val="20"/>
        <w:szCs w:val="20"/>
        <w:lang w:val="es-ES"/>
      </w:rPr>
      <w:t>Modelo de Envío de Manuscrito</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Times" w:hAnsi="Times"/>
        <w:b/>
        <w:b/>
        <w:i/>
        <w:i/>
        <w:sz w:val="18"/>
        <w:szCs w:val="18"/>
        <w:lang w:val="es-ES"/>
      </w:rPr>
    </w:pPr>
    <w:r>
      <w:drawing>
        <wp:anchor behindDoc="1" distT="0" distB="0" distL="0" distR="0" simplePos="0" locked="0" layoutInCell="1" allowOverlap="1" relativeHeight="11">
          <wp:simplePos x="0" y="0"/>
          <wp:positionH relativeFrom="column">
            <wp:posOffset>64770</wp:posOffset>
          </wp:positionH>
          <wp:positionV relativeFrom="paragraph">
            <wp:posOffset>-253365</wp:posOffset>
          </wp:positionV>
          <wp:extent cx="681355" cy="628015"/>
          <wp:effectExtent l="0" t="0" r="0" b="0"/>
          <wp:wrapNone/>
          <wp:docPr id="4" name="Imagem 2" desc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
                    <a:hlinkClick r:id="rId2"/>
                  </pic:cNvPr>
                  <pic:cNvPicPr>
                    <a:picLocks noChangeAspect="1" noChangeArrowheads="1"/>
                  </pic:cNvPicPr>
                </pic:nvPicPr>
                <pic:blipFill>
                  <a:blip r:embed="rId1"/>
                  <a:srcRect l="18635" t="0" r="0" b="0"/>
                  <a:stretch>
                    <a:fillRect/>
                  </a:stretch>
                </pic:blipFill>
                <pic:spPr bwMode="auto">
                  <a:xfrm>
                    <a:off x="0" y="0"/>
                    <a:ext cx="681355" cy="628015"/>
                  </a:xfrm>
                  <a:prstGeom prst="rect">
                    <a:avLst/>
                  </a:prstGeom>
                </pic:spPr>
              </pic:pic>
            </a:graphicData>
          </a:graphic>
        </wp:anchor>
      </w:drawing>
    </w:r>
    <w:r>
      <w:rPr>
        <w:rFonts w:ascii="Times" w:hAnsi="Times"/>
        <w:b/>
        <w:i/>
        <w:sz w:val="18"/>
        <w:szCs w:val="18"/>
        <w:lang w:val="es-ES"/>
      </w:rPr>
      <w:t>R</w:t>
    </w:r>
    <w:r>
      <w:rPr>
        <w:rFonts w:ascii="Times" w:hAnsi="Times"/>
        <w:b/>
        <w:i/>
        <w:sz w:val="18"/>
        <w:szCs w:val="18"/>
        <w:lang w:val="es-ES"/>
      </w:rPr>
      <w:t>evista Interamericana de Psicología/Interamerican Journal of Psychology</w:t>
    </w:r>
  </w:p>
  <w:p>
    <w:pPr>
      <w:pStyle w:val="Cabecera"/>
      <w:jc w:val="right"/>
      <w:rPr>
        <w:rFonts w:ascii="Times" w:hAnsi="Times"/>
        <w:i/>
        <w:i/>
        <w:sz w:val="18"/>
        <w:szCs w:val="18"/>
        <w:lang w:val="es-ES"/>
      </w:rPr>
    </w:pPr>
    <w:r>
      <w:rPr>
        <w:rFonts w:ascii="Times" w:hAnsi="Times"/>
        <w:i/>
        <w:sz w:val="18"/>
        <w:szCs w:val="18"/>
        <w:lang w:val="es-ES"/>
      </w:rPr>
      <w:t>Modelo de Envío de Manuscrito</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ascii="Times" w:hAnsi="Times" w:cs="Times New Roman (Body CS)"/>
        <w:smallCaps/>
        <w:sz w:val="20"/>
        <w:szCs w:val="20"/>
        <w:lang w:val="es-ES"/>
      </w:rPr>
    </w:pPr>
    <w:r>
      <w:rPr>
        <w:rFonts w:cs="Times New Roman (Body CS)" w:ascii="Times" w:hAnsi="Times"/>
        <w:smallCaps/>
        <w:sz w:val="20"/>
        <w:szCs w:val="20"/>
        <w:lang w:val="es-ES"/>
      </w:rPr>
      <w:t>Modelo de Envío de Manuscrito</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Times" w:hAnsi="Times"/>
        <w:b/>
        <w:b/>
        <w:i/>
        <w:i/>
        <w:sz w:val="18"/>
        <w:szCs w:val="18"/>
        <w:lang w:val="es-ES"/>
      </w:rPr>
    </w:pPr>
    <w:r>
      <w:drawing>
        <wp:anchor behindDoc="1" distT="0" distB="0" distL="0" distR="0" simplePos="0" locked="0" layoutInCell="1" allowOverlap="1" relativeHeight="11">
          <wp:simplePos x="0" y="0"/>
          <wp:positionH relativeFrom="column">
            <wp:posOffset>64770</wp:posOffset>
          </wp:positionH>
          <wp:positionV relativeFrom="paragraph">
            <wp:posOffset>-253365</wp:posOffset>
          </wp:positionV>
          <wp:extent cx="681355" cy="628015"/>
          <wp:effectExtent l="0" t="0" r="0" b="0"/>
          <wp:wrapNone/>
          <wp:docPr id="5" name="Imagem 2" desc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
                    <a:hlinkClick r:id="rId2"/>
                  </pic:cNvPr>
                  <pic:cNvPicPr>
                    <a:picLocks noChangeAspect="1" noChangeArrowheads="1"/>
                  </pic:cNvPicPr>
                </pic:nvPicPr>
                <pic:blipFill>
                  <a:blip r:embed="rId1"/>
                  <a:srcRect l="18635" t="0" r="0" b="0"/>
                  <a:stretch>
                    <a:fillRect/>
                  </a:stretch>
                </pic:blipFill>
                <pic:spPr bwMode="auto">
                  <a:xfrm>
                    <a:off x="0" y="0"/>
                    <a:ext cx="681355" cy="628015"/>
                  </a:xfrm>
                  <a:prstGeom prst="rect">
                    <a:avLst/>
                  </a:prstGeom>
                </pic:spPr>
              </pic:pic>
            </a:graphicData>
          </a:graphic>
        </wp:anchor>
      </w:drawing>
    </w:r>
    <w:r>
      <w:rPr>
        <w:rFonts w:ascii="Times" w:hAnsi="Times"/>
        <w:b/>
        <w:i/>
        <w:sz w:val="18"/>
        <w:szCs w:val="18"/>
        <w:lang w:val="es-ES"/>
      </w:rPr>
      <w:t>R</w:t>
    </w:r>
    <w:r>
      <w:rPr>
        <w:rFonts w:ascii="Times" w:hAnsi="Times"/>
        <w:b/>
        <w:i/>
        <w:sz w:val="18"/>
        <w:szCs w:val="18"/>
        <w:lang w:val="es-ES"/>
      </w:rPr>
      <w:t>evista Interamericana de Psicología/Interamerican Journal of Psychology</w:t>
    </w:r>
  </w:p>
  <w:p>
    <w:pPr>
      <w:pStyle w:val="Cabecera"/>
      <w:jc w:val="right"/>
      <w:rPr>
        <w:rFonts w:ascii="Times" w:hAnsi="Times"/>
        <w:i/>
        <w:i/>
        <w:sz w:val="18"/>
        <w:szCs w:val="18"/>
        <w:lang w:val="es-ES"/>
      </w:rPr>
    </w:pPr>
    <w:r>
      <w:rPr>
        <w:rFonts w:ascii="Times" w:hAnsi="Times"/>
        <w:i/>
        <w:sz w:val="18"/>
        <w:szCs w:val="18"/>
        <w:lang w:val="es-ES"/>
      </w:rPr>
      <w:t>Modelo de Envío de Manuscrito</w:t>
    </w:r>
  </w:p>
</w:hdr>
</file>

<file path=word/settings.xml><?xml version="1.0" encoding="utf-8"?>
<w:settings xmlns:w="http://schemas.openxmlformats.org/wordprocessingml/2006/main">
  <w:zoom w:percent="130"/>
  <w:defaultTabStop w:val="720"/>
  <w:autoHyphenation w:val="true"/>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4"/>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0"/>
      <w:jc w:val="left"/>
    </w:pPr>
    <w:rPr>
      <w:rFonts w:ascii="Times New Roman" w:hAnsi="Times New Roman" w:eastAsia="Times New Roman" w:cs="Times New Roman"/>
      <w:color w:val="auto"/>
      <w:kern w:val="0"/>
      <w:sz w:val="24"/>
      <w:szCs w:val="24"/>
      <w:lang w:val="es-ES_tradnl" w:eastAsia="es-ES_tradnl" w:bidi="ar-SA"/>
    </w:rPr>
  </w:style>
  <w:style w:type="paragraph" w:styleId="Ttulo2">
    <w:name w:val="Heading 2"/>
    <w:basedOn w:val="Normal"/>
    <w:next w:val="Normal"/>
    <w:qFormat/>
    <w:pPr>
      <w:keepNext w:val="true"/>
      <w:keepLines/>
      <w:numPr>
        <w:ilvl w:val="0"/>
        <w:numId w:val="0"/>
      </w:numPr>
      <w:spacing w:before="40" w:after="0"/>
      <w:outlineLvl w:val="1"/>
    </w:pPr>
    <w:rPr>
      <w:rFonts w:ascii="Calibri Light" w:hAnsi="Calibri Light" w:eastAsia="游ゴシック Light" w:cs="DejaVu Sans"/>
      <w:color w:val="2F5496"/>
      <w:sz w:val="26"/>
      <w:szCs w:val="26"/>
    </w:rPr>
  </w:style>
  <w:style w:type="character" w:styleId="DefaultParagraphFont">
    <w:name w:val="Default Paragraph Font"/>
    <w:qFormat/>
    <w:rPr/>
  </w:style>
  <w:style w:type="character" w:styleId="EncabezadoCar">
    <w:name w:val="Encabezado Car"/>
    <w:basedOn w:val="DefaultParagraphFont"/>
    <w:qFormat/>
    <w:rPr/>
  </w:style>
  <w:style w:type="character" w:styleId="PiedepginaCar">
    <w:name w:val="Pie de página Car"/>
    <w:basedOn w:val="DefaultParagraphFont"/>
    <w:qFormat/>
    <w:rPr/>
  </w:style>
  <w:style w:type="character" w:styleId="Label3">
    <w:name w:val="label3"/>
    <w:basedOn w:val="DefaultParagraphFont"/>
    <w:qFormat/>
    <w:rPr/>
  </w:style>
  <w:style w:type="character" w:styleId="TextonotapieCar">
    <w:name w:val="Texto nota pie Car"/>
    <w:basedOn w:val="DefaultParagraphFont"/>
    <w:qFormat/>
    <w:rPr>
      <w:rFonts w:ascii="Times New Roman" w:hAnsi="Times New Roman" w:eastAsia="Times New Roman" w:cs="Times New Roman"/>
      <w:sz w:val="20"/>
      <w:szCs w:val="20"/>
      <w:lang w:val="es-ES_tradnl" w:eastAsia="es-ES_tradnl"/>
    </w:rPr>
  </w:style>
  <w:style w:type="character" w:styleId="Ancladenotaalpie">
    <w:name w:val="Ancla de nota al pie"/>
    <w:rPr>
      <w:vertAlign w:val="superscript"/>
    </w:rPr>
  </w:style>
  <w:style w:type="character" w:styleId="FootnoteCharacters">
    <w:name w:val="Footnote Characters"/>
    <w:basedOn w:val="DefaultParagraphFont"/>
    <w:qFormat/>
    <w:rPr>
      <w:vertAlign w:val="superscript"/>
    </w:rPr>
  </w:style>
  <w:style w:type="character" w:styleId="Pagenumber">
    <w:name w:val="page number"/>
    <w:basedOn w:val="DefaultParagraphFont"/>
    <w:qFormat/>
    <w:rPr/>
  </w:style>
  <w:style w:type="character" w:styleId="TextoindependienteCar">
    <w:name w:val="Texto independiente Car"/>
    <w:basedOn w:val="DefaultParagraphFont"/>
    <w:qFormat/>
    <w:rPr>
      <w:rFonts w:ascii="Times New Roman" w:hAnsi="Times New Roman" w:eastAsia="Times New Roman" w:cs="Times New Roman"/>
      <w:szCs w:val="20"/>
    </w:rPr>
  </w:style>
  <w:style w:type="character" w:styleId="TextonotaalfinalCar">
    <w:name w:val="Texto nota al final Car"/>
    <w:basedOn w:val="DefaultParagraphFont"/>
    <w:qFormat/>
    <w:rPr>
      <w:rFonts w:ascii="Times New Roman" w:hAnsi="Times New Roman" w:eastAsia="Times New Roman" w:cs="Times New Roman"/>
      <w:sz w:val="20"/>
      <w:szCs w:val="20"/>
      <w:lang w:val="es-ES_tradnl" w:eastAsia="es-ES_tradnl"/>
    </w:rPr>
  </w:style>
  <w:style w:type="character" w:styleId="Ancladenotafinal">
    <w:name w:val="Ancla de nota final"/>
    <w:rPr>
      <w:vertAlign w:val="superscript"/>
    </w:rPr>
  </w:style>
  <w:style w:type="character" w:styleId="EndnoteCharacters">
    <w:name w:val="Endnote Characters"/>
    <w:basedOn w:val="DefaultParagraphFont"/>
    <w:qFormat/>
    <w:rPr>
      <w:vertAlign w:val="superscript"/>
    </w:rPr>
  </w:style>
  <w:style w:type="character" w:styleId="EnlacedeInternet">
    <w:name w:val="Enlace de Internet"/>
    <w:basedOn w:val="DefaultParagraphFont"/>
    <w:rPr>
      <w:color w:val="0000FF"/>
      <w:u w:val="single"/>
    </w:rPr>
  </w:style>
  <w:style w:type="character" w:styleId="TextodegloboCar">
    <w:name w:val="Texto de globo Car"/>
    <w:basedOn w:val="DefaultParagraphFont"/>
    <w:qFormat/>
    <w:rPr>
      <w:rFonts w:ascii="Times New Roman" w:hAnsi="Times New Roman" w:eastAsia="Times New Roman" w:cs="Times New Roman"/>
      <w:sz w:val="18"/>
      <w:szCs w:val="18"/>
      <w:lang w:val="es-ES_tradnl" w:eastAsia="es-ES_tradnl"/>
    </w:rPr>
  </w:style>
  <w:style w:type="character" w:styleId="TtulosinternosCar">
    <w:name w:val="Títulos internos Car"/>
    <w:basedOn w:val="DefaultParagraphFont"/>
    <w:qFormat/>
    <w:rPr>
      <w:rFonts w:ascii="Times New Roman" w:hAnsi="Times New Roman" w:eastAsia="Times New Roman" w:cs="Times New Roman"/>
      <w:b/>
    </w:rPr>
  </w:style>
  <w:style w:type="character" w:styleId="Ttulo2Car">
    <w:name w:val="Título 2 Car"/>
    <w:basedOn w:val="DefaultParagraphFont"/>
    <w:qFormat/>
    <w:rPr>
      <w:rFonts w:ascii="Calibri Light" w:hAnsi="Calibri Light" w:eastAsia="游ゴシック Light" w:cs="DejaVu Sans"/>
      <w:color w:val="2F5496"/>
      <w:sz w:val="26"/>
      <w:szCs w:val="26"/>
      <w:lang w:val="es-ES_tradnl" w:eastAsia="es-ES_tradnl"/>
    </w:rPr>
  </w:style>
  <w:style w:type="character" w:styleId="TitulodeartculoCar">
    <w:name w:val="Titulo de artículo Car"/>
    <w:basedOn w:val="DefaultParagraphFont"/>
    <w:qFormat/>
    <w:rPr>
      <w:rFonts w:ascii="Times New Roman" w:hAnsi="Times New Roman" w:eastAsia="Times New Roman" w:cs="Times New Roman"/>
      <w:b/>
      <w:sz w:val="36"/>
      <w:szCs w:val="36"/>
      <w:lang w:val="es-ES_tradnl" w:eastAsia="es-ES_tradnl"/>
    </w:rPr>
  </w:style>
  <w:style w:type="character" w:styleId="TtuloprincipiodeartculoCar">
    <w:name w:val="Título principio de artículo Car"/>
    <w:basedOn w:val="DefaultParagraphFont"/>
    <w:qFormat/>
    <w:rPr>
      <w:rFonts w:ascii="Times New Roman" w:hAnsi="Times New Roman" w:eastAsia="Times New Roman" w:cs="Times New Roman"/>
      <w:lang w:val="pt-BR" w:eastAsia="es-ES_tradnl"/>
    </w:rPr>
  </w:style>
  <w:style w:type="character" w:styleId="TtuloResumenCar">
    <w:name w:val="Título Resumen Car"/>
    <w:basedOn w:val="DefaultParagraphFont"/>
    <w:qFormat/>
    <w:rPr>
      <w:rFonts w:ascii="Times New Roman" w:hAnsi="Times New Roman" w:eastAsia="Times New Roman" w:cs="Times New Roman"/>
      <w:b/>
      <w:smallCaps/>
      <w:sz w:val="20"/>
      <w:szCs w:val="20"/>
      <w:lang w:val="pt-BR" w:eastAsia="es-ES_tradnl"/>
    </w:rPr>
  </w:style>
  <w:style w:type="character" w:styleId="UnresolvedMention">
    <w:name w:val="Unresolved Mention"/>
    <w:basedOn w:val="DefaultParagraphFont"/>
    <w:qFormat/>
    <w:rPr>
      <w:color w:val="605E5C"/>
      <w:highlight w:val="lightGray"/>
    </w:rPr>
  </w:style>
  <w:style w:type="character" w:styleId="SubtituloInterno1Car">
    <w:name w:val="Subtitulo Interno 1 Car"/>
    <w:basedOn w:val="DefaultParagraphFont"/>
    <w:qFormat/>
    <w:rPr>
      <w:rFonts w:ascii="Times New Roman" w:hAnsi="Times New Roman" w:eastAsia="Times New Roman" w:cs="Times New Roman"/>
      <w:i/>
      <w:lang w:val="es-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480"/>
      <w:ind w:left="0" w:right="0" w:firstLine="540"/>
    </w:pPr>
    <w:rPr>
      <w:szCs w:val="20"/>
      <w:lang w:val="en-US" w:eastAsia="en-US"/>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pPr>
      <w:tabs>
        <w:tab w:val="clear" w:pos="720"/>
        <w:tab w:val="center" w:pos="4680" w:leader="none"/>
        <w:tab w:val="right" w:pos="9360" w:leader="none"/>
      </w:tabs>
    </w:pPr>
    <w:rPr>
      <w:rFonts w:ascii="Calibri" w:hAnsi="Calibri" w:eastAsia="Calibri" w:cs="DejaVu Sans"/>
      <w:lang w:val="en-US" w:eastAsia="en-US"/>
    </w:rPr>
  </w:style>
  <w:style w:type="paragraph" w:styleId="Piedepgina">
    <w:name w:val="Footer"/>
    <w:basedOn w:val="Normal"/>
    <w:pPr>
      <w:tabs>
        <w:tab w:val="clear" w:pos="720"/>
        <w:tab w:val="center" w:pos="4680" w:leader="none"/>
        <w:tab w:val="right" w:pos="9360" w:leader="none"/>
      </w:tabs>
    </w:pPr>
    <w:rPr>
      <w:rFonts w:ascii="Calibri" w:hAnsi="Calibri" w:eastAsia="Calibri" w:cs="DejaVu Sans"/>
      <w:lang w:val="en-US" w:eastAsia="en-US"/>
    </w:rPr>
  </w:style>
  <w:style w:type="paragraph" w:styleId="Notaalpie">
    <w:name w:val="Footnote Text"/>
    <w:basedOn w:val="Normal"/>
    <w:pPr/>
    <w:rPr>
      <w:sz w:val="20"/>
      <w:szCs w:val="20"/>
    </w:rPr>
  </w:style>
  <w:style w:type="paragraph" w:styleId="EndNoteBibliography">
    <w:name w:val="EndNote Bibliography"/>
    <w:basedOn w:val="Normal"/>
    <w:qFormat/>
    <w:pPr>
      <w:spacing w:before="0" w:after="200"/>
    </w:pPr>
    <w:rPr>
      <w:rFonts w:ascii="Calibri" w:hAnsi="Calibri"/>
      <w:sz w:val="22"/>
      <w:szCs w:val="22"/>
      <w:lang w:val="es-ES" w:eastAsia="es-ES"/>
    </w:rPr>
  </w:style>
  <w:style w:type="paragraph" w:styleId="Notafinal">
    <w:name w:val="Endnote Text"/>
    <w:basedOn w:val="Normal"/>
    <w:pPr/>
    <w:rPr>
      <w:sz w:val="20"/>
      <w:szCs w:val="20"/>
    </w:rPr>
  </w:style>
  <w:style w:type="paragraph" w:styleId="BalloonText">
    <w:name w:val="Balloon Text"/>
    <w:basedOn w:val="Normal"/>
    <w:qFormat/>
    <w:pPr/>
    <w:rPr>
      <w:sz w:val="18"/>
      <w:szCs w:val="18"/>
    </w:rPr>
  </w:style>
  <w:style w:type="paragraph" w:styleId="Referencias">
    <w:name w:val="Referencias"/>
    <w:basedOn w:val="Normal"/>
    <w:qFormat/>
    <w:pPr>
      <w:ind w:left="720" w:right="0" w:hanging="720"/>
      <w:jc w:val="both"/>
    </w:pPr>
    <w:rPr>
      <w:lang w:val="en-US"/>
    </w:rPr>
  </w:style>
  <w:style w:type="paragraph" w:styleId="Prrafocomn">
    <w:name w:val="Párrafo común"/>
    <w:basedOn w:val="Normal"/>
    <w:qFormat/>
    <w:pPr>
      <w:spacing w:lineRule="auto" w:line="360" w:before="0" w:after="0"/>
      <w:ind w:left="0" w:right="0" w:firstLine="708"/>
      <w:contextualSpacing/>
      <w:jc w:val="both"/>
    </w:pPr>
    <w:rPr>
      <w:lang w:val="en-US"/>
    </w:rPr>
  </w:style>
  <w:style w:type="paragraph" w:styleId="Ttulosinternos">
    <w:name w:val="Títulos internos"/>
    <w:basedOn w:val="Normal"/>
    <w:autoRedefine/>
    <w:qFormat/>
    <w:pPr>
      <w:numPr>
        <w:ilvl w:val="0"/>
        <w:numId w:val="0"/>
      </w:numPr>
      <w:spacing w:before="280" w:after="280"/>
      <w:jc w:val="center"/>
      <w:outlineLvl w:val="0"/>
    </w:pPr>
    <w:rPr>
      <w:b/>
      <w:lang w:val="en-US" w:eastAsia="en-US"/>
    </w:rPr>
  </w:style>
  <w:style w:type="paragraph" w:styleId="SubtituloInterno">
    <w:name w:val="Subtitulo Interno"/>
    <w:basedOn w:val="Normal"/>
    <w:autoRedefine/>
    <w:qFormat/>
    <w:pPr>
      <w:numPr>
        <w:ilvl w:val="0"/>
        <w:numId w:val="0"/>
      </w:numPr>
      <w:spacing w:lineRule="auto" w:line="360" w:before="280" w:after="280"/>
      <w:contextualSpacing/>
      <w:jc w:val="both"/>
      <w:outlineLvl w:val="1"/>
    </w:pPr>
    <w:rPr>
      <w:b/>
      <w:i/>
      <w:lang w:val="en-US"/>
    </w:rPr>
  </w:style>
  <w:style w:type="paragraph" w:styleId="TtuloResumen">
    <w:name w:val="Título Resumen"/>
    <w:basedOn w:val="Normal"/>
    <w:autoRedefine/>
    <w:qFormat/>
    <w:pPr>
      <w:numPr>
        <w:ilvl w:val="0"/>
        <w:numId w:val="0"/>
      </w:numPr>
      <w:spacing w:before="0" w:after="120"/>
      <w:jc w:val="center"/>
      <w:outlineLvl w:val="0"/>
    </w:pPr>
    <w:rPr>
      <w:b/>
      <w:smallCaps/>
      <w:sz w:val="20"/>
      <w:szCs w:val="20"/>
      <w:lang w:val="pt-BR"/>
    </w:rPr>
  </w:style>
  <w:style w:type="paragraph" w:styleId="Resumen">
    <w:name w:val="Resumen"/>
    <w:basedOn w:val="Normal"/>
    <w:autoRedefine/>
    <w:qFormat/>
    <w:pPr>
      <w:jc w:val="both"/>
    </w:pPr>
    <w:rPr>
      <w:sz w:val="20"/>
      <w:szCs w:val="20"/>
      <w:lang w:val="pt-BR"/>
    </w:rPr>
  </w:style>
  <w:style w:type="paragraph" w:styleId="Ttulodepalabrasclave">
    <w:name w:val="Título de palabras clave"/>
    <w:basedOn w:val="Normal"/>
    <w:qFormat/>
    <w:pPr/>
    <w:rPr>
      <w:b/>
      <w:sz w:val="20"/>
      <w:szCs w:val="20"/>
      <w:lang w:val="en-US"/>
    </w:rPr>
  </w:style>
  <w:style w:type="paragraph" w:styleId="Palabrasclave">
    <w:name w:val="Palabras clave"/>
    <w:basedOn w:val="Normal"/>
    <w:qFormat/>
    <w:pPr>
      <w:jc w:val="both"/>
    </w:pPr>
    <w:rPr>
      <w:bCs/>
      <w:sz w:val="20"/>
      <w:szCs w:val="20"/>
    </w:rPr>
  </w:style>
  <w:style w:type="paragraph" w:styleId="Notaalpie1erapgina">
    <w:name w:val="Nota al pie 1era página"/>
    <w:basedOn w:val="Normal"/>
    <w:qFormat/>
    <w:pPr/>
    <w:rPr>
      <w:rFonts w:ascii="Times" w:hAnsi="Times"/>
      <w:sz w:val="16"/>
      <w:szCs w:val="16"/>
      <w:lang w:val="pt-BR"/>
    </w:rPr>
  </w:style>
  <w:style w:type="paragraph" w:styleId="NombresAutores">
    <w:name w:val="Nombres Autores"/>
    <w:basedOn w:val="Normal"/>
    <w:qFormat/>
    <w:pPr/>
    <w:rPr>
      <w:b/>
      <w:color w:val="222222"/>
      <w:sz w:val="28"/>
      <w:szCs w:val="28"/>
      <w:lang w:val="pt-BR"/>
    </w:rPr>
  </w:style>
  <w:style w:type="paragraph" w:styleId="Instituciones">
    <w:name w:val="Instituciones"/>
    <w:basedOn w:val="Normal"/>
    <w:qFormat/>
    <w:pPr/>
    <w:rPr>
      <w:i/>
      <w:sz w:val="28"/>
      <w:szCs w:val="28"/>
      <w:lang w:val="pt-BR"/>
    </w:rPr>
  </w:style>
  <w:style w:type="paragraph" w:styleId="Titulodeartculo">
    <w:name w:val="Titulo de artículo"/>
    <w:basedOn w:val="Normal"/>
    <w:autoRedefine/>
    <w:qFormat/>
    <w:pPr>
      <w:numPr>
        <w:ilvl w:val="0"/>
        <w:numId w:val="0"/>
      </w:numPr>
      <w:jc w:val="center"/>
      <w:outlineLvl w:val="0"/>
    </w:pPr>
    <w:rPr>
      <w:b/>
      <w:sz w:val="36"/>
      <w:szCs w:val="36"/>
    </w:rPr>
  </w:style>
  <w:style w:type="paragraph" w:styleId="RecibidoAceptado">
    <w:name w:val="Recibido/Aceptado"/>
    <w:basedOn w:val="Normal"/>
    <w:qFormat/>
    <w:pPr>
      <w:shd w:fill="FFFFFF" w:val="clear"/>
      <w:jc w:val="right"/>
    </w:pPr>
    <w:rPr>
      <w:i/>
      <w:iCs/>
      <w:sz w:val="20"/>
      <w:szCs w:val="20"/>
      <w:lang w:val="pt-BR"/>
    </w:rPr>
  </w:style>
  <w:style w:type="paragraph" w:styleId="Ttuloprincipiodeartculo">
    <w:name w:val="Título principio de artículo"/>
    <w:basedOn w:val="Normal"/>
    <w:autoRedefine/>
    <w:qFormat/>
    <w:pPr>
      <w:numPr>
        <w:ilvl w:val="0"/>
        <w:numId w:val="0"/>
      </w:numPr>
      <w:jc w:val="center"/>
      <w:outlineLvl w:val="0"/>
    </w:pPr>
    <w:rPr>
      <w:lang w:val="pt-BR"/>
    </w:rPr>
  </w:style>
  <w:style w:type="paragraph" w:styleId="NormalWeb">
    <w:name w:val="Normal (Web)"/>
    <w:basedOn w:val="Normal"/>
    <w:qFormat/>
    <w:pPr/>
    <w:rPr/>
  </w:style>
  <w:style w:type="paragraph" w:styleId="SubtituloInterno1">
    <w:name w:val="Subtitulo Interno 1"/>
    <w:basedOn w:val="SubtituloInterno"/>
    <w:qFormat/>
    <w:pPr>
      <w:numPr>
        <w:ilvl w:val="0"/>
        <w:numId w:val="0"/>
      </w:numPr>
      <w:outlineLvl w:val="2"/>
    </w:pPr>
    <w:rPr>
      <w:b w:val="false"/>
      <w:lang w:val="es-AR" w:eastAsia="en-U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sipsych.org/"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www.aha.org/" TargetMode="Externa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ntTable" Target="fontTable.xml"/><Relationship Id="rId18" Type="http://schemas.openxmlformats.org/officeDocument/2006/relationships/settings" Target="settings.xml"/>
</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s://journal.sipsych.org/" TargetMode="External"/>
</Relationships>
</file>

<file path=word/_rels/header4.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https://journal.sipsych.org/" TargetMode="External"/>
</Relationships>
</file>

<file path=word/_rels/header6.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hyperlink" Target="https://journal.sipsych.org/" TargetMode="External"/>
</Relationships>
</file>

<file path=docProps/app.xml><?xml version="1.0" encoding="utf-8"?>
<Properties xmlns="http://schemas.openxmlformats.org/officeDocument/2006/extended-properties" xmlns:vt="http://schemas.openxmlformats.org/officeDocument/2006/docPropsVTypes">
  <Template>Normal.dotm</Template>
  <TotalTime>55</TotalTime>
  <Application>LibreOffice/6.4.7.2$Linux_X86_64 LibreOffice_project/40$Build-2</Application>
  <Pages>20</Pages>
  <Words>4466</Words>
  <Characters>26042</Characters>
  <CharactersWithSpaces>30868</CharactersWithSpaces>
  <Paragraphs>170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2020-09-09T19:52:00Z</dcterms:created>
  <dc:creator>Microsoft Office User</dc:creator>
  <dc:description/>
  <dc:language>es-UY</dc:language>
  <cp:lastModifiedBy/>
  <cp:lastPrinted>2020-04-16T16:22:00Z</cp:lastPrinted>
  <dcterms:modified xsi:type="dcterms:W3CDTF">2021-06-06T18:59:43Z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Mendeley Citation Style_1">
    <vt:lpwstr>http://www.zotero.org/styles/apa</vt:lpwstr>
  </property>
  <property fmtid="{D5CDD505-2E9C-101B-9397-08002B2CF9AE}" pid="7" name="Mendeley Document_1">
    <vt:lpwstr>True</vt:lpwstr>
  </property>
  <property fmtid="{D5CDD505-2E9C-101B-9397-08002B2CF9AE}" pid="8" name="Mendeley Unique User Id_1">
    <vt:lpwstr>43e82223-da31-3d0a-bc30-14fc7d61d519</vt:lpwstr>
  </property>
  <property fmtid="{D5CDD505-2E9C-101B-9397-08002B2CF9AE}" pid="9" name="ScaleCrop">
    <vt:bool>0</vt:bool>
  </property>
  <property fmtid="{D5CDD505-2E9C-101B-9397-08002B2CF9AE}" pid="10" name="ShareDoc">
    <vt:bool>0</vt:bool>
  </property>
</Properties>
</file>