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7449583" w:rsidR="00742E4A" w:rsidRPr="0011572C" w:rsidRDefault="00BF1A9B" w:rsidP="00B0685D">
      <w:pPr>
        <w:pStyle w:val="Titulodeartculo"/>
        <w:rPr>
          <w:lang w:val="pt-BR"/>
        </w:rPr>
      </w:pPr>
      <w:r w:rsidRPr="00333677">
        <w:rPr>
          <w:lang w:val="en-GB" w:eastAsia="es-AR"/>
        </w:rPr>
        <w:drawing>
          <wp:anchor distT="0" distB="0" distL="114300" distR="114300" simplePos="0" relativeHeight="251664384" behindDoc="0" locked="0" layoutInCell="1" allowOverlap="1" wp14:anchorId="4437BD97" wp14:editId="7052947F">
            <wp:simplePos x="0" y="0"/>
            <wp:positionH relativeFrom="column">
              <wp:posOffset>4683397</wp:posOffset>
            </wp:positionH>
            <wp:positionV relativeFrom="paragraph">
              <wp:posOffset>319405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8D1149">
        <w:rPr>
          <w:noProof w:val="0"/>
          <w:sz w:val="24"/>
          <w:szCs w:val="24"/>
          <w:lang w:val="pt-PT"/>
        </w:rPr>
        <w:t xml:space="preserve"> </w:t>
      </w:r>
      <w:bookmarkStart w:id="0" w:name="_Hlk74293207"/>
      <w:r w:rsidR="00AB44A9" w:rsidRPr="00AB44A9">
        <w:rPr>
          <w:lang w:val="pt-BR"/>
        </w:rPr>
        <w:t xml:space="preserve">A Retratação Após Revelação </w:t>
      </w:r>
      <w:r w:rsidR="00AB44A9">
        <w:rPr>
          <w:lang w:val="pt-BR"/>
        </w:rPr>
        <w:t>d</w:t>
      </w:r>
      <w:r w:rsidR="00AB44A9" w:rsidRPr="00AB44A9">
        <w:rPr>
          <w:lang w:val="pt-BR"/>
        </w:rPr>
        <w:t xml:space="preserve">o Abuso Sexual de Crianças: </w:t>
      </w:r>
      <w:r w:rsidR="00AB44A9">
        <w:rPr>
          <w:lang w:val="pt-BR"/>
        </w:rPr>
        <w:t>a</w:t>
      </w:r>
      <w:r w:rsidR="00AB44A9" w:rsidRPr="00AB44A9">
        <w:rPr>
          <w:lang w:val="pt-BR"/>
        </w:rPr>
        <w:t xml:space="preserve"> Perspectiva </w:t>
      </w:r>
      <w:r w:rsidR="00AB44A9">
        <w:rPr>
          <w:lang w:val="pt-BR"/>
        </w:rPr>
        <w:t>d</w:t>
      </w:r>
      <w:r w:rsidR="00AB44A9" w:rsidRPr="00AB44A9">
        <w:rPr>
          <w:lang w:val="pt-BR"/>
        </w:rPr>
        <w:t>e Profissionais</w:t>
      </w:r>
      <w:bookmarkEnd w:id="0"/>
    </w:p>
    <w:p w14:paraId="07B1149B" w14:textId="7D4BFC4B" w:rsidR="008E17AF" w:rsidRPr="0011572C" w:rsidRDefault="008E17AF" w:rsidP="00C413D4">
      <w:pPr>
        <w:rPr>
          <w:b/>
          <w:lang w:val="pt-BR"/>
        </w:rPr>
      </w:pPr>
    </w:p>
    <w:p w14:paraId="110A42C5" w14:textId="68ABF3A9" w:rsidR="00CC7D22" w:rsidRPr="00847288" w:rsidRDefault="00002E1B" w:rsidP="00CC7D22">
      <w:pPr>
        <w:pStyle w:val="Body"/>
        <w:jc w:val="both"/>
        <w:rPr>
          <w:b/>
          <w:bCs/>
          <w:color w:val="222222"/>
          <w:sz w:val="26"/>
          <w:szCs w:val="26"/>
          <w:u w:color="222222"/>
          <w:lang w:val="pt-BR"/>
        </w:rPr>
      </w:pPr>
      <w:bookmarkStart w:id="1" w:name="_Hlk90835901"/>
      <w:r w:rsidRPr="00002E1B">
        <w:rPr>
          <w:b/>
          <w:bCs/>
          <w:color w:val="222222"/>
          <w:sz w:val="26"/>
          <w:szCs w:val="26"/>
          <w:u w:color="222222"/>
          <w:lang w:val="pt-BR"/>
        </w:rPr>
        <w:t>Pedro Augusto Dias Baía</w:t>
      </w:r>
      <w:r w:rsidR="008D1149">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sidR="003D2892" w:rsidRPr="003D2892">
        <w:rPr>
          <w:b/>
          <w:bCs/>
          <w:color w:val="4472C4" w:themeColor="accent1"/>
          <w:sz w:val="26"/>
          <w:szCs w:val="26"/>
          <w:u w:color="222222"/>
          <w:vertAlign w:val="superscript"/>
          <w:lang w:val="pt-BR"/>
        </w:rPr>
        <w:t>a</w:t>
      </w:r>
      <w:r w:rsidR="0039161E" w:rsidRPr="00886B3C">
        <w:rPr>
          <w:b/>
          <w:bCs/>
          <w:noProof/>
          <w:color w:val="222222"/>
          <w:sz w:val="26"/>
          <w:szCs w:val="26"/>
          <w:u w:color="222222"/>
          <w:lang w:val="en-GB" w:eastAsia="es-AR"/>
        </w:rPr>
        <w:drawing>
          <wp:inline distT="0" distB="0" distL="0" distR="0" wp14:anchorId="32AAC9E8" wp14:editId="2D3AEA7C">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r w:rsidR="008D1149">
        <w:rPr>
          <w:b/>
          <w:bCs/>
          <w:color w:val="222222"/>
          <w:sz w:val="26"/>
          <w:szCs w:val="26"/>
          <w:u w:color="222222"/>
          <w:lang w:val="pt-BR"/>
        </w:rPr>
        <w:t xml:space="preserve"> </w:t>
      </w:r>
      <w:r w:rsidRPr="00002E1B">
        <w:rPr>
          <w:b/>
          <w:bCs/>
          <w:color w:val="222222"/>
          <w:sz w:val="26"/>
          <w:szCs w:val="26"/>
          <w:u w:color="222222"/>
          <w:lang w:val="pt-BR"/>
        </w:rPr>
        <w:t>Isabel Maria Marques Alberto</w:t>
      </w:r>
      <w:r w:rsidR="00B14F89">
        <w:rPr>
          <w:b/>
          <w:bCs/>
          <w:color w:val="222222"/>
          <w:sz w:val="26"/>
          <w:szCs w:val="26"/>
          <w:u w:color="222222"/>
          <w:vertAlign w:val="superscript"/>
          <w:lang w:val="pt-BR"/>
        </w:rPr>
        <w:t xml:space="preserve"> </w:t>
      </w:r>
      <w:r w:rsidR="003D2892">
        <w:rPr>
          <w:b/>
          <w:bCs/>
          <w:color w:val="4472C4" w:themeColor="accent1"/>
          <w:sz w:val="26"/>
          <w:szCs w:val="26"/>
          <w:u w:color="222222"/>
          <w:vertAlign w:val="superscript"/>
          <w:lang w:val="pt-BR"/>
        </w:rPr>
        <w:t>b</w:t>
      </w:r>
      <w:r w:rsidR="003F2E93" w:rsidRPr="00886B3C">
        <w:rPr>
          <w:b/>
          <w:bCs/>
          <w:noProof/>
          <w:color w:val="222222"/>
          <w:sz w:val="26"/>
          <w:szCs w:val="26"/>
          <w:u w:color="222222"/>
          <w:lang w:val="en-GB" w:eastAsia="es-AR"/>
        </w:rPr>
        <w:drawing>
          <wp:inline distT="0" distB="0" distL="0" distR="0" wp14:anchorId="796BEF72" wp14:editId="48427349">
            <wp:extent cx="133200" cy="133200"/>
            <wp:effectExtent l="0" t="0" r="0" b="0"/>
            <wp:docPr id="3"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3F2E93">
        <w:rPr>
          <w:b/>
          <w:bCs/>
          <w:color w:val="222222"/>
          <w:sz w:val="26"/>
          <w:szCs w:val="26"/>
          <w:u w:color="222222"/>
          <w:lang w:val="pt-BR"/>
        </w:rPr>
        <w:t>,</w:t>
      </w:r>
      <w:r w:rsidR="008D1149">
        <w:rPr>
          <w:b/>
          <w:bCs/>
          <w:color w:val="222222"/>
          <w:sz w:val="26"/>
          <w:szCs w:val="26"/>
          <w:u w:color="222222"/>
          <w:lang w:val="pt-BR"/>
        </w:rPr>
        <w:t xml:space="preserve"> </w:t>
      </w:r>
      <w:r w:rsidR="00CC7D22" w:rsidRPr="00847288">
        <w:rPr>
          <w:b/>
          <w:bCs/>
          <w:color w:val="222222"/>
          <w:sz w:val="26"/>
          <w:szCs w:val="26"/>
          <w:u w:color="222222"/>
          <w:lang w:val="pt-BR"/>
        </w:rPr>
        <w:t>&amp;</w:t>
      </w:r>
      <w:r w:rsidR="008D1149">
        <w:rPr>
          <w:b/>
          <w:bCs/>
          <w:color w:val="222222"/>
          <w:sz w:val="26"/>
          <w:szCs w:val="26"/>
          <w:u w:color="222222"/>
          <w:lang w:val="pt-BR"/>
        </w:rPr>
        <w:t xml:space="preserve"> </w:t>
      </w:r>
      <w:r w:rsidRPr="00002E1B">
        <w:rPr>
          <w:b/>
          <w:bCs/>
          <w:color w:val="222222"/>
          <w:sz w:val="26"/>
          <w:szCs w:val="26"/>
          <w:u w:color="222222"/>
          <w:lang w:val="pt-BR"/>
        </w:rPr>
        <w:t xml:space="preserve">Débora </w:t>
      </w:r>
      <w:proofErr w:type="spellStart"/>
      <w:r w:rsidRPr="00002E1B">
        <w:rPr>
          <w:b/>
          <w:bCs/>
          <w:color w:val="222222"/>
          <w:sz w:val="26"/>
          <w:szCs w:val="26"/>
          <w:u w:color="222222"/>
          <w:lang w:val="pt-BR"/>
        </w:rPr>
        <w:t>Dalbosco</w:t>
      </w:r>
      <w:proofErr w:type="spellEnd"/>
      <w:r w:rsidRPr="00002E1B">
        <w:rPr>
          <w:b/>
          <w:bCs/>
          <w:color w:val="222222"/>
          <w:sz w:val="26"/>
          <w:szCs w:val="26"/>
          <w:u w:color="222222"/>
          <w:lang w:val="pt-BR"/>
        </w:rPr>
        <w:t xml:space="preserve"> </w:t>
      </w:r>
      <w:proofErr w:type="spellStart"/>
      <w:r w:rsidRPr="00002E1B">
        <w:rPr>
          <w:b/>
          <w:bCs/>
          <w:color w:val="222222"/>
          <w:sz w:val="26"/>
          <w:szCs w:val="26"/>
          <w:u w:color="222222"/>
          <w:lang w:val="pt-BR"/>
        </w:rPr>
        <w:t>Dell'Aglio</w:t>
      </w:r>
      <w:proofErr w:type="spellEnd"/>
      <w:r w:rsidR="008D1149">
        <w:rPr>
          <w:b/>
          <w:bCs/>
          <w:color w:val="222222"/>
          <w:sz w:val="26"/>
          <w:szCs w:val="26"/>
          <w:u w:color="222222"/>
          <w:lang w:val="pt-BR"/>
        </w:rPr>
        <w:t xml:space="preserve"> </w:t>
      </w:r>
      <w:bookmarkEnd w:id="1"/>
      <w:r w:rsidR="003D2892">
        <w:rPr>
          <w:b/>
          <w:bCs/>
          <w:color w:val="4472C4" w:themeColor="accent1"/>
          <w:sz w:val="26"/>
          <w:szCs w:val="26"/>
          <w:u w:color="222222"/>
          <w:vertAlign w:val="superscript"/>
          <w:lang w:val="pt-BR"/>
        </w:rPr>
        <w:t>c</w:t>
      </w:r>
      <w:r w:rsidR="00CC7D22" w:rsidRPr="00886B3C">
        <w:rPr>
          <w:b/>
          <w:bCs/>
          <w:noProof/>
          <w:color w:val="222222"/>
          <w:sz w:val="26"/>
          <w:szCs w:val="26"/>
          <w:u w:color="222222"/>
          <w:lang w:val="en-GB" w:eastAsia="es-AR"/>
        </w:rPr>
        <w:drawing>
          <wp:inline distT="0" distB="0" distL="0" distR="0" wp14:anchorId="20800533" wp14:editId="384D8200">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3D2892" w:rsidRPr="00886B3C">
        <w:rPr>
          <w:rStyle w:val="Refdenotaalpie"/>
          <w:b/>
          <w:bCs/>
          <w:sz w:val="26"/>
          <w:szCs w:val="26"/>
          <w:u w:color="222222"/>
          <w:lang w:val="en-GB"/>
        </w:rPr>
        <w:footnoteReference w:id="2"/>
      </w:r>
    </w:p>
    <w:p w14:paraId="7DE2414F" w14:textId="77777777" w:rsidR="004B2E6E" w:rsidRPr="00847288" w:rsidRDefault="004B2E6E" w:rsidP="00DB239D">
      <w:pPr>
        <w:rPr>
          <w:i/>
          <w:sz w:val="28"/>
          <w:szCs w:val="28"/>
          <w:lang w:val="pt-BR"/>
        </w:rPr>
      </w:pPr>
    </w:p>
    <w:p w14:paraId="52BD8014" w14:textId="26156506" w:rsidR="00CC7D22" w:rsidRPr="003F2E93" w:rsidRDefault="003D2892" w:rsidP="003D2892">
      <w:pPr>
        <w:tabs>
          <w:tab w:val="num" w:pos="360"/>
        </w:tabs>
        <w:spacing w:line="360" w:lineRule="auto"/>
        <w:jc w:val="both"/>
        <w:rPr>
          <w:rFonts w:eastAsia="Arial Unicode MS" w:cs="Arial Unicode MS"/>
          <w:i/>
          <w:iCs/>
          <w:sz w:val="28"/>
          <w:szCs w:val="28"/>
          <w:lang w:val="pt-BR"/>
        </w:rPr>
      </w:pPr>
      <w:r w:rsidRPr="003D2892">
        <w:rPr>
          <w:rFonts w:eastAsia="Arial Unicode MS" w:cs="Arial Unicode MS"/>
          <w:bCs/>
          <w:i/>
          <w:iCs/>
          <w:sz w:val="28"/>
          <w:szCs w:val="28"/>
          <w:lang w:val="pt-BR"/>
        </w:rPr>
        <w:t>Tribunal de Justiça do Estado do Pará, Belém, Brasil</w:t>
      </w:r>
      <w:r>
        <w:rPr>
          <w:rFonts w:eastAsia="Arial Unicode MS" w:cs="Arial Unicode MS"/>
          <w:bCs/>
          <w:i/>
          <w:iCs/>
          <w:sz w:val="28"/>
          <w:szCs w:val="28"/>
          <w:lang w:val="pt-BR"/>
        </w:rPr>
        <w:t xml:space="preserve"> </w:t>
      </w:r>
      <w:r w:rsidRPr="003D2892">
        <w:rPr>
          <w:b/>
          <w:bCs/>
          <w:color w:val="4472C4" w:themeColor="accent1"/>
          <w:sz w:val="26"/>
          <w:szCs w:val="26"/>
          <w:u w:color="222222"/>
          <w:vertAlign w:val="superscript"/>
          <w:lang w:val="pt-BR"/>
        </w:rPr>
        <w:t>a</w:t>
      </w:r>
      <w:r>
        <w:rPr>
          <w:rFonts w:eastAsia="Arial Unicode MS" w:cs="Arial Unicode MS"/>
          <w:bCs/>
          <w:i/>
          <w:iCs/>
          <w:sz w:val="28"/>
          <w:szCs w:val="28"/>
          <w:lang w:val="pt-BR"/>
        </w:rPr>
        <w:t xml:space="preserve">; </w:t>
      </w:r>
      <w:r w:rsidRPr="003D2892">
        <w:rPr>
          <w:rFonts w:eastAsia="Arial Unicode MS" w:cs="Arial Unicode MS"/>
          <w:bCs/>
          <w:i/>
          <w:iCs/>
          <w:sz w:val="28"/>
          <w:szCs w:val="28"/>
          <w:lang w:val="pt-BR"/>
        </w:rPr>
        <w:t>Universidade de Coimbra, Coimbra, Portugal</w:t>
      </w:r>
      <w:r>
        <w:rPr>
          <w:rFonts w:eastAsia="Arial Unicode MS" w:cs="Arial Unicode MS"/>
          <w:bCs/>
          <w:i/>
          <w:iCs/>
          <w:sz w:val="28"/>
          <w:szCs w:val="28"/>
          <w:lang w:val="pt-BR"/>
        </w:rPr>
        <w:t xml:space="preserve"> </w:t>
      </w:r>
      <w:r>
        <w:rPr>
          <w:b/>
          <w:bCs/>
          <w:color w:val="4472C4" w:themeColor="accent1"/>
          <w:sz w:val="26"/>
          <w:szCs w:val="26"/>
          <w:u w:color="222222"/>
          <w:vertAlign w:val="superscript"/>
          <w:lang w:val="pt-BR"/>
        </w:rPr>
        <w:t>b</w:t>
      </w:r>
      <w:r>
        <w:rPr>
          <w:rFonts w:eastAsia="Arial Unicode MS" w:cs="Arial Unicode MS"/>
          <w:bCs/>
          <w:i/>
          <w:iCs/>
          <w:sz w:val="28"/>
          <w:szCs w:val="28"/>
          <w:lang w:val="pt-BR"/>
        </w:rPr>
        <w:t xml:space="preserve">; </w:t>
      </w:r>
      <w:r w:rsidRPr="003D2892">
        <w:rPr>
          <w:rFonts w:eastAsia="Arial Unicode MS" w:cs="Arial Unicode MS"/>
          <w:bCs/>
          <w:i/>
          <w:iCs/>
          <w:sz w:val="28"/>
          <w:szCs w:val="28"/>
          <w:lang w:val="pt-BR"/>
        </w:rPr>
        <w:t>Universidade Federal do Rio Grande do Sul, Porto Alegre, Brasil</w:t>
      </w:r>
      <w:r>
        <w:rPr>
          <w:rFonts w:eastAsia="Arial Unicode MS" w:cs="Arial Unicode MS"/>
          <w:bCs/>
          <w:i/>
          <w:iCs/>
          <w:sz w:val="28"/>
          <w:szCs w:val="28"/>
          <w:lang w:val="pt-BR"/>
        </w:rPr>
        <w:t xml:space="preserve"> </w:t>
      </w:r>
      <w:r>
        <w:rPr>
          <w:b/>
          <w:bCs/>
          <w:color w:val="4472C4" w:themeColor="accent1"/>
          <w:sz w:val="26"/>
          <w:szCs w:val="26"/>
          <w:u w:color="222222"/>
          <w:vertAlign w:val="superscript"/>
          <w:lang w:val="pt-BR"/>
        </w:rPr>
        <w:t>c</w:t>
      </w:r>
      <w:r w:rsidR="003F2E93" w:rsidRPr="003F2E93">
        <w:rPr>
          <w:rFonts w:eastAsia="Arial Unicode MS" w:cs="Arial Unicode MS"/>
          <w:bCs/>
          <w:i/>
          <w:iCs/>
          <w:sz w:val="28"/>
          <w:szCs w:val="28"/>
          <w:lang w:val="pt-BR"/>
        </w:rPr>
        <w:t>.</w:t>
      </w:r>
    </w:p>
    <w:p w14:paraId="540F2DB5" w14:textId="3394557E" w:rsidR="004E5581" w:rsidRPr="003F2E93" w:rsidRDefault="004E5581" w:rsidP="00CC7D22">
      <w:pPr>
        <w:tabs>
          <w:tab w:val="left" w:pos="7005"/>
        </w:tabs>
        <w:jc w:val="both"/>
        <w:rPr>
          <w:rFonts w:eastAsia="Arial Unicode MS" w:cs="Arial Unicode MS"/>
          <w:i/>
          <w:iCs/>
          <w:sz w:val="28"/>
          <w:szCs w:val="28"/>
          <w:lang w:val="pt-BR"/>
        </w:rPr>
      </w:pPr>
    </w:p>
    <w:p w14:paraId="6036645E" w14:textId="6384ED7D" w:rsidR="00A95630" w:rsidRPr="003F2E93" w:rsidRDefault="001C4E1C" w:rsidP="008B5E31">
      <w:pPr>
        <w:rPr>
          <w:rFonts w:ascii="Times" w:hAnsi="Times"/>
          <w:i/>
          <w:sz w:val="28"/>
          <w:szCs w:val="28"/>
          <w:lang w:val="pt-B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21AF028E" w14:textId="1D8AFF25" w:rsidR="00847288" w:rsidRPr="00847288" w:rsidRDefault="003D2892" w:rsidP="00C559E8">
      <w:pPr>
        <w:pStyle w:val="Resumen"/>
        <w:rPr>
          <w:lang w:val="pt-BR"/>
        </w:rPr>
      </w:pPr>
      <w:r w:rsidRPr="003D2892">
        <w:rPr>
          <w:lang w:val="pt-BR"/>
        </w:rPr>
        <w:t xml:space="preserve">A retratação após revelação de abuso sexual de crianças configura as situações em que as eventuais vítimas negam os seus relatos prévios. Este estudo objetivou identificar, a partir da perspectiva dos profissionais, os fatores de risco e de proteção associados à retratação. Foram realizadas entrevistas individuais a 23 profissionais, assistentes sociais, conselheiros/as tutelares, magistrados/as, pedagogos/as e psicólogos/as, do Brasil e de Portugal. Da análise temática realizada emergiram seis temas relativos aos fatores de risco: “Condições Relacionadas com a Criança”, “Proximidade entre Vítima e Agressor/a”, “Revelação no Contexto Informal”, “Sistema Familiar”, “Pressões da Comunidade” e “Rede de Atendimento ao Abuso Sexual de Crianças”. Surgiram ainda dois temas referentes aos fatores de proteção: “Procedimentos de Atendimentos” e “Estratégias Institucionais”. Os temas encontrados </w:t>
      </w:r>
      <w:r w:rsidR="00E82494" w:rsidRPr="00E82494">
        <w:rPr>
          <w:lang w:val="pt-BR"/>
        </w:rPr>
        <w:t>refletem</w:t>
      </w:r>
      <w:r w:rsidRPr="003D2892">
        <w:rPr>
          <w:lang w:val="pt-BR"/>
        </w:rPr>
        <w:t xml:space="preserve"> a importância da abordagem ecológica e multidisciplinar sobre a retratação. São discutidas as implicações dos resultados para o campo da avaliação do risco de retratação e das respostas a providenciar pelas entidades judiciais e não judiciais</w:t>
      </w:r>
      <w:r w:rsidR="00847288" w:rsidRPr="00847288">
        <w:rPr>
          <w:lang w:val="pt-BR"/>
        </w:rPr>
        <w:t>.</w:t>
      </w:r>
    </w:p>
    <w:p w14:paraId="5201C805" w14:textId="77777777" w:rsidR="00847288" w:rsidRPr="00847288" w:rsidRDefault="00847288" w:rsidP="00847288">
      <w:pPr>
        <w:pStyle w:val="Ttulodepalabrasclave"/>
        <w:rPr>
          <w:lang w:val="pt-BR"/>
        </w:rPr>
      </w:pPr>
    </w:p>
    <w:p w14:paraId="296337C4" w14:textId="6F508523" w:rsidR="00847288" w:rsidRPr="008D1149" w:rsidRDefault="00847288" w:rsidP="00847288">
      <w:pPr>
        <w:pStyle w:val="Ttulodepalabrasclave"/>
        <w:rPr>
          <w:lang w:val="pt-BR"/>
        </w:rPr>
      </w:pPr>
      <w:r w:rsidRPr="008D1149">
        <w:rPr>
          <w:lang w:val="pt-BR"/>
        </w:rPr>
        <w:t>Palavras-chave</w:t>
      </w:r>
    </w:p>
    <w:p w14:paraId="7A87691D" w14:textId="2826BDB3" w:rsidR="00847288" w:rsidRDefault="003D2892" w:rsidP="00847288">
      <w:pPr>
        <w:pStyle w:val="Ttulodepalabrasclave"/>
        <w:rPr>
          <w:b w:val="0"/>
          <w:iCs/>
          <w:lang w:val="pt-BR"/>
        </w:rPr>
      </w:pPr>
      <w:r w:rsidRPr="003D2892">
        <w:rPr>
          <w:b w:val="0"/>
          <w:iCs/>
          <w:lang w:val="pt-BR"/>
        </w:rPr>
        <w:t>abuso sexual de crianças</w:t>
      </w:r>
      <w:r w:rsidR="002D0771">
        <w:rPr>
          <w:b w:val="0"/>
          <w:iCs/>
          <w:lang w:val="pt-BR"/>
        </w:rPr>
        <w:t>,</w:t>
      </w:r>
      <w:r w:rsidRPr="003D2892">
        <w:rPr>
          <w:b w:val="0"/>
          <w:iCs/>
          <w:lang w:val="pt-BR"/>
        </w:rPr>
        <w:t xml:space="preserve"> retratação</w:t>
      </w:r>
      <w:r w:rsidR="002D0771">
        <w:rPr>
          <w:b w:val="0"/>
          <w:iCs/>
          <w:lang w:val="pt-BR"/>
        </w:rPr>
        <w:t>,</w:t>
      </w:r>
      <w:r w:rsidRPr="003D2892">
        <w:rPr>
          <w:b w:val="0"/>
          <w:iCs/>
          <w:lang w:val="pt-BR"/>
        </w:rPr>
        <w:t xml:space="preserve"> profissionais</w:t>
      </w:r>
      <w:r w:rsidR="002D0771">
        <w:rPr>
          <w:b w:val="0"/>
          <w:iCs/>
          <w:lang w:val="pt-BR"/>
        </w:rPr>
        <w:t>,</w:t>
      </w:r>
      <w:r w:rsidRPr="003D2892">
        <w:rPr>
          <w:b w:val="0"/>
          <w:iCs/>
          <w:lang w:val="pt-BR"/>
        </w:rPr>
        <w:t xml:space="preserve"> fatores de risco</w:t>
      </w:r>
      <w:r w:rsidR="002D0771">
        <w:rPr>
          <w:b w:val="0"/>
          <w:iCs/>
          <w:lang w:val="pt-BR"/>
        </w:rPr>
        <w:t>,</w:t>
      </w:r>
      <w:r w:rsidRPr="003D2892">
        <w:rPr>
          <w:b w:val="0"/>
          <w:iCs/>
          <w:lang w:val="pt-BR"/>
        </w:rPr>
        <w:t xml:space="preserve"> fatores de proteção</w:t>
      </w:r>
    </w:p>
    <w:p w14:paraId="7009A2E6" w14:textId="77777777" w:rsidR="00847288" w:rsidRPr="00847288" w:rsidRDefault="00847288" w:rsidP="00847288">
      <w:pPr>
        <w:pStyle w:val="Ttulodepalabrasclave"/>
        <w:rPr>
          <w:b w:val="0"/>
          <w:iCs/>
          <w:lang w:val="pt-BR"/>
        </w:rPr>
      </w:pPr>
    </w:p>
    <w:p w14:paraId="60C74093" w14:textId="04458837" w:rsidR="00C413D4" w:rsidRPr="00A76B39" w:rsidRDefault="004F7121" w:rsidP="00B0685D">
      <w:pPr>
        <w:pStyle w:val="TtuloResumen"/>
        <w:rPr>
          <w:lang w:val="en-US"/>
        </w:rPr>
      </w:pPr>
      <w:r w:rsidRPr="00A76B39">
        <w:rPr>
          <w:lang w:val="en-US"/>
        </w:rPr>
        <w:t>Abstract</w:t>
      </w:r>
    </w:p>
    <w:p w14:paraId="570537B8" w14:textId="5653951C" w:rsidR="00C413D4" w:rsidRPr="00F07D24" w:rsidRDefault="00002E1B" w:rsidP="00C559E8">
      <w:pPr>
        <w:pStyle w:val="Resumen"/>
        <w:rPr>
          <w:lang w:val="en-GB"/>
        </w:rPr>
      </w:pPr>
      <w:r w:rsidRPr="00002E1B">
        <w:t>The recantation after disclosure of child sexual abuse (CSA) configures situations in which potential victims deny their previous reports. This study aimed to identify, from the perspective of professionals, the risk and protective factors associated with recantation. Individual interviews were conducted with 23 professionals, social workers, tutelary counselors, magistrates, pedagogues, and psychologists, from Brazil and Portugal. From the thematic analysis carried out, six themes related to the risk factors emerged: “Conditions Related to the Child”, “Proximity between Victim and Aggressor”, “Disclosure in the Informal Context”, “Family System”, “Community Pressures” and “CSA Assistance Network”. Two themes related to protection factors emerged: “Service Procedures” and “Institutional Strategies”. The themes found denote the importance of an ecological and multidisciplinary approach to retraction. The implications of the results for the field of assessment of the risk of recantation and the responses to be provided by judicial and non-judicial entities are discussed</w:t>
      </w:r>
      <w:r w:rsidR="00847288" w:rsidRPr="00847288">
        <w:t>.</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2883CE0F" w14:textId="141A8FBF" w:rsidR="003C49D9" w:rsidRDefault="003D2892" w:rsidP="00B11571">
      <w:pPr>
        <w:pStyle w:val="Ttulodepalabrasclave"/>
        <w:rPr>
          <w:b w:val="0"/>
          <w:iCs/>
        </w:rPr>
      </w:pPr>
      <w:r w:rsidRPr="003D2892">
        <w:rPr>
          <w:b w:val="0"/>
          <w:iCs/>
        </w:rPr>
        <w:t>child sexual abuse</w:t>
      </w:r>
      <w:r w:rsidR="002D0771">
        <w:rPr>
          <w:b w:val="0"/>
          <w:iCs/>
        </w:rPr>
        <w:t>,</w:t>
      </w:r>
      <w:r w:rsidRPr="003D2892">
        <w:rPr>
          <w:b w:val="0"/>
          <w:iCs/>
        </w:rPr>
        <w:t xml:space="preserve"> </w:t>
      </w:r>
      <w:r w:rsidR="00E82494" w:rsidRPr="00E82494">
        <w:rPr>
          <w:b w:val="0"/>
          <w:iCs/>
        </w:rPr>
        <w:t>recantation</w:t>
      </w:r>
      <w:r w:rsidR="002D0771">
        <w:rPr>
          <w:b w:val="0"/>
          <w:iCs/>
        </w:rPr>
        <w:t>,</w:t>
      </w:r>
      <w:r w:rsidRPr="003D2892">
        <w:rPr>
          <w:b w:val="0"/>
          <w:iCs/>
        </w:rPr>
        <w:t xml:space="preserve"> professionals</w:t>
      </w:r>
      <w:r w:rsidR="002D0771">
        <w:rPr>
          <w:b w:val="0"/>
          <w:iCs/>
        </w:rPr>
        <w:t>,</w:t>
      </w:r>
      <w:r w:rsidRPr="003D2892">
        <w:rPr>
          <w:b w:val="0"/>
          <w:iCs/>
        </w:rPr>
        <w:t xml:space="preserve"> risk factors</w:t>
      </w:r>
      <w:r w:rsidR="002D0771">
        <w:rPr>
          <w:b w:val="0"/>
          <w:iCs/>
        </w:rPr>
        <w:t>,</w:t>
      </w:r>
      <w:r w:rsidRPr="003D2892">
        <w:rPr>
          <w:b w:val="0"/>
          <w:iCs/>
        </w:rPr>
        <w:t xml:space="preserve"> protective factors</w:t>
      </w:r>
      <w:r w:rsidR="00DF29D2" w:rsidRPr="00B11571">
        <w:rPr>
          <w:b w:val="0"/>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3792DCB8" w14:textId="0BF88F36" w:rsidR="002D6B30" w:rsidRPr="00847288" w:rsidRDefault="002D6B30">
      <w:pPr>
        <w:rPr>
          <w:bCs/>
          <w:iCs/>
          <w:sz w:val="20"/>
          <w:szCs w:val="20"/>
          <w:lang w:val="en-US"/>
        </w:rPr>
      </w:pPr>
      <w:r w:rsidRPr="00847288">
        <w:rPr>
          <w:bCs/>
          <w:iCs/>
          <w:sz w:val="20"/>
          <w:szCs w:val="20"/>
          <w:lang w:val="en-US"/>
        </w:rPr>
        <w:br w:type="page"/>
      </w:r>
    </w:p>
    <w:p w14:paraId="251C3CE1" w14:textId="77777777" w:rsidR="00BD3521" w:rsidRPr="00847288" w:rsidRDefault="00BD3521" w:rsidP="00A95630">
      <w:pPr>
        <w:rPr>
          <w:bCs/>
          <w:iCs/>
          <w:sz w:val="20"/>
          <w:szCs w:val="20"/>
          <w:lang w:val="en-US"/>
        </w:rPr>
      </w:pPr>
    </w:p>
    <w:p w14:paraId="45D157E5" w14:textId="439B316B" w:rsidR="00333677" w:rsidRPr="00AB44A9" w:rsidRDefault="00AB44A9" w:rsidP="00AE2924">
      <w:pPr>
        <w:pStyle w:val="Prrafocomn"/>
        <w:ind w:firstLine="0"/>
        <w:jc w:val="center"/>
      </w:pPr>
      <w:r w:rsidRPr="00AB44A9">
        <w:t xml:space="preserve">Recantation After Disclosure of Child Sexual Abuse: </w:t>
      </w:r>
      <w:r w:rsidR="004728AF">
        <w:t>The</w:t>
      </w:r>
      <w:r w:rsidRPr="00AB44A9">
        <w:t xml:space="preserve"> Perspective of Professionals</w:t>
      </w:r>
    </w:p>
    <w:p w14:paraId="512A04F3" w14:textId="4D260A14" w:rsidR="00333677" w:rsidRPr="00793FDC" w:rsidRDefault="00AE2924" w:rsidP="004F7121">
      <w:pPr>
        <w:pStyle w:val="Ttulosinternos"/>
        <w:rPr>
          <w:lang w:val="pt-BR"/>
        </w:rPr>
      </w:pPr>
      <w:r w:rsidRPr="00793FDC">
        <w:rPr>
          <w:lang w:val="pt-BR"/>
        </w:rPr>
        <w:t>Introdu</w:t>
      </w:r>
      <w:r w:rsidR="00793FDC" w:rsidRPr="00793FDC">
        <w:rPr>
          <w:lang w:val="pt-BR"/>
        </w:rPr>
        <w:t>ç</w:t>
      </w:r>
      <w:r w:rsidR="00793FDC">
        <w:rPr>
          <w:lang w:val="pt-BR"/>
        </w:rPr>
        <w:t>ão</w:t>
      </w:r>
    </w:p>
    <w:p w14:paraId="4F379846" w14:textId="77777777" w:rsidR="004728AF" w:rsidRPr="004728AF" w:rsidRDefault="004728AF" w:rsidP="004728AF">
      <w:pPr>
        <w:pStyle w:val="Prrafocomn"/>
        <w:rPr>
          <w:lang w:val="pt-BR"/>
        </w:rPr>
      </w:pPr>
      <w:r w:rsidRPr="004728AF">
        <w:rPr>
          <w:lang w:val="pt-BR"/>
        </w:rPr>
        <w:t>A retratação após revelação de abuso sexual de crianças</w:t>
      </w:r>
      <w:r w:rsidRPr="004728AF">
        <w:rPr>
          <w:vertAlign w:val="superscript"/>
          <w:lang w:val="pt-BR"/>
        </w:rPr>
        <w:footnoteReference w:id="3"/>
      </w:r>
      <w:r w:rsidRPr="004728AF">
        <w:rPr>
          <w:lang w:val="pt-BR"/>
        </w:rPr>
        <w:t xml:space="preserve"> (ASC) corresponde ao processo pelo qual a criança, após relatar que foi vítima de ASC, passa a negar esse relato quando novamente entrevistada. A retratação pode ocorrer antes da sinalização da suspeita de ASC às autoridades, ou seja, no contexto informal (casa, escola, vizinhança) ou após a criança ser questionada em contextos formais de entrevista (Baía et al., 2021; </w:t>
      </w:r>
      <w:proofErr w:type="spellStart"/>
      <w:r w:rsidRPr="004728AF">
        <w:rPr>
          <w:lang w:val="pt-BR"/>
        </w:rPr>
        <w:t>Celik</w:t>
      </w:r>
      <w:proofErr w:type="spellEnd"/>
      <w:r w:rsidRPr="004728AF">
        <w:rPr>
          <w:lang w:val="pt-BR"/>
        </w:rPr>
        <w:t xml:space="preserve"> et al., 2018; Elliott &amp; </w:t>
      </w:r>
      <w:proofErr w:type="spellStart"/>
      <w:r w:rsidRPr="004728AF">
        <w:rPr>
          <w:lang w:val="pt-BR"/>
        </w:rPr>
        <w:t>Briere</w:t>
      </w:r>
      <w:proofErr w:type="spellEnd"/>
      <w:r w:rsidRPr="004728AF">
        <w:rPr>
          <w:lang w:val="pt-BR"/>
        </w:rPr>
        <w:t xml:space="preserve">, 1994; </w:t>
      </w:r>
      <w:proofErr w:type="spellStart"/>
      <w:r w:rsidRPr="004728AF">
        <w:rPr>
          <w:lang w:val="pt-BR"/>
        </w:rPr>
        <w:t>Hershkowitz</w:t>
      </w:r>
      <w:proofErr w:type="spellEnd"/>
      <w:r w:rsidRPr="004728AF">
        <w:rPr>
          <w:lang w:val="pt-BR"/>
        </w:rPr>
        <w:t xml:space="preserve"> et al., 2007; Katz, 2014; Lyon et al., 2020; </w:t>
      </w:r>
      <w:proofErr w:type="spellStart"/>
      <w:r w:rsidRPr="004728AF">
        <w:rPr>
          <w:lang w:val="pt-BR"/>
        </w:rPr>
        <w:t>Malloy</w:t>
      </w:r>
      <w:proofErr w:type="spellEnd"/>
      <w:r w:rsidRPr="004728AF">
        <w:rPr>
          <w:lang w:val="pt-BR"/>
        </w:rPr>
        <w:t xml:space="preserve"> et al., 2007; 2016; McGuire &amp; London, 2020; </w:t>
      </w:r>
      <w:proofErr w:type="spellStart"/>
      <w:r w:rsidRPr="004728AF">
        <w:rPr>
          <w:lang w:val="pt-BR"/>
        </w:rPr>
        <w:t>Rieser</w:t>
      </w:r>
      <w:proofErr w:type="spellEnd"/>
      <w:r w:rsidRPr="004728AF">
        <w:rPr>
          <w:lang w:val="pt-BR"/>
        </w:rPr>
        <w:t xml:space="preserve">, 1991; </w:t>
      </w:r>
      <w:proofErr w:type="spellStart"/>
      <w:r w:rsidRPr="004728AF">
        <w:rPr>
          <w:lang w:val="pt-BR"/>
        </w:rPr>
        <w:t>Sgroi</w:t>
      </w:r>
      <w:proofErr w:type="spellEnd"/>
      <w:r w:rsidRPr="004728AF">
        <w:rPr>
          <w:lang w:val="pt-BR"/>
        </w:rPr>
        <w:t xml:space="preserve"> et al., 1982; </w:t>
      </w:r>
      <w:proofErr w:type="spellStart"/>
      <w:r w:rsidRPr="004728AF">
        <w:rPr>
          <w:lang w:val="pt-BR"/>
        </w:rPr>
        <w:t>Sorensen</w:t>
      </w:r>
      <w:proofErr w:type="spellEnd"/>
      <w:r w:rsidRPr="004728AF">
        <w:rPr>
          <w:lang w:val="pt-BR"/>
        </w:rPr>
        <w:t xml:space="preserve"> &amp; </w:t>
      </w:r>
      <w:proofErr w:type="spellStart"/>
      <w:r w:rsidRPr="004728AF">
        <w:rPr>
          <w:lang w:val="pt-BR"/>
        </w:rPr>
        <w:t>Snow</w:t>
      </w:r>
      <w:proofErr w:type="spellEnd"/>
      <w:r w:rsidRPr="004728AF">
        <w:rPr>
          <w:lang w:val="pt-BR"/>
        </w:rPr>
        <w:t xml:space="preserve">, 1991; </w:t>
      </w:r>
      <w:proofErr w:type="spellStart"/>
      <w:r w:rsidRPr="004728AF">
        <w:rPr>
          <w:lang w:val="pt-BR"/>
        </w:rPr>
        <w:t>Summit</w:t>
      </w:r>
      <w:proofErr w:type="spellEnd"/>
      <w:r w:rsidRPr="004728AF">
        <w:rPr>
          <w:lang w:val="pt-BR"/>
        </w:rPr>
        <w:t>, 1983).</w:t>
      </w:r>
    </w:p>
    <w:p w14:paraId="22D9A17A" w14:textId="77777777" w:rsidR="004728AF" w:rsidRPr="004728AF" w:rsidRDefault="004728AF" w:rsidP="004728AF">
      <w:pPr>
        <w:pStyle w:val="Prrafocomn"/>
        <w:rPr>
          <w:lang w:val="pt-BR"/>
        </w:rPr>
      </w:pPr>
      <w:r w:rsidRPr="004728AF">
        <w:rPr>
          <w:lang w:val="pt-BR"/>
        </w:rPr>
        <w:t>Em alguns casos, a retratação por parte das crianças que revelam previamente situações que configuram AS, pode ser alvo de ceticismo pelos profissionais/instituições responsáveis pelo atendimento a vítimas de abuso sexual (</w:t>
      </w:r>
      <w:proofErr w:type="spellStart"/>
      <w:r w:rsidRPr="004728AF">
        <w:rPr>
          <w:lang w:val="pt-BR"/>
        </w:rPr>
        <w:t>Shiu</w:t>
      </w:r>
      <w:proofErr w:type="spellEnd"/>
      <w:r w:rsidRPr="004728AF">
        <w:rPr>
          <w:lang w:val="pt-BR"/>
        </w:rPr>
        <w:t>, 2009). Há autores que consideram este fenômeno associado a contextos de falsas alegações, isto é, pode corresponder a uma negação verdadeira de uma alegação inicialmente falsa ou o relato da criança pode ter sido obtido a partir de sugestionabilidade interrogativa em entrevista (Everson &amp; Boat, 1989; London et al., 2005). Os estudos têm mostrado que os relatos das crianças são suscetíveis ao tipo de perguntas feitas pelo entrevistador (abertas ou fechadas), repetição de perguntas/entrevistas, suporte emocional do entrevistador, entre outras (</w:t>
      </w:r>
      <w:proofErr w:type="spellStart"/>
      <w:r w:rsidRPr="004728AF">
        <w:rPr>
          <w:lang w:val="pt-BR"/>
        </w:rPr>
        <w:t>Hershkowitz</w:t>
      </w:r>
      <w:proofErr w:type="spellEnd"/>
      <w:r w:rsidRPr="004728AF">
        <w:rPr>
          <w:lang w:val="pt-BR"/>
        </w:rPr>
        <w:t xml:space="preserve"> et al., 2007; Lamb et al., 2008; </w:t>
      </w:r>
      <w:proofErr w:type="spellStart"/>
      <w:r w:rsidRPr="004728AF">
        <w:rPr>
          <w:lang w:val="pt-BR"/>
        </w:rPr>
        <w:t>Malloy</w:t>
      </w:r>
      <w:proofErr w:type="spellEnd"/>
      <w:r w:rsidRPr="004728AF">
        <w:rPr>
          <w:lang w:val="pt-BR"/>
        </w:rPr>
        <w:t xml:space="preserve"> &amp; </w:t>
      </w:r>
      <w:proofErr w:type="spellStart"/>
      <w:r w:rsidRPr="004728AF">
        <w:rPr>
          <w:lang w:val="pt-BR"/>
        </w:rPr>
        <w:t>Quas</w:t>
      </w:r>
      <w:proofErr w:type="spellEnd"/>
      <w:r w:rsidRPr="004728AF">
        <w:rPr>
          <w:lang w:val="pt-BR"/>
        </w:rPr>
        <w:t xml:space="preserve">, 2009). Para além dos contextos formais, as crianças também relatam suas experiências de vitimização no contexto informal, pelo que as condições de sugestão podem estar presentes em vários contextos da criança.  </w:t>
      </w:r>
    </w:p>
    <w:p w14:paraId="12149C51" w14:textId="77777777" w:rsidR="004728AF" w:rsidRPr="004728AF" w:rsidRDefault="004728AF" w:rsidP="004728AF">
      <w:pPr>
        <w:pStyle w:val="Prrafocomn"/>
        <w:rPr>
          <w:lang w:val="pt-BR"/>
        </w:rPr>
      </w:pPr>
      <w:r w:rsidRPr="004728AF">
        <w:rPr>
          <w:lang w:val="pt-BR"/>
        </w:rPr>
        <w:t xml:space="preserve">No que tange especificamente às falsas alegações de ASC, os estudos situam que estas podem ser provenientes de disputas de guarda/visitação, decorrentes de uma acusação feita por alguém com distúrbios psicológicos, por manipulação consciente da informação, causas iatrogênicas, influências sugestivas pelos pais ou pelos entrevistadores, interpretação errônea de um evento benigno, ou confabulação e/ou patologia infantil (Bradley et al., 2016; </w:t>
      </w:r>
      <w:proofErr w:type="spellStart"/>
      <w:r w:rsidRPr="004728AF">
        <w:rPr>
          <w:lang w:val="pt-BR"/>
        </w:rPr>
        <w:t>O’Donohue</w:t>
      </w:r>
      <w:proofErr w:type="spellEnd"/>
      <w:r w:rsidRPr="004728AF">
        <w:rPr>
          <w:lang w:val="pt-BR"/>
        </w:rPr>
        <w:t xml:space="preserve">, 2016). Em uma revisão crítica de </w:t>
      </w:r>
      <w:r w:rsidRPr="004728AF">
        <w:rPr>
          <w:lang w:val="pt-BR"/>
        </w:rPr>
        <w:lastRenderedPageBreak/>
        <w:t xml:space="preserve">estudos sobre esta temática, </w:t>
      </w:r>
      <w:proofErr w:type="spellStart"/>
      <w:r w:rsidRPr="004728AF">
        <w:rPr>
          <w:lang w:val="pt-BR"/>
        </w:rPr>
        <w:t>O’Donohue</w:t>
      </w:r>
      <w:proofErr w:type="spellEnd"/>
      <w:r w:rsidRPr="004728AF">
        <w:rPr>
          <w:lang w:val="pt-BR"/>
        </w:rPr>
        <w:t xml:space="preserve"> et al. (2018) refletem sobre as limitações metodológicas, concluindo que: (a) a maioria das alegações de ASC são verdadeiras, embora as falsas alegações ocorram a uma taxa não desprezível (entre 2 </w:t>
      </w:r>
      <w:proofErr w:type="gramStart"/>
      <w:r w:rsidRPr="004728AF">
        <w:rPr>
          <w:lang w:val="pt-BR"/>
        </w:rPr>
        <w:t>a</w:t>
      </w:r>
      <w:proofErr w:type="gramEnd"/>
      <w:r w:rsidRPr="004728AF">
        <w:rPr>
          <w:lang w:val="pt-BR"/>
        </w:rPr>
        <w:t xml:space="preserve"> 5%); (b) as disputas de guarda resultam em taxas muito mais altas de falsas alegações; (c) as negações falsas de abuso e a ausência de uma alegação, também ocorrem a uma taxa substancial (</w:t>
      </w:r>
      <w:proofErr w:type="spellStart"/>
      <w:r w:rsidRPr="004728AF">
        <w:rPr>
          <w:lang w:val="pt-BR"/>
        </w:rPr>
        <w:t>O’Donohue</w:t>
      </w:r>
      <w:proofErr w:type="spellEnd"/>
      <w:r w:rsidRPr="004728AF">
        <w:rPr>
          <w:lang w:val="pt-BR"/>
        </w:rPr>
        <w:t xml:space="preserve"> et al., 2018).</w:t>
      </w:r>
    </w:p>
    <w:p w14:paraId="3BBD7E7B" w14:textId="2D8AB95F" w:rsidR="004728AF" w:rsidRPr="004728AF" w:rsidRDefault="004728AF" w:rsidP="004728AF">
      <w:pPr>
        <w:pStyle w:val="Prrafocomn"/>
        <w:rPr>
          <w:lang w:val="pt-BR"/>
        </w:rPr>
      </w:pPr>
      <w:r w:rsidRPr="004728AF">
        <w:rPr>
          <w:lang w:val="pt-BR"/>
        </w:rPr>
        <w:t xml:space="preserve">De forma geral, a sugestionabilidade tem sido enfocada para explicar as condições em que crianças relatam abusos sexuais que não aconteceram e que se traduzem em algumas situações de retratação. Contudo, de acordo com </w:t>
      </w:r>
      <w:proofErr w:type="spellStart"/>
      <w:r w:rsidRPr="004728AF">
        <w:rPr>
          <w:lang w:val="pt-BR"/>
        </w:rPr>
        <w:t>Malloy</w:t>
      </w:r>
      <w:proofErr w:type="spellEnd"/>
      <w:r w:rsidRPr="004728AF">
        <w:rPr>
          <w:lang w:val="pt-BR"/>
        </w:rPr>
        <w:t xml:space="preserve"> e </w:t>
      </w:r>
      <w:proofErr w:type="spellStart"/>
      <w:r w:rsidRPr="004728AF">
        <w:rPr>
          <w:lang w:val="pt-BR"/>
        </w:rPr>
        <w:t>Mugno</w:t>
      </w:r>
      <w:proofErr w:type="spellEnd"/>
      <w:r w:rsidRPr="004728AF">
        <w:rPr>
          <w:lang w:val="pt-BR"/>
        </w:rPr>
        <w:t xml:space="preserve"> (2016), poucas investigações se debruçam sobre os fatores que estão subjacentes à suscetibilidade das crianças para negar eventos que, de fato, aconteceram. Em um estudo com casos reais de abuso sexual, observou-se que a taxa de retratação não foi significativamente superior em alegações com potencial indicador de falsa alegação, a exemplo da disputa de guarda. Além disso, a taxa de retratação não foi significativamente mais baixa entre os casos com evidências corroborativas complementares de ASC (</w:t>
      </w:r>
      <w:proofErr w:type="spellStart"/>
      <w:r w:rsidRPr="004728AF">
        <w:rPr>
          <w:lang w:val="pt-BR"/>
        </w:rPr>
        <w:t>Malloy</w:t>
      </w:r>
      <w:proofErr w:type="spellEnd"/>
      <w:r w:rsidRPr="004728AF">
        <w:rPr>
          <w:lang w:val="pt-BR"/>
        </w:rPr>
        <w:t xml:space="preserve"> et al., 2007). Outros estudos têm registrado a incidência de retratação em alegações corroboradas por evidências complementares (Bradley &amp; Wood, 1996; </w:t>
      </w:r>
      <w:proofErr w:type="spellStart"/>
      <w:r w:rsidRPr="004728AF">
        <w:rPr>
          <w:lang w:val="pt-BR"/>
        </w:rPr>
        <w:t>Celik</w:t>
      </w:r>
      <w:proofErr w:type="spellEnd"/>
      <w:r w:rsidRPr="004728AF">
        <w:rPr>
          <w:lang w:val="pt-BR"/>
        </w:rPr>
        <w:t xml:space="preserve"> et al., 2018; Elliott &amp; </w:t>
      </w:r>
      <w:proofErr w:type="spellStart"/>
      <w:r w:rsidRPr="004728AF">
        <w:rPr>
          <w:lang w:val="pt-BR"/>
        </w:rPr>
        <w:t>Briere</w:t>
      </w:r>
      <w:proofErr w:type="spellEnd"/>
      <w:r w:rsidRPr="004728AF">
        <w:rPr>
          <w:lang w:val="pt-BR"/>
        </w:rPr>
        <w:t xml:space="preserve">, 1994; Jones &amp; McGraw, 1987) </w:t>
      </w:r>
      <w:r w:rsidR="005C0C58" w:rsidRPr="005C0C58">
        <w:rPr>
          <w:lang w:val="pt-BR"/>
        </w:rPr>
        <w:t>mesmo quando</w:t>
      </w:r>
      <w:r w:rsidRPr="004728AF">
        <w:rPr>
          <w:lang w:val="pt-BR"/>
        </w:rPr>
        <w:t xml:space="preserve"> o primeiro relato da criança foi considerado credível pelos avaliadores e a entrevista conduzida mediante protocolos cientificamente validados (</w:t>
      </w:r>
      <w:proofErr w:type="spellStart"/>
      <w:r w:rsidRPr="004728AF">
        <w:rPr>
          <w:lang w:val="pt-BR"/>
        </w:rPr>
        <w:t>Hershkowitz</w:t>
      </w:r>
      <w:proofErr w:type="spellEnd"/>
      <w:r w:rsidRPr="004728AF">
        <w:rPr>
          <w:lang w:val="pt-BR"/>
        </w:rPr>
        <w:t xml:space="preserve"> et al., 2007; Katz, 2014). Assim, críticas têm sido feitas relativamente à concepção de que a retratação é um indicador de falsa alegação (Bradley et al., 2016; Lyon, 2002; 2007; 2020; </w:t>
      </w:r>
      <w:proofErr w:type="spellStart"/>
      <w:r w:rsidRPr="004728AF">
        <w:rPr>
          <w:lang w:val="pt-BR"/>
        </w:rPr>
        <w:t>Malloy</w:t>
      </w:r>
      <w:proofErr w:type="spellEnd"/>
      <w:r w:rsidRPr="004728AF">
        <w:rPr>
          <w:lang w:val="pt-BR"/>
        </w:rPr>
        <w:t xml:space="preserve"> et al., 2007; </w:t>
      </w:r>
      <w:proofErr w:type="spellStart"/>
      <w:r w:rsidRPr="004728AF">
        <w:rPr>
          <w:lang w:val="pt-BR"/>
        </w:rPr>
        <w:t>Malloy</w:t>
      </w:r>
      <w:proofErr w:type="spellEnd"/>
      <w:r w:rsidRPr="004728AF">
        <w:rPr>
          <w:lang w:val="pt-BR"/>
        </w:rPr>
        <w:t xml:space="preserve"> &amp; </w:t>
      </w:r>
      <w:proofErr w:type="spellStart"/>
      <w:r w:rsidRPr="004728AF">
        <w:rPr>
          <w:lang w:val="pt-BR"/>
        </w:rPr>
        <w:t>Quas</w:t>
      </w:r>
      <w:proofErr w:type="spellEnd"/>
      <w:r w:rsidRPr="004728AF">
        <w:rPr>
          <w:lang w:val="pt-BR"/>
        </w:rPr>
        <w:t xml:space="preserve">, 2009). Mais recentemente, </w:t>
      </w:r>
      <w:proofErr w:type="spellStart"/>
      <w:r w:rsidRPr="004728AF">
        <w:rPr>
          <w:lang w:val="pt-BR"/>
        </w:rPr>
        <w:t>Denne</w:t>
      </w:r>
      <w:proofErr w:type="spellEnd"/>
      <w:r w:rsidRPr="004728AF">
        <w:rPr>
          <w:lang w:val="pt-BR"/>
        </w:rPr>
        <w:t xml:space="preserve">, </w:t>
      </w:r>
      <w:proofErr w:type="spellStart"/>
      <w:r w:rsidRPr="004728AF">
        <w:rPr>
          <w:lang w:val="pt-BR"/>
        </w:rPr>
        <w:t>Stolzenberg</w:t>
      </w:r>
      <w:proofErr w:type="spellEnd"/>
      <w:r w:rsidRPr="004728AF">
        <w:rPr>
          <w:lang w:val="pt-BR"/>
        </w:rPr>
        <w:t>, e Neal (2021), concluíram que a retratação tanto pode ser resultado de uma alegação falsa ou de uma alegação verdadeira, sendo que nos casos</w:t>
      </w:r>
      <w:r w:rsidRPr="004728AF">
        <w:rPr>
          <w:lang w:val="pt-PT"/>
        </w:rPr>
        <w:t xml:space="preserve"> em que a acusação acredita que a retratação se deve a pressões sobre a criança para negar/retratar uma alegação verdadeira, o testemunho de um especialista pode ser útil para  reabilitar a credibilidade da criança, considerando que uma retratação não deve resultar imediatamente na falta de credibilidade da criança, nem deve ser ignorada.</w:t>
      </w:r>
    </w:p>
    <w:p w14:paraId="6FAA1138" w14:textId="77777777" w:rsidR="004728AF" w:rsidRPr="004728AF" w:rsidRDefault="004728AF" w:rsidP="004728AF">
      <w:pPr>
        <w:pStyle w:val="Prrafocomn"/>
        <w:rPr>
          <w:lang w:val="pt-BR"/>
        </w:rPr>
      </w:pPr>
      <w:r w:rsidRPr="004728AF">
        <w:rPr>
          <w:lang w:val="pt-BR"/>
        </w:rPr>
        <w:t>A ocorrência da retratação no âmbito da investigação/avaliação perante suspeita de ASC pode influenciar a tomada de decisão dos/as profissionais sobre se devem ou não reportar o caso às instituições, levando-os a ponderar uma situação de menor gravidade (</w:t>
      </w:r>
      <w:proofErr w:type="spellStart"/>
      <w:r w:rsidRPr="004728AF">
        <w:rPr>
          <w:lang w:val="pt-BR"/>
        </w:rPr>
        <w:t>Rieser</w:t>
      </w:r>
      <w:proofErr w:type="spellEnd"/>
      <w:r w:rsidRPr="004728AF">
        <w:rPr>
          <w:lang w:val="pt-BR"/>
        </w:rPr>
        <w:t xml:space="preserve">, 1991). No cenário judicial, a retratação tem sido considerada como uma forma de “inconsistência” do relato das vítimas, sendo que a consistência do relato é </w:t>
      </w:r>
      <w:proofErr w:type="gramStart"/>
      <w:r w:rsidRPr="004728AF">
        <w:rPr>
          <w:lang w:val="pt-BR"/>
        </w:rPr>
        <w:t>indicador</w:t>
      </w:r>
      <w:proofErr w:type="gramEnd"/>
      <w:r w:rsidRPr="004728AF">
        <w:rPr>
          <w:lang w:val="pt-BR"/>
        </w:rPr>
        <w:t xml:space="preserve"> de exatidão e confiabilidade do testemunho (</w:t>
      </w:r>
      <w:proofErr w:type="spellStart"/>
      <w:r w:rsidRPr="004728AF">
        <w:rPr>
          <w:lang w:val="pt-BR"/>
        </w:rPr>
        <w:t>Malloy</w:t>
      </w:r>
      <w:proofErr w:type="spellEnd"/>
      <w:r w:rsidRPr="004728AF">
        <w:rPr>
          <w:lang w:val="pt-BR"/>
        </w:rPr>
        <w:t xml:space="preserve"> &amp; </w:t>
      </w:r>
      <w:proofErr w:type="spellStart"/>
      <w:r w:rsidRPr="004728AF">
        <w:rPr>
          <w:lang w:val="pt-BR"/>
        </w:rPr>
        <w:t>Mugno</w:t>
      </w:r>
      <w:proofErr w:type="spellEnd"/>
      <w:r w:rsidRPr="004728AF">
        <w:rPr>
          <w:lang w:val="pt-BR"/>
        </w:rPr>
        <w:t xml:space="preserve">, 2016). Quando a criança </w:t>
      </w:r>
      <w:r w:rsidRPr="004728AF">
        <w:rPr>
          <w:lang w:val="pt-BR"/>
        </w:rPr>
        <w:lastRenderedPageBreak/>
        <w:t>nega a ocorrência de um evento após ela própria o ter revelado, isto conduz o sistema de proteção e de justiça a questionar e a colocar em causa a sua credibilidade (</w:t>
      </w:r>
      <w:proofErr w:type="spellStart"/>
      <w:r w:rsidRPr="004728AF">
        <w:rPr>
          <w:lang w:val="pt-BR"/>
        </w:rPr>
        <w:t>Denne</w:t>
      </w:r>
      <w:proofErr w:type="spellEnd"/>
      <w:r w:rsidRPr="004728AF">
        <w:rPr>
          <w:lang w:val="pt-BR"/>
        </w:rPr>
        <w:t xml:space="preserve">, </w:t>
      </w:r>
      <w:proofErr w:type="spellStart"/>
      <w:r w:rsidRPr="004728AF">
        <w:rPr>
          <w:lang w:val="pt-BR"/>
        </w:rPr>
        <w:t>Stolzenberg</w:t>
      </w:r>
      <w:proofErr w:type="spellEnd"/>
      <w:r w:rsidRPr="004728AF">
        <w:rPr>
          <w:lang w:val="pt-BR"/>
        </w:rPr>
        <w:t xml:space="preserve">, &amp; Neal, 2021; </w:t>
      </w:r>
      <w:proofErr w:type="spellStart"/>
      <w:r w:rsidRPr="004728AF">
        <w:rPr>
          <w:lang w:val="pt-BR"/>
        </w:rPr>
        <w:t>Malloy</w:t>
      </w:r>
      <w:proofErr w:type="spellEnd"/>
      <w:r w:rsidRPr="004728AF">
        <w:rPr>
          <w:lang w:val="pt-BR"/>
        </w:rPr>
        <w:t xml:space="preserve"> &amp; </w:t>
      </w:r>
      <w:proofErr w:type="spellStart"/>
      <w:r w:rsidRPr="004728AF">
        <w:rPr>
          <w:lang w:val="pt-BR"/>
        </w:rPr>
        <w:t>Mugno</w:t>
      </w:r>
      <w:proofErr w:type="spellEnd"/>
      <w:r w:rsidRPr="004728AF">
        <w:rPr>
          <w:lang w:val="pt-BR"/>
        </w:rPr>
        <w:t xml:space="preserve">, 2016; Marx, 1996; </w:t>
      </w:r>
      <w:proofErr w:type="spellStart"/>
      <w:r w:rsidRPr="004728AF">
        <w:rPr>
          <w:lang w:val="pt-BR"/>
        </w:rPr>
        <w:t>Rieser</w:t>
      </w:r>
      <w:proofErr w:type="spellEnd"/>
      <w:r w:rsidRPr="004728AF">
        <w:rPr>
          <w:lang w:val="pt-BR"/>
        </w:rPr>
        <w:t>, 1991).</w:t>
      </w:r>
    </w:p>
    <w:p w14:paraId="6A6377B2" w14:textId="77777777" w:rsidR="004728AF" w:rsidRPr="004728AF" w:rsidRDefault="004728AF" w:rsidP="004728AF">
      <w:pPr>
        <w:pStyle w:val="Prrafocomn"/>
        <w:rPr>
          <w:lang w:val="pt-BR"/>
        </w:rPr>
      </w:pPr>
      <w:r w:rsidRPr="004728AF">
        <w:rPr>
          <w:lang w:val="pt-BR"/>
        </w:rPr>
        <w:t>Considerando as implicações negativas da retratação, a literatura tem ressaltado a importância de incluir a identificação desta problemática no processo avaliativo no âmbito de uma suspeita de ASC (</w:t>
      </w:r>
      <w:proofErr w:type="spellStart"/>
      <w:r w:rsidRPr="004728AF">
        <w:rPr>
          <w:lang w:val="pt-BR"/>
        </w:rPr>
        <w:t>Celik</w:t>
      </w:r>
      <w:proofErr w:type="spellEnd"/>
      <w:r w:rsidRPr="004728AF">
        <w:rPr>
          <w:lang w:val="pt-BR"/>
        </w:rPr>
        <w:t xml:space="preserve"> et al, 218; Katz, 2014; Marx, 1996). A compreensão teórica sobre a retratação pode ser buscada a partir dos </w:t>
      </w:r>
      <w:r w:rsidRPr="004728AF">
        <w:rPr>
          <w:lang w:val="pt-PT"/>
        </w:rPr>
        <w:t xml:space="preserve">modelos </w:t>
      </w:r>
      <w:r w:rsidRPr="004728AF">
        <w:rPr>
          <w:lang w:val="pt-BR"/>
        </w:rPr>
        <w:t>explicativos do ASC (</w:t>
      </w:r>
      <w:proofErr w:type="spellStart"/>
      <w:r w:rsidRPr="004728AF">
        <w:rPr>
          <w:lang w:val="pt-BR"/>
        </w:rPr>
        <w:t>Furniss</w:t>
      </w:r>
      <w:proofErr w:type="spellEnd"/>
      <w:r w:rsidRPr="004728AF">
        <w:rPr>
          <w:lang w:val="pt-BR"/>
        </w:rPr>
        <w:t xml:space="preserve">, 1991; </w:t>
      </w:r>
      <w:proofErr w:type="spellStart"/>
      <w:r w:rsidRPr="004728AF">
        <w:rPr>
          <w:lang w:val="pt-BR"/>
        </w:rPr>
        <w:t>Hohendorff</w:t>
      </w:r>
      <w:proofErr w:type="spellEnd"/>
      <w:r w:rsidRPr="004728AF">
        <w:rPr>
          <w:lang w:val="pt-BR"/>
        </w:rPr>
        <w:t xml:space="preserve"> et al., 2017; </w:t>
      </w:r>
      <w:proofErr w:type="spellStart"/>
      <w:r w:rsidRPr="004728AF">
        <w:rPr>
          <w:lang w:val="pt-BR"/>
        </w:rPr>
        <w:t>Sgroi</w:t>
      </w:r>
      <w:proofErr w:type="spellEnd"/>
      <w:r w:rsidRPr="004728AF">
        <w:rPr>
          <w:lang w:val="pt-BR"/>
        </w:rPr>
        <w:t xml:space="preserve"> et al., 1982; </w:t>
      </w:r>
      <w:proofErr w:type="spellStart"/>
      <w:r w:rsidRPr="004728AF">
        <w:rPr>
          <w:lang w:val="pt-BR"/>
        </w:rPr>
        <w:t>Summit</w:t>
      </w:r>
      <w:proofErr w:type="spellEnd"/>
      <w:r w:rsidRPr="004728AF">
        <w:rPr>
          <w:lang w:val="pt-BR"/>
        </w:rPr>
        <w:t>, 1983) e do processo de revelação (</w:t>
      </w:r>
      <w:proofErr w:type="spellStart"/>
      <w:r w:rsidRPr="004728AF">
        <w:rPr>
          <w:lang w:val="pt-BR"/>
        </w:rPr>
        <w:t>McElvaney</w:t>
      </w:r>
      <w:proofErr w:type="spellEnd"/>
      <w:r w:rsidRPr="004728AF">
        <w:rPr>
          <w:lang w:val="pt-BR"/>
        </w:rPr>
        <w:t xml:space="preserve"> et al., 2012; </w:t>
      </w:r>
      <w:proofErr w:type="spellStart"/>
      <w:r w:rsidRPr="004728AF">
        <w:rPr>
          <w:lang w:val="pt-BR"/>
        </w:rPr>
        <w:t>Staller</w:t>
      </w:r>
      <w:proofErr w:type="spellEnd"/>
      <w:r w:rsidRPr="004728AF">
        <w:rPr>
          <w:lang w:val="pt-BR"/>
        </w:rPr>
        <w:t xml:space="preserve"> &amp; Nelson-</w:t>
      </w:r>
      <w:proofErr w:type="spellStart"/>
      <w:r w:rsidRPr="004728AF">
        <w:rPr>
          <w:lang w:val="pt-BR"/>
        </w:rPr>
        <w:t>Gardell</w:t>
      </w:r>
      <w:proofErr w:type="spellEnd"/>
      <w:r w:rsidRPr="004728AF">
        <w:rPr>
          <w:lang w:val="pt-BR"/>
        </w:rPr>
        <w:t xml:space="preserve">, 2005). Em linhas gerais, o ASC é uma experiência fundada na </w:t>
      </w:r>
      <w:r w:rsidRPr="004728AF">
        <w:rPr>
          <w:iCs/>
          <w:lang w:val="pt-BR"/>
        </w:rPr>
        <w:t>manutenção do segredo</w:t>
      </w:r>
      <w:r w:rsidRPr="004728AF">
        <w:rPr>
          <w:lang w:val="pt-BR"/>
        </w:rPr>
        <w:t xml:space="preserve"> entre o/a agressor/a e a vítima. Este secretismo pode resultar das ameaças/reforços por parte do/a agressor/a para que o abuso não seja revelado (</w:t>
      </w:r>
      <w:proofErr w:type="spellStart"/>
      <w:r w:rsidRPr="004728AF">
        <w:rPr>
          <w:lang w:val="pt-BR"/>
        </w:rPr>
        <w:t>Furniss</w:t>
      </w:r>
      <w:proofErr w:type="spellEnd"/>
      <w:r w:rsidRPr="004728AF">
        <w:rPr>
          <w:lang w:val="pt-BR"/>
        </w:rPr>
        <w:t xml:space="preserve">, 1991; </w:t>
      </w:r>
      <w:proofErr w:type="spellStart"/>
      <w:r w:rsidRPr="004728AF">
        <w:rPr>
          <w:lang w:val="pt-BR"/>
        </w:rPr>
        <w:t>Summit</w:t>
      </w:r>
      <w:proofErr w:type="spellEnd"/>
      <w:r w:rsidRPr="004728AF">
        <w:rPr>
          <w:lang w:val="pt-BR"/>
        </w:rPr>
        <w:t xml:space="preserve">, 1983; </w:t>
      </w:r>
      <w:proofErr w:type="spellStart"/>
      <w:r w:rsidRPr="004728AF">
        <w:rPr>
          <w:lang w:val="pt-BR"/>
        </w:rPr>
        <w:t>Sgroi</w:t>
      </w:r>
      <w:proofErr w:type="spellEnd"/>
      <w:r w:rsidRPr="004728AF">
        <w:rPr>
          <w:lang w:val="pt-BR"/>
        </w:rPr>
        <w:t xml:space="preserve"> et al., 1982) e contribui de sobremaneira para o cariz </w:t>
      </w:r>
      <w:proofErr w:type="spellStart"/>
      <w:r w:rsidRPr="004728AF">
        <w:rPr>
          <w:lang w:val="pt-BR"/>
        </w:rPr>
        <w:t>traumatogênico</w:t>
      </w:r>
      <w:proofErr w:type="spellEnd"/>
      <w:r w:rsidRPr="004728AF">
        <w:rPr>
          <w:lang w:val="pt-BR"/>
        </w:rPr>
        <w:t xml:space="preserve"> do ASC. Complementarmente, embora o relato da criança possibilite o desvelamento do segredo, pode potencializar uma crise ao nível intrapessoal, familiar e comunitário que, por sua vez, vai influenciar a própria revelação (</w:t>
      </w:r>
      <w:proofErr w:type="spellStart"/>
      <w:r w:rsidRPr="004728AF">
        <w:rPr>
          <w:lang w:val="pt-BR"/>
        </w:rPr>
        <w:t>Sgroi</w:t>
      </w:r>
      <w:proofErr w:type="spellEnd"/>
      <w:r w:rsidRPr="004728AF">
        <w:rPr>
          <w:lang w:val="pt-BR"/>
        </w:rPr>
        <w:t xml:space="preserve"> et al., 1982; </w:t>
      </w:r>
      <w:proofErr w:type="spellStart"/>
      <w:r w:rsidRPr="004728AF">
        <w:rPr>
          <w:lang w:val="pt-BR"/>
        </w:rPr>
        <w:t>Summit</w:t>
      </w:r>
      <w:proofErr w:type="spellEnd"/>
      <w:r w:rsidRPr="004728AF">
        <w:rPr>
          <w:lang w:val="pt-BR"/>
        </w:rPr>
        <w:t xml:space="preserve">, 1983). Esta crise pode consistir em </w:t>
      </w:r>
      <w:r w:rsidRPr="004728AF">
        <w:rPr>
          <w:iCs/>
          <w:lang w:val="pt-BR"/>
        </w:rPr>
        <w:t>descrédito por parte dos familiares da criança, da comunidade e/ou dos profissionais perante a revelação do ASC</w:t>
      </w:r>
      <w:r w:rsidRPr="004728AF">
        <w:rPr>
          <w:lang w:val="pt-BR"/>
        </w:rPr>
        <w:t xml:space="preserve">, e de tentativas de silenciar a criança por meio de ameaças ou agressões físicas/verbais. As dinâmicas </w:t>
      </w:r>
      <w:proofErr w:type="spellStart"/>
      <w:r w:rsidRPr="004728AF">
        <w:rPr>
          <w:lang w:val="pt-BR"/>
        </w:rPr>
        <w:t>traumatogênicas</w:t>
      </w:r>
      <w:proofErr w:type="spellEnd"/>
      <w:r w:rsidRPr="004728AF">
        <w:rPr>
          <w:lang w:val="pt-BR"/>
        </w:rPr>
        <w:t xml:space="preserve"> do ASC tendem a intensificar-se quando a criança vivencia estas reações de descrédito, sentindo-se ainda mais estigmatizada ou impotente (</w:t>
      </w:r>
      <w:proofErr w:type="spellStart"/>
      <w:r w:rsidRPr="004728AF">
        <w:rPr>
          <w:lang w:val="pt-BR"/>
        </w:rPr>
        <w:t>Finkelhor</w:t>
      </w:r>
      <w:proofErr w:type="spellEnd"/>
      <w:r w:rsidRPr="004728AF">
        <w:rPr>
          <w:lang w:val="pt-BR"/>
        </w:rPr>
        <w:t xml:space="preserve"> &amp; Browne, 1989). Assim, a retratação pode emergir como uma resposta ativa ou adaptativa da criança face às diversas situações (</w:t>
      </w:r>
      <w:proofErr w:type="spellStart"/>
      <w:r w:rsidRPr="004728AF">
        <w:rPr>
          <w:lang w:val="pt-BR"/>
        </w:rPr>
        <w:t>intra</w:t>
      </w:r>
      <w:proofErr w:type="spellEnd"/>
      <w:r w:rsidRPr="004728AF">
        <w:rPr>
          <w:lang w:val="pt-BR"/>
        </w:rPr>
        <w:t>/interpessoais) vivenciadas antes e após a revelação (</w:t>
      </w:r>
      <w:proofErr w:type="spellStart"/>
      <w:r w:rsidRPr="004728AF">
        <w:rPr>
          <w:lang w:val="pt-BR"/>
        </w:rPr>
        <w:t>Staller</w:t>
      </w:r>
      <w:proofErr w:type="spellEnd"/>
      <w:r w:rsidRPr="004728AF">
        <w:rPr>
          <w:lang w:val="pt-BR"/>
        </w:rPr>
        <w:t xml:space="preserve"> &amp; Nelson-</w:t>
      </w:r>
      <w:proofErr w:type="spellStart"/>
      <w:r w:rsidRPr="004728AF">
        <w:rPr>
          <w:lang w:val="pt-BR"/>
        </w:rPr>
        <w:t>Gardell</w:t>
      </w:r>
      <w:proofErr w:type="spellEnd"/>
      <w:r w:rsidRPr="004728AF">
        <w:rPr>
          <w:lang w:val="pt-BR"/>
        </w:rPr>
        <w:t>, 2005). A criança percebe e absorve as informações provenientes do meio social de maneira a conduzir, ativamente, a sua revelação, seja decidindo relatar ou retratar-se (</w:t>
      </w:r>
      <w:proofErr w:type="spellStart"/>
      <w:r w:rsidRPr="004728AF">
        <w:rPr>
          <w:lang w:val="pt-BR"/>
        </w:rPr>
        <w:t>McElvaney</w:t>
      </w:r>
      <w:proofErr w:type="spellEnd"/>
      <w:r w:rsidRPr="004728AF">
        <w:rPr>
          <w:lang w:val="pt-BR"/>
        </w:rPr>
        <w:t xml:space="preserve"> et al., 2012; </w:t>
      </w:r>
      <w:proofErr w:type="spellStart"/>
      <w:r w:rsidRPr="004728AF">
        <w:rPr>
          <w:lang w:val="pt-BR"/>
        </w:rPr>
        <w:t>Staller</w:t>
      </w:r>
      <w:proofErr w:type="spellEnd"/>
      <w:r w:rsidRPr="004728AF">
        <w:rPr>
          <w:lang w:val="pt-BR"/>
        </w:rPr>
        <w:t xml:space="preserve"> &amp; Nelson-</w:t>
      </w:r>
      <w:proofErr w:type="spellStart"/>
      <w:r w:rsidRPr="004728AF">
        <w:rPr>
          <w:lang w:val="pt-BR"/>
        </w:rPr>
        <w:t>Gardell</w:t>
      </w:r>
      <w:proofErr w:type="spellEnd"/>
      <w:r w:rsidRPr="004728AF">
        <w:rPr>
          <w:lang w:val="pt-BR"/>
        </w:rPr>
        <w:t>, 2005), de forma que o processo de revelação não se esgota nos contextos imediatos, mas é afetado por fatores presentes em outros níveis contextuais com os quais a criança interage diretamente ou indiretamente (</w:t>
      </w:r>
      <w:proofErr w:type="spellStart"/>
      <w:r w:rsidRPr="004728AF">
        <w:rPr>
          <w:lang w:val="pt-BR"/>
        </w:rPr>
        <w:t>Alaggia</w:t>
      </w:r>
      <w:proofErr w:type="spellEnd"/>
      <w:r w:rsidRPr="004728AF">
        <w:rPr>
          <w:lang w:val="pt-BR"/>
        </w:rPr>
        <w:t xml:space="preserve">, 2010; Fontes, 1993; Fontes &amp; </w:t>
      </w:r>
      <w:proofErr w:type="spellStart"/>
      <w:r w:rsidRPr="004728AF">
        <w:rPr>
          <w:lang w:val="pt-BR"/>
        </w:rPr>
        <w:t>Plummer</w:t>
      </w:r>
      <w:proofErr w:type="spellEnd"/>
      <w:r w:rsidRPr="004728AF">
        <w:rPr>
          <w:lang w:val="pt-BR"/>
        </w:rPr>
        <w:t>, 2010).</w:t>
      </w:r>
    </w:p>
    <w:p w14:paraId="04F3C64D" w14:textId="5ECC2381" w:rsidR="004728AF" w:rsidRPr="004728AF" w:rsidRDefault="004728AF" w:rsidP="004728AF">
      <w:pPr>
        <w:pStyle w:val="Prrafocomn"/>
        <w:rPr>
          <w:lang w:val="pt-BR"/>
        </w:rPr>
      </w:pPr>
      <w:r w:rsidRPr="004728AF">
        <w:rPr>
          <w:lang w:val="pt-BR"/>
        </w:rPr>
        <w:t xml:space="preserve">No que tange à interação entre a pessoa e os diversos níveis contextuais, a Teoria </w:t>
      </w:r>
      <w:proofErr w:type="spellStart"/>
      <w:r w:rsidRPr="004728AF">
        <w:rPr>
          <w:lang w:val="pt-BR"/>
        </w:rPr>
        <w:t>Bioecológica</w:t>
      </w:r>
      <w:proofErr w:type="spellEnd"/>
      <w:r w:rsidRPr="004728AF">
        <w:rPr>
          <w:lang w:val="pt-BR"/>
        </w:rPr>
        <w:t xml:space="preserve"> do </w:t>
      </w:r>
      <w:r w:rsidR="005C0C58" w:rsidRPr="005C0C58">
        <w:rPr>
          <w:lang w:val="pt-BR"/>
        </w:rPr>
        <w:t>Desenvolvimento</w:t>
      </w:r>
      <w:r w:rsidRPr="004728AF">
        <w:rPr>
          <w:lang w:val="pt-BR"/>
        </w:rPr>
        <w:t xml:space="preserve"> Humano (TBDH) considera que o desenvolvimento é </w:t>
      </w:r>
      <w:r w:rsidRPr="004728AF">
        <w:rPr>
          <w:lang w:val="pt-BR"/>
        </w:rPr>
        <w:lastRenderedPageBreak/>
        <w:t>um processo</w:t>
      </w:r>
      <w:r w:rsidRPr="004728AF">
        <w:rPr>
          <w:vertAlign w:val="superscript"/>
          <w:lang w:val="pt-BR"/>
        </w:rPr>
        <w:footnoteReference w:id="4"/>
      </w:r>
      <w:r w:rsidRPr="004728AF">
        <w:rPr>
          <w:lang w:val="pt-BR"/>
        </w:rPr>
        <w:t xml:space="preserve"> que se estende ao longo da ontogênese (ciclo vital), gerações e história, composto de continuidades e mudanças nas características biopsicológicas individuais e grupais (</w:t>
      </w:r>
      <w:proofErr w:type="spellStart"/>
      <w:r w:rsidRPr="004728AF">
        <w:rPr>
          <w:lang w:val="pt-BR"/>
        </w:rPr>
        <w:t>Bronfenbrenner</w:t>
      </w:r>
      <w:proofErr w:type="spellEnd"/>
      <w:r w:rsidRPr="004728AF">
        <w:rPr>
          <w:lang w:val="pt-BR"/>
        </w:rPr>
        <w:t>, 2005). A pesquisa e a literatura em torno da retratação têm vindo a indicar a necessidade de uma abordagem ecológica a esta problemática, face à sua complexidade e ao conjunto de condições que podem favorecer ou dificultar o processo de revelação pela criança (</w:t>
      </w:r>
      <w:proofErr w:type="spellStart"/>
      <w:r w:rsidRPr="004728AF">
        <w:rPr>
          <w:lang w:val="pt-BR"/>
        </w:rPr>
        <w:t>Alaggia</w:t>
      </w:r>
      <w:proofErr w:type="spellEnd"/>
      <w:r w:rsidRPr="004728AF">
        <w:rPr>
          <w:lang w:val="pt-BR"/>
        </w:rPr>
        <w:t xml:space="preserve">, 2010; </w:t>
      </w:r>
      <w:proofErr w:type="spellStart"/>
      <w:r w:rsidRPr="004728AF">
        <w:rPr>
          <w:lang w:val="pt-BR"/>
        </w:rPr>
        <w:t>Collin-Vézina</w:t>
      </w:r>
      <w:proofErr w:type="spellEnd"/>
      <w:r w:rsidRPr="004728AF">
        <w:rPr>
          <w:lang w:val="pt-BR"/>
        </w:rPr>
        <w:t xml:space="preserve"> et al., 2015; Fontes, 1993; Katz, 2014).</w:t>
      </w:r>
    </w:p>
    <w:p w14:paraId="170B3B43" w14:textId="4B2FF8FE" w:rsidR="004728AF" w:rsidRPr="004728AF" w:rsidRDefault="004728AF" w:rsidP="004728AF">
      <w:pPr>
        <w:pStyle w:val="Prrafocomn"/>
        <w:rPr>
          <w:lang w:val="pt-BR"/>
        </w:rPr>
      </w:pPr>
      <w:r w:rsidRPr="004728AF">
        <w:rPr>
          <w:lang w:val="pt-BR"/>
        </w:rPr>
        <w:t xml:space="preserve"> Neste sentido, uma avaliação do ASC deve incluir a identificação de possíveis fatores de risco associados à retratação (Katz, 2014; Marx, 1996; </w:t>
      </w:r>
      <w:proofErr w:type="spellStart"/>
      <w:r w:rsidRPr="004728AF">
        <w:rPr>
          <w:lang w:val="pt-BR"/>
        </w:rPr>
        <w:t>Rieser</w:t>
      </w:r>
      <w:proofErr w:type="spellEnd"/>
      <w:r w:rsidRPr="004728AF">
        <w:rPr>
          <w:lang w:val="pt-BR"/>
        </w:rPr>
        <w:t xml:space="preserve">, 1991). Fatores de risco, pessoais ou do ambiente, são conceitualizados como mecanismos adversos na vida de uma pessoa, ou que a predispõem para um resultado negativo/indesejado. No âmbito de uma compreensão </w:t>
      </w:r>
      <w:proofErr w:type="spellStart"/>
      <w:r w:rsidRPr="004728AF">
        <w:rPr>
          <w:lang w:val="pt-BR"/>
        </w:rPr>
        <w:t>bioecológica</w:t>
      </w:r>
      <w:proofErr w:type="spellEnd"/>
      <w:r w:rsidRPr="004728AF">
        <w:rPr>
          <w:lang w:val="pt-BR"/>
        </w:rPr>
        <w:t xml:space="preserve"> do desenvolvimento humano, </w:t>
      </w:r>
      <w:r w:rsidR="00F40FEB">
        <w:rPr>
          <w:lang w:val="pt-BR"/>
        </w:rPr>
        <w:t>é</w:t>
      </w:r>
      <w:r w:rsidRPr="004728AF">
        <w:rPr>
          <w:lang w:val="pt-BR"/>
        </w:rPr>
        <w:t xml:space="preserve"> necessário também enfocar os fatores de proteção, os quais têm o cariz de impedir e/ou minimizar os efeitos dos fatores de risco, ou mesmo fortalecer a pessoa face a uma condição adversa (</w:t>
      </w:r>
      <w:proofErr w:type="spellStart"/>
      <w:r w:rsidRPr="004728AF">
        <w:rPr>
          <w:lang w:val="pt-BR"/>
        </w:rPr>
        <w:t>Cicchetti</w:t>
      </w:r>
      <w:proofErr w:type="spellEnd"/>
      <w:r w:rsidRPr="004728AF">
        <w:rPr>
          <w:lang w:val="pt-BR"/>
        </w:rPr>
        <w:t xml:space="preserve"> &amp; Lynch, 1993). Tendo por base uma perspectiva </w:t>
      </w:r>
      <w:proofErr w:type="spellStart"/>
      <w:r w:rsidRPr="004728AF">
        <w:rPr>
          <w:lang w:val="pt-BR"/>
        </w:rPr>
        <w:t>bioecológica</w:t>
      </w:r>
      <w:proofErr w:type="spellEnd"/>
      <w:r w:rsidRPr="004728AF">
        <w:rPr>
          <w:lang w:val="pt-BR"/>
        </w:rPr>
        <w:t xml:space="preserve"> sobre o processo de revelação do ASC (</w:t>
      </w:r>
      <w:proofErr w:type="spellStart"/>
      <w:r w:rsidRPr="004728AF">
        <w:rPr>
          <w:lang w:val="pt-BR"/>
        </w:rPr>
        <w:t>Alaggia</w:t>
      </w:r>
      <w:proofErr w:type="spellEnd"/>
      <w:r w:rsidRPr="004728AF">
        <w:rPr>
          <w:lang w:val="pt-BR"/>
        </w:rPr>
        <w:t xml:space="preserve">, 2010; </w:t>
      </w:r>
      <w:proofErr w:type="spellStart"/>
      <w:r w:rsidRPr="004728AF">
        <w:rPr>
          <w:lang w:val="pt-BR"/>
        </w:rPr>
        <w:t>Alaggia</w:t>
      </w:r>
      <w:proofErr w:type="spellEnd"/>
      <w:r w:rsidRPr="004728AF">
        <w:rPr>
          <w:lang w:val="pt-BR"/>
        </w:rPr>
        <w:t xml:space="preserve"> et al., 2017; </w:t>
      </w:r>
      <w:proofErr w:type="spellStart"/>
      <w:r w:rsidRPr="004728AF">
        <w:rPr>
          <w:lang w:val="pt-BR"/>
        </w:rPr>
        <w:t>Collin-Vézina</w:t>
      </w:r>
      <w:proofErr w:type="spellEnd"/>
      <w:r w:rsidRPr="004728AF">
        <w:rPr>
          <w:lang w:val="pt-BR"/>
        </w:rPr>
        <w:t xml:space="preserve"> et al., 2015; Fontes, 1993), a investigação sobre as condições de risco e de proteção da retratação é fundamental. Além da relevância teórica que a identificação destes fatores representa, subjaz o impacto prático, na medida em que se fornece aos profissionais subsídios para o processo de avaliação em casos de ASC, regendo-se pelo princípio do melhor interesse da criança, e minimizando a probabilidade de </w:t>
      </w:r>
      <w:proofErr w:type="spellStart"/>
      <w:r w:rsidRPr="004728AF">
        <w:rPr>
          <w:lang w:val="pt-BR"/>
        </w:rPr>
        <w:t>revitimização</w:t>
      </w:r>
      <w:proofErr w:type="spellEnd"/>
      <w:r w:rsidRPr="004728AF">
        <w:rPr>
          <w:lang w:val="pt-BR"/>
        </w:rPr>
        <w:t>.</w:t>
      </w:r>
    </w:p>
    <w:p w14:paraId="24ED312A" w14:textId="77777777" w:rsidR="004728AF" w:rsidRPr="004728AF" w:rsidRDefault="004728AF" w:rsidP="004728AF">
      <w:pPr>
        <w:pStyle w:val="Prrafocomn"/>
        <w:rPr>
          <w:lang w:val="pt-BR"/>
        </w:rPr>
      </w:pPr>
      <w:r w:rsidRPr="004728AF">
        <w:rPr>
          <w:lang w:val="pt-PT"/>
        </w:rPr>
        <w:t xml:space="preserve">Estudos empíricos indicam um risco aumentado para a retratação: em crianças com idades inferiores aos 10 anos de idade </w:t>
      </w:r>
      <w:r w:rsidRPr="004728AF">
        <w:rPr>
          <w:lang w:val="pt-BR"/>
        </w:rPr>
        <w:t>(</w:t>
      </w:r>
      <w:proofErr w:type="spellStart"/>
      <w:r w:rsidRPr="004728AF">
        <w:rPr>
          <w:lang w:val="pt-BR"/>
        </w:rPr>
        <w:t>Malloy</w:t>
      </w:r>
      <w:proofErr w:type="spellEnd"/>
      <w:r w:rsidRPr="004728AF">
        <w:rPr>
          <w:lang w:val="pt-BR"/>
        </w:rPr>
        <w:t xml:space="preserve"> et al., 2007); que expressam sentimentos de medo / vergonha ao falar sobre o abuso; em situações de ASC continuado (</w:t>
      </w:r>
      <w:proofErr w:type="spellStart"/>
      <w:r w:rsidRPr="004728AF">
        <w:rPr>
          <w:lang w:val="pt-BR"/>
        </w:rPr>
        <w:t>Celik</w:t>
      </w:r>
      <w:proofErr w:type="spellEnd"/>
      <w:r w:rsidRPr="004728AF">
        <w:rPr>
          <w:lang w:val="pt-BR"/>
        </w:rPr>
        <w:t xml:space="preserve"> et al., 2018; </w:t>
      </w:r>
      <w:proofErr w:type="spellStart"/>
      <w:r w:rsidRPr="004728AF">
        <w:rPr>
          <w:lang w:val="pt-BR"/>
        </w:rPr>
        <w:t>Hershkowitz</w:t>
      </w:r>
      <w:proofErr w:type="spellEnd"/>
      <w:r w:rsidRPr="004728AF">
        <w:rPr>
          <w:lang w:val="pt-BR"/>
        </w:rPr>
        <w:t xml:space="preserve"> et al., 2007); quando o agressor/a sexual é um familiar (Baía et al., 2021; </w:t>
      </w:r>
      <w:proofErr w:type="spellStart"/>
      <w:r w:rsidRPr="004728AF">
        <w:rPr>
          <w:lang w:val="pt-BR"/>
        </w:rPr>
        <w:t>Celik</w:t>
      </w:r>
      <w:proofErr w:type="spellEnd"/>
      <w:r w:rsidRPr="004728AF">
        <w:rPr>
          <w:lang w:val="pt-BR"/>
        </w:rPr>
        <w:t xml:space="preserve"> et al., 2018; </w:t>
      </w:r>
      <w:proofErr w:type="spellStart"/>
      <w:r w:rsidRPr="004728AF">
        <w:rPr>
          <w:lang w:val="pt-BR"/>
        </w:rPr>
        <w:t>Malloy</w:t>
      </w:r>
      <w:proofErr w:type="spellEnd"/>
      <w:r w:rsidRPr="004728AF">
        <w:rPr>
          <w:lang w:val="pt-BR"/>
        </w:rPr>
        <w:t xml:space="preserve"> et al., 2007); há </w:t>
      </w:r>
      <w:proofErr w:type="spellStart"/>
      <w:r w:rsidRPr="004728AF">
        <w:rPr>
          <w:lang w:val="pt-BR"/>
        </w:rPr>
        <w:t>polivitimização</w:t>
      </w:r>
      <w:proofErr w:type="spellEnd"/>
      <w:r w:rsidRPr="004728AF">
        <w:rPr>
          <w:lang w:val="pt-BR"/>
        </w:rPr>
        <w:t xml:space="preserve"> (</w:t>
      </w:r>
      <w:proofErr w:type="spellStart"/>
      <w:r w:rsidRPr="004728AF">
        <w:rPr>
          <w:lang w:val="pt-BR"/>
        </w:rPr>
        <w:t>Celik</w:t>
      </w:r>
      <w:proofErr w:type="spellEnd"/>
      <w:r w:rsidRPr="004728AF">
        <w:rPr>
          <w:lang w:val="pt-BR"/>
        </w:rPr>
        <w:t xml:space="preserve"> et al., 2018); existe um intervalo de tempo dilatado entre o ASC e a revelação (</w:t>
      </w:r>
      <w:proofErr w:type="spellStart"/>
      <w:r w:rsidRPr="004728AF">
        <w:rPr>
          <w:lang w:val="pt-BR"/>
        </w:rPr>
        <w:t>Hershkowitz</w:t>
      </w:r>
      <w:proofErr w:type="spellEnd"/>
      <w:r w:rsidRPr="004728AF">
        <w:rPr>
          <w:lang w:val="pt-BR"/>
        </w:rPr>
        <w:t xml:space="preserve"> et al., 2007) e entre a revelação e o primeiro comunicado às autoridades (Baía et al., 2021); a criança revela para não familiares (</w:t>
      </w:r>
      <w:proofErr w:type="spellStart"/>
      <w:r w:rsidRPr="004728AF">
        <w:rPr>
          <w:lang w:val="pt-BR"/>
        </w:rPr>
        <w:t>Hershkowitz</w:t>
      </w:r>
      <w:proofErr w:type="spellEnd"/>
      <w:r w:rsidRPr="004728AF">
        <w:rPr>
          <w:lang w:val="pt-BR"/>
        </w:rPr>
        <w:t xml:space="preserve"> et al., 2007); identifica-se falta de suporte por parte do/a cuidador/a habitual ou de outros familiares (Baía et al., 2021; Elliott &amp; </w:t>
      </w:r>
      <w:proofErr w:type="spellStart"/>
      <w:r w:rsidRPr="004728AF">
        <w:rPr>
          <w:lang w:val="pt-BR"/>
        </w:rPr>
        <w:t>Briere</w:t>
      </w:r>
      <w:proofErr w:type="spellEnd"/>
      <w:r w:rsidRPr="004728AF">
        <w:rPr>
          <w:lang w:val="pt-BR"/>
        </w:rPr>
        <w:t xml:space="preserve">, 1994; </w:t>
      </w:r>
      <w:proofErr w:type="spellStart"/>
      <w:r w:rsidRPr="004728AF">
        <w:rPr>
          <w:lang w:val="pt-BR"/>
        </w:rPr>
        <w:t>Malloy</w:t>
      </w:r>
      <w:proofErr w:type="spellEnd"/>
      <w:r w:rsidRPr="004728AF">
        <w:rPr>
          <w:lang w:val="pt-BR"/>
        </w:rPr>
        <w:t xml:space="preserve"> et al., 2007; 2016); há manutenção de contato entre a criança </w:t>
      </w:r>
      <w:r w:rsidRPr="004728AF">
        <w:rPr>
          <w:lang w:val="pt-BR"/>
        </w:rPr>
        <w:lastRenderedPageBreak/>
        <w:t xml:space="preserve">vítima e o/a agressor/a após a revelação; e a criança é repetidamente entrevistada em contexto formal e/ou informal (Baía et al., 2021; </w:t>
      </w:r>
      <w:proofErr w:type="spellStart"/>
      <w:r w:rsidRPr="004728AF">
        <w:rPr>
          <w:lang w:val="pt-BR"/>
        </w:rPr>
        <w:t>Malloy</w:t>
      </w:r>
      <w:proofErr w:type="spellEnd"/>
      <w:r w:rsidRPr="004728AF">
        <w:rPr>
          <w:lang w:val="pt-BR"/>
        </w:rPr>
        <w:t xml:space="preserve"> et al., 2007).</w:t>
      </w:r>
    </w:p>
    <w:p w14:paraId="3A83D819" w14:textId="77777777" w:rsidR="004728AF" w:rsidRPr="004728AF" w:rsidRDefault="004728AF" w:rsidP="004728AF">
      <w:pPr>
        <w:pStyle w:val="Prrafocomn"/>
        <w:rPr>
          <w:lang w:val="pt-BR"/>
        </w:rPr>
      </w:pPr>
      <w:r w:rsidRPr="004728AF">
        <w:rPr>
          <w:lang w:val="pt-BR"/>
        </w:rPr>
        <w:t>De maneira menos sistematizada, alguns estudos têm identificado condições que parecem funcionar como fatores de proteção, na medida em que a sua presença está associada com diminuição do risco de retratação, designadamente: a criança procura ativamente ajuda (</w:t>
      </w:r>
      <w:proofErr w:type="spellStart"/>
      <w:r w:rsidRPr="004728AF">
        <w:rPr>
          <w:lang w:val="pt-BR"/>
        </w:rPr>
        <w:t>Celik</w:t>
      </w:r>
      <w:proofErr w:type="spellEnd"/>
      <w:r w:rsidRPr="004728AF">
        <w:rPr>
          <w:lang w:val="pt-BR"/>
        </w:rPr>
        <w:t xml:space="preserve"> et al., 2018); há familiares que acreditam nos relatos da criança e há afastamento entre vítima e agressor/a após a revelação (</w:t>
      </w:r>
      <w:proofErr w:type="spellStart"/>
      <w:r w:rsidRPr="004728AF">
        <w:rPr>
          <w:lang w:val="pt-BR"/>
        </w:rPr>
        <w:t>Malloy</w:t>
      </w:r>
      <w:proofErr w:type="spellEnd"/>
      <w:r w:rsidRPr="004728AF">
        <w:rPr>
          <w:lang w:val="pt-BR"/>
        </w:rPr>
        <w:t xml:space="preserve"> et al., 2007; 2016).</w:t>
      </w:r>
    </w:p>
    <w:p w14:paraId="0533ECD9" w14:textId="568C5726" w:rsidR="00E30168" w:rsidRPr="00793FDC" w:rsidRDefault="004728AF" w:rsidP="004728AF">
      <w:pPr>
        <w:pStyle w:val="Prrafocomn"/>
        <w:rPr>
          <w:lang w:val="pt-BR"/>
        </w:rPr>
      </w:pPr>
      <w:r w:rsidRPr="004728AF">
        <w:rPr>
          <w:lang w:val="pt-BR"/>
        </w:rPr>
        <w:t xml:space="preserve">Considerando que a </w:t>
      </w:r>
      <w:r w:rsidRPr="004728AF">
        <w:rPr>
          <w:lang w:val="pt-PT"/>
        </w:rPr>
        <w:t xml:space="preserve">sistematização dos fatores associados à retratação pode contribuir para uma avaliação e tomada de decisão mais sistêmica e eficiente pelo profissional, </w:t>
      </w:r>
      <w:r w:rsidRPr="004728AF">
        <w:rPr>
          <w:lang w:val="pt-BR"/>
        </w:rPr>
        <w:t>este estudo objetivou identificar, a partir da perspectiva d</w:t>
      </w:r>
      <w:r w:rsidR="009D56DE">
        <w:rPr>
          <w:lang w:val="pt-BR"/>
        </w:rPr>
        <w:t>e</w:t>
      </w:r>
      <w:r w:rsidRPr="004728AF">
        <w:rPr>
          <w:lang w:val="pt-BR"/>
        </w:rPr>
        <w:t xml:space="preserve"> profissionais, os fatores de risco e de proteção associados à retratação</w:t>
      </w:r>
      <w:r w:rsidRPr="004728AF">
        <w:rPr>
          <w:lang w:val="pt-PT"/>
        </w:rPr>
        <w:t xml:space="preserve">. </w:t>
      </w:r>
      <w:r w:rsidRPr="004728AF">
        <w:rPr>
          <w:lang w:val="pt-BR"/>
        </w:rPr>
        <w:t>O recrutamento de participantes em dois países (Brasil e Portugal) tem por base a concepção da revelação do ASC enquanto um processo que se desenvolve em função do contexto social, tendo a criança um papel ativo na interação com as condições dos diferentes níveis ecológicos (</w:t>
      </w:r>
      <w:proofErr w:type="spellStart"/>
      <w:r w:rsidRPr="004728AF">
        <w:rPr>
          <w:lang w:val="pt-BR"/>
        </w:rPr>
        <w:t>Alaggia</w:t>
      </w:r>
      <w:proofErr w:type="spellEnd"/>
      <w:r w:rsidRPr="004728AF">
        <w:rPr>
          <w:lang w:val="pt-BR"/>
        </w:rPr>
        <w:t xml:space="preserve"> et al., 2017; Fontes, 1993; Katz, 2014; </w:t>
      </w:r>
      <w:proofErr w:type="spellStart"/>
      <w:r w:rsidRPr="004728AF">
        <w:rPr>
          <w:lang w:val="pt-BR"/>
        </w:rPr>
        <w:t>Staller</w:t>
      </w:r>
      <w:proofErr w:type="spellEnd"/>
      <w:r w:rsidRPr="004728AF">
        <w:rPr>
          <w:lang w:val="pt-BR"/>
        </w:rPr>
        <w:t xml:space="preserve"> &amp; Nelson-</w:t>
      </w:r>
      <w:proofErr w:type="spellStart"/>
      <w:r w:rsidRPr="004728AF">
        <w:rPr>
          <w:lang w:val="pt-BR"/>
        </w:rPr>
        <w:t>Gardell</w:t>
      </w:r>
      <w:proofErr w:type="spellEnd"/>
      <w:r w:rsidRPr="004728AF">
        <w:rPr>
          <w:lang w:val="pt-BR"/>
        </w:rPr>
        <w:t>, 2005)</w:t>
      </w:r>
      <w:r w:rsidR="00E30168" w:rsidRPr="00793FDC">
        <w:rPr>
          <w:lang w:val="pt-BR"/>
        </w:rPr>
        <w:t>.</w:t>
      </w:r>
    </w:p>
    <w:p w14:paraId="3D70C0F8" w14:textId="258726DA" w:rsidR="00FF2D2D" w:rsidRPr="003A4251" w:rsidRDefault="00AE2924" w:rsidP="00FF2D2D">
      <w:pPr>
        <w:pStyle w:val="Ttulosinternos"/>
        <w:rPr>
          <w:lang w:val="pt-BR"/>
        </w:rPr>
      </w:pPr>
      <w:r w:rsidRPr="003A4251">
        <w:rPr>
          <w:lang w:val="pt-BR"/>
        </w:rPr>
        <w:t>M</w:t>
      </w:r>
      <w:r w:rsidR="003A4251" w:rsidRPr="003A4251">
        <w:rPr>
          <w:lang w:val="pt-BR"/>
        </w:rPr>
        <w:t>é</w:t>
      </w:r>
      <w:r w:rsidRPr="003A4251">
        <w:rPr>
          <w:lang w:val="pt-BR"/>
        </w:rPr>
        <w:t>tod</w:t>
      </w:r>
      <w:r w:rsidR="003A4251" w:rsidRPr="003A4251">
        <w:rPr>
          <w:lang w:val="pt-BR"/>
        </w:rPr>
        <w:t>o</w:t>
      </w:r>
    </w:p>
    <w:p w14:paraId="1A0A93C2" w14:textId="465F25F7" w:rsidR="00E30168" w:rsidRPr="00705EF6" w:rsidRDefault="002F3E37" w:rsidP="00BE2858">
      <w:pPr>
        <w:pStyle w:val="SubtituloInterno"/>
        <w:rPr>
          <w:lang w:val="pt-BR"/>
        </w:rPr>
      </w:pPr>
      <w:r w:rsidRPr="002F3E37">
        <w:rPr>
          <w:lang w:val="pt-PT"/>
        </w:rPr>
        <w:t>Participantes</w:t>
      </w:r>
    </w:p>
    <w:p w14:paraId="02DE9FF6" w14:textId="46BD0F0D" w:rsidR="00705EF6" w:rsidRPr="00705EF6" w:rsidRDefault="00F14E9B" w:rsidP="00705EF6">
      <w:pPr>
        <w:pStyle w:val="Prrafocomn"/>
        <w:spacing w:line="460" w:lineRule="exact"/>
        <w:rPr>
          <w:lang w:val="pt-PT"/>
        </w:rPr>
      </w:pPr>
      <w:r w:rsidRPr="00F14E9B">
        <w:rPr>
          <w:lang w:val="pt-BR"/>
        </w:rPr>
        <w:t>A amostra é composta de 23 profissionais de diferentes instituições no Brasil e em Portugal. Para garantir o anonimato não são fornecidas informações demográficas e nome das localidades de atuação. No Brasil (Br) foram entrevistados/as cinco Assistentes Sociais (AS), cinco Conselheiros Tutelares</w:t>
      </w:r>
      <w:r w:rsidRPr="00F14E9B">
        <w:rPr>
          <w:vertAlign w:val="superscript"/>
          <w:lang w:val="pt-BR"/>
        </w:rPr>
        <w:footnoteReference w:id="5"/>
      </w:r>
      <w:r w:rsidRPr="00F14E9B">
        <w:rPr>
          <w:lang w:val="pt-BR"/>
        </w:rPr>
        <w:t xml:space="preserve"> (CT), uma Pedagoga, (PED), três Psicólogas (PSIC), e três </w:t>
      </w:r>
      <w:proofErr w:type="gramStart"/>
      <w:r w:rsidRPr="00F14E9B">
        <w:rPr>
          <w:lang w:val="pt-BR"/>
        </w:rPr>
        <w:t>Magistrados(</w:t>
      </w:r>
      <w:proofErr w:type="gramEnd"/>
      <w:r w:rsidRPr="00F14E9B">
        <w:rPr>
          <w:lang w:val="pt-BR"/>
        </w:rPr>
        <w:t>MAG), sendo dois Juízes Criminais e um Promotor do Ministério Público, do norte do país. Em Portugal (</w:t>
      </w:r>
      <w:proofErr w:type="spellStart"/>
      <w:r w:rsidRPr="00F14E9B">
        <w:rPr>
          <w:lang w:val="pt-BR"/>
        </w:rPr>
        <w:t>Pt</w:t>
      </w:r>
      <w:proofErr w:type="spellEnd"/>
      <w:r w:rsidRPr="00F14E9B">
        <w:rPr>
          <w:lang w:val="pt-BR"/>
        </w:rPr>
        <w:t xml:space="preserve">), a amostra incluiu duas Psicólogas (PSIC) e quatro Magistrados (MAG), nomeadamente um Juiz e dois Procuradores do Ministério Público, da região Norte e Centro de Portugal. No Brasil, os/as Assistentes Sociais, Psicólogos(as) e Pedagogos(as) atuavam diretamente com entrevistas forenses, perícias e/ou atendimento psicossocial em casos de ASC. Em Portugal, as Psicólogas atuavam com entrevista forense/perícia psicológica e atendimento psicossocial. A </w:t>
      </w:r>
      <w:r w:rsidRPr="00F14E9B">
        <w:rPr>
          <w:lang w:val="pt-BR"/>
        </w:rPr>
        <w:lastRenderedPageBreak/>
        <w:t>amostra final de participantes incluiu 15 mulheres e oito homens, com idades que variam entre os 32 e 63 anos (</w:t>
      </w:r>
      <w:r w:rsidRPr="00F14E9B">
        <w:rPr>
          <w:i/>
          <w:iCs/>
          <w:lang w:val="pt-BR"/>
        </w:rPr>
        <w:t xml:space="preserve">M </w:t>
      </w:r>
      <w:r w:rsidRPr="00F14E9B">
        <w:rPr>
          <w:lang w:val="pt-BR"/>
        </w:rPr>
        <w:t>= 41.04), e com tempo de serviço entre 05 e 38 anos (</w:t>
      </w:r>
      <w:r w:rsidRPr="00F14E9B">
        <w:rPr>
          <w:i/>
          <w:iCs/>
          <w:lang w:val="pt-BR"/>
        </w:rPr>
        <w:t xml:space="preserve">M </w:t>
      </w:r>
      <w:r w:rsidRPr="00F14E9B">
        <w:rPr>
          <w:lang w:val="pt-BR"/>
        </w:rPr>
        <w:t>= 14.3)</w:t>
      </w:r>
      <w:r w:rsidR="00705EF6" w:rsidRPr="00705EF6">
        <w:rPr>
          <w:lang w:val="pt-PT"/>
        </w:rPr>
        <w:t>.</w:t>
      </w:r>
    </w:p>
    <w:p w14:paraId="31AB6288" w14:textId="6D899AC9" w:rsidR="00705EF6" w:rsidRPr="00705EF6" w:rsidRDefault="00F14E9B" w:rsidP="00705EF6">
      <w:pPr>
        <w:pStyle w:val="SubtituloInterno"/>
        <w:rPr>
          <w:lang w:val="pt-PT"/>
        </w:rPr>
      </w:pPr>
      <w:r w:rsidRPr="00F14E9B">
        <w:rPr>
          <w:bCs/>
          <w:lang w:val="pt-BR"/>
        </w:rPr>
        <w:t>Recrutamento</w:t>
      </w:r>
    </w:p>
    <w:p w14:paraId="37864C14" w14:textId="77777777" w:rsidR="00F14E9B" w:rsidRPr="00F14E9B" w:rsidRDefault="00F14E9B" w:rsidP="00F14E9B">
      <w:pPr>
        <w:pStyle w:val="Prrafocomn"/>
        <w:spacing w:line="460" w:lineRule="exact"/>
        <w:rPr>
          <w:bCs/>
          <w:lang w:val="pt-BR"/>
        </w:rPr>
      </w:pPr>
      <w:r w:rsidRPr="00F14E9B">
        <w:rPr>
          <w:bCs/>
          <w:lang w:val="pt-BR"/>
        </w:rPr>
        <w:t xml:space="preserve">A amostra foi recolhida por amostragem não probabilística, de conveniência, com recurso ao </w:t>
      </w:r>
      <w:proofErr w:type="spellStart"/>
      <w:r w:rsidRPr="00F14E9B">
        <w:rPr>
          <w:bCs/>
          <w:i/>
          <w:iCs/>
          <w:lang w:val="pt-BR"/>
        </w:rPr>
        <w:t>snowball</w:t>
      </w:r>
      <w:proofErr w:type="spellEnd"/>
      <w:r w:rsidRPr="00F14E9B">
        <w:rPr>
          <w:bCs/>
          <w:i/>
          <w:iCs/>
          <w:lang w:val="pt-BR"/>
        </w:rPr>
        <w:t xml:space="preserve"> </w:t>
      </w:r>
      <w:proofErr w:type="spellStart"/>
      <w:r w:rsidRPr="00F14E9B">
        <w:rPr>
          <w:bCs/>
          <w:i/>
          <w:iCs/>
          <w:lang w:val="pt-BR"/>
        </w:rPr>
        <w:t>sampling</w:t>
      </w:r>
      <w:proofErr w:type="spellEnd"/>
      <w:r w:rsidRPr="00F14E9B">
        <w:rPr>
          <w:bCs/>
          <w:lang w:val="pt-BR"/>
        </w:rPr>
        <w:t>, tendo em vista a especificidade da temática estudada. Teve como critérios de inclusão</w:t>
      </w:r>
      <w:bookmarkStart w:id="2" w:name="_Hlk108553021"/>
      <w:r w:rsidRPr="00F14E9B">
        <w:rPr>
          <w:bCs/>
          <w:lang w:val="pt-BR"/>
        </w:rPr>
        <w:t xml:space="preserve">: a) profissionais que trabalham com casos de ASC; e b) experiência com pelo menos um caso de retratação. </w:t>
      </w:r>
      <w:bookmarkEnd w:id="2"/>
      <w:r w:rsidRPr="00F14E9B">
        <w:rPr>
          <w:bCs/>
          <w:lang w:val="pt-BR"/>
        </w:rPr>
        <w:t>A saturação da amostra foi considerada quando: a) não houve a adesão de novos participantes; b) se atingiu a saturação dos conteúdos emergentes nas entrevistas realizadas, que pode ser alcançada em amostras de 20 a 30 casos (</w:t>
      </w:r>
      <w:proofErr w:type="spellStart"/>
      <w:r w:rsidRPr="00F14E9B">
        <w:rPr>
          <w:bCs/>
          <w:lang w:val="pt-BR"/>
        </w:rPr>
        <w:t>Creswell</w:t>
      </w:r>
      <w:proofErr w:type="spellEnd"/>
      <w:r w:rsidRPr="00F14E9B">
        <w:rPr>
          <w:bCs/>
          <w:lang w:val="pt-BR"/>
        </w:rPr>
        <w:t>, 2007); c) estava assegurada a inclusão de diferentes profissionais da esfera criminal e da proteção.</w:t>
      </w:r>
    </w:p>
    <w:p w14:paraId="1817E999" w14:textId="083E2487" w:rsidR="00E30168" w:rsidRPr="00F14E9B" w:rsidRDefault="00F14E9B" w:rsidP="00F14E9B">
      <w:pPr>
        <w:pStyle w:val="Prrafocomn"/>
        <w:spacing w:line="460" w:lineRule="exact"/>
        <w:rPr>
          <w:bCs/>
          <w:lang w:val="pt-BR"/>
        </w:rPr>
      </w:pPr>
      <w:r w:rsidRPr="00F14E9B">
        <w:rPr>
          <w:bCs/>
          <w:lang w:val="pt-BR"/>
        </w:rPr>
        <w:t xml:space="preserve">O recrutamento e a coleta de dados ocorreram entre </w:t>
      </w:r>
      <w:proofErr w:type="gramStart"/>
      <w:r w:rsidRPr="00F14E9B">
        <w:rPr>
          <w:bCs/>
          <w:lang w:val="pt-BR"/>
        </w:rPr>
        <w:t>Março</w:t>
      </w:r>
      <w:proofErr w:type="gramEnd"/>
      <w:r w:rsidRPr="00F14E9B">
        <w:rPr>
          <w:bCs/>
          <w:lang w:val="pt-BR"/>
        </w:rPr>
        <w:t>-2017 e Junho-2017 no Brasil, e de Março a Julho-2018 em Portugal. Os/as profissionais foram esclarecidos sobre os objetivos do estudo e informados sobre o anonimato e a confidencialidade. Os/as profissionais que concordaram em participar indicaram a data e o local conveniente para serem entrevistados, após assinatura do Termo de Consentimento Livre e Esclarecido (TCLE). As entrevistas foram individuais e gravadas em áudio, com consentimento prévio para a gravação.</w:t>
      </w:r>
    </w:p>
    <w:p w14:paraId="68693F76" w14:textId="5B5E37FE" w:rsidR="00E30168" w:rsidRPr="008D1149" w:rsidRDefault="00F14E9B" w:rsidP="00BE2858">
      <w:pPr>
        <w:pStyle w:val="SubtituloInterno"/>
        <w:rPr>
          <w:lang w:val="pt-BR"/>
        </w:rPr>
      </w:pPr>
      <w:r w:rsidRPr="00F14E9B">
        <w:rPr>
          <w:bCs/>
          <w:lang w:val="pt-BR"/>
        </w:rPr>
        <w:t>Coleta de Dados</w:t>
      </w:r>
    </w:p>
    <w:p w14:paraId="6297CE4C" w14:textId="77777777" w:rsidR="00F14E9B" w:rsidRPr="00F14E9B" w:rsidRDefault="00F14E9B" w:rsidP="00F14E9B">
      <w:pPr>
        <w:pStyle w:val="Prrafocomn"/>
        <w:spacing w:line="480" w:lineRule="auto"/>
        <w:rPr>
          <w:lang w:val="pt-BR"/>
        </w:rPr>
      </w:pPr>
      <w:r w:rsidRPr="00F14E9B">
        <w:rPr>
          <w:lang w:val="pt-BR"/>
        </w:rPr>
        <w:t>As entrevistas individuais face-a-face foram realizadas pelo primeiro autor, recorrendo a um guião semiestruturado, com questões que permitiam explorar a perspectiva dos/as profissionais acerca dos fatores de risco e de proteção associados à retratação. O guião foi elaborado pelos/as três autores/as a partir da revisão de literatura, considerando três dimensões: a) caracterização da retratação; b) fatores que contribuem para o seu desenvolvimento; e c) fatores que podem impedir ou prevenir a sua ocorrência.</w:t>
      </w:r>
    </w:p>
    <w:p w14:paraId="21D3772A" w14:textId="74D233E4" w:rsidR="00E30168" w:rsidRPr="00A75E5A" w:rsidRDefault="00F14E9B" w:rsidP="00F14E9B">
      <w:pPr>
        <w:pStyle w:val="Prrafocomn"/>
        <w:spacing w:line="480" w:lineRule="auto"/>
        <w:rPr>
          <w:lang w:val="pt-BR"/>
        </w:rPr>
      </w:pPr>
      <w:r w:rsidRPr="00F14E9B">
        <w:rPr>
          <w:lang w:val="pt-BR"/>
        </w:rPr>
        <w:lastRenderedPageBreak/>
        <w:t>A duração das entrevistas variou entre 30 e 60 minutos. As entrevistas eram concluídas quando o pesquisador verificava que não havia mais nenhum aspecto a ser acrescentado ou esclarecido pelo/a profissional.</w:t>
      </w:r>
    </w:p>
    <w:p w14:paraId="488F4A38" w14:textId="071D9E1D" w:rsidR="00E30168" w:rsidRPr="003F4AB1" w:rsidRDefault="003F4AB1" w:rsidP="003F4AB1">
      <w:pPr>
        <w:pStyle w:val="SubtituloInterno"/>
        <w:spacing w:line="480" w:lineRule="auto"/>
        <w:rPr>
          <w:bCs/>
          <w:iCs/>
          <w:lang w:val="pt-BR"/>
        </w:rPr>
      </w:pPr>
      <w:r w:rsidRPr="003F4AB1">
        <w:rPr>
          <w:bCs/>
          <w:iCs/>
          <w:lang w:val="pt-BR"/>
        </w:rPr>
        <w:t>Considerações Éticas</w:t>
      </w:r>
    </w:p>
    <w:p w14:paraId="619D28E1" w14:textId="0100CF36" w:rsidR="00E30168" w:rsidRDefault="003F4AB1" w:rsidP="00A75E5A">
      <w:pPr>
        <w:pStyle w:val="Prrafocomn"/>
        <w:spacing w:line="460" w:lineRule="exact"/>
        <w:rPr>
          <w:lang w:val="pt-BR"/>
        </w:rPr>
      </w:pPr>
      <w:r w:rsidRPr="003F4AB1">
        <w:rPr>
          <w:lang w:val="pt-BR"/>
        </w:rPr>
        <w:t xml:space="preserve">A pesquisa foi aprovada pelo Comitê de Ética e Pesquisa da </w:t>
      </w:r>
      <w:r w:rsidR="00A36091" w:rsidRPr="00A36091">
        <w:rPr>
          <w:lang w:val="pt-BR"/>
        </w:rPr>
        <w:t>Universidade do Estado do Pará</w:t>
      </w:r>
      <w:r w:rsidRPr="003F4AB1">
        <w:rPr>
          <w:lang w:val="pt-BR"/>
        </w:rPr>
        <w:t xml:space="preserve"> (CAAE nº </w:t>
      </w:r>
      <w:r w:rsidR="00A36091" w:rsidRPr="00A36091">
        <w:rPr>
          <w:lang w:val="pt-BR"/>
        </w:rPr>
        <w:t>61798116.0.0000.5174</w:t>
      </w:r>
      <w:r w:rsidRPr="003F4AB1">
        <w:rPr>
          <w:lang w:val="pt-BR"/>
        </w:rPr>
        <w:t xml:space="preserve">) e pela Comissão de Ética e Deontologia da Investigação em Psicologia da </w:t>
      </w:r>
      <w:r w:rsidR="00A36091" w:rsidRPr="00A36091">
        <w:rPr>
          <w:lang w:val="pt-BR"/>
        </w:rPr>
        <w:t>Universidade de Coimbra</w:t>
      </w:r>
      <w:r w:rsidRPr="003F4AB1">
        <w:rPr>
          <w:lang w:val="pt-BR"/>
        </w:rPr>
        <w:t>. Os/as profissionais que aceitaram participar deste estudo assinaram um o TCLE, resguardando-se todos os procedimentos éticos de acordo com a Resolução 510/2016 do Conselho Nacional de Saúde</w:t>
      </w:r>
      <w:r w:rsidR="00A75E5A" w:rsidRPr="00A75E5A">
        <w:rPr>
          <w:lang w:val="pt-BR"/>
        </w:rPr>
        <w:t>.</w:t>
      </w:r>
    </w:p>
    <w:p w14:paraId="14B45245" w14:textId="77777777" w:rsidR="003F4AB1" w:rsidRPr="00E82494" w:rsidRDefault="003F4AB1" w:rsidP="003F4AB1">
      <w:pPr>
        <w:pStyle w:val="SubtituloInterno"/>
        <w:rPr>
          <w:lang w:val="pt-BR"/>
        </w:rPr>
      </w:pPr>
      <w:r w:rsidRPr="00E82494">
        <w:rPr>
          <w:lang w:val="pt-BR"/>
        </w:rPr>
        <w:t>Análise dos Dados</w:t>
      </w:r>
    </w:p>
    <w:p w14:paraId="64C4EE2A" w14:textId="77777777" w:rsidR="003F4AB1" w:rsidRPr="003F4AB1" w:rsidRDefault="003F4AB1" w:rsidP="003F4AB1">
      <w:pPr>
        <w:pStyle w:val="Prrafocomn"/>
        <w:spacing w:line="460" w:lineRule="exact"/>
        <w:rPr>
          <w:lang w:val="pt-BR"/>
        </w:rPr>
      </w:pPr>
      <w:r w:rsidRPr="003F4AB1">
        <w:rPr>
          <w:lang w:val="pt-BR"/>
        </w:rPr>
        <w:t xml:space="preserve">As entrevistas gravadas em áudio foram transcritas integralmente. O conteúdo foi analisado seguindo as etapas de análise temática indutiva propostas por Braun e Clarke (2006), com recurso ao software </w:t>
      </w:r>
      <w:proofErr w:type="spellStart"/>
      <w:r w:rsidRPr="003F4AB1">
        <w:rPr>
          <w:lang w:val="pt-BR"/>
        </w:rPr>
        <w:t>NVivo</w:t>
      </w:r>
      <w:proofErr w:type="spellEnd"/>
      <w:r w:rsidRPr="003F4AB1">
        <w:rPr>
          <w:lang w:val="pt-BR"/>
        </w:rPr>
        <w:t xml:space="preserve"> para o processo de organização, codificação e interpretação dos dados. Adotou-se uma abordagem temática indutiva, com codificação fluida, objetivando a imersão e profundo engajamento com os dados (Braun &amp; Clarke, 2006).</w:t>
      </w:r>
    </w:p>
    <w:p w14:paraId="71F1BDF0" w14:textId="12753335" w:rsidR="003F4AB1" w:rsidRPr="003F4AB1" w:rsidRDefault="003F4AB1" w:rsidP="003F4AB1">
      <w:pPr>
        <w:pStyle w:val="Prrafocomn"/>
        <w:spacing w:line="460" w:lineRule="exact"/>
        <w:rPr>
          <w:lang w:val="pt-BR"/>
        </w:rPr>
      </w:pPr>
      <w:r w:rsidRPr="003F4AB1">
        <w:rPr>
          <w:lang w:val="pt-BR"/>
        </w:rPr>
        <w:t xml:space="preserve">Numa fase inicial foram realizadas leituras repetidas de cada uma das transcrições, a fim de se atingir a familiarização com o conteúdo relevante. Na segunda fase, as transcrições completas foram importadas para o software </w:t>
      </w:r>
      <w:proofErr w:type="spellStart"/>
      <w:r w:rsidRPr="003F4AB1">
        <w:rPr>
          <w:iCs/>
          <w:lang w:val="pt-BR"/>
        </w:rPr>
        <w:t>NVivo</w:t>
      </w:r>
      <w:proofErr w:type="spellEnd"/>
      <w:r w:rsidRPr="003F4AB1">
        <w:rPr>
          <w:lang w:val="pt-BR"/>
        </w:rPr>
        <w:t xml:space="preserve">, no qual foram explorados e construídos possíveis códigos semânticos iniciais para cada um dos casos (transcrições) e padrões de códigos significativos entre os casos. Na terceira fase, os códigos foram agrupados em potenciais temas gerais e subtemas, de acordo com a proximidade semântica, inter-relacionamento e objetivos deste estudo. Este material foi revisto, refinado e, quando necessário, recodificado entre os pesquisadores, resultando num mapa temático final de temas e subtemas (Figura 1).  </w:t>
      </w:r>
    </w:p>
    <w:p w14:paraId="476CB56C" w14:textId="77777777" w:rsidR="003F4AB1" w:rsidRDefault="003F4AB1" w:rsidP="00A75E5A">
      <w:pPr>
        <w:pStyle w:val="Prrafocomn"/>
        <w:spacing w:line="460" w:lineRule="exact"/>
        <w:rPr>
          <w:lang w:val="pt-BR"/>
        </w:rPr>
      </w:pPr>
    </w:p>
    <w:p w14:paraId="03C8E5CC" w14:textId="77777777" w:rsidR="003F4AB1" w:rsidRDefault="003F4AB1" w:rsidP="003F4AB1">
      <w:pPr>
        <w:pStyle w:val="Standard"/>
        <w:autoSpaceDE w:val="0"/>
        <w:spacing w:line="360" w:lineRule="auto"/>
        <w:jc w:val="both"/>
        <w:rPr>
          <w:rStyle w:val="Tipodeletrapredefinidodopargrafo"/>
          <w:i/>
          <w:iCs/>
        </w:rPr>
      </w:pPr>
    </w:p>
    <w:p w14:paraId="79CFD6DA" w14:textId="5E9135C6" w:rsidR="003F4AB1" w:rsidRDefault="003F4AB1" w:rsidP="003F4AB1">
      <w:pPr>
        <w:pStyle w:val="Standard"/>
        <w:autoSpaceDE w:val="0"/>
        <w:spacing w:line="360" w:lineRule="auto"/>
        <w:jc w:val="both"/>
      </w:pPr>
      <w:r w:rsidRPr="00FD7C30">
        <w:rPr>
          <w:rStyle w:val="Tipodeletrapredefinidodopargrafo"/>
          <w:i/>
          <w:iCs/>
        </w:rPr>
        <w:t>Figura 1</w:t>
      </w:r>
    </w:p>
    <w:p w14:paraId="1305BE1C" w14:textId="01C786F6" w:rsidR="003F4AB1" w:rsidRPr="003F4AB1" w:rsidRDefault="003F4AB1" w:rsidP="003F4AB1">
      <w:pPr>
        <w:pStyle w:val="Standard"/>
        <w:autoSpaceDE w:val="0"/>
        <w:spacing w:line="360" w:lineRule="auto"/>
        <w:jc w:val="both"/>
        <w:rPr>
          <w:i/>
          <w:iCs/>
        </w:rPr>
      </w:pPr>
      <w:r w:rsidRPr="003F4AB1">
        <w:rPr>
          <w:rStyle w:val="Tipodeletrapredefinidodopargrafo"/>
          <w:rFonts w:eastAsia="Calibri"/>
          <w:i/>
          <w:iCs/>
        </w:rPr>
        <w:t>Mapa de temas e subtemas de fatores de risco e de proteção associados à retratação.</w:t>
      </w:r>
    </w:p>
    <w:p w14:paraId="6251027E" w14:textId="3497C62D" w:rsidR="003F4AB1" w:rsidRDefault="003F4AB1" w:rsidP="003F4AB1">
      <w:pPr>
        <w:pStyle w:val="Prrafocomn"/>
        <w:spacing w:line="460" w:lineRule="exact"/>
        <w:ind w:firstLine="0"/>
        <w:rPr>
          <w:lang w:val="pt-BR"/>
        </w:rPr>
      </w:pPr>
      <w:r w:rsidRPr="003F4AB1">
        <w:rPr>
          <w:i/>
          <w:iCs/>
          <w:noProof/>
        </w:rPr>
        <w:drawing>
          <wp:anchor distT="0" distB="0" distL="114300" distR="114300" simplePos="0" relativeHeight="251668480" behindDoc="1" locked="0" layoutInCell="1" allowOverlap="1" wp14:anchorId="6BD11BEC" wp14:editId="7A5E691C">
            <wp:simplePos x="0" y="0"/>
            <wp:positionH relativeFrom="column">
              <wp:posOffset>1179</wp:posOffset>
            </wp:positionH>
            <wp:positionV relativeFrom="paragraph">
              <wp:posOffset>0</wp:posOffset>
            </wp:positionV>
            <wp:extent cx="5400040" cy="7124700"/>
            <wp:effectExtent l="0" t="0" r="0" b="0"/>
            <wp:wrapTopAndBottom/>
            <wp:docPr id="829199374" name="Imagen 829199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712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AB1">
        <w:rPr>
          <w:i/>
          <w:iCs/>
          <w:lang w:val="pt-BR"/>
        </w:rPr>
        <w:t>Nota:</w:t>
      </w:r>
      <w:r>
        <w:rPr>
          <w:lang w:val="pt-BR"/>
        </w:rPr>
        <w:t xml:space="preserve"> </w:t>
      </w:r>
      <w:r w:rsidR="00A806CF">
        <w:rPr>
          <w:lang w:val="pt-BR"/>
        </w:rPr>
        <w:t>Autoria</w:t>
      </w:r>
      <w:r>
        <w:rPr>
          <w:lang w:val="pt-BR"/>
        </w:rPr>
        <w:t xml:space="preserve"> pr</w:t>
      </w:r>
      <w:r w:rsidR="00A806CF">
        <w:rPr>
          <w:lang w:val="pt-BR"/>
        </w:rPr>
        <w:t>ó</w:t>
      </w:r>
      <w:r>
        <w:rPr>
          <w:lang w:val="pt-BR"/>
        </w:rPr>
        <w:t>p</w:t>
      </w:r>
      <w:r w:rsidR="00A806CF">
        <w:rPr>
          <w:lang w:val="pt-BR"/>
        </w:rPr>
        <w:t>r</w:t>
      </w:r>
      <w:r>
        <w:rPr>
          <w:lang w:val="pt-BR"/>
        </w:rPr>
        <w:t>ia.</w:t>
      </w:r>
    </w:p>
    <w:p w14:paraId="5026EEE9" w14:textId="77777777" w:rsidR="00A806CF" w:rsidRDefault="00A806CF" w:rsidP="003F4AB1">
      <w:pPr>
        <w:pStyle w:val="Prrafocomn"/>
        <w:spacing w:line="460" w:lineRule="exact"/>
        <w:ind w:firstLine="0"/>
        <w:rPr>
          <w:lang w:val="pt-BR"/>
        </w:rPr>
      </w:pPr>
    </w:p>
    <w:p w14:paraId="541CF316" w14:textId="77777777" w:rsidR="00A806CF" w:rsidRPr="00A75E5A" w:rsidRDefault="00A806CF" w:rsidP="003F4AB1">
      <w:pPr>
        <w:pStyle w:val="Prrafocomn"/>
        <w:spacing w:line="460" w:lineRule="exact"/>
        <w:ind w:firstLine="0"/>
        <w:rPr>
          <w:lang w:val="pt-BR"/>
        </w:rPr>
      </w:pPr>
    </w:p>
    <w:p w14:paraId="487BF736" w14:textId="4B23C07C" w:rsidR="00B775DB" w:rsidRDefault="00A75E5A" w:rsidP="001444E3">
      <w:pPr>
        <w:pStyle w:val="Ttulosinternos"/>
        <w:spacing w:line="460" w:lineRule="exact"/>
        <w:rPr>
          <w:lang w:val="pt-BR"/>
        </w:rPr>
      </w:pPr>
      <w:r w:rsidRPr="00A75E5A">
        <w:rPr>
          <w:lang w:val="pt-BR"/>
        </w:rPr>
        <w:lastRenderedPageBreak/>
        <w:t>Resultados</w:t>
      </w:r>
    </w:p>
    <w:p w14:paraId="44DF4F4B" w14:textId="265B74B7" w:rsidR="00A806CF" w:rsidRDefault="00A806CF" w:rsidP="00A806CF">
      <w:pPr>
        <w:pStyle w:val="Prrafocomn"/>
        <w:rPr>
          <w:lang w:val="pt-BR"/>
        </w:rPr>
      </w:pPr>
      <w:r w:rsidRPr="00A806CF">
        <w:rPr>
          <w:lang w:val="pt-BR"/>
        </w:rPr>
        <w:t xml:space="preserve">A análise temática (Braun &amp; Clarke, 2006) das entrevistas resultou na emergência de seis temas relativos aos fatores de risco de retratação (Tabela 1) e dois temas relativos aos fatores de proteção (Tabela 2), descritos a seguir. Os/as profissionais entrevistados são identificados pelas suas respectivas atuações profissionais abreviadas (Assistente Social – AS, Conselheiro/a tutelar – CT, Magistrado/a – MAG, Pedagogo/a – PED, Psicólogo/a – PSIC), país no qual atuam (Brasil – Br ou Portugal – </w:t>
      </w:r>
      <w:proofErr w:type="spellStart"/>
      <w:r w:rsidRPr="00A806CF">
        <w:rPr>
          <w:lang w:val="pt-BR"/>
        </w:rPr>
        <w:t>Pt</w:t>
      </w:r>
      <w:proofErr w:type="spellEnd"/>
      <w:r w:rsidRPr="00A806CF">
        <w:rPr>
          <w:lang w:val="pt-BR"/>
        </w:rPr>
        <w:t>), e números que indicam a ordem das entrevistas (1 a 23).</w:t>
      </w:r>
    </w:p>
    <w:p w14:paraId="7746500F" w14:textId="77777777" w:rsidR="00A806CF" w:rsidRPr="00E82494" w:rsidRDefault="00A806CF" w:rsidP="00A806CF">
      <w:pPr>
        <w:pStyle w:val="SubtituloInterno"/>
        <w:rPr>
          <w:lang w:val="pt-BR"/>
        </w:rPr>
      </w:pPr>
      <w:r w:rsidRPr="00E82494">
        <w:rPr>
          <w:lang w:val="pt-BR"/>
        </w:rPr>
        <w:t>Fatores de Risco de Retratação</w:t>
      </w:r>
    </w:p>
    <w:p w14:paraId="5F7A3E1E" w14:textId="77777777" w:rsidR="00A806CF" w:rsidRPr="00A806CF" w:rsidRDefault="00A806CF" w:rsidP="00A806CF">
      <w:pPr>
        <w:pStyle w:val="Prrafocomn"/>
        <w:rPr>
          <w:lang w:val="pt-BR"/>
        </w:rPr>
      </w:pPr>
      <w:r w:rsidRPr="00A806CF">
        <w:rPr>
          <w:lang w:val="pt-BR"/>
        </w:rPr>
        <w:t>A partir da análise das entrevistas foi identificado um conjunto de condições que podem favorecer o desenvolvimento da retratação, e que foram organizadas em seis temas e respectivos subtemas (Tabela 1):</w:t>
      </w:r>
    </w:p>
    <w:p w14:paraId="6FADE9AD" w14:textId="77777777" w:rsidR="00A806CF" w:rsidRPr="00A806CF" w:rsidRDefault="00A806CF" w:rsidP="00A806CF">
      <w:pPr>
        <w:pStyle w:val="Prrafocomn"/>
        <w:rPr>
          <w:i/>
          <w:iCs/>
          <w:lang w:val="pt-BR"/>
        </w:rPr>
      </w:pPr>
      <w:r w:rsidRPr="00A806CF">
        <w:rPr>
          <w:i/>
          <w:iCs/>
          <w:lang w:val="pt-BR"/>
        </w:rPr>
        <w:t>Condições Relacionadas com a Criança</w:t>
      </w:r>
    </w:p>
    <w:p w14:paraId="7DEA7772" w14:textId="77777777" w:rsidR="00A806CF" w:rsidRPr="00A806CF" w:rsidRDefault="00A806CF" w:rsidP="00A806CF">
      <w:pPr>
        <w:pStyle w:val="Prrafocomn"/>
        <w:rPr>
          <w:lang w:val="pt-BR"/>
        </w:rPr>
      </w:pPr>
      <w:r w:rsidRPr="00A806CF">
        <w:rPr>
          <w:lang w:val="pt-BR"/>
        </w:rPr>
        <w:t>Este tema integra características emocionais e comportamentais das crianças e que, de acordo com os/as profissionais, podem contribuir para o desenvolvimento da retratação, integrando os seguintes subtemas:</w:t>
      </w:r>
    </w:p>
    <w:p w14:paraId="26F55C4F" w14:textId="77777777" w:rsidR="00A806CF" w:rsidRPr="00A806CF" w:rsidRDefault="00A806CF" w:rsidP="00A806CF">
      <w:pPr>
        <w:pStyle w:val="Prrafocomn"/>
        <w:rPr>
          <w:lang w:val="pt-BR"/>
        </w:rPr>
      </w:pPr>
      <w:r w:rsidRPr="00A806CF">
        <w:rPr>
          <w:i/>
          <w:iCs/>
          <w:lang w:val="pt-BR"/>
        </w:rPr>
        <w:t>Medo.</w:t>
      </w:r>
      <w:r w:rsidRPr="00A806CF">
        <w:rPr>
          <w:b/>
          <w:bCs/>
          <w:lang w:val="pt-BR"/>
        </w:rPr>
        <w:t xml:space="preserve"> </w:t>
      </w:r>
      <w:r w:rsidRPr="00A806CF">
        <w:rPr>
          <w:lang w:val="pt-BR"/>
        </w:rPr>
        <w:t xml:space="preserve">Na perspectiva dos/as profissionais, a criança pode negar o seu relato prévio pelo medo de que as ameaças feitas pelo/a agressor/a se concretizem: “Nós percebemos que ela estava com medo. Que se começasse a falar podiam escapar-lhe elementos e revelar. Ela realmente ficava com muito medo de dizer seja lá o que for” (PSIC2 – </w:t>
      </w:r>
      <w:proofErr w:type="spellStart"/>
      <w:r w:rsidRPr="00A806CF">
        <w:rPr>
          <w:lang w:val="pt-BR"/>
        </w:rPr>
        <w:t>Pt</w:t>
      </w:r>
      <w:proofErr w:type="spellEnd"/>
      <w:r w:rsidRPr="00A806CF">
        <w:rPr>
          <w:lang w:val="pt-BR"/>
        </w:rPr>
        <w:t>). Surge ainda o medo de que algo de ruim possa acontecer a familiares: “Ele ameaçava a mãe e a adolescente, de que, se elas contassem alguma coisa, ele mataria as duas. Então, a adolescente já ficou com medo de acontecer alguma coisa com a mãe” (CT2 – Br).</w:t>
      </w:r>
    </w:p>
    <w:p w14:paraId="2DE2FAF9" w14:textId="77777777" w:rsidR="00A806CF" w:rsidRPr="00A806CF" w:rsidRDefault="00A806CF" w:rsidP="00A806CF">
      <w:pPr>
        <w:pStyle w:val="Prrafocomn"/>
        <w:rPr>
          <w:lang w:val="pt-BR"/>
        </w:rPr>
      </w:pPr>
      <w:r w:rsidRPr="00A806CF">
        <w:rPr>
          <w:i/>
          <w:iCs/>
          <w:lang w:val="pt-BR"/>
        </w:rPr>
        <w:t>Culpa.</w:t>
      </w:r>
      <w:r w:rsidRPr="00A806CF">
        <w:rPr>
          <w:b/>
          <w:bCs/>
          <w:lang w:val="pt-BR"/>
        </w:rPr>
        <w:t xml:space="preserve"> </w:t>
      </w:r>
      <w:r w:rsidRPr="00A806CF">
        <w:rPr>
          <w:lang w:val="pt-BR"/>
        </w:rPr>
        <w:t>A influência do sentimento de culpa na retratação emerge de duas maneiras complementares: a culpa sentida pela criança pelo impacto da revelação sobre a família: “Eu acho que uma das causas é a criança se sentir culpada pela família estar se desintegrando. A pressão é tão grande, que elas acham que são as culpadas por desestruturar todo aquele núcleo familiar” (AS1 – Br); e a culpa relacionada com o impacto dos procedimentos dos sistemas de proteção e de justiça:</w:t>
      </w:r>
    </w:p>
    <w:p w14:paraId="77C2E5BD" w14:textId="360F0C86" w:rsidR="00A806CF" w:rsidRPr="00A806CF" w:rsidRDefault="00A806CF" w:rsidP="00A36091">
      <w:pPr>
        <w:pStyle w:val="Prrafocomn"/>
        <w:ind w:left="708" w:firstLine="0"/>
        <w:rPr>
          <w:lang w:val="pt-BR"/>
        </w:rPr>
      </w:pPr>
      <w:r w:rsidRPr="00A806CF">
        <w:rPr>
          <w:lang w:val="pt-BR"/>
        </w:rPr>
        <w:lastRenderedPageBreak/>
        <w:t>E, portanto, há fatores de culpabilização que vêm de fora, fatores de culpabilização interna, uma enorme pressão para «eu quero voltar a tudo como estava, porque agora eu estraguei isto tudo», «A pessoa foi presa e foi por minha causa. E estamos agora aqui no tribunal, e tudo é por causa do que eu disse». Sente que pôs em causa a mãe, está muito culpada e em grande sofrimento, porque a mãe também é corresponsável por estes atos</w:t>
      </w:r>
      <w:r w:rsidR="00A36091">
        <w:rPr>
          <w:lang w:val="pt-BR"/>
        </w:rPr>
        <w:t>.</w:t>
      </w:r>
      <w:r w:rsidRPr="00A806CF">
        <w:rPr>
          <w:lang w:val="pt-BR"/>
        </w:rPr>
        <w:t xml:space="preserve"> (MAG2 – </w:t>
      </w:r>
      <w:proofErr w:type="spellStart"/>
      <w:r w:rsidRPr="00A806CF">
        <w:rPr>
          <w:lang w:val="pt-BR"/>
        </w:rPr>
        <w:t>Pt</w:t>
      </w:r>
      <w:proofErr w:type="spellEnd"/>
      <w:r w:rsidRPr="00A806CF">
        <w:rPr>
          <w:lang w:val="pt-BR"/>
        </w:rPr>
        <w:t>)</w:t>
      </w:r>
    </w:p>
    <w:p w14:paraId="0AF48836" w14:textId="77777777" w:rsidR="00A806CF" w:rsidRPr="00A806CF" w:rsidRDefault="00A806CF" w:rsidP="00A806CF">
      <w:pPr>
        <w:pStyle w:val="Prrafocomn"/>
        <w:rPr>
          <w:lang w:val="pt-BR"/>
        </w:rPr>
      </w:pPr>
      <w:r w:rsidRPr="00A806CF">
        <w:rPr>
          <w:i/>
          <w:iCs/>
          <w:lang w:val="pt-BR"/>
        </w:rPr>
        <w:t>Vergonha.</w:t>
      </w:r>
      <w:r w:rsidRPr="00A806CF">
        <w:rPr>
          <w:b/>
          <w:bCs/>
          <w:lang w:val="pt-BR"/>
        </w:rPr>
        <w:t xml:space="preserve"> </w:t>
      </w:r>
      <w:r w:rsidRPr="00A806CF">
        <w:rPr>
          <w:lang w:val="pt-BR"/>
        </w:rPr>
        <w:t xml:space="preserve">Enquanto condição de risco de retratação, a vergonha foi referida pelos/as profissionais que destacaram a dificuldade da vítima para abordar a temática do ASC: “Eu via jovens realmente sentirem-se muito envergonhadas. Porque, já em si, a situação é carregada de uma certa vergonha, e no limiar dizer «pronto, eu quero que isso acabe, vamos lá despachar ou não»” (PSI2 – </w:t>
      </w:r>
      <w:proofErr w:type="spellStart"/>
      <w:r w:rsidRPr="00A806CF">
        <w:rPr>
          <w:lang w:val="pt-BR"/>
        </w:rPr>
        <w:t>Pt</w:t>
      </w:r>
      <w:proofErr w:type="spellEnd"/>
      <w:r w:rsidRPr="00A806CF">
        <w:rPr>
          <w:lang w:val="pt-BR"/>
        </w:rPr>
        <w:t xml:space="preserve">).  </w:t>
      </w:r>
    </w:p>
    <w:p w14:paraId="621A3F87" w14:textId="77777777" w:rsidR="00A806CF" w:rsidRPr="00A806CF" w:rsidRDefault="00A806CF" w:rsidP="00A806CF">
      <w:pPr>
        <w:pStyle w:val="Prrafocomn"/>
        <w:rPr>
          <w:lang w:val="pt-BR"/>
        </w:rPr>
      </w:pPr>
      <w:r w:rsidRPr="00A806CF">
        <w:rPr>
          <w:i/>
          <w:iCs/>
          <w:lang w:val="pt-BR"/>
        </w:rPr>
        <w:t>Proteção da Autoimagem.</w:t>
      </w:r>
      <w:r w:rsidRPr="00A806CF">
        <w:rPr>
          <w:b/>
          <w:bCs/>
          <w:lang w:val="pt-BR"/>
        </w:rPr>
        <w:t xml:space="preserve"> </w:t>
      </w:r>
      <w:r w:rsidRPr="00A806CF">
        <w:rPr>
          <w:lang w:val="pt-BR"/>
        </w:rPr>
        <w:t>Especificamente na amostra de profissionais portugueses, emergiu o subtema da preservação da autoimagem nas vítimas do sexo masculino. Tal aspecto, de acordo com os profissionais, pode levar as crianças a uma retratação parcial, isto é, negar parte do relato anterior:</w:t>
      </w:r>
    </w:p>
    <w:p w14:paraId="24041BED" w14:textId="77777777" w:rsidR="00A806CF" w:rsidRPr="00A806CF" w:rsidRDefault="00A806CF" w:rsidP="00A36091">
      <w:pPr>
        <w:pStyle w:val="Prrafocomn"/>
        <w:ind w:left="708" w:firstLine="0"/>
        <w:rPr>
          <w:lang w:val="pt-BR"/>
        </w:rPr>
      </w:pPr>
      <w:r w:rsidRPr="00A806CF">
        <w:rPr>
          <w:lang w:val="pt-BR"/>
        </w:rPr>
        <w:t xml:space="preserve">É muito complicado admitir que foram abusados sexualmente por um homem. Portanto, é a pressão da imagem, da degradação da sua imagem. As questões da sua identidade que podem estar ali a ser postas em causa. Tentam não dizer que não aconteceu. Ou seja, relatam atos menos graves. (MAG2 – </w:t>
      </w:r>
      <w:proofErr w:type="spellStart"/>
      <w:r w:rsidRPr="00A806CF">
        <w:rPr>
          <w:lang w:val="pt-BR"/>
        </w:rPr>
        <w:t>Pt</w:t>
      </w:r>
      <w:proofErr w:type="spellEnd"/>
      <w:r w:rsidRPr="00A806CF">
        <w:rPr>
          <w:lang w:val="pt-BR"/>
        </w:rPr>
        <w:t>)</w:t>
      </w:r>
    </w:p>
    <w:p w14:paraId="4CB00C91" w14:textId="77777777" w:rsidR="00A806CF" w:rsidRPr="00E82494" w:rsidRDefault="00A806CF" w:rsidP="00A806CF">
      <w:pPr>
        <w:pStyle w:val="SubtituloInterno1"/>
        <w:rPr>
          <w:lang w:val="pt-BR"/>
        </w:rPr>
      </w:pPr>
      <w:r w:rsidRPr="00E82494">
        <w:rPr>
          <w:lang w:val="pt-BR"/>
        </w:rPr>
        <w:t>Proximidade entre Vítima e Agressor/a</w:t>
      </w:r>
    </w:p>
    <w:p w14:paraId="18DEFCBB" w14:textId="77777777" w:rsidR="00A806CF" w:rsidRPr="00A806CF" w:rsidRDefault="00A806CF" w:rsidP="00A806CF">
      <w:pPr>
        <w:pStyle w:val="Prrafocomn"/>
        <w:rPr>
          <w:lang w:val="pt-BR"/>
        </w:rPr>
      </w:pPr>
      <w:r w:rsidRPr="00A806CF">
        <w:rPr>
          <w:lang w:val="pt-BR"/>
        </w:rPr>
        <w:t>Este tema emergiu nos relatos de profissionais em ambos os países, que identificam como risco de retratação a existência de algum tipo de proximidade relacional entre vítima e agressor/a. Este tema integra dois subtemas:</w:t>
      </w:r>
    </w:p>
    <w:p w14:paraId="3D92548C" w14:textId="77777777" w:rsidR="00A806CF" w:rsidRPr="00A806CF" w:rsidRDefault="00A806CF" w:rsidP="00A806CF">
      <w:pPr>
        <w:pStyle w:val="Prrafocomn"/>
        <w:rPr>
          <w:lang w:val="pt-BR"/>
        </w:rPr>
      </w:pPr>
      <w:r w:rsidRPr="00A806CF">
        <w:rPr>
          <w:i/>
          <w:iCs/>
          <w:lang w:val="pt-BR"/>
        </w:rPr>
        <w:t xml:space="preserve">Agressor/a Intrafamiliar. </w:t>
      </w:r>
      <w:r w:rsidRPr="00A806CF">
        <w:rPr>
          <w:lang w:val="pt-BR"/>
        </w:rPr>
        <w:t xml:space="preserve">Este subtema foi referenciado por todos/as </w:t>
      </w:r>
      <w:proofErr w:type="gramStart"/>
      <w:r w:rsidRPr="00A806CF">
        <w:rPr>
          <w:lang w:val="pt-BR"/>
        </w:rPr>
        <w:t>os/as profissionais entrevistados/as</w:t>
      </w:r>
      <w:proofErr w:type="gramEnd"/>
      <w:r w:rsidRPr="00A806CF">
        <w:rPr>
          <w:lang w:val="pt-BR"/>
        </w:rPr>
        <w:t xml:space="preserve"> nos dois países. Relaciona-se aos casos de ASC nos quais o/a agressor/a tem algum grau de parentesco com a criança (pai/mãe, tio/a, avô/ó):</w:t>
      </w:r>
    </w:p>
    <w:p w14:paraId="31C244B2" w14:textId="77777777" w:rsidR="00A806CF" w:rsidRPr="00A806CF" w:rsidRDefault="00A806CF" w:rsidP="00940996">
      <w:pPr>
        <w:pStyle w:val="Prrafocomn"/>
        <w:ind w:left="708" w:firstLine="0"/>
        <w:rPr>
          <w:lang w:val="pt-BR"/>
        </w:rPr>
      </w:pPr>
      <w:r w:rsidRPr="00A806CF">
        <w:rPr>
          <w:lang w:val="pt-BR"/>
        </w:rPr>
        <w:t>As pressões, elas se dão basicamente: vai sendo efeito dominó. Vai mexer com toda a estrutura familiar. Então, isso pesa, são pessoas próximas, quando tem essas situações, por conta de proteger a pessoa [agressor/a], para não criar aquele conflito entre a própria família. E as crianças e adolescentes ficam pressionadas, os próprios pais, a maioria das vezes, acabam ficando do lado do abusador em detrimento da própria filha. (CT1 – Br)</w:t>
      </w:r>
    </w:p>
    <w:p w14:paraId="04D21F3C" w14:textId="77777777" w:rsidR="00A806CF" w:rsidRPr="00A806CF" w:rsidRDefault="00A806CF" w:rsidP="00940996">
      <w:pPr>
        <w:pStyle w:val="Prrafocomn"/>
        <w:ind w:left="708" w:firstLine="0"/>
        <w:rPr>
          <w:lang w:val="pt-BR"/>
        </w:rPr>
      </w:pPr>
      <w:r w:rsidRPr="00A806CF">
        <w:rPr>
          <w:lang w:val="pt-BR"/>
        </w:rPr>
        <w:lastRenderedPageBreak/>
        <w:t xml:space="preserve">A partir do momento daquela revelação e, sobretudo, quando o abusador é da família, sobretudo quando é um membro da família ou alguém muito próximo da família, os fatores de pressão são enormes, sobre a criança. E são fatores emocionais fortíssimos sobre a criança que faz a revelação. (MAG2 – </w:t>
      </w:r>
      <w:proofErr w:type="spellStart"/>
      <w:r w:rsidRPr="00A806CF">
        <w:rPr>
          <w:lang w:val="pt-BR"/>
        </w:rPr>
        <w:t>Pt</w:t>
      </w:r>
      <w:proofErr w:type="spellEnd"/>
      <w:r w:rsidRPr="00A806CF">
        <w:rPr>
          <w:lang w:val="pt-BR"/>
        </w:rPr>
        <w:t>)</w:t>
      </w:r>
    </w:p>
    <w:p w14:paraId="0C04E79D" w14:textId="77777777" w:rsidR="00A806CF" w:rsidRPr="00A806CF" w:rsidRDefault="00A806CF" w:rsidP="00A806CF">
      <w:pPr>
        <w:pStyle w:val="Prrafocomn"/>
        <w:rPr>
          <w:lang w:val="pt-BR"/>
        </w:rPr>
      </w:pPr>
      <w:r w:rsidRPr="00A806CF">
        <w:rPr>
          <w:i/>
          <w:iCs/>
          <w:lang w:val="pt-BR"/>
        </w:rPr>
        <w:t>Agressor/a Conhecido/a da Família.</w:t>
      </w:r>
      <w:r w:rsidRPr="00A806CF">
        <w:rPr>
          <w:b/>
          <w:bCs/>
          <w:lang w:val="pt-BR"/>
        </w:rPr>
        <w:t xml:space="preserve"> </w:t>
      </w:r>
      <w:r w:rsidRPr="00A806CF">
        <w:rPr>
          <w:lang w:val="pt-BR"/>
        </w:rPr>
        <w:t>Este subtema reporta-se à ocorrência de retratação quando o/a agressor/a, apesar de não ter um vínculo de parentesco com a criança, tem uma relação próxima com a família ou com a vítima: “Houve um abuso de um amigo do pai, e o pai forçou a criança a dizer que só tinha sido abusada pelo padrasto</w:t>
      </w:r>
      <w:proofErr w:type="gramStart"/>
      <w:r w:rsidRPr="00A806CF">
        <w:rPr>
          <w:lang w:val="pt-BR"/>
        </w:rPr>
        <w:t>. ”</w:t>
      </w:r>
      <w:proofErr w:type="gramEnd"/>
      <w:r w:rsidRPr="00A806CF">
        <w:rPr>
          <w:lang w:val="pt-BR"/>
        </w:rPr>
        <w:t xml:space="preserve"> (PSIC1 – </w:t>
      </w:r>
      <w:proofErr w:type="spellStart"/>
      <w:r w:rsidRPr="00A806CF">
        <w:rPr>
          <w:lang w:val="pt-BR"/>
        </w:rPr>
        <w:t>Pt</w:t>
      </w:r>
      <w:proofErr w:type="spellEnd"/>
      <w:r w:rsidRPr="00A806CF">
        <w:rPr>
          <w:lang w:val="pt-BR"/>
        </w:rPr>
        <w:t>); “Observamos também que a família do abusador tinha um vínculo com a família da vítima. E isso fez também com que fosse feita a retratação” (AS5 – Br).</w:t>
      </w:r>
    </w:p>
    <w:p w14:paraId="333628F5" w14:textId="77777777" w:rsidR="00A806CF" w:rsidRPr="00E82494" w:rsidRDefault="00A806CF" w:rsidP="00A806CF">
      <w:pPr>
        <w:pStyle w:val="SubtituloInterno1"/>
        <w:rPr>
          <w:lang w:val="pt-BR"/>
        </w:rPr>
      </w:pPr>
      <w:r w:rsidRPr="00E82494">
        <w:rPr>
          <w:lang w:val="pt-BR"/>
        </w:rPr>
        <w:t>Revelação no Contexto Informal</w:t>
      </w:r>
    </w:p>
    <w:p w14:paraId="3FCE1E50" w14:textId="77777777" w:rsidR="00A806CF" w:rsidRPr="00A806CF" w:rsidRDefault="00A806CF" w:rsidP="00A806CF">
      <w:pPr>
        <w:pStyle w:val="Prrafocomn"/>
        <w:rPr>
          <w:lang w:val="pt-BR"/>
        </w:rPr>
      </w:pPr>
      <w:r w:rsidRPr="00A806CF">
        <w:rPr>
          <w:lang w:val="pt-BR"/>
        </w:rPr>
        <w:t xml:space="preserve">Este tema integra as condições nas quais os/as profissionais descreveram que, da sua experiência, nos casos com retratação, a criança inicialmente revelou para pessoas que não integram o seu núcleo familiar: “Existe a retratação desde lá [contexto familiar], desde o momento da denúncia, porque a denúncia da criança ela não chega diretamente. Denuncia para outras pessoas e aí essas pessoas denunciam” (CT3 – Br); “Ela [a criança] não revelou o abuso aos pais. Revelou na escola e, quando o processo avançou para a polícia e chegou ao tribunal, os próprios pais tinham dito explicitamente à criança para se retratar” (PSIC2 – </w:t>
      </w:r>
      <w:proofErr w:type="spellStart"/>
      <w:r w:rsidRPr="00A806CF">
        <w:rPr>
          <w:lang w:val="pt-BR"/>
        </w:rPr>
        <w:t>Pt</w:t>
      </w:r>
      <w:proofErr w:type="spellEnd"/>
      <w:r w:rsidRPr="00A806CF">
        <w:rPr>
          <w:lang w:val="pt-BR"/>
        </w:rPr>
        <w:t>).</w:t>
      </w:r>
    </w:p>
    <w:p w14:paraId="616DBEB3" w14:textId="77777777" w:rsidR="00A806CF" w:rsidRPr="00E82494" w:rsidRDefault="00A806CF" w:rsidP="00A806CF">
      <w:pPr>
        <w:pStyle w:val="SubtituloInterno1"/>
        <w:rPr>
          <w:lang w:val="pt-BR"/>
        </w:rPr>
      </w:pPr>
      <w:r w:rsidRPr="00E82494">
        <w:rPr>
          <w:lang w:val="pt-BR"/>
        </w:rPr>
        <w:t>Sistema Familiar</w:t>
      </w:r>
    </w:p>
    <w:p w14:paraId="4A39B87C" w14:textId="77777777" w:rsidR="00A806CF" w:rsidRPr="00A806CF" w:rsidRDefault="00A806CF" w:rsidP="00A806CF">
      <w:pPr>
        <w:pStyle w:val="Prrafocomn"/>
        <w:rPr>
          <w:lang w:val="pt-BR"/>
        </w:rPr>
      </w:pPr>
      <w:r w:rsidRPr="00A806CF">
        <w:rPr>
          <w:lang w:val="pt-BR"/>
        </w:rPr>
        <w:t>Este tema corresponde a características presentes no sistema familiar (incluindo o núcleo familiar e membros alargados) de crianças que negaram os seus relatos prévios de ASC. A partir das descrições feitas pelos/as profissionais de ambos os países, as características deste tema foram agrupadas em três subtemas:</w:t>
      </w:r>
    </w:p>
    <w:p w14:paraId="2367569F" w14:textId="77777777" w:rsidR="00A806CF" w:rsidRPr="00A806CF" w:rsidRDefault="00A806CF" w:rsidP="00A806CF">
      <w:pPr>
        <w:pStyle w:val="Prrafocomn"/>
        <w:rPr>
          <w:lang w:val="pt-BR"/>
        </w:rPr>
      </w:pPr>
      <w:r w:rsidRPr="00A806CF">
        <w:rPr>
          <w:i/>
          <w:iCs/>
          <w:lang w:val="pt-BR"/>
        </w:rPr>
        <w:t>Falta de Suporte Face à Revelação</w:t>
      </w:r>
      <w:r w:rsidRPr="00A806CF">
        <w:rPr>
          <w:i/>
          <w:iCs/>
          <w:vertAlign w:val="superscript"/>
          <w:lang w:val="pt-BR"/>
        </w:rPr>
        <w:footnoteReference w:id="6"/>
      </w:r>
      <w:r w:rsidRPr="00A806CF">
        <w:rPr>
          <w:lang w:val="pt-BR"/>
        </w:rPr>
        <w:t>. Nos casos com retratação pela criança, os/as profissionais identificaram que a falta de suporte, por parte dos familiares nucleares e alargados, caracteriza-se pelas seguintes reações face à revelação e/ou descoberta do ASC:</w:t>
      </w:r>
    </w:p>
    <w:p w14:paraId="4E72E8FA" w14:textId="20408AF2" w:rsidR="00A806CF" w:rsidRPr="00A806CF" w:rsidRDefault="00A806CF" w:rsidP="00A806CF">
      <w:pPr>
        <w:pStyle w:val="Prrafocomn"/>
        <w:rPr>
          <w:lang w:val="pt-BR"/>
        </w:rPr>
      </w:pPr>
      <w:r w:rsidRPr="00A806CF">
        <w:rPr>
          <w:lang w:val="pt-BR"/>
        </w:rPr>
        <w:lastRenderedPageBreak/>
        <w:t>(a) Desqualificar a vítima e/ou o relato desta, afirmando que a criança é mentirosa e/ou que provocou ASC: “Também tinha esse tipo de pressão, que é a degradação da imagem da vítima pela sua própria mãe. Que é a vítima que é tentadora, que é ela que se meteu com o namorado da mãe, que se meteu com homens, era muito precoce. E, nesse caso, ela tinha 13 anos</w:t>
      </w:r>
      <w:r w:rsidR="00940996">
        <w:rPr>
          <w:lang w:val="pt-BR"/>
        </w:rPr>
        <w:t>”</w:t>
      </w:r>
      <w:r w:rsidRPr="00A806CF">
        <w:rPr>
          <w:lang w:val="pt-BR"/>
        </w:rPr>
        <w:t xml:space="preserve"> (MAG2 – </w:t>
      </w:r>
      <w:proofErr w:type="spellStart"/>
      <w:r w:rsidRPr="00A806CF">
        <w:rPr>
          <w:lang w:val="pt-BR"/>
        </w:rPr>
        <w:t>Pt</w:t>
      </w:r>
      <w:proofErr w:type="spellEnd"/>
      <w:r w:rsidRPr="00A806CF">
        <w:rPr>
          <w:lang w:val="pt-BR"/>
        </w:rPr>
        <w:t>)</w:t>
      </w:r>
      <w:r w:rsidR="00940996">
        <w:rPr>
          <w:lang w:val="pt-BR"/>
        </w:rPr>
        <w:t>.</w:t>
      </w:r>
    </w:p>
    <w:p w14:paraId="2960A925" w14:textId="77777777" w:rsidR="00A806CF" w:rsidRPr="00A806CF" w:rsidRDefault="00A806CF" w:rsidP="00A806CF">
      <w:pPr>
        <w:pStyle w:val="Prrafocomn"/>
        <w:rPr>
          <w:lang w:val="pt-BR"/>
        </w:rPr>
      </w:pPr>
      <w:r w:rsidRPr="00A806CF">
        <w:rPr>
          <w:lang w:val="pt-BR"/>
        </w:rPr>
        <w:t>(b) Culpabilizar a vítima: “Eles culpabilizam a criança de uma certa forma, dizendo assim: «olha, agora a nossa família destruiu»” (CT5 – Br); “A família culpa muito a vítima por conta disso, quando é intrafamiliar, porque o membro da família já pode estar preso” (PSIC1 – Br).</w:t>
      </w:r>
    </w:p>
    <w:p w14:paraId="7C45C09C" w14:textId="77777777" w:rsidR="00A806CF" w:rsidRPr="00A806CF" w:rsidRDefault="00A806CF" w:rsidP="00A806CF">
      <w:pPr>
        <w:pStyle w:val="Prrafocomn"/>
        <w:rPr>
          <w:lang w:val="pt-BR"/>
        </w:rPr>
      </w:pPr>
      <w:r w:rsidRPr="00A806CF">
        <w:rPr>
          <w:lang w:val="pt-BR"/>
        </w:rPr>
        <w:t xml:space="preserve">(c) Ameaçar a vítima: “Há situações em que esse laço é quebrado porque a mãe ameaça a criança, (…) se a criança continuar a dizer que o companheiro dela é o abusador. Muitas vezes fazem isto, ou porque não acreditam que aconteceu, ou porque não querem acreditar que isso aconteceu” (MAG1 – </w:t>
      </w:r>
      <w:proofErr w:type="spellStart"/>
      <w:r w:rsidRPr="00A806CF">
        <w:rPr>
          <w:lang w:val="pt-BR"/>
        </w:rPr>
        <w:t>Pt</w:t>
      </w:r>
      <w:proofErr w:type="spellEnd"/>
      <w:r w:rsidRPr="00A806CF">
        <w:rPr>
          <w:lang w:val="pt-BR"/>
        </w:rPr>
        <w:t>).</w:t>
      </w:r>
    </w:p>
    <w:p w14:paraId="1AFB2E84" w14:textId="77777777" w:rsidR="00A806CF" w:rsidRPr="00A806CF" w:rsidRDefault="00A806CF" w:rsidP="00A806CF">
      <w:pPr>
        <w:pStyle w:val="Prrafocomn"/>
        <w:rPr>
          <w:lang w:val="pt-BR"/>
        </w:rPr>
      </w:pPr>
      <w:r w:rsidRPr="00A806CF">
        <w:rPr>
          <w:lang w:val="pt-BR"/>
        </w:rPr>
        <w:t>(d) Pouca ou nenhuma participação dos cuidadores habituais na comunicação das suspeitas de ASC às autoridades: “E no caso desse menino, em específico, não foi a família dele que levou até a autoridade policial. Foi a mãe de um outro menino” (MAG1 – Br).</w:t>
      </w:r>
    </w:p>
    <w:p w14:paraId="31342B96" w14:textId="77777777" w:rsidR="00A806CF" w:rsidRPr="00A806CF" w:rsidRDefault="00A806CF" w:rsidP="00A806CF">
      <w:pPr>
        <w:pStyle w:val="Prrafocomn"/>
        <w:rPr>
          <w:lang w:val="pt-BR"/>
        </w:rPr>
      </w:pPr>
      <w:r w:rsidRPr="00A806CF">
        <w:rPr>
          <w:lang w:val="pt-BR"/>
        </w:rPr>
        <w:t xml:space="preserve">(e) Não colaboração com os serviços: “Porque quando eles não querem que fale, </w:t>
      </w:r>
      <w:proofErr w:type="gramStart"/>
      <w:r w:rsidRPr="00A806CF">
        <w:rPr>
          <w:lang w:val="pt-BR"/>
        </w:rPr>
        <w:t>eles não vem</w:t>
      </w:r>
      <w:proofErr w:type="gramEnd"/>
      <w:r w:rsidRPr="00A806CF">
        <w:rPr>
          <w:lang w:val="pt-BR"/>
        </w:rPr>
        <w:t>. Eles não aparecem aqui. Tu podes chamar e não vem para estudo. Tu podes chamar e não vem para audiência” (PSIC3 – Br).</w:t>
      </w:r>
    </w:p>
    <w:p w14:paraId="3978E4B9" w14:textId="77777777" w:rsidR="00A806CF" w:rsidRPr="00A806CF" w:rsidRDefault="00A806CF" w:rsidP="00A806CF">
      <w:pPr>
        <w:pStyle w:val="Prrafocomn"/>
        <w:rPr>
          <w:lang w:val="pt-BR"/>
        </w:rPr>
      </w:pPr>
      <w:r w:rsidRPr="00A806CF">
        <w:rPr>
          <w:lang w:val="pt-BR"/>
        </w:rPr>
        <w:t>(f) Promover o contato da vítima com o/a agressor/a:</w:t>
      </w:r>
    </w:p>
    <w:p w14:paraId="6DEB4EC4" w14:textId="45CE5970" w:rsidR="00A806CF" w:rsidRPr="00A806CF" w:rsidRDefault="00A806CF" w:rsidP="00940996">
      <w:pPr>
        <w:pStyle w:val="Prrafocomn"/>
        <w:ind w:left="708" w:firstLine="0"/>
        <w:rPr>
          <w:lang w:val="pt-BR"/>
        </w:rPr>
      </w:pPr>
      <w:r w:rsidRPr="00A806CF">
        <w:rPr>
          <w:lang w:val="pt-BR"/>
        </w:rPr>
        <w:t>Em dia determinado que a criança estava sozinha com a avó, a avó entrou em contato por telefone com o avô, o avô falou com essa criança e disse: «olha, eu estou preso por sua causa. Porque você contou o nosso segredo. Então, não conte mais para ninguém o nosso segredo». (MAG1 – Br)</w:t>
      </w:r>
    </w:p>
    <w:p w14:paraId="7739B2EE" w14:textId="77777777" w:rsidR="00A806CF" w:rsidRPr="00A806CF" w:rsidRDefault="00A806CF" w:rsidP="00A806CF">
      <w:pPr>
        <w:pStyle w:val="Prrafocomn"/>
        <w:rPr>
          <w:lang w:val="pt-BR"/>
        </w:rPr>
      </w:pPr>
      <w:r w:rsidRPr="00A806CF">
        <w:rPr>
          <w:lang w:val="pt-BR"/>
        </w:rPr>
        <w:t xml:space="preserve">(g) Instrumentalizar as crianças para que estas neguem os seus relatos prévios: “Os próprios pais tinham dito explicitamente à criança para se retrair. Acabou por dizer que os pais lhe tinham dito para ela não dizer nada” (PSIC2 – </w:t>
      </w:r>
      <w:proofErr w:type="spellStart"/>
      <w:r w:rsidRPr="00A806CF">
        <w:rPr>
          <w:lang w:val="pt-BR"/>
        </w:rPr>
        <w:t>Pt</w:t>
      </w:r>
      <w:proofErr w:type="spellEnd"/>
      <w:r w:rsidRPr="00A806CF">
        <w:rPr>
          <w:lang w:val="pt-BR"/>
        </w:rPr>
        <w:t>).</w:t>
      </w:r>
    </w:p>
    <w:p w14:paraId="7B924CDE" w14:textId="77777777" w:rsidR="00A806CF" w:rsidRPr="00A806CF" w:rsidRDefault="00A806CF" w:rsidP="00A806CF">
      <w:pPr>
        <w:pStyle w:val="Prrafocomn"/>
        <w:rPr>
          <w:lang w:val="pt-BR"/>
        </w:rPr>
      </w:pPr>
      <w:r w:rsidRPr="00A806CF">
        <w:rPr>
          <w:i/>
          <w:iCs/>
          <w:lang w:val="pt-BR"/>
        </w:rPr>
        <w:t>Preservação da Imagem Social.</w:t>
      </w:r>
      <w:r w:rsidRPr="00A806CF">
        <w:rPr>
          <w:b/>
          <w:bCs/>
          <w:lang w:val="pt-BR"/>
        </w:rPr>
        <w:t xml:space="preserve"> </w:t>
      </w:r>
      <w:r w:rsidRPr="00A806CF">
        <w:rPr>
          <w:lang w:val="pt-BR"/>
        </w:rPr>
        <w:t xml:space="preserve">Estas famílias foram caracterizadas pelos/as profissionais como sistemas que buscam preservar a sua imagem social na comunidade, evitando a divulgação do ASC: “Os pais preferiam que não se saiba, mais por medo da imagem social. No bairro dela, é um bairro onde toda a gente se conhece. A criança rapidamente percebeu; acho que eles transmitiam à criança para não falar mais disso” (PSIC2 – </w:t>
      </w:r>
      <w:proofErr w:type="spellStart"/>
      <w:r w:rsidRPr="00A806CF">
        <w:rPr>
          <w:lang w:val="pt-BR"/>
        </w:rPr>
        <w:t>Pt</w:t>
      </w:r>
      <w:proofErr w:type="spellEnd"/>
      <w:r w:rsidRPr="00A806CF">
        <w:rPr>
          <w:lang w:val="pt-BR"/>
        </w:rPr>
        <w:t>).</w:t>
      </w:r>
    </w:p>
    <w:p w14:paraId="369BDCF5" w14:textId="77777777" w:rsidR="00A806CF" w:rsidRPr="00A806CF" w:rsidRDefault="00A806CF" w:rsidP="00A806CF">
      <w:pPr>
        <w:pStyle w:val="Prrafocomn"/>
        <w:rPr>
          <w:lang w:val="pt-BR"/>
        </w:rPr>
      </w:pPr>
      <w:r w:rsidRPr="00A806CF">
        <w:rPr>
          <w:i/>
          <w:iCs/>
          <w:lang w:val="pt-BR"/>
        </w:rPr>
        <w:lastRenderedPageBreak/>
        <w:t>Vulnerabilidades Intrafamiliares.</w:t>
      </w:r>
      <w:r w:rsidRPr="00A806CF">
        <w:rPr>
          <w:b/>
          <w:bCs/>
          <w:lang w:val="pt-BR"/>
        </w:rPr>
        <w:t xml:space="preserve"> </w:t>
      </w:r>
      <w:r w:rsidRPr="00A806CF">
        <w:rPr>
          <w:lang w:val="pt-BR"/>
        </w:rPr>
        <w:t xml:space="preserve">Este subtema refere-se a aspectos sociais e de violência concomitante ao ASC, observadas nos sistemas familiares nos quais ocorreu a retratação, nomeadamente:  </w:t>
      </w:r>
    </w:p>
    <w:p w14:paraId="147863AC" w14:textId="77777777" w:rsidR="00A806CF" w:rsidRPr="00A806CF" w:rsidRDefault="00A806CF" w:rsidP="00A806CF">
      <w:pPr>
        <w:pStyle w:val="Prrafocomn"/>
        <w:rPr>
          <w:lang w:val="pt-BR"/>
        </w:rPr>
      </w:pPr>
      <w:r w:rsidRPr="00A806CF">
        <w:rPr>
          <w:lang w:val="pt-BR"/>
        </w:rPr>
        <w:t>(a) Dependência financeira:</w:t>
      </w:r>
    </w:p>
    <w:p w14:paraId="69946798" w14:textId="77777777" w:rsidR="00A806CF" w:rsidRPr="00A806CF" w:rsidRDefault="00A806CF" w:rsidP="00940996">
      <w:pPr>
        <w:pStyle w:val="Prrafocomn"/>
        <w:ind w:left="708" w:firstLine="0"/>
        <w:rPr>
          <w:lang w:val="pt-BR"/>
        </w:rPr>
      </w:pPr>
      <w:r w:rsidRPr="00A806CF">
        <w:rPr>
          <w:lang w:val="pt-BR"/>
        </w:rPr>
        <w:t xml:space="preserve">Que o pai não só pode ser preso, como o pai é o sustento da família e, portanto, por aquilo que ela disse, todos os irmãos, a mãe, vão ficar sem o sustento, vão ficar numa situação complicada. E, portanto, com tudo isto, a pressão no depoimento da criança vem a resultar em retratação. (PSIC1 – </w:t>
      </w:r>
      <w:proofErr w:type="spellStart"/>
      <w:r w:rsidRPr="00A806CF">
        <w:rPr>
          <w:lang w:val="pt-BR"/>
        </w:rPr>
        <w:t>Pt</w:t>
      </w:r>
      <w:proofErr w:type="spellEnd"/>
      <w:r w:rsidRPr="00A806CF">
        <w:rPr>
          <w:lang w:val="pt-BR"/>
        </w:rPr>
        <w:t>)</w:t>
      </w:r>
    </w:p>
    <w:p w14:paraId="7D570F34" w14:textId="77777777" w:rsidR="00A806CF" w:rsidRPr="00A806CF" w:rsidRDefault="00A806CF" w:rsidP="00A806CF">
      <w:pPr>
        <w:pStyle w:val="Prrafocomn"/>
        <w:ind w:left="708" w:firstLine="0"/>
        <w:rPr>
          <w:lang w:val="pt-BR"/>
        </w:rPr>
      </w:pPr>
      <w:r w:rsidRPr="00A806CF">
        <w:rPr>
          <w:lang w:val="pt-BR"/>
        </w:rPr>
        <w:t>(b) Violência doméstica:</w:t>
      </w:r>
    </w:p>
    <w:p w14:paraId="0FEF27B1" w14:textId="77777777" w:rsidR="00A806CF" w:rsidRPr="00A806CF" w:rsidRDefault="00A806CF" w:rsidP="00940996">
      <w:pPr>
        <w:pStyle w:val="Prrafocomn"/>
        <w:ind w:left="708" w:firstLine="0"/>
        <w:rPr>
          <w:lang w:val="pt-BR"/>
        </w:rPr>
      </w:pPr>
      <w:r w:rsidRPr="00A806CF">
        <w:rPr>
          <w:lang w:val="pt-BR"/>
        </w:rPr>
        <w:t>O padrasto que abusou dela [adolescente], ele era usuário de drogas e agredia a mãe e as crianças ficavam numa situação de risco. E por conta disso, ele [o agressor] ameaçava a mãe e a adolescente. De que, se elas contassem alguma coisa, ele mataria as duas. (CT1 – Br)</w:t>
      </w:r>
    </w:p>
    <w:p w14:paraId="64D2770F" w14:textId="77777777" w:rsidR="00A806CF" w:rsidRPr="00A806CF" w:rsidRDefault="00A806CF" w:rsidP="00A806CF">
      <w:pPr>
        <w:pStyle w:val="Prrafocomn"/>
        <w:rPr>
          <w:lang w:val="pt-BR"/>
        </w:rPr>
      </w:pPr>
      <w:r w:rsidRPr="00A806CF">
        <w:rPr>
          <w:lang w:val="pt-BR"/>
        </w:rPr>
        <w:t>(c) Registro de outros casos de ASC na família: “Durante o depoimento, ele [irmão mais velho da vítima], começou a chorar porque ele tinha sido vítima de abuso pelo agressor dessa outra criança” (MAG1 – Br).</w:t>
      </w:r>
    </w:p>
    <w:p w14:paraId="792E5868" w14:textId="77777777" w:rsidR="00A806CF" w:rsidRPr="00E82494" w:rsidRDefault="00A806CF" w:rsidP="00A806CF">
      <w:pPr>
        <w:pStyle w:val="SubtituloInterno1"/>
        <w:rPr>
          <w:lang w:val="pt-BR"/>
        </w:rPr>
      </w:pPr>
      <w:r w:rsidRPr="00E82494">
        <w:rPr>
          <w:lang w:val="pt-BR"/>
        </w:rPr>
        <w:t>Pressões da Comunidade</w:t>
      </w:r>
    </w:p>
    <w:p w14:paraId="02028572" w14:textId="77777777" w:rsidR="00A806CF" w:rsidRPr="00A806CF" w:rsidRDefault="00A806CF" w:rsidP="00A806CF">
      <w:pPr>
        <w:pStyle w:val="Prrafocomn"/>
        <w:rPr>
          <w:lang w:val="pt-BR"/>
        </w:rPr>
      </w:pPr>
      <w:r w:rsidRPr="00A806CF">
        <w:rPr>
          <w:lang w:val="pt-BR"/>
        </w:rPr>
        <w:t>Os/as conselheiros tutelares que atuavam na região norte do Brasil, trabalhando diretamente com famílias que vivem na zona rural e/ou ribeirinha, destacaram a existência de pressões dos membros da comunidade sobre as famílias, no sentido destes últimos negarem as alegações de ASC:</w:t>
      </w:r>
    </w:p>
    <w:p w14:paraId="35C61D0A" w14:textId="77777777" w:rsidR="00A806CF" w:rsidRPr="00A806CF" w:rsidRDefault="00A806CF" w:rsidP="00940996">
      <w:pPr>
        <w:pStyle w:val="Prrafocomn"/>
        <w:ind w:left="708" w:firstLine="0"/>
        <w:rPr>
          <w:lang w:val="pt-BR"/>
        </w:rPr>
      </w:pPr>
      <w:r w:rsidRPr="00A806CF">
        <w:rPr>
          <w:lang w:val="pt-BR"/>
        </w:rPr>
        <w:t>Os próprios pais, às vezes, sofrem essa pressão por parte da própria comunidade, tem que fazer um novo discurso. Eu acompanhei um caso que a comunidade se mobilizou para proteger o abusador. Então surgiram muitas testemunhas para proteger ele, para vir falar a favor dele. Então, isso está muito forte ainda, na cultura, que isso não deve ser denunciado, de que não deve ser feito procedimento, para o bem da família, para o bem da comunidade, para ninguém da comunidade ser preso, ser punido. Então é melhor não ser feito, não ser feita a denúncia. (CT3 – Br)</w:t>
      </w:r>
    </w:p>
    <w:p w14:paraId="0C54CC13" w14:textId="77777777" w:rsidR="00A806CF" w:rsidRPr="00A806CF" w:rsidRDefault="00A806CF" w:rsidP="00A806CF">
      <w:pPr>
        <w:pStyle w:val="Prrafocomn"/>
        <w:rPr>
          <w:lang w:val="pt-BR"/>
        </w:rPr>
      </w:pPr>
      <w:r w:rsidRPr="00A806CF">
        <w:rPr>
          <w:lang w:val="pt-BR"/>
        </w:rPr>
        <w:t>No âmbito das especificidades observadas nessas comunidades, os/as profissionais relataram que as pressões são mais acentuadas quando há uma maior:</w:t>
      </w:r>
    </w:p>
    <w:p w14:paraId="2C25AB4D" w14:textId="77777777" w:rsidR="00A806CF" w:rsidRPr="00A806CF" w:rsidRDefault="00A806CF" w:rsidP="00A806CF">
      <w:pPr>
        <w:pStyle w:val="Prrafocomn"/>
        <w:rPr>
          <w:lang w:val="pt-BR"/>
        </w:rPr>
      </w:pPr>
      <w:r w:rsidRPr="00A806CF">
        <w:rPr>
          <w:rStyle w:val="SubtituloInterno1Car"/>
          <w:rFonts w:eastAsia="Calibri"/>
          <w:lang w:val="pt-BR"/>
        </w:rPr>
        <w:lastRenderedPageBreak/>
        <w:t>Proximidade/parentesco entre os Membros da Comunidade.</w:t>
      </w:r>
      <w:r w:rsidRPr="00A806CF">
        <w:rPr>
          <w:b/>
          <w:bCs/>
          <w:lang w:val="pt-BR"/>
        </w:rPr>
        <w:t xml:space="preserve"> </w:t>
      </w:r>
      <w:r w:rsidRPr="00A806CF">
        <w:rPr>
          <w:lang w:val="pt-BR"/>
        </w:rPr>
        <w:t>“São localidades onde todo mundo se conhece, todo mundo ali é muito próximo. Geralmente a maioria das pessoas são parentes. Então, quando acontece uma situação dessas, mexe com toda a comunidade. Atinge todo mundo, de forma direta e indireta.” (CT1 – Br);</w:t>
      </w:r>
    </w:p>
    <w:p w14:paraId="3C297DDE" w14:textId="77777777" w:rsidR="00A806CF" w:rsidRPr="00A806CF" w:rsidRDefault="00A806CF" w:rsidP="00A806CF">
      <w:pPr>
        <w:pStyle w:val="Prrafocomn"/>
        <w:rPr>
          <w:lang w:val="pt-BR"/>
        </w:rPr>
      </w:pPr>
      <w:r w:rsidRPr="00A806CF">
        <w:rPr>
          <w:i/>
          <w:iCs/>
          <w:lang w:val="pt-BR"/>
        </w:rPr>
        <w:t>Estatuto Social/Político do/a Agressor/a.</w:t>
      </w:r>
      <w:r w:rsidRPr="00A806CF">
        <w:rPr>
          <w:lang w:val="pt-BR"/>
        </w:rPr>
        <w:t xml:space="preserve"> “Ele [o suspeito] tem o padrinho político. Um vereador ou um deputado. Que tenta intervir no processo.” (CT3 – Br).</w:t>
      </w:r>
    </w:p>
    <w:p w14:paraId="1ECE7FC6" w14:textId="77777777" w:rsidR="00A806CF" w:rsidRPr="00A806CF" w:rsidRDefault="00A806CF" w:rsidP="00A806CF">
      <w:pPr>
        <w:pStyle w:val="Prrafocomn"/>
        <w:rPr>
          <w:i/>
          <w:iCs/>
          <w:lang w:val="pt-BR"/>
        </w:rPr>
      </w:pPr>
      <w:r w:rsidRPr="00A806CF">
        <w:rPr>
          <w:i/>
          <w:iCs/>
          <w:lang w:val="pt-BR"/>
        </w:rPr>
        <w:t>A Rede de Atendimento ao ASC</w:t>
      </w:r>
    </w:p>
    <w:p w14:paraId="73088566" w14:textId="77777777" w:rsidR="00A806CF" w:rsidRPr="00A806CF" w:rsidRDefault="00A806CF" w:rsidP="00A806CF">
      <w:pPr>
        <w:pStyle w:val="Prrafocomn"/>
        <w:rPr>
          <w:lang w:val="pt-BR"/>
        </w:rPr>
      </w:pPr>
      <w:r w:rsidRPr="00A806CF">
        <w:rPr>
          <w:lang w:val="pt-BR"/>
        </w:rPr>
        <w:t>Este tema integra fatores de risco identificados pelos/as profissionais no domínio de suas práticas e do funcionamento das instituições de atendimento às vítimas de ASC, sendo composto por quatro subtemas:</w:t>
      </w:r>
    </w:p>
    <w:p w14:paraId="28F29C48" w14:textId="77777777" w:rsidR="00A806CF" w:rsidRPr="00A806CF" w:rsidRDefault="00A806CF" w:rsidP="00A806CF">
      <w:pPr>
        <w:pStyle w:val="Prrafocomn"/>
        <w:rPr>
          <w:lang w:val="pt-BR"/>
        </w:rPr>
      </w:pPr>
      <w:r w:rsidRPr="00A806CF">
        <w:rPr>
          <w:i/>
          <w:iCs/>
          <w:lang w:val="pt-BR"/>
        </w:rPr>
        <w:t>Qualidade dos Atendimentos.</w:t>
      </w:r>
      <w:r w:rsidRPr="00A806CF">
        <w:rPr>
          <w:b/>
          <w:bCs/>
          <w:lang w:val="pt-BR"/>
        </w:rPr>
        <w:t xml:space="preserve"> </w:t>
      </w:r>
      <w:r w:rsidRPr="00A806CF">
        <w:rPr>
          <w:lang w:val="pt-BR"/>
        </w:rPr>
        <w:t>De acordo com os/as profissionais, a forma como os atendimentos (entrevistas, avaliações, atendimentos nas delegacias de polícia) são conduzidos nessas instituições, pode levar à negação do relato prévio por parte da criança:</w:t>
      </w:r>
    </w:p>
    <w:p w14:paraId="7E62444E" w14:textId="77777777" w:rsidR="00A806CF" w:rsidRPr="00A806CF" w:rsidRDefault="00A806CF" w:rsidP="00940996">
      <w:pPr>
        <w:pStyle w:val="Prrafocomn"/>
        <w:ind w:left="708" w:firstLine="0"/>
        <w:rPr>
          <w:lang w:val="pt-BR"/>
        </w:rPr>
      </w:pPr>
      <w:r w:rsidRPr="00A806CF">
        <w:rPr>
          <w:lang w:val="pt-BR"/>
        </w:rPr>
        <w:t xml:space="preserve">Sem falar nos fatores da inquirição (quem, como). Nós temos pessoas muito pouco especializadas a conduzir estas inquirições. Desde magistrados a culpabilizar a criança, magistrados a minimizar a situação de abuso. Portanto, a pôr em causa a veracidade daquilo que a criança alega: «por que a criança só disse isto mais tarde? Por que foi nesta altura?». (PSIC1 – </w:t>
      </w:r>
      <w:proofErr w:type="spellStart"/>
      <w:r w:rsidRPr="00A806CF">
        <w:rPr>
          <w:lang w:val="pt-BR"/>
        </w:rPr>
        <w:t>Pt</w:t>
      </w:r>
      <w:proofErr w:type="spellEnd"/>
      <w:r w:rsidRPr="00A806CF">
        <w:rPr>
          <w:lang w:val="pt-BR"/>
        </w:rPr>
        <w:t>)</w:t>
      </w:r>
    </w:p>
    <w:p w14:paraId="1AE34F7C" w14:textId="77777777" w:rsidR="00A806CF" w:rsidRPr="00A806CF" w:rsidRDefault="00A806CF" w:rsidP="00A806CF">
      <w:pPr>
        <w:pStyle w:val="Prrafocomn"/>
        <w:rPr>
          <w:lang w:val="pt-BR"/>
        </w:rPr>
      </w:pPr>
      <w:r w:rsidRPr="00A806CF">
        <w:rPr>
          <w:i/>
          <w:iCs/>
          <w:lang w:val="pt-BR"/>
        </w:rPr>
        <w:t>Retirada da Criança do Contexto de Vida Habitual.</w:t>
      </w:r>
      <w:r w:rsidRPr="00A806CF">
        <w:rPr>
          <w:b/>
          <w:bCs/>
          <w:lang w:val="pt-BR"/>
        </w:rPr>
        <w:t xml:space="preserve"> </w:t>
      </w:r>
      <w:r w:rsidRPr="00A806CF">
        <w:rPr>
          <w:lang w:val="pt-BR"/>
        </w:rPr>
        <w:t>Na perspectiva dos/as profissionais, a medida de retirada da criança do seu contexto de vida habitual (em detrimento da retirada do/a agressor/a), no seguimento da revelação do ASC, pode contribuir para o desenvolvimento da retratação:</w:t>
      </w:r>
    </w:p>
    <w:p w14:paraId="1D6D184C" w14:textId="77777777" w:rsidR="00A806CF" w:rsidRPr="00A806CF" w:rsidRDefault="00A806CF" w:rsidP="00940996">
      <w:pPr>
        <w:pStyle w:val="Prrafocomn"/>
        <w:ind w:left="708" w:firstLine="0"/>
        <w:rPr>
          <w:lang w:val="pt-BR"/>
        </w:rPr>
      </w:pPr>
      <w:r w:rsidRPr="00A806CF">
        <w:rPr>
          <w:lang w:val="pt-BR"/>
        </w:rPr>
        <w:t xml:space="preserve">Infelizmente, muitas vezes a criança é retirada do meio familiar quando o abusador está no meio familiar. Infelizmente, é a criança que sai do meio familiar. E é sobretudo um fator da pressão interna da criança quando, em consequência da revelação, quem vai sofrer uma alteração completa do seu meio é ela. É ela que é retirada. Em nome da sua proteção é retirada, muitas vezes, para um Centro de Acolhimento ou para algum outro familiar e perde as suas referências. (MAG2 – </w:t>
      </w:r>
      <w:proofErr w:type="spellStart"/>
      <w:r w:rsidRPr="00A806CF">
        <w:rPr>
          <w:lang w:val="pt-BR"/>
        </w:rPr>
        <w:t>Pt</w:t>
      </w:r>
      <w:proofErr w:type="spellEnd"/>
      <w:r w:rsidRPr="00A806CF">
        <w:rPr>
          <w:lang w:val="pt-BR"/>
        </w:rPr>
        <w:t>)</w:t>
      </w:r>
    </w:p>
    <w:p w14:paraId="7D49E3B0" w14:textId="77777777" w:rsidR="00A806CF" w:rsidRPr="00A806CF" w:rsidRDefault="00A806CF" w:rsidP="00A806CF">
      <w:pPr>
        <w:pStyle w:val="Prrafocomn"/>
        <w:rPr>
          <w:lang w:val="pt-BR"/>
        </w:rPr>
      </w:pPr>
      <w:r w:rsidRPr="00A806CF">
        <w:rPr>
          <w:i/>
          <w:iCs/>
          <w:lang w:val="pt-BR"/>
        </w:rPr>
        <w:t>Quantidade de Entrevistas Formais à Criança.</w:t>
      </w:r>
      <w:r w:rsidRPr="00A806CF">
        <w:rPr>
          <w:b/>
          <w:bCs/>
          <w:lang w:val="pt-BR"/>
        </w:rPr>
        <w:t xml:space="preserve"> </w:t>
      </w:r>
      <w:r w:rsidRPr="00A806CF">
        <w:rPr>
          <w:lang w:val="pt-BR"/>
        </w:rPr>
        <w:t>Os/as profissionais da psicologia, nos dois países, consideraram que a quantidade de entrevistas a que as crianças são submetidas desde a comunicação da suspeita de ASC às autoridades, pode contribuir para o desenvolvimento da retratação:</w:t>
      </w:r>
    </w:p>
    <w:p w14:paraId="16B0CD1A" w14:textId="77777777" w:rsidR="00A806CF" w:rsidRPr="00A806CF" w:rsidRDefault="00A806CF" w:rsidP="00940996">
      <w:pPr>
        <w:pStyle w:val="Prrafocomn"/>
        <w:ind w:left="708" w:firstLine="0"/>
        <w:rPr>
          <w:lang w:val="pt-BR"/>
        </w:rPr>
      </w:pPr>
      <w:r w:rsidRPr="00A806CF">
        <w:rPr>
          <w:lang w:val="pt-BR"/>
        </w:rPr>
        <w:lastRenderedPageBreak/>
        <w:t xml:space="preserve">Essas crianças já foram ouvidas por toda a gente. Já foram ouvidas na escola, já foram ouvidas pela polícia. Depois tem que se avaliar também no processo judicial, depois são ouvidas no hospital. Portanto, envolvem uma série de situações em que elas são ouvidas. (PSIC1 – </w:t>
      </w:r>
      <w:proofErr w:type="spellStart"/>
      <w:r w:rsidRPr="00A806CF">
        <w:rPr>
          <w:lang w:val="pt-BR"/>
        </w:rPr>
        <w:t>Pt</w:t>
      </w:r>
      <w:proofErr w:type="spellEnd"/>
      <w:r w:rsidRPr="00A806CF">
        <w:rPr>
          <w:lang w:val="pt-BR"/>
        </w:rPr>
        <w:t xml:space="preserve">)  </w:t>
      </w:r>
    </w:p>
    <w:p w14:paraId="17B92328" w14:textId="77777777" w:rsidR="00A806CF" w:rsidRDefault="00A806CF" w:rsidP="00A806CF">
      <w:pPr>
        <w:pStyle w:val="Prrafocomn"/>
        <w:rPr>
          <w:lang w:val="pt-BR"/>
        </w:rPr>
      </w:pPr>
      <w:r w:rsidRPr="00A806CF">
        <w:rPr>
          <w:i/>
          <w:iCs/>
          <w:lang w:val="pt-BR"/>
        </w:rPr>
        <w:t>Intervalo Temporal entre os Atendimentos (Entrevistas, Avaliações).</w:t>
      </w:r>
      <w:r w:rsidRPr="00A806CF">
        <w:rPr>
          <w:lang w:val="pt-BR"/>
        </w:rPr>
        <w:t xml:space="preserve"> Na perspectiva dos/as profissionais, o lapso temporal entre os procedimentos de entrevistas/inquirição e avaliações da criança podem contribuir para a retratação, pois colocaria a criança em maior suscetibilidade a pressões por um tempo mais longo. Além disso, a criança permaneceria mais tempo sem acesso a serviços de suporte pela rede, sendo ainda impactada ao nível da memória.  Estes aspectos podem ser observados nos relatos de uma assistente social brasileira: “Então, objetivamente, esse tempo, continua ainda sendo grande. Mas o tempo entre a revelação e a entrevista, isso pode contribuir para que tenha mais retratação ou um relato menos consistente. Ou até o esquecimento ou algo assim” (AS2 – Br).</w:t>
      </w:r>
    </w:p>
    <w:p w14:paraId="5159F1EF" w14:textId="77777777" w:rsidR="00505F4C" w:rsidRPr="00E82494" w:rsidRDefault="00505F4C" w:rsidP="00505F4C">
      <w:pPr>
        <w:pStyle w:val="SubtituloInterno"/>
        <w:rPr>
          <w:lang w:val="pt-BR"/>
        </w:rPr>
      </w:pPr>
      <w:r w:rsidRPr="00E82494">
        <w:rPr>
          <w:lang w:val="pt-BR"/>
        </w:rPr>
        <w:t>Fatores de Proteção que Diminuem a Possibilidade de Retratação</w:t>
      </w:r>
    </w:p>
    <w:p w14:paraId="02A32FF3" w14:textId="77777777" w:rsidR="00505F4C" w:rsidRPr="00505F4C" w:rsidRDefault="00505F4C" w:rsidP="00505F4C">
      <w:pPr>
        <w:pStyle w:val="Prrafocomn"/>
        <w:rPr>
          <w:lang w:val="pt-BR"/>
        </w:rPr>
      </w:pPr>
      <w:r w:rsidRPr="00505F4C">
        <w:rPr>
          <w:lang w:val="pt-BR"/>
        </w:rPr>
        <w:t>Os/as profissionais identificaram um conjunto de condições que podem evitar ou minimizar a ocorrência da retratação (Tabela 2). Estas condições foram organizadas em dois temas e respectivos subtemas:</w:t>
      </w:r>
    </w:p>
    <w:p w14:paraId="497333C0" w14:textId="77777777" w:rsidR="00505F4C" w:rsidRPr="00E82494" w:rsidRDefault="00505F4C" w:rsidP="00505F4C">
      <w:pPr>
        <w:pStyle w:val="SubtituloInterno1"/>
        <w:rPr>
          <w:lang w:val="pt-BR"/>
        </w:rPr>
      </w:pPr>
      <w:r w:rsidRPr="00E82494">
        <w:rPr>
          <w:lang w:val="pt-BR"/>
        </w:rPr>
        <w:t>Procedimentos de Atendimento</w:t>
      </w:r>
    </w:p>
    <w:p w14:paraId="6395289D" w14:textId="77777777" w:rsidR="00505F4C" w:rsidRPr="00505F4C" w:rsidRDefault="00505F4C" w:rsidP="00505F4C">
      <w:pPr>
        <w:pStyle w:val="Prrafocomn"/>
        <w:rPr>
          <w:lang w:val="pt-BR"/>
        </w:rPr>
      </w:pPr>
      <w:r w:rsidRPr="00505F4C">
        <w:rPr>
          <w:lang w:val="pt-BR"/>
        </w:rPr>
        <w:t>Este tema engloba os procedimentos aplicados pelos/as profissionais, em suas respectivas funções, durante o acompanhamento dos casos de ASC.</w:t>
      </w:r>
    </w:p>
    <w:p w14:paraId="6C43F409" w14:textId="77777777" w:rsidR="00505F4C" w:rsidRPr="00505F4C" w:rsidRDefault="00505F4C" w:rsidP="00505F4C">
      <w:pPr>
        <w:pStyle w:val="Prrafocomn"/>
        <w:rPr>
          <w:lang w:val="pt-BR"/>
        </w:rPr>
      </w:pPr>
      <w:r w:rsidRPr="00505F4C">
        <w:rPr>
          <w:i/>
          <w:iCs/>
          <w:lang w:val="pt-BR"/>
        </w:rPr>
        <w:t>Antecipação da Entrevista à Criança.</w:t>
      </w:r>
      <w:r w:rsidRPr="00505F4C">
        <w:rPr>
          <w:b/>
          <w:bCs/>
          <w:lang w:val="pt-BR"/>
        </w:rPr>
        <w:t xml:space="preserve"> </w:t>
      </w:r>
      <w:r w:rsidRPr="00505F4C">
        <w:rPr>
          <w:lang w:val="pt-BR"/>
        </w:rPr>
        <w:t>Este subtema refere-se à possibilidade de se implementar procedimentos de recolha do relato da criança (por profissional habilitado e em local adequado), tão logo o caso seja comunicado às autoridades, de maneira a minimizar o lapso temporal desde a primeira revelação e/ou episódio de ASC:</w:t>
      </w:r>
    </w:p>
    <w:p w14:paraId="551AB61A" w14:textId="620EC84F" w:rsidR="00505F4C" w:rsidRDefault="00505F4C" w:rsidP="00940996">
      <w:pPr>
        <w:pStyle w:val="Prrafocomn"/>
        <w:ind w:left="708" w:firstLine="0"/>
        <w:rPr>
          <w:b/>
          <w:bCs/>
          <w:lang w:val="pt-BR"/>
        </w:rPr>
      </w:pPr>
      <w:r w:rsidRPr="00505F4C">
        <w:rPr>
          <w:lang w:val="pt-BR"/>
        </w:rPr>
        <w:t xml:space="preserve">Eu acho que a principal [medida] seria encurtar ainda mais esse tempo, esse intervalo entre a denúncia e o depoimento da vítima, judicialmente. Eu acho, assim, que se pudesse ser feito 24 horas, 48 horas depois, isso facilitaria muito, porque evitaria ainda da família, da criança estar sofrendo toda a pressão. Acho que diminuiria as retratações. Porque todas as variáveis que estão envolvidas não </w:t>
      </w:r>
      <w:r w:rsidRPr="00505F4C">
        <w:rPr>
          <w:lang w:val="pt-BR"/>
        </w:rPr>
        <w:lastRenderedPageBreak/>
        <w:t>teriam tido tanto tempo para estar influenciando, afetando, de certa forma, essa situação. (PSIC1 – Br)</w:t>
      </w:r>
    </w:p>
    <w:p w14:paraId="76A1FCFF" w14:textId="375B8A7E" w:rsidR="00A806CF" w:rsidRPr="00505F4C" w:rsidRDefault="00A806CF" w:rsidP="00A806CF">
      <w:pPr>
        <w:pStyle w:val="Standard"/>
        <w:spacing w:line="360" w:lineRule="auto"/>
        <w:jc w:val="both"/>
        <w:rPr>
          <w:b/>
          <w:bCs/>
        </w:rPr>
      </w:pPr>
      <w:r w:rsidRPr="00505F4C">
        <w:rPr>
          <w:b/>
          <w:bCs/>
        </w:rPr>
        <w:t>Tabela 1</w:t>
      </w:r>
    </w:p>
    <w:p w14:paraId="3F73B7FA" w14:textId="77777777" w:rsidR="00A806CF" w:rsidRPr="00FD7C30" w:rsidRDefault="00A806CF" w:rsidP="00A806CF">
      <w:pPr>
        <w:pStyle w:val="Standard"/>
        <w:spacing w:line="360" w:lineRule="auto"/>
        <w:jc w:val="both"/>
      </w:pPr>
      <w:r w:rsidRPr="00FD7C30">
        <w:rPr>
          <w:rStyle w:val="Tipodeletrapredefinidodopargrafo"/>
          <w:i/>
          <w:iCs/>
        </w:rPr>
        <w:t>Temas e Subtemas de Fatores de Risco e Respetivas Ocorrências</w:t>
      </w:r>
    </w:p>
    <w:tbl>
      <w:tblPr>
        <w:tblW w:w="5000" w:type="pct"/>
        <w:tblLayout w:type="fixed"/>
        <w:tblCellMar>
          <w:left w:w="10" w:type="dxa"/>
          <w:right w:w="10" w:type="dxa"/>
        </w:tblCellMar>
        <w:tblLook w:val="0000" w:firstRow="0" w:lastRow="0" w:firstColumn="0" w:lastColumn="0" w:noHBand="0" w:noVBand="0"/>
      </w:tblPr>
      <w:tblGrid>
        <w:gridCol w:w="1278"/>
        <w:gridCol w:w="1701"/>
        <w:gridCol w:w="769"/>
        <w:gridCol w:w="794"/>
        <w:gridCol w:w="794"/>
        <w:gridCol w:w="794"/>
        <w:gridCol w:w="794"/>
        <w:gridCol w:w="794"/>
        <w:gridCol w:w="786"/>
      </w:tblGrid>
      <w:tr w:rsidR="00A806CF" w:rsidRPr="00A806CF" w14:paraId="35198521" w14:textId="77777777" w:rsidTr="00940996">
        <w:tc>
          <w:tcPr>
            <w:tcW w:w="751" w:type="pct"/>
            <w:tcBorders>
              <w:top w:val="single" w:sz="4" w:space="0" w:color="000000"/>
              <w:bottom w:val="single" w:sz="4" w:space="0" w:color="FFFFFF"/>
            </w:tcBorders>
            <w:tcMar>
              <w:top w:w="0" w:type="dxa"/>
              <w:left w:w="108" w:type="dxa"/>
              <w:bottom w:w="0" w:type="dxa"/>
              <w:right w:w="108" w:type="dxa"/>
            </w:tcMar>
          </w:tcPr>
          <w:p w14:paraId="5565B6AE" w14:textId="77777777" w:rsidR="00A806CF" w:rsidRPr="00A806CF" w:rsidRDefault="00A806CF" w:rsidP="00642325">
            <w:pPr>
              <w:pStyle w:val="Standard"/>
              <w:snapToGrid w:val="0"/>
              <w:jc w:val="both"/>
              <w:rPr>
                <w:b/>
                <w:bCs/>
                <w:sz w:val="20"/>
                <w:szCs w:val="20"/>
              </w:rPr>
            </w:pPr>
          </w:p>
        </w:tc>
        <w:tc>
          <w:tcPr>
            <w:tcW w:w="1000" w:type="pct"/>
            <w:tcBorders>
              <w:top w:val="single" w:sz="4" w:space="0" w:color="000000"/>
              <w:bottom w:val="single" w:sz="4" w:space="0" w:color="FFFFFF"/>
            </w:tcBorders>
            <w:tcMar>
              <w:top w:w="0" w:type="dxa"/>
              <w:left w:w="108" w:type="dxa"/>
              <w:bottom w:w="0" w:type="dxa"/>
              <w:right w:w="108" w:type="dxa"/>
            </w:tcMar>
          </w:tcPr>
          <w:p w14:paraId="3A1E0847" w14:textId="77777777" w:rsidR="00A806CF" w:rsidRPr="00A806CF" w:rsidRDefault="00A806CF" w:rsidP="00642325">
            <w:pPr>
              <w:pStyle w:val="Standard"/>
              <w:snapToGrid w:val="0"/>
              <w:jc w:val="both"/>
              <w:rPr>
                <w:b/>
                <w:bCs/>
                <w:sz w:val="20"/>
                <w:szCs w:val="20"/>
              </w:rPr>
            </w:pPr>
          </w:p>
        </w:tc>
        <w:tc>
          <w:tcPr>
            <w:tcW w:w="3250" w:type="pct"/>
            <w:gridSpan w:val="7"/>
            <w:tcBorders>
              <w:top w:val="single" w:sz="4" w:space="0" w:color="000000"/>
              <w:bottom w:val="single" w:sz="4" w:space="0" w:color="FFFFFF"/>
            </w:tcBorders>
            <w:tcMar>
              <w:top w:w="0" w:type="dxa"/>
              <w:left w:w="108" w:type="dxa"/>
              <w:bottom w:w="0" w:type="dxa"/>
              <w:right w:w="108" w:type="dxa"/>
            </w:tcMar>
          </w:tcPr>
          <w:p w14:paraId="2D30682E" w14:textId="77777777" w:rsidR="00A806CF" w:rsidRPr="00A806CF" w:rsidRDefault="00A806CF" w:rsidP="00642325">
            <w:pPr>
              <w:pStyle w:val="Standard"/>
              <w:jc w:val="center"/>
              <w:rPr>
                <w:b/>
                <w:bCs/>
                <w:sz w:val="20"/>
                <w:szCs w:val="20"/>
              </w:rPr>
            </w:pPr>
            <w:r w:rsidRPr="00A806CF">
              <w:rPr>
                <w:b/>
                <w:bCs/>
                <w:sz w:val="20"/>
                <w:szCs w:val="20"/>
              </w:rPr>
              <w:t>Profissionais</w:t>
            </w:r>
          </w:p>
        </w:tc>
      </w:tr>
      <w:tr w:rsidR="00A806CF" w:rsidRPr="00A806CF" w14:paraId="260C1A52" w14:textId="77777777" w:rsidTr="00940996">
        <w:tc>
          <w:tcPr>
            <w:tcW w:w="751" w:type="pct"/>
            <w:tcBorders>
              <w:top w:val="single" w:sz="4" w:space="0" w:color="FFFFFF"/>
              <w:bottom w:val="single" w:sz="4" w:space="0" w:color="FFFFFF"/>
            </w:tcBorders>
            <w:tcMar>
              <w:top w:w="0" w:type="dxa"/>
              <w:left w:w="108" w:type="dxa"/>
              <w:bottom w:w="0" w:type="dxa"/>
              <w:right w:w="108" w:type="dxa"/>
            </w:tcMar>
          </w:tcPr>
          <w:p w14:paraId="2F15035A" w14:textId="77777777" w:rsidR="00A806CF" w:rsidRPr="00A806CF" w:rsidRDefault="00A806CF" w:rsidP="00642325">
            <w:pPr>
              <w:pStyle w:val="Standard"/>
              <w:snapToGrid w:val="0"/>
              <w:jc w:val="center"/>
              <w:rPr>
                <w:b/>
                <w:bCs/>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542E6EA8" w14:textId="77777777" w:rsidR="00A806CF" w:rsidRPr="00A806CF" w:rsidRDefault="00A806CF" w:rsidP="00642325">
            <w:pPr>
              <w:pStyle w:val="Standard"/>
              <w:snapToGrid w:val="0"/>
              <w:jc w:val="center"/>
              <w:rPr>
                <w:b/>
                <w:bCs/>
                <w:sz w:val="20"/>
                <w:szCs w:val="20"/>
              </w:rPr>
            </w:pPr>
          </w:p>
        </w:tc>
        <w:tc>
          <w:tcPr>
            <w:tcW w:w="2319" w:type="pct"/>
            <w:gridSpan w:val="5"/>
            <w:tcBorders>
              <w:top w:val="single" w:sz="4" w:space="0" w:color="FFFFFF"/>
              <w:bottom w:val="single" w:sz="4" w:space="0" w:color="FFFFFF"/>
            </w:tcBorders>
            <w:tcMar>
              <w:top w:w="0" w:type="dxa"/>
              <w:left w:w="108" w:type="dxa"/>
              <w:bottom w:w="0" w:type="dxa"/>
              <w:right w:w="108" w:type="dxa"/>
            </w:tcMar>
          </w:tcPr>
          <w:p w14:paraId="14581081" w14:textId="77777777" w:rsidR="00A806CF" w:rsidRPr="00A806CF" w:rsidRDefault="00A806CF" w:rsidP="00642325">
            <w:pPr>
              <w:pStyle w:val="Standard"/>
              <w:jc w:val="center"/>
              <w:rPr>
                <w:sz w:val="20"/>
                <w:szCs w:val="20"/>
              </w:rPr>
            </w:pPr>
            <w:r w:rsidRPr="00A806CF">
              <w:rPr>
                <w:sz w:val="20"/>
                <w:szCs w:val="20"/>
              </w:rPr>
              <w:t>Brasil</w:t>
            </w:r>
          </w:p>
        </w:tc>
        <w:tc>
          <w:tcPr>
            <w:tcW w:w="931" w:type="pct"/>
            <w:gridSpan w:val="2"/>
            <w:tcBorders>
              <w:top w:val="single" w:sz="4" w:space="0" w:color="FFFFFF"/>
              <w:bottom w:val="single" w:sz="4" w:space="0" w:color="FFFFFF"/>
            </w:tcBorders>
            <w:tcMar>
              <w:top w:w="0" w:type="dxa"/>
              <w:left w:w="108" w:type="dxa"/>
              <w:bottom w:w="0" w:type="dxa"/>
              <w:right w:w="108" w:type="dxa"/>
            </w:tcMar>
          </w:tcPr>
          <w:p w14:paraId="117DE6CE" w14:textId="77777777" w:rsidR="00A806CF" w:rsidRPr="00A806CF" w:rsidRDefault="00A806CF" w:rsidP="00642325">
            <w:pPr>
              <w:pStyle w:val="Standard"/>
              <w:jc w:val="center"/>
              <w:rPr>
                <w:sz w:val="20"/>
                <w:szCs w:val="20"/>
              </w:rPr>
            </w:pPr>
            <w:r w:rsidRPr="00A806CF">
              <w:rPr>
                <w:sz w:val="20"/>
                <w:szCs w:val="20"/>
              </w:rPr>
              <w:t>Portugal</w:t>
            </w:r>
          </w:p>
        </w:tc>
      </w:tr>
      <w:tr w:rsidR="00A806CF" w:rsidRPr="00A806CF" w14:paraId="3CCDE744" w14:textId="77777777" w:rsidTr="00940996">
        <w:trPr>
          <w:trHeight w:val="431"/>
        </w:trPr>
        <w:tc>
          <w:tcPr>
            <w:tcW w:w="751" w:type="pct"/>
            <w:tcBorders>
              <w:top w:val="single" w:sz="4" w:space="0" w:color="FFFFFF"/>
              <w:bottom w:val="single" w:sz="4" w:space="0" w:color="FFFFFF"/>
            </w:tcBorders>
            <w:tcMar>
              <w:top w:w="0" w:type="dxa"/>
              <w:left w:w="108" w:type="dxa"/>
              <w:bottom w:w="0" w:type="dxa"/>
              <w:right w:w="108" w:type="dxa"/>
            </w:tcMar>
          </w:tcPr>
          <w:p w14:paraId="395A7915" w14:textId="77777777" w:rsidR="00A806CF" w:rsidRPr="00A806CF" w:rsidRDefault="00A806CF" w:rsidP="00642325">
            <w:pPr>
              <w:pStyle w:val="Standard"/>
              <w:snapToGrid w:val="0"/>
              <w:jc w:val="center"/>
              <w:rPr>
                <w:b/>
                <w:bCs/>
                <w:sz w:val="20"/>
                <w:szCs w:val="20"/>
              </w:rPr>
            </w:pPr>
          </w:p>
          <w:p w14:paraId="5EE3E46F" w14:textId="77777777" w:rsidR="00A806CF" w:rsidRPr="00A806CF" w:rsidRDefault="00A806CF" w:rsidP="00642325">
            <w:pPr>
              <w:pStyle w:val="Standard"/>
              <w:jc w:val="center"/>
              <w:rPr>
                <w:b/>
                <w:bCs/>
                <w:sz w:val="20"/>
                <w:szCs w:val="20"/>
              </w:rPr>
            </w:pPr>
            <w:r w:rsidRPr="00A806CF">
              <w:rPr>
                <w:b/>
                <w:bCs/>
                <w:sz w:val="20"/>
                <w:szCs w:val="20"/>
              </w:rPr>
              <w:t>Tema</w:t>
            </w:r>
          </w:p>
        </w:tc>
        <w:tc>
          <w:tcPr>
            <w:tcW w:w="1000" w:type="pct"/>
            <w:tcBorders>
              <w:top w:val="single" w:sz="4" w:space="0" w:color="FFFFFF"/>
              <w:bottom w:val="single" w:sz="4" w:space="0" w:color="FFFFFF"/>
            </w:tcBorders>
            <w:tcMar>
              <w:top w:w="0" w:type="dxa"/>
              <w:left w:w="108" w:type="dxa"/>
              <w:bottom w:w="0" w:type="dxa"/>
              <w:right w:w="108" w:type="dxa"/>
            </w:tcMar>
          </w:tcPr>
          <w:p w14:paraId="67BF4CF0" w14:textId="77777777" w:rsidR="00A806CF" w:rsidRPr="00A806CF" w:rsidRDefault="00A806CF" w:rsidP="00642325">
            <w:pPr>
              <w:pStyle w:val="Standard"/>
              <w:snapToGrid w:val="0"/>
              <w:jc w:val="center"/>
              <w:rPr>
                <w:b/>
                <w:bCs/>
                <w:sz w:val="20"/>
                <w:szCs w:val="20"/>
              </w:rPr>
            </w:pPr>
          </w:p>
          <w:p w14:paraId="30F7927E" w14:textId="77777777" w:rsidR="00A806CF" w:rsidRPr="00A806CF" w:rsidRDefault="00A806CF" w:rsidP="00642325">
            <w:pPr>
              <w:pStyle w:val="Standard"/>
              <w:jc w:val="center"/>
              <w:rPr>
                <w:b/>
                <w:bCs/>
                <w:sz w:val="20"/>
                <w:szCs w:val="20"/>
              </w:rPr>
            </w:pPr>
            <w:r w:rsidRPr="00A806CF">
              <w:rPr>
                <w:b/>
                <w:bCs/>
                <w:sz w:val="20"/>
                <w:szCs w:val="20"/>
              </w:rPr>
              <w:t>Subtema</w:t>
            </w:r>
          </w:p>
        </w:tc>
        <w:tc>
          <w:tcPr>
            <w:tcW w:w="452" w:type="pct"/>
            <w:tcBorders>
              <w:top w:val="single" w:sz="4" w:space="0" w:color="FFFFFF"/>
              <w:bottom w:val="single" w:sz="4" w:space="0" w:color="000000"/>
            </w:tcBorders>
            <w:tcMar>
              <w:top w:w="0" w:type="dxa"/>
              <w:left w:w="108" w:type="dxa"/>
              <w:bottom w:w="0" w:type="dxa"/>
              <w:right w:w="108" w:type="dxa"/>
            </w:tcMar>
          </w:tcPr>
          <w:p w14:paraId="24BBB68E" w14:textId="77777777" w:rsidR="00A806CF" w:rsidRPr="00A806CF" w:rsidRDefault="00A806CF" w:rsidP="00642325">
            <w:pPr>
              <w:pStyle w:val="Standard"/>
              <w:jc w:val="center"/>
              <w:rPr>
                <w:sz w:val="20"/>
                <w:szCs w:val="20"/>
              </w:rPr>
            </w:pPr>
            <w:r w:rsidRPr="00A806CF">
              <w:rPr>
                <w:sz w:val="20"/>
                <w:szCs w:val="20"/>
              </w:rPr>
              <w:t>AS</w:t>
            </w:r>
          </w:p>
          <w:p w14:paraId="505723B3"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=05)</w:t>
            </w:r>
          </w:p>
        </w:tc>
        <w:tc>
          <w:tcPr>
            <w:tcW w:w="467" w:type="pct"/>
            <w:tcBorders>
              <w:top w:val="single" w:sz="4" w:space="0" w:color="FFFFFF"/>
              <w:bottom w:val="single" w:sz="4" w:space="0" w:color="000000"/>
            </w:tcBorders>
            <w:tcMar>
              <w:top w:w="0" w:type="dxa"/>
              <w:left w:w="108" w:type="dxa"/>
              <w:bottom w:w="0" w:type="dxa"/>
              <w:right w:w="108" w:type="dxa"/>
            </w:tcMar>
          </w:tcPr>
          <w:p w14:paraId="3A017A1F" w14:textId="77777777" w:rsidR="00A806CF" w:rsidRPr="00A806CF" w:rsidRDefault="00A806CF" w:rsidP="00642325">
            <w:pPr>
              <w:pStyle w:val="Standard"/>
              <w:jc w:val="center"/>
              <w:rPr>
                <w:sz w:val="20"/>
                <w:szCs w:val="20"/>
              </w:rPr>
            </w:pPr>
            <w:r w:rsidRPr="00A806CF">
              <w:rPr>
                <w:sz w:val="20"/>
                <w:szCs w:val="20"/>
              </w:rPr>
              <w:t>CT</w:t>
            </w:r>
          </w:p>
          <w:p w14:paraId="65B6C6E9"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=05)</w:t>
            </w:r>
          </w:p>
        </w:tc>
        <w:tc>
          <w:tcPr>
            <w:tcW w:w="467" w:type="pct"/>
            <w:tcBorders>
              <w:top w:val="single" w:sz="4" w:space="0" w:color="FFFFFF"/>
              <w:bottom w:val="single" w:sz="4" w:space="0" w:color="000000"/>
            </w:tcBorders>
            <w:tcMar>
              <w:top w:w="0" w:type="dxa"/>
              <w:left w:w="108" w:type="dxa"/>
              <w:bottom w:w="0" w:type="dxa"/>
              <w:right w:w="108" w:type="dxa"/>
            </w:tcMar>
          </w:tcPr>
          <w:p w14:paraId="2FF9B5B5" w14:textId="77777777" w:rsidR="00A806CF" w:rsidRPr="00A806CF" w:rsidRDefault="00A806CF" w:rsidP="00642325">
            <w:pPr>
              <w:pStyle w:val="Standard"/>
              <w:jc w:val="center"/>
              <w:rPr>
                <w:sz w:val="20"/>
                <w:szCs w:val="20"/>
              </w:rPr>
            </w:pPr>
            <w:r w:rsidRPr="00A806CF">
              <w:rPr>
                <w:sz w:val="20"/>
                <w:szCs w:val="20"/>
              </w:rPr>
              <w:t>MAG</w:t>
            </w:r>
          </w:p>
          <w:p w14:paraId="19BCAB29"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=03)</w:t>
            </w:r>
          </w:p>
        </w:tc>
        <w:tc>
          <w:tcPr>
            <w:tcW w:w="467" w:type="pct"/>
            <w:tcBorders>
              <w:top w:val="single" w:sz="4" w:space="0" w:color="FFFFFF"/>
              <w:bottom w:val="single" w:sz="4" w:space="0" w:color="000000"/>
            </w:tcBorders>
            <w:tcMar>
              <w:top w:w="0" w:type="dxa"/>
              <w:left w:w="108" w:type="dxa"/>
              <w:bottom w:w="0" w:type="dxa"/>
              <w:right w:w="108" w:type="dxa"/>
            </w:tcMar>
          </w:tcPr>
          <w:p w14:paraId="75FF0587" w14:textId="77777777" w:rsidR="00A806CF" w:rsidRPr="00A806CF" w:rsidRDefault="00A806CF" w:rsidP="00642325">
            <w:pPr>
              <w:pStyle w:val="Standard"/>
              <w:jc w:val="center"/>
              <w:rPr>
                <w:sz w:val="20"/>
                <w:szCs w:val="20"/>
              </w:rPr>
            </w:pPr>
            <w:r w:rsidRPr="00A806CF">
              <w:rPr>
                <w:sz w:val="20"/>
                <w:szCs w:val="20"/>
              </w:rPr>
              <w:t>PED</w:t>
            </w:r>
          </w:p>
          <w:p w14:paraId="538410BD"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=01)</w:t>
            </w:r>
          </w:p>
        </w:tc>
        <w:tc>
          <w:tcPr>
            <w:tcW w:w="467" w:type="pct"/>
            <w:tcBorders>
              <w:top w:val="single" w:sz="4" w:space="0" w:color="FFFFFF"/>
              <w:bottom w:val="single" w:sz="4" w:space="0" w:color="000000"/>
            </w:tcBorders>
            <w:tcMar>
              <w:top w:w="0" w:type="dxa"/>
              <w:left w:w="108" w:type="dxa"/>
              <w:bottom w:w="0" w:type="dxa"/>
              <w:right w:w="108" w:type="dxa"/>
            </w:tcMar>
          </w:tcPr>
          <w:p w14:paraId="0C8316E1" w14:textId="77777777" w:rsidR="00A806CF" w:rsidRPr="00A806CF" w:rsidRDefault="00A806CF" w:rsidP="00642325">
            <w:pPr>
              <w:pStyle w:val="Standard"/>
              <w:jc w:val="center"/>
              <w:rPr>
                <w:sz w:val="20"/>
                <w:szCs w:val="20"/>
              </w:rPr>
            </w:pPr>
            <w:r w:rsidRPr="00A806CF">
              <w:rPr>
                <w:sz w:val="20"/>
                <w:szCs w:val="20"/>
              </w:rPr>
              <w:t>PSIC</w:t>
            </w:r>
          </w:p>
          <w:p w14:paraId="1C115EA7"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=03)</w:t>
            </w:r>
          </w:p>
        </w:tc>
        <w:tc>
          <w:tcPr>
            <w:tcW w:w="467" w:type="pct"/>
            <w:tcBorders>
              <w:top w:val="single" w:sz="4" w:space="0" w:color="FFFFFF"/>
              <w:bottom w:val="single" w:sz="4" w:space="0" w:color="000000"/>
            </w:tcBorders>
            <w:tcMar>
              <w:top w:w="0" w:type="dxa"/>
              <w:left w:w="108" w:type="dxa"/>
              <w:bottom w:w="0" w:type="dxa"/>
              <w:right w:w="108" w:type="dxa"/>
            </w:tcMar>
          </w:tcPr>
          <w:p w14:paraId="6168E6E3" w14:textId="77777777" w:rsidR="00A806CF" w:rsidRPr="00A806CF" w:rsidRDefault="00A806CF" w:rsidP="00642325">
            <w:pPr>
              <w:pStyle w:val="Standard"/>
              <w:jc w:val="center"/>
              <w:rPr>
                <w:sz w:val="20"/>
                <w:szCs w:val="20"/>
              </w:rPr>
            </w:pPr>
            <w:r w:rsidRPr="00A806CF">
              <w:rPr>
                <w:sz w:val="20"/>
                <w:szCs w:val="20"/>
              </w:rPr>
              <w:t>MAG</w:t>
            </w:r>
          </w:p>
          <w:p w14:paraId="106E717A"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=04)</w:t>
            </w:r>
          </w:p>
        </w:tc>
        <w:tc>
          <w:tcPr>
            <w:tcW w:w="464" w:type="pct"/>
            <w:tcBorders>
              <w:top w:val="single" w:sz="4" w:space="0" w:color="FFFFFF"/>
              <w:bottom w:val="single" w:sz="4" w:space="0" w:color="000000"/>
            </w:tcBorders>
            <w:tcMar>
              <w:top w:w="0" w:type="dxa"/>
              <w:left w:w="108" w:type="dxa"/>
              <w:bottom w:w="0" w:type="dxa"/>
              <w:right w:w="108" w:type="dxa"/>
            </w:tcMar>
          </w:tcPr>
          <w:p w14:paraId="78041515" w14:textId="77777777" w:rsidR="00A806CF" w:rsidRPr="00A806CF" w:rsidRDefault="00A806CF" w:rsidP="00642325">
            <w:pPr>
              <w:pStyle w:val="Standard"/>
              <w:jc w:val="center"/>
              <w:rPr>
                <w:sz w:val="20"/>
                <w:szCs w:val="20"/>
              </w:rPr>
            </w:pPr>
            <w:r w:rsidRPr="00A806CF">
              <w:rPr>
                <w:sz w:val="20"/>
                <w:szCs w:val="20"/>
              </w:rPr>
              <w:t>PSIC</w:t>
            </w:r>
          </w:p>
          <w:p w14:paraId="4FA9B692" w14:textId="77777777" w:rsidR="00A806CF" w:rsidRPr="00A806CF" w:rsidRDefault="00A806CF" w:rsidP="00642325">
            <w:pPr>
              <w:pStyle w:val="Standard"/>
              <w:jc w:val="center"/>
              <w:rPr>
                <w:sz w:val="20"/>
                <w:szCs w:val="20"/>
              </w:rPr>
            </w:pPr>
            <w:r w:rsidRPr="00A806CF">
              <w:rPr>
                <w:rStyle w:val="Tipodeletrapredefinidodopargrafo"/>
                <w:sz w:val="20"/>
                <w:szCs w:val="20"/>
              </w:rPr>
              <w:t>(</w:t>
            </w:r>
            <w:r w:rsidRPr="00A806CF">
              <w:rPr>
                <w:rStyle w:val="Tipodeletrapredefinidodopargrafo"/>
                <w:i/>
                <w:iCs/>
                <w:sz w:val="20"/>
                <w:szCs w:val="20"/>
              </w:rPr>
              <w:t>n</w:t>
            </w:r>
            <w:r w:rsidRPr="00A806CF">
              <w:rPr>
                <w:rStyle w:val="Tipodeletrapredefinidodopargrafo"/>
                <w:sz w:val="20"/>
                <w:szCs w:val="20"/>
              </w:rPr>
              <w:t>=02)</w:t>
            </w:r>
          </w:p>
        </w:tc>
      </w:tr>
      <w:tr w:rsidR="00A806CF" w:rsidRPr="00A806CF" w14:paraId="4B64CBC9" w14:textId="77777777" w:rsidTr="00940996">
        <w:tc>
          <w:tcPr>
            <w:tcW w:w="751" w:type="pct"/>
            <w:vMerge w:val="restart"/>
            <w:tcBorders>
              <w:top w:val="single" w:sz="4" w:space="0" w:color="FFFFFF"/>
              <w:bottom w:val="single" w:sz="4" w:space="0" w:color="808080"/>
            </w:tcBorders>
            <w:tcMar>
              <w:top w:w="0" w:type="dxa"/>
              <w:left w:w="108" w:type="dxa"/>
              <w:bottom w:w="0" w:type="dxa"/>
              <w:right w:w="108" w:type="dxa"/>
            </w:tcMar>
          </w:tcPr>
          <w:p w14:paraId="422DE894" w14:textId="77777777" w:rsidR="00A806CF" w:rsidRPr="00A806CF" w:rsidRDefault="00A806CF" w:rsidP="00642325">
            <w:pPr>
              <w:pStyle w:val="Standard"/>
              <w:snapToGrid w:val="0"/>
              <w:jc w:val="center"/>
              <w:rPr>
                <w:sz w:val="20"/>
                <w:szCs w:val="20"/>
              </w:rPr>
            </w:pPr>
          </w:p>
          <w:p w14:paraId="76405D8A" w14:textId="77777777" w:rsidR="00A806CF" w:rsidRPr="00A806CF" w:rsidRDefault="00A806CF" w:rsidP="00642325">
            <w:pPr>
              <w:pStyle w:val="Standard"/>
              <w:jc w:val="center"/>
              <w:rPr>
                <w:sz w:val="20"/>
                <w:szCs w:val="20"/>
              </w:rPr>
            </w:pPr>
            <w:r w:rsidRPr="00A806CF">
              <w:rPr>
                <w:sz w:val="20"/>
                <w:szCs w:val="20"/>
              </w:rPr>
              <w:t>Condições relacionadas com a criança</w:t>
            </w:r>
          </w:p>
        </w:tc>
        <w:tc>
          <w:tcPr>
            <w:tcW w:w="1000" w:type="pct"/>
            <w:tcBorders>
              <w:top w:val="single" w:sz="4" w:space="0" w:color="FFFFFF"/>
              <w:bottom w:val="single" w:sz="4" w:space="0" w:color="FFFFFF"/>
            </w:tcBorders>
            <w:tcMar>
              <w:top w:w="0" w:type="dxa"/>
              <w:left w:w="108" w:type="dxa"/>
              <w:bottom w:w="0" w:type="dxa"/>
              <w:right w:w="108" w:type="dxa"/>
            </w:tcMar>
          </w:tcPr>
          <w:p w14:paraId="1E5166EE" w14:textId="77777777" w:rsidR="00A806CF" w:rsidRPr="00A806CF" w:rsidRDefault="00A806CF" w:rsidP="00642325">
            <w:pPr>
              <w:pStyle w:val="Standard"/>
              <w:jc w:val="center"/>
              <w:rPr>
                <w:sz w:val="20"/>
                <w:szCs w:val="20"/>
              </w:rPr>
            </w:pPr>
            <w:r w:rsidRPr="00A806CF">
              <w:rPr>
                <w:sz w:val="20"/>
                <w:szCs w:val="20"/>
              </w:rPr>
              <w:t>Medo</w:t>
            </w:r>
          </w:p>
        </w:tc>
        <w:tc>
          <w:tcPr>
            <w:tcW w:w="452" w:type="pct"/>
            <w:tcBorders>
              <w:top w:val="single" w:sz="4" w:space="0" w:color="000000"/>
              <w:bottom w:val="single" w:sz="4" w:space="0" w:color="FFFFFF"/>
            </w:tcBorders>
            <w:tcMar>
              <w:top w:w="0" w:type="dxa"/>
              <w:left w:w="108" w:type="dxa"/>
              <w:bottom w:w="0" w:type="dxa"/>
              <w:right w:w="108" w:type="dxa"/>
            </w:tcMar>
          </w:tcPr>
          <w:p w14:paraId="33E66C3D" w14:textId="77777777" w:rsidR="00A806CF" w:rsidRPr="00A806CF" w:rsidRDefault="00A806CF" w:rsidP="00642325">
            <w:pPr>
              <w:pStyle w:val="Standard"/>
              <w:jc w:val="center"/>
              <w:rPr>
                <w:sz w:val="20"/>
                <w:szCs w:val="20"/>
              </w:rPr>
            </w:pPr>
            <w:r w:rsidRPr="00A806CF">
              <w:rPr>
                <w:sz w:val="20"/>
                <w:szCs w:val="20"/>
              </w:rPr>
              <w:t>09</w:t>
            </w:r>
          </w:p>
        </w:tc>
        <w:tc>
          <w:tcPr>
            <w:tcW w:w="467" w:type="pct"/>
            <w:tcBorders>
              <w:top w:val="single" w:sz="4" w:space="0" w:color="000000"/>
              <w:bottom w:val="single" w:sz="4" w:space="0" w:color="FFFFFF"/>
            </w:tcBorders>
            <w:tcMar>
              <w:top w:w="0" w:type="dxa"/>
              <w:left w:w="108" w:type="dxa"/>
              <w:bottom w:w="0" w:type="dxa"/>
              <w:right w:w="108" w:type="dxa"/>
            </w:tcMar>
          </w:tcPr>
          <w:p w14:paraId="29D32758" w14:textId="77777777" w:rsidR="00A806CF" w:rsidRPr="00A806CF" w:rsidRDefault="00A806CF" w:rsidP="00642325">
            <w:pPr>
              <w:pStyle w:val="Standard"/>
              <w:jc w:val="center"/>
              <w:rPr>
                <w:sz w:val="20"/>
                <w:szCs w:val="20"/>
              </w:rPr>
            </w:pPr>
            <w:r w:rsidRPr="00A806CF">
              <w:rPr>
                <w:sz w:val="20"/>
                <w:szCs w:val="20"/>
              </w:rPr>
              <w:t>06</w:t>
            </w:r>
          </w:p>
        </w:tc>
        <w:tc>
          <w:tcPr>
            <w:tcW w:w="467" w:type="pct"/>
            <w:tcBorders>
              <w:top w:val="single" w:sz="4" w:space="0" w:color="000000"/>
              <w:bottom w:val="single" w:sz="4" w:space="0" w:color="FFFFFF"/>
            </w:tcBorders>
            <w:tcMar>
              <w:top w:w="0" w:type="dxa"/>
              <w:left w:w="108" w:type="dxa"/>
              <w:bottom w:w="0" w:type="dxa"/>
              <w:right w:w="108" w:type="dxa"/>
            </w:tcMar>
          </w:tcPr>
          <w:p w14:paraId="249923E0"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000000"/>
              <w:bottom w:val="single" w:sz="4" w:space="0" w:color="FFFFFF"/>
            </w:tcBorders>
            <w:tcMar>
              <w:top w:w="0" w:type="dxa"/>
              <w:left w:w="108" w:type="dxa"/>
              <w:bottom w:w="0" w:type="dxa"/>
              <w:right w:w="108" w:type="dxa"/>
            </w:tcMar>
          </w:tcPr>
          <w:p w14:paraId="2202181A"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000000"/>
              <w:bottom w:val="single" w:sz="4" w:space="0" w:color="FFFFFF"/>
            </w:tcBorders>
            <w:tcMar>
              <w:top w:w="0" w:type="dxa"/>
              <w:left w:w="108" w:type="dxa"/>
              <w:bottom w:w="0" w:type="dxa"/>
              <w:right w:w="108" w:type="dxa"/>
            </w:tcMar>
          </w:tcPr>
          <w:p w14:paraId="45635B1C" w14:textId="77777777" w:rsidR="00A806CF" w:rsidRPr="00A806CF" w:rsidRDefault="00A806CF" w:rsidP="00642325">
            <w:pPr>
              <w:pStyle w:val="Standard"/>
              <w:jc w:val="center"/>
              <w:rPr>
                <w:sz w:val="20"/>
                <w:szCs w:val="20"/>
              </w:rPr>
            </w:pPr>
            <w:r w:rsidRPr="00A806CF">
              <w:rPr>
                <w:sz w:val="20"/>
                <w:szCs w:val="20"/>
              </w:rPr>
              <w:t>06</w:t>
            </w:r>
          </w:p>
        </w:tc>
        <w:tc>
          <w:tcPr>
            <w:tcW w:w="467" w:type="pct"/>
            <w:tcBorders>
              <w:top w:val="single" w:sz="4" w:space="0" w:color="000000"/>
              <w:bottom w:val="single" w:sz="4" w:space="0" w:color="FFFFFF"/>
            </w:tcBorders>
            <w:tcMar>
              <w:top w:w="0" w:type="dxa"/>
              <w:left w:w="108" w:type="dxa"/>
              <w:bottom w:w="0" w:type="dxa"/>
              <w:right w:w="108" w:type="dxa"/>
            </w:tcMar>
          </w:tcPr>
          <w:p w14:paraId="0FAB2DD2" w14:textId="77777777" w:rsidR="00A806CF" w:rsidRPr="00A806CF" w:rsidRDefault="00A806CF" w:rsidP="00642325">
            <w:pPr>
              <w:pStyle w:val="Standard"/>
              <w:jc w:val="center"/>
              <w:rPr>
                <w:sz w:val="20"/>
                <w:szCs w:val="20"/>
              </w:rPr>
            </w:pPr>
            <w:r w:rsidRPr="00A806CF">
              <w:rPr>
                <w:sz w:val="20"/>
                <w:szCs w:val="20"/>
              </w:rPr>
              <w:t>04</w:t>
            </w:r>
          </w:p>
        </w:tc>
        <w:tc>
          <w:tcPr>
            <w:tcW w:w="464" w:type="pct"/>
            <w:tcBorders>
              <w:top w:val="single" w:sz="4" w:space="0" w:color="000000"/>
              <w:bottom w:val="single" w:sz="4" w:space="0" w:color="FFFFFF"/>
            </w:tcBorders>
            <w:tcMar>
              <w:top w:w="0" w:type="dxa"/>
              <w:left w:w="108" w:type="dxa"/>
              <w:bottom w:w="0" w:type="dxa"/>
              <w:right w:w="108" w:type="dxa"/>
            </w:tcMar>
          </w:tcPr>
          <w:p w14:paraId="3509934D" w14:textId="77777777" w:rsidR="00A806CF" w:rsidRPr="00A806CF" w:rsidRDefault="00A806CF" w:rsidP="00642325">
            <w:pPr>
              <w:pStyle w:val="Standard"/>
              <w:jc w:val="center"/>
              <w:rPr>
                <w:sz w:val="20"/>
                <w:szCs w:val="20"/>
              </w:rPr>
            </w:pPr>
            <w:r w:rsidRPr="00A806CF">
              <w:rPr>
                <w:sz w:val="20"/>
                <w:szCs w:val="20"/>
              </w:rPr>
              <w:t>05</w:t>
            </w:r>
          </w:p>
        </w:tc>
      </w:tr>
      <w:tr w:rsidR="00A806CF" w:rsidRPr="00A806CF" w14:paraId="1FCD893B" w14:textId="77777777" w:rsidTr="00940996">
        <w:tc>
          <w:tcPr>
            <w:tcW w:w="751" w:type="pct"/>
            <w:vMerge/>
            <w:tcBorders>
              <w:top w:val="single" w:sz="4" w:space="0" w:color="FFFFFF"/>
              <w:bottom w:val="single" w:sz="4" w:space="0" w:color="808080"/>
            </w:tcBorders>
            <w:tcMar>
              <w:top w:w="0" w:type="dxa"/>
              <w:left w:w="108" w:type="dxa"/>
              <w:bottom w:w="0" w:type="dxa"/>
              <w:right w:w="108" w:type="dxa"/>
            </w:tcMar>
          </w:tcPr>
          <w:p w14:paraId="74EABD8D"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6C76BAC3" w14:textId="77777777" w:rsidR="00A806CF" w:rsidRPr="00A806CF" w:rsidRDefault="00A806CF" w:rsidP="00642325">
            <w:pPr>
              <w:pStyle w:val="Standard"/>
              <w:jc w:val="center"/>
              <w:rPr>
                <w:sz w:val="20"/>
                <w:szCs w:val="20"/>
              </w:rPr>
            </w:pPr>
            <w:r w:rsidRPr="00A806CF">
              <w:rPr>
                <w:sz w:val="20"/>
                <w:szCs w:val="20"/>
              </w:rPr>
              <w:t>Culpa</w:t>
            </w:r>
          </w:p>
        </w:tc>
        <w:tc>
          <w:tcPr>
            <w:tcW w:w="452" w:type="pct"/>
            <w:tcBorders>
              <w:top w:val="single" w:sz="4" w:space="0" w:color="FFFFFF"/>
              <w:bottom w:val="single" w:sz="4" w:space="0" w:color="FFFFFF"/>
            </w:tcBorders>
            <w:tcMar>
              <w:top w:w="0" w:type="dxa"/>
              <w:left w:w="108" w:type="dxa"/>
              <w:bottom w:w="0" w:type="dxa"/>
              <w:right w:w="108" w:type="dxa"/>
            </w:tcMar>
          </w:tcPr>
          <w:p w14:paraId="21E7C473" w14:textId="77777777" w:rsidR="00A806CF" w:rsidRPr="00A806CF" w:rsidRDefault="00A806CF" w:rsidP="00642325">
            <w:pPr>
              <w:pStyle w:val="Standard"/>
              <w:jc w:val="center"/>
              <w:rPr>
                <w:sz w:val="20"/>
                <w:szCs w:val="20"/>
              </w:rPr>
            </w:pPr>
            <w:r w:rsidRPr="00A806CF">
              <w:rPr>
                <w:sz w:val="20"/>
                <w:szCs w:val="20"/>
              </w:rPr>
              <w:t>04</w:t>
            </w:r>
          </w:p>
        </w:tc>
        <w:tc>
          <w:tcPr>
            <w:tcW w:w="467" w:type="pct"/>
            <w:tcBorders>
              <w:top w:val="single" w:sz="4" w:space="0" w:color="FFFFFF"/>
              <w:bottom w:val="single" w:sz="4" w:space="0" w:color="FFFFFF"/>
            </w:tcBorders>
            <w:tcMar>
              <w:top w:w="0" w:type="dxa"/>
              <w:left w:w="108" w:type="dxa"/>
              <w:bottom w:w="0" w:type="dxa"/>
              <w:right w:w="108" w:type="dxa"/>
            </w:tcMar>
          </w:tcPr>
          <w:p w14:paraId="5368421F"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61BD9100"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4070A2DD"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3C24C769" w14:textId="77777777" w:rsidR="00A806CF" w:rsidRPr="00A806CF" w:rsidRDefault="00A806CF" w:rsidP="00642325">
            <w:pPr>
              <w:pStyle w:val="Standard"/>
              <w:jc w:val="center"/>
              <w:rPr>
                <w:sz w:val="20"/>
                <w:szCs w:val="20"/>
              </w:rPr>
            </w:pPr>
            <w:r w:rsidRPr="00A806CF">
              <w:rPr>
                <w:sz w:val="20"/>
                <w:szCs w:val="20"/>
              </w:rPr>
              <w:t>03</w:t>
            </w:r>
          </w:p>
        </w:tc>
        <w:tc>
          <w:tcPr>
            <w:tcW w:w="467" w:type="pct"/>
            <w:tcBorders>
              <w:top w:val="single" w:sz="4" w:space="0" w:color="FFFFFF"/>
              <w:bottom w:val="single" w:sz="4" w:space="0" w:color="FFFFFF"/>
            </w:tcBorders>
            <w:tcMar>
              <w:top w:w="0" w:type="dxa"/>
              <w:left w:w="108" w:type="dxa"/>
              <w:bottom w:w="0" w:type="dxa"/>
              <w:right w:w="108" w:type="dxa"/>
            </w:tcMar>
          </w:tcPr>
          <w:p w14:paraId="6A02D9CA" w14:textId="77777777" w:rsidR="00A806CF" w:rsidRPr="00A806CF" w:rsidRDefault="00A806CF" w:rsidP="00642325">
            <w:pPr>
              <w:pStyle w:val="Standard"/>
              <w:jc w:val="center"/>
              <w:rPr>
                <w:sz w:val="20"/>
                <w:szCs w:val="20"/>
              </w:rPr>
            </w:pPr>
            <w:r w:rsidRPr="00A806CF">
              <w:rPr>
                <w:sz w:val="20"/>
                <w:szCs w:val="20"/>
              </w:rPr>
              <w:t>05</w:t>
            </w:r>
          </w:p>
        </w:tc>
        <w:tc>
          <w:tcPr>
            <w:tcW w:w="464" w:type="pct"/>
            <w:tcBorders>
              <w:top w:val="single" w:sz="4" w:space="0" w:color="FFFFFF"/>
              <w:bottom w:val="single" w:sz="4" w:space="0" w:color="FFFFFF"/>
            </w:tcBorders>
            <w:tcMar>
              <w:top w:w="0" w:type="dxa"/>
              <w:left w:w="108" w:type="dxa"/>
              <w:bottom w:w="0" w:type="dxa"/>
              <w:right w:w="108" w:type="dxa"/>
            </w:tcMar>
          </w:tcPr>
          <w:p w14:paraId="0A6A01A3"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33366662" w14:textId="77777777" w:rsidTr="00940996">
        <w:tc>
          <w:tcPr>
            <w:tcW w:w="751" w:type="pct"/>
            <w:vMerge/>
            <w:tcBorders>
              <w:top w:val="single" w:sz="4" w:space="0" w:color="FFFFFF"/>
              <w:bottom w:val="single" w:sz="4" w:space="0" w:color="808080"/>
            </w:tcBorders>
            <w:tcMar>
              <w:top w:w="0" w:type="dxa"/>
              <w:left w:w="108" w:type="dxa"/>
              <w:bottom w:w="0" w:type="dxa"/>
              <w:right w:w="108" w:type="dxa"/>
            </w:tcMar>
          </w:tcPr>
          <w:p w14:paraId="2B166D0F"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16629D03" w14:textId="77777777" w:rsidR="00A806CF" w:rsidRPr="00A806CF" w:rsidRDefault="00A806CF" w:rsidP="00642325">
            <w:pPr>
              <w:pStyle w:val="Standard"/>
              <w:jc w:val="center"/>
              <w:rPr>
                <w:sz w:val="20"/>
                <w:szCs w:val="20"/>
              </w:rPr>
            </w:pPr>
            <w:r w:rsidRPr="00A806CF">
              <w:rPr>
                <w:sz w:val="20"/>
                <w:szCs w:val="20"/>
              </w:rPr>
              <w:t>Vergonha</w:t>
            </w:r>
          </w:p>
        </w:tc>
        <w:tc>
          <w:tcPr>
            <w:tcW w:w="452" w:type="pct"/>
            <w:tcBorders>
              <w:top w:val="single" w:sz="4" w:space="0" w:color="FFFFFF"/>
              <w:bottom w:val="single" w:sz="4" w:space="0" w:color="FFFFFF"/>
            </w:tcBorders>
            <w:tcMar>
              <w:top w:w="0" w:type="dxa"/>
              <w:left w:w="108" w:type="dxa"/>
              <w:bottom w:w="0" w:type="dxa"/>
              <w:right w:w="108" w:type="dxa"/>
            </w:tcMar>
          </w:tcPr>
          <w:p w14:paraId="602E3748"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680BB206" w14:textId="77777777" w:rsidR="00A806CF" w:rsidRPr="00A806CF" w:rsidRDefault="00A806CF" w:rsidP="00642325">
            <w:pPr>
              <w:pStyle w:val="Standard"/>
              <w:jc w:val="center"/>
              <w:rPr>
                <w:sz w:val="20"/>
                <w:szCs w:val="20"/>
              </w:rPr>
            </w:pPr>
            <w:r w:rsidRPr="00A806CF">
              <w:rPr>
                <w:sz w:val="20"/>
                <w:szCs w:val="20"/>
              </w:rPr>
              <w:t>04</w:t>
            </w:r>
          </w:p>
        </w:tc>
        <w:tc>
          <w:tcPr>
            <w:tcW w:w="467" w:type="pct"/>
            <w:tcBorders>
              <w:top w:val="single" w:sz="4" w:space="0" w:color="FFFFFF"/>
              <w:bottom w:val="single" w:sz="4" w:space="0" w:color="FFFFFF"/>
            </w:tcBorders>
            <w:tcMar>
              <w:top w:w="0" w:type="dxa"/>
              <w:left w:w="108" w:type="dxa"/>
              <w:bottom w:w="0" w:type="dxa"/>
              <w:right w:w="108" w:type="dxa"/>
            </w:tcMar>
          </w:tcPr>
          <w:p w14:paraId="23B98D76"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074B652"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38832216" w14:textId="77777777" w:rsidR="00A806CF" w:rsidRPr="00A806CF" w:rsidRDefault="00A806CF" w:rsidP="00642325">
            <w:pPr>
              <w:pStyle w:val="Standard"/>
              <w:jc w:val="center"/>
              <w:rPr>
                <w:sz w:val="20"/>
                <w:szCs w:val="20"/>
              </w:rPr>
            </w:pPr>
            <w:r w:rsidRPr="00A806CF">
              <w:rPr>
                <w:sz w:val="20"/>
                <w:szCs w:val="20"/>
              </w:rPr>
              <w:t>04</w:t>
            </w:r>
          </w:p>
        </w:tc>
        <w:tc>
          <w:tcPr>
            <w:tcW w:w="467" w:type="pct"/>
            <w:tcBorders>
              <w:top w:val="single" w:sz="4" w:space="0" w:color="FFFFFF"/>
              <w:bottom w:val="single" w:sz="4" w:space="0" w:color="FFFFFF"/>
            </w:tcBorders>
            <w:tcMar>
              <w:top w:w="0" w:type="dxa"/>
              <w:left w:w="108" w:type="dxa"/>
              <w:bottom w:w="0" w:type="dxa"/>
              <w:right w:w="108" w:type="dxa"/>
            </w:tcMar>
          </w:tcPr>
          <w:p w14:paraId="19BF659C" w14:textId="77777777" w:rsidR="00A806CF" w:rsidRPr="00A806CF" w:rsidRDefault="00A806CF" w:rsidP="00642325">
            <w:pPr>
              <w:pStyle w:val="Standard"/>
              <w:jc w:val="center"/>
              <w:rPr>
                <w:sz w:val="20"/>
                <w:szCs w:val="20"/>
              </w:rPr>
            </w:pPr>
            <w:r w:rsidRPr="00A806CF">
              <w:rPr>
                <w:sz w:val="20"/>
                <w:szCs w:val="20"/>
              </w:rPr>
              <w:t>01</w:t>
            </w:r>
          </w:p>
        </w:tc>
        <w:tc>
          <w:tcPr>
            <w:tcW w:w="464" w:type="pct"/>
            <w:tcBorders>
              <w:top w:val="single" w:sz="4" w:space="0" w:color="FFFFFF"/>
              <w:bottom w:val="single" w:sz="4" w:space="0" w:color="FFFFFF"/>
            </w:tcBorders>
            <w:tcMar>
              <w:top w:w="0" w:type="dxa"/>
              <w:left w:w="108" w:type="dxa"/>
              <w:bottom w:w="0" w:type="dxa"/>
              <w:right w:w="108" w:type="dxa"/>
            </w:tcMar>
          </w:tcPr>
          <w:p w14:paraId="5EA9CD50"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7C293749" w14:textId="77777777" w:rsidTr="00940996">
        <w:trPr>
          <w:trHeight w:val="455"/>
        </w:trPr>
        <w:tc>
          <w:tcPr>
            <w:tcW w:w="751" w:type="pct"/>
            <w:vMerge/>
            <w:tcBorders>
              <w:top w:val="single" w:sz="4" w:space="0" w:color="FFFFFF"/>
              <w:bottom w:val="single" w:sz="4" w:space="0" w:color="808080"/>
            </w:tcBorders>
            <w:tcMar>
              <w:top w:w="0" w:type="dxa"/>
              <w:left w:w="108" w:type="dxa"/>
              <w:bottom w:w="0" w:type="dxa"/>
              <w:right w:w="108" w:type="dxa"/>
            </w:tcMar>
          </w:tcPr>
          <w:p w14:paraId="49027BCB"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7F53EB71" w14:textId="77777777" w:rsidR="00A806CF" w:rsidRPr="00A806CF" w:rsidRDefault="00A806CF" w:rsidP="00642325">
            <w:pPr>
              <w:pStyle w:val="Standard"/>
              <w:jc w:val="center"/>
              <w:rPr>
                <w:sz w:val="20"/>
                <w:szCs w:val="20"/>
              </w:rPr>
            </w:pPr>
            <w:r w:rsidRPr="00A806CF">
              <w:rPr>
                <w:sz w:val="20"/>
                <w:szCs w:val="20"/>
              </w:rPr>
              <w:t>Proteção da Autoimagem</w:t>
            </w:r>
          </w:p>
          <w:p w14:paraId="517C3FF1" w14:textId="77777777" w:rsidR="00A806CF" w:rsidRPr="00A806CF" w:rsidRDefault="00A806CF" w:rsidP="00642325">
            <w:pPr>
              <w:pStyle w:val="Standard"/>
              <w:jc w:val="center"/>
              <w:rPr>
                <w:sz w:val="20"/>
                <w:szCs w:val="20"/>
              </w:rPr>
            </w:pPr>
          </w:p>
        </w:tc>
        <w:tc>
          <w:tcPr>
            <w:tcW w:w="452" w:type="pct"/>
            <w:tcBorders>
              <w:top w:val="single" w:sz="4" w:space="0" w:color="FFFFFF"/>
              <w:bottom w:val="single" w:sz="4" w:space="0" w:color="FFFFFF"/>
            </w:tcBorders>
            <w:tcMar>
              <w:top w:w="0" w:type="dxa"/>
              <w:left w:w="108" w:type="dxa"/>
              <w:bottom w:w="0" w:type="dxa"/>
              <w:right w:w="108" w:type="dxa"/>
            </w:tcMar>
          </w:tcPr>
          <w:p w14:paraId="26ADDDF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7729F9CA"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060B425"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38EBA95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43CD17EC"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E1B88FC" w14:textId="77777777" w:rsidR="00A806CF" w:rsidRPr="00A806CF" w:rsidRDefault="00A806CF" w:rsidP="00642325">
            <w:pPr>
              <w:pStyle w:val="Standard"/>
              <w:jc w:val="center"/>
              <w:rPr>
                <w:sz w:val="20"/>
                <w:szCs w:val="20"/>
              </w:rPr>
            </w:pPr>
            <w:r w:rsidRPr="00A806CF">
              <w:rPr>
                <w:sz w:val="20"/>
                <w:szCs w:val="20"/>
              </w:rPr>
              <w:t>0</w:t>
            </w:r>
          </w:p>
        </w:tc>
        <w:tc>
          <w:tcPr>
            <w:tcW w:w="464" w:type="pct"/>
            <w:tcBorders>
              <w:top w:val="single" w:sz="4" w:space="0" w:color="FFFFFF"/>
              <w:bottom w:val="single" w:sz="4" w:space="0" w:color="FFFFFF"/>
            </w:tcBorders>
            <w:tcMar>
              <w:top w:w="0" w:type="dxa"/>
              <w:left w:w="108" w:type="dxa"/>
              <w:bottom w:w="0" w:type="dxa"/>
              <w:right w:w="108" w:type="dxa"/>
            </w:tcMar>
          </w:tcPr>
          <w:p w14:paraId="7162F3A0"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0908C45B" w14:textId="77777777" w:rsidTr="00940996">
        <w:tc>
          <w:tcPr>
            <w:tcW w:w="751" w:type="pct"/>
            <w:vMerge w:val="restart"/>
            <w:tcBorders>
              <w:top w:val="single" w:sz="4" w:space="0" w:color="FFFFFF"/>
              <w:bottom w:val="single" w:sz="4" w:space="0" w:color="808080"/>
            </w:tcBorders>
            <w:tcMar>
              <w:top w:w="0" w:type="dxa"/>
              <w:left w:w="108" w:type="dxa"/>
              <w:bottom w:w="0" w:type="dxa"/>
              <w:right w:w="108" w:type="dxa"/>
            </w:tcMar>
          </w:tcPr>
          <w:p w14:paraId="543AD697" w14:textId="77777777" w:rsidR="00A806CF" w:rsidRPr="00A806CF" w:rsidRDefault="00A806CF" w:rsidP="00642325">
            <w:pPr>
              <w:pStyle w:val="Standard"/>
              <w:snapToGrid w:val="0"/>
              <w:jc w:val="center"/>
              <w:rPr>
                <w:sz w:val="20"/>
                <w:szCs w:val="20"/>
              </w:rPr>
            </w:pPr>
          </w:p>
          <w:p w14:paraId="70474E6C" w14:textId="77777777" w:rsidR="00A806CF" w:rsidRPr="00A806CF" w:rsidRDefault="00A806CF" w:rsidP="00642325">
            <w:pPr>
              <w:pStyle w:val="Standard"/>
              <w:jc w:val="center"/>
              <w:rPr>
                <w:sz w:val="20"/>
                <w:szCs w:val="20"/>
              </w:rPr>
            </w:pPr>
            <w:r w:rsidRPr="00A806CF">
              <w:rPr>
                <w:sz w:val="20"/>
                <w:szCs w:val="20"/>
              </w:rPr>
              <w:t>Proximidade entre vítima e agressor</w:t>
            </w:r>
          </w:p>
        </w:tc>
        <w:tc>
          <w:tcPr>
            <w:tcW w:w="1000" w:type="pct"/>
            <w:tcBorders>
              <w:top w:val="single" w:sz="4" w:space="0" w:color="FFFFFF"/>
              <w:bottom w:val="single" w:sz="4" w:space="0" w:color="FFFFFF"/>
            </w:tcBorders>
            <w:tcMar>
              <w:top w:w="0" w:type="dxa"/>
              <w:left w:w="108" w:type="dxa"/>
              <w:bottom w:w="0" w:type="dxa"/>
              <w:right w:w="108" w:type="dxa"/>
            </w:tcMar>
          </w:tcPr>
          <w:p w14:paraId="7A9870D4" w14:textId="77777777" w:rsidR="00A806CF" w:rsidRPr="00A806CF" w:rsidRDefault="00A806CF" w:rsidP="00642325">
            <w:pPr>
              <w:pStyle w:val="Standard"/>
              <w:jc w:val="center"/>
              <w:rPr>
                <w:sz w:val="20"/>
                <w:szCs w:val="20"/>
              </w:rPr>
            </w:pPr>
            <w:r w:rsidRPr="00A806CF">
              <w:rPr>
                <w:sz w:val="20"/>
                <w:szCs w:val="20"/>
              </w:rPr>
              <w:t>Agressor Intrafamiliar</w:t>
            </w:r>
          </w:p>
        </w:tc>
        <w:tc>
          <w:tcPr>
            <w:tcW w:w="452" w:type="pct"/>
            <w:tcBorders>
              <w:top w:val="single" w:sz="4" w:space="0" w:color="FFFFFF"/>
              <w:bottom w:val="single" w:sz="4" w:space="0" w:color="FFFFFF"/>
            </w:tcBorders>
            <w:tcMar>
              <w:top w:w="0" w:type="dxa"/>
              <w:left w:w="108" w:type="dxa"/>
              <w:bottom w:w="0" w:type="dxa"/>
              <w:right w:w="108" w:type="dxa"/>
            </w:tcMar>
          </w:tcPr>
          <w:p w14:paraId="452D6EED" w14:textId="77777777" w:rsidR="00A806CF" w:rsidRPr="00A806CF" w:rsidRDefault="00A806CF" w:rsidP="00642325">
            <w:pPr>
              <w:pStyle w:val="Standard"/>
              <w:jc w:val="center"/>
              <w:rPr>
                <w:sz w:val="20"/>
                <w:szCs w:val="20"/>
              </w:rPr>
            </w:pPr>
            <w:r w:rsidRPr="00A806CF">
              <w:rPr>
                <w:sz w:val="20"/>
                <w:szCs w:val="20"/>
              </w:rPr>
              <w:t>10</w:t>
            </w:r>
          </w:p>
        </w:tc>
        <w:tc>
          <w:tcPr>
            <w:tcW w:w="467" w:type="pct"/>
            <w:tcBorders>
              <w:top w:val="single" w:sz="4" w:space="0" w:color="FFFFFF"/>
              <w:bottom w:val="single" w:sz="4" w:space="0" w:color="FFFFFF"/>
            </w:tcBorders>
            <w:tcMar>
              <w:top w:w="0" w:type="dxa"/>
              <w:left w:w="108" w:type="dxa"/>
              <w:bottom w:w="0" w:type="dxa"/>
              <w:right w:w="108" w:type="dxa"/>
            </w:tcMar>
          </w:tcPr>
          <w:p w14:paraId="7B0541F3" w14:textId="77777777" w:rsidR="00A806CF" w:rsidRPr="00A806CF" w:rsidRDefault="00A806CF" w:rsidP="00642325">
            <w:pPr>
              <w:pStyle w:val="Standard"/>
              <w:jc w:val="center"/>
              <w:rPr>
                <w:sz w:val="20"/>
                <w:szCs w:val="20"/>
              </w:rPr>
            </w:pPr>
            <w:r w:rsidRPr="00A806CF">
              <w:rPr>
                <w:sz w:val="20"/>
                <w:szCs w:val="20"/>
              </w:rPr>
              <w:t>18</w:t>
            </w:r>
          </w:p>
        </w:tc>
        <w:tc>
          <w:tcPr>
            <w:tcW w:w="467" w:type="pct"/>
            <w:tcBorders>
              <w:top w:val="single" w:sz="4" w:space="0" w:color="FFFFFF"/>
              <w:bottom w:val="single" w:sz="4" w:space="0" w:color="FFFFFF"/>
            </w:tcBorders>
            <w:tcMar>
              <w:top w:w="0" w:type="dxa"/>
              <w:left w:w="108" w:type="dxa"/>
              <w:bottom w:w="0" w:type="dxa"/>
              <w:right w:w="108" w:type="dxa"/>
            </w:tcMar>
          </w:tcPr>
          <w:p w14:paraId="13C00EE7"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4A085EB4"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3E25EE5E" w14:textId="77777777" w:rsidR="00A806CF" w:rsidRPr="00A806CF" w:rsidRDefault="00A806CF" w:rsidP="00642325">
            <w:pPr>
              <w:pStyle w:val="Standard"/>
              <w:jc w:val="center"/>
              <w:rPr>
                <w:sz w:val="20"/>
                <w:szCs w:val="20"/>
              </w:rPr>
            </w:pPr>
            <w:r w:rsidRPr="00A806CF">
              <w:rPr>
                <w:sz w:val="20"/>
                <w:szCs w:val="20"/>
              </w:rPr>
              <w:t>07</w:t>
            </w:r>
          </w:p>
        </w:tc>
        <w:tc>
          <w:tcPr>
            <w:tcW w:w="467" w:type="pct"/>
            <w:tcBorders>
              <w:top w:val="single" w:sz="4" w:space="0" w:color="FFFFFF"/>
              <w:bottom w:val="single" w:sz="4" w:space="0" w:color="FFFFFF"/>
            </w:tcBorders>
            <w:tcMar>
              <w:top w:w="0" w:type="dxa"/>
              <w:left w:w="108" w:type="dxa"/>
              <w:bottom w:w="0" w:type="dxa"/>
              <w:right w:w="108" w:type="dxa"/>
            </w:tcMar>
          </w:tcPr>
          <w:p w14:paraId="503650DB" w14:textId="77777777" w:rsidR="00A806CF" w:rsidRPr="00A806CF" w:rsidRDefault="00A806CF" w:rsidP="00642325">
            <w:pPr>
              <w:pStyle w:val="Standard"/>
              <w:jc w:val="center"/>
              <w:rPr>
                <w:sz w:val="20"/>
                <w:szCs w:val="20"/>
              </w:rPr>
            </w:pPr>
            <w:r w:rsidRPr="00A806CF">
              <w:rPr>
                <w:sz w:val="20"/>
                <w:szCs w:val="20"/>
              </w:rPr>
              <w:t>03</w:t>
            </w:r>
          </w:p>
        </w:tc>
        <w:tc>
          <w:tcPr>
            <w:tcW w:w="464" w:type="pct"/>
            <w:tcBorders>
              <w:top w:val="single" w:sz="4" w:space="0" w:color="FFFFFF"/>
              <w:bottom w:val="single" w:sz="4" w:space="0" w:color="FFFFFF"/>
            </w:tcBorders>
            <w:tcMar>
              <w:top w:w="0" w:type="dxa"/>
              <w:left w:w="108" w:type="dxa"/>
              <w:bottom w:w="0" w:type="dxa"/>
              <w:right w:w="108" w:type="dxa"/>
            </w:tcMar>
          </w:tcPr>
          <w:p w14:paraId="4EC8D10D"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7439ACE8" w14:textId="77777777" w:rsidTr="00940996">
        <w:trPr>
          <w:trHeight w:val="810"/>
        </w:trPr>
        <w:tc>
          <w:tcPr>
            <w:tcW w:w="751" w:type="pct"/>
            <w:vMerge/>
            <w:tcBorders>
              <w:top w:val="single" w:sz="4" w:space="0" w:color="FFFFFF"/>
              <w:bottom w:val="single" w:sz="4" w:space="0" w:color="808080"/>
            </w:tcBorders>
            <w:tcMar>
              <w:top w:w="0" w:type="dxa"/>
              <w:left w:w="108" w:type="dxa"/>
              <w:bottom w:w="0" w:type="dxa"/>
              <w:right w:w="108" w:type="dxa"/>
            </w:tcMar>
          </w:tcPr>
          <w:p w14:paraId="3061885D"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28B91F32" w14:textId="77777777" w:rsidR="00A806CF" w:rsidRPr="00A806CF" w:rsidRDefault="00A806CF" w:rsidP="00642325">
            <w:pPr>
              <w:pStyle w:val="Standard"/>
              <w:jc w:val="center"/>
              <w:rPr>
                <w:sz w:val="20"/>
                <w:szCs w:val="20"/>
              </w:rPr>
            </w:pPr>
            <w:r w:rsidRPr="00A806CF">
              <w:rPr>
                <w:sz w:val="20"/>
                <w:szCs w:val="20"/>
              </w:rPr>
              <w:t>Agressor Conhecido da Família</w:t>
            </w:r>
          </w:p>
          <w:p w14:paraId="60EE789C" w14:textId="77777777" w:rsidR="00A806CF" w:rsidRPr="00A806CF" w:rsidRDefault="00A806CF" w:rsidP="00642325">
            <w:pPr>
              <w:pStyle w:val="Standard"/>
              <w:jc w:val="center"/>
              <w:rPr>
                <w:sz w:val="20"/>
                <w:szCs w:val="20"/>
              </w:rPr>
            </w:pPr>
          </w:p>
        </w:tc>
        <w:tc>
          <w:tcPr>
            <w:tcW w:w="452" w:type="pct"/>
            <w:tcBorders>
              <w:top w:val="single" w:sz="4" w:space="0" w:color="FFFFFF"/>
              <w:bottom w:val="single" w:sz="4" w:space="0" w:color="FFFFFF"/>
            </w:tcBorders>
            <w:tcMar>
              <w:top w:w="0" w:type="dxa"/>
              <w:left w:w="108" w:type="dxa"/>
              <w:bottom w:w="0" w:type="dxa"/>
              <w:right w:w="108" w:type="dxa"/>
            </w:tcMar>
          </w:tcPr>
          <w:p w14:paraId="3795E266" w14:textId="77777777" w:rsidR="00A806CF" w:rsidRPr="00A806CF" w:rsidRDefault="00A806CF" w:rsidP="00642325">
            <w:pPr>
              <w:pStyle w:val="Standard"/>
              <w:snapToGrid w:val="0"/>
              <w:jc w:val="center"/>
              <w:rPr>
                <w:sz w:val="20"/>
                <w:szCs w:val="20"/>
              </w:rPr>
            </w:pPr>
          </w:p>
          <w:p w14:paraId="0C1B21D9"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07EE3D8E" w14:textId="77777777" w:rsidR="00A806CF" w:rsidRPr="00A806CF" w:rsidRDefault="00A806CF" w:rsidP="00642325">
            <w:pPr>
              <w:pStyle w:val="Standard"/>
              <w:snapToGrid w:val="0"/>
              <w:jc w:val="center"/>
              <w:rPr>
                <w:sz w:val="20"/>
                <w:szCs w:val="20"/>
              </w:rPr>
            </w:pPr>
          </w:p>
          <w:p w14:paraId="59BC1B25"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06A3AE0" w14:textId="77777777" w:rsidR="00A806CF" w:rsidRPr="00A806CF" w:rsidRDefault="00A806CF" w:rsidP="00642325">
            <w:pPr>
              <w:pStyle w:val="Standard"/>
              <w:snapToGrid w:val="0"/>
              <w:jc w:val="center"/>
              <w:rPr>
                <w:sz w:val="20"/>
                <w:szCs w:val="20"/>
              </w:rPr>
            </w:pPr>
          </w:p>
          <w:p w14:paraId="26617473"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03BD27CA" w14:textId="77777777" w:rsidR="00A806CF" w:rsidRPr="00A806CF" w:rsidRDefault="00A806CF" w:rsidP="00642325">
            <w:pPr>
              <w:pStyle w:val="Standard"/>
              <w:snapToGrid w:val="0"/>
              <w:jc w:val="center"/>
              <w:rPr>
                <w:sz w:val="20"/>
                <w:szCs w:val="20"/>
              </w:rPr>
            </w:pPr>
          </w:p>
          <w:p w14:paraId="0AAC12DA"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065BFDF4" w14:textId="77777777" w:rsidR="00A806CF" w:rsidRPr="00A806CF" w:rsidRDefault="00A806CF" w:rsidP="00642325">
            <w:pPr>
              <w:pStyle w:val="Standard"/>
              <w:snapToGrid w:val="0"/>
              <w:jc w:val="center"/>
              <w:rPr>
                <w:sz w:val="20"/>
                <w:szCs w:val="20"/>
              </w:rPr>
            </w:pPr>
          </w:p>
          <w:p w14:paraId="122A3B6E"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7936B0DE" w14:textId="77777777" w:rsidR="00A806CF" w:rsidRPr="00A806CF" w:rsidRDefault="00A806CF" w:rsidP="00642325">
            <w:pPr>
              <w:pStyle w:val="Standard"/>
              <w:snapToGrid w:val="0"/>
              <w:jc w:val="center"/>
              <w:rPr>
                <w:sz w:val="20"/>
                <w:szCs w:val="20"/>
              </w:rPr>
            </w:pPr>
          </w:p>
          <w:p w14:paraId="422C208C" w14:textId="77777777" w:rsidR="00A806CF" w:rsidRPr="00A806CF" w:rsidRDefault="00A806CF" w:rsidP="00642325">
            <w:pPr>
              <w:pStyle w:val="Standard"/>
              <w:jc w:val="center"/>
              <w:rPr>
                <w:sz w:val="20"/>
                <w:szCs w:val="20"/>
              </w:rPr>
            </w:pPr>
            <w:r w:rsidRPr="00A806CF">
              <w:rPr>
                <w:sz w:val="20"/>
                <w:szCs w:val="20"/>
              </w:rPr>
              <w:t>0</w:t>
            </w:r>
          </w:p>
        </w:tc>
        <w:tc>
          <w:tcPr>
            <w:tcW w:w="464" w:type="pct"/>
            <w:tcBorders>
              <w:top w:val="single" w:sz="4" w:space="0" w:color="FFFFFF"/>
              <w:bottom w:val="single" w:sz="4" w:space="0" w:color="FFFFFF"/>
            </w:tcBorders>
            <w:tcMar>
              <w:top w:w="0" w:type="dxa"/>
              <w:left w:w="108" w:type="dxa"/>
              <w:bottom w:w="0" w:type="dxa"/>
              <w:right w:w="108" w:type="dxa"/>
            </w:tcMar>
          </w:tcPr>
          <w:p w14:paraId="31E963EA" w14:textId="77777777" w:rsidR="00A806CF" w:rsidRPr="00A806CF" w:rsidRDefault="00A806CF" w:rsidP="00642325">
            <w:pPr>
              <w:pStyle w:val="Standard"/>
              <w:snapToGrid w:val="0"/>
              <w:jc w:val="center"/>
              <w:rPr>
                <w:sz w:val="20"/>
                <w:szCs w:val="20"/>
              </w:rPr>
            </w:pPr>
          </w:p>
          <w:p w14:paraId="61AAE5AB"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653F38CD" w14:textId="77777777" w:rsidTr="00940996">
        <w:trPr>
          <w:trHeight w:val="326"/>
        </w:trPr>
        <w:tc>
          <w:tcPr>
            <w:tcW w:w="1750" w:type="pct"/>
            <w:gridSpan w:val="2"/>
            <w:tcBorders>
              <w:top w:val="single" w:sz="4" w:space="0" w:color="FFFFFF"/>
              <w:bottom w:val="single" w:sz="4" w:space="0" w:color="FFFFFF"/>
            </w:tcBorders>
            <w:tcMar>
              <w:top w:w="0" w:type="dxa"/>
              <w:left w:w="108" w:type="dxa"/>
              <w:bottom w:w="0" w:type="dxa"/>
              <w:right w:w="108" w:type="dxa"/>
            </w:tcMar>
          </w:tcPr>
          <w:p w14:paraId="63AB2DAD" w14:textId="77777777" w:rsidR="00A806CF" w:rsidRPr="00A806CF" w:rsidRDefault="00A806CF" w:rsidP="00642325">
            <w:pPr>
              <w:pStyle w:val="Standard"/>
              <w:jc w:val="center"/>
              <w:rPr>
                <w:sz w:val="20"/>
                <w:szCs w:val="20"/>
              </w:rPr>
            </w:pPr>
            <w:r w:rsidRPr="00A806CF">
              <w:rPr>
                <w:sz w:val="20"/>
                <w:szCs w:val="20"/>
              </w:rPr>
              <w:t>Revelação no Contexto Informal</w:t>
            </w:r>
          </w:p>
          <w:p w14:paraId="3904272E" w14:textId="77777777" w:rsidR="00A806CF" w:rsidRPr="00A806CF" w:rsidRDefault="00A806CF" w:rsidP="00642325">
            <w:pPr>
              <w:pStyle w:val="Standard"/>
              <w:jc w:val="center"/>
              <w:rPr>
                <w:sz w:val="20"/>
                <w:szCs w:val="20"/>
              </w:rPr>
            </w:pPr>
          </w:p>
        </w:tc>
        <w:tc>
          <w:tcPr>
            <w:tcW w:w="452" w:type="pct"/>
            <w:tcBorders>
              <w:top w:val="single" w:sz="4" w:space="0" w:color="FFFFFF"/>
              <w:bottom w:val="single" w:sz="4" w:space="0" w:color="FFFFFF"/>
            </w:tcBorders>
            <w:tcMar>
              <w:top w:w="0" w:type="dxa"/>
              <w:left w:w="108" w:type="dxa"/>
              <w:bottom w:w="0" w:type="dxa"/>
              <w:right w:w="108" w:type="dxa"/>
            </w:tcMar>
          </w:tcPr>
          <w:p w14:paraId="6F5FE7A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4D47BB21"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53E2AE63"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3A48FE28"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1D4B177B"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64D08014" w14:textId="77777777" w:rsidR="00A806CF" w:rsidRPr="00A806CF" w:rsidRDefault="00A806CF" w:rsidP="00642325">
            <w:pPr>
              <w:pStyle w:val="Standard"/>
              <w:jc w:val="center"/>
              <w:rPr>
                <w:sz w:val="20"/>
                <w:szCs w:val="20"/>
              </w:rPr>
            </w:pPr>
            <w:r w:rsidRPr="00A806CF">
              <w:rPr>
                <w:sz w:val="20"/>
                <w:szCs w:val="20"/>
              </w:rPr>
              <w:t>02</w:t>
            </w:r>
          </w:p>
        </w:tc>
        <w:tc>
          <w:tcPr>
            <w:tcW w:w="464" w:type="pct"/>
            <w:tcBorders>
              <w:top w:val="single" w:sz="4" w:space="0" w:color="FFFFFF"/>
              <w:bottom w:val="single" w:sz="4" w:space="0" w:color="FFFFFF"/>
            </w:tcBorders>
            <w:tcMar>
              <w:top w:w="0" w:type="dxa"/>
              <w:left w:w="108" w:type="dxa"/>
              <w:bottom w:w="0" w:type="dxa"/>
              <w:right w:w="108" w:type="dxa"/>
            </w:tcMar>
          </w:tcPr>
          <w:p w14:paraId="2DCE7A86" w14:textId="77777777" w:rsidR="00A806CF" w:rsidRPr="00A806CF" w:rsidRDefault="00A806CF" w:rsidP="00642325">
            <w:pPr>
              <w:pStyle w:val="Standard"/>
              <w:jc w:val="center"/>
              <w:rPr>
                <w:sz w:val="20"/>
                <w:szCs w:val="20"/>
              </w:rPr>
            </w:pPr>
            <w:r w:rsidRPr="00A806CF">
              <w:rPr>
                <w:sz w:val="20"/>
                <w:szCs w:val="20"/>
              </w:rPr>
              <w:t>0</w:t>
            </w:r>
          </w:p>
        </w:tc>
      </w:tr>
      <w:tr w:rsidR="00A806CF" w:rsidRPr="00A806CF" w14:paraId="78CFA49C" w14:textId="77777777" w:rsidTr="00940996">
        <w:tc>
          <w:tcPr>
            <w:tcW w:w="751" w:type="pct"/>
            <w:vMerge w:val="restart"/>
            <w:tcBorders>
              <w:top w:val="single" w:sz="4" w:space="0" w:color="FFFFFF"/>
            </w:tcBorders>
            <w:tcMar>
              <w:top w:w="0" w:type="dxa"/>
              <w:left w:w="108" w:type="dxa"/>
              <w:bottom w:w="0" w:type="dxa"/>
              <w:right w:w="108" w:type="dxa"/>
            </w:tcMar>
          </w:tcPr>
          <w:p w14:paraId="4572ED4F" w14:textId="77777777" w:rsidR="00A806CF" w:rsidRPr="00A806CF" w:rsidRDefault="00A806CF" w:rsidP="00642325">
            <w:pPr>
              <w:pStyle w:val="Standard"/>
              <w:snapToGrid w:val="0"/>
              <w:rPr>
                <w:sz w:val="20"/>
                <w:szCs w:val="20"/>
              </w:rPr>
            </w:pPr>
          </w:p>
          <w:p w14:paraId="6506CB8F" w14:textId="77777777" w:rsidR="00A806CF" w:rsidRPr="00A806CF" w:rsidRDefault="00A806CF" w:rsidP="00642325">
            <w:pPr>
              <w:pStyle w:val="Standard"/>
              <w:rPr>
                <w:sz w:val="20"/>
                <w:szCs w:val="20"/>
              </w:rPr>
            </w:pPr>
          </w:p>
          <w:p w14:paraId="50BC2150" w14:textId="77777777" w:rsidR="00A806CF" w:rsidRPr="00A806CF" w:rsidRDefault="00A806CF" w:rsidP="00642325">
            <w:pPr>
              <w:pStyle w:val="Standard"/>
              <w:jc w:val="center"/>
              <w:rPr>
                <w:sz w:val="20"/>
                <w:szCs w:val="20"/>
              </w:rPr>
            </w:pPr>
            <w:r w:rsidRPr="00A806CF">
              <w:rPr>
                <w:sz w:val="20"/>
                <w:szCs w:val="20"/>
              </w:rPr>
              <w:t>Sistema Familiar</w:t>
            </w:r>
          </w:p>
        </w:tc>
        <w:tc>
          <w:tcPr>
            <w:tcW w:w="1000" w:type="pct"/>
            <w:tcBorders>
              <w:top w:val="single" w:sz="4" w:space="0" w:color="FFFFFF"/>
              <w:bottom w:val="single" w:sz="4" w:space="0" w:color="FFFFFF"/>
            </w:tcBorders>
            <w:tcMar>
              <w:top w:w="0" w:type="dxa"/>
              <w:left w:w="108" w:type="dxa"/>
              <w:bottom w:w="0" w:type="dxa"/>
              <w:right w:w="108" w:type="dxa"/>
            </w:tcMar>
          </w:tcPr>
          <w:p w14:paraId="5C56D746" w14:textId="77777777" w:rsidR="00A806CF" w:rsidRPr="00A806CF" w:rsidRDefault="00A806CF" w:rsidP="00642325">
            <w:pPr>
              <w:pStyle w:val="Standard"/>
              <w:jc w:val="center"/>
              <w:rPr>
                <w:sz w:val="20"/>
                <w:szCs w:val="20"/>
              </w:rPr>
            </w:pPr>
            <w:r w:rsidRPr="00A806CF">
              <w:rPr>
                <w:sz w:val="20"/>
                <w:szCs w:val="20"/>
              </w:rPr>
              <w:t>Falta de Suporte Face à Revelação da Criança</w:t>
            </w:r>
          </w:p>
        </w:tc>
        <w:tc>
          <w:tcPr>
            <w:tcW w:w="452" w:type="pct"/>
            <w:tcBorders>
              <w:top w:val="single" w:sz="4" w:space="0" w:color="FFFFFF"/>
              <w:bottom w:val="single" w:sz="4" w:space="0" w:color="FFFFFF"/>
            </w:tcBorders>
            <w:tcMar>
              <w:top w:w="0" w:type="dxa"/>
              <w:left w:w="108" w:type="dxa"/>
              <w:bottom w:w="0" w:type="dxa"/>
              <w:right w:w="108" w:type="dxa"/>
            </w:tcMar>
          </w:tcPr>
          <w:p w14:paraId="0A8D70C6" w14:textId="77777777" w:rsidR="00A806CF" w:rsidRPr="00A806CF" w:rsidRDefault="00A806CF" w:rsidP="00642325">
            <w:pPr>
              <w:pStyle w:val="Standard"/>
              <w:snapToGrid w:val="0"/>
              <w:jc w:val="center"/>
              <w:rPr>
                <w:sz w:val="20"/>
                <w:szCs w:val="20"/>
              </w:rPr>
            </w:pPr>
          </w:p>
          <w:p w14:paraId="6F2C1552" w14:textId="77777777" w:rsidR="00A806CF" w:rsidRPr="00A806CF" w:rsidRDefault="00A806CF" w:rsidP="00642325">
            <w:pPr>
              <w:pStyle w:val="Standard"/>
              <w:jc w:val="center"/>
              <w:rPr>
                <w:sz w:val="20"/>
                <w:szCs w:val="20"/>
              </w:rPr>
            </w:pPr>
            <w:r w:rsidRPr="00A806CF">
              <w:rPr>
                <w:sz w:val="20"/>
                <w:szCs w:val="20"/>
              </w:rPr>
              <w:t>09</w:t>
            </w:r>
          </w:p>
        </w:tc>
        <w:tc>
          <w:tcPr>
            <w:tcW w:w="467" w:type="pct"/>
            <w:tcBorders>
              <w:top w:val="single" w:sz="4" w:space="0" w:color="FFFFFF"/>
              <w:bottom w:val="single" w:sz="4" w:space="0" w:color="FFFFFF"/>
            </w:tcBorders>
            <w:tcMar>
              <w:top w:w="0" w:type="dxa"/>
              <w:left w:w="108" w:type="dxa"/>
              <w:bottom w:w="0" w:type="dxa"/>
              <w:right w:w="108" w:type="dxa"/>
            </w:tcMar>
          </w:tcPr>
          <w:p w14:paraId="093AF03D" w14:textId="77777777" w:rsidR="00A806CF" w:rsidRPr="00A806CF" w:rsidRDefault="00A806CF" w:rsidP="00642325">
            <w:pPr>
              <w:pStyle w:val="Standard"/>
              <w:snapToGrid w:val="0"/>
              <w:jc w:val="center"/>
              <w:rPr>
                <w:sz w:val="20"/>
                <w:szCs w:val="20"/>
              </w:rPr>
            </w:pPr>
          </w:p>
          <w:p w14:paraId="351F1AF8" w14:textId="77777777" w:rsidR="00A806CF" w:rsidRPr="00A806CF" w:rsidRDefault="00A806CF" w:rsidP="00642325">
            <w:pPr>
              <w:pStyle w:val="Standard"/>
              <w:jc w:val="center"/>
              <w:rPr>
                <w:sz w:val="20"/>
                <w:szCs w:val="20"/>
              </w:rPr>
            </w:pPr>
            <w:r w:rsidRPr="00A806CF">
              <w:rPr>
                <w:sz w:val="20"/>
                <w:szCs w:val="20"/>
              </w:rPr>
              <w:t>13</w:t>
            </w:r>
          </w:p>
        </w:tc>
        <w:tc>
          <w:tcPr>
            <w:tcW w:w="467" w:type="pct"/>
            <w:tcBorders>
              <w:top w:val="single" w:sz="4" w:space="0" w:color="FFFFFF"/>
              <w:bottom w:val="single" w:sz="4" w:space="0" w:color="FFFFFF"/>
            </w:tcBorders>
            <w:tcMar>
              <w:top w:w="0" w:type="dxa"/>
              <w:left w:w="108" w:type="dxa"/>
              <w:bottom w:w="0" w:type="dxa"/>
              <w:right w:w="108" w:type="dxa"/>
            </w:tcMar>
          </w:tcPr>
          <w:p w14:paraId="055A6886" w14:textId="77777777" w:rsidR="00A806CF" w:rsidRPr="00A806CF" w:rsidRDefault="00A806CF" w:rsidP="00642325">
            <w:pPr>
              <w:pStyle w:val="Standard"/>
              <w:snapToGrid w:val="0"/>
              <w:jc w:val="center"/>
              <w:rPr>
                <w:sz w:val="20"/>
                <w:szCs w:val="20"/>
              </w:rPr>
            </w:pPr>
          </w:p>
          <w:p w14:paraId="78689AA4"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60018E19" w14:textId="77777777" w:rsidR="00A806CF" w:rsidRPr="00A806CF" w:rsidRDefault="00A806CF" w:rsidP="00642325">
            <w:pPr>
              <w:pStyle w:val="Standard"/>
              <w:snapToGrid w:val="0"/>
              <w:jc w:val="center"/>
              <w:rPr>
                <w:sz w:val="20"/>
                <w:szCs w:val="20"/>
              </w:rPr>
            </w:pPr>
          </w:p>
          <w:p w14:paraId="36B52D20"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5F90E882" w14:textId="77777777" w:rsidR="00A806CF" w:rsidRPr="00A806CF" w:rsidRDefault="00A806CF" w:rsidP="00642325">
            <w:pPr>
              <w:pStyle w:val="Standard"/>
              <w:snapToGrid w:val="0"/>
              <w:jc w:val="center"/>
              <w:rPr>
                <w:sz w:val="20"/>
                <w:szCs w:val="20"/>
              </w:rPr>
            </w:pPr>
          </w:p>
          <w:p w14:paraId="5534B2CB" w14:textId="77777777" w:rsidR="00A806CF" w:rsidRPr="00A806CF" w:rsidRDefault="00A806CF" w:rsidP="00642325">
            <w:pPr>
              <w:pStyle w:val="Standard"/>
              <w:jc w:val="center"/>
              <w:rPr>
                <w:sz w:val="20"/>
                <w:szCs w:val="20"/>
              </w:rPr>
            </w:pPr>
            <w:r w:rsidRPr="00A806CF">
              <w:rPr>
                <w:sz w:val="20"/>
                <w:szCs w:val="20"/>
              </w:rPr>
              <w:t>08</w:t>
            </w:r>
          </w:p>
        </w:tc>
        <w:tc>
          <w:tcPr>
            <w:tcW w:w="467" w:type="pct"/>
            <w:tcBorders>
              <w:top w:val="single" w:sz="4" w:space="0" w:color="FFFFFF"/>
              <w:bottom w:val="single" w:sz="4" w:space="0" w:color="FFFFFF"/>
            </w:tcBorders>
            <w:tcMar>
              <w:top w:w="0" w:type="dxa"/>
              <w:left w:w="108" w:type="dxa"/>
              <w:bottom w:w="0" w:type="dxa"/>
              <w:right w:w="108" w:type="dxa"/>
            </w:tcMar>
          </w:tcPr>
          <w:p w14:paraId="61BC0157" w14:textId="77777777" w:rsidR="00A806CF" w:rsidRPr="00A806CF" w:rsidRDefault="00A806CF" w:rsidP="00642325">
            <w:pPr>
              <w:pStyle w:val="Standard"/>
              <w:snapToGrid w:val="0"/>
              <w:jc w:val="center"/>
              <w:rPr>
                <w:sz w:val="20"/>
                <w:szCs w:val="20"/>
              </w:rPr>
            </w:pPr>
          </w:p>
          <w:p w14:paraId="048C6085" w14:textId="77777777" w:rsidR="00A806CF" w:rsidRPr="00A806CF" w:rsidRDefault="00A806CF" w:rsidP="00642325">
            <w:pPr>
              <w:pStyle w:val="Standard"/>
              <w:jc w:val="center"/>
              <w:rPr>
                <w:sz w:val="20"/>
                <w:szCs w:val="20"/>
              </w:rPr>
            </w:pPr>
            <w:r w:rsidRPr="00A806CF">
              <w:rPr>
                <w:sz w:val="20"/>
                <w:szCs w:val="20"/>
              </w:rPr>
              <w:t>04</w:t>
            </w:r>
          </w:p>
        </w:tc>
        <w:tc>
          <w:tcPr>
            <w:tcW w:w="464" w:type="pct"/>
            <w:tcBorders>
              <w:top w:val="single" w:sz="4" w:space="0" w:color="FFFFFF"/>
              <w:bottom w:val="single" w:sz="4" w:space="0" w:color="FFFFFF"/>
            </w:tcBorders>
            <w:tcMar>
              <w:top w:w="0" w:type="dxa"/>
              <w:left w:w="108" w:type="dxa"/>
              <w:bottom w:w="0" w:type="dxa"/>
              <w:right w:w="108" w:type="dxa"/>
            </w:tcMar>
          </w:tcPr>
          <w:p w14:paraId="185F6FBD" w14:textId="77777777" w:rsidR="00A806CF" w:rsidRPr="00A806CF" w:rsidRDefault="00A806CF" w:rsidP="00642325">
            <w:pPr>
              <w:pStyle w:val="Standard"/>
              <w:snapToGrid w:val="0"/>
              <w:jc w:val="center"/>
              <w:rPr>
                <w:sz w:val="20"/>
                <w:szCs w:val="20"/>
              </w:rPr>
            </w:pPr>
          </w:p>
          <w:p w14:paraId="204E5996" w14:textId="77777777" w:rsidR="00A806CF" w:rsidRPr="00A806CF" w:rsidRDefault="00A806CF" w:rsidP="00642325">
            <w:pPr>
              <w:pStyle w:val="Standard"/>
              <w:jc w:val="center"/>
              <w:rPr>
                <w:sz w:val="20"/>
                <w:szCs w:val="20"/>
              </w:rPr>
            </w:pPr>
            <w:r w:rsidRPr="00A806CF">
              <w:rPr>
                <w:sz w:val="20"/>
                <w:szCs w:val="20"/>
              </w:rPr>
              <w:t>05</w:t>
            </w:r>
          </w:p>
        </w:tc>
      </w:tr>
      <w:tr w:rsidR="00A806CF" w:rsidRPr="00A806CF" w14:paraId="47C04BFB" w14:textId="77777777" w:rsidTr="00940996">
        <w:tc>
          <w:tcPr>
            <w:tcW w:w="751" w:type="pct"/>
            <w:vMerge/>
            <w:tcBorders>
              <w:top w:val="single" w:sz="4" w:space="0" w:color="FFFFFF"/>
            </w:tcBorders>
            <w:tcMar>
              <w:top w:w="0" w:type="dxa"/>
              <w:left w:w="108" w:type="dxa"/>
              <w:bottom w:w="0" w:type="dxa"/>
              <w:right w:w="108" w:type="dxa"/>
            </w:tcMar>
          </w:tcPr>
          <w:p w14:paraId="50EADBB3"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5CFB3293" w14:textId="77777777" w:rsidR="00A806CF" w:rsidRPr="00A806CF" w:rsidRDefault="00A806CF" w:rsidP="00642325">
            <w:pPr>
              <w:pStyle w:val="Standard"/>
              <w:jc w:val="center"/>
              <w:rPr>
                <w:sz w:val="20"/>
                <w:szCs w:val="20"/>
              </w:rPr>
            </w:pPr>
            <w:r w:rsidRPr="00A806CF">
              <w:rPr>
                <w:sz w:val="20"/>
                <w:szCs w:val="20"/>
              </w:rPr>
              <w:t>Preservação da Imagem Social</w:t>
            </w:r>
          </w:p>
        </w:tc>
        <w:tc>
          <w:tcPr>
            <w:tcW w:w="452" w:type="pct"/>
            <w:tcBorders>
              <w:top w:val="single" w:sz="4" w:space="0" w:color="FFFFFF"/>
              <w:bottom w:val="single" w:sz="4" w:space="0" w:color="FFFFFF"/>
            </w:tcBorders>
            <w:tcMar>
              <w:top w:w="0" w:type="dxa"/>
              <w:left w:w="108" w:type="dxa"/>
              <w:bottom w:w="0" w:type="dxa"/>
              <w:right w:w="108" w:type="dxa"/>
            </w:tcMar>
          </w:tcPr>
          <w:p w14:paraId="2BD0155C"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68D029BC"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14DDFDCC"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35E2F30"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6F450120"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45492DC6" w14:textId="77777777" w:rsidR="00A806CF" w:rsidRPr="00A806CF" w:rsidRDefault="00A806CF" w:rsidP="00642325">
            <w:pPr>
              <w:pStyle w:val="Standard"/>
              <w:jc w:val="center"/>
              <w:rPr>
                <w:sz w:val="20"/>
                <w:szCs w:val="20"/>
              </w:rPr>
            </w:pPr>
            <w:r w:rsidRPr="00A806CF">
              <w:rPr>
                <w:sz w:val="20"/>
                <w:szCs w:val="20"/>
              </w:rPr>
              <w:t>01</w:t>
            </w:r>
          </w:p>
        </w:tc>
        <w:tc>
          <w:tcPr>
            <w:tcW w:w="464" w:type="pct"/>
            <w:tcBorders>
              <w:top w:val="single" w:sz="4" w:space="0" w:color="FFFFFF"/>
              <w:bottom w:val="single" w:sz="4" w:space="0" w:color="FFFFFF"/>
            </w:tcBorders>
            <w:tcMar>
              <w:top w:w="0" w:type="dxa"/>
              <w:left w:w="108" w:type="dxa"/>
              <w:bottom w:w="0" w:type="dxa"/>
              <w:right w:w="108" w:type="dxa"/>
            </w:tcMar>
          </w:tcPr>
          <w:p w14:paraId="236DD63B" w14:textId="77777777" w:rsidR="00A806CF" w:rsidRPr="00A806CF" w:rsidRDefault="00A806CF" w:rsidP="00642325">
            <w:pPr>
              <w:pStyle w:val="Standard"/>
              <w:jc w:val="center"/>
              <w:rPr>
                <w:sz w:val="20"/>
                <w:szCs w:val="20"/>
              </w:rPr>
            </w:pPr>
            <w:r w:rsidRPr="00A806CF">
              <w:rPr>
                <w:sz w:val="20"/>
                <w:szCs w:val="20"/>
              </w:rPr>
              <w:t>0</w:t>
            </w:r>
          </w:p>
        </w:tc>
      </w:tr>
      <w:tr w:rsidR="00A806CF" w:rsidRPr="00A806CF" w14:paraId="6C9F107C" w14:textId="77777777" w:rsidTr="00940996">
        <w:tc>
          <w:tcPr>
            <w:tcW w:w="751" w:type="pct"/>
            <w:vMerge/>
            <w:tcBorders>
              <w:top w:val="single" w:sz="4" w:space="0" w:color="FFFFFF"/>
            </w:tcBorders>
            <w:tcMar>
              <w:top w:w="0" w:type="dxa"/>
              <w:left w:w="108" w:type="dxa"/>
              <w:bottom w:w="0" w:type="dxa"/>
              <w:right w:w="108" w:type="dxa"/>
            </w:tcMar>
          </w:tcPr>
          <w:p w14:paraId="372FBF04"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3DBFC655" w14:textId="77777777" w:rsidR="00A806CF" w:rsidRPr="00A806CF" w:rsidRDefault="00A806CF" w:rsidP="00642325">
            <w:pPr>
              <w:pStyle w:val="Standard"/>
              <w:jc w:val="center"/>
              <w:rPr>
                <w:sz w:val="20"/>
                <w:szCs w:val="20"/>
              </w:rPr>
            </w:pPr>
            <w:r w:rsidRPr="00A806CF">
              <w:rPr>
                <w:sz w:val="20"/>
                <w:szCs w:val="20"/>
              </w:rPr>
              <w:t>Vulnerabilidades Intrafamiliares</w:t>
            </w:r>
          </w:p>
          <w:p w14:paraId="01288878" w14:textId="77777777" w:rsidR="00A806CF" w:rsidRPr="00A806CF" w:rsidRDefault="00A806CF" w:rsidP="00642325">
            <w:pPr>
              <w:pStyle w:val="Standard"/>
              <w:jc w:val="center"/>
              <w:rPr>
                <w:sz w:val="20"/>
                <w:szCs w:val="20"/>
              </w:rPr>
            </w:pPr>
          </w:p>
        </w:tc>
        <w:tc>
          <w:tcPr>
            <w:tcW w:w="452" w:type="pct"/>
            <w:tcBorders>
              <w:top w:val="single" w:sz="4" w:space="0" w:color="FFFFFF"/>
              <w:bottom w:val="single" w:sz="4" w:space="0" w:color="FFFFFF"/>
            </w:tcBorders>
            <w:tcMar>
              <w:top w:w="0" w:type="dxa"/>
              <w:left w:w="108" w:type="dxa"/>
              <w:bottom w:w="0" w:type="dxa"/>
              <w:right w:w="108" w:type="dxa"/>
            </w:tcMar>
          </w:tcPr>
          <w:p w14:paraId="0B08120E" w14:textId="77777777" w:rsidR="00A806CF" w:rsidRPr="00A806CF" w:rsidRDefault="00A806CF" w:rsidP="00642325">
            <w:pPr>
              <w:pStyle w:val="Standard"/>
              <w:jc w:val="center"/>
              <w:rPr>
                <w:sz w:val="20"/>
                <w:szCs w:val="20"/>
              </w:rPr>
            </w:pPr>
            <w:r w:rsidRPr="00A806CF">
              <w:rPr>
                <w:sz w:val="20"/>
                <w:szCs w:val="20"/>
              </w:rPr>
              <w:t>03</w:t>
            </w:r>
          </w:p>
        </w:tc>
        <w:tc>
          <w:tcPr>
            <w:tcW w:w="467" w:type="pct"/>
            <w:tcBorders>
              <w:top w:val="single" w:sz="4" w:space="0" w:color="FFFFFF"/>
              <w:bottom w:val="single" w:sz="4" w:space="0" w:color="FFFFFF"/>
            </w:tcBorders>
            <w:tcMar>
              <w:top w:w="0" w:type="dxa"/>
              <w:left w:w="108" w:type="dxa"/>
              <w:bottom w:w="0" w:type="dxa"/>
              <w:right w:w="108" w:type="dxa"/>
            </w:tcMar>
          </w:tcPr>
          <w:p w14:paraId="4FA947E0" w14:textId="77777777" w:rsidR="00A806CF" w:rsidRPr="00A806CF" w:rsidRDefault="00A806CF" w:rsidP="00642325">
            <w:pPr>
              <w:pStyle w:val="Standard"/>
              <w:jc w:val="center"/>
              <w:rPr>
                <w:sz w:val="20"/>
                <w:szCs w:val="20"/>
              </w:rPr>
            </w:pPr>
            <w:r w:rsidRPr="00A806CF">
              <w:rPr>
                <w:sz w:val="20"/>
                <w:szCs w:val="20"/>
              </w:rPr>
              <w:t>05</w:t>
            </w:r>
          </w:p>
        </w:tc>
        <w:tc>
          <w:tcPr>
            <w:tcW w:w="467" w:type="pct"/>
            <w:tcBorders>
              <w:top w:val="single" w:sz="4" w:space="0" w:color="FFFFFF"/>
              <w:bottom w:val="single" w:sz="4" w:space="0" w:color="FFFFFF"/>
            </w:tcBorders>
            <w:tcMar>
              <w:top w:w="0" w:type="dxa"/>
              <w:left w:w="108" w:type="dxa"/>
              <w:bottom w:w="0" w:type="dxa"/>
              <w:right w:w="108" w:type="dxa"/>
            </w:tcMar>
          </w:tcPr>
          <w:p w14:paraId="2C3748D6" w14:textId="77777777" w:rsidR="00A806CF" w:rsidRPr="00A806CF" w:rsidRDefault="00A806CF" w:rsidP="00642325">
            <w:pPr>
              <w:pStyle w:val="Standard"/>
              <w:jc w:val="center"/>
              <w:rPr>
                <w:sz w:val="20"/>
                <w:szCs w:val="20"/>
              </w:rPr>
            </w:pPr>
            <w:r w:rsidRPr="00A806CF">
              <w:rPr>
                <w:sz w:val="20"/>
                <w:szCs w:val="20"/>
              </w:rPr>
              <w:t>03</w:t>
            </w:r>
          </w:p>
        </w:tc>
        <w:tc>
          <w:tcPr>
            <w:tcW w:w="467" w:type="pct"/>
            <w:tcBorders>
              <w:top w:val="single" w:sz="4" w:space="0" w:color="FFFFFF"/>
              <w:bottom w:val="single" w:sz="4" w:space="0" w:color="FFFFFF"/>
            </w:tcBorders>
            <w:tcMar>
              <w:top w:w="0" w:type="dxa"/>
              <w:left w:w="108" w:type="dxa"/>
              <w:bottom w:w="0" w:type="dxa"/>
              <w:right w:w="108" w:type="dxa"/>
            </w:tcMar>
          </w:tcPr>
          <w:p w14:paraId="5FF1FD7A"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619612F3"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5561E81E" w14:textId="77777777" w:rsidR="00A806CF" w:rsidRPr="00A806CF" w:rsidRDefault="00A806CF" w:rsidP="00642325">
            <w:pPr>
              <w:pStyle w:val="Standard"/>
              <w:jc w:val="center"/>
              <w:rPr>
                <w:sz w:val="20"/>
                <w:szCs w:val="20"/>
              </w:rPr>
            </w:pPr>
            <w:r w:rsidRPr="00A806CF">
              <w:rPr>
                <w:sz w:val="20"/>
                <w:szCs w:val="20"/>
              </w:rPr>
              <w:t>04</w:t>
            </w:r>
          </w:p>
        </w:tc>
        <w:tc>
          <w:tcPr>
            <w:tcW w:w="464" w:type="pct"/>
            <w:tcBorders>
              <w:top w:val="single" w:sz="4" w:space="0" w:color="FFFFFF"/>
            </w:tcBorders>
            <w:tcMar>
              <w:top w:w="0" w:type="dxa"/>
              <w:left w:w="108" w:type="dxa"/>
              <w:bottom w:w="0" w:type="dxa"/>
              <w:right w:w="108" w:type="dxa"/>
            </w:tcMar>
          </w:tcPr>
          <w:p w14:paraId="281299B2" w14:textId="77777777" w:rsidR="00A806CF" w:rsidRPr="00A806CF" w:rsidRDefault="00A806CF" w:rsidP="00642325">
            <w:pPr>
              <w:pStyle w:val="Standard"/>
              <w:jc w:val="center"/>
              <w:rPr>
                <w:sz w:val="20"/>
                <w:szCs w:val="20"/>
              </w:rPr>
            </w:pPr>
            <w:r w:rsidRPr="00A806CF">
              <w:rPr>
                <w:sz w:val="20"/>
                <w:szCs w:val="20"/>
              </w:rPr>
              <w:t>02</w:t>
            </w:r>
          </w:p>
        </w:tc>
      </w:tr>
      <w:tr w:rsidR="00A806CF" w:rsidRPr="00A806CF" w14:paraId="6F09834B" w14:textId="77777777" w:rsidTr="00940996">
        <w:trPr>
          <w:trHeight w:val="302"/>
        </w:trPr>
        <w:tc>
          <w:tcPr>
            <w:tcW w:w="1750" w:type="pct"/>
            <w:gridSpan w:val="2"/>
            <w:tcBorders>
              <w:top w:val="single" w:sz="4" w:space="0" w:color="FFFFFF"/>
              <w:bottom w:val="single" w:sz="4" w:space="0" w:color="FFFFFF"/>
            </w:tcBorders>
            <w:tcMar>
              <w:top w:w="0" w:type="dxa"/>
              <w:left w:w="108" w:type="dxa"/>
              <w:bottom w:w="0" w:type="dxa"/>
              <w:right w:w="108" w:type="dxa"/>
            </w:tcMar>
          </w:tcPr>
          <w:p w14:paraId="2D48688C" w14:textId="77777777" w:rsidR="00A806CF" w:rsidRPr="00A806CF" w:rsidRDefault="00A806CF" w:rsidP="00642325">
            <w:pPr>
              <w:pStyle w:val="Standard"/>
              <w:jc w:val="center"/>
              <w:rPr>
                <w:sz w:val="20"/>
                <w:szCs w:val="20"/>
              </w:rPr>
            </w:pPr>
            <w:r w:rsidRPr="00A806CF">
              <w:rPr>
                <w:sz w:val="20"/>
                <w:szCs w:val="20"/>
              </w:rPr>
              <w:t>Pressões da Comunidade</w:t>
            </w:r>
          </w:p>
          <w:p w14:paraId="4DDF944E" w14:textId="77777777" w:rsidR="00A806CF" w:rsidRPr="00A806CF" w:rsidRDefault="00A806CF" w:rsidP="00642325">
            <w:pPr>
              <w:pStyle w:val="Standard"/>
              <w:jc w:val="center"/>
              <w:rPr>
                <w:sz w:val="20"/>
                <w:szCs w:val="20"/>
              </w:rPr>
            </w:pPr>
          </w:p>
        </w:tc>
        <w:tc>
          <w:tcPr>
            <w:tcW w:w="452" w:type="pct"/>
            <w:tcBorders>
              <w:top w:val="single" w:sz="4" w:space="0" w:color="FFFFFF"/>
              <w:bottom w:val="single" w:sz="4" w:space="0" w:color="FFFFFF"/>
            </w:tcBorders>
            <w:tcMar>
              <w:top w:w="0" w:type="dxa"/>
              <w:left w:w="108" w:type="dxa"/>
              <w:bottom w:w="0" w:type="dxa"/>
              <w:right w:w="108" w:type="dxa"/>
            </w:tcMar>
          </w:tcPr>
          <w:p w14:paraId="15495F30"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3AD568AA" w14:textId="77777777" w:rsidR="00A806CF" w:rsidRPr="00A806CF" w:rsidRDefault="00A806CF" w:rsidP="00642325">
            <w:pPr>
              <w:pStyle w:val="Standard"/>
              <w:jc w:val="center"/>
              <w:rPr>
                <w:sz w:val="20"/>
                <w:szCs w:val="20"/>
              </w:rPr>
            </w:pPr>
            <w:r w:rsidRPr="00A806CF">
              <w:rPr>
                <w:sz w:val="20"/>
                <w:szCs w:val="20"/>
              </w:rPr>
              <w:t>05</w:t>
            </w:r>
          </w:p>
        </w:tc>
        <w:tc>
          <w:tcPr>
            <w:tcW w:w="467" w:type="pct"/>
            <w:tcBorders>
              <w:top w:val="single" w:sz="4" w:space="0" w:color="FFFFFF"/>
              <w:bottom w:val="single" w:sz="4" w:space="0" w:color="FFFFFF"/>
            </w:tcBorders>
            <w:tcMar>
              <w:top w:w="0" w:type="dxa"/>
              <w:left w:w="108" w:type="dxa"/>
              <w:bottom w:w="0" w:type="dxa"/>
              <w:right w:w="108" w:type="dxa"/>
            </w:tcMar>
          </w:tcPr>
          <w:p w14:paraId="281D0C63"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7D710881"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74603532"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9E5B494" w14:textId="77777777" w:rsidR="00A806CF" w:rsidRPr="00A806CF" w:rsidRDefault="00A806CF" w:rsidP="00642325">
            <w:pPr>
              <w:pStyle w:val="Standard"/>
              <w:jc w:val="center"/>
              <w:rPr>
                <w:sz w:val="20"/>
                <w:szCs w:val="20"/>
              </w:rPr>
            </w:pPr>
            <w:r w:rsidRPr="00A806CF">
              <w:rPr>
                <w:sz w:val="20"/>
                <w:szCs w:val="20"/>
              </w:rPr>
              <w:t>0</w:t>
            </w:r>
          </w:p>
        </w:tc>
        <w:tc>
          <w:tcPr>
            <w:tcW w:w="464" w:type="pct"/>
            <w:tcBorders>
              <w:top w:val="single" w:sz="4" w:space="0" w:color="FFFFFF"/>
              <w:bottom w:val="single" w:sz="4" w:space="0" w:color="FFFFFF"/>
            </w:tcBorders>
            <w:tcMar>
              <w:top w:w="0" w:type="dxa"/>
              <w:left w:w="108" w:type="dxa"/>
              <w:bottom w:w="0" w:type="dxa"/>
              <w:right w:w="108" w:type="dxa"/>
            </w:tcMar>
          </w:tcPr>
          <w:p w14:paraId="6C4D5D84" w14:textId="77777777" w:rsidR="00A806CF" w:rsidRPr="00A806CF" w:rsidRDefault="00A806CF" w:rsidP="00642325">
            <w:pPr>
              <w:pStyle w:val="Standard"/>
              <w:jc w:val="center"/>
              <w:rPr>
                <w:sz w:val="20"/>
                <w:szCs w:val="20"/>
              </w:rPr>
            </w:pPr>
            <w:r w:rsidRPr="00A806CF">
              <w:rPr>
                <w:sz w:val="20"/>
                <w:szCs w:val="20"/>
              </w:rPr>
              <w:t>0</w:t>
            </w:r>
          </w:p>
        </w:tc>
      </w:tr>
      <w:tr w:rsidR="00A806CF" w:rsidRPr="00A806CF" w14:paraId="24C7234E" w14:textId="77777777" w:rsidTr="00940996">
        <w:tc>
          <w:tcPr>
            <w:tcW w:w="751" w:type="pct"/>
            <w:vMerge w:val="restart"/>
            <w:tcBorders>
              <w:top w:val="single" w:sz="4" w:space="0" w:color="FFFFFF"/>
            </w:tcBorders>
            <w:tcMar>
              <w:top w:w="0" w:type="dxa"/>
              <w:left w:w="108" w:type="dxa"/>
              <w:bottom w:w="0" w:type="dxa"/>
              <w:right w:w="108" w:type="dxa"/>
            </w:tcMar>
          </w:tcPr>
          <w:p w14:paraId="5AFEB547" w14:textId="77777777" w:rsidR="00A806CF" w:rsidRPr="00A806CF" w:rsidRDefault="00A806CF" w:rsidP="00642325">
            <w:pPr>
              <w:pStyle w:val="Standard"/>
              <w:snapToGrid w:val="0"/>
              <w:jc w:val="center"/>
              <w:rPr>
                <w:sz w:val="20"/>
                <w:szCs w:val="20"/>
              </w:rPr>
            </w:pPr>
          </w:p>
          <w:p w14:paraId="787D4752" w14:textId="77777777" w:rsidR="00A806CF" w:rsidRPr="00A806CF" w:rsidRDefault="00A806CF" w:rsidP="00642325">
            <w:pPr>
              <w:pStyle w:val="Standard"/>
              <w:jc w:val="center"/>
              <w:rPr>
                <w:sz w:val="20"/>
                <w:szCs w:val="20"/>
              </w:rPr>
            </w:pPr>
          </w:p>
          <w:p w14:paraId="79260F85" w14:textId="77777777" w:rsidR="00A806CF" w:rsidRPr="00A806CF" w:rsidRDefault="00A806CF" w:rsidP="00642325">
            <w:pPr>
              <w:pStyle w:val="Standard"/>
              <w:jc w:val="center"/>
              <w:rPr>
                <w:sz w:val="20"/>
                <w:szCs w:val="20"/>
              </w:rPr>
            </w:pPr>
          </w:p>
          <w:p w14:paraId="442E4F89" w14:textId="77777777" w:rsidR="00A806CF" w:rsidRPr="00A806CF" w:rsidRDefault="00A806CF" w:rsidP="00642325">
            <w:pPr>
              <w:pStyle w:val="Standard"/>
              <w:jc w:val="center"/>
              <w:rPr>
                <w:sz w:val="20"/>
                <w:szCs w:val="20"/>
              </w:rPr>
            </w:pPr>
          </w:p>
          <w:p w14:paraId="3FAE1C1A" w14:textId="77777777" w:rsidR="00A806CF" w:rsidRPr="00A806CF" w:rsidRDefault="00A806CF" w:rsidP="00642325">
            <w:pPr>
              <w:pStyle w:val="Standard"/>
              <w:jc w:val="center"/>
              <w:rPr>
                <w:sz w:val="20"/>
                <w:szCs w:val="20"/>
              </w:rPr>
            </w:pPr>
            <w:r w:rsidRPr="00A806CF">
              <w:rPr>
                <w:sz w:val="20"/>
                <w:szCs w:val="20"/>
              </w:rPr>
              <w:t>A rede de atendimento</w:t>
            </w:r>
          </w:p>
        </w:tc>
        <w:tc>
          <w:tcPr>
            <w:tcW w:w="1000" w:type="pct"/>
            <w:tcBorders>
              <w:top w:val="single" w:sz="4" w:space="0" w:color="FFFFFF"/>
              <w:bottom w:val="single" w:sz="4" w:space="0" w:color="FFFFFF"/>
            </w:tcBorders>
            <w:tcMar>
              <w:top w:w="0" w:type="dxa"/>
              <w:left w:w="108" w:type="dxa"/>
              <w:bottom w:w="0" w:type="dxa"/>
              <w:right w:w="108" w:type="dxa"/>
            </w:tcMar>
          </w:tcPr>
          <w:p w14:paraId="1578E96A" w14:textId="77777777" w:rsidR="00A806CF" w:rsidRPr="00A806CF" w:rsidRDefault="00A806CF" w:rsidP="00642325">
            <w:pPr>
              <w:pStyle w:val="Standard"/>
              <w:jc w:val="center"/>
              <w:rPr>
                <w:sz w:val="20"/>
                <w:szCs w:val="20"/>
              </w:rPr>
            </w:pPr>
            <w:r w:rsidRPr="00A806CF">
              <w:rPr>
                <w:sz w:val="20"/>
                <w:szCs w:val="20"/>
              </w:rPr>
              <w:t>Qualidade dos Serviços</w:t>
            </w:r>
          </w:p>
        </w:tc>
        <w:tc>
          <w:tcPr>
            <w:tcW w:w="452" w:type="pct"/>
            <w:tcBorders>
              <w:top w:val="single" w:sz="4" w:space="0" w:color="FFFFFF"/>
              <w:bottom w:val="single" w:sz="4" w:space="0" w:color="FFFFFF"/>
            </w:tcBorders>
            <w:tcMar>
              <w:top w:w="0" w:type="dxa"/>
              <w:left w:w="108" w:type="dxa"/>
              <w:bottom w:w="0" w:type="dxa"/>
              <w:right w:w="108" w:type="dxa"/>
            </w:tcMar>
          </w:tcPr>
          <w:p w14:paraId="5A9F446C" w14:textId="77777777" w:rsidR="00A806CF" w:rsidRPr="00A806CF" w:rsidRDefault="00A806CF" w:rsidP="00642325">
            <w:pPr>
              <w:pStyle w:val="Standard"/>
              <w:snapToGrid w:val="0"/>
              <w:jc w:val="center"/>
              <w:rPr>
                <w:sz w:val="20"/>
                <w:szCs w:val="20"/>
              </w:rPr>
            </w:pPr>
          </w:p>
          <w:p w14:paraId="2B10D6E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401206F5" w14:textId="77777777" w:rsidR="00A806CF" w:rsidRPr="00A806CF" w:rsidRDefault="00A806CF" w:rsidP="00642325">
            <w:pPr>
              <w:pStyle w:val="Standard"/>
              <w:snapToGrid w:val="0"/>
              <w:jc w:val="center"/>
              <w:rPr>
                <w:sz w:val="20"/>
                <w:szCs w:val="20"/>
              </w:rPr>
            </w:pPr>
          </w:p>
          <w:p w14:paraId="0EA1BC13"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6DB8DAEC" w14:textId="77777777" w:rsidR="00A806CF" w:rsidRPr="00A806CF" w:rsidRDefault="00A806CF" w:rsidP="00642325">
            <w:pPr>
              <w:pStyle w:val="Standard"/>
              <w:snapToGrid w:val="0"/>
              <w:jc w:val="center"/>
              <w:rPr>
                <w:sz w:val="20"/>
                <w:szCs w:val="20"/>
              </w:rPr>
            </w:pPr>
          </w:p>
          <w:p w14:paraId="67B38E83"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FFFFFF"/>
            </w:tcBorders>
            <w:tcMar>
              <w:top w:w="0" w:type="dxa"/>
              <w:left w:w="108" w:type="dxa"/>
              <w:bottom w:w="0" w:type="dxa"/>
              <w:right w:w="108" w:type="dxa"/>
            </w:tcMar>
          </w:tcPr>
          <w:p w14:paraId="6E6F1E50" w14:textId="77777777" w:rsidR="00A806CF" w:rsidRPr="00A806CF" w:rsidRDefault="00A806CF" w:rsidP="00642325">
            <w:pPr>
              <w:pStyle w:val="Standard"/>
              <w:snapToGrid w:val="0"/>
              <w:jc w:val="center"/>
              <w:rPr>
                <w:sz w:val="20"/>
                <w:szCs w:val="20"/>
              </w:rPr>
            </w:pPr>
          </w:p>
          <w:p w14:paraId="37EAE464"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49489796" w14:textId="77777777" w:rsidR="00A806CF" w:rsidRPr="00A806CF" w:rsidRDefault="00A806CF" w:rsidP="00642325">
            <w:pPr>
              <w:pStyle w:val="Standard"/>
              <w:snapToGrid w:val="0"/>
              <w:jc w:val="center"/>
              <w:rPr>
                <w:sz w:val="20"/>
                <w:szCs w:val="20"/>
              </w:rPr>
            </w:pPr>
          </w:p>
          <w:p w14:paraId="00EC255F"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7E6252BF" w14:textId="77777777" w:rsidR="00A806CF" w:rsidRPr="00A806CF" w:rsidRDefault="00A806CF" w:rsidP="00642325">
            <w:pPr>
              <w:pStyle w:val="Standard"/>
              <w:snapToGrid w:val="0"/>
              <w:jc w:val="center"/>
              <w:rPr>
                <w:sz w:val="20"/>
                <w:szCs w:val="20"/>
              </w:rPr>
            </w:pPr>
          </w:p>
          <w:p w14:paraId="1D0D7428" w14:textId="77777777" w:rsidR="00A806CF" w:rsidRPr="00A806CF" w:rsidRDefault="00A806CF" w:rsidP="00642325">
            <w:pPr>
              <w:pStyle w:val="Standard"/>
              <w:jc w:val="center"/>
              <w:rPr>
                <w:sz w:val="20"/>
                <w:szCs w:val="20"/>
              </w:rPr>
            </w:pPr>
            <w:r w:rsidRPr="00A806CF">
              <w:rPr>
                <w:sz w:val="20"/>
                <w:szCs w:val="20"/>
              </w:rPr>
              <w:t>0</w:t>
            </w:r>
          </w:p>
        </w:tc>
        <w:tc>
          <w:tcPr>
            <w:tcW w:w="464" w:type="pct"/>
            <w:tcBorders>
              <w:top w:val="single" w:sz="4" w:space="0" w:color="FFFFFF"/>
              <w:bottom w:val="single" w:sz="4" w:space="0" w:color="FFFFFF"/>
            </w:tcBorders>
            <w:tcMar>
              <w:top w:w="0" w:type="dxa"/>
              <w:left w:w="108" w:type="dxa"/>
              <w:bottom w:w="0" w:type="dxa"/>
              <w:right w:w="108" w:type="dxa"/>
            </w:tcMar>
          </w:tcPr>
          <w:p w14:paraId="282DF0D5" w14:textId="77777777" w:rsidR="00A806CF" w:rsidRPr="00A806CF" w:rsidRDefault="00A806CF" w:rsidP="00642325">
            <w:pPr>
              <w:pStyle w:val="Standard"/>
              <w:snapToGrid w:val="0"/>
              <w:jc w:val="center"/>
              <w:rPr>
                <w:sz w:val="20"/>
                <w:szCs w:val="20"/>
              </w:rPr>
            </w:pPr>
          </w:p>
          <w:p w14:paraId="057CEE1B"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6B4D8B3D" w14:textId="77777777" w:rsidTr="00940996">
        <w:tc>
          <w:tcPr>
            <w:tcW w:w="751" w:type="pct"/>
            <w:vMerge/>
            <w:tcBorders>
              <w:top w:val="single" w:sz="4" w:space="0" w:color="FFFFFF"/>
            </w:tcBorders>
            <w:tcMar>
              <w:top w:w="0" w:type="dxa"/>
              <w:left w:w="108" w:type="dxa"/>
              <w:bottom w:w="0" w:type="dxa"/>
              <w:right w:w="108" w:type="dxa"/>
            </w:tcMar>
          </w:tcPr>
          <w:p w14:paraId="06A2223C"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1508026F" w14:textId="77777777" w:rsidR="00A806CF" w:rsidRPr="00A806CF" w:rsidRDefault="00A806CF" w:rsidP="00642325">
            <w:pPr>
              <w:pStyle w:val="Standard"/>
              <w:jc w:val="center"/>
              <w:rPr>
                <w:sz w:val="20"/>
                <w:szCs w:val="20"/>
              </w:rPr>
            </w:pPr>
            <w:r w:rsidRPr="00A806CF">
              <w:rPr>
                <w:sz w:val="20"/>
                <w:szCs w:val="20"/>
              </w:rPr>
              <w:t>Retirada da Criança do Contexto de Vida Habitual</w:t>
            </w:r>
          </w:p>
        </w:tc>
        <w:tc>
          <w:tcPr>
            <w:tcW w:w="452" w:type="pct"/>
            <w:tcBorders>
              <w:top w:val="single" w:sz="4" w:space="0" w:color="FFFFFF"/>
              <w:bottom w:val="single" w:sz="4" w:space="0" w:color="FFFFFF"/>
            </w:tcBorders>
            <w:tcMar>
              <w:top w:w="0" w:type="dxa"/>
              <w:left w:w="108" w:type="dxa"/>
              <w:bottom w:w="0" w:type="dxa"/>
              <w:right w:w="108" w:type="dxa"/>
            </w:tcMar>
          </w:tcPr>
          <w:p w14:paraId="6F521D5C" w14:textId="77777777" w:rsidR="00A806CF" w:rsidRPr="00A806CF" w:rsidRDefault="00A806CF" w:rsidP="00642325">
            <w:pPr>
              <w:pStyle w:val="Standard"/>
              <w:snapToGrid w:val="0"/>
              <w:jc w:val="center"/>
              <w:rPr>
                <w:sz w:val="20"/>
                <w:szCs w:val="20"/>
              </w:rPr>
            </w:pPr>
          </w:p>
          <w:p w14:paraId="3C3D45B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15A92C1E" w14:textId="77777777" w:rsidR="00A806CF" w:rsidRPr="00A806CF" w:rsidRDefault="00A806CF" w:rsidP="00642325">
            <w:pPr>
              <w:pStyle w:val="Standard"/>
              <w:snapToGrid w:val="0"/>
              <w:jc w:val="center"/>
              <w:rPr>
                <w:sz w:val="20"/>
                <w:szCs w:val="20"/>
              </w:rPr>
            </w:pPr>
          </w:p>
          <w:p w14:paraId="160E472E" w14:textId="77777777" w:rsidR="00A806CF" w:rsidRPr="00A806CF" w:rsidRDefault="00A806CF" w:rsidP="00642325">
            <w:pPr>
              <w:pStyle w:val="Standard"/>
              <w:jc w:val="center"/>
              <w:rPr>
                <w:sz w:val="20"/>
                <w:szCs w:val="20"/>
              </w:rPr>
            </w:pPr>
            <w:r w:rsidRPr="00A806CF">
              <w:rPr>
                <w:sz w:val="20"/>
                <w:szCs w:val="20"/>
              </w:rPr>
              <w:t>03</w:t>
            </w:r>
          </w:p>
        </w:tc>
        <w:tc>
          <w:tcPr>
            <w:tcW w:w="467" w:type="pct"/>
            <w:tcBorders>
              <w:top w:val="single" w:sz="4" w:space="0" w:color="FFFFFF"/>
              <w:bottom w:val="single" w:sz="4" w:space="0" w:color="FFFFFF"/>
            </w:tcBorders>
            <w:tcMar>
              <w:top w:w="0" w:type="dxa"/>
              <w:left w:w="108" w:type="dxa"/>
              <w:bottom w:w="0" w:type="dxa"/>
              <w:right w:w="108" w:type="dxa"/>
            </w:tcMar>
          </w:tcPr>
          <w:p w14:paraId="3CCD5FBE" w14:textId="77777777" w:rsidR="00A806CF" w:rsidRPr="00A806CF" w:rsidRDefault="00A806CF" w:rsidP="00642325">
            <w:pPr>
              <w:pStyle w:val="Standard"/>
              <w:snapToGrid w:val="0"/>
              <w:jc w:val="center"/>
              <w:rPr>
                <w:sz w:val="20"/>
                <w:szCs w:val="20"/>
              </w:rPr>
            </w:pPr>
          </w:p>
          <w:p w14:paraId="2DDEC00F"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557AD697" w14:textId="77777777" w:rsidR="00A806CF" w:rsidRPr="00A806CF" w:rsidRDefault="00A806CF" w:rsidP="00642325">
            <w:pPr>
              <w:pStyle w:val="Standard"/>
              <w:snapToGrid w:val="0"/>
              <w:jc w:val="center"/>
              <w:rPr>
                <w:sz w:val="20"/>
                <w:szCs w:val="20"/>
              </w:rPr>
            </w:pPr>
          </w:p>
          <w:p w14:paraId="64874235"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3403E5EA" w14:textId="77777777" w:rsidR="00A806CF" w:rsidRPr="00A806CF" w:rsidRDefault="00A806CF" w:rsidP="00642325">
            <w:pPr>
              <w:pStyle w:val="Standard"/>
              <w:snapToGrid w:val="0"/>
              <w:jc w:val="center"/>
              <w:rPr>
                <w:sz w:val="20"/>
                <w:szCs w:val="20"/>
              </w:rPr>
            </w:pPr>
          </w:p>
          <w:p w14:paraId="149802C0"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26AE30D4" w14:textId="77777777" w:rsidR="00A806CF" w:rsidRPr="00A806CF" w:rsidRDefault="00A806CF" w:rsidP="00642325">
            <w:pPr>
              <w:pStyle w:val="Standard"/>
              <w:snapToGrid w:val="0"/>
              <w:jc w:val="center"/>
              <w:rPr>
                <w:sz w:val="20"/>
                <w:szCs w:val="20"/>
              </w:rPr>
            </w:pPr>
          </w:p>
          <w:p w14:paraId="03940DE2" w14:textId="77777777" w:rsidR="00A806CF" w:rsidRPr="00A806CF" w:rsidRDefault="00A806CF" w:rsidP="00642325">
            <w:pPr>
              <w:pStyle w:val="Standard"/>
              <w:jc w:val="center"/>
              <w:rPr>
                <w:sz w:val="20"/>
                <w:szCs w:val="20"/>
              </w:rPr>
            </w:pPr>
            <w:r w:rsidRPr="00A806CF">
              <w:rPr>
                <w:sz w:val="20"/>
                <w:szCs w:val="20"/>
              </w:rPr>
              <w:t>03</w:t>
            </w:r>
          </w:p>
        </w:tc>
        <w:tc>
          <w:tcPr>
            <w:tcW w:w="464" w:type="pct"/>
            <w:tcBorders>
              <w:top w:val="single" w:sz="4" w:space="0" w:color="FFFFFF"/>
              <w:bottom w:val="single" w:sz="4" w:space="0" w:color="FFFFFF"/>
            </w:tcBorders>
            <w:tcMar>
              <w:top w:w="0" w:type="dxa"/>
              <w:left w:w="108" w:type="dxa"/>
              <w:bottom w:w="0" w:type="dxa"/>
              <w:right w:w="108" w:type="dxa"/>
            </w:tcMar>
          </w:tcPr>
          <w:p w14:paraId="61E55AE9" w14:textId="77777777" w:rsidR="00A806CF" w:rsidRPr="00A806CF" w:rsidRDefault="00A806CF" w:rsidP="00642325">
            <w:pPr>
              <w:pStyle w:val="Standard"/>
              <w:snapToGrid w:val="0"/>
              <w:jc w:val="center"/>
              <w:rPr>
                <w:sz w:val="20"/>
                <w:szCs w:val="20"/>
              </w:rPr>
            </w:pPr>
          </w:p>
          <w:p w14:paraId="36DD853F" w14:textId="77777777" w:rsidR="00A806CF" w:rsidRPr="00A806CF" w:rsidRDefault="00A806CF" w:rsidP="00642325">
            <w:pPr>
              <w:pStyle w:val="Standard"/>
              <w:jc w:val="center"/>
              <w:rPr>
                <w:sz w:val="20"/>
                <w:szCs w:val="20"/>
              </w:rPr>
            </w:pPr>
            <w:r w:rsidRPr="00A806CF">
              <w:rPr>
                <w:sz w:val="20"/>
                <w:szCs w:val="20"/>
              </w:rPr>
              <w:t>0</w:t>
            </w:r>
          </w:p>
        </w:tc>
      </w:tr>
      <w:tr w:rsidR="00A806CF" w:rsidRPr="00A806CF" w14:paraId="6D7C86AD" w14:textId="77777777" w:rsidTr="00940996">
        <w:tc>
          <w:tcPr>
            <w:tcW w:w="751" w:type="pct"/>
            <w:vMerge/>
            <w:tcBorders>
              <w:top w:val="single" w:sz="4" w:space="0" w:color="FFFFFF"/>
            </w:tcBorders>
            <w:tcMar>
              <w:top w:w="0" w:type="dxa"/>
              <w:left w:w="108" w:type="dxa"/>
              <w:bottom w:w="0" w:type="dxa"/>
              <w:right w:w="108" w:type="dxa"/>
            </w:tcMar>
          </w:tcPr>
          <w:p w14:paraId="18E39CB2" w14:textId="77777777" w:rsidR="00A806CF" w:rsidRPr="00A806CF" w:rsidRDefault="00A806CF" w:rsidP="00642325">
            <w:pPr>
              <w:rPr>
                <w:sz w:val="20"/>
                <w:szCs w:val="20"/>
              </w:rPr>
            </w:pPr>
          </w:p>
        </w:tc>
        <w:tc>
          <w:tcPr>
            <w:tcW w:w="1000" w:type="pct"/>
            <w:tcBorders>
              <w:top w:val="single" w:sz="4" w:space="0" w:color="FFFFFF"/>
              <w:bottom w:val="single" w:sz="4" w:space="0" w:color="FFFFFF"/>
            </w:tcBorders>
            <w:tcMar>
              <w:top w:w="0" w:type="dxa"/>
              <w:left w:w="108" w:type="dxa"/>
              <w:bottom w:w="0" w:type="dxa"/>
              <w:right w:w="108" w:type="dxa"/>
            </w:tcMar>
          </w:tcPr>
          <w:p w14:paraId="6EFF241D" w14:textId="77777777" w:rsidR="00A806CF" w:rsidRPr="00A806CF" w:rsidRDefault="00A806CF" w:rsidP="00642325">
            <w:pPr>
              <w:pStyle w:val="Standard"/>
              <w:jc w:val="center"/>
              <w:rPr>
                <w:sz w:val="20"/>
                <w:szCs w:val="20"/>
              </w:rPr>
            </w:pPr>
            <w:r w:rsidRPr="00A806CF">
              <w:rPr>
                <w:sz w:val="20"/>
                <w:szCs w:val="20"/>
              </w:rPr>
              <w:t>Quantidade de Entrevistas</w:t>
            </w:r>
          </w:p>
        </w:tc>
        <w:tc>
          <w:tcPr>
            <w:tcW w:w="452" w:type="pct"/>
            <w:tcBorders>
              <w:top w:val="single" w:sz="4" w:space="0" w:color="FFFFFF"/>
              <w:bottom w:val="single" w:sz="4" w:space="0" w:color="FFFFFF"/>
            </w:tcBorders>
            <w:tcMar>
              <w:top w:w="0" w:type="dxa"/>
              <w:left w:w="108" w:type="dxa"/>
              <w:bottom w:w="0" w:type="dxa"/>
              <w:right w:w="108" w:type="dxa"/>
            </w:tcMar>
          </w:tcPr>
          <w:p w14:paraId="4D19695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62EC064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13BA98EF"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7889BDF2"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FFFFFF"/>
            </w:tcBorders>
            <w:tcMar>
              <w:top w:w="0" w:type="dxa"/>
              <w:left w:w="108" w:type="dxa"/>
              <w:bottom w:w="0" w:type="dxa"/>
              <w:right w:w="108" w:type="dxa"/>
            </w:tcMar>
          </w:tcPr>
          <w:p w14:paraId="5748E4CC"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FFFFFF"/>
            </w:tcBorders>
            <w:tcMar>
              <w:top w:w="0" w:type="dxa"/>
              <w:left w:w="108" w:type="dxa"/>
              <w:bottom w:w="0" w:type="dxa"/>
              <w:right w:w="108" w:type="dxa"/>
            </w:tcMar>
          </w:tcPr>
          <w:p w14:paraId="227E57ED" w14:textId="77777777" w:rsidR="00A806CF" w:rsidRPr="00A806CF" w:rsidRDefault="00A806CF" w:rsidP="00642325">
            <w:pPr>
              <w:pStyle w:val="Standard"/>
              <w:jc w:val="center"/>
              <w:rPr>
                <w:sz w:val="20"/>
                <w:szCs w:val="20"/>
              </w:rPr>
            </w:pPr>
            <w:r w:rsidRPr="00A806CF">
              <w:rPr>
                <w:sz w:val="20"/>
                <w:szCs w:val="20"/>
              </w:rPr>
              <w:t>0</w:t>
            </w:r>
          </w:p>
        </w:tc>
        <w:tc>
          <w:tcPr>
            <w:tcW w:w="464" w:type="pct"/>
            <w:tcBorders>
              <w:top w:val="single" w:sz="4" w:space="0" w:color="FFFFFF"/>
              <w:bottom w:val="single" w:sz="4" w:space="0" w:color="FFFFFF"/>
            </w:tcBorders>
            <w:tcMar>
              <w:top w:w="0" w:type="dxa"/>
              <w:left w:w="108" w:type="dxa"/>
              <w:bottom w:w="0" w:type="dxa"/>
              <w:right w:w="108" w:type="dxa"/>
            </w:tcMar>
          </w:tcPr>
          <w:p w14:paraId="63FFF590" w14:textId="77777777" w:rsidR="00A806CF" w:rsidRPr="00A806CF" w:rsidRDefault="00A806CF" w:rsidP="00642325">
            <w:pPr>
              <w:pStyle w:val="Standard"/>
              <w:jc w:val="center"/>
              <w:rPr>
                <w:sz w:val="20"/>
                <w:szCs w:val="20"/>
              </w:rPr>
            </w:pPr>
            <w:r w:rsidRPr="00A806CF">
              <w:rPr>
                <w:sz w:val="20"/>
                <w:szCs w:val="20"/>
              </w:rPr>
              <w:t>01</w:t>
            </w:r>
          </w:p>
        </w:tc>
      </w:tr>
      <w:tr w:rsidR="00A806CF" w:rsidRPr="00A806CF" w14:paraId="63E14930" w14:textId="77777777" w:rsidTr="00940996">
        <w:tc>
          <w:tcPr>
            <w:tcW w:w="751" w:type="pct"/>
            <w:vMerge/>
            <w:tcBorders>
              <w:top w:val="single" w:sz="4" w:space="0" w:color="FFFFFF"/>
              <w:bottom w:val="single" w:sz="4" w:space="0" w:color="000000"/>
            </w:tcBorders>
            <w:tcMar>
              <w:top w:w="0" w:type="dxa"/>
              <w:left w:w="108" w:type="dxa"/>
              <w:bottom w:w="0" w:type="dxa"/>
              <w:right w:w="108" w:type="dxa"/>
            </w:tcMar>
          </w:tcPr>
          <w:p w14:paraId="5D47943B" w14:textId="77777777" w:rsidR="00A806CF" w:rsidRPr="00A806CF" w:rsidRDefault="00A806CF" w:rsidP="00642325">
            <w:pPr>
              <w:rPr>
                <w:sz w:val="20"/>
                <w:szCs w:val="20"/>
              </w:rPr>
            </w:pPr>
          </w:p>
        </w:tc>
        <w:tc>
          <w:tcPr>
            <w:tcW w:w="1000" w:type="pct"/>
            <w:tcBorders>
              <w:top w:val="single" w:sz="4" w:space="0" w:color="FFFFFF"/>
              <w:bottom w:val="single" w:sz="4" w:space="0" w:color="808080"/>
            </w:tcBorders>
            <w:tcMar>
              <w:top w:w="0" w:type="dxa"/>
              <w:left w:w="108" w:type="dxa"/>
              <w:bottom w:w="0" w:type="dxa"/>
              <w:right w:w="108" w:type="dxa"/>
            </w:tcMar>
          </w:tcPr>
          <w:p w14:paraId="1E0E7F2A" w14:textId="77777777" w:rsidR="00A806CF" w:rsidRPr="00A806CF" w:rsidRDefault="00A806CF" w:rsidP="00642325">
            <w:pPr>
              <w:pStyle w:val="Standard"/>
              <w:jc w:val="center"/>
              <w:rPr>
                <w:sz w:val="20"/>
                <w:szCs w:val="20"/>
              </w:rPr>
            </w:pPr>
            <w:r w:rsidRPr="00A806CF">
              <w:rPr>
                <w:sz w:val="20"/>
                <w:szCs w:val="20"/>
              </w:rPr>
              <w:t>Intervalo Temporal</w:t>
            </w:r>
          </w:p>
          <w:p w14:paraId="2D313F08" w14:textId="77777777" w:rsidR="00A806CF" w:rsidRPr="00A806CF" w:rsidRDefault="00A806CF" w:rsidP="00642325">
            <w:pPr>
              <w:pStyle w:val="Standard"/>
              <w:jc w:val="center"/>
              <w:rPr>
                <w:sz w:val="20"/>
                <w:szCs w:val="20"/>
              </w:rPr>
            </w:pPr>
            <w:r w:rsidRPr="00A806CF">
              <w:rPr>
                <w:sz w:val="20"/>
                <w:szCs w:val="20"/>
              </w:rPr>
              <w:t>Entre os Atendimentos</w:t>
            </w:r>
          </w:p>
        </w:tc>
        <w:tc>
          <w:tcPr>
            <w:tcW w:w="452" w:type="pct"/>
            <w:tcBorders>
              <w:top w:val="single" w:sz="4" w:space="0" w:color="FFFFFF"/>
              <w:bottom w:val="single" w:sz="4" w:space="0" w:color="000000"/>
            </w:tcBorders>
            <w:tcMar>
              <w:top w:w="0" w:type="dxa"/>
              <w:left w:w="108" w:type="dxa"/>
              <w:bottom w:w="0" w:type="dxa"/>
              <w:right w:w="108" w:type="dxa"/>
            </w:tcMar>
          </w:tcPr>
          <w:p w14:paraId="554BE867" w14:textId="77777777" w:rsidR="00A806CF" w:rsidRPr="00A806CF" w:rsidRDefault="00A806CF" w:rsidP="00642325">
            <w:pPr>
              <w:pStyle w:val="Standard"/>
              <w:snapToGrid w:val="0"/>
              <w:jc w:val="center"/>
              <w:rPr>
                <w:sz w:val="20"/>
                <w:szCs w:val="20"/>
              </w:rPr>
            </w:pPr>
          </w:p>
          <w:p w14:paraId="5C1F90BB" w14:textId="77777777" w:rsidR="00A806CF" w:rsidRPr="00A806CF" w:rsidRDefault="00A806CF" w:rsidP="00642325">
            <w:pPr>
              <w:pStyle w:val="Standard"/>
              <w:jc w:val="center"/>
              <w:rPr>
                <w:sz w:val="20"/>
                <w:szCs w:val="20"/>
              </w:rPr>
            </w:pPr>
            <w:r w:rsidRPr="00A806CF">
              <w:rPr>
                <w:sz w:val="20"/>
                <w:szCs w:val="20"/>
              </w:rPr>
              <w:t>02</w:t>
            </w:r>
          </w:p>
        </w:tc>
        <w:tc>
          <w:tcPr>
            <w:tcW w:w="467" w:type="pct"/>
            <w:tcBorders>
              <w:top w:val="single" w:sz="4" w:space="0" w:color="FFFFFF"/>
              <w:bottom w:val="single" w:sz="4" w:space="0" w:color="000000"/>
            </w:tcBorders>
            <w:tcMar>
              <w:top w:w="0" w:type="dxa"/>
              <w:left w:w="108" w:type="dxa"/>
              <w:bottom w:w="0" w:type="dxa"/>
              <w:right w:w="108" w:type="dxa"/>
            </w:tcMar>
          </w:tcPr>
          <w:p w14:paraId="4200438E" w14:textId="77777777" w:rsidR="00A806CF" w:rsidRPr="00A806CF" w:rsidRDefault="00A806CF" w:rsidP="00642325">
            <w:pPr>
              <w:pStyle w:val="Standard"/>
              <w:snapToGrid w:val="0"/>
              <w:jc w:val="center"/>
              <w:rPr>
                <w:sz w:val="20"/>
                <w:szCs w:val="20"/>
              </w:rPr>
            </w:pPr>
          </w:p>
          <w:p w14:paraId="1F2C6E76" w14:textId="77777777" w:rsidR="00A806CF" w:rsidRPr="00A806CF" w:rsidRDefault="00A806CF" w:rsidP="00642325">
            <w:pPr>
              <w:pStyle w:val="Standard"/>
              <w:jc w:val="center"/>
              <w:rPr>
                <w:sz w:val="20"/>
                <w:szCs w:val="20"/>
              </w:rPr>
            </w:pPr>
            <w:r w:rsidRPr="00A806CF">
              <w:rPr>
                <w:sz w:val="20"/>
                <w:szCs w:val="20"/>
              </w:rPr>
              <w:t>03</w:t>
            </w:r>
          </w:p>
        </w:tc>
        <w:tc>
          <w:tcPr>
            <w:tcW w:w="467" w:type="pct"/>
            <w:tcBorders>
              <w:top w:val="single" w:sz="4" w:space="0" w:color="FFFFFF"/>
              <w:bottom w:val="single" w:sz="4" w:space="0" w:color="000000"/>
            </w:tcBorders>
            <w:tcMar>
              <w:top w:w="0" w:type="dxa"/>
              <w:left w:w="108" w:type="dxa"/>
              <w:bottom w:w="0" w:type="dxa"/>
              <w:right w:w="108" w:type="dxa"/>
            </w:tcMar>
          </w:tcPr>
          <w:p w14:paraId="06967079" w14:textId="77777777" w:rsidR="00A806CF" w:rsidRPr="00A806CF" w:rsidRDefault="00A806CF" w:rsidP="00642325">
            <w:pPr>
              <w:pStyle w:val="Standard"/>
              <w:snapToGrid w:val="0"/>
              <w:jc w:val="center"/>
              <w:rPr>
                <w:sz w:val="20"/>
                <w:szCs w:val="20"/>
              </w:rPr>
            </w:pPr>
          </w:p>
          <w:p w14:paraId="54658FFF" w14:textId="77777777" w:rsidR="00A806CF" w:rsidRPr="00A806CF" w:rsidRDefault="00A806CF" w:rsidP="00642325">
            <w:pPr>
              <w:pStyle w:val="Standard"/>
              <w:jc w:val="center"/>
              <w:rPr>
                <w:sz w:val="20"/>
                <w:szCs w:val="20"/>
              </w:rPr>
            </w:pPr>
            <w:r w:rsidRPr="00A806CF">
              <w:rPr>
                <w:sz w:val="20"/>
                <w:szCs w:val="20"/>
              </w:rPr>
              <w:t>01</w:t>
            </w:r>
          </w:p>
        </w:tc>
        <w:tc>
          <w:tcPr>
            <w:tcW w:w="467" w:type="pct"/>
            <w:tcBorders>
              <w:top w:val="single" w:sz="4" w:space="0" w:color="FFFFFF"/>
              <w:bottom w:val="single" w:sz="4" w:space="0" w:color="000000"/>
            </w:tcBorders>
            <w:tcMar>
              <w:top w:w="0" w:type="dxa"/>
              <w:left w:w="108" w:type="dxa"/>
              <w:bottom w:w="0" w:type="dxa"/>
              <w:right w:w="108" w:type="dxa"/>
            </w:tcMar>
          </w:tcPr>
          <w:p w14:paraId="575212C3" w14:textId="77777777" w:rsidR="00A806CF" w:rsidRPr="00A806CF" w:rsidRDefault="00A806CF" w:rsidP="00642325">
            <w:pPr>
              <w:pStyle w:val="Standard"/>
              <w:snapToGrid w:val="0"/>
              <w:jc w:val="center"/>
              <w:rPr>
                <w:sz w:val="20"/>
                <w:szCs w:val="20"/>
              </w:rPr>
            </w:pPr>
          </w:p>
          <w:p w14:paraId="02A6969D" w14:textId="77777777" w:rsidR="00A806CF" w:rsidRPr="00A806CF" w:rsidRDefault="00A806CF" w:rsidP="00642325">
            <w:pPr>
              <w:pStyle w:val="Standard"/>
              <w:jc w:val="center"/>
              <w:rPr>
                <w:sz w:val="20"/>
                <w:szCs w:val="20"/>
              </w:rPr>
            </w:pPr>
            <w:r w:rsidRPr="00A806CF">
              <w:rPr>
                <w:sz w:val="20"/>
                <w:szCs w:val="20"/>
              </w:rPr>
              <w:t>0</w:t>
            </w:r>
          </w:p>
        </w:tc>
        <w:tc>
          <w:tcPr>
            <w:tcW w:w="467" w:type="pct"/>
            <w:tcBorders>
              <w:top w:val="single" w:sz="4" w:space="0" w:color="FFFFFF"/>
              <w:bottom w:val="single" w:sz="4" w:space="0" w:color="000000"/>
            </w:tcBorders>
            <w:tcMar>
              <w:top w:w="0" w:type="dxa"/>
              <w:left w:w="108" w:type="dxa"/>
              <w:bottom w:w="0" w:type="dxa"/>
              <w:right w:w="108" w:type="dxa"/>
            </w:tcMar>
          </w:tcPr>
          <w:p w14:paraId="4BECBB5C" w14:textId="77777777" w:rsidR="00A806CF" w:rsidRPr="00A806CF" w:rsidRDefault="00A806CF" w:rsidP="00642325">
            <w:pPr>
              <w:pStyle w:val="Standard"/>
              <w:snapToGrid w:val="0"/>
              <w:jc w:val="center"/>
              <w:rPr>
                <w:sz w:val="20"/>
                <w:szCs w:val="20"/>
              </w:rPr>
            </w:pPr>
          </w:p>
          <w:p w14:paraId="53DC8659" w14:textId="77777777" w:rsidR="00A806CF" w:rsidRPr="00A806CF" w:rsidRDefault="00A806CF" w:rsidP="00642325">
            <w:pPr>
              <w:pStyle w:val="Standard"/>
              <w:jc w:val="center"/>
              <w:rPr>
                <w:sz w:val="20"/>
                <w:szCs w:val="20"/>
              </w:rPr>
            </w:pPr>
            <w:r w:rsidRPr="00A806CF">
              <w:rPr>
                <w:sz w:val="20"/>
                <w:szCs w:val="20"/>
              </w:rPr>
              <w:t>03</w:t>
            </w:r>
          </w:p>
        </w:tc>
        <w:tc>
          <w:tcPr>
            <w:tcW w:w="467" w:type="pct"/>
            <w:tcBorders>
              <w:top w:val="single" w:sz="4" w:space="0" w:color="FFFFFF"/>
              <w:bottom w:val="single" w:sz="4" w:space="0" w:color="000000"/>
            </w:tcBorders>
            <w:tcMar>
              <w:top w:w="0" w:type="dxa"/>
              <w:left w:w="108" w:type="dxa"/>
              <w:bottom w:w="0" w:type="dxa"/>
              <w:right w:w="108" w:type="dxa"/>
            </w:tcMar>
          </w:tcPr>
          <w:p w14:paraId="4E1AF194" w14:textId="77777777" w:rsidR="00A806CF" w:rsidRPr="00A806CF" w:rsidRDefault="00A806CF" w:rsidP="00642325">
            <w:pPr>
              <w:pStyle w:val="Standard"/>
              <w:snapToGrid w:val="0"/>
              <w:jc w:val="center"/>
              <w:rPr>
                <w:sz w:val="20"/>
                <w:szCs w:val="20"/>
              </w:rPr>
            </w:pPr>
          </w:p>
          <w:p w14:paraId="7AB28E28" w14:textId="77777777" w:rsidR="00A806CF" w:rsidRPr="00A806CF" w:rsidRDefault="00A806CF" w:rsidP="00642325">
            <w:pPr>
              <w:pStyle w:val="Standard"/>
              <w:jc w:val="center"/>
              <w:rPr>
                <w:sz w:val="20"/>
                <w:szCs w:val="20"/>
              </w:rPr>
            </w:pPr>
            <w:r w:rsidRPr="00A806CF">
              <w:rPr>
                <w:sz w:val="20"/>
                <w:szCs w:val="20"/>
              </w:rPr>
              <w:t>0</w:t>
            </w:r>
          </w:p>
        </w:tc>
        <w:tc>
          <w:tcPr>
            <w:tcW w:w="464" w:type="pct"/>
            <w:tcBorders>
              <w:top w:val="single" w:sz="4" w:space="0" w:color="FFFFFF"/>
              <w:bottom w:val="single" w:sz="4" w:space="0" w:color="000000"/>
            </w:tcBorders>
            <w:tcMar>
              <w:top w:w="0" w:type="dxa"/>
              <w:left w:w="108" w:type="dxa"/>
              <w:bottom w:w="0" w:type="dxa"/>
              <w:right w:w="108" w:type="dxa"/>
            </w:tcMar>
          </w:tcPr>
          <w:p w14:paraId="2F049B1B" w14:textId="77777777" w:rsidR="00A806CF" w:rsidRPr="00A806CF" w:rsidRDefault="00A806CF" w:rsidP="00642325">
            <w:pPr>
              <w:pStyle w:val="Standard"/>
              <w:snapToGrid w:val="0"/>
              <w:jc w:val="center"/>
              <w:rPr>
                <w:sz w:val="20"/>
                <w:szCs w:val="20"/>
              </w:rPr>
            </w:pPr>
          </w:p>
          <w:p w14:paraId="5EBF16F9" w14:textId="77777777" w:rsidR="00A806CF" w:rsidRPr="00A806CF" w:rsidRDefault="00A806CF" w:rsidP="00642325">
            <w:pPr>
              <w:pStyle w:val="Standard"/>
              <w:jc w:val="center"/>
              <w:rPr>
                <w:sz w:val="20"/>
                <w:szCs w:val="20"/>
              </w:rPr>
            </w:pPr>
            <w:r w:rsidRPr="00A806CF">
              <w:rPr>
                <w:sz w:val="20"/>
                <w:szCs w:val="20"/>
              </w:rPr>
              <w:t>01</w:t>
            </w:r>
          </w:p>
        </w:tc>
      </w:tr>
    </w:tbl>
    <w:p w14:paraId="117C79A9" w14:textId="54C1A482" w:rsidR="00A806CF" w:rsidRPr="00940996" w:rsidRDefault="00A806CF" w:rsidP="00A806CF">
      <w:pPr>
        <w:pStyle w:val="Prrafocomn"/>
        <w:ind w:firstLine="0"/>
        <w:rPr>
          <w:sz w:val="20"/>
          <w:szCs w:val="20"/>
          <w:lang w:val="pt-BR"/>
        </w:rPr>
      </w:pPr>
      <w:r w:rsidRPr="00940996">
        <w:rPr>
          <w:rStyle w:val="Tipodeletrapredefinidodopargrafo"/>
          <w:i/>
          <w:iCs/>
          <w:sz w:val="20"/>
          <w:szCs w:val="20"/>
          <w:lang w:val="pt-BR"/>
        </w:rPr>
        <w:t>Nota</w:t>
      </w:r>
      <w:r w:rsidRPr="00940996">
        <w:rPr>
          <w:sz w:val="20"/>
          <w:szCs w:val="20"/>
          <w:lang w:val="pt-BR"/>
        </w:rPr>
        <w:t>. AS = Assistente Social; CT = Conselheiro/a Tutelar; MAG = Magistrado/a; PED = Pedagoga; PSIC = Psicóloga</w:t>
      </w:r>
    </w:p>
    <w:p w14:paraId="289C4A7C" w14:textId="77777777" w:rsidR="00505F4C" w:rsidRPr="00505F4C" w:rsidRDefault="00505F4C" w:rsidP="00505F4C">
      <w:pPr>
        <w:pStyle w:val="Prrafocomn"/>
        <w:rPr>
          <w:lang w:val="pt-BR"/>
        </w:rPr>
      </w:pPr>
      <w:r w:rsidRPr="00505F4C">
        <w:rPr>
          <w:i/>
          <w:iCs/>
          <w:lang w:val="pt-BR"/>
        </w:rPr>
        <w:t>Avaliação dos Fatores de Risco de Retratação.</w:t>
      </w:r>
      <w:r w:rsidRPr="00505F4C">
        <w:rPr>
          <w:b/>
          <w:bCs/>
          <w:lang w:val="pt-BR"/>
        </w:rPr>
        <w:t xml:space="preserve"> </w:t>
      </w:r>
      <w:r w:rsidRPr="00505F4C">
        <w:rPr>
          <w:lang w:val="pt-BR"/>
        </w:rPr>
        <w:t>Este subtema remete para a implementação de uma avaliação focada em indicadores de condições que favoreçam a retratação:</w:t>
      </w:r>
    </w:p>
    <w:p w14:paraId="0EE22E0C" w14:textId="77777777" w:rsidR="00505F4C" w:rsidRPr="00505F4C" w:rsidRDefault="00505F4C" w:rsidP="00940996">
      <w:pPr>
        <w:pStyle w:val="Prrafocomn"/>
        <w:ind w:left="708" w:firstLine="0"/>
        <w:rPr>
          <w:lang w:val="pt-BR"/>
        </w:rPr>
      </w:pPr>
      <w:r w:rsidRPr="00505F4C">
        <w:rPr>
          <w:lang w:val="pt-BR"/>
        </w:rPr>
        <w:t xml:space="preserve">O meio que foi utilizado, foi a própria avaliação psicológica da criança. Já havia aquela pré-avaliação sobre a credibilidade dessa retratação. Portanto, os </w:t>
      </w:r>
      <w:r w:rsidRPr="00505F4C">
        <w:rPr>
          <w:lang w:val="pt-BR"/>
        </w:rPr>
        <w:lastRenderedPageBreak/>
        <w:t xml:space="preserve">instrumentos quanto aos fatores de pressão, para mim tem que ser a psicologia, tem que ser o psicólogo forense, um psicólogo especializado nesta área, a fornecer ao processo este discernimento, essa pré-avaliação para depois o tribunal poder decidir. E isso tem sido em duas vertentes: Avaliar - distinguir quais foram os fatores de pressão que levaram a isto; e outro - como é que vamos proteger esta vítima se os fatores de pressão são no sentido de estar a ocultar a verdade, como é que vamos proteger esta vítima? (MAG2 – </w:t>
      </w:r>
      <w:proofErr w:type="spellStart"/>
      <w:r w:rsidRPr="00505F4C">
        <w:rPr>
          <w:lang w:val="pt-BR"/>
        </w:rPr>
        <w:t>Pt</w:t>
      </w:r>
      <w:proofErr w:type="spellEnd"/>
      <w:r w:rsidRPr="00505F4C">
        <w:rPr>
          <w:lang w:val="pt-BR"/>
        </w:rPr>
        <w:t>)</w:t>
      </w:r>
    </w:p>
    <w:p w14:paraId="160D4247" w14:textId="77777777" w:rsidR="00505F4C" w:rsidRPr="00505F4C" w:rsidRDefault="00505F4C" w:rsidP="00505F4C">
      <w:pPr>
        <w:pStyle w:val="Prrafocomn"/>
        <w:rPr>
          <w:lang w:val="pt-BR"/>
        </w:rPr>
      </w:pPr>
      <w:r w:rsidRPr="00505F4C">
        <w:rPr>
          <w:i/>
          <w:iCs/>
          <w:lang w:val="pt-BR"/>
        </w:rPr>
        <w:t>Suporte Psicológico e Social às Famílias e Crianças.</w:t>
      </w:r>
      <w:r w:rsidRPr="00505F4C">
        <w:rPr>
          <w:b/>
          <w:bCs/>
          <w:lang w:val="pt-BR"/>
        </w:rPr>
        <w:t xml:space="preserve"> </w:t>
      </w:r>
      <w:r w:rsidRPr="00505F4C">
        <w:rPr>
          <w:lang w:val="pt-BR"/>
        </w:rPr>
        <w:t>De acordo com os/as profissionais, a complexidade da revelação de um ASC intrafamiliar e todos os desdobramentos no campo protetivo e criminal, implicam a necessidade de que a criança e a família sejam assistidas e acompanhadas. Esse suporte deve incluir uma dimensão psicológica, para tratar dos aspetos traumáticos do ASC, os medos relacionados às consequências da revelação, e as dificuldades vivenciadas pelos próprios cuidadores na crise da revelação, nomeadamente a falta de suporte. Seria ainda de ativar suporte social que busque autonomizar o contexto familiar face a possíveis condicionantes estruturais (moradia, emprego, finanças em geral) e que possam constituir entrave para a revelação/comunicação de ASC.</w:t>
      </w:r>
    </w:p>
    <w:p w14:paraId="15B44EF3" w14:textId="77777777" w:rsidR="00505F4C" w:rsidRPr="00505F4C" w:rsidRDefault="00505F4C" w:rsidP="00940996">
      <w:pPr>
        <w:pStyle w:val="Prrafocomn"/>
        <w:ind w:left="708" w:firstLine="0"/>
        <w:rPr>
          <w:lang w:val="pt-BR"/>
        </w:rPr>
      </w:pPr>
      <w:r w:rsidRPr="00505F4C">
        <w:rPr>
          <w:lang w:val="pt-BR"/>
        </w:rPr>
        <w:t xml:space="preserve">Esse suporte para a família, para a genitora que, às vezes, fica sem condições de estar mantendo a casa. Porque muitas vezes, na maioria das vezes, elas não recebem apoio. E aí acaba, como única opção </w:t>
      </w:r>
      <w:proofErr w:type="gramStart"/>
      <w:r w:rsidRPr="00505F4C">
        <w:rPr>
          <w:lang w:val="pt-BR"/>
        </w:rPr>
        <w:t>pra</w:t>
      </w:r>
      <w:proofErr w:type="gramEnd"/>
      <w:r w:rsidRPr="00505F4C">
        <w:rPr>
          <w:lang w:val="pt-BR"/>
        </w:rPr>
        <w:t xml:space="preserve"> elas, que elas percebem, é retratar. (PSIC1 – Br)</w:t>
      </w:r>
    </w:p>
    <w:p w14:paraId="414579BF" w14:textId="77777777" w:rsidR="00505F4C" w:rsidRPr="00E82494" w:rsidRDefault="00505F4C" w:rsidP="00505F4C">
      <w:pPr>
        <w:pStyle w:val="SubtituloInterno1"/>
        <w:rPr>
          <w:lang w:val="pt-BR"/>
        </w:rPr>
      </w:pPr>
      <w:r w:rsidRPr="00E82494">
        <w:rPr>
          <w:lang w:val="pt-BR"/>
        </w:rPr>
        <w:t>Estratégias Institucionais</w:t>
      </w:r>
    </w:p>
    <w:p w14:paraId="215C7A71" w14:textId="77777777" w:rsidR="00505F4C" w:rsidRPr="00505F4C" w:rsidRDefault="00505F4C" w:rsidP="00505F4C">
      <w:pPr>
        <w:pStyle w:val="Prrafocomn"/>
        <w:rPr>
          <w:lang w:val="pt-BR"/>
        </w:rPr>
      </w:pPr>
      <w:r w:rsidRPr="00505F4C">
        <w:rPr>
          <w:lang w:val="pt-BR"/>
        </w:rPr>
        <w:t>Este tema engloba os procedimentos identificados pelos/as profissionais ao nível interinstitucional da rede de atendimento ao ASC, emergindo três subtemas:</w:t>
      </w:r>
    </w:p>
    <w:p w14:paraId="73D203A9" w14:textId="77777777" w:rsidR="00505F4C" w:rsidRPr="00505F4C" w:rsidRDefault="00505F4C" w:rsidP="00505F4C">
      <w:pPr>
        <w:pStyle w:val="Prrafocomn"/>
        <w:rPr>
          <w:lang w:val="pt-BR"/>
        </w:rPr>
      </w:pPr>
      <w:r w:rsidRPr="00505F4C">
        <w:rPr>
          <w:i/>
          <w:iCs/>
          <w:lang w:val="pt-BR"/>
        </w:rPr>
        <w:t xml:space="preserve">Integração dos Serviços. </w:t>
      </w:r>
      <w:r w:rsidRPr="00505F4C">
        <w:rPr>
          <w:lang w:val="pt-BR"/>
        </w:rPr>
        <w:t xml:space="preserve">Os/as profissionais realçaram a importância de uma integração dos serviços às vítimas e seus familiares nos procedimentos da recolha do relato e de vestígios biológicos/médicos, avaliação psicológica e intervenções legais:  </w:t>
      </w:r>
    </w:p>
    <w:p w14:paraId="5AE35697" w14:textId="77777777" w:rsidR="00505F4C" w:rsidRPr="00505F4C" w:rsidRDefault="00505F4C" w:rsidP="00940996">
      <w:pPr>
        <w:pStyle w:val="Prrafocomn"/>
        <w:ind w:left="708" w:firstLine="0"/>
        <w:rPr>
          <w:lang w:val="pt-BR"/>
        </w:rPr>
      </w:pPr>
      <w:r w:rsidRPr="00505F4C">
        <w:rPr>
          <w:lang w:val="pt-BR"/>
        </w:rPr>
        <w:t xml:space="preserve">E esse é o grande desafio desta área, que é atuar sobre o abusador e retirá-lo do meio social da criança para protegê-la. Só que, realmente, os tempos do processo criminal são mais lentos do que o processo de proteção. As exigências de prova também são diferentes. O grande desafio é esse. É a articulação de tudo. (MAG2 – </w:t>
      </w:r>
      <w:proofErr w:type="spellStart"/>
      <w:r w:rsidRPr="00505F4C">
        <w:rPr>
          <w:lang w:val="pt-BR"/>
        </w:rPr>
        <w:t>Pt</w:t>
      </w:r>
      <w:proofErr w:type="spellEnd"/>
      <w:r w:rsidRPr="00505F4C">
        <w:rPr>
          <w:lang w:val="pt-BR"/>
        </w:rPr>
        <w:t>)</w:t>
      </w:r>
    </w:p>
    <w:p w14:paraId="5E7DC3C8" w14:textId="77777777" w:rsidR="00505F4C" w:rsidRPr="00505F4C" w:rsidRDefault="00505F4C" w:rsidP="00505F4C">
      <w:pPr>
        <w:pStyle w:val="Prrafocomn"/>
        <w:rPr>
          <w:lang w:val="pt-BR"/>
        </w:rPr>
      </w:pPr>
      <w:r w:rsidRPr="00505F4C">
        <w:rPr>
          <w:i/>
          <w:iCs/>
          <w:lang w:val="pt-BR"/>
        </w:rPr>
        <w:lastRenderedPageBreak/>
        <w:t>Capacitação do Profissional.</w:t>
      </w:r>
      <w:r w:rsidRPr="00505F4C">
        <w:rPr>
          <w:b/>
          <w:bCs/>
          <w:lang w:val="pt-BR"/>
        </w:rPr>
        <w:t xml:space="preserve"> </w:t>
      </w:r>
      <w:r w:rsidRPr="00505F4C">
        <w:rPr>
          <w:lang w:val="pt-BR"/>
        </w:rPr>
        <w:t>Este subtema remete para a necessidade de capacitação dos/as diferentes profissionais, no sentido de os sensibilizar e formar para a importância da condução das entrevistas com crianças vítimas de ASC: “Outra forma é também a capacitação, cada vez mais, dos operadores de direito: os juízes, os promotores. Mas nós precisamos nos capacitar com outros tipos de entrevistas. Outros protocolos que sejam mais adequados para crianças pequenas” (AS2 – Br).</w:t>
      </w:r>
    </w:p>
    <w:p w14:paraId="19CCC333" w14:textId="77777777" w:rsidR="00505F4C" w:rsidRPr="00505F4C" w:rsidRDefault="00505F4C" w:rsidP="00505F4C">
      <w:pPr>
        <w:pStyle w:val="Prrafocomn"/>
        <w:rPr>
          <w:lang w:val="pt-BR"/>
        </w:rPr>
      </w:pPr>
      <w:r w:rsidRPr="00505F4C">
        <w:rPr>
          <w:i/>
          <w:iCs/>
          <w:lang w:val="pt-BR"/>
        </w:rPr>
        <w:t>Prevenção na Comunidade.</w:t>
      </w:r>
      <w:r w:rsidRPr="00505F4C">
        <w:rPr>
          <w:b/>
          <w:bCs/>
          <w:lang w:val="pt-BR"/>
        </w:rPr>
        <w:t xml:space="preserve"> </w:t>
      </w:r>
      <w:r w:rsidRPr="00505F4C">
        <w:rPr>
          <w:lang w:val="pt-BR"/>
        </w:rPr>
        <w:t>Os/as profissionais brasileiros/as referiram a importância de as instituições implementarem ações de prevenção mais alargadas sobre o ASC, de forma a incluir a comunidade, pois antecipam que, assim, podem diminuir as pressões sobre o relato da criança no caso de uma alegação de ASC:</w:t>
      </w:r>
    </w:p>
    <w:p w14:paraId="5F693273" w14:textId="77777777" w:rsidR="00505F4C" w:rsidRPr="00505F4C" w:rsidRDefault="00505F4C" w:rsidP="00940996">
      <w:pPr>
        <w:pStyle w:val="Prrafocomn"/>
        <w:ind w:left="708" w:firstLine="0"/>
        <w:rPr>
          <w:lang w:val="pt-BR"/>
        </w:rPr>
      </w:pPr>
      <w:r w:rsidRPr="00505F4C">
        <w:rPr>
          <w:lang w:val="pt-BR"/>
        </w:rPr>
        <w:t>É importante que os trabalhos realizados junto à comunidade, de esclarecimento, de orientação, sejam intensificados. Reuniões, palestras, grupos de estudos, que visem conscientizar a sociedade da necessidade de denunciar esses fatos, denunciar o abusador, identificar o abusador para que eventualmente uma retratação da vítima não prejudique o processo. (MAG3 – Br)</w:t>
      </w:r>
    </w:p>
    <w:p w14:paraId="59A0D07C" w14:textId="423EBE90" w:rsidR="00505F4C" w:rsidRPr="00D63DE6" w:rsidRDefault="00505F4C" w:rsidP="00505F4C">
      <w:pPr>
        <w:pStyle w:val="Standard"/>
        <w:spacing w:line="360" w:lineRule="auto"/>
        <w:jc w:val="both"/>
        <w:rPr>
          <w:b/>
          <w:bCs/>
        </w:rPr>
      </w:pPr>
      <w:r w:rsidRPr="00D63DE6">
        <w:rPr>
          <w:b/>
          <w:bCs/>
        </w:rPr>
        <w:t>Tabela 2</w:t>
      </w:r>
    </w:p>
    <w:p w14:paraId="096B0868" w14:textId="77777777" w:rsidR="00505F4C" w:rsidRPr="00FD7C30" w:rsidRDefault="00505F4C" w:rsidP="00505F4C">
      <w:pPr>
        <w:pStyle w:val="Standard"/>
        <w:spacing w:line="360" w:lineRule="auto"/>
        <w:jc w:val="both"/>
      </w:pPr>
      <w:r w:rsidRPr="00FD7C30">
        <w:rPr>
          <w:rStyle w:val="Tipodeletrapredefinidodopargrafo"/>
          <w:i/>
          <w:iCs/>
        </w:rPr>
        <w:t>Temas e Subtemas de Fatores de Proteção e Respectivas Ocorrências</w:t>
      </w:r>
    </w:p>
    <w:tbl>
      <w:tblPr>
        <w:tblW w:w="9039" w:type="dxa"/>
        <w:tblInd w:w="-108" w:type="dxa"/>
        <w:tblLayout w:type="fixed"/>
        <w:tblCellMar>
          <w:left w:w="10" w:type="dxa"/>
          <w:right w:w="10" w:type="dxa"/>
        </w:tblCellMar>
        <w:tblLook w:val="0000" w:firstRow="0" w:lastRow="0" w:firstColumn="0" w:lastColumn="0" w:noHBand="0" w:noVBand="0"/>
      </w:tblPr>
      <w:tblGrid>
        <w:gridCol w:w="1526"/>
        <w:gridCol w:w="1417"/>
        <w:gridCol w:w="993"/>
        <w:gridCol w:w="850"/>
        <w:gridCol w:w="851"/>
        <w:gridCol w:w="851"/>
        <w:gridCol w:w="850"/>
        <w:gridCol w:w="850"/>
        <w:gridCol w:w="851"/>
      </w:tblGrid>
      <w:tr w:rsidR="00505F4C" w:rsidRPr="00505F4C" w14:paraId="3CE692E3" w14:textId="77777777" w:rsidTr="00642325">
        <w:tc>
          <w:tcPr>
            <w:tcW w:w="1526" w:type="dxa"/>
            <w:tcBorders>
              <w:top w:val="single" w:sz="4" w:space="0" w:color="000000"/>
              <w:bottom w:val="single" w:sz="4" w:space="0" w:color="FFFFFF"/>
            </w:tcBorders>
            <w:tcMar>
              <w:top w:w="0" w:type="dxa"/>
              <w:left w:w="108" w:type="dxa"/>
              <w:bottom w:w="0" w:type="dxa"/>
              <w:right w:w="108" w:type="dxa"/>
            </w:tcMar>
          </w:tcPr>
          <w:p w14:paraId="6A2E2BB6" w14:textId="77777777" w:rsidR="00505F4C" w:rsidRPr="00505F4C" w:rsidRDefault="00505F4C" w:rsidP="00642325">
            <w:pPr>
              <w:pStyle w:val="Standard"/>
              <w:snapToGrid w:val="0"/>
              <w:jc w:val="both"/>
              <w:rPr>
                <w:b/>
                <w:bCs/>
                <w:sz w:val="20"/>
                <w:szCs w:val="20"/>
              </w:rPr>
            </w:pPr>
          </w:p>
        </w:tc>
        <w:tc>
          <w:tcPr>
            <w:tcW w:w="1417" w:type="dxa"/>
            <w:tcBorders>
              <w:top w:val="single" w:sz="4" w:space="0" w:color="000000"/>
              <w:bottom w:val="single" w:sz="4" w:space="0" w:color="FFFFFF"/>
            </w:tcBorders>
            <w:tcMar>
              <w:top w:w="0" w:type="dxa"/>
              <w:left w:w="108" w:type="dxa"/>
              <w:bottom w:w="0" w:type="dxa"/>
              <w:right w:w="108" w:type="dxa"/>
            </w:tcMar>
          </w:tcPr>
          <w:p w14:paraId="084FCC39" w14:textId="77777777" w:rsidR="00505F4C" w:rsidRPr="00505F4C" w:rsidRDefault="00505F4C" w:rsidP="00642325">
            <w:pPr>
              <w:pStyle w:val="Standard"/>
              <w:snapToGrid w:val="0"/>
              <w:jc w:val="center"/>
              <w:rPr>
                <w:b/>
                <w:bCs/>
                <w:sz w:val="20"/>
                <w:szCs w:val="20"/>
              </w:rPr>
            </w:pPr>
          </w:p>
        </w:tc>
        <w:tc>
          <w:tcPr>
            <w:tcW w:w="6096" w:type="dxa"/>
            <w:gridSpan w:val="7"/>
            <w:tcBorders>
              <w:top w:val="single" w:sz="4" w:space="0" w:color="000000"/>
              <w:bottom w:val="single" w:sz="4" w:space="0" w:color="FFFFFF"/>
            </w:tcBorders>
            <w:tcMar>
              <w:top w:w="0" w:type="dxa"/>
              <w:left w:w="108" w:type="dxa"/>
              <w:bottom w:w="0" w:type="dxa"/>
              <w:right w:w="108" w:type="dxa"/>
            </w:tcMar>
          </w:tcPr>
          <w:p w14:paraId="785A57C8" w14:textId="77777777" w:rsidR="00505F4C" w:rsidRPr="00505F4C" w:rsidRDefault="00505F4C" w:rsidP="00642325">
            <w:pPr>
              <w:pStyle w:val="Standard"/>
              <w:jc w:val="center"/>
              <w:rPr>
                <w:b/>
                <w:bCs/>
                <w:sz w:val="20"/>
                <w:szCs w:val="20"/>
              </w:rPr>
            </w:pPr>
            <w:r w:rsidRPr="00505F4C">
              <w:rPr>
                <w:b/>
                <w:bCs/>
                <w:sz w:val="20"/>
                <w:szCs w:val="20"/>
              </w:rPr>
              <w:t>Profissionais</w:t>
            </w:r>
          </w:p>
        </w:tc>
      </w:tr>
      <w:tr w:rsidR="00505F4C" w:rsidRPr="00505F4C" w14:paraId="2B8D846A" w14:textId="77777777" w:rsidTr="00642325">
        <w:tc>
          <w:tcPr>
            <w:tcW w:w="1526" w:type="dxa"/>
            <w:tcBorders>
              <w:top w:val="single" w:sz="4" w:space="0" w:color="FFFFFF"/>
              <w:bottom w:val="single" w:sz="4" w:space="0" w:color="FFFFFF"/>
            </w:tcBorders>
            <w:tcMar>
              <w:top w:w="0" w:type="dxa"/>
              <w:left w:w="108" w:type="dxa"/>
              <w:bottom w:w="0" w:type="dxa"/>
              <w:right w:w="108" w:type="dxa"/>
            </w:tcMar>
          </w:tcPr>
          <w:p w14:paraId="749DD26C" w14:textId="77777777" w:rsidR="00505F4C" w:rsidRPr="00505F4C" w:rsidRDefault="00505F4C" w:rsidP="00642325">
            <w:pPr>
              <w:pStyle w:val="Standard"/>
              <w:snapToGrid w:val="0"/>
              <w:jc w:val="both"/>
              <w:rPr>
                <w:b/>
                <w:bCs/>
                <w:sz w:val="20"/>
                <w:szCs w:val="20"/>
              </w:rPr>
            </w:pPr>
          </w:p>
        </w:tc>
        <w:tc>
          <w:tcPr>
            <w:tcW w:w="1417" w:type="dxa"/>
            <w:tcBorders>
              <w:top w:val="single" w:sz="4" w:space="0" w:color="FFFFFF"/>
              <w:bottom w:val="single" w:sz="4" w:space="0" w:color="FFFFFF"/>
            </w:tcBorders>
            <w:tcMar>
              <w:top w:w="0" w:type="dxa"/>
              <w:left w:w="108" w:type="dxa"/>
              <w:bottom w:w="0" w:type="dxa"/>
              <w:right w:w="108" w:type="dxa"/>
            </w:tcMar>
          </w:tcPr>
          <w:p w14:paraId="659E6FC5" w14:textId="77777777" w:rsidR="00505F4C" w:rsidRPr="00505F4C" w:rsidRDefault="00505F4C" w:rsidP="00642325">
            <w:pPr>
              <w:pStyle w:val="Standard"/>
              <w:snapToGrid w:val="0"/>
              <w:jc w:val="center"/>
              <w:rPr>
                <w:b/>
                <w:bCs/>
                <w:sz w:val="20"/>
                <w:szCs w:val="20"/>
              </w:rPr>
            </w:pPr>
          </w:p>
        </w:tc>
        <w:tc>
          <w:tcPr>
            <w:tcW w:w="4395" w:type="dxa"/>
            <w:gridSpan w:val="5"/>
            <w:tcBorders>
              <w:top w:val="single" w:sz="4" w:space="0" w:color="FFFFFF"/>
              <w:bottom w:val="single" w:sz="4" w:space="0" w:color="FFFFFF"/>
            </w:tcBorders>
            <w:tcMar>
              <w:top w:w="0" w:type="dxa"/>
              <w:left w:w="108" w:type="dxa"/>
              <w:bottom w:w="0" w:type="dxa"/>
              <w:right w:w="108" w:type="dxa"/>
            </w:tcMar>
          </w:tcPr>
          <w:p w14:paraId="0A32C032" w14:textId="77777777" w:rsidR="00505F4C" w:rsidRPr="00505F4C" w:rsidRDefault="00505F4C" w:rsidP="00642325">
            <w:pPr>
              <w:pStyle w:val="Standard"/>
              <w:jc w:val="center"/>
              <w:rPr>
                <w:sz w:val="20"/>
                <w:szCs w:val="20"/>
              </w:rPr>
            </w:pPr>
            <w:r w:rsidRPr="00505F4C">
              <w:rPr>
                <w:sz w:val="20"/>
                <w:szCs w:val="20"/>
              </w:rPr>
              <w:t>Brasil</w:t>
            </w:r>
          </w:p>
        </w:tc>
        <w:tc>
          <w:tcPr>
            <w:tcW w:w="1701" w:type="dxa"/>
            <w:gridSpan w:val="2"/>
            <w:tcBorders>
              <w:top w:val="single" w:sz="4" w:space="0" w:color="FFFFFF"/>
              <w:bottom w:val="single" w:sz="4" w:space="0" w:color="FFFFFF"/>
            </w:tcBorders>
            <w:tcMar>
              <w:top w:w="0" w:type="dxa"/>
              <w:left w:w="108" w:type="dxa"/>
              <w:bottom w:w="0" w:type="dxa"/>
              <w:right w:w="108" w:type="dxa"/>
            </w:tcMar>
          </w:tcPr>
          <w:p w14:paraId="5803F9A8" w14:textId="77777777" w:rsidR="00505F4C" w:rsidRPr="00505F4C" w:rsidRDefault="00505F4C" w:rsidP="00642325">
            <w:pPr>
              <w:pStyle w:val="Standard"/>
              <w:jc w:val="center"/>
              <w:rPr>
                <w:sz w:val="20"/>
                <w:szCs w:val="20"/>
              </w:rPr>
            </w:pPr>
            <w:r w:rsidRPr="00505F4C">
              <w:rPr>
                <w:sz w:val="20"/>
                <w:szCs w:val="20"/>
              </w:rPr>
              <w:t>Portugal</w:t>
            </w:r>
          </w:p>
        </w:tc>
      </w:tr>
      <w:tr w:rsidR="00505F4C" w:rsidRPr="00505F4C" w14:paraId="7DF2D65A" w14:textId="77777777" w:rsidTr="00642325">
        <w:tc>
          <w:tcPr>
            <w:tcW w:w="1526" w:type="dxa"/>
            <w:tcBorders>
              <w:top w:val="single" w:sz="4" w:space="0" w:color="FFFFFF"/>
            </w:tcBorders>
            <w:tcMar>
              <w:top w:w="0" w:type="dxa"/>
              <w:left w:w="108" w:type="dxa"/>
              <w:bottom w:w="0" w:type="dxa"/>
              <w:right w:w="108" w:type="dxa"/>
            </w:tcMar>
          </w:tcPr>
          <w:p w14:paraId="6F1D9CF0" w14:textId="77777777" w:rsidR="00505F4C" w:rsidRPr="00505F4C" w:rsidRDefault="00505F4C" w:rsidP="00642325">
            <w:pPr>
              <w:pStyle w:val="Standard"/>
              <w:jc w:val="center"/>
              <w:rPr>
                <w:b/>
                <w:bCs/>
                <w:sz w:val="20"/>
                <w:szCs w:val="20"/>
              </w:rPr>
            </w:pPr>
            <w:r w:rsidRPr="00505F4C">
              <w:rPr>
                <w:b/>
                <w:bCs/>
                <w:sz w:val="20"/>
                <w:szCs w:val="20"/>
              </w:rPr>
              <w:t>Tema</w:t>
            </w:r>
          </w:p>
        </w:tc>
        <w:tc>
          <w:tcPr>
            <w:tcW w:w="1417" w:type="dxa"/>
            <w:tcBorders>
              <w:top w:val="single" w:sz="4" w:space="0" w:color="FFFFFF"/>
            </w:tcBorders>
            <w:tcMar>
              <w:top w:w="0" w:type="dxa"/>
              <w:left w:w="108" w:type="dxa"/>
              <w:bottom w:w="0" w:type="dxa"/>
              <w:right w:w="108" w:type="dxa"/>
            </w:tcMar>
          </w:tcPr>
          <w:p w14:paraId="5E1A997F" w14:textId="77777777" w:rsidR="00505F4C" w:rsidRPr="00505F4C" w:rsidRDefault="00505F4C" w:rsidP="00642325">
            <w:pPr>
              <w:pStyle w:val="Standard"/>
              <w:jc w:val="center"/>
              <w:rPr>
                <w:b/>
                <w:bCs/>
                <w:sz w:val="20"/>
                <w:szCs w:val="20"/>
              </w:rPr>
            </w:pPr>
            <w:r w:rsidRPr="00505F4C">
              <w:rPr>
                <w:b/>
                <w:bCs/>
                <w:sz w:val="20"/>
                <w:szCs w:val="20"/>
              </w:rPr>
              <w:t>Subtema</w:t>
            </w:r>
          </w:p>
        </w:tc>
        <w:tc>
          <w:tcPr>
            <w:tcW w:w="993" w:type="dxa"/>
            <w:tcBorders>
              <w:top w:val="single" w:sz="4" w:space="0" w:color="FFFFFF"/>
              <w:bottom w:val="single" w:sz="4" w:space="0" w:color="000000"/>
            </w:tcBorders>
            <w:tcMar>
              <w:top w:w="0" w:type="dxa"/>
              <w:left w:w="108" w:type="dxa"/>
              <w:bottom w:w="0" w:type="dxa"/>
              <w:right w:w="108" w:type="dxa"/>
            </w:tcMar>
          </w:tcPr>
          <w:p w14:paraId="3D7F9625" w14:textId="77777777" w:rsidR="00505F4C" w:rsidRPr="00505F4C" w:rsidRDefault="00505F4C" w:rsidP="00642325">
            <w:pPr>
              <w:pStyle w:val="Standard"/>
              <w:jc w:val="center"/>
              <w:rPr>
                <w:sz w:val="20"/>
                <w:szCs w:val="20"/>
              </w:rPr>
            </w:pPr>
            <w:r w:rsidRPr="00505F4C">
              <w:rPr>
                <w:sz w:val="20"/>
                <w:szCs w:val="20"/>
              </w:rPr>
              <w:t>AS</w:t>
            </w:r>
          </w:p>
          <w:p w14:paraId="62AFF0B1" w14:textId="77777777" w:rsidR="00505F4C" w:rsidRPr="00505F4C" w:rsidRDefault="00505F4C" w:rsidP="00642325">
            <w:pPr>
              <w:pStyle w:val="Standard"/>
              <w:jc w:val="center"/>
              <w:rPr>
                <w:sz w:val="20"/>
                <w:szCs w:val="20"/>
              </w:rPr>
            </w:pPr>
            <w:proofErr w:type="gramStart"/>
            <w:r w:rsidRPr="00505F4C">
              <w:rPr>
                <w:rStyle w:val="Tipodeletrapredefinidodopargrafo"/>
                <w:sz w:val="20"/>
                <w:szCs w:val="20"/>
              </w:rPr>
              <w:t xml:space="preserve">( </w:t>
            </w:r>
            <w:r w:rsidRPr="00505F4C">
              <w:rPr>
                <w:rStyle w:val="Tipodeletrapredefinidodopargrafo"/>
                <w:i/>
                <w:iCs/>
                <w:sz w:val="20"/>
                <w:szCs w:val="20"/>
              </w:rPr>
              <w:t>n</w:t>
            </w:r>
            <w:proofErr w:type="gramEnd"/>
            <w:r w:rsidRPr="00505F4C">
              <w:rPr>
                <w:rStyle w:val="Tipodeletrapredefinidodopargrafo"/>
                <w:sz w:val="20"/>
                <w:szCs w:val="20"/>
              </w:rPr>
              <w:t>=05)</w:t>
            </w:r>
          </w:p>
        </w:tc>
        <w:tc>
          <w:tcPr>
            <w:tcW w:w="850" w:type="dxa"/>
            <w:tcBorders>
              <w:top w:val="single" w:sz="4" w:space="0" w:color="FFFFFF"/>
              <w:bottom w:val="single" w:sz="4" w:space="0" w:color="000000"/>
            </w:tcBorders>
            <w:tcMar>
              <w:top w:w="0" w:type="dxa"/>
              <w:left w:w="108" w:type="dxa"/>
              <w:bottom w:w="0" w:type="dxa"/>
              <w:right w:w="108" w:type="dxa"/>
            </w:tcMar>
          </w:tcPr>
          <w:p w14:paraId="12B19BAF" w14:textId="77777777" w:rsidR="00505F4C" w:rsidRPr="00505F4C" w:rsidRDefault="00505F4C" w:rsidP="00642325">
            <w:pPr>
              <w:pStyle w:val="Standard"/>
              <w:jc w:val="center"/>
              <w:rPr>
                <w:sz w:val="20"/>
                <w:szCs w:val="20"/>
              </w:rPr>
            </w:pPr>
            <w:r w:rsidRPr="00505F4C">
              <w:rPr>
                <w:sz w:val="20"/>
                <w:szCs w:val="20"/>
              </w:rPr>
              <w:t>CT</w:t>
            </w:r>
          </w:p>
          <w:p w14:paraId="42AE32D5" w14:textId="77777777" w:rsidR="00505F4C" w:rsidRPr="00505F4C" w:rsidRDefault="00505F4C" w:rsidP="00642325">
            <w:pPr>
              <w:pStyle w:val="Standard"/>
              <w:jc w:val="center"/>
              <w:rPr>
                <w:sz w:val="20"/>
                <w:szCs w:val="20"/>
              </w:rPr>
            </w:pPr>
            <w:r w:rsidRPr="00505F4C">
              <w:rPr>
                <w:rStyle w:val="Tipodeletrapredefinidodopargrafo"/>
                <w:sz w:val="20"/>
                <w:szCs w:val="20"/>
              </w:rPr>
              <w:t>(</w:t>
            </w:r>
            <w:r w:rsidRPr="00505F4C">
              <w:rPr>
                <w:rStyle w:val="Tipodeletrapredefinidodopargrafo"/>
                <w:i/>
                <w:iCs/>
                <w:sz w:val="20"/>
                <w:szCs w:val="20"/>
              </w:rPr>
              <w:t>n</w:t>
            </w:r>
            <w:r w:rsidRPr="00505F4C">
              <w:rPr>
                <w:rStyle w:val="Tipodeletrapredefinidodopargrafo"/>
                <w:sz w:val="20"/>
                <w:szCs w:val="20"/>
              </w:rPr>
              <w:t>=05)</w:t>
            </w:r>
          </w:p>
        </w:tc>
        <w:tc>
          <w:tcPr>
            <w:tcW w:w="851" w:type="dxa"/>
            <w:tcBorders>
              <w:top w:val="single" w:sz="4" w:space="0" w:color="FFFFFF"/>
              <w:bottom w:val="single" w:sz="4" w:space="0" w:color="000000"/>
            </w:tcBorders>
            <w:tcMar>
              <w:top w:w="0" w:type="dxa"/>
              <w:left w:w="108" w:type="dxa"/>
              <w:bottom w:w="0" w:type="dxa"/>
              <w:right w:w="108" w:type="dxa"/>
            </w:tcMar>
          </w:tcPr>
          <w:p w14:paraId="2FE1004E" w14:textId="77777777" w:rsidR="00505F4C" w:rsidRPr="00505F4C" w:rsidRDefault="00505F4C" w:rsidP="00642325">
            <w:pPr>
              <w:pStyle w:val="Standard"/>
              <w:jc w:val="center"/>
              <w:rPr>
                <w:sz w:val="20"/>
                <w:szCs w:val="20"/>
              </w:rPr>
            </w:pPr>
            <w:r w:rsidRPr="00505F4C">
              <w:rPr>
                <w:sz w:val="20"/>
                <w:szCs w:val="20"/>
              </w:rPr>
              <w:t>MAG</w:t>
            </w:r>
          </w:p>
          <w:p w14:paraId="65D56B87" w14:textId="77777777" w:rsidR="00505F4C" w:rsidRPr="00505F4C" w:rsidRDefault="00505F4C" w:rsidP="00642325">
            <w:pPr>
              <w:pStyle w:val="Standard"/>
              <w:jc w:val="center"/>
              <w:rPr>
                <w:sz w:val="20"/>
                <w:szCs w:val="20"/>
              </w:rPr>
            </w:pPr>
            <w:r w:rsidRPr="00505F4C">
              <w:rPr>
                <w:rStyle w:val="Tipodeletrapredefinidodopargrafo"/>
                <w:sz w:val="20"/>
                <w:szCs w:val="20"/>
              </w:rPr>
              <w:t>(</w:t>
            </w:r>
            <w:r w:rsidRPr="00505F4C">
              <w:rPr>
                <w:rStyle w:val="Tipodeletrapredefinidodopargrafo"/>
                <w:i/>
                <w:iCs/>
                <w:sz w:val="20"/>
                <w:szCs w:val="20"/>
              </w:rPr>
              <w:t>n</w:t>
            </w:r>
            <w:r w:rsidRPr="00505F4C">
              <w:rPr>
                <w:rStyle w:val="Tipodeletrapredefinidodopargrafo"/>
                <w:sz w:val="20"/>
                <w:szCs w:val="20"/>
              </w:rPr>
              <w:t>=03)</w:t>
            </w:r>
          </w:p>
        </w:tc>
        <w:tc>
          <w:tcPr>
            <w:tcW w:w="851" w:type="dxa"/>
            <w:tcBorders>
              <w:top w:val="single" w:sz="4" w:space="0" w:color="FFFFFF"/>
              <w:bottom w:val="single" w:sz="4" w:space="0" w:color="000000"/>
            </w:tcBorders>
            <w:tcMar>
              <w:top w:w="0" w:type="dxa"/>
              <w:left w:w="108" w:type="dxa"/>
              <w:bottom w:w="0" w:type="dxa"/>
              <w:right w:w="108" w:type="dxa"/>
            </w:tcMar>
          </w:tcPr>
          <w:p w14:paraId="478B06EA" w14:textId="77777777" w:rsidR="00505F4C" w:rsidRPr="00505F4C" w:rsidRDefault="00505F4C" w:rsidP="00642325">
            <w:pPr>
              <w:pStyle w:val="Standard"/>
              <w:jc w:val="center"/>
              <w:rPr>
                <w:sz w:val="20"/>
                <w:szCs w:val="20"/>
              </w:rPr>
            </w:pPr>
            <w:r w:rsidRPr="00505F4C">
              <w:rPr>
                <w:sz w:val="20"/>
                <w:szCs w:val="20"/>
              </w:rPr>
              <w:t>PED</w:t>
            </w:r>
          </w:p>
          <w:p w14:paraId="3B9515ED" w14:textId="77777777" w:rsidR="00505F4C" w:rsidRPr="00505F4C" w:rsidRDefault="00505F4C" w:rsidP="00642325">
            <w:pPr>
              <w:pStyle w:val="Standard"/>
              <w:jc w:val="center"/>
              <w:rPr>
                <w:sz w:val="20"/>
                <w:szCs w:val="20"/>
              </w:rPr>
            </w:pPr>
            <w:r w:rsidRPr="00505F4C">
              <w:rPr>
                <w:rStyle w:val="Tipodeletrapredefinidodopargrafo"/>
                <w:sz w:val="20"/>
                <w:szCs w:val="20"/>
              </w:rPr>
              <w:t>(</w:t>
            </w:r>
            <w:r w:rsidRPr="00505F4C">
              <w:rPr>
                <w:rStyle w:val="Tipodeletrapredefinidodopargrafo"/>
                <w:i/>
                <w:iCs/>
                <w:sz w:val="20"/>
                <w:szCs w:val="20"/>
              </w:rPr>
              <w:t>n</w:t>
            </w:r>
            <w:r w:rsidRPr="00505F4C">
              <w:rPr>
                <w:rStyle w:val="Tipodeletrapredefinidodopargrafo"/>
                <w:sz w:val="20"/>
                <w:szCs w:val="20"/>
              </w:rPr>
              <w:t>=01)</w:t>
            </w:r>
          </w:p>
        </w:tc>
        <w:tc>
          <w:tcPr>
            <w:tcW w:w="850" w:type="dxa"/>
            <w:tcBorders>
              <w:top w:val="single" w:sz="4" w:space="0" w:color="FFFFFF"/>
              <w:bottom w:val="single" w:sz="4" w:space="0" w:color="000000"/>
            </w:tcBorders>
            <w:tcMar>
              <w:top w:w="0" w:type="dxa"/>
              <w:left w:w="108" w:type="dxa"/>
              <w:bottom w:w="0" w:type="dxa"/>
              <w:right w:w="108" w:type="dxa"/>
            </w:tcMar>
          </w:tcPr>
          <w:p w14:paraId="6176F38C" w14:textId="77777777" w:rsidR="00505F4C" w:rsidRPr="00505F4C" w:rsidRDefault="00505F4C" w:rsidP="00642325">
            <w:pPr>
              <w:pStyle w:val="Standard"/>
              <w:jc w:val="center"/>
              <w:rPr>
                <w:sz w:val="20"/>
                <w:szCs w:val="20"/>
              </w:rPr>
            </w:pPr>
            <w:r w:rsidRPr="00505F4C">
              <w:rPr>
                <w:sz w:val="20"/>
                <w:szCs w:val="20"/>
              </w:rPr>
              <w:t>PSIC</w:t>
            </w:r>
          </w:p>
          <w:p w14:paraId="2B6A2285" w14:textId="77777777" w:rsidR="00505F4C" w:rsidRPr="00505F4C" w:rsidRDefault="00505F4C" w:rsidP="00642325">
            <w:pPr>
              <w:pStyle w:val="Standard"/>
              <w:jc w:val="center"/>
              <w:rPr>
                <w:sz w:val="20"/>
                <w:szCs w:val="20"/>
              </w:rPr>
            </w:pPr>
            <w:r w:rsidRPr="00505F4C">
              <w:rPr>
                <w:rStyle w:val="Tipodeletrapredefinidodopargrafo"/>
                <w:sz w:val="20"/>
                <w:szCs w:val="20"/>
              </w:rPr>
              <w:t>(</w:t>
            </w:r>
            <w:r w:rsidRPr="00505F4C">
              <w:rPr>
                <w:rStyle w:val="Tipodeletrapredefinidodopargrafo"/>
                <w:i/>
                <w:iCs/>
                <w:sz w:val="20"/>
                <w:szCs w:val="20"/>
              </w:rPr>
              <w:t>n</w:t>
            </w:r>
            <w:r w:rsidRPr="00505F4C">
              <w:rPr>
                <w:rStyle w:val="Tipodeletrapredefinidodopargrafo"/>
                <w:sz w:val="20"/>
                <w:szCs w:val="20"/>
              </w:rPr>
              <w:t>=03)</w:t>
            </w:r>
          </w:p>
        </w:tc>
        <w:tc>
          <w:tcPr>
            <w:tcW w:w="850" w:type="dxa"/>
            <w:tcBorders>
              <w:top w:val="single" w:sz="4" w:space="0" w:color="FFFFFF"/>
              <w:bottom w:val="single" w:sz="4" w:space="0" w:color="000000"/>
            </w:tcBorders>
            <w:tcMar>
              <w:top w:w="0" w:type="dxa"/>
              <w:left w:w="108" w:type="dxa"/>
              <w:bottom w:w="0" w:type="dxa"/>
              <w:right w:w="108" w:type="dxa"/>
            </w:tcMar>
          </w:tcPr>
          <w:p w14:paraId="21BB07EF" w14:textId="77777777" w:rsidR="00505F4C" w:rsidRPr="00505F4C" w:rsidRDefault="00505F4C" w:rsidP="00642325">
            <w:pPr>
              <w:pStyle w:val="Standard"/>
              <w:jc w:val="center"/>
              <w:rPr>
                <w:sz w:val="20"/>
                <w:szCs w:val="20"/>
              </w:rPr>
            </w:pPr>
            <w:r w:rsidRPr="00505F4C">
              <w:rPr>
                <w:sz w:val="20"/>
                <w:szCs w:val="20"/>
              </w:rPr>
              <w:t>MAG</w:t>
            </w:r>
          </w:p>
          <w:p w14:paraId="1F2C1778" w14:textId="77777777" w:rsidR="00505F4C" w:rsidRPr="00505F4C" w:rsidRDefault="00505F4C" w:rsidP="00642325">
            <w:pPr>
              <w:pStyle w:val="Standard"/>
              <w:jc w:val="center"/>
              <w:rPr>
                <w:sz w:val="20"/>
                <w:szCs w:val="20"/>
              </w:rPr>
            </w:pPr>
            <w:r w:rsidRPr="00505F4C">
              <w:rPr>
                <w:rStyle w:val="Tipodeletrapredefinidodopargrafo"/>
                <w:sz w:val="20"/>
                <w:szCs w:val="20"/>
              </w:rPr>
              <w:t>(</w:t>
            </w:r>
            <w:r w:rsidRPr="00505F4C">
              <w:rPr>
                <w:rStyle w:val="Tipodeletrapredefinidodopargrafo"/>
                <w:i/>
                <w:iCs/>
                <w:sz w:val="20"/>
                <w:szCs w:val="20"/>
              </w:rPr>
              <w:t>n</w:t>
            </w:r>
            <w:r w:rsidRPr="00505F4C">
              <w:rPr>
                <w:rStyle w:val="Tipodeletrapredefinidodopargrafo"/>
                <w:sz w:val="20"/>
                <w:szCs w:val="20"/>
              </w:rPr>
              <w:t>=04)</w:t>
            </w:r>
          </w:p>
        </w:tc>
        <w:tc>
          <w:tcPr>
            <w:tcW w:w="851" w:type="dxa"/>
            <w:tcBorders>
              <w:top w:val="single" w:sz="4" w:space="0" w:color="FFFFFF"/>
              <w:bottom w:val="single" w:sz="4" w:space="0" w:color="000000"/>
            </w:tcBorders>
            <w:tcMar>
              <w:top w:w="0" w:type="dxa"/>
              <w:left w:w="108" w:type="dxa"/>
              <w:bottom w:w="0" w:type="dxa"/>
              <w:right w:w="108" w:type="dxa"/>
            </w:tcMar>
          </w:tcPr>
          <w:p w14:paraId="798D208B" w14:textId="77777777" w:rsidR="00505F4C" w:rsidRPr="00505F4C" w:rsidRDefault="00505F4C" w:rsidP="00642325">
            <w:pPr>
              <w:pStyle w:val="Standard"/>
              <w:jc w:val="center"/>
              <w:rPr>
                <w:sz w:val="20"/>
                <w:szCs w:val="20"/>
              </w:rPr>
            </w:pPr>
            <w:r w:rsidRPr="00505F4C">
              <w:rPr>
                <w:sz w:val="20"/>
                <w:szCs w:val="20"/>
              </w:rPr>
              <w:t>PSIC</w:t>
            </w:r>
          </w:p>
          <w:p w14:paraId="36267F6A" w14:textId="77777777" w:rsidR="00505F4C" w:rsidRPr="00505F4C" w:rsidRDefault="00505F4C" w:rsidP="00642325">
            <w:pPr>
              <w:pStyle w:val="Standard"/>
              <w:jc w:val="center"/>
              <w:rPr>
                <w:sz w:val="20"/>
                <w:szCs w:val="20"/>
              </w:rPr>
            </w:pPr>
            <w:r w:rsidRPr="00505F4C">
              <w:rPr>
                <w:rStyle w:val="Tipodeletrapredefinidodopargrafo"/>
                <w:sz w:val="20"/>
                <w:szCs w:val="20"/>
              </w:rPr>
              <w:t>(</w:t>
            </w:r>
            <w:r w:rsidRPr="00505F4C">
              <w:rPr>
                <w:rStyle w:val="Tipodeletrapredefinidodopargrafo"/>
                <w:i/>
                <w:iCs/>
                <w:sz w:val="20"/>
                <w:szCs w:val="20"/>
              </w:rPr>
              <w:t>n</w:t>
            </w:r>
            <w:r w:rsidRPr="00505F4C">
              <w:rPr>
                <w:rStyle w:val="Tipodeletrapredefinidodopargrafo"/>
                <w:sz w:val="20"/>
                <w:szCs w:val="20"/>
              </w:rPr>
              <w:t>=02)</w:t>
            </w:r>
          </w:p>
        </w:tc>
      </w:tr>
      <w:tr w:rsidR="00505F4C" w:rsidRPr="00505F4C" w14:paraId="4EA5D8C6" w14:textId="77777777" w:rsidTr="00642325">
        <w:tc>
          <w:tcPr>
            <w:tcW w:w="1526" w:type="dxa"/>
            <w:vMerge w:val="restart"/>
            <w:tcMar>
              <w:top w:w="0" w:type="dxa"/>
              <w:left w:w="108" w:type="dxa"/>
              <w:bottom w:w="0" w:type="dxa"/>
              <w:right w:w="108" w:type="dxa"/>
            </w:tcMar>
          </w:tcPr>
          <w:p w14:paraId="68163A85" w14:textId="77777777" w:rsidR="00505F4C" w:rsidRPr="00505F4C" w:rsidRDefault="00505F4C" w:rsidP="00642325">
            <w:pPr>
              <w:pStyle w:val="Standard"/>
              <w:snapToGrid w:val="0"/>
              <w:jc w:val="center"/>
              <w:rPr>
                <w:sz w:val="20"/>
                <w:szCs w:val="20"/>
              </w:rPr>
            </w:pPr>
          </w:p>
          <w:p w14:paraId="37CFFC06" w14:textId="77777777" w:rsidR="00505F4C" w:rsidRPr="00505F4C" w:rsidRDefault="00505F4C" w:rsidP="00642325">
            <w:pPr>
              <w:pStyle w:val="Standard"/>
              <w:jc w:val="center"/>
              <w:rPr>
                <w:sz w:val="20"/>
                <w:szCs w:val="20"/>
              </w:rPr>
            </w:pPr>
          </w:p>
          <w:p w14:paraId="410447C0" w14:textId="77777777" w:rsidR="00505F4C" w:rsidRPr="00505F4C" w:rsidRDefault="00505F4C" w:rsidP="00642325">
            <w:pPr>
              <w:pStyle w:val="Standard"/>
              <w:jc w:val="center"/>
              <w:rPr>
                <w:sz w:val="20"/>
                <w:szCs w:val="20"/>
              </w:rPr>
            </w:pPr>
          </w:p>
          <w:p w14:paraId="5C4154DC" w14:textId="77777777" w:rsidR="00505F4C" w:rsidRPr="00505F4C" w:rsidRDefault="00505F4C" w:rsidP="00642325">
            <w:pPr>
              <w:pStyle w:val="Standard"/>
              <w:jc w:val="center"/>
              <w:rPr>
                <w:sz w:val="20"/>
                <w:szCs w:val="20"/>
              </w:rPr>
            </w:pPr>
          </w:p>
          <w:p w14:paraId="51615A08" w14:textId="77777777" w:rsidR="00505F4C" w:rsidRPr="00505F4C" w:rsidRDefault="00505F4C" w:rsidP="00642325">
            <w:pPr>
              <w:pStyle w:val="Standard"/>
              <w:jc w:val="center"/>
              <w:rPr>
                <w:sz w:val="20"/>
                <w:szCs w:val="20"/>
              </w:rPr>
            </w:pPr>
            <w:r w:rsidRPr="00505F4C">
              <w:rPr>
                <w:sz w:val="20"/>
                <w:szCs w:val="20"/>
              </w:rPr>
              <w:t>Procedimentos de Atendimento</w:t>
            </w:r>
          </w:p>
        </w:tc>
        <w:tc>
          <w:tcPr>
            <w:tcW w:w="1417" w:type="dxa"/>
            <w:tcMar>
              <w:top w:w="0" w:type="dxa"/>
              <w:left w:w="108" w:type="dxa"/>
              <w:bottom w:w="0" w:type="dxa"/>
              <w:right w:w="108" w:type="dxa"/>
            </w:tcMar>
          </w:tcPr>
          <w:p w14:paraId="1EC7C424" w14:textId="77777777" w:rsidR="00505F4C" w:rsidRPr="00505F4C" w:rsidRDefault="00505F4C" w:rsidP="00642325">
            <w:pPr>
              <w:pStyle w:val="Standard"/>
              <w:jc w:val="center"/>
              <w:rPr>
                <w:sz w:val="20"/>
                <w:szCs w:val="20"/>
              </w:rPr>
            </w:pPr>
            <w:r w:rsidRPr="00505F4C">
              <w:rPr>
                <w:sz w:val="20"/>
                <w:szCs w:val="20"/>
              </w:rPr>
              <w:t>Antecipação da Entrevista à Criança</w:t>
            </w:r>
          </w:p>
        </w:tc>
        <w:tc>
          <w:tcPr>
            <w:tcW w:w="993" w:type="dxa"/>
            <w:tcBorders>
              <w:top w:val="single" w:sz="4" w:space="0" w:color="000000"/>
            </w:tcBorders>
            <w:tcMar>
              <w:top w:w="0" w:type="dxa"/>
              <w:left w:w="108" w:type="dxa"/>
              <w:bottom w:w="0" w:type="dxa"/>
              <w:right w:w="108" w:type="dxa"/>
            </w:tcMar>
          </w:tcPr>
          <w:p w14:paraId="70BC6DBF" w14:textId="77777777" w:rsidR="00505F4C" w:rsidRPr="00505F4C" w:rsidRDefault="00505F4C" w:rsidP="00642325">
            <w:pPr>
              <w:pStyle w:val="Standard"/>
              <w:snapToGrid w:val="0"/>
              <w:jc w:val="center"/>
              <w:rPr>
                <w:sz w:val="20"/>
                <w:szCs w:val="20"/>
              </w:rPr>
            </w:pPr>
          </w:p>
          <w:p w14:paraId="07CB1BF8" w14:textId="77777777" w:rsidR="00505F4C" w:rsidRPr="00505F4C" w:rsidRDefault="00505F4C" w:rsidP="00642325">
            <w:pPr>
              <w:pStyle w:val="Standard"/>
              <w:jc w:val="center"/>
              <w:rPr>
                <w:sz w:val="20"/>
                <w:szCs w:val="20"/>
              </w:rPr>
            </w:pPr>
            <w:r w:rsidRPr="00505F4C">
              <w:rPr>
                <w:sz w:val="20"/>
                <w:szCs w:val="20"/>
              </w:rPr>
              <w:t>03</w:t>
            </w:r>
          </w:p>
        </w:tc>
        <w:tc>
          <w:tcPr>
            <w:tcW w:w="850" w:type="dxa"/>
            <w:tcBorders>
              <w:top w:val="single" w:sz="4" w:space="0" w:color="000000"/>
            </w:tcBorders>
            <w:tcMar>
              <w:top w:w="0" w:type="dxa"/>
              <w:left w:w="108" w:type="dxa"/>
              <w:bottom w:w="0" w:type="dxa"/>
              <w:right w:w="108" w:type="dxa"/>
            </w:tcMar>
          </w:tcPr>
          <w:p w14:paraId="15FCBC02" w14:textId="77777777" w:rsidR="00505F4C" w:rsidRPr="00505F4C" w:rsidRDefault="00505F4C" w:rsidP="00642325">
            <w:pPr>
              <w:pStyle w:val="Standard"/>
              <w:snapToGrid w:val="0"/>
              <w:jc w:val="center"/>
              <w:rPr>
                <w:sz w:val="20"/>
                <w:szCs w:val="20"/>
              </w:rPr>
            </w:pPr>
          </w:p>
          <w:p w14:paraId="1BC55413"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top w:val="single" w:sz="4" w:space="0" w:color="000000"/>
            </w:tcBorders>
            <w:tcMar>
              <w:top w:w="0" w:type="dxa"/>
              <w:left w:w="108" w:type="dxa"/>
              <w:bottom w:w="0" w:type="dxa"/>
              <w:right w:w="108" w:type="dxa"/>
            </w:tcMar>
          </w:tcPr>
          <w:p w14:paraId="7C370AFB" w14:textId="77777777" w:rsidR="00505F4C" w:rsidRPr="00505F4C" w:rsidRDefault="00505F4C" w:rsidP="00642325">
            <w:pPr>
              <w:pStyle w:val="Standard"/>
              <w:snapToGrid w:val="0"/>
              <w:jc w:val="center"/>
              <w:rPr>
                <w:sz w:val="20"/>
                <w:szCs w:val="20"/>
              </w:rPr>
            </w:pPr>
          </w:p>
          <w:p w14:paraId="66AD3438" w14:textId="77777777" w:rsidR="00505F4C" w:rsidRPr="00505F4C" w:rsidRDefault="00505F4C" w:rsidP="00642325">
            <w:pPr>
              <w:pStyle w:val="Standard"/>
              <w:jc w:val="center"/>
              <w:rPr>
                <w:sz w:val="20"/>
                <w:szCs w:val="20"/>
              </w:rPr>
            </w:pPr>
            <w:r w:rsidRPr="00505F4C">
              <w:rPr>
                <w:sz w:val="20"/>
                <w:szCs w:val="20"/>
              </w:rPr>
              <w:t>02</w:t>
            </w:r>
          </w:p>
        </w:tc>
        <w:tc>
          <w:tcPr>
            <w:tcW w:w="851" w:type="dxa"/>
            <w:tcBorders>
              <w:top w:val="single" w:sz="4" w:space="0" w:color="000000"/>
            </w:tcBorders>
            <w:tcMar>
              <w:top w:w="0" w:type="dxa"/>
              <w:left w:w="108" w:type="dxa"/>
              <w:bottom w:w="0" w:type="dxa"/>
              <w:right w:w="108" w:type="dxa"/>
            </w:tcMar>
          </w:tcPr>
          <w:p w14:paraId="1DB93E0F" w14:textId="77777777" w:rsidR="00505F4C" w:rsidRPr="00505F4C" w:rsidRDefault="00505F4C" w:rsidP="00642325">
            <w:pPr>
              <w:pStyle w:val="Standard"/>
              <w:snapToGrid w:val="0"/>
              <w:jc w:val="center"/>
              <w:rPr>
                <w:sz w:val="20"/>
                <w:szCs w:val="20"/>
              </w:rPr>
            </w:pPr>
          </w:p>
          <w:p w14:paraId="668E86A3"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top w:val="single" w:sz="4" w:space="0" w:color="000000"/>
            </w:tcBorders>
            <w:tcMar>
              <w:top w:w="0" w:type="dxa"/>
              <w:left w:w="108" w:type="dxa"/>
              <w:bottom w:w="0" w:type="dxa"/>
              <w:right w:w="108" w:type="dxa"/>
            </w:tcMar>
          </w:tcPr>
          <w:p w14:paraId="04CFF61B" w14:textId="77777777" w:rsidR="00505F4C" w:rsidRPr="00505F4C" w:rsidRDefault="00505F4C" w:rsidP="00642325">
            <w:pPr>
              <w:pStyle w:val="Standard"/>
              <w:snapToGrid w:val="0"/>
              <w:jc w:val="center"/>
              <w:rPr>
                <w:sz w:val="20"/>
                <w:szCs w:val="20"/>
              </w:rPr>
            </w:pPr>
          </w:p>
          <w:p w14:paraId="392129F3" w14:textId="77777777" w:rsidR="00505F4C" w:rsidRPr="00505F4C" w:rsidRDefault="00505F4C" w:rsidP="00642325">
            <w:pPr>
              <w:pStyle w:val="Standard"/>
              <w:jc w:val="center"/>
              <w:rPr>
                <w:sz w:val="20"/>
                <w:szCs w:val="20"/>
              </w:rPr>
            </w:pPr>
            <w:r w:rsidRPr="00505F4C">
              <w:rPr>
                <w:sz w:val="20"/>
                <w:szCs w:val="20"/>
              </w:rPr>
              <w:t>02</w:t>
            </w:r>
          </w:p>
        </w:tc>
        <w:tc>
          <w:tcPr>
            <w:tcW w:w="850" w:type="dxa"/>
            <w:tcBorders>
              <w:top w:val="single" w:sz="4" w:space="0" w:color="000000"/>
            </w:tcBorders>
            <w:tcMar>
              <w:top w:w="0" w:type="dxa"/>
              <w:left w:w="108" w:type="dxa"/>
              <w:bottom w:w="0" w:type="dxa"/>
              <w:right w:w="108" w:type="dxa"/>
            </w:tcMar>
          </w:tcPr>
          <w:p w14:paraId="48531556" w14:textId="77777777" w:rsidR="00505F4C" w:rsidRPr="00505F4C" w:rsidRDefault="00505F4C" w:rsidP="00642325">
            <w:pPr>
              <w:pStyle w:val="Standard"/>
              <w:snapToGrid w:val="0"/>
              <w:jc w:val="center"/>
              <w:rPr>
                <w:sz w:val="20"/>
                <w:szCs w:val="20"/>
              </w:rPr>
            </w:pPr>
          </w:p>
          <w:p w14:paraId="366657B7" w14:textId="77777777" w:rsidR="00505F4C" w:rsidRPr="00505F4C" w:rsidRDefault="00505F4C" w:rsidP="00642325">
            <w:pPr>
              <w:pStyle w:val="Standard"/>
              <w:jc w:val="center"/>
              <w:rPr>
                <w:sz w:val="20"/>
                <w:szCs w:val="20"/>
              </w:rPr>
            </w:pPr>
            <w:r w:rsidRPr="00505F4C">
              <w:rPr>
                <w:sz w:val="20"/>
                <w:szCs w:val="20"/>
              </w:rPr>
              <w:t>03</w:t>
            </w:r>
          </w:p>
        </w:tc>
        <w:tc>
          <w:tcPr>
            <w:tcW w:w="851" w:type="dxa"/>
            <w:tcBorders>
              <w:top w:val="single" w:sz="4" w:space="0" w:color="000000"/>
            </w:tcBorders>
            <w:tcMar>
              <w:top w:w="0" w:type="dxa"/>
              <w:left w:w="108" w:type="dxa"/>
              <w:bottom w:w="0" w:type="dxa"/>
              <w:right w:w="108" w:type="dxa"/>
            </w:tcMar>
          </w:tcPr>
          <w:p w14:paraId="0F3FC84C" w14:textId="77777777" w:rsidR="00505F4C" w:rsidRPr="00505F4C" w:rsidRDefault="00505F4C" w:rsidP="00642325">
            <w:pPr>
              <w:pStyle w:val="Standard"/>
              <w:snapToGrid w:val="0"/>
              <w:jc w:val="center"/>
              <w:rPr>
                <w:sz w:val="20"/>
                <w:szCs w:val="20"/>
              </w:rPr>
            </w:pPr>
          </w:p>
          <w:p w14:paraId="1CF3C3A9" w14:textId="77777777" w:rsidR="00505F4C" w:rsidRPr="00505F4C" w:rsidRDefault="00505F4C" w:rsidP="00642325">
            <w:pPr>
              <w:pStyle w:val="Standard"/>
              <w:jc w:val="center"/>
              <w:rPr>
                <w:sz w:val="20"/>
                <w:szCs w:val="20"/>
              </w:rPr>
            </w:pPr>
            <w:r w:rsidRPr="00505F4C">
              <w:rPr>
                <w:sz w:val="20"/>
                <w:szCs w:val="20"/>
              </w:rPr>
              <w:t>0</w:t>
            </w:r>
          </w:p>
        </w:tc>
      </w:tr>
      <w:tr w:rsidR="00505F4C" w:rsidRPr="00505F4C" w14:paraId="1832DFE4" w14:textId="77777777" w:rsidTr="00642325">
        <w:tc>
          <w:tcPr>
            <w:tcW w:w="1526" w:type="dxa"/>
            <w:vMerge/>
            <w:tcMar>
              <w:top w:w="0" w:type="dxa"/>
              <w:left w:w="108" w:type="dxa"/>
              <w:bottom w:w="0" w:type="dxa"/>
              <w:right w:w="108" w:type="dxa"/>
            </w:tcMar>
          </w:tcPr>
          <w:p w14:paraId="4B7A0E7A" w14:textId="77777777" w:rsidR="00505F4C" w:rsidRPr="00505F4C" w:rsidRDefault="00505F4C" w:rsidP="00642325">
            <w:pPr>
              <w:rPr>
                <w:sz w:val="20"/>
                <w:szCs w:val="20"/>
              </w:rPr>
            </w:pPr>
          </w:p>
        </w:tc>
        <w:tc>
          <w:tcPr>
            <w:tcW w:w="1417" w:type="dxa"/>
            <w:tcBorders>
              <w:bottom w:val="single" w:sz="4" w:space="0" w:color="FFFFFF"/>
            </w:tcBorders>
            <w:tcMar>
              <w:top w:w="0" w:type="dxa"/>
              <w:left w:w="108" w:type="dxa"/>
              <w:bottom w:w="0" w:type="dxa"/>
              <w:right w:w="108" w:type="dxa"/>
            </w:tcMar>
          </w:tcPr>
          <w:p w14:paraId="248A4367" w14:textId="77777777" w:rsidR="00505F4C" w:rsidRPr="00505F4C" w:rsidRDefault="00505F4C" w:rsidP="00642325">
            <w:pPr>
              <w:pStyle w:val="Standard"/>
              <w:jc w:val="center"/>
              <w:rPr>
                <w:sz w:val="20"/>
                <w:szCs w:val="20"/>
              </w:rPr>
            </w:pPr>
            <w:r w:rsidRPr="00505F4C">
              <w:rPr>
                <w:sz w:val="20"/>
                <w:szCs w:val="20"/>
              </w:rPr>
              <w:t>Avaliação dos Fatores de Risco de Retratação</w:t>
            </w:r>
          </w:p>
        </w:tc>
        <w:tc>
          <w:tcPr>
            <w:tcW w:w="993" w:type="dxa"/>
            <w:tcBorders>
              <w:bottom w:val="single" w:sz="4" w:space="0" w:color="FFFFFF"/>
            </w:tcBorders>
            <w:tcMar>
              <w:top w:w="0" w:type="dxa"/>
              <w:left w:w="108" w:type="dxa"/>
              <w:bottom w:w="0" w:type="dxa"/>
              <w:right w:w="108" w:type="dxa"/>
            </w:tcMar>
          </w:tcPr>
          <w:p w14:paraId="67487B2A" w14:textId="77777777" w:rsidR="00505F4C" w:rsidRPr="00505F4C" w:rsidRDefault="00505F4C" w:rsidP="00642325">
            <w:pPr>
              <w:pStyle w:val="Standard"/>
              <w:snapToGrid w:val="0"/>
              <w:jc w:val="center"/>
              <w:rPr>
                <w:sz w:val="20"/>
                <w:szCs w:val="20"/>
              </w:rPr>
            </w:pPr>
          </w:p>
          <w:p w14:paraId="62A9F5AA"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bottom w:val="single" w:sz="4" w:space="0" w:color="FFFFFF"/>
            </w:tcBorders>
            <w:tcMar>
              <w:top w:w="0" w:type="dxa"/>
              <w:left w:w="108" w:type="dxa"/>
              <w:bottom w:w="0" w:type="dxa"/>
              <w:right w:w="108" w:type="dxa"/>
            </w:tcMar>
          </w:tcPr>
          <w:p w14:paraId="2D425AD1" w14:textId="77777777" w:rsidR="00505F4C" w:rsidRPr="00505F4C" w:rsidRDefault="00505F4C" w:rsidP="00642325">
            <w:pPr>
              <w:pStyle w:val="Standard"/>
              <w:snapToGrid w:val="0"/>
              <w:jc w:val="center"/>
              <w:rPr>
                <w:sz w:val="20"/>
                <w:szCs w:val="20"/>
              </w:rPr>
            </w:pPr>
          </w:p>
          <w:p w14:paraId="65A2D885"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bottom w:val="single" w:sz="4" w:space="0" w:color="FFFFFF"/>
            </w:tcBorders>
            <w:tcMar>
              <w:top w:w="0" w:type="dxa"/>
              <w:left w:w="108" w:type="dxa"/>
              <w:bottom w:w="0" w:type="dxa"/>
              <w:right w:w="108" w:type="dxa"/>
            </w:tcMar>
          </w:tcPr>
          <w:p w14:paraId="335942EE" w14:textId="77777777" w:rsidR="00505F4C" w:rsidRPr="00505F4C" w:rsidRDefault="00505F4C" w:rsidP="00642325">
            <w:pPr>
              <w:pStyle w:val="Standard"/>
              <w:snapToGrid w:val="0"/>
              <w:jc w:val="center"/>
              <w:rPr>
                <w:sz w:val="20"/>
                <w:szCs w:val="20"/>
              </w:rPr>
            </w:pPr>
          </w:p>
          <w:p w14:paraId="02696B6C"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bottom w:val="single" w:sz="4" w:space="0" w:color="FFFFFF"/>
            </w:tcBorders>
            <w:tcMar>
              <w:top w:w="0" w:type="dxa"/>
              <w:left w:w="108" w:type="dxa"/>
              <w:bottom w:w="0" w:type="dxa"/>
              <w:right w:w="108" w:type="dxa"/>
            </w:tcMar>
          </w:tcPr>
          <w:p w14:paraId="214AC23D" w14:textId="77777777" w:rsidR="00505F4C" w:rsidRPr="00505F4C" w:rsidRDefault="00505F4C" w:rsidP="00642325">
            <w:pPr>
              <w:pStyle w:val="Standard"/>
              <w:snapToGrid w:val="0"/>
              <w:jc w:val="center"/>
              <w:rPr>
                <w:sz w:val="20"/>
                <w:szCs w:val="20"/>
              </w:rPr>
            </w:pPr>
          </w:p>
          <w:p w14:paraId="4C0A53E3"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bottom w:val="single" w:sz="4" w:space="0" w:color="FFFFFF"/>
            </w:tcBorders>
            <w:tcMar>
              <w:top w:w="0" w:type="dxa"/>
              <w:left w:w="108" w:type="dxa"/>
              <w:bottom w:w="0" w:type="dxa"/>
              <w:right w:w="108" w:type="dxa"/>
            </w:tcMar>
          </w:tcPr>
          <w:p w14:paraId="4340FF03" w14:textId="77777777" w:rsidR="00505F4C" w:rsidRPr="00505F4C" w:rsidRDefault="00505F4C" w:rsidP="00642325">
            <w:pPr>
              <w:pStyle w:val="Standard"/>
              <w:snapToGrid w:val="0"/>
              <w:jc w:val="center"/>
              <w:rPr>
                <w:sz w:val="20"/>
                <w:szCs w:val="20"/>
              </w:rPr>
            </w:pPr>
          </w:p>
          <w:p w14:paraId="2F83DDDF"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bottom w:val="single" w:sz="4" w:space="0" w:color="FFFFFF"/>
            </w:tcBorders>
            <w:tcMar>
              <w:top w:w="0" w:type="dxa"/>
              <w:left w:w="108" w:type="dxa"/>
              <w:bottom w:w="0" w:type="dxa"/>
              <w:right w:w="108" w:type="dxa"/>
            </w:tcMar>
          </w:tcPr>
          <w:p w14:paraId="70E38E4C" w14:textId="77777777" w:rsidR="00505F4C" w:rsidRPr="00505F4C" w:rsidRDefault="00505F4C" w:rsidP="00642325">
            <w:pPr>
              <w:pStyle w:val="Standard"/>
              <w:snapToGrid w:val="0"/>
              <w:jc w:val="center"/>
              <w:rPr>
                <w:sz w:val="20"/>
                <w:szCs w:val="20"/>
              </w:rPr>
            </w:pPr>
          </w:p>
          <w:p w14:paraId="64D6F517"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bottom w:val="single" w:sz="4" w:space="0" w:color="FFFFFF"/>
            </w:tcBorders>
            <w:tcMar>
              <w:top w:w="0" w:type="dxa"/>
              <w:left w:w="108" w:type="dxa"/>
              <w:bottom w:w="0" w:type="dxa"/>
              <w:right w:w="108" w:type="dxa"/>
            </w:tcMar>
          </w:tcPr>
          <w:p w14:paraId="25855A62" w14:textId="77777777" w:rsidR="00505F4C" w:rsidRPr="00505F4C" w:rsidRDefault="00505F4C" w:rsidP="00642325">
            <w:pPr>
              <w:pStyle w:val="Standard"/>
              <w:snapToGrid w:val="0"/>
              <w:jc w:val="center"/>
              <w:rPr>
                <w:sz w:val="20"/>
                <w:szCs w:val="20"/>
              </w:rPr>
            </w:pPr>
          </w:p>
          <w:p w14:paraId="07E93214" w14:textId="77777777" w:rsidR="00505F4C" w:rsidRPr="00505F4C" w:rsidRDefault="00505F4C" w:rsidP="00642325">
            <w:pPr>
              <w:pStyle w:val="Standard"/>
              <w:jc w:val="center"/>
              <w:rPr>
                <w:sz w:val="20"/>
                <w:szCs w:val="20"/>
              </w:rPr>
            </w:pPr>
            <w:r w:rsidRPr="00505F4C">
              <w:rPr>
                <w:sz w:val="20"/>
                <w:szCs w:val="20"/>
              </w:rPr>
              <w:t>0</w:t>
            </w:r>
          </w:p>
        </w:tc>
      </w:tr>
      <w:tr w:rsidR="00505F4C" w:rsidRPr="00505F4C" w14:paraId="1E2F765E" w14:textId="77777777" w:rsidTr="00642325">
        <w:tc>
          <w:tcPr>
            <w:tcW w:w="1526" w:type="dxa"/>
            <w:vMerge/>
            <w:tcMar>
              <w:top w:w="0" w:type="dxa"/>
              <w:left w:w="108" w:type="dxa"/>
              <w:bottom w:w="0" w:type="dxa"/>
              <w:right w:w="108" w:type="dxa"/>
            </w:tcMar>
          </w:tcPr>
          <w:p w14:paraId="72C3F143" w14:textId="77777777" w:rsidR="00505F4C" w:rsidRPr="00505F4C" w:rsidRDefault="00505F4C" w:rsidP="00642325">
            <w:pPr>
              <w:rPr>
                <w:sz w:val="20"/>
                <w:szCs w:val="20"/>
              </w:rPr>
            </w:pPr>
          </w:p>
        </w:tc>
        <w:tc>
          <w:tcPr>
            <w:tcW w:w="1417" w:type="dxa"/>
            <w:tcBorders>
              <w:top w:val="single" w:sz="4" w:space="0" w:color="FFFFFF"/>
              <w:bottom w:val="single" w:sz="4" w:space="0" w:color="FFFFFF"/>
            </w:tcBorders>
            <w:tcMar>
              <w:top w:w="0" w:type="dxa"/>
              <w:left w:w="108" w:type="dxa"/>
              <w:bottom w:w="0" w:type="dxa"/>
              <w:right w:w="108" w:type="dxa"/>
            </w:tcMar>
          </w:tcPr>
          <w:p w14:paraId="620B8376" w14:textId="77777777" w:rsidR="00505F4C" w:rsidRPr="00505F4C" w:rsidRDefault="00505F4C" w:rsidP="00642325">
            <w:pPr>
              <w:pStyle w:val="Standard"/>
              <w:jc w:val="center"/>
              <w:rPr>
                <w:sz w:val="20"/>
                <w:szCs w:val="20"/>
              </w:rPr>
            </w:pPr>
            <w:r w:rsidRPr="00505F4C">
              <w:rPr>
                <w:sz w:val="20"/>
                <w:szCs w:val="20"/>
              </w:rPr>
              <w:t>Suporte às Famílias e Crianças</w:t>
            </w:r>
          </w:p>
          <w:p w14:paraId="6EBF23E6" w14:textId="77777777" w:rsidR="00505F4C" w:rsidRPr="00505F4C" w:rsidRDefault="00505F4C" w:rsidP="00642325">
            <w:pPr>
              <w:pStyle w:val="Standard"/>
              <w:jc w:val="center"/>
              <w:rPr>
                <w:sz w:val="20"/>
                <w:szCs w:val="20"/>
              </w:rPr>
            </w:pPr>
          </w:p>
        </w:tc>
        <w:tc>
          <w:tcPr>
            <w:tcW w:w="993" w:type="dxa"/>
            <w:tcBorders>
              <w:top w:val="single" w:sz="4" w:space="0" w:color="FFFFFF"/>
              <w:bottom w:val="single" w:sz="4" w:space="0" w:color="FFFFFF"/>
            </w:tcBorders>
            <w:tcMar>
              <w:top w:w="0" w:type="dxa"/>
              <w:left w:w="108" w:type="dxa"/>
              <w:bottom w:w="0" w:type="dxa"/>
              <w:right w:w="108" w:type="dxa"/>
            </w:tcMar>
          </w:tcPr>
          <w:p w14:paraId="35D12D2F" w14:textId="77777777" w:rsidR="00505F4C" w:rsidRPr="00505F4C" w:rsidRDefault="00505F4C" w:rsidP="00642325">
            <w:pPr>
              <w:pStyle w:val="Standard"/>
              <w:snapToGrid w:val="0"/>
              <w:jc w:val="center"/>
              <w:rPr>
                <w:sz w:val="20"/>
                <w:szCs w:val="20"/>
              </w:rPr>
            </w:pPr>
          </w:p>
          <w:p w14:paraId="34BF3D04" w14:textId="77777777" w:rsidR="00505F4C" w:rsidRPr="00505F4C" w:rsidRDefault="00505F4C" w:rsidP="00642325">
            <w:pPr>
              <w:pStyle w:val="Standard"/>
              <w:jc w:val="center"/>
              <w:rPr>
                <w:sz w:val="20"/>
                <w:szCs w:val="20"/>
              </w:rPr>
            </w:pPr>
            <w:r w:rsidRPr="00505F4C">
              <w:rPr>
                <w:sz w:val="20"/>
                <w:szCs w:val="20"/>
              </w:rPr>
              <w:t>02</w:t>
            </w:r>
          </w:p>
        </w:tc>
        <w:tc>
          <w:tcPr>
            <w:tcW w:w="850" w:type="dxa"/>
            <w:tcBorders>
              <w:top w:val="single" w:sz="4" w:space="0" w:color="FFFFFF"/>
              <w:bottom w:val="single" w:sz="4" w:space="0" w:color="FFFFFF"/>
            </w:tcBorders>
            <w:tcMar>
              <w:top w:w="0" w:type="dxa"/>
              <w:left w:w="108" w:type="dxa"/>
              <w:bottom w:w="0" w:type="dxa"/>
              <w:right w:w="108" w:type="dxa"/>
            </w:tcMar>
          </w:tcPr>
          <w:p w14:paraId="27948D3C" w14:textId="77777777" w:rsidR="00505F4C" w:rsidRPr="00505F4C" w:rsidRDefault="00505F4C" w:rsidP="00642325">
            <w:pPr>
              <w:pStyle w:val="Standard"/>
              <w:snapToGrid w:val="0"/>
              <w:jc w:val="center"/>
              <w:rPr>
                <w:sz w:val="20"/>
                <w:szCs w:val="20"/>
              </w:rPr>
            </w:pPr>
          </w:p>
          <w:p w14:paraId="08FAF4EB" w14:textId="77777777" w:rsidR="00505F4C" w:rsidRPr="00505F4C" w:rsidRDefault="00505F4C" w:rsidP="00642325">
            <w:pPr>
              <w:pStyle w:val="Standard"/>
              <w:jc w:val="center"/>
              <w:rPr>
                <w:sz w:val="20"/>
                <w:szCs w:val="20"/>
              </w:rPr>
            </w:pPr>
            <w:r w:rsidRPr="00505F4C">
              <w:rPr>
                <w:sz w:val="20"/>
                <w:szCs w:val="20"/>
              </w:rPr>
              <w:t>02</w:t>
            </w:r>
          </w:p>
        </w:tc>
        <w:tc>
          <w:tcPr>
            <w:tcW w:w="851" w:type="dxa"/>
            <w:tcBorders>
              <w:top w:val="single" w:sz="4" w:space="0" w:color="FFFFFF"/>
              <w:bottom w:val="single" w:sz="4" w:space="0" w:color="FFFFFF"/>
            </w:tcBorders>
            <w:tcMar>
              <w:top w:w="0" w:type="dxa"/>
              <w:left w:w="108" w:type="dxa"/>
              <w:bottom w:w="0" w:type="dxa"/>
              <w:right w:w="108" w:type="dxa"/>
            </w:tcMar>
          </w:tcPr>
          <w:p w14:paraId="1E927EBD" w14:textId="77777777" w:rsidR="00505F4C" w:rsidRPr="00505F4C" w:rsidRDefault="00505F4C" w:rsidP="00642325">
            <w:pPr>
              <w:pStyle w:val="Standard"/>
              <w:snapToGrid w:val="0"/>
              <w:jc w:val="center"/>
              <w:rPr>
                <w:sz w:val="20"/>
                <w:szCs w:val="20"/>
              </w:rPr>
            </w:pPr>
          </w:p>
          <w:p w14:paraId="7514E84E"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top w:val="single" w:sz="4" w:space="0" w:color="FFFFFF"/>
              <w:bottom w:val="single" w:sz="4" w:space="0" w:color="FFFFFF"/>
            </w:tcBorders>
            <w:tcMar>
              <w:top w:w="0" w:type="dxa"/>
              <w:left w:w="108" w:type="dxa"/>
              <w:bottom w:w="0" w:type="dxa"/>
              <w:right w:w="108" w:type="dxa"/>
            </w:tcMar>
          </w:tcPr>
          <w:p w14:paraId="3E20FBC3" w14:textId="77777777" w:rsidR="00505F4C" w:rsidRPr="00505F4C" w:rsidRDefault="00505F4C" w:rsidP="00642325">
            <w:pPr>
              <w:pStyle w:val="Standard"/>
              <w:snapToGrid w:val="0"/>
              <w:jc w:val="center"/>
              <w:rPr>
                <w:sz w:val="20"/>
                <w:szCs w:val="20"/>
              </w:rPr>
            </w:pPr>
          </w:p>
          <w:p w14:paraId="12673266"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top w:val="single" w:sz="4" w:space="0" w:color="FFFFFF"/>
              <w:bottom w:val="single" w:sz="4" w:space="0" w:color="FFFFFF"/>
            </w:tcBorders>
            <w:tcMar>
              <w:top w:w="0" w:type="dxa"/>
              <w:left w:w="108" w:type="dxa"/>
              <w:bottom w:w="0" w:type="dxa"/>
              <w:right w:w="108" w:type="dxa"/>
            </w:tcMar>
          </w:tcPr>
          <w:p w14:paraId="1C051C45" w14:textId="77777777" w:rsidR="00505F4C" w:rsidRPr="00505F4C" w:rsidRDefault="00505F4C" w:rsidP="00642325">
            <w:pPr>
              <w:pStyle w:val="Standard"/>
              <w:snapToGrid w:val="0"/>
              <w:jc w:val="center"/>
              <w:rPr>
                <w:sz w:val="20"/>
                <w:szCs w:val="20"/>
              </w:rPr>
            </w:pPr>
          </w:p>
          <w:p w14:paraId="0B1A32CD" w14:textId="77777777" w:rsidR="00505F4C" w:rsidRPr="00505F4C" w:rsidRDefault="00505F4C" w:rsidP="00642325">
            <w:pPr>
              <w:pStyle w:val="Standard"/>
              <w:jc w:val="center"/>
              <w:rPr>
                <w:sz w:val="20"/>
                <w:szCs w:val="20"/>
              </w:rPr>
            </w:pPr>
            <w:r w:rsidRPr="00505F4C">
              <w:rPr>
                <w:sz w:val="20"/>
                <w:szCs w:val="20"/>
              </w:rPr>
              <w:t>02</w:t>
            </w:r>
          </w:p>
        </w:tc>
        <w:tc>
          <w:tcPr>
            <w:tcW w:w="850" w:type="dxa"/>
            <w:tcBorders>
              <w:top w:val="single" w:sz="4" w:space="0" w:color="FFFFFF"/>
              <w:bottom w:val="single" w:sz="4" w:space="0" w:color="FFFFFF"/>
            </w:tcBorders>
            <w:tcMar>
              <w:top w:w="0" w:type="dxa"/>
              <w:left w:w="108" w:type="dxa"/>
              <w:bottom w:w="0" w:type="dxa"/>
              <w:right w:w="108" w:type="dxa"/>
            </w:tcMar>
          </w:tcPr>
          <w:p w14:paraId="071B8AA3" w14:textId="77777777" w:rsidR="00505F4C" w:rsidRPr="00505F4C" w:rsidRDefault="00505F4C" w:rsidP="00642325">
            <w:pPr>
              <w:pStyle w:val="Standard"/>
              <w:snapToGrid w:val="0"/>
              <w:jc w:val="center"/>
              <w:rPr>
                <w:sz w:val="20"/>
                <w:szCs w:val="20"/>
              </w:rPr>
            </w:pPr>
          </w:p>
          <w:p w14:paraId="46A2507A"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top w:val="single" w:sz="4" w:space="0" w:color="FFFFFF"/>
              <w:bottom w:val="single" w:sz="4" w:space="0" w:color="FFFFFF"/>
            </w:tcBorders>
            <w:tcMar>
              <w:top w:w="0" w:type="dxa"/>
              <w:left w:w="108" w:type="dxa"/>
              <w:bottom w:w="0" w:type="dxa"/>
              <w:right w:w="108" w:type="dxa"/>
            </w:tcMar>
          </w:tcPr>
          <w:p w14:paraId="5BF63A2D" w14:textId="77777777" w:rsidR="00505F4C" w:rsidRPr="00505F4C" w:rsidRDefault="00505F4C" w:rsidP="00642325">
            <w:pPr>
              <w:pStyle w:val="Standard"/>
              <w:snapToGrid w:val="0"/>
              <w:jc w:val="center"/>
              <w:rPr>
                <w:sz w:val="20"/>
                <w:szCs w:val="20"/>
              </w:rPr>
            </w:pPr>
          </w:p>
          <w:p w14:paraId="1022B2BB" w14:textId="77777777" w:rsidR="00505F4C" w:rsidRPr="00505F4C" w:rsidRDefault="00505F4C" w:rsidP="00642325">
            <w:pPr>
              <w:pStyle w:val="Standard"/>
              <w:jc w:val="center"/>
              <w:rPr>
                <w:sz w:val="20"/>
                <w:szCs w:val="20"/>
              </w:rPr>
            </w:pPr>
            <w:r w:rsidRPr="00505F4C">
              <w:rPr>
                <w:sz w:val="20"/>
                <w:szCs w:val="20"/>
              </w:rPr>
              <w:t>01</w:t>
            </w:r>
          </w:p>
        </w:tc>
      </w:tr>
      <w:tr w:rsidR="00505F4C" w:rsidRPr="00505F4C" w14:paraId="0C79A20B" w14:textId="77777777" w:rsidTr="00642325">
        <w:tc>
          <w:tcPr>
            <w:tcW w:w="1526" w:type="dxa"/>
            <w:vMerge w:val="restart"/>
            <w:tcBorders>
              <w:top w:val="single" w:sz="4" w:space="0" w:color="FFFFFF"/>
              <w:bottom w:val="single" w:sz="4" w:space="0" w:color="808080"/>
            </w:tcBorders>
            <w:tcMar>
              <w:top w:w="0" w:type="dxa"/>
              <w:left w:w="108" w:type="dxa"/>
              <w:bottom w:w="0" w:type="dxa"/>
              <w:right w:w="108" w:type="dxa"/>
            </w:tcMar>
          </w:tcPr>
          <w:p w14:paraId="1DDCC419" w14:textId="77777777" w:rsidR="00505F4C" w:rsidRPr="00505F4C" w:rsidRDefault="00505F4C" w:rsidP="00642325">
            <w:pPr>
              <w:pStyle w:val="Standard"/>
              <w:snapToGrid w:val="0"/>
              <w:jc w:val="center"/>
              <w:rPr>
                <w:sz w:val="20"/>
                <w:szCs w:val="20"/>
              </w:rPr>
            </w:pPr>
          </w:p>
          <w:p w14:paraId="395BC5A7" w14:textId="77777777" w:rsidR="00505F4C" w:rsidRPr="00505F4C" w:rsidRDefault="00505F4C" w:rsidP="00642325">
            <w:pPr>
              <w:pStyle w:val="Standard"/>
              <w:jc w:val="center"/>
              <w:rPr>
                <w:sz w:val="20"/>
                <w:szCs w:val="20"/>
              </w:rPr>
            </w:pPr>
          </w:p>
          <w:p w14:paraId="10BA77F4" w14:textId="77777777" w:rsidR="00505F4C" w:rsidRPr="00505F4C" w:rsidRDefault="00505F4C" w:rsidP="00642325">
            <w:pPr>
              <w:pStyle w:val="Standard"/>
              <w:jc w:val="center"/>
              <w:rPr>
                <w:sz w:val="20"/>
                <w:szCs w:val="20"/>
              </w:rPr>
            </w:pPr>
            <w:r w:rsidRPr="00505F4C">
              <w:rPr>
                <w:sz w:val="20"/>
                <w:szCs w:val="20"/>
              </w:rPr>
              <w:t>Estratégias Institucionais</w:t>
            </w:r>
          </w:p>
        </w:tc>
        <w:tc>
          <w:tcPr>
            <w:tcW w:w="1417" w:type="dxa"/>
            <w:tcBorders>
              <w:top w:val="single" w:sz="4" w:space="0" w:color="FFFFFF"/>
              <w:bottom w:val="single" w:sz="4" w:space="0" w:color="FFFFFF"/>
            </w:tcBorders>
            <w:tcMar>
              <w:top w:w="0" w:type="dxa"/>
              <w:left w:w="108" w:type="dxa"/>
              <w:bottom w:w="0" w:type="dxa"/>
              <w:right w:w="108" w:type="dxa"/>
            </w:tcMar>
          </w:tcPr>
          <w:p w14:paraId="5C988EC6" w14:textId="77777777" w:rsidR="00505F4C" w:rsidRPr="00505F4C" w:rsidRDefault="00505F4C" w:rsidP="00642325">
            <w:pPr>
              <w:pStyle w:val="Standard"/>
              <w:jc w:val="center"/>
              <w:rPr>
                <w:sz w:val="20"/>
                <w:szCs w:val="20"/>
              </w:rPr>
            </w:pPr>
            <w:r w:rsidRPr="00505F4C">
              <w:rPr>
                <w:sz w:val="20"/>
                <w:szCs w:val="20"/>
              </w:rPr>
              <w:t>Integração dos Serviços</w:t>
            </w:r>
          </w:p>
        </w:tc>
        <w:tc>
          <w:tcPr>
            <w:tcW w:w="993" w:type="dxa"/>
            <w:tcBorders>
              <w:top w:val="single" w:sz="4" w:space="0" w:color="FFFFFF"/>
              <w:bottom w:val="single" w:sz="4" w:space="0" w:color="FFFFFF"/>
            </w:tcBorders>
            <w:tcMar>
              <w:top w:w="0" w:type="dxa"/>
              <w:left w:w="108" w:type="dxa"/>
              <w:bottom w:w="0" w:type="dxa"/>
              <w:right w:w="108" w:type="dxa"/>
            </w:tcMar>
          </w:tcPr>
          <w:p w14:paraId="63AA388A"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top w:val="single" w:sz="4" w:space="0" w:color="FFFFFF"/>
              <w:bottom w:val="single" w:sz="4" w:space="0" w:color="FFFFFF"/>
            </w:tcBorders>
            <w:tcMar>
              <w:top w:w="0" w:type="dxa"/>
              <w:left w:w="108" w:type="dxa"/>
              <w:bottom w:w="0" w:type="dxa"/>
              <w:right w:w="108" w:type="dxa"/>
            </w:tcMar>
          </w:tcPr>
          <w:p w14:paraId="1447F495"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top w:val="single" w:sz="4" w:space="0" w:color="FFFFFF"/>
              <w:bottom w:val="single" w:sz="4" w:space="0" w:color="FFFFFF"/>
            </w:tcBorders>
            <w:tcMar>
              <w:top w:w="0" w:type="dxa"/>
              <w:left w:w="108" w:type="dxa"/>
              <w:bottom w:w="0" w:type="dxa"/>
              <w:right w:w="108" w:type="dxa"/>
            </w:tcMar>
          </w:tcPr>
          <w:p w14:paraId="277EA191"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top w:val="single" w:sz="4" w:space="0" w:color="FFFFFF"/>
              <w:bottom w:val="single" w:sz="4" w:space="0" w:color="FFFFFF"/>
            </w:tcBorders>
            <w:tcMar>
              <w:top w:w="0" w:type="dxa"/>
              <w:left w:w="108" w:type="dxa"/>
              <w:bottom w:w="0" w:type="dxa"/>
              <w:right w:w="108" w:type="dxa"/>
            </w:tcMar>
          </w:tcPr>
          <w:p w14:paraId="4008FC4F"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top w:val="single" w:sz="4" w:space="0" w:color="FFFFFF"/>
              <w:bottom w:val="single" w:sz="4" w:space="0" w:color="FFFFFF"/>
            </w:tcBorders>
            <w:tcMar>
              <w:top w:w="0" w:type="dxa"/>
              <w:left w:w="108" w:type="dxa"/>
              <w:bottom w:w="0" w:type="dxa"/>
              <w:right w:w="108" w:type="dxa"/>
            </w:tcMar>
          </w:tcPr>
          <w:p w14:paraId="33C44B3A"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top w:val="single" w:sz="4" w:space="0" w:color="FFFFFF"/>
              <w:bottom w:val="single" w:sz="4" w:space="0" w:color="FFFFFF"/>
            </w:tcBorders>
            <w:tcMar>
              <w:top w:w="0" w:type="dxa"/>
              <w:left w:w="108" w:type="dxa"/>
              <w:bottom w:w="0" w:type="dxa"/>
              <w:right w:w="108" w:type="dxa"/>
            </w:tcMar>
          </w:tcPr>
          <w:p w14:paraId="0C86B276"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top w:val="single" w:sz="4" w:space="0" w:color="FFFFFF"/>
              <w:bottom w:val="single" w:sz="4" w:space="0" w:color="FFFFFF"/>
            </w:tcBorders>
            <w:tcMar>
              <w:top w:w="0" w:type="dxa"/>
              <w:left w:w="108" w:type="dxa"/>
              <w:bottom w:w="0" w:type="dxa"/>
              <w:right w:w="108" w:type="dxa"/>
            </w:tcMar>
          </w:tcPr>
          <w:p w14:paraId="267909CC" w14:textId="77777777" w:rsidR="00505F4C" w:rsidRPr="00505F4C" w:rsidRDefault="00505F4C" w:rsidP="00642325">
            <w:pPr>
              <w:pStyle w:val="Standard"/>
              <w:jc w:val="center"/>
              <w:rPr>
                <w:sz w:val="20"/>
                <w:szCs w:val="20"/>
              </w:rPr>
            </w:pPr>
            <w:r w:rsidRPr="00505F4C">
              <w:rPr>
                <w:sz w:val="20"/>
                <w:szCs w:val="20"/>
              </w:rPr>
              <w:t>01</w:t>
            </w:r>
          </w:p>
        </w:tc>
      </w:tr>
      <w:tr w:rsidR="00505F4C" w:rsidRPr="00505F4C" w14:paraId="152BAA63" w14:textId="77777777" w:rsidTr="00642325">
        <w:tc>
          <w:tcPr>
            <w:tcW w:w="1526" w:type="dxa"/>
            <w:vMerge/>
            <w:tcBorders>
              <w:top w:val="single" w:sz="4" w:space="0" w:color="FFFFFF"/>
              <w:bottom w:val="single" w:sz="4" w:space="0" w:color="808080"/>
            </w:tcBorders>
            <w:tcMar>
              <w:top w:w="0" w:type="dxa"/>
              <w:left w:w="108" w:type="dxa"/>
              <w:bottom w:w="0" w:type="dxa"/>
              <w:right w:w="108" w:type="dxa"/>
            </w:tcMar>
          </w:tcPr>
          <w:p w14:paraId="314A25B0" w14:textId="77777777" w:rsidR="00505F4C" w:rsidRPr="00505F4C" w:rsidRDefault="00505F4C" w:rsidP="00642325">
            <w:pPr>
              <w:rPr>
                <w:sz w:val="20"/>
                <w:szCs w:val="20"/>
              </w:rPr>
            </w:pPr>
          </w:p>
        </w:tc>
        <w:tc>
          <w:tcPr>
            <w:tcW w:w="1417" w:type="dxa"/>
            <w:tcBorders>
              <w:top w:val="single" w:sz="4" w:space="0" w:color="FFFFFF"/>
              <w:bottom w:val="single" w:sz="4" w:space="0" w:color="FFFFFF"/>
            </w:tcBorders>
            <w:tcMar>
              <w:top w:w="0" w:type="dxa"/>
              <w:left w:w="108" w:type="dxa"/>
              <w:bottom w:w="0" w:type="dxa"/>
              <w:right w:w="108" w:type="dxa"/>
            </w:tcMar>
          </w:tcPr>
          <w:p w14:paraId="0494926E" w14:textId="77777777" w:rsidR="00505F4C" w:rsidRPr="00505F4C" w:rsidRDefault="00505F4C" w:rsidP="00642325">
            <w:pPr>
              <w:pStyle w:val="Standard"/>
              <w:jc w:val="center"/>
              <w:rPr>
                <w:sz w:val="20"/>
                <w:szCs w:val="20"/>
              </w:rPr>
            </w:pPr>
            <w:r w:rsidRPr="00505F4C">
              <w:rPr>
                <w:sz w:val="20"/>
                <w:szCs w:val="20"/>
              </w:rPr>
              <w:t>Capacitação do Profissional</w:t>
            </w:r>
          </w:p>
        </w:tc>
        <w:tc>
          <w:tcPr>
            <w:tcW w:w="993" w:type="dxa"/>
            <w:tcBorders>
              <w:top w:val="single" w:sz="4" w:space="0" w:color="FFFFFF"/>
              <w:bottom w:val="single" w:sz="4" w:space="0" w:color="FFFFFF"/>
            </w:tcBorders>
            <w:tcMar>
              <w:top w:w="0" w:type="dxa"/>
              <w:left w:w="108" w:type="dxa"/>
              <w:bottom w:w="0" w:type="dxa"/>
              <w:right w:w="108" w:type="dxa"/>
            </w:tcMar>
          </w:tcPr>
          <w:p w14:paraId="52C22FFF" w14:textId="77777777" w:rsidR="00505F4C" w:rsidRPr="00505F4C" w:rsidRDefault="00505F4C" w:rsidP="00642325">
            <w:pPr>
              <w:pStyle w:val="Standard"/>
              <w:snapToGrid w:val="0"/>
              <w:jc w:val="center"/>
              <w:rPr>
                <w:sz w:val="20"/>
                <w:szCs w:val="20"/>
              </w:rPr>
            </w:pPr>
          </w:p>
          <w:p w14:paraId="7EB81FA7"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top w:val="single" w:sz="4" w:space="0" w:color="FFFFFF"/>
              <w:bottom w:val="single" w:sz="4" w:space="0" w:color="FFFFFF"/>
            </w:tcBorders>
            <w:tcMar>
              <w:top w:w="0" w:type="dxa"/>
              <w:left w:w="108" w:type="dxa"/>
              <w:bottom w:w="0" w:type="dxa"/>
              <w:right w:w="108" w:type="dxa"/>
            </w:tcMar>
          </w:tcPr>
          <w:p w14:paraId="78A33796" w14:textId="77777777" w:rsidR="00505F4C" w:rsidRPr="00505F4C" w:rsidRDefault="00505F4C" w:rsidP="00642325">
            <w:pPr>
              <w:pStyle w:val="Standard"/>
              <w:snapToGrid w:val="0"/>
              <w:jc w:val="center"/>
              <w:rPr>
                <w:sz w:val="20"/>
                <w:szCs w:val="20"/>
              </w:rPr>
            </w:pPr>
          </w:p>
          <w:p w14:paraId="28986151"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top w:val="single" w:sz="4" w:space="0" w:color="FFFFFF"/>
              <w:bottom w:val="single" w:sz="4" w:space="0" w:color="FFFFFF"/>
            </w:tcBorders>
            <w:tcMar>
              <w:top w:w="0" w:type="dxa"/>
              <w:left w:w="108" w:type="dxa"/>
              <w:bottom w:w="0" w:type="dxa"/>
              <w:right w:w="108" w:type="dxa"/>
            </w:tcMar>
          </w:tcPr>
          <w:p w14:paraId="78DA2296" w14:textId="77777777" w:rsidR="00505F4C" w:rsidRPr="00505F4C" w:rsidRDefault="00505F4C" w:rsidP="00642325">
            <w:pPr>
              <w:pStyle w:val="Standard"/>
              <w:snapToGrid w:val="0"/>
              <w:jc w:val="center"/>
              <w:rPr>
                <w:sz w:val="20"/>
                <w:szCs w:val="20"/>
              </w:rPr>
            </w:pPr>
          </w:p>
          <w:p w14:paraId="636DBD3D"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top w:val="single" w:sz="4" w:space="0" w:color="FFFFFF"/>
              <w:bottom w:val="single" w:sz="4" w:space="0" w:color="FFFFFF"/>
            </w:tcBorders>
            <w:tcMar>
              <w:top w:w="0" w:type="dxa"/>
              <w:left w:w="108" w:type="dxa"/>
              <w:bottom w:w="0" w:type="dxa"/>
              <w:right w:w="108" w:type="dxa"/>
            </w:tcMar>
          </w:tcPr>
          <w:p w14:paraId="0401CAF8" w14:textId="77777777" w:rsidR="00505F4C" w:rsidRPr="00505F4C" w:rsidRDefault="00505F4C" w:rsidP="00642325">
            <w:pPr>
              <w:pStyle w:val="Standard"/>
              <w:snapToGrid w:val="0"/>
              <w:jc w:val="center"/>
              <w:rPr>
                <w:sz w:val="20"/>
                <w:szCs w:val="20"/>
              </w:rPr>
            </w:pPr>
          </w:p>
          <w:p w14:paraId="53D43E98"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top w:val="single" w:sz="4" w:space="0" w:color="FFFFFF"/>
              <w:bottom w:val="single" w:sz="4" w:space="0" w:color="FFFFFF"/>
            </w:tcBorders>
            <w:tcMar>
              <w:top w:w="0" w:type="dxa"/>
              <w:left w:w="108" w:type="dxa"/>
              <w:bottom w:w="0" w:type="dxa"/>
              <w:right w:w="108" w:type="dxa"/>
            </w:tcMar>
          </w:tcPr>
          <w:p w14:paraId="10723765" w14:textId="77777777" w:rsidR="00505F4C" w:rsidRPr="00505F4C" w:rsidRDefault="00505F4C" w:rsidP="00642325">
            <w:pPr>
              <w:pStyle w:val="Standard"/>
              <w:snapToGrid w:val="0"/>
              <w:jc w:val="center"/>
              <w:rPr>
                <w:sz w:val="20"/>
                <w:szCs w:val="20"/>
              </w:rPr>
            </w:pPr>
          </w:p>
          <w:p w14:paraId="08C3DFEF"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top w:val="single" w:sz="4" w:space="0" w:color="FFFFFF"/>
              <w:bottom w:val="single" w:sz="4" w:space="0" w:color="FFFFFF"/>
            </w:tcBorders>
            <w:tcMar>
              <w:top w:w="0" w:type="dxa"/>
              <w:left w:w="108" w:type="dxa"/>
              <w:bottom w:w="0" w:type="dxa"/>
              <w:right w:w="108" w:type="dxa"/>
            </w:tcMar>
          </w:tcPr>
          <w:p w14:paraId="5D7276D0" w14:textId="77777777" w:rsidR="00505F4C" w:rsidRPr="00505F4C" w:rsidRDefault="00505F4C" w:rsidP="00642325">
            <w:pPr>
              <w:pStyle w:val="Standard"/>
              <w:snapToGrid w:val="0"/>
              <w:jc w:val="center"/>
              <w:rPr>
                <w:sz w:val="20"/>
                <w:szCs w:val="20"/>
              </w:rPr>
            </w:pPr>
          </w:p>
          <w:p w14:paraId="0B45031A"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top w:val="single" w:sz="4" w:space="0" w:color="FFFFFF"/>
              <w:bottom w:val="single" w:sz="4" w:space="0" w:color="FFFFFF"/>
            </w:tcBorders>
            <w:tcMar>
              <w:top w:w="0" w:type="dxa"/>
              <w:left w:w="108" w:type="dxa"/>
              <w:bottom w:w="0" w:type="dxa"/>
              <w:right w:w="108" w:type="dxa"/>
            </w:tcMar>
          </w:tcPr>
          <w:p w14:paraId="7194A162" w14:textId="77777777" w:rsidR="00505F4C" w:rsidRPr="00505F4C" w:rsidRDefault="00505F4C" w:rsidP="00642325">
            <w:pPr>
              <w:pStyle w:val="Standard"/>
              <w:snapToGrid w:val="0"/>
              <w:jc w:val="center"/>
              <w:rPr>
                <w:sz w:val="20"/>
                <w:szCs w:val="20"/>
              </w:rPr>
            </w:pPr>
          </w:p>
          <w:p w14:paraId="6E001B7E" w14:textId="77777777" w:rsidR="00505F4C" w:rsidRPr="00505F4C" w:rsidRDefault="00505F4C" w:rsidP="00642325">
            <w:pPr>
              <w:pStyle w:val="Standard"/>
              <w:jc w:val="center"/>
              <w:rPr>
                <w:sz w:val="20"/>
                <w:szCs w:val="20"/>
              </w:rPr>
            </w:pPr>
            <w:r w:rsidRPr="00505F4C">
              <w:rPr>
                <w:sz w:val="20"/>
                <w:szCs w:val="20"/>
              </w:rPr>
              <w:t>01</w:t>
            </w:r>
          </w:p>
        </w:tc>
      </w:tr>
      <w:tr w:rsidR="00505F4C" w:rsidRPr="00505F4C" w14:paraId="7FCA03B6" w14:textId="77777777" w:rsidTr="00642325">
        <w:tc>
          <w:tcPr>
            <w:tcW w:w="1526" w:type="dxa"/>
            <w:vMerge/>
            <w:tcBorders>
              <w:top w:val="single" w:sz="4" w:space="0" w:color="FFFFFF"/>
              <w:bottom w:val="single" w:sz="4" w:space="0" w:color="808080"/>
            </w:tcBorders>
            <w:tcMar>
              <w:top w:w="0" w:type="dxa"/>
              <w:left w:w="108" w:type="dxa"/>
              <w:bottom w:w="0" w:type="dxa"/>
              <w:right w:w="108" w:type="dxa"/>
            </w:tcMar>
          </w:tcPr>
          <w:p w14:paraId="473443F3" w14:textId="77777777" w:rsidR="00505F4C" w:rsidRPr="00505F4C" w:rsidRDefault="00505F4C" w:rsidP="00642325">
            <w:pPr>
              <w:rPr>
                <w:sz w:val="20"/>
                <w:szCs w:val="20"/>
              </w:rPr>
            </w:pPr>
          </w:p>
        </w:tc>
        <w:tc>
          <w:tcPr>
            <w:tcW w:w="1417" w:type="dxa"/>
            <w:tcBorders>
              <w:top w:val="single" w:sz="4" w:space="0" w:color="FFFFFF"/>
              <w:bottom w:val="single" w:sz="4" w:space="0" w:color="000000"/>
            </w:tcBorders>
            <w:tcMar>
              <w:top w:w="0" w:type="dxa"/>
              <w:left w:w="108" w:type="dxa"/>
              <w:bottom w:w="0" w:type="dxa"/>
              <w:right w:w="108" w:type="dxa"/>
            </w:tcMar>
          </w:tcPr>
          <w:p w14:paraId="3B1F8CA8" w14:textId="77777777" w:rsidR="00505F4C" w:rsidRPr="00505F4C" w:rsidRDefault="00505F4C" w:rsidP="00642325">
            <w:pPr>
              <w:pStyle w:val="Standard"/>
              <w:jc w:val="center"/>
              <w:rPr>
                <w:sz w:val="20"/>
                <w:szCs w:val="20"/>
              </w:rPr>
            </w:pPr>
            <w:r w:rsidRPr="00505F4C">
              <w:rPr>
                <w:sz w:val="20"/>
                <w:szCs w:val="20"/>
              </w:rPr>
              <w:t>Prevenção na Comunidade</w:t>
            </w:r>
          </w:p>
        </w:tc>
        <w:tc>
          <w:tcPr>
            <w:tcW w:w="993" w:type="dxa"/>
            <w:tcBorders>
              <w:top w:val="single" w:sz="4" w:space="0" w:color="FFFFFF"/>
              <w:bottom w:val="single" w:sz="4" w:space="0" w:color="000000"/>
            </w:tcBorders>
            <w:tcMar>
              <w:top w:w="0" w:type="dxa"/>
              <w:left w:w="108" w:type="dxa"/>
              <w:bottom w:w="0" w:type="dxa"/>
              <w:right w:w="108" w:type="dxa"/>
            </w:tcMar>
          </w:tcPr>
          <w:p w14:paraId="4463D888" w14:textId="77777777" w:rsidR="00505F4C" w:rsidRPr="00505F4C" w:rsidRDefault="00505F4C" w:rsidP="00642325">
            <w:pPr>
              <w:pStyle w:val="Standard"/>
              <w:jc w:val="center"/>
              <w:rPr>
                <w:sz w:val="20"/>
                <w:szCs w:val="20"/>
              </w:rPr>
            </w:pPr>
            <w:r w:rsidRPr="00505F4C">
              <w:rPr>
                <w:sz w:val="20"/>
                <w:szCs w:val="20"/>
              </w:rPr>
              <w:t>01</w:t>
            </w:r>
          </w:p>
        </w:tc>
        <w:tc>
          <w:tcPr>
            <w:tcW w:w="850" w:type="dxa"/>
            <w:tcBorders>
              <w:top w:val="single" w:sz="4" w:space="0" w:color="FFFFFF"/>
              <w:bottom w:val="single" w:sz="4" w:space="0" w:color="000000"/>
            </w:tcBorders>
            <w:tcMar>
              <w:top w:w="0" w:type="dxa"/>
              <w:left w:w="108" w:type="dxa"/>
              <w:bottom w:w="0" w:type="dxa"/>
              <w:right w:w="108" w:type="dxa"/>
            </w:tcMar>
          </w:tcPr>
          <w:p w14:paraId="4576A888"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top w:val="single" w:sz="4" w:space="0" w:color="FFFFFF"/>
              <w:bottom w:val="single" w:sz="4" w:space="0" w:color="000000"/>
            </w:tcBorders>
            <w:tcMar>
              <w:top w:w="0" w:type="dxa"/>
              <w:left w:w="108" w:type="dxa"/>
              <w:bottom w:w="0" w:type="dxa"/>
              <w:right w:w="108" w:type="dxa"/>
            </w:tcMar>
          </w:tcPr>
          <w:p w14:paraId="742C3C0D" w14:textId="77777777" w:rsidR="00505F4C" w:rsidRPr="00505F4C" w:rsidRDefault="00505F4C" w:rsidP="00642325">
            <w:pPr>
              <w:pStyle w:val="Standard"/>
              <w:jc w:val="center"/>
              <w:rPr>
                <w:sz w:val="20"/>
                <w:szCs w:val="20"/>
              </w:rPr>
            </w:pPr>
            <w:r w:rsidRPr="00505F4C">
              <w:rPr>
                <w:sz w:val="20"/>
                <w:szCs w:val="20"/>
              </w:rPr>
              <w:t>01</w:t>
            </w:r>
          </w:p>
        </w:tc>
        <w:tc>
          <w:tcPr>
            <w:tcW w:w="851" w:type="dxa"/>
            <w:tcBorders>
              <w:top w:val="single" w:sz="4" w:space="0" w:color="FFFFFF"/>
              <w:bottom w:val="single" w:sz="4" w:space="0" w:color="000000"/>
            </w:tcBorders>
            <w:tcMar>
              <w:top w:w="0" w:type="dxa"/>
              <w:left w:w="108" w:type="dxa"/>
              <w:bottom w:w="0" w:type="dxa"/>
              <w:right w:w="108" w:type="dxa"/>
            </w:tcMar>
          </w:tcPr>
          <w:p w14:paraId="6008A5F9"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top w:val="single" w:sz="4" w:space="0" w:color="FFFFFF"/>
              <w:bottom w:val="single" w:sz="4" w:space="0" w:color="000000"/>
            </w:tcBorders>
            <w:tcMar>
              <w:top w:w="0" w:type="dxa"/>
              <w:left w:w="108" w:type="dxa"/>
              <w:bottom w:w="0" w:type="dxa"/>
              <w:right w:w="108" w:type="dxa"/>
            </w:tcMar>
          </w:tcPr>
          <w:p w14:paraId="46D426FC" w14:textId="77777777" w:rsidR="00505F4C" w:rsidRPr="00505F4C" w:rsidRDefault="00505F4C" w:rsidP="00642325">
            <w:pPr>
              <w:pStyle w:val="Standard"/>
              <w:jc w:val="center"/>
              <w:rPr>
                <w:sz w:val="20"/>
                <w:szCs w:val="20"/>
              </w:rPr>
            </w:pPr>
            <w:r w:rsidRPr="00505F4C">
              <w:rPr>
                <w:sz w:val="20"/>
                <w:szCs w:val="20"/>
              </w:rPr>
              <w:t>0</w:t>
            </w:r>
          </w:p>
        </w:tc>
        <w:tc>
          <w:tcPr>
            <w:tcW w:w="850" w:type="dxa"/>
            <w:tcBorders>
              <w:top w:val="single" w:sz="4" w:space="0" w:color="FFFFFF"/>
              <w:bottom w:val="single" w:sz="4" w:space="0" w:color="000000"/>
            </w:tcBorders>
            <w:tcMar>
              <w:top w:w="0" w:type="dxa"/>
              <w:left w:w="108" w:type="dxa"/>
              <w:bottom w:w="0" w:type="dxa"/>
              <w:right w:w="108" w:type="dxa"/>
            </w:tcMar>
          </w:tcPr>
          <w:p w14:paraId="53E8701B" w14:textId="77777777" w:rsidR="00505F4C" w:rsidRPr="00505F4C" w:rsidRDefault="00505F4C" w:rsidP="00642325">
            <w:pPr>
              <w:pStyle w:val="Standard"/>
              <w:jc w:val="center"/>
              <w:rPr>
                <w:sz w:val="20"/>
                <w:szCs w:val="20"/>
              </w:rPr>
            </w:pPr>
            <w:r w:rsidRPr="00505F4C">
              <w:rPr>
                <w:sz w:val="20"/>
                <w:szCs w:val="20"/>
              </w:rPr>
              <w:t>0</w:t>
            </w:r>
          </w:p>
        </w:tc>
        <w:tc>
          <w:tcPr>
            <w:tcW w:w="851" w:type="dxa"/>
            <w:tcBorders>
              <w:top w:val="single" w:sz="4" w:space="0" w:color="FFFFFF"/>
              <w:bottom w:val="single" w:sz="4" w:space="0" w:color="000000"/>
            </w:tcBorders>
            <w:tcMar>
              <w:top w:w="0" w:type="dxa"/>
              <w:left w:w="108" w:type="dxa"/>
              <w:bottom w:w="0" w:type="dxa"/>
              <w:right w:w="108" w:type="dxa"/>
            </w:tcMar>
          </w:tcPr>
          <w:p w14:paraId="17219E7E" w14:textId="77777777" w:rsidR="00505F4C" w:rsidRPr="00505F4C" w:rsidRDefault="00505F4C" w:rsidP="00642325">
            <w:pPr>
              <w:pStyle w:val="Standard"/>
              <w:jc w:val="center"/>
              <w:rPr>
                <w:sz w:val="20"/>
                <w:szCs w:val="20"/>
              </w:rPr>
            </w:pPr>
            <w:r w:rsidRPr="00505F4C">
              <w:rPr>
                <w:sz w:val="20"/>
                <w:szCs w:val="20"/>
              </w:rPr>
              <w:t>0</w:t>
            </w:r>
          </w:p>
        </w:tc>
      </w:tr>
    </w:tbl>
    <w:p w14:paraId="6E910D71" w14:textId="6B3C6325" w:rsidR="00505F4C" w:rsidRPr="00940996" w:rsidRDefault="00505F4C" w:rsidP="00505F4C">
      <w:pPr>
        <w:pStyle w:val="Prrafocomn"/>
        <w:ind w:firstLine="0"/>
        <w:rPr>
          <w:sz w:val="20"/>
          <w:szCs w:val="20"/>
          <w:lang w:val="pt-BR"/>
        </w:rPr>
      </w:pPr>
      <w:r w:rsidRPr="00940996">
        <w:rPr>
          <w:rStyle w:val="Tipodeletrapredefinidodopargrafo"/>
          <w:i/>
          <w:iCs/>
          <w:sz w:val="20"/>
          <w:szCs w:val="20"/>
          <w:lang w:val="pt-BR"/>
        </w:rPr>
        <w:t>Nota</w:t>
      </w:r>
      <w:r w:rsidRPr="00940996">
        <w:rPr>
          <w:sz w:val="20"/>
          <w:szCs w:val="20"/>
          <w:lang w:val="pt-BR"/>
        </w:rPr>
        <w:t>. AS = Assistente Social; CT = Conselheiro/a Tutelar; MAG = Magistrado/a; PED = Pedagoga; PSIC = Psicóloga</w:t>
      </w:r>
    </w:p>
    <w:p w14:paraId="2F9FF137" w14:textId="05466E7B" w:rsidR="00505F4C" w:rsidRDefault="00505F4C" w:rsidP="00505F4C">
      <w:pPr>
        <w:pStyle w:val="Prrafocomn"/>
        <w:rPr>
          <w:lang w:val="pt-BR"/>
        </w:rPr>
      </w:pPr>
      <w:r w:rsidRPr="00505F4C">
        <w:rPr>
          <w:lang w:val="pt-BR"/>
        </w:rPr>
        <w:t xml:space="preserve">Em síntese, observou-se que, embora os/as profissionais de ambos os países tenham identificado as características emocionais e comportamentais das crianças, </w:t>
      </w:r>
      <w:r w:rsidRPr="00505F4C">
        <w:rPr>
          <w:lang w:val="pt-BR"/>
        </w:rPr>
        <w:lastRenderedPageBreak/>
        <w:t>somente entre os/as profissionais portugueses emergiu o aspecto da proteção da autoimagem em vítimas do sexo masculino como fator de risco para a retratação. Por outro lado, a temática das pressões da comunidade foi identificada somente entre os/as profissionais brasileiros, mais especificamente os/as conselheiros tutelares. E de maneira homogênea, os/as profissionais de ambos os países identificaram a proximidade entre vítima e agressor/a como fator de impacto sobre o processo de revelação, e que pode levar a uma possível retratação.</w:t>
      </w:r>
    </w:p>
    <w:p w14:paraId="3C1D8141" w14:textId="01178B7E" w:rsidR="009B3E5E" w:rsidRPr="008502BB" w:rsidRDefault="00DB7F40" w:rsidP="009B3E5E">
      <w:pPr>
        <w:pStyle w:val="Ttulosinternos"/>
        <w:rPr>
          <w:bCs/>
          <w:lang w:val="pt-BR"/>
        </w:rPr>
      </w:pPr>
      <w:r w:rsidRPr="008502BB">
        <w:rPr>
          <w:bCs/>
          <w:lang w:val="pt-BR"/>
        </w:rPr>
        <w:t>Discuss</w:t>
      </w:r>
      <w:r w:rsidR="00B14F89">
        <w:rPr>
          <w:bCs/>
          <w:lang w:val="pt-BR"/>
        </w:rPr>
        <w:t>ão</w:t>
      </w:r>
    </w:p>
    <w:p w14:paraId="099636FD" w14:textId="77777777" w:rsidR="00D63DE6" w:rsidRPr="00D63DE6" w:rsidRDefault="00D63DE6" w:rsidP="00D63DE6">
      <w:pPr>
        <w:pStyle w:val="Prrafocomn"/>
        <w:rPr>
          <w:bCs/>
          <w:lang w:val="pt-BR"/>
        </w:rPr>
      </w:pPr>
      <w:r w:rsidRPr="00D63DE6">
        <w:rPr>
          <w:bCs/>
          <w:lang w:val="pt-PT"/>
        </w:rPr>
        <w:t>O presente</w:t>
      </w:r>
      <w:r w:rsidRPr="00D63DE6">
        <w:rPr>
          <w:bCs/>
          <w:lang w:val="pt-BR"/>
        </w:rPr>
        <w:t xml:space="preserve"> estudo objetivou identificar, a partir da perspectiva de profissionais, os fatores de risco e de proteção associados à retratação. Os/as 23 profissionais entrevistados atuavam em diferentes instituições da rede de atendimento às vítimas de ASC no Brasil e em Portugal, o que possibilitou conhecer o fenômeno de forma transcultural, multidisciplinar e ao longo das diferentes etapas do processo criminal e de proteção.</w:t>
      </w:r>
    </w:p>
    <w:p w14:paraId="62C8407B" w14:textId="77777777" w:rsidR="00D63DE6" w:rsidRPr="00D63DE6" w:rsidRDefault="00D63DE6" w:rsidP="00D63DE6">
      <w:pPr>
        <w:pStyle w:val="Prrafocomn"/>
        <w:rPr>
          <w:bCs/>
          <w:lang w:val="pt-BR"/>
        </w:rPr>
      </w:pPr>
      <w:r w:rsidRPr="00D63DE6">
        <w:rPr>
          <w:bCs/>
          <w:lang w:val="pt-BR"/>
        </w:rPr>
        <w:t>A análise temática das entrevistas resultou em seis temas relativos a fatores de risco associados à retratação: 1) Condições relacionadas com a criança; 2) Proximidade entre vítima e agressor/a; 3) Revelação no contexto informal; 4) Sistema familiar; 5) Pressões da comunidade; 6) A rede de atendimento ao ASC. E dois temas de fatores de proteção: 1) Procedimentos de atendimento</w:t>
      </w:r>
      <w:r w:rsidRPr="00D63DE6">
        <w:rPr>
          <w:bCs/>
          <w:i/>
          <w:iCs/>
          <w:lang w:val="pt-BR"/>
        </w:rPr>
        <w:t xml:space="preserve">; </w:t>
      </w:r>
      <w:r w:rsidRPr="00D63DE6">
        <w:rPr>
          <w:bCs/>
          <w:lang w:val="pt-BR"/>
        </w:rPr>
        <w:t xml:space="preserve">e 2) Estratégias institucionais. Em conjunto, estes temas englobam características da criança e os diversos níveis contextuais que a envolvem, o que traduz uma perspectiva </w:t>
      </w:r>
      <w:proofErr w:type="spellStart"/>
      <w:r w:rsidRPr="00D63DE6">
        <w:rPr>
          <w:bCs/>
          <w:lang w:val="pt-BR"/>
        </w:rPr>
        <w:t>bioecológica</w:t>
      </w:r>
      <w:proofErr w:type="spellEnd"/>
      <w:r w:rsidRPr="00D63DE6">
        <w:rPr>
          <w:bCs/>
          <w:lang w:val="pt-BR"/>
        </w:rPr>
        <w:t xml:space="preserve"> sobre a retratação, na medida em que a revelação do ASC é um processo que se estende ao longo do tempo e emerge pela inter-relação da criança com pessoas e contextos (</w:t>
      </w:r>
      <w:proofErr w:type="spellStart"/>
      <w:r w:rsidRPr="00D63DE6">
        <w:rPr>
          <w:bCs/>
          <w:lang w:val="pt-BR"/>
        </w:rPr>
        <w:t>Alaggia</w:t>
      </w:r>
      <w:proofErr w:type="spellEnd"/>
      <w:r w:rsidRPr="00D63DE6">
        <w:rPr>
          <w:bCs/>
          <w:lang w:val="pt-BR"/>
        </w:rPr>
        <w:t xml:space="preserve"> et al., 2017; Fontes, 1993; Katz, 2014).</w:t>
      </w:r>
    </w:p>
    <w:p w14:paraId="375E8DD8" w14:textId="77777777" w:rsidR="00D63DE6" w:rsidRPr="00D63DE6" w:rsidRDefault="00D63DE6" w:rsidP="00D63DE6">
      <w:pPr>
        <w:pStyle w:val="Prrafocomn"/>
        <w:rPr>
          <w:bCs/>
          <w:lang w:val="pt-BR"/>
        </w:rPr>
      </w:pPr>
      <w:r w:rsidRPr="00D63DE6">
        <w:rPr>
          <w:bCs/>
          <w:lang w:val="pt-BR"/>
        </w:rPr>
        <w:t xml:space="preserve">Relativamente às condições relacionadas com a criança, os/as profissionais destacaram as características emocionais/psicológicas como fator de risco de retratação, em detrimento das variáveis sociodemográficas registradas em estudos prévios (e.g., idade; </w:t>
      </w:r>
      <w:proofErr w:type="spellStart"/>
      <w:r w:rsidRPr="00D63DE6">
        <w:rPr>
          <w:bCs/>
          <w:lang w:val="pt-BR"/>
        </w:rPr>
        <w:t>Malloy</w:t>
      </w:r>
      <w:proofErr w:type="spellEnd"/>
      <w:r w:rsidRPr="00D63DE6">
        <w:rPr>
          <w:bCs/>
          <w:lang w:val="pt-BR"/>
        </w:rPr>
        <w:t xml:space="preserve"> et al., 2007). O sentimento de culpa da criança, o medo das ameaças e das consequências advindas de sua revelação, a vergonha e a proteção da autoimagem foram perspectivadas pelos profissionais como fatores associados ao trauma do ASC e à crise da revelação.</w:t>
      </w:r>
    </w:p>
    <w:p w14:paraId="4174652B" w14:textId="0A459DEE" w:rsidR="00D63DE6" w:rsidRPr="00D63DE6" w:rsidRDefault="00D63DE6" w:rsidP="00D63DE6">
      <w:pPr>
        <w:pStyle w:val="Prrafocomn"/>
        <w:rPr>
          <w:bCs/>
          <w:lang w:val="pt-BR"/>
        </w:rPr>
      </w:pPr>
      <w:r w:rsidRPr="00D63DE6">
        <w:rPr>
          <w:bCs/>
          <w:lang w:val="pt-BR"/>
        </w:rPr>
        <w:t xml:space="preserve">A proximidade relacional entre vítimas e agressores/as como fator de risco para a retratação foi enfatizada por todos os participantes de ambos os países, o que é convergente com estudos prévios que colocam esta condição como fulcral para a </w:t>
      </w:r>
      <w:r w:rsidRPr="00D63DE6">
        <w:rPr>
          <w:bCs/>
          <w:lang w:val="pt-BR"/>
        </w:rPr>
        <w:lastRenderedPageBreak/>
        <w:t xml:space="preserve">retratação, principalmente quando o/a agressor/a intrafamiliar desempenha um papel de cuidador/a da criança (Baía et al., 2021; </w:t>
      </w:r>
      <w:proofErr w:type="spellStart"/>
      <w:r w:rsidRPr="00D63DE6">
        <w:rPr>
          <w:bCs/>
          <w:lang w:val="pt-BR"/>
        </w:rPr>
        <w:t>Celik</w:t>
      </w:r>
      <w:proofErr w:type="spellEnd"/>
      <w:r w:rsidRPr="00D63DE6">
        <w:rPr>
          <w:bCs/>
          <w:lang w:val="pt-BR"/>
        </w:rPr>
        <w:t xml:space="preserve"> et al., 2018; </w:t>
      </w:r>
      <w:proofErr w:type="spellStart"/>
      <w:r w:rsidRPr="00D63DE6">
        <w:rPr>
          <w:bCs/>
          <w:lang w:val="pt-BR"/>
        </w:rPr>
        <w:t>Malloy</w:t>
      </w:r>
      <w:proofErr w:type="spellEnd"/>
      <w:r w:rsidRPr="00D63DE6">
        <w:rPr>
          <w:bCs/>
          <w:lang w:val="pt-BR"/>
        </w:rPr>
        <w:t xml:space="preserve"> et al, 2007; </w:t>
      </w:r>
      <w:proofErr w:type="spellStart"/>
      <w:r w:rsidRPr="00D63DE6">
        <w:rPr>
          <w:bCs/>
          <w:lang w:val="pt-BR"/>
        </w:rPr>
        <w:t>Sgroi</w:t>
      </w:r>
      <w:proofErr w:type="spellEnd"/>
      <w:r w:rsidRPr="00D63DE6">
        <w:rPr>
          <w:bCs/>
          <w:lang w:val="pt-BR"/>
        </w:rPr>
        <w:t xml:space="preserve"> et al., 1992; </w:t>
      </w:r>
      <w:proofErr w:type="spellStart"/>
      <w:r w:rsidRPr="00D63DE6">
        <w:rPr>
          <w:bCs/>
          <w:lang w:val="pt-BR"/>
        </w:rPr>
        <w:t>Summit</w:t>
      </w:r>
      <w:proofErr w:type="spellEnd"/>
      <w:r w:rsidRPr="00D63DE6">
        <w:rPr>
          <w:bCs/>
          <w:lang w:val="pt-BR"/>
        </w:rPr>
        <w:t>, 1983). O acesso facilitado do/a agressor/a à criança favorece uma maior eficácia das ameaças no sentido de reforçar o segredo e manter a violência por um tempo prolongado, reforçada pelas interações marcadas por um forte sentimento de lealdade e ambivalência da criança para com este indivíduo, ativando situações de ruptura, vergonha e conflitos no sistema familiar após a revelação do ASC (</w:t>
      </w:r>
      <w:proofErr w:type="spellStart"/>
      <w:r w:rsidRPr="00D63DE6">
        <w:rPr>
          <w:bCs/>
          <w:lang w:val="pt-BR"/>
        </w:rPr>
        <w:t>Sgroi</w:t>
      </w:r>
      <w:proofErr w:type="spellEnd"/>
      <w:r w:rsidRPr="00D63DE6">
        <w:rPr>
          <w:bCs/>
          <w:lang w:val="pt-BR"/>
        </w:rPr>
        <w:t xml:space="preserve"> et al., 1982; </w:t>
      </w:r>
      <w:proofErr w:type="spellStart"/>
      <w:r w:rsidRPr="00D63DE6">
        <w:rPr>
          <w:bCs/>
          <w:lang w:val="pt-BR"/>
        </w:rPr>
        <w:t>Summit</w:t>
      </w:r>
      <w:proofErr w:type="spellEnd"/>
      <w:r w:rsidRPr="00D63DE6">
        <w:rPr>
          <w:bCs/>
          <w:lang w:val="pt-BR"/>
        </w:rPr>
        <w:t xml:space="preserve">, 1983). A despeito da centralidade atribuída ao ASC intrafamiliar como fator de risco para a retratação pelos participantes, três destes realçaram que a retratação também pode emergir quando o/a agressor/a é extrafamiliar, </w:t>
      </w:r>
      <w:r w:rsidR="00322155">
        <w:rPr>
          <w:bCs/>
          <w:lang w:val="pt-BR"/>
        </w:rPr>
        <w:t>mas</w:t>
      </w:r>
      <w:r w:rsidRPr="00D63DE6">
        <w:rPr>
          <w:bCs/>
          <w:lang w:val="pt-BR"/>
        </w:rPr>
        <w:t xml:space="preserve"> mantém alguma proximidade com a família da criança (amigo/a dos pais, e.g.). Em ambas as condições mencionadas, os cuidadores habituais enfrentam desafios no sentido de conciliar as suas funções parentais (proteger a criança) com a lealdade ao/a agressor/a, o que pode resultar em pressões para a criança alterar o seu relato. Esta lealdade não é tão pronunciada no ASC extrafamiliar, mas o medo da exposição pública e o sentimento de culpa por parte dos cuidadores também pode comprometer o suporte da família nestes casos (</w:t>
      </w:r>
      <w:proofErr w:type="spellStart"/>
      <w:r w:rsidRPr="00D63DE6">
        <w:rPr>
          <w:bCs/>
          <w:lang w:val="pt-BR"/>
        </w:rPr>
        <w:t>Sgroi</w:t>
      </w:r>
      <w:proofErr w:type="spellEnd"/>
      <w:r w:rsidRPr="00D63DE6">
        <w:rPr>
          <w:bCs/>
          <w:lang w:val="pt-BR"/>
        </w:rPr>
        <w:t xml:space="preserve"> et al., 1982).</w:t>
      </w:r>
    </w:p>
    <w:p w14:paraId="295A0A53" w14:textId="77777777" w:rsidR="00D63DE6" w:rsidRPr="00D63DE6" w:rsidRDefault="00D63DE6" w:rsidP="00D63DE6">
      <w:pPr>
        <w:pStyle w:val="Prrafocomn"/>
        <w:rPr>
          <w:bCs/>
          <w:lang w:val="pt-BR"/>
        </w:rPr>
      </w:pPr>
      <w:r w:rsidRPr="00D63DE6">
        <w:rPr>
          <w:bCs/>
          <w:lang w:val="pt-BR"/>
        </w:rPr>
        <w:t>Os participantes destacaram que, nos casos com retratação, as crianças inicialmente revelam o ASC a não familiares, o que é convergente com os resultados da investigação realizada em Israel (</w:t>
      </w:r>
      <w:proofErr w:type="spellStart"/>
      <w:r w:rsidRPr="00D63DE6">
        <w:rPr>
          <w:bCs/>
          <w:lang w:val="pt-BR"/>
        </w:rPr>
        <w:t>Hershkowitz</w:t>
      </w:r>
      <w:proofErr w:type="spellEnd"/>
      <w:r w:rsidRPr="00D63DE6">
        <w:rPr>
          <w:bCs/>
          <w:lang w:val="pt-BR"/>
        </w:rPr>
        <w:t xml:space="preserve"> et al., 2007; Katz, 2014). Estas características do processo de revelação tendem a conjugar-se com a falta de suporte dos cuidadores habituais da criança e de outros familiares face à revelação do ASC, que se reflete na comunicação do caso às autoridades responsáveis por indivíduos que não integram o meio familiar da criança (vizinho/a, professor/a, e.g.).</w:t>
      </w:r>
    </w:p>
    <w:p w14:paraId="7E4AD49C" w14:textId="77777777" w:rsidR="00D63DE6" w:rsidRPr="00D63DE6" w:rsidRDefault="00D63DE6" w:rsidP="00D63DE6">
      <w:pPr>
        <w:pStyle w:val="Prrafocomn"/>
        <w:rPr>
          <w:bCs/>
          <w:lang w:val="pt-BR"/>
        </w:rPr>
      </w:pPr>
      <w:r w:rsidRPr="00D63DE6">
        <w:rPr>
          <w:bCs/>
          <w:lang w:val="pt-BR"/>
        </w:rPr>
        <w:t xml:space="preserve">A falta de suporte por parte do cuidador habitual e/ou dos outros familiares contribui para a retratação não como um fator isolado, mas conjugado com outras vulnerabilidades presentes na família e comunidade. De acordo com os participantes, nos casos com ocorrência de retratação, o contexto familiar das crianças se caracterizava por dependência financeira do/a cuidador/a e/ou outros familiares em relação ao/a agressor/a, violência doméstica e ocorrência de outros casos de ASC. A precariedade financeira que a família enfrenta com o afastamento/condenação do agressor é considerada uma barreira para a revelação do AS, que pode ainda comprometer as práticas parentais e aumentar o risco de </w:t>
      </w:r>
      <w:proofErr w:type="spellStart"/>
      <w:r w:rsidRPr="00D63DE6">
        <w:rPr>
          <w:bCs/>
          <w:lang w:val="pt-BR"/>
        </w:rPr>
        <w:t>co-ocorrência</w:t>
      </w:r>
      <w:proofErr w:type="spellEnd"/>
      <w:r w:rsidRPr="00D63DE6">
        <w:rPr>
          <w:bCs/>
          <w:lang w:val="pt-BR"/>
        </w:rPr>
        <w:t xml:space="preserve"> de violência intrafamiliar (</w:t>
      </w:r>
      <w:proofErr w:type="spellStart"/>
      <w:r w:rsidRPr="00D63DE6">
        <w:rPr>
          <w:bCs/>
          <w:lang w:val="pt-BR"/>
        </w:rPr>
        <w:t>Ajdukovic</w:t>
      </w:r>
      <w:proofErr w:type="spellEnd"/>
      <w:r w:rsidRPr="00D63DE6">
        <w:rPr>
          <w:bCs/>
          <w:lang w:val="pt-BR"/>
        </w:rPr>
        <w:t xml:space="preserve"> et al., 2018). Estas condições não operam de maneira isolada, mas estão imbrincadas sendo que, após a </w:t>
      </w:r>
      <w:r w:rsidRPr="00D63DE6">
        <w:rPr>
          <w:bCs/>
          <w:lang w:val="pt-BR"/>
        </w:rPr>
        <w:lastRenderedPageBreak/>
        <w:t>revelação/descoberta do ASC, podem tornar-se mais acentuadas, o que reforça a importância de uma avaliação aprofundada para o seu despiste (</w:t>
      </w:r>
      <w:proofErr w:type="spellStart"/>
      <w:r w:rsidRPr="00D63DE6">
        <w:rPr>
          <w:bCs/>
          <w:lang w:val="pt-BR"/>
        </w:rPr>
        <w:t>Celik</w:t>
      </w:r>
      <w:proofErr w:type="spellEnd"/>
      <w:r w:rsidRPr="00D63DE6">
        <w:rPr>
          <w:bCs/>
          <w:lang w:val="pt-BR"/>
        </w:rPr>
        <w:t xml:space="preserve"> et al., 2018; </w:t>
      </w:r>
      <w:proofErr w:type="spellStart"/>
      <w:r w:rsidRPr="00D63DE6">
        <w:rPr>
          <w:bCs/>
          <w:lang w:val="pt-BR"/>
        </w:rPr>
        <w:t>Malloy</w:t>
      </w:r>
      <w:proofErr w:type="spellEnd"/>
      <w:r w:rsidRPr="00D63DE6">
        <w:rPr>
          <w:bCs/>
          <w:lang w:val="pt-BR"/>
        </w:rPr>
        <w:t xml:space="preserve"> et al., 2007).</w:t>
      </w:r>
    </w:p>
    <w:p w14:paraId="17CB694C" w14:textId="77777777" w:rsidR="00D63DE6" w:rsidRPr="00D63DE6" w:rsidRDefault="00D63DE6" w:rsidP="00D63DE6">
      <w:pPr>
        <w:pStyle w:val="Prrafocomn"/>
        <w:rPr>
          <w:bCs/>
          <w:lang w:val="pt-BR"/>
        </w:rPr>
      </w:pPr>
      <w:r w:rsidRPr="00D63DE6">
        <w:rPr>
          <w:bCs/>
          <w:lang w:val="pt-BR"/>
        </w:rPr>
        <w:t>Relativamente à comunidade, os profissionais indicaram que a família pode sofrer influência da comunidade a partir do momento em que faz uma alegação de ASC. Os Conselheiros Tutelares brasileiros identificam maior probabilidade de retratação nas comunidades com proximidade ou parentesco entre os habitantes, que se reflete numa maior pressão sobre as famílias. Em grupos sociais com características patriarcais, a preservação da honra ou reputação familiar pode conduzir a tentativas de silenciar as vítimas, cujo resultado pode ser a colocação dos interesses familiares acima da proteção e salvaguarda da criança (</w:t>
      </w:r>
      <w:proofErr w:type="spellStart"/>
      <w:r w:rsidRPr="00D63DE6">
        <w:rPr>
          <w:bCs/>
          <w:lang w:val="pt-BR"/>
        </w:rPr>
        <w:t>Boakye</w:t>
      </w:r>
      <w:proofErr w:type="spellEnd"/>
      <w:r w:rsidRPr="00D63DE6">
        <w:rPr>
          <w:bCs/>
          <w:lang w:val="pt-BR"/>
        </w:rPr>
        <w:t xml:space="preserve">, 2009; </w:t>
      </w:r>
      <w:proofErr w:type="spellStart"/>
      <w:r w:rsidRPr="00D63DE6">
        <w:rPr>
          <w:bCs/>
          <w:lang w:val="pt-BR"/>
        </w:rPr>
        <w:t>Jeremiah</w:t>
      </w:r>
      <w:proofErr w:type="spellEnd"/>
      <w:r w:rsidRPr="00D63DE6">
        <w:rPr>
          <w:bCs/>
          <w:lang w:val="pt-BR"/>
        </w:rPr>
        <w:t xml:space="preserve"> et al., 2017).</w:t>
      </w:r>
    </w:p>
    <w:p w14:paraId="71934F90" w14:textId="77777777" w:rsidR="00D63DE6" w:rsidRPr="00D63DE6" w:rsidRDefault="00D63DE6" w:rsidP="00D63DE6">
      <w:pPr>
        <w:pStyle w:val="Prrafocomn"/>
        <w:rPr>
          <w:bCs/>
          <w:lang w:val="pt-BR"/>
        </w:rPr>
      </w:pPr>
      <w:r w:rsidRPr="00D63DE6">
        <w:rPr>
          <w:bCs/>
          <w:lang w:val="pt-BR"/>
        </w:rPr>
        <w:t>Para além das dimensões intrapessoais, familiares e comunitárias, os participantes de ambos os países referiram condições relativas ao decurso dos processos (criminais e de proteção), que favorecem a retratação, nomeadamente: a sujeição das crianças a várias entrevistas, feitas por diferentes profissionais, em diversas instituições, o que é convergente com a literatura (</w:t>
      </w:r>
      <w:proofErr w:type="spellStart"/>
      <w:r w:rsidRPr="00D63DE6">
        <w:rPr>
          <w:bCs/>
          <w:lang w:val="pt-BR"/>
        </w:rPr>
        <w:t>Malloy</w:t>
      </w:r>
      <w:proofErr w:type="spellEnd"/>
      <w:r w:rsidRPr="00D63DE6">
        <w:rPr>
          <w:bCs/>
          <w:lang w:val="pt-BR"/>
        </w:rPr>
        <w:t xml:space="preserve"> et al., 2007). Os profissionais entrevistados reportaram ainda um aspecto pouco investigado nos estudos sobre a retratação, que é a influência do intervalo temporal dilatado entre as entrevistas e outros procedimentos inerentes à intervenção protetiva/penal, que pode resultar no agravamento das pressões sobre a criança e respectiva família.</w:t>
      </w:r>
    </w:p>
    <w:p w14:paraId="3B60480A" w14:textId="77777777" w:rsidR="00D63DE6" w:rsidRPr="00D63DE6" w:rsidRDefault="00D63DE6" w:rsidP="00D63DE6">
      <w:pPr>
        <w:pStyle w:val="Prrafocomn"/>
        <w:rPr>
          <w:bCs/>
          <w:lang w:val="pt-BR"/>
        </w:rPr>
      </w:pPr>
      <w:r w:rsidRPr="00D63DE6">
        <w:rPr>
          <w:bCs/>
          <w:lang w:val="pt-BR"/>
        </w:rPr>
        <w:t xml:space="preserve">De maneira geral, os casos em que se regista retratação são percebidos pelos profissionais como um desafio à articulação e integração dos vários serviços da proteção e da justiça criminal. Neste sentido, os participantes mencionaram a retirada das crianças (e não do agressor) do contexto familiar após a revelação como um risco para o desenvolvimento da retratação. Alguns autores consideram que as crianças retiradas do contexto familiar podem perceber esta medida como retaliação e/ou punição (Alberto, 2008; </w:t>
      </w:r>
      <w:proofErr w:type="spellStart"/>
      <w:r w:rsidRPr="00D63DE6">
        <w:rPr>
          <w:bCs/>
          <w:lang w:val="pt-BR"/>
        </w:rPr>
        <w:t>Summit</w:t>
      </w:r>
      <w:proofErr w:type="spellEnd"/>
      <w:r w:rsidRPr="00D63DE6">
        <w:rPr>
          <w:bCs/>
          <w:lang w:val="pt-BR"/>
        </w:rPr>
        <w:t xml:space="preserve">, 1983). No entanto, se a família da criança não lhe fornece o suporte necessário e se pauta por pressões, ameaças, culpabilização, recriminação e/ou descrédito, o afastamento da criança destes familiares não </w:t>
      </w:r>
      <w:proofErr w:type="spellStart"/>
      <w:r w:rsidRPr="00D63DE6">
        <w:rPr>
          <w:bCs/>
          <w:lang w:val="pt-BR"/>
        </w:rPr>
        <w:t>suportivos</w:t>
      </w:r>
      <w:proofErr w:type="spellEnd"/>
      <w:r w:rsidRPr="00D63DE6">
        <w:rPr>
          <w:bCs/>
          <w:lang w:val="pt-BR"/>
        </w:rPr>
        <w:t xml:space="preserve"> pode reduzir o risco de retratação (</w:t>
      </w:r>
      <w:proofErr w:type="spellStart"/>
      <w:r w:rsidRPr="00D63DE6">
        <w:rPr>
          <w:bCs/>
          <w:lang w:val="pt-BR"/>
        </w:rPr>
        <w:t>Malloy</w:t>
      </w:r>
      <w:proofErr w:type="spellEnd"/>
      <w:r w:rsidRPr="00D63DE6">
        <w:rPr>
          <w:bCs/>
          <w:lang w:val="pt-BR"/>
        </w:rPr>
        <w:t xml:space="preserve"> et al., 2007). Portanto, a influência de um fator de risco não é linear, mas manifesta-se de forma conjugada com outras condições, num processo dinâmico que deve ser avaliado.</w:t>
      </w:r>
    </w:p>
    <w:p w14:paraId="77B883DE" w14:textId="77777777" w:rsidR="00D63DE6" w:rsidRPr="00D63DE6" w:rsidRDefault="00D63DE6" w:rsidP="00D63DE6">
      <w:pPr>
        <w:pStyle w:val="Prrafocomn"/>
        <w:rPr>
          <w:bCs/>
          <w:lang w:val="pt-BR"/>
        </w:rPr>
      </w:pPr>
      <w:r w:rsidRPr="00D63DE6">
        <w:rPr>
          <w:bCs/>
          <w:lang w:val="pt-BR"/>
        </w:rPr>
        <w:t xml:space="preserve">Os resultados encontrados neste estudo permitem ampliar o escasso conhecimento sobre os fatores de proteção, ou seja, das condições que podem reduzir o risco de </w:t>
      </w:r>
      <w:r w:rsidRPr="00D63DE6">
        <w:rPr>
          <w:bCs/>
          <w:lang w:val="pt-BR"/>
        </w:rPr>
        <w:lastRenderedPageBreak/>
        <w:t>retratação, especificamente no que respeita às respostas dos sistemas de proteção e de justiça: os procedimentos de atendimento (antecipação da recolha o relato da criança o mais próximo possível à comunicação do caso às autoridades, avaliação dos fatores de risco de retratação, garantir o suporte à família e à criança) e as estratégias institucionais (integração dos serviços, capacitação de profissional e prevenção na comunidade). A antecipação das entrevistas formais à criança como fator de proteção converge com a investigação na área da Psicologia do Testemunho, que tem mostrado que entrevistas mais próximas ao evento e conduzidas de maneira apropriada, podem consolidar memórias para um evento sem introduzir erros no testemunho, além de possibilitar uma recolha de relato com menor tempo de exposição a outras fontes de sugestionabilidade (Miller &amp; London, 2020). Estes procedimentos, associados com o suporte à família/criança, a integração dos serviços, e a capacitação dos profissionais e prevenção na comunidade, podem minimizar os potenciais riscos de retratação de um relato credível de ASC.</w:t>
      </w:r>
    </w:p>
    <w:p w14:paraId="7CA7CC7D" w14:textId="77777777" w:rsidR="00D63DE6" w:rsidRPr="00D63DE6" w:rsidRDefault="00D63DE6" w:rsidP="00D63DE6">
      <w:pPr>
        <w:pStyle w:val="Prrafocomn"/>
        <w:rPr>
          <w:bCs/>
          <w:lang w:val="pt-BR"/>
        </w:rPr>
      </w:pPr>
      <w:r w:rsidRPr="00D63DE6">
        <w:rPr>
          <w:bCs/>
          <w:lang w:val="pt-BR"/>
        </w:rPr>
        <w:t>No âmbito da investigação sobre a retratação, este estudo é pioneiro ao explorar o fenômeno a partir da perspectiva de profissionais brasileiros e portugueses, no entanto, apresenta algumas limitações. No Brasil, os profissionais foram recrutados em três cidades da região norte do país, enquanto em Portugal foram incluídos participantes de toda a região continental. As informações fornecidas pelos participantes enquadram as suas experiências no que respeita ao funcionamento dos serviços de atendimentos às vítimas de ASC e à qualificação e experiência dos profissionais, por exemplo. Deste modo, os resultados não podem ser generalizados. Além disso, sendo de cariz qualitativo, o presente estudo não possibilita o estabelecimento de relações causais ou preditivas acerca dos fatores de risco/proteção identificados.</w:t>
      </w:r>
    </w:p>
    <w:p w14:paraId="78ACE1C8" w14:textId="172D8E66" w:rsidR="00DC7034" w:rsidRDefault="00D63DE6" w:rsidP="00D63DE6">
      <w:pPr>
        <w:pStyle w:val="Prrafocomn"/>
        <w:rPr>
          <w:bCs/>
          <w:lang w:val="pt-BR"/>
        </w:rPr>
      </w:pPr>
      <w:r w:rsidRPr="00D63DE6">
        <w:rPr>
          <w:bCs/>
          <w:lang w:val="pt-BR"/>
        </w:rPr>
        <w:t>É fundamental que estudos futuros incluam metodologias quantitativas de delineamento longitudinal, de forma a explorar em casos concretos de ASC a presença ou ausência de fatores associados à retratação. Será também importante desenvolver estudos de cariz qualitativo que tenham por base a perspectiva dos profissionais da saúde (médico/enfermeiros), forças de segurança, advogados e/ou professores, bem como as narrativas de vítimas e familiares, para se ter uma visão mais sistêmica sobre a retratação</w:t>
      </w:r>
      <w:r w:rsidR="00DC7034" w:rsidRPr="008502BB">
        <w:rPr>
          <w:bCs/>
          <w:lang w:val="pt-BR"/>
        </w:rPr>
        <w:t>.</w:t>
      </w:r>
    </w:p>
    <w:p w14:paraId="0C933D7F" w14:textId="77777777" w:rsidR="00E6518A" w:rsidRPr="00E82494" w:rsidRDefault="00E6518A" w:rsidP="00E6518A">
      <w:pPr>
        <w:pStyle w:val="Ttulosinternos"/>
        <w:rPr>
          <w:lang w:val="pt-BR"/>
        </w:rPr>
      </w:pPr>
      <w:r w:rsidRPr="00E82494">
        <w:rPr>
          <w:lang w:val="pt-BR"/>
        </w:rPr>
        <w:t>Considerações Finais</w:t>
      </w:r>
    </w:p>
    <w:p w14:paraId="37798023" w14:textId="07AADAE1" w:rsidR="00E6518A" w:rsidRDefault="00E6518A" w:rsidP="00E6518A">
      <w:pPr>
        <w:pStyle w:val="Prrafocomn"/>
        <w:rPr>
          <w:bCs/>
          <w:lang w:val="pt-BR"/>
        </w:rPr>
      </w:pPr>
      <w:r w:rsidRPr="00E6518A">
        <w:rPr>
          <w:bCs/>
          <w:lang w:val="pt-BR"/>
        </w:rPr>
        <w:t xml:space="preserve">Este estudo possibilitou aprofundar o conhecimento sobre os fatores de risco e de proteção associados à retratação após revelação do ASC, a partir da perspectiva de </w:t>
      </w:r>
      <w:r w:rsidRPr="00E6518A">
        <w:rPr>
          <w:bCs/>
          <w:lang w:val="pt-BR"/>
        </w:rPr>
        <w:lastRenderedPageBreak/>
        <w:t>profissionais que atuam nesta temática. Os resultados encontrados sugerem que o desenvolvimento da retratação é influenciado por fatores individuais, familiares, comunitários, e dos próprios procedimentos judiciais e de proteção, o que reflete a importância de uma abordagem ecológica e multidisciplinar sobre o fenômeno. Os resultados traduzem ainda a necessidade de uma articulação coordenada de procedimentos e práticas entre as diferentes instituições que prestam serviços em casos de suspeitas de ASC, de forma a avaliar e intervir ao nível das diversas condições que favorecem a retratação.</w:t>
      </w:r>
    </w:p>
    <w:p w14:paraId="62D836DE" w14:textId="77777777" w:rsidR="00D63DE6" w:rsidRPr="008502BB" w:rsidRDefault="00D63DE6" w:rsidP="00D63DE6">
      <w:pPr>
        <w:pStyle w:val="Prrafocomn"/>
        <w:rPr>
          <w:bCs/>
          <w:lang w:val="pt-BR"/>
        </w:rPr>
      </w:pPr>
    </w:p>
    <w:p w14:paraId="01C54B13" w14:textId="77777777" w:rsidR="003A1180" w:rsidRPr="008502BB" w:rsidRDefault="003A1180">
      <w:pPr>
        <w:rPr>
          <w:b/>
          <w:i/>
          <w:lang w:val="pt-BR" w:eastAsia="en-US"/>
        </w:rPr>
      </w:pPr>
      <w:r w:rsidRPr="008502BB">
        <w:rPr>
          <w:b/>
          <w:i/>
          <w:lang w:val="pt-BR" w:eastAsia="en-US"/>
        </w:rPr>
        <w:br w:type="page"/>
      </w:r>
    </w:p>
    <w:p w14:paraId="66876945" w14:textId="269EE656" w:rsidR="003A1180" w:rsidRPr="008502BB" w:rsidRDefault="008502BB" w:rsidP="003A1180">
      <w:pPr>
        <w:pStyle w:val="Ttulosinternos"/>
        <w:rPr>
          <w:bCs/>
          <w:lang w:val="pt-BR"/>
        </w:rPr>
      </w:pPr>
      <w:r w:rsidRPr="008502BB">
        <w:rPr>
          <w:bCs/>
          <w:lang w:val="pt-BR"/>
        </w:rPr>
        <w:lastRenderedPageBreak/>
        <w:t>Referências</w:t>
      </w:r>
    </w:p>
    <w:p w14:paraId="76D313B4" w14:textId="77777777" w:rsidR="00E6518A" w:rsidRPr="00E6518A" w:rsidRDefault="00E6518A" w:rsidP="00E6518A">
      <w:pPr>
        <w:pStyle w:val="Referencias"/>
        <w:spacing w:line="360" w:lineRule="auto"/>
        <w:rPr>
          <w:highlight w:val="white"/>
        </w:rPr>
      </w:pPr>
      <w:proofErr w:type="spellStart"/>
      <w:r w:rsidRPr="00E6518A">
        <w:rPr>
          <w:highlight w:val="white"/>
          <w:lang w:val="pt-BR"/>
        </w:rPr>
        <w:t>Ajdukovic</w:t>
      </w:r>
      <w:proofErr w:type="spellEnd"/>
      <w:r w:rsidRPr="00E6518A">
        <w:rPr>
          <w:highlight w:val="white"/>
          <w:lang w:val="pt-BR"/>
        </w:rPr>
        <w:t xml:space="preserve">, M., </w:t>
      </w:r>
      <w:proofErr w:type="spellStart"/>
      <w:r w:rsidRPr="00E6518A">
        <w:rPr>
          <w:highlight w:val="white"/>
          <w:lang w:val="pt-BR"/>
        </w:rPr>
        <w:t>Rajter</w:t>
      </w:r>
      <w:proofErr w:type="spellEnd"/>
      <w:r w:rsidRPr="00E6518A">
        <w:rPr>
          <w:highlight w:val="white"/>
          <w:lang w:val="pt-BR"/>
        </w:rPr>
        <w:t xml:space="preserve">, M., &amp; Rezo, I. (2018). </w:t>
      </w:r>
      <w:r w:rsidRPr="00E6518A">
        <w:rPr>
          <w:highlight w:val="white"/>
        </w:rPr>
        <w:t xml:space="preserve">Individual and contextual factors for the child abuse potential of Croatian mothers: The role of social support in times of economic hardship. </w:t>
      </w:r>
      <w:r w:rsidRPr="00E6518A">
        <w:rPr>
          <w:i/>
          <w:iCs/>
          <w:highlight w:val="white"/>
        </w:rPr>
        <w:t>Child Abuse &amp; Neglect, 78</w:t>
      </w:r>
      <w:r w:rsidRPr="00E6518A">
        <w:rPr>
          <w:highlight w:val="white"/>
        </w:rPr>
        <w:t xml:space="preserve">, 60–70. </w:t>
      </w:r>
      <w:hyperlink r:id="rId18" w:history="1">
        <w:r w:rsidRPr="00E6518A">
          <w:rPr>
            <w:rStyle w:val="Hipervnculo"/>
            <w:highlight w:val="white"/>
          </w:rPr>
          <w:t>https://doi.org/gddz6g</w:t>
        </w:r>
      </w:hyperlink>
    </w:p>
    <w:p w14:paraId="1AA7E4A4" w14:textId="77777777" w:rsidR="00E6518A" w:rsidRPr="00E6518A" w:rsidRDefault="00E6518A" w:rsidP="00E6518A">
      <w:pPr>
        <w:pStyle w:val="Referencias"/>
        <w:spacing w:line="360" w:lineRule="auto"/>
        <w:rPr>
          <w:highlight w:val="white"/>
        </w:rPr>
      </w:pPr>
      <w:proofErr w:type="spellStart"/>
      <w:r w:rsidRPr="00E6518A">
        <w:rPr>
          <w:highlight w:val="white"/>
        </w:rPr>
        <w:t>Alaggia</w:t>
      </w:r>
      <w:proofErr w:type="spellEnd"/>
      <w:r w:rsidRPr="00E6518A">
        <w:rPr>
          <w:highlight w:val="white"/>
        </w:rPr>
        <w:t xml:space="preserve">, R. (2010). An ecological analysis of child sexual abuse disclosure: Considerations for child and adolescent mental health. </w:t>
      </w:r>
      <w:r w:rsidRPr="00E6518A">
        <w:rPr>
          <w:i/>
          <w:highlight w:val="white"/>
        </w:rPr>
        <w:t>Journal of the Canadian Academy of Child and Adolescent Psychiatry, 19</w:t>
      </w:r>
      <w:r w:rsidRPr="00E6518A">
        <w:rPr>
          <w:highlight w:val="white"/>
        </w:rPr>
        <w:t xml:space="preserve">(1), 32–39. </w:t>
      </w:r>
      <w:hyperlink r:id="rId19" w:history="1">
        <w:r w:rsidRPr="00E6518A">
          <w:rPr>
            <w:rStyle w:val="Hipervnculo"/>
            <w:highlight w:val="white"/>
          </w:rPr>
          <w:t>https://www.ncbi.nlm.nih.gov/pmc/articles/PMC2809444</w:t>
        </w:r>
      </w:hyperlink>
      <w:r w:rsidRPr="00E6518A">
        <w:rPr>
          <w:highlight w:val="white"/>
        </w:rPr>
        <w:t xml:space="preserve">  </w:t>
      </w:r>
    </w:p>
    <w:p w14:paraId="35FB31FC" w14:textId="77777777" w:rsidR="00E6518A" w:rsidRPr="00E6518A" w:rsidRDefault="00E6518A" w:rsidP="00E6518A">
      <w:pPr>
        <w:pStyle w:val="Referencias"/>
        <w:spacing w:line="360" w:lineRule="auto"/>
        <w:rPr>
          <w:highlight w:val="white"/>
        </w:rPr>
      </w:pPr>
      <w:proofErr w:type="spellStart"/>
      <w:r w:rsidRPr="00E6518A">
        <w:rPr>
          <w:highlight w:val="white"/>
        </w:rPr>
        <w:t>Alaggia</w:t>
      </w:r>
      <w:proofErr w:type="spellEnd"/>
      <w:r w:rsidRPr="00E6518A">
        <w:rPr>
          <w:highlight w:val="white"/>
        </w:rPr>
        <w:t>, R., Colling-</w:t>
      </w:r>
      <w:proofErr w:type="spellStart"/>
      <w:r w:rsidRPr="00E6518A">
        <w:rPr>
          <w:highlight w:val="white"/>
        </w:rPr>
        <w:t>Vézina</w:t>
      </w:r>
      <w:proofErr w:type="spellEnd"/>
      <w:r w:rsidRPr="00E6518A">
        <w:rPr>
          <w:highlight w:val="white"/>
        </w:rPr>
        <w:t xml:space="preserve">, D., &amp; Lateef, R. (2017). Facilitators and barriers to child sexual abuse (CSA) disclosures: A research update (2000–2016). </w:t>
      </w:r>
      <w:r w:rsidRPr="00E6518A">
        <w:rPr>
          <w:i/>
          <w:highlight w:val="white"/>
        </w:rPr>
        <w:t>The Trauma, Violence, &amp; Abuse, 20</w:t>
      </w:r>
      <w:r w:rsidRPr="00E6518A">
        <w:rPr>
          <w:highlight w:val="white"/>
        </w:rPr>
        <w:t xml:space="preserve">(10), 1–24. </w:t>
      </w:r>
      <w:hyperlink r:id="rId20" w:history="1">
        <w:r w:rsidRPr="00E6518A">
          <w:rPr>
            <w:rStyle w:val="Hipervnculo"/>
            <w:highlight w:val="white"/>
          </w:rPr>
          <w:t>https://doi.org/ggqhv3</w:t>
        </w:r>
      </w:hyperlink>
    </w:p>
    <w:p w14:paraId="00B95230" w14:textId="2BC87B2B" w:rsidR="00E6518A" w:rsidRPr="00E6518A" w:rsidRDefault="00E6518A" w:rsidP="00E6518A">
      <w:pPr>
        <w:pStyle w:val="Referencias"/>
        <w:spacing w:line="360" w:lineRule="auto"/>
        <w:rPr>
          <w:highlight w:val="white"/>
          <w:lang w:val="pt-BR"/>
        </w:rPr>
      </w:pPr>
      <w:r w:rsidRPr="00E6518A">
        <w:rPr>
          <w:highlight w:val="white"/>
        </w:rPr>
        <w:t xml:space="preserve">Alberto, I. (2008). </w:t>
      </w:r>
      <w:r w:rsidRPr="00E6518A">
        <w:rPr>
          <w:highlight w:val="white"/>
          <w:lang w:val="pt-BR"/>
        </w:rPr>
        <w:t xml:space="preserve">“Como pássaros em gaiolas”? Reflexões em torno da institucionalização de menores em risco. In C. Machado, &amp; R. Gonçalves, </w:t>
      </w:r>
      <w:r w:rsidRPr="00E6518A">
        <w:rPr>
          <w:i/>
          <w:iCs/>
          <w:highlight w:val="white"/>
          <w:lang w:val="pt-BR"/>
        </w:rPr>
        <w:t>Violência e Vítimas de Crime</w:t>
      </w:r>
      <w:r w:rsidRPr="00E6518A">
        <w:rPr>
          <w:highlight w:val="white"/>
          <w:lang w:val="pt-BR"/>
        </w:rPr>
        <w:t>, (pp. 223–244). Edições Quarteto.</w:t>
      </w:r>
    </w:p>
    <w:p w14:paraId="6092B368" w14:textId="77777777" w:rsidR="00E6518A" w:rsidRPr="00E6518A" w:rsidRDefault="00E6518A" w:rsidP="00E6518A">
      <w:pPr>
        <w:pStyle w:val="Referencias"/>
        <w:spacing w:line="360" w:lineRule="auto"/>
        <w:rPr>
          <w:highlight w:val="white"/>
        </w:rPr>
      </w:pPr>
      <w:r w:rsidRPr="00E6518A">
        <w:rPr>
          <w:highlight w:val="white"/>
          <w:lang w:val="pt-BR"/>
        </w:rPr>
        <w:t xml:space="preserve">Baía, P. A. D., Alberto, I. M. M., </w:t>
      </w:r>
      <w:proofErr w:type="spellStart"/>
      <w:r w:rsidRPr="00E6518A">
        <w:rPr>
          <w:highlight w:val="white"/>
          <w:lang w:val="pt-BR"/>
        </w:rPr>
        <w:t>Dell’Aglio</w:t>
      </w:r>
      <w:proofErr w:type="spellEnd"/>
      <w:r w:rsidRPr="00E6518A">
        <w:rPr>
          <w:highlight w:val="white"/>
          <w:lang w:val="pt-BR"/>
        </w:rPr>
        <w:t xml:space="preserve">, D. D. (2021). </w:t>
      </w:r>
      <w:r w:rsidRPr="00E6518A">
        <w:rPr>
          <w:highlight w:val="white"/>
        </w:rPr>
        <w:t xml:space="preserve">Predictors of recantation after child sexual abuse disclosure among a Brazilian sample. </w:t>
      </w:r>
      <w:r w:rsidRPr="00E6518A">
        <w:rPr>
          <w:i/>
          <w:iCs/>
          <w:highlight w:val="white"/>
        </w:rPr>
        <w:t>Child Abuse &amp; Neglect, 115</w:t>
      </w:r>
      <w:r w:rsidRPr="00E6518A">
        <w:rPr>
          <w:highlight w:val="white"/>
        </w:rPr>
        <w:t xml:space="preserve">, 105006.  </w:t>
      </w:r>
      <w:hyperlink r:id="rId21" w:history="1">
        <w:r w:rsidRPr="00E6518A">
          <w:rPr>
            <w:rStyle w:val="Hipervnculo"/>
            <w:highlight w:val="white"/>
          </w:rPr>
          <w:t>https://doi.org/gmmb</w:t>
        </w:r>
      </w:hyperlink>
    </w:p>
    <w:p w14:paraId="76F990EB" w14:textId="77777777" w:rsidR="00E6518A" w:rsidRPr="00E6518A" w:rsidRDefault="00E6518A" w:rsidP="00E6518A">
      <w:pPr>
        <w:pStyle w:val="Referencias"/>
        <w:spacing w:line="360" w:lineRule="auto"/>
        <w:rPr>
          <w:highlight w:val="white"/>
        </w:rPr>
      </w:pPr>
      <w:r w:rsidRPr="00E6518A">
        <w:rPr>
          <w:highlight w:val="white"/>
        </w:rPr>
        <w:t xml:space="preserve">Braun, V., &amp; Clarke, V. (2006). Using thematic analysis in psychology. </w:t>
      </w:r>
      <w:r w:rsidRPr="00E6518A">
        <w:rPr>
          <w:i/>
          <w:highlight w:val="white"/>
        </w:rPr>
        <w:t>Qualitative Research in Psychology, 3</w:t>
      </w:r>
      <w:r w:rsidRPr="00E6518A">
        <w:rPr>
          <w:highlight w:val="white"/>
        </w:rPr>
        <w:t xml:space="preserve">(2), 77–101. </w:t>
      </w:r>
      <w:hyperlink r:id="rId22" w:history="1">
        <w:r w:rsidRPr="00E6518A">
          <w:rPr>
            <w:rStyle w:val="Hipervnculo"/>
            <w:highlight w:val="white"/>
          </w:rPr>
          <w:t>https://doi.org/fswdcx</w:t>
        </w:r>
      </w:hyperlink>
    </w:p>
    <w:p w14:paraId="5F398181" w14:textId="77777777" w:rsidR="00E6518A" w:rsidRPr="00E6518A" w:rsidRDefault="00E6518A" w:rsidP="00E6518A">
      <w:pPr>
        <w:pStyle w:val="Referencias"/>
        <w:spacing w:line="360" w:lineRule="auto"/>
        <w:rPr>
          <w:highlight w:val="white"/>
          <w:lang w:val="pt-BR"/>
        </w:rPr>
      </w:pPr>
      <w:r w:rsidRPr="00E6518A">
        <w:rPr>
          <w:highlight w:val="white"/>
        </w:rPr>
        <w:t xml:space="preserve">Boakye, K. E. (2009). Culture and nondisclosure of child sexual abuse in Ghana: A theoretical and empirical exploration. </w:t>
      </w:r>
      <w:r w:rsidRPr="00E6518A">
        <w:rPr>
          <w:i/>
          <w:iCs/>
          <w:highlight w:val="white"/>
          <w:lang w:val="pt-BR"/>
        </w:rPr>
        <w:t>Law &amp; Social</w:t>
      </w:r>
      <w:r w:rsidRPr="00E6518A">
        <w:rPr>
          <w:highlight w:val="white"/>
          <w:lang w:val="pt-BR"/>
        </w:rPr>
        <w:t xml:space="preserve"> </w:t>
      </w:r>
      <w:proofErr w:type="spellStart"/>
      <w:r w:rsidRPr="00E6518A">
        <w:rPr>
          <w:i/>
          <w:iCs/>
          <w:highlight w:val="white"/>
          <w:lang w:val="pt-BR"/>
        </w:rPr>
        <w:t>Inquiry</w:t>
      </w:r>
      <w:proofErr w:type="spellEnd"/>
      <w:r w:rsidRPr="00E6518A">
        <w:rPr>
          <w:i/>
          <w:iCs/>
          <w:highlight w:val="white"/>
          <w:lang w:val="pt-BR"/>
        </w:rPr>
        <w:t>, 34</w:t>
      </w:r>
      <w:r w:rsidRPr="00E6518A">
        <w:rPr>
          <w:highlight w:val="white"/>
          <w:lang w:val="pt-BR"/>
        </w:rPr>
        <w:t xml:space="preserve">(4), 951–979. </w:t>
      </w:r>
      <w:hyperlink r:id="rId23" w:history="1">
        <w:r w:rsidRPr="00E6518A">
          <w:rPr>
            <w:rStyle w:val="Hipervnculo"/>
            <w:highlight w:val="white"/>
            <w:lang w:val="pt-BR"/>
          </w:rPr>
          <w:t>https://doi.org/cr8svr</w:t>
        </w:r>
      </w:hyperlink>
    </w:p>
    <w:p w14:paraId="3C2A0EB3" w14:textId="77777777" w:rsidR="00E6518A" w:rsidRPr="00E6518A" w:rsidRDefault="00E6518A" w:rsidP="00E6518A">
      <w:pPr>
        <w:pStyle w:val="Referencias"/>
        <w:spacing w:line="360" w:lineRule="auto"/>
        <w:rPr>
          <w:highlight w:val="white"/>
          <w:lang w:val="pt-BR"/>
        </w:rPr>
      </w:pPr>
      <w:r w:rsidRPr="00E6518A">
        <w:rPr>
          <w:highlight w:val="white"/>
          <w:lang w:val="pt-BR"/>
        </w:rPr>
        <w:t xml:space="preserve">Brasil. (1990). Lei Federal nº 8.069/1990, Estatuto da Criança e do Adolescente.  Recuperado de </w:t>
      </w:r>
      <w:hyperlink r:id="rId24" w:history="1">
        <w:r w:rsidRPr="00E6518A">
          <w:rPr>
            <w:rStyle w:val="Hipervnculo"/>
            <w:highlight w:val="white"/>
            <w:lang w:val="pt-BR"/>
          </w:rPr>
          <w:t>http://www.planalto.gov.br/ccivil_03/leis/l8069.htm</w:t>
        </w:r>
      </w:hyperlink>
    </w:p>
    <w:p w14:paraId="3482C4E4" w14:textId="77777777" w:rsidR="00E6518A" w:rsidRPr="00E6518A" w:rsidRDefault="00E6518A" w:rsidP="00E6518A">
      <w:pPr>
        <w:pStyle w:val="Referencias"/>
        <w:spacing w:line="360" w:lineRule="auto"/>
        <w:rPr>
          <w:highlight w:val="white"/>
        </w:rPr>
      </w:pPr>
      <w:r w:rsidRPr="00E6518A">
        <w:rPr>
          <w:highlight w:val="white"/>
          <w:lang w:val="pt-BR"/>
        </w:rPr>
        <w:t xml:space="preserve">Bradley A. R., </w:t>
      </w:r>
      <w:proofErr w:type="spellStart"/>
      <w:r w:rsidRPr="00E6518A">
        <w:rPr>
          <w:highlight w:val="white"/>
          <w:lang w:val="pt-BR"/>
        </w:rPr>
        <w:t>Legerski</w:t>
      </w:r>
      <w:proofErr w:type="spellEnd"/>
      <w:r w:rsidRPr="00E6518A">
        <w:rPr>
          <w:highlight w:val="white"/>
          <w:lang w:val="pt-BR"/>
        </w:rPr>
        <w:t xml:space="preserve"> J. P., Thomas K., &amp; </w:t>
      </w:r>
      <w:proofErr w:type="spellStart"/>
      <w:r w:rsidRPr="00E6518A">
        <w:rPr>
          <w:highlight w:val="white"/>
          <w:lang w:val="pt-BR"/>
        </w:rPr>
        <w:t>Matson</w:t>
      </w:r>
      <w:proofErr w:type="spellEnd"/>
      <w:r w:rsidRPr="00E6518A">
        <w:rPr>
          <w:highlight w:val="white"/>
          <w:lang w:val="pt-BR"/>
        </w:rPr>
        <w:t xml:space="preserve"> K. E. (2016). </w:t>
      </w:r>
      <w:r w:rsidRPr="00E6518A">
        <w:rPr>
          <w:highlight w:val="white"/>
        </w:rPr>
        <w:t xml:space="preserve">Truth, lies, and recantation. In W. </w:t>
      </w:r>
      <w:proofErr w:type="spellStart"/>
      <w:r w:rsidRPr="00E6518A">
        <w:rPr>
          <w:highlight w:val="white"/>
        </w:rPr>
        <w:t>O'Donohue</w:t>
      </w:r>
      <w:proofErr w:type="spellEnd"/>
      <w:r w:rsidRPr="00E6518A">
        <w:rPr>
          <w:highlight w:val="white"/>
        </w:rPr>
        <w:t xml:space="preserve"> &amp; M. </w:t>
      </w:r>
      <w:proofErr w:type="spellStart"/>
      <w:r w:rsidRPr="00E6518A">
        <w:rPr>
          <w:highlight w:val="white"/>
        </w:rPr>
        <w:t>Fanetti</w:t>
      </w:r>
      <w:proofErr w:type="spellEnd"/>
      <w:r w:rsidRPr="00E6518A">
        <w:rPr>
          <w:highlight w:val="white"/>
        </w:rPr>
        <w:t xml:space="preserve"> (Eds.), </w:t>
      </w:r>
      <w:r w:rsidRPr="00E6518A">
        <w:rPr>
          <w:i/>
          <w:iCs/>
          <w:highlight w:val="white"/>
        </w:rPr>
        <w:t>Forensic Interviews Regarding Child Sexual Abuse</w:t>
      </w:r>
      <w:r w:rsidRPr="00E6518A">
        <w:rPr>
          <w:highlight w:val="white"/>
        </w:rPr>
        <w:t xml:space="preserve"> (pp. 293–305). Springer International Publishing. </w:t>
      </w:r>
      <w:hyperlink r:id="rId25" w:history="1">
        <w:r w:rsidRPr="00E6518A">
          <w:rPr>
            <w:rStyle w:val="Hipervnculo"/>
            <w:highlight w:val="white"/>
          </w:rPr>
          <w:t>https://doi.org/10.1007/978-3-319-21097-1_16</w:t>
        </w:r>
      </w:hyperlink>
    </w:p>
    <w:p w14:paraId="17C82CD5" w14:textId="77777777" w:rsidR="00E6518A" w:rsidRPr="00E6518A" w:rsidRDefault="00E6518A" w:rsidP="00E6518A">
      <w:pPr>
        <w:pStyle w:val="Referencias"/>
        <w:spacing w:line="360" w:lineRule="auto"/>
        <w:rPr>
          <w:highlight w:val="white"/>
        </w:rPr>
      </w:pPr>
      <w:r w:rsidRPr="00E6518A">
        <w:rPr>
          <w:highlight w:val="white"/>
        </w:rPr>
        <w:t xml:space="preserve">Bronfenbrenner, U. (2005). The bioecological theory of human development. In U. Bronfenbrenner (Ed.). </w:t>
      </w:r>
      <w:r w:rsidRPr="00E6518A">
        <w:rPr>
          <w:i/>
          <w:highlight w:val="white"/>
        </w:rPr>
        <w:t xml:space="preserve">Making human beings human: Bioecological perspectives on human development </w:t>
      </w:r>
      <w:r w:rsidRPr="00E6518A">
        <w:rPr>
          <w:highlight w:val="white"/>
        </w:rPr>
        <w:t>(pp. 3–15). Sage Publications</w:t>
      </w:r>
    </w:p>
    <w:p w14:paraId="756C9E39" w14:textId="77777777" w:rsidR="00E6518A" w:rsidRPr="00E6518A" w:rsidRDefault="00E6518A" w:rsidP="00E6518A">
      <w:pPr>
        <w:pStyle w:val="Referencias"/>
        <w:spacing w:line="360" w:lineRule="auto"/>
        <w:rPr>
          <w:highlight w:val="white"/>
        </w:rPr>
      </w:pPr>
      <w:proofErr w:type="spellStart"/>
      <w:r w:rsidRPr="00E6518A">
        <w:rPr>
          <w:highlight w:val="white"/>
        </w:rPr>
        <w:t>Celik</w:t>
      </w:r>
      <w:proofErr w:type="spellEnd"/>
      <w:r w:rsidRPr="00E6518A">
        <w:rPr>
          <w:highlight w:val="white"/>
        </w:rPr>
        <w:t xml:space="preserve">, G., </w:t>
      </w:r>
      <w:proofErr w:type="spellStart"/>
      <w:r w:rsidRPr="00E6518A">
        <w:rPr>
          <w:highlight w:val="white"/>
        </w:rPr>
        <w:t>Tahiroglu</w:t>
      </w:r>
      <w:proofErr w:type="spellEnd"/>
      <w:r w:rsidRPr="00E6518A">
        <w:rPr>
          <w:highlight w:val="white"/>
        </w:rPr>
        <w:t xml:space="preserve">, A., </w:t>
      </w:r>
      <w:proofErr w:type="spellStart"/>
      <w:r w:rsidRPr="00E6518A">
        <w:rPr>
          <w:highlight w:val="white"/>
        </w:rPr>
        <w:t>Yoruldu</w:t>
      </w:r>
      <w:proofErr w:type="spellEnd"/>
      <w:r w:rsidRPr="00E6518A">
        <w:rPr>
          <w:highlight w:val="white"/>
        </w:rPr>
        <w:t xml:space="preserve">, B., </w:t>
      </w:r>
      <w:proofErr w:type="spellStart"/>
      <w:r w:rsidRPr="00E6518A">
        <w:rPr>
          <w:highlight w:val="white"/>
        </w:rPr>
        <w:t>Varmis</w:t>
      </w:r>
      <w:proofErr w:type="spellEnd"/>
      <w:r w:rsidRPr="00E6518A">
        <w:rPr>
          <w:highlight w:val="white"/>
        </w:rPr>
        <w:t xml:space="preserve">, D., </w:t>
      </w:r>
      <w:proofErr w:type="spellStart"/>
      <w:r w:rsidRPr="00E6518A">
        <w:rPr>
          <w:highlight w:val="white"/>
        </w:rPr>
        <w:t>Çekin</w:t>
      </w:r>
      <w:proofErr w:type="spellEnd"/>
      <w:r w:rsidRPr="00E6518A">
        <w:rPr>
          <w:highlight w:val="white"/>
        </w:rPr>
        <w:t xml:space="preserve">, N., </w:t>
      </w:r>
      <w:proofErr w:type="spellStart"/>
      <w:r w:rsidRPr="00E6518A">
        <w:rPr>
          <w:highlight w:val="white"/>
        </w:rPr>
        <w:t>Avci</w:t>
      </w:r>
      <w:proofErr w:type="spellEnd"/>
      <w:r w:rsidRPr="00E6518A">
        <w:rPr>
          <w:highlight w:val="white"/>
        </w:rPr>
        <w:t xml:space="preserve">, A., </w:t>
      </w:r>
      <w:proofErr w:type="spellStart"/>
      <w:r w:rsidRPr="00E6518A">
        <w:rPr>
          <w:highlight w:val="white"/>
        </w:rPr>
        <w:t>Evliyaoglu</w:t>
      </w:r>
      <w:proofErr w:type="spellEnd"/>
      <w:r w:rsidRPr="00E6518A">
        <w:rPr>
          <w:highlight w:val="white"/>
        </w:rPr>
        <w:t xml:space="preserve">, N., &amp; </w:t>
      </w:r>
      <w:proofErr w:type="spellStart"/>
      <w:r w:rsidRPr="00E6518A">
        <w:rPr>
          <w:highlight w:val="white"/>
        </w:rPr>
        <w:t>Nasiroglu</w:t>
      </w:r>
      <w:proofErr w:type="spellEnd"/>
      <w:r w:rsidRPr="00E6518A">
        <w:rPr>
          <w:highlight w:val="white"/>
        </w:rPr>
        <w:t xml:space="preserve">, S. (2018). Recantation of sexual abuse disclosure among child victims: </w:t>
      </w:r>
      <w:r w:rsidRPr="00E6518A">
        <w:rPr>
          <w:highlight w:val="white"/>
        </w:rPr>
        <w:lastRenderedPageBreak/>
        <w:t xml:space="preserve">Accommodation syndrome. </w:t>
      </w:r>
      <w:r w:rsidRPr="00E6518A">
        <w:rPr>
          <w:i/>
          <w:highlight w:val="white"/>
        </w:rPr>
        <w:t>Journal of child sexual abuse, 27</w:t>
      </w:r>
      <w:r w:rsidRPr="00E6518A">
        <w:rPr>
          <w:highlight w:val="white"/>
        </w:rPr>
        <w:t xml:space="preserve">(6), 612–621. </w:t>
      </w:r>
      <w:hyperlink r:id="rId26" w:history="1">
        <w:r w:rsidRPr="00E6518A">
          <w:rPr>
            <w:rStyle w:val="Hipervnculo"/>
            <w:highlight w:val="white"/>
          </w:rPr>
          <w:t>https://doi.org/10.1080/10538712.2018.1477216</w:t>
        </w:r>
      </w:hyperlink>
      <w:r w:rsidRPr="00E6518A">
        <w:rPr>
          <w:highlight w:val="white"/>
        </w:rPr>
        <w:t>.</w:t>
      </w:r>
    </w:p>
    <w:p w14:paraId="62FEEF69" w14:textId="77777777" w:rsidR="00E6518A" w:rsidRPr="00E6518A" w:rsidRDefault="00E6518A" w:rsidP="00E6518A">
      <w:pPr>
        <w:pStyle w:val="Referencias"/>
        <w:spacing w:line="360" w:lineRule="auto"/>
        <w:rPr>
          <w:highlight w:val="white"/>
        </w:rPr>
      </w:pPr>
      <w:r w:rsidRPr="00E6518A">
        <w:rPr>
          <w:highlight w:val="white"/>
        </w:rPr>
        <w:t xml:space="preserve">Cicchetti, D., &amp; Lynch, M. (1993). Toward an ecological/transactional model of community violence and child maltreatment: Consequences for children’s development. </w:t>
      </w:r>
      <w:r w:rsidRPr="00E6518A">
        <w:rPr>
          <w:i/>
          <w:highlight w:val="white"/>
        </w:rPr>
        <w:t>Psychiatry, 56</w:t>
      </w:r>
      <w:r w:rsidRPr="00E6518A">
        <w:rPr>
          <w:highlight w:val="white"/>
        </w:rPr>
        <w:t xml:space="preserve">(1), 96–118. </w:t>
      </w:r>
      <w:hyperlink r:id="rId27" w:history="1">
        <w:r w:rsidRPr="00E6518A">
          <w:rPr>
            <w:rStyle w:val="Hipervnculo"/>
            <w:highlight w:val="white"/>
          </w:rPr>
          <w:t>https://doi.org/10.1080/00332747.1993.11024624</w:t>
        </w:r>
      </w:hyperlink>
    </w:p>
    <w:p w14:paraId="69336EFA" w14:textId="77777777" w:rsidR="00E6518A" w:rsidRPr="00E6518A" w:rsidRDefault="00E6518A" w:rsidP="00E6518A">
      <w:pPr>
        <w:pStyle w:val="Referencias"/>
        <w:spacing w:line="360" w:lineRule="auto"/>
        <w:rPr>
          <w:highlight w:val="white"/>
        </w:rPr>
      </w:pPr>
      <w:r w:rsidRPr="00E6518A">
        <w:rPr>
          <w:highlight w:val="white"/>
        </w:rPr>
        <w:t>Collin-</w:t>
      </w:r>
      <w:proofErr w:type="spellStart"/>
      <w:r w:rsidRPr="00E6518A">
        <w:rPr>
          <w:highlight w:val="white"/>
        </w:rPr>
        <w:t>Vézina</w:t>
      </w:r>
      <w:proofErr w:type="spellEnd"/>
      <w:r w:rsidRPr="00E6518A">
        <w:rPr>
          <w:highlight w:val="white"/>
        </w:rPr>
        <w:t xml:space="preserve">, D., </w:t>
      </w:r>
      <w:proofErr w:type="spellStart"/>
      <w:r w:rsidRPr="00E6518A">
        <w:rPr>
          <w:highlight w:val="white"/>
        </w:rPr>
        <w:t>Sablonni</w:t>
      </w:r>
      <w:proofErr w:type="spellEnd"/>
      <w:r w:rsidRPr="00E6518A">
        <w:rPr>
          <w:highlight w:val="white"/>
        </w:rPr>
        <w:t xml:space="preserve">, D. L., Palmer, A. M., &amp; Milne, L. (2015). A preliminary mapping of individual, relational, and social factors that impede disclosure of childhood sexual abuse. </w:t>
      </w:r>
      <w:r w:rsidRPr="00E6518A">
        <w:rPr>
          <w:i/>
          <w:highlight w:val="white"/>
        </w:rPr>
        <w:t>Child Abuse &amp; Neglect</w:t>
      </w:r>
      <w:r w:rsidRPr="00E6518A">
        <w:rPr>
          <w:highlight w:val="white"/>
        </w:rPr>
        <w:t xml:space="preserve">, </w:t>
      </w:r>
      <w:r w:rsidRPr="00E6518A">
        <w:rPr>
          <w:i/>
          <w:highlight w:val="white"/>
        </w:rPr>
        <w:t>43</w:t>
      </w:r>
      <w:r w:rsidRPr="00E6518A">
        <w:rPr>
          <w:highlight w:val="white"/>
        </w:rPr>
        <w:t xml:space="preserve">, 123–134. </w:t>
      </w:r>
      <w:hyperlink r:id="rId28" w:history="1">
        <w:r w:rsidRPr="00E6518A">
          <w:rPr>
            <w:rStyle w:val="Hipervnculo"/>
            <w:highlight w:val="white"/>
          </w:rPr>
          <w:t>https://doi.org/10.1016/j.chiabu.2015.03.010</w:t>
        </w:r>
      </w:hyperlink>
    </w:p>
    <w:p w14:paraId="753552DF" w14:textId="77777777" w:rsidR="00E6518A" w:rsidRPr="00E6518A" w:rsidRDefault="00E6518A" w:rsidP="00E6518A">
      <w:pPr>
        <w:pStyle w:val="Referencias"/>
        <w:spacing w:line="360" w:lineRule="auto"/>
        <w:rPr>
          <w:highlight w:val="white"/>
        </w:rPr>
      </w:pPr>
      <w:r w:rsidRPr="00E6518A">
        <w:rPr>
          <w:highlight w:val="white"/>
        </w:rPr>
        <w:t xml:space="preserve">Creswell, J. W. (2007). </w:t>
      </w:r>
      <w:r w:rsidRPr="00E6518A">
        <w:rPr>
          <w:i/>
          <w:iCs/>
          <w:highlight w:val="white"/>
        </w:rPr>
        <w:t>Qualitative Inquiry &amp; Research Design: Choosing among five approaches</w:t>
      </w:r>
      <w:r w:rsidRPr="00E6518A">
        <w:rPr>
          <w:highlight w:val="white"/>
        </w:rPr>
        <w:t>. Sage Publications</w:t>
      </w:r>
    </w:p>
    <w:p w14:paraId="19B91DFD" w14:textId="77777777" w:rsidR="00E6518A" w:rsidRPr="00E6518A" w:rsidRDefault="00E6518A" w:rsidP="00E6518A">
      <w:pPr>
        <w:pStyle w:val="Referencias"/>
        <w:spacing w:line="360" w:lineRule="auto"/>
        <w:rPr>
          <w:highlight w:val="white"/>
        </w:rPr>
      </w:pPr>
      <w:r w:rsidRPr="00E6518A">
        <w:rPr>
          <w:highlight w:val="white"/>
        </w:rPr>
        <w:t xml:space="preserve">Denne, E., </w:t>
      </w:r>
      <w:proofErr w:type="spellStart"/>
      <w:r w:rsidRPr="00E6518A">
        <w:rPr>
          <w:highlight w:val="white"/>
        </w:rPr>
        <w:t>Stolzenberg</w:t>
      </w:r>
      <w:proofErr w:type="spellEnd"/>
      <w:r w:rsidRPr="00E6518A">
        <w:rPr>
          <w:highlight w:val="white"/>
        </w:rPr>
        <w:t xml:space="preserve">, S. N., &amp; Neal, T. M. S. (2021). The effects of evidence-based expert testimony on perceptions of child sexual abuse involving recantation. </w:t>
      </w:r>
      <w:proofErr w:type="spellStart"/>
      <w:r w:rsidRPr="00E6518A">
        <w:rPr>
          <w:highlight w:val="white"/>
        </w:rPr>
        <w:t>P</w:t>
      </w:r>
      <w:r w:rsidRPr="00E6518A">
        <w:rPr>
          <w:i/>
          <w:iCs/>
          <w:highlight w:val="white"/>
        </w:rPr>
        <w:t>LoS</w:t>
      </w:r>
      <w:proofErr w:type="spellEnd"/>
      <w:r w:rsidRPr="00E6518A">
        <w:rPr>
          <w:i/>
          <w:iCs/>
          <w:highlight w:val="white"/>
        </w:rPr>
        <w:t xml:space="preserve"> ONE 16</w:t>
      </w:r>
      <w:r w:rsidRPr="00E6518A">
        <w:rPr>
          <w:highlight w:val="white"/>
        </w:rPr>
        <w:t>(8): e0254961.https://doi.org/10.1371/journal.pone.0254961</w:t>
      </w:r>
    </w:p>
    <w:p w14:paraId="6DC038D1" w14:textId="77777777" w:rsidR="00E6518A" w:rsidRPr="00E6518A" w:rsidRDefault="00E6518A" w:rsidP="00E6518A">
      <w:pPr>
        <w:pStyle w:val="Referencias"/>
        <w:spacing w:line="360" w:lineRule="auto"/>
        <w:rPr>
          <w:highlight w:val="white"/>
        </w:rPr>
      </w:pPr>
      <w:r w:rsidRPr="00E6518A">
        <w:rPr>
          <w:highlight w:val="white"/>
        </w:rPr>
        <w:t xml:space="preserve">Elliott, D. M., &amp; Briere, J. (1994). Forensic sexual abuse evaluations of older children: Disclosures and symptomatology. </w:t>
      </w:r>
      <w:proofErr w:type="spellStart"/>
      <w:r w:rsidRPr="00E6518A">
        <w:rPr>
          <w:i/>
          <w:highlight w:val="white"/>
        </w:rPr>
        <w:t>Behavioural</w:t>
      </w:r>
      <w:proofErr w:type="spellEnd"/>
      <w:r w:rsidRPr="00E6518A">
        <w:rPr>
          <w:i/>
          <w:highlight w:val="white"/>
        </w:rPr>
        <w:t xml:space="preserve"> Sciences and the Law, 12</w:t>
      </w:r>
      <w:r w:rsidRPr="00E6518A">
        <w:rPr>
          <w:highlight w:val="white"/>
        </w:rPr>
        <w:t xml:space="preserve">(3), 261–277. </w:t>
      </w:r>
      <w:hyperlink r:id="rId29" w:history="1">
        <w:r w:rsidRPr="00E6518A">
          <w:rPr>
            <w:rStyle w:val="Hipervnculo"/>
            <w:highlight w:val="white"/>
          </w:rPr>
          <w:t>https://doi.org/b6g67k</w:t>
        </w:r>
      </w:hyperlink>
    </w:p>
    <w:p w14:paraId="025095D4" w14:textId="77777777" w:rsidR="00E6518A" w:rsidRPr="00E6518A" w:rsidRDefault="00E6518A" w:rsidP="00E6518A">
      <w:pPr>
        <w:pStyle w:val="Referencias"/>
        <w:spacing w:line="360" w:lineRule="auto"/>
        <w:rPr>
          <w:highlight w:val="white"/>
        </w:rPr>
      </w:pPr>
      <w:r w:rsidRPr="00E6518A">
        <w:rPr>
          <w:highlight w:val="white"/>
        </w:rPr>
        <w:t>Everson, M. D., &amp; Boat, B. W. (1989). False allegations of sexual abuse by children and adolescents. </w:t>
      </w:r>
      <w:r w:rsidRPr="00E6518A">
        <w:rPr>
          <w:i/>
          <w:highlight w:val="white"/>
        </w:rPr>
        <w:t>Journal of the American Academy of Child &amp; Adolescent Psychiatry, 28</w:t>
      </w:r>
      <w:r w:rsidRPr="00E6518A">
        <w:rPr>
          <w:highlight w:val="white"/>
        </w:rPr>
        <w:t>(2), 230–235. </w:t>
      </w:r>
      <w:hyperlink r:id="rId30" w:history="1">
        <w:r w:rsidRPr="00E6518A">
          <w:rPr>
            <w:rStyle w:val="Hipervnculo"/>
            <w:highlight w:val="white"/>
          </w:rPr>
          <w:t>https://doi.org/10.1097/00004583-198903000-00014</w:t>
        </w:r>
      </w:hyperlink>
    </w:p>
    <w:p w14:paraId="689088B5" w14:textId="77777777" w:rsidR="00E6518A" w:rsidRPr="00E6518A" w:rsidRDefault="00E6518A" w:rsidP="00E6518A">
      <w:pPr>
        <w:pStyle w:val="Referencias"/>
        <w:spacing w:line="360" w:lineRule="auto"/>
        <w:rPr>
          <w:highlight w:val="white"/>
        </w:rPr>
      </w:pPr>
      <w:proofErr w:type="spellStart"/>
      <w:r w:rsidRPr="00E6518A">
        <w:rPr>
          <w:highlight w:val="white"/>
        </w:rPr>
        <w:t>Finkelhor</w:t>
      </w:r>
      <w:proofErr w:type="spellEnd"/>
      <w:r w:rsidRPr="00E6518A">
        <w:rPr>
          <w:highlight w:val="white"/>
        </w:rPr>
        <w:t xml:space="preserve">, D., &amp; Browne, A. (1985). The traumatic impact of child sexual abuse: A conceptualization. </w:t>
      </w:r>
      <w:r w:rsidRPr="00E6518A">
        <w:rPr>
          <w:i/>
          <w:highlight w:val="white"/>
        </w:rPr>
        <w:t>American Journal of Orthopsychiatry, 55</w:t>
      </w:r>
      <w:r w:rsidRPr="00E6518A">
        <w:rPr>
          <w:highlight w:val="white"/>
        </w:rPr>
        <w:t xml:space="preserve">(4), 530–541. </w:t>
      </w:r>
      <w:hyperlink r:id="rId31" w:history="1">
        <w:r w:rsidRPr="00E6518A">
          <w:rPr>
            <w:rStyle w:val="Hipervnculo"/>
            <w:highlight w:val="white"/>
          </w:rPr>
          <w:t>https://doi.org/10.1111/j.1939-0025.1985.tb02703.x</w:t>
        </w:r>
      </w:hyperlink>
    </w:p>
    <w:p w14:paraId="0BD9656C" w14:textId="77777777" w:rsidR="00E6518A" w:rsidRPr="00E6518A" w:rsidRDefault="00E6518A" w:rsidP="00E6518A">
      <w:pPr>
        <w:pStyle w:val="Referencias"/>
        <w:spacing w:line="360" w:lineRule="auto"/>
        <w:rPr>
          <w:highlight w:val="white"/>
        </w:rPr>
      </w:pPr>
      <w:r w:rsidRPr="00E6518A">
        <w:rPr>
          <w:highlight w:val="white"/>
        </w:rPr>
        <w:t>Fontes, L. A. (1993). Disclosures of sexual abuse by Puerto Rican children:</w:t>
      </w:r>
      <w:r w:rsidRPr="00E6518A">
        <w:rPr>
          <w:bCs/>
          <w:highlight w:val="white"/>
        </w:rPr>
        <w:t xml:space="preserve"> </w:t>
      </w:r>
      <w:r w:rsidRPr="00E6518A">
        <w:rPr>
          <w:highlight w:val="white"/>
        </w:rPr>
        <w:t xml:space="preserve">Oppression and cultural barriers. </w:t>
      </w:r>
      <w:r w:rsidRPr="00E6518A">
        <w:rPr>
          <w:i/>
          <w:iCs/>
          <w:highlight w:val="white"/>
        </w:rPr>
        <w:t>Journal of Child Sexual Abuse</w:t>
      </w:r>
      <w:r w:rsidRPr="00E6518A">
        <w:rPr>
          <w:highlight w:val="white"/>
        </w:rPr>
        <w:t xml:space="preserve">, </w:t>
      </w:r>
      <w:r w:rsidRPr="00E6518A">
        <w:rPr>
          <w:i/>
          <w:iCs/>
          <w:highlight w:val="white"/>
        </w:rPr>
        <w:t>2</w:t>
      </w:r>
      <w:r w:rsidRPr="00E6518A">
        <w:rPr>
          <w:highlight w:val="white"/>
        </w:rPr>
        <w:t xml:space="preserve">(1), 21–35. </w:t>
      </w:r>
      <w:hyperlink r:id="rId32" w:history="1">
        <w:r w:rsidRPr="00E6518A">
          <w:rPr>
            <w:rStyle w:val="Hipervnculo"/>
            <w:highlight w:val="white"/>
          </w:rPr>
          <w:t>https://doi.org/dhj39c</w:t>
        </w:r>
      </w:hyperlink>
    </w:p>
    <w:p w14:paraId="2E14864D" w14:textId="77777777" w:rsidR="00E6518A" w:rsidRPr="00E6518A" w:rsidRDefault="00E6518A" w:rsidP="00E6518A">
      <w:pPr>
        <w:pStyle w:val="Referencias"/>
        <w:spacing w:line="360" w:lineRule="auto"/>
        <w:rPr>
          <w:highlight w:val="white"/>
        </w:rPr>
      </w:pPr>
      <w:r w:rsidRPr="00E6518A">
        <w:rPr>
          <w:highlight w:val="white"/>
        </w:rPr>
        <w:t xml:space="preserve">Fontes, L. A., &amp; Plummer, C. (2010). Cultural issues in disclosures of child sexual abuse. </w:t>
      </w:r>
      <w:r w:rsidRPr="00E6518A">
        <w:rPr>
          <w:i/>
          <w:highlight w:val="white"/>
        </w:rPr>
        <w:t>Journal of Child Sexual Abuse</w:t>
      </w:r>
      <w:r w:rsidRPr="00E6518A">
        <w:rPr>
          <w:highlight w:val="white"/>
        </w:rPr>
        <w:t xml:space="preserve">, </w:t>
      </w:r>
      <w:r w:rsidRPr="00E6518A">
        <w:rPr>
          <w:i/>
          <w:highlight w:val="white"/>
        </w:rPr>
        <w:t>19</w:t>
      </w:r>
      <w:r w:rsidRPr="00E6518A">
        <w:rPr>
          <w:highlight w:val="white"/>
        </w:rPr>
        <w:t xml:space="preserve">(5), 491–518. </w:t>
      </w:r>
      <w:hyperlink r:id="rId33" w:history="1">
        <w:r w:rsidRPr="00E6518A">
          <w:rPr>
            <w:rStyle w:val="Hipervnculo"/>
            <w:highlight w:val="white"/>
          </w:rPr>
          <w:t>https://doi.org/10.1080/10538712.2010.512520</w:t>
        </w:r>
      </w:hyperlink>
    </w:p>
    <w:p w14:paraId="6470F5F0" w14:textId="77777777" w:rsidR="00E6518A" w:rsidRPr="00E6518A" w:rsidRDefault="00E6518A" w:rsidP="00E6518A">
      <w:pPr>
        <w:pStyle w:val="Referencias"/>
        <w:spacing w:line="360" w:lineRule="auto"/>
        <w:rPr>
          <w:highlight w:val="white"/>
        </w:rPr>
      </w:pPr>
      <w:r w:rsidRPr="00E6518A">
        <w:rPr>
          <w:highlight w:val="white"/>
        </w:rPr>
        <w:t xml:space="preserve">Furniss, T. (1991). </w:t>
      </w:r>
      <w:r w:rsidRPr="00E6518A">
        <w:rPr>
          <w:i/>
          <w:highlight w:val="white"/>
        </w:rPr>
        <w:t>The multi-professional handbook of child sexual abuse: Integrated management, therapy &amp; legal intervention</w:t>
      </w:r>
      <w:r w:rsidRPr="00E6518A">
        <w:rPr>
          <w:highlight w:val="white"/>
        </w:rPr>
        <w:t>. Routledge.</w:t>
      </w:r>
    </w:p>
    <w:p w14:paraId="5C97DA58" w14:textId="77777777" w:rsidR="00E6518A" w:rsidRPr="00E6518A" w:rsidRDefault="00E6518A" w:rsidP="00E6518A">
      <w:pPr>
        <w:pStyle w:val="Referencias"/>
        <w:spacing w:line="360" w:lineRule="auto"/>
        <w:rPr>
          <w:highlight w:val="white"/>
        </w:rPr>
      </w:pPr>
      <w:proofErr w:type="spellStart"/>
      <w:r w:rsidRPr="00E6518A">
        <w:rPr>
          <w:highlight w:val="white"/>
        </w:rPr>
        <w:lastRenderedPageBreak/>
        <w:t>Hershkowitz</w:t>
      </w:r>
      <w:proofErr w:type="spellEnd"/>
      <w:r w:rsidRPr="00E6518A">
        <w:rPr>
          <w:highlight w:val="white"/>
        </w:rPr>
        <w:t xml:space="preserve">, I., Lanes, O., &amp; Lamb, M. E. (2007). Exploring the disclosure of child sexual abuse with alleged victims and their parents. </w:t>
      </w:r>
      <w:r w:rsidRPr="00E6518A">
        <w:rPr>
          <w:i/>
          <w:highlight w:val="white"/>
        </w:rPr>
        <w:t>Child Abuse &amp; Neglect, 31</w:t>
      </w:r>
      <w:r w:rsidRPr="00E6518A">
        <w:rPr>
          <w:highlight w:val="white"/>
        </w:rPr>
        <w:t xml:space="preserve">(2), 111–123. </w:t>
      </w:r>
      <w:hyperlink r:id="rId34" w:history="1">
        <w:r w:rsidRPr="00E6518A">
          <w:rPr>
            <w:rStyle w:val="Hipervnculo"/>
            <w:highlight w:val="white"/>
          </w:rPr>
          <w:t>https://doi.org/fpgpf7</w:t>
        </w:r>
      </w:hyperlink>
    </w:p>
    <w:p w14:paraId="48A039DC" w14:textId="77777777" w:rsidR="00E6518A" w:rsidRPr="00E6518A" w:rsidRDefault="00E6518A" w:rsidP="00E6518A">
      <w:pPr>
        <w:pStyle w:val="Referencias"/>
        <w:spacing w:line="360" w:lineRule="auto"/>
        <w:rPr>
          <w:highlight w:val="white"/>
        </w:rPr>
      </w:pPr>
      <w:proofErr w:type="spellStart"/>
      <w:r w:rsidRPr="00E6518A">
        <w:rPr>
          <w:highlight w:val="white"/>
        </w:rPr>
        <w:t>Hohendorff</w:t>
      </w:r>
      <w:proofErr w:type="spellEnd"/>
      <w:r w:rsidRPr="00E6518A">
        <w:rPr>
          <w:highlight w:val="white"/>
        </w:rPr>
        <w:t>, J. V., Nelson-</w:t>
      </w:r>
      <w:proofErr w:type="spellStart"/>
      <w:r w:rsidRPr="00E6518A">
        <w:rPr>
          <w:highlight w:val="white"/>
        </w:rPr>
        <w:t>Gardell</w:t>
      </w:r>
      <w:proofErr w:type="spellEnd"/>
      <w:r w:rsidRPr="00E6518A">
        <w:rPr>
          <w:highlight w:val="white"/>
        </w:rPr>
        <w:t xml:space="preserve">, D., </w:t>
      </w:r>
      <w:proofErr w:type="spellStart"/>
      <w:r w:rsidRPr="00E6518A">
        <w:rPr>
          <w:highlight w:val="white"/>
        </w:rPr>
        <w:t>Habigzang</w:t>
      </w:r>
      <w:proofErr w:type="spellEnd"/>
      <w:r w:rsidRPr="00E6518A">
        <w:rPr>
          <w:highlight w:val="white"/>
        </w:rPr>
        <w:t xml:space="preserve">, L. F., &amp; Koller, S. H. (2017). An integrative conceptual model for enhanced understanding of the dynamics of sexual violence against children. In D. D. </w:t>
      </w:r>
      <w:proofErr w:type="spellStart"/>
      <w:r w:rsidRPr="00E6518A">
        <w:rPr>
          <w:highlight w:val="white"/>
        </w:rPr>
        <w:t>Dell’Aglio</w:t>
      </w:r>
      <w:proofErr w:type="spellEnd"/>
      <w:r w:rsidRPr="00E6518A">
        <w:rPr>
          <w:highlight w:val="white"/>
        </w:rPr>
        <w:t xml:space="preserve">, &amp; S. H. Koller (Eds.), </w:t>
      </w:r>
      <w:r w:rsidRPr="00E6518A">
        <w:rPr>
          <w:i/>
          <w:highlight w:val="white"/>
        </w:rPr>
        <w:t>Vulnerable Children and Youth in Brazil: Innovative Approaches from the Psychology of Social Development</w:t>
      </w:r>
      <w:r w:rsidRPr="00E6518A">
        <w:rPr>
          <w:highlight w:val="white"/>
        </w:rPr>
        <w:t xml:space="preserve"> (pp. 77–88). Springer International Publishing.</w:t>
      </w:r>
    </w:p>
    <w:p w14:paraId="45D8893C" w14:textId="77777777" w:rsidR="00E6518A" w:rsidRPr="00E6518A" w:rsidRDefault="00E6518A" w:rsidP="00E6518A">
      <w:pPr>
        <w:pStyle w:val="Referencias"/>
        <w:spacing w:line="360" w:lineRule="auto"/>
        <w:rPr>
          <w:highlight w:val="white"/>
        </w:rPr>
      </w:pPr>
      <w:r w:rsidRPr="00E6518A">
        <w:rPr>
          <w:highlight w:val="white"/>
        </w:rPr>
        <w:t xml:space="preserve">Jeremiah, R. D., Quinn, C. R., Alexis, J M. (2017). Exposing the culture of silence: Inhibiting factors in the prevention, treatment, and mitigation of sexual abuse in the Eastern Caribbean. </w:t>
      </w:r>
      <w:r w:rsidRPr="00E6518A">
        <w:rPr>
          <w:i/>
          <w:iCs/>
          <w:highlight w:val="white"/>
        </w:rPr>
        <w:t>Child Abuse &amp; Neglect, 66</w:t>
      </w:r>
      <w:r w:rsidRPr="00E6518A">
        <w:rPr>
          <w:highlight w:val="white"/>
        </w:rPr>
        <w:t xml:space="preserve">, 53–63. </w:t>
      </w:r>
      <w:hyperlink r:id="rId35" w:history="1">
        <w:r w:rsidRPr="00E6518A">
          <w:rPr>
            <w:rStyle w:val="Hipervnculo"/>
            <w:highlight w:val="white"/>
          </w:rPr>
          <w:t>https://doi.org/gc6x6h</w:t>
        </w:r>
      </w:hyperlink>
    </w:p>
    <w:p w14:paraId="1F15943F" w14:textId="77777777" w:rsidR="00E6518A" w:rsidRPr="00E6518A" w:rsidRDefault="00E6518A" w:rsidP="00E6518A">
      <w:pPr>
        <w:pStyle w:val="Referencias"/>
        <w:spacing w:line="360" w:lineRule="auto"/>
        <w:rPr>
          <w:highlight w:val="white"/>
        </w:rPr>
      </w:pPr>
      <w:r w:rsidRPr="00E6518A">
        <w:rPr>
          <w:highlight w:val="white"/>
        </w:rPr>
        <w:t xml:space="preserve">Katz, C. (2014). “Please believe me; I am the biggest liar that exists”: </w:t>
      </w:r>
      <w:proofErr w:type="spellStart"/>
      <w:r w:rsidRPr="00E6518A">
        <w:rPr>
          <w:highlight w:val="white"/>
        </w:rPr>
        <w:t>Characterising</w:t>
      </w:r>
      <w:proofErr w:type="spellEnd"/>
      <w:r w:rsidRPr="00E6518A">
        <w:rPr>
          <w:highlight w:val="white"/>
        </w:rPr>
        <w:t xml:space="preserve"> children's recantations during forensic investigations. </w:t>
      </w:r>
      <w:r w:rsidRPr="00E6518A">
        <w:rPr>
          <w:i/>
          <w:highlight w:val="white"/>
        </w:rPr>
        <w:t>Children and Youth Services Review, 43</w:t>
      </w:r>
      <w:r w:rsidRPr="00E6518A">
        <w:rPr>
          <w:highlight w:val="white"/>
        </w:rPr>
        <w:t xml:space="preserve">, 160–166. </w:t>
      </w:r>
      <w:hyperlink r:id="rId36" w:history="1">
        <w:r w:rsidRPr="00E6518A">
          <w:rPr>
            <w:rStyle w:val="Hipervnculo"/>
            <w:highlight w:val="white"/>
          </w:rPr>
          <w:t>https://doi.org/f6c3cn</w:t>
        </w:r>
      </w:hyperlink>
    </w:p>
    <w:p w14:paraId="19E4F960" w14:textId="77777777" w:rsidR="00E6518A" w:rsidRPr="00E6518A" w:rsidRDefault="00E6518A" w:rsidP="00E6518A">
      <w:pPr>
        <w:pStyle w:val="Referencias"/>
        <w:spacing w:line="360" w:lineRule="auto"/>
        <w:rPr>
          <w:highlight w:val="white"/>
        </w:rPr>
      </w:pPr>
      <w:r w:rsidRPr="00E6518A">
        <w:rPr>
          <w:highlight w:val="white"/>
        </w:rPr>
        <w:t xml:space="preserve">Lamb, M.E., </w:t>
      </w:r>
      <w:proofErr w:type="spellStart"/>
      <w:r w:rsidRPr="00E6518A">
        <w:rPr>
          <w:highlight w:val="white"/>
        </w:rPr>
        <w:t>Hershkowitz</w:t>
      </w:r>
      <w:proofErr w:type="spellEnd"/>
      <w:r w:rsidRPr="00E6518A">
        <w:rPr>
          <w:highlight w:val="white"/>
        </w:rPr>
        <w:t xml:space="preserve">, I., Orbach, Y., &amp; Esplin, P.W. (2008). </w:t>
      </w:r>
      <w:r w:rsidRPr="00E6518A">
        <w:rPr>
          <w:i/>
          <w:iCs/>
          <w:highlight w:val="white"/>
        </w:rPr>
        <w:t xml:space="preserve">Tell Me What Happened: Structured Investigative Interviews of Child Victims and Witnesses. </w:t>
      </w:r>
      <w:r w:rsidRPr="00E6518A">
        <w:rPr>
          <w:highlight w:val="white"/>
        </w:rPr>
        <w:t>John Wiley &amp; Sons.</w:t>
      </w:r>
    </w:p>
    <w:p w14:paraId="003F8C1B" w14:textId="77777777" w:rsidR="00E6518A" w:rsidRPr="00E6518A" w:rsidRDefault="00E6518A" w:rsidP="00E6518A">
      <w:pPr>
        <w:pStyle w:val="Referencias"/>
        <w:spacing w:line="360" w:lineRule="auto"/>
        <w:rPr>
          <w:highlight w:val="white"/>
        </w:rPr>
      </w:pPr>
      <w:r w:rsidRPr="00E6518A">
        <w:rPr>
          <w:highlight w:val="white"/>
        </w:rPr>
        <w:t xml:space="preserve">London, K. L., Bruck, M., </w:t>
      </w:r>
      <w:proofErr w:type="spellStart"/>
      <w:r w:rsidRPr="00E6518A">
        <w:rPr>
          <w:highlight w:val="white"/>
        </w:rPr>
        <w:t>Ceci</w:t>
      </w:r>
      <w:proofErr w:type="spellEnd"/>
      <w:r w:rsidRPr="00E6518A">
        <w:rPr>
          <w:highlight w:val="white"/>
        </w:rPr>
        <w:t xml:space="preserve">, S. J., &amp; Shuman, D. W. (2005). Disclosure of child sexual abuse: What does the research tell us about the ways that children tell? </w:t>
      </w:r>
      <w:r w:rsidRPr="00E6518A">
        <w:rPr>
          <w:i/>
          <w:highlight w:val="white"/>
        </w:rPr>
        <w:t xml:space="preserve">Psychology, Public </w:t>
      </w:r>
      <w:proofErr w:type="gramStart"/>
      <w:r w:rsidRPr="00E6518A">
        <w:rPr>
          <w:i/>
          <w:highlight w:val="white"/>
        </w:rPr>
        <w:t>Policy</w:t>
      </w:r>
      <w:proofErr w:type="gramEnd"/>
      <w:r w:rsidRPr="00E6518A">
        <w:rPr>
          <w:i/>
          <w:highlight w:val="white"/>
        </w:rPr>
        <w:t xml:space="preserve"> and Law, 11</w:t>
      </w:r>
      <w:r w:rsidRPr="00E6518A">
        <w:rPr>
          <w:highlight w:val="white"/>
        </w:rPr>
        <w:t xml:space="preserve">(1), 194–226. </w:t>
      </w:r>
      <w:hyperlink r:id="rId37" w:history="1">
        <w:r w:rsidRPr="00E6518A">
          <w:rPr>
            <w:rStyle w:val="Hipervnculo"/>
            <w:highlight w:val="white"/>
          </w:rPr>
          <w:t>https://doi.org/10.1037/1076-8971.11.1.194</w:t>
        </w:r>
      </w:hyperlink>
    </w:p>
    <w:p w14:paraId="20EE8C13" w14:textId="77777777" w:rsidR="00E6518A" w:rsidRPr="00E6518A" w:rsidRDefault="00E6518A" w:rsidP="00E6518A">
      <w:pPr>
        <w:pStyle w:val="Referencias"/>
        <w:spacing w:line="360" w:lineRule="auto"/>
        <w:rPr>
          <w:highlight w:val="white"/>
        </w:rPr>
      </w:pPr>
      <w:r w:rsidRPr="00E6518A">
        <w:rPr>
          <w:highlight w:val="white"/>
        </w:rPr>
        <w:t xml:space="preserve">Lyon, T. D., Williams, S., &amp; </w:t>
      </w:r>
      <w:proofErr w:type="spellStart"/>
      <w:r w:rsidRPr="00E6518A">
        <w:rPr>
          <w:highlight w:val="white"/>
        </w:rPr>
        <w:t>Stolzenberg</w:t>
      </w:r>
      <w:proofErr w:type="spellEnd"/>
      <w:r w:rsidRPr="00E6518A">
        <w:rPr>
          <w:highlight w:val="white"/>
        </w:rPr>
        <w:t xml:space="preserve">, S. N. (2020). Understanding expert testimony on child sexual abuse denial after </w:t>
      </w:r>
      <w:r w:rsidRPr="00E6518A">
        <w:rPr>
          <w:i/>
          <w:iCs/>
          <w:highlight w:val="white"/>
        </w:rPr>
        <w:t>New Jersey v. J.L.G.</w:t>
      </w:r>
      <w:r w:rsidRPr="00E6518A">
        <w:rPr>
          <w:highlight w:val="white"/>
        </w:rPr>
        <w:t xml:space="preserve">: Ground truth, disclosure suspicion bias, and disclosure substantiation bias. </w:t>
      </w:r>
      <w:r w:rsidRPr="00E6518A">
        <w:rPr>
          <w:i/>
          <w:iCs/>
          <w:highlight w:val="white"/>
        </w:rPr>
        <w:t>Behavioral Sciences &amp; the Law</w:t>
      </w:r>
      <w:r w:rsidRPr="00E6518A">
        <w:rPr>
          <w:highlight w:val="white"/>
        </w:rPr>
        <w:t xml:space="preserve">, </w:t>
      </w:r>
      <w:r w:rsidRPr="00E6518A">
        <w:rPr>
          <w:i/>
          <w:iCs/>
          <w:highlight w:val="white"/>
        </w:rPr>
        <w:t>38</w:t>
      </w:r>
      <w:r w:rsidRPr="00E6518A">
        <w:rPr>
          <w:highlight w:val="white"/>
        </w:rPr>
        <w:t xml:space="preserve">(6), 630–647. </w:t>
      </w:r>
      <w:hyperlink r:id="rId38" w:history="1">
        <w:r w:rsidRPr="00E6518A">
          <w:rPr>
            <w:rStyle w:val="Hipervnculo"/>
            <w:highlight w:val="white"/>
          </w:rPr>
          <w:t>https://doi.org/gmmg</w:t>
        </w:r>
      </w:hyperlink>
    </w:p>
    <w:p w14:paraId="7A808B71" w14:textId="77777777" w:rsidR="00E6518A" w:rsidRPr="00E6518A" w:rsidRDefault="00E6518A" w:rsidP="00E6518A">
      <w:pPr>
        <w:pStyle w:val="Referencias"/>
        <w:spacing w:line="360" w:lineRule="auto"/>
        <w:rPr>
          <w:highlight w:val="white"/>
        </w:rPr>
      </w:pPr>
      <w:r w:rsidRPr="00E6518A">
        <w:rPr>
          <w:highlight w:val="white"/>
        </w:rPr>
        <w:t xml:space="preserve">Malloy, L. C., Lyon, T. D., &amp; </w:t>
      </w:r>
      <w:proofErr w:type="spellStart"/>
      <w:r w:rsidRPr="00E6518A">
        <w:rPr>
          <w:highlight w:val="white"/>
        </w:rPr>
        <w:t>Quas</w:t>
      </w:r>
      <w:proofErr w:type="spellEnd"/>
      <w:r w:rsidRPr="00E6518A">
        <w:rPr>
          <w:highlight w:val="white"/>
        </w:rPr>
        <w:t>, J. A. (2007). Filial dependency</w:t>
      </w:r>
      <w:r w:rsidRPr="00E6518A">
        <w:rPr>
          <w:i/>
          <w:iCs/>
          <w:highlight w:val="white"/>
        </w:rPr>
        <w:t xml:space="preserve"> </w:t>
      </w:r>
      <w:r w:rsidRPr="00E6518A">
        <w:rPr>
          <w:highlight w:val="white"/>
        </w:rPr>
        <w:t>and recantation of child sexual abuse allegations</w:t>
      </w:r>
      <w:r w:rsidRPr="00E6518A">
        <w:rPr>
          <w:i/>
          <w:highlight w:val="white"/>
        </w:rPr>
        <w:t>. Journal of the</w:t>
      </w:r>
      <w:r w:rsidRPr="00E6518A">
        <w:rPr>
          <w:i/>
          <w:iCs/>
          <w:highlight w:val="white"/>
        </w:rPr>
        <w:t xml:space="preserve"> </w:t>
      </w:r>
      <w:r w:rsidRPr="00E6518A">
        <w:rPr>
          <w:i/>
          <w:highlight w:val="white"/>
        </w:rPr>
        <w:t>American Academy of Child &amp; Adolescent Psychiatry, 46</w:t>
      </w:r>
      <w:r w:rsidRPr="00E6518A">
        <w:rPr>
          <w:highlight w:val="white"/>
        </w:rPr>
        <w:t>(2),</w:t>
      </w:r>
      <w:r w:rsidRPr="00E6518A">
        <w:rPr>
          <w:i/>
          <w:iCs/>
          <w:highlight w:val="white"/>
        </w:rPr>
        <w:t xml:space="preserve"> </w:t>
      </w:r>
      <w:r w:rsidRPr="00E6518A">
        <w:rPr>
          <w:highlight w:val="white"/>
        </w:rPr>
        <w:t xml:space="preserve">162–170. </w:t>
      </w:r>
      <w:hyperlink r:id="rId39" w:history="1">
        <w:r w:rsidRPr="00E6518A">
          <w:rPr>
            <w:rStyle w:val="Hipervnculo"/>
            <w:highlight w:val="white"/>
          </w:rPr>
          <w:t>https://doi.org/dqk3rd</w:t>
        </w:r>
      </w:hyperlink>
    </w:p>
    <w:p w14:paraId="307274C6" w14:textId="77777777" w:rsidR="00E6518A" w:rsidRPr="00E6518A" w:rsidRDefault="00E6518A" w:rsidP="00E6518A">
      <w:pPr>
        <w:pStyle w:val="Referencias"/>
        <w:spacing w:line="360" w:lineRule="auto"/>
        <w:rPr>
          <w:highlight w:val="white"/>
        </w:rPr>
      </w:pPr>
      <w:r w:rsidRPr="00E6518A">
        <w:rPr>
          <w:highlight w:val="white"/>
        </w:rPr>
        <w:t xml:space="preserve">Malloy, L. C., &amp; </w:t>
      </w:r>
      <w:proofErr w:type="spellStart"/>
      <w:r w:rsidRPr="00E6518A">
        <w:rPr>
          <w:highlight w:val="white"/>
        </w:rPr>
        <w:t>Quas</w:t>
      </w:r>
      <w:proofErr w:type="spellEnd"/>
      <w:r w:rsidRPr="00E6518A">
        <w:rPr>
          <w:highlight w:val="white"/>
        </w:rPr>
        <w:t>, J. A. (2009). </w:t>
      </w:r>
      <w:r w:rsidRPr="00E6518A">
        <w:rPr>
          <w:i/>
          <w:highlight w:val="white"/>
        </w:rPr>
        <w:t>Children's suggestibility: Areas of consensus and controversy.</w:t>
      </w:r>
      <w:r w:rsidRPr="00E6518A">
        <w:rPr>
          <w:highlight w:val="white"/>
        </w:rPr>
        <w:t xml:space="preserve"> In K. </w:t>
      </w:r>
      <w:proofErr w:type="spellStart"/>
      <w:r w:rsidRPr="00E6518A">
        <w:rPr>
          <w:highlight w:val="white"/>
        </w:rPr>
        <w:t>Kuehnle</w:t>
      </w:r>
      <w:proofErr w:type="spellEnd"/>
      <w:r w:rsidRPr="00E6518A">
        <w:rPr>
          <w:highlight w:val="white"/>
        </w:rPr>
        <w:t xml:space="preserve"> &amp; M. Connell (Eds.), </w:t>
      </w:r>
      <w:r w:rsidRPr="00E6518A">
        <w:rPr>
          <w:i/>
          <w:highlight w:val="white"/>
        </w:rPr>
        <w:t>The evaluation of child sexual abuse allegations: A comprehensive guide to assessment and testimony</w:t>
      </w:r>
      <w:r w:rsidRPr="00E6518A">
        <w:rPr>
          <w:highlight w:val="white"/>
        </w:rPr>
        <w:t> (pp. 267–297). John Wiley &amp; Sons Inc.</w:t>
      </w:r>
    </w:p>
    <w:p w14:paraId="31F69A2F" w14:textId="77777777" w:rsidR="00E6518A" w:rsidRPr="00E6518A" w:rsidRDefault="00E6518A" w:rsidP="00E6518A">
      <w:pPr>
        <w:pStyle w:val="Referencias"/>
        <w:spacing w:line="360" w:lineRule="auto"/>
        <w:rPr>
          <w:highlight w:val="white"/>
        </w:rPr>
      </w:pPr>
      <w:r w:rsidRPr="00E6518A">
        <w:rPr>
          <w:highlight w:val="white"/>
        </w:rPr>
        <w:lastRenderedPageBreak/>
        <w:t xml:space="preserve">Malloy, L. C., &amp; </w:t>
      </w:r>
      <w:proofErr w:type="spellStart"/>
      <w:r w:rsidRPr="00E6518A">
        <w:rPr>
          <w:highlight w:val="white"/>
        </w:rPr>
        <w:t>Mugno</w:t>
      </w:r>
      <w:proofErr w:type="spellEnd"/>
      <w:r w:rsidRPr="00E6518A">
        <w:rPr>
          <w:highlight w:val="white"/>
        </w:rPr>
        <w:t xml:space="preserve">, A. P. (2016). Children’s recantation of adult wrongdoing: An experimental investigation. </w:t>
      </w:r>
      <w:r w:rsidRPr="00E6518A">
        <w:rPr>
          <w:i/>
          <w:highlight w:val="white"/>
        </w:rPr>
        <w:t>Journal of Experimental Child Psychology, 145</w:t>
      </w:r>
      <w:r w:rsidRPr="00E6518A">
        <w:rPr>
          <w:highlight w:val="white"/>
        </w:rPr>
        <w:t xml:space="preserve">, 11–21. </w:t>
      </w:r>
      <w:hyperlink r:id="rId40" w:history="1">
        <w:r w:rsidRPr="00E6518A">
          <w:rPr>
            <w:rStyle w:val="Hipervnculo"/>
            <w:highlight w:val="white"/>
          </w:rPr>
          <w:t>https://doi.org/10.1016/j.jecp.2015.12.003</w:t>
        </w:r>
      </w:hyperlink>
    </w:p>
    <w:p w14:paraId="5C85D723" w14:textId="77777777" w:rsidR="00E6518A" w:rsidRPr="00E6518A" w:rsidRDefault="00E6518A" w:rsidP="00E6518A">
      <w:pPr>
        <w:pStyle w:val="Referencias"/>
        <w:spacing w:line="360" w:lineRule="auto"/>
        <w:rPr>
          <w:highlight w:val="white"/>
        </w:rPr>
      </w:pPr>
      <w:r w:rsidRPr="00E6518A">
        <w:rPr>
          <w:highlight w:val="white"/>
        </w:rPr>
        <w:t xml:space="preserve">Malloy, L.C., </w:t>
      </w:r>
      <w:proofErr w:type="spellStart"/>
      <w:r w:rsidRPr="00E6518A">
        <w:rPr>
          <w:highlight w:val="white"/>
        </w:rPr>
        <w:t>Mugno</w:t>
      </w:r>
      <w:proofErr w:type="spellEnd"/>
      <w:r w:rsidRPr="00E6518A">
        <w:rPr>
          <w:highlight w:val="white"/>
        </w:rPr>
        <w:t xml:space="preserve">, A.P., </w:t>
      </w:r>
      <w:proofErr w:type="spellStart"/>
      <w:r w:rsidRPr="00E6518A">
        <w:rPr>
          <w:highlight w:val="white"/>
        </w:rPr>
        <w:t>Rivard</w:t>
      </w:r>
      <w:proofErr w:type="spellEnd"/>
      <w:r w:rsidRPr="00E6518A">
        <w:rPr>
          <w:highlight w:val="white"/>
        </w:rPr>
        <w:t xml:space="preserve">, J.R., Lyon, T.D., &amp; </w:t>
      </w:r>
      <w:proofErr w:type="spellStart"/>
      <w:r w:rsidRPr="00E6518A">
        <w:rPr>
          <w:highlight w:val="white"/>
        </w:rPr>
        <w:t>Quas</w:t>
      </w:r>
      <w:proofErr w:type="spellEnd"/>
      <w:r w:rsidRPr="00E6518A">
        <w:rPr>
          <w:highlight w:val="white"/>
        </w:rPr>
        <w:t>, J.A. (2016). Familial influences on recantation in substantiated child sexual abuse cases.</w:t>
      </w:r>
      <w:r w:rsidRPr="00E6518A">
        <w:rPr>
          <w:i/>
          <w:highlight w:val="white"/>
        </w:rPr>
        <w:t xml:space="preserve"> Child Maltreatment, 21</w:t>
      </w:r>
      <w:r w:rsidRPr="00E6518A">
        <w:rPr>
          <w:highlight w:val="white"/>
        </w:rPr>
        <w:t xml:space="preserve">(3), 256–261. </w:t>
      </w:r>
      <w:hyperlink r:id="rId41" w:history="1">
        <w:r w:rsidRPr="00E6518A">
          <w:rPr>
            <w:rStyle w:val="Hipervnculo"/>
            <w:highlight w:val="white"/>
          </w:rPr>
          <w:t>https://doi.org/f826gc</w:t>
        </w:r>
      </w:hyperlink>
    </w:p>
    <w:p w14:paraId="159B404B" w14:textId="77777777" w:rsidR="00E6518A" w:rsidRPr="00E6518A" w:rsidRDefault="00E6518A" w:rsidP="00E6518A">
      <w:pPr>
        <w:pStyle w:val="Referencias"/>
        <w:spacing w:line="360" w:lineRule="auto"/>
        <w:rPr>
          <w:highlight w:val="white"/>
        </w:rPr>
      </w:pPr>
      <w:r w:rsidRPr="00E6518A">
        <w:rPr>
          <w:highlight w:val="white"/>
        </w:rPr>
        <w:t xml:space="preserve">Marx, S. P. (1996). Victim recantation in child sexual abuse cases: The prosecutor's role in prevention. </w:t>
      </w:r>
      <w:r w:rsidRPr="00E6518A">
        <w:rPr>
          <w:i/>
          <w:highlight w:val="white"/>
        </w:rPr>
        <w:t>Child Welfare</w:t>
      </w:r>
      <w:r w:rsidRPr="00E6518A">
        <w:rPr>
          <w:highlight w:val="white"/>
        </w:rPr>
        <w:t xml:space="preserve">, </w:t>
      </w:r>
      <w:r w:rsidRPr="00E6518A">
        <w:rPr>
          <w:i/>
          <w:highlight w:val="white"/>
        </w:rPr>
        <w:t>75</w:t>
      </w:r>
      <w:r w:rsidRPr="00E6518A">
        <w:rPr>
          <w:highlight w:val="white"/>
        </w:rPr>
        <w:t xml:space="preserve">(3), 219–233. </w:t>
      </w:r>
      <w:hyperlink r:id="rId42" w:history="1">
        <w:r w:rsidRPr="00E6518A">
          <w:rPr>
            <w:rStyle w:val="Hipervnculo"/>
            <w:highlight w:val="white"/>
          </w:rPr>
          <w:t>https://doi.org/fkcx58</w:t>
        </w:r>
      </w:hyperlink>
    </w:p>
    <w:p w14:paraId="7FFE4A45" w14:textId="77777777" w:rsidR="00E6518A" w:rsidRPr="00E6518A" w:rsidRDefault="00E6518A" w:rsidP="00E6518A">
      <w:pPr>
        <w:pStyle w:val="Referencias"/>
        <w:spacing w:line="360" w:lineRule="auto"/>
        <w:rPr>
          <w:highlight w:val="white"/>
        </w:rPr>
      </w:pPr>
      <w:r w:rsidRPr="00E6518A">
        <w:rPr>
          <w:highlight w:val="white"/>
        </w:rPr>
        <w:t xml:space="preserve">Miller, Q. C., &amp; London, K. (2020). Forensic implications of delayed reports from child witnesses. In J. </w:t>
      </w:r>
      <w:proofErr w:type="spellStart"/>
      <w:r w:rsidRPr="00E6518A">
        <w:rPr>
          <w:highlight w:val="white"/>
        </w:rPr>
        <w:t>Pozzulo</w:t>
      </w:r>
      <w:proofErr w:type="spellEnd"/>
      <w:r w:rsidRPr="00E6518A">
        <w:rPr>
          <w:highlight w:val="white"/>
        </w:rPr>
        <w:t xml:space="preserve">, E. Pica, &amp; C. Sheahan (Eds.), </w:t>
      </w:r>
      <w:r w:rsidRPr="00E6518A">
        <w:rPr>
          <w:i/>
          <w:iCs/>
          <w:highlight w:val="white"/>
        </w:rPr>
        <w:t xml:space="preserve">Memory and sexual misconduct: Psychological research for criminal justice </w:t>
      </w:r>
      <w:r w:rsidRPr="00E6518A">
        <w:rPr>
          <w:highlight w:val="white"/>
        </w:rPr>
        <w:t>(pp. 100–131). Routledge.</w:t>
      </w:r>
    </w:p>
    <w:p w14:paraId="59742EC7" w14:textId="77777777" w:rsidR="00E6518A" w:rsidRPr="00E6518A" w:rsidRDefault="00E6518A" w:rsidP="00E6518A">
      <w:pPr>
        <w:pStyle w:val="Referencias"/>
        <w:spacing w:line="360" w:lineRule="auto"/>
        <w:rPr>
          <w:highlight w:val="white"/>
        </w:rPr>
      </w:pPr>
      <w:proofErr w:type="spellStart"/>
      <w:r w:rsidRPr="00E6518A">
        <w:rPr>
          <w:highlight w:val="white"/>
        </w:rPr>
        <w:t>McElvaney</w:t>
      </w:r>
      <w:proofErr w:type="spellEnd"/>
      <w:r w:rsidRPr="00E6518A">
        <w:rPr>
          <w:highlight w:val="white"/>
        </w:rPr>
        <w:t>, R., Greene, S., &amp; Hogan, D. (2012). Containing the secret of child sexual abuse</w:t>
      </w:r>
      <w:r w:rsidRPr="00E6518A">
        <w:rPr>
          <w:i/>
          <w:highlight w:val="white"/>
        </w:rPr>
        <w:t>. Journal of Interpersonal Violence, 27</w:t>
      </w:r>
      <w:r w:rsidRPr="00E6518A">
        <w:rPr>
          <w:highlight w:val="white"/>
        </w:rPr>
        <w:t xml:space="preserve">(6), 1155–1175.  </w:t>
      </w:r>
      <w:hyperlink r:id="rId43" w:history="1">
        <w:r w:rsidRPr="00E6518A">
          <w:rPr>
            <w:rStyle w:val="Hipervnculo"/>
            <w:highlight w:val="white"/>
          </w:rPr>
          <w:t>https://doi.org/10.1177/0886260511424503</w:t>
        </w:r>
      </w:hyperlink>
    </w:p>
    <w:p w14:paraId="59336FEB" w14:textId="77777777" w:rsidR="00E6518A" w:rsidRPr="00E6518A" w:rsidRDefault="00E6518A" w:rsidP="00E6518A">
      <w:pPr>
        <w:pStyle w:val="Referencias"/>
        <w:spacing w:line="360" w:lineRule="auto"/>
        <w:rPr>
          <w:highlight w:val="white"/>
        </w:rPr>
      </w:pPr>
      <w:r w:rsidRPr="00E6518A">
        <w:rPr>
          <w:highlight w:val="white"/>
        </w:rPr>
        <w:t xml:space="preserve">McGuire, K., &amp; London, K. (2020). A retrospective approach to examining child abuse disclosure. </w:t>
      </w:r>
      <w:r w:rsidRPr="00E6518A">
        <w:rPr>
          <w:i/>
          <w:iCs/>
          <w:highlight w:val="white"/>
        </w:rPr>
        <w:t xml:space="preserve">Child Abuse &amp; Neglect, 99. </w:t>
      </w:r>
      <w:hyperlink r:id="rId44" w:history="1">
        <w:r w:rsidRPr="00E6518A">
          <w:rPr>
            <w:rStyle w:val="Hipervnculo"/>
            <w:highlight w:val="white"/>
          </w:rPr>
          <w:t>https://doi.org/gmmh</w:t>
        </w:r>
      </w:hyperlink>
    </w:p>
    <w:p w14:paraId="25596C3B" w14:textId="77777777" w:rsidR="00E6518A" w:rsidRPr="00E6518A" w:rsidRDefault="00E6518A" w:rsidP="00E6518A">
      <w:pPr>
        <w:pStyle w:val="Referencias"/>
        <w:spacing w:line="360" w:lineRule="auto"/>
        <w:rPr>
          <w:highlight w:val="white"/>
        </w:rPr>
      </w:pPr>
      <w:proofErr w:type="spellStart"/>
      <w:r w:rsidRPr="00E6518A">
        <w:rPr>
          <w:highlight w:val="white"/>
        </w:rPr>
        <w:t>O’Donohue</w:t>
      </w:r>
      <w:proofErr w:type="spellEnd"/>
      <w:r w:rsidRPr="00E6518A">
        <w:rPr>
          <w:highlight w:val="white"/>
        </w:rPr>
        <w:t xml:space="preserve">, W. T., </w:t>
      </w:r>
      <w:proofErr w:type="spellStart"/>
      <w:r w:rsidRPr="00E6518A">
        <w:rPr>
          <w:highlight w:val="white"/>
        </w:rPr>
        <w:t>Cirlugea</w:t>
      </w:r>
      <w:proofErr w:type="spellEnd"/>
      <w:r w:rsidRPr="00E6518A">
        <w:rPr>
          <w:highlight w:val="white"/>
        </w:rPr>
        <w:t xml:space="preserve">, O., Bennett, N., &amp; </w:t>
      </w:r>
      <w:proofErr w:type="spellStart"/>
      <w:r w:rsidRPr="00E6518A">
        <w:rPr>
          <w:highlight w:val="white"/>
        </w:rPr>
        <w:t>Benuto</w:t>
      </w:r>
      <w:proofErr w:type="spellEnd"/>
      <w:r w:rsidRPr="00E6518A">
        <w:rPr>
          <w:highlight w:val="white"/>
        </w:rPr>
        <w:t xml:space="preserve">, L. T. (2016). Psychological and investigative pathways to untrue allegations of child sexual abuse. In W.T. </w:t>
      </w:r>
      <w:proofErr w:type="spellStart"/>
      <w:r w:rsidRPr="00E6518A">
        <w:rPr>
          <w:highlight w:val="white"/>
        </w:rPr>
        <w:t>O'Donohue</w:t>
      </w:r>
      <w:proofErr w:type="spellEnd"/>
      <w:r w:rsidRPr="00E6518A">
        <w:rPr>
          <w:highlight w:val="white"/>
        </w:rPr>
        <w:t xml:space="preserve"> &amp; M. </w:t>
      </w:r>
      <w:proofErr w:type="spellStart"/>
      <w:r w:rsidRPr="00E6518A">
        <w:rPr>
          <w:highlight w:val="white"/>
        </w:rPr>
        <w:t>Fanetti</w:t>
      </w:r>
      <w:proofErr w:type="spellEnd"/>
      <w:r w:rsidRPr="00E6518A">
        <w:rPr>
          <w:highlight w:val="white"/>
        </w:rPr>
        <w:t xml:space="preserve"> (Eds.), </w:t>
      </w:r>
      <w:r w:rsidRPr="00E6518A">
        <w:rPr>
          <w:i/>
          <w:iCs/>
          <w:highlight w:val="white"/>
        </w:rPr>
        <w:t>Forensic interviews regarding child sexual abuse</w:t>
      </w:r>
      <w:r w:rsidRPr="00E6518A">
        <w:rPr>
          <w:highlight w:val="white"/>
        </w:rPr>
        <w:t xml:space="preserve"> (pp. 257–273). Springer International Publishing.</w:t>
      </w:r>
    </w:p>
    <w:p w14:paraId="7299CF73" w14:textId="77777777" w:rsidR="00E6518A" w:rsidRPr="00E6518A" w:rsidRDefault="00E6518A" w:rsidP="00E6518A">
      <w:pPr>
        <w:pStyle w:val="Referencias"/>
        <w:spacing w:line="360" w:lineRule="auto"/>
        <w:rPr>
          <w:highlight w:val="white"/>
          <w:lang w:val="pt-BR"/>
        </w:rPr>
      </w:pPr>
      <w:proofErr w:type="spellStart"/>
      <w:r w:rsidRPr="00E6518A">
        <w:rPr>
          <w:highlight w:val="white"/>
        </w:rPr>
        <w:t>O'Donohue</w:t>
      </w:r>
      <w:proofErr w:type="spellEnd"/>
      <w:r w:rsidRPr="00E6518A">
        <w:rPr>
          <w:highlight w:val="white"/>
        </w:rPr>
        <w:t xml:space="preserve">, W., Cummings, C., Willis, B. (2018). The Frequency of false allegations of child sexual abuse: A critical review. </w:t>
      </w:r>
      <w:proofErr w:type="spellStart"/>
      <w:r w:rsidRPr="00E6518A">
        <w:rPr>
          <w:i/>
          <w:iCs/>
          <w:highlight w:val="white"/>
          <w:lang w:val="pt-PT"/>
        </w:rPr>
        <w:t>Journal</w:t>
      </w:r>
      <w:proofErr w:type="spellEnd"/>
      <w:r w:rsidRPr="00E6518A">
        <w:rPr>
          <w:i/>
          <w:iCs/>
          <w:highlight w:val="white"/>
          <w:lang w:val="pt-PT"/>
        </w:rPr>
        <w:t xml:space="preserve"> </w:t>
      </w:r>
      <w:proofErr w:type="spellStart"/>
      <w:r w:rsidRPr="00E6518A">
        <w:rPr>
          <w:i/>
          <w:iCs/>
          <w:highlight w:val="white"/>
          <w:lang w:val="pt-PT"/>
        </w:rPr>
        <w:t>of</w:t>
      </w:r>
      <w:proofErr w:type="spellEnd"/>
      <w:r w:rsidRPr="00E6518A">
        <w:rPr>
          <w:i/>
          <w:iCs/>
          <w:highlight w:val="white"/>
          <w:lang w:val="pt-PT"/>
        </w:rPr>
        <w:t xml:space="preserve"> </w:t>
      </w:r>
      <w:proofErr w:type="spellStart"/>
      <w:r w:rsidRPr="00E6518A">
        <w:rPr>
          <w:i/>
          <w:iCs/>
          <w:highlight w:val="white"/>
          <w:lang w:val="pt-PT"/>
        </w:rPr>
        <w:t>Child</w:t>
      </w:r>
      <w:proofErr w:type="spellEnd"/>
      <w:r w:rsidRPr="00E6518A">
        <w:rPr>
          <w:i/>
          <w:iCs/>
          <w:highlight w:val="white"/>
          <w:lang w:val="pt-PT"/>
        </w:rPr>
        <w:t xml:space="preserve"> Sexual Abuse, 27</w:t>
      </w:r>
      <w:r w:rsidRPr="00E6518A">
        <w:rPr>
          <w:highlight w:val="white"/>
          <w:lang w:val="pt-PT"/>
        </w:rPr>
        <w:t xml:space="preserve">(5), 459–475. </w:t>
      </w:r>
      <w:hyperlink r:id="rId45" w:history="1">
        <w:r w:rsidRPr="00E6518A">
          <w:rPr>
            <w:rStyle w:val="Hipervnculo"/>
            <w:highlight w:val="white"/>
            <w:lang w:val="pt-PT"/>
          </w:rPr>
          <w:t>https://doi.org/10.1080/10538712.2018.1477224</w:t>
        </w:r>
      </w:hyperlink>
      <w:r w:rsidRPr="00E6518A">
        <w:rPr>
          <w:highlight w:val="white"/>
          <w:lang w:val="pt-PT"/>
        </w:rPr>
        <w:t>.</w:t>
      </w:r>
    </w:p>
    <w:p w14:paraId="11B85B94" w14:textId="77777777" w:rsidR="00E6518A" w:rsidRPr="00E82494" w:rsidRDefault="00E6518A" w:rsidP="00E6518A">
      <w:pPr>
        <w:pStyle w:val="Referencias"/>
        <w:spacing w:line="360" w:lineRule="auto"/>
        <w:rPr>
          <w:highlight w:val="white"/>
        </w:rPr>
      </w:pPr>
      <w:r w:rsidRPr="00E6518A">
        <w:rPr>
          <w:highlight w:val="white"/>
          <w:lang w:val="pt-PT"/>
        </w:rPr>
        <w:t xml:space="preserve">Organização das Nações Unidas – ONU (1989). </w:t>
      </w:r>
      <w:r w:rsidRPr="00E6518A">
        <w:rPr>
          <w:i/>
          <w:iCs/>
          <w:highlight w:val="white"/>
          <w:lang w:val="pt-PT"/>
        </w:rPr>
        <w:t>Convenção sobre os direitos da criança</w:t>
      </w:r>
      <w:r w:rsidRPr="00E6518A">
        <w:rPr>
          <w:highlight w:val="white"/>
          <w:lang w:val="pt-PT"/>
        </w:rPr>
        <w:t xml:space="preserve">. </w:t>
      </w:r>
      <w:hyperlink r:id="rId46" w:history="1">
        <w:r w:rsidRPr="00E82494">
          <w:rPr>
            <w:rStyle w:val="Hipervnculo"/>
            <w:highlight w:val="white"/>
          </w:rPr>
          <w:t>http://www.unicef.pt/media/2766/unicef_convencao_dos_direitos_da_crianca.pdf</w:t>
        </w:r>
      </w:hyperlink>
    </w:p>
    <w:p w14:paraId="689DE659" w14:textId="77777777" w:rsidR="00E6518A" w:rsidRPr="00E6518A" w:rsidRDefault="00E6518A" w:rsidP="00E6518A">
      <w:pPr>
        <w:pStyle w:val="Referencias"/>
        <w:spacing w:line="360" w:lineRule="auto"/>
        <w:rPr>
          <w:highlight w:val="white"/>
        </w:rPr>
      </w:pPr>
      <w:proofErr w:type="spellStart"/>
      <w:r w:rsidRPr="00E6518A">
        <w:rPr>
          <w:highlight w:val="white"/>
        </w:rPr>
        <w:t>Rieser</w:t>
      </w:r>
      <w:proofErr w:type="spellEnd"/>
      <w:r w:rsidRPr="00E6518A">
        <w:rPr>
          <w:highlight w:val="white"/>
        </w:rPr>
        <w:t xml:space="preserve">, M. (1991). Recantation in child sexual abuse cases. </w:t>
      </w:r>
      <w:r w:rsidRPr="00E6518A">
        <w:rPr>
          <w:i/>
          <w:iCs/>
          <w:highlight w:val="white"/>
        </w:rPr>
        <w:t>Child Welfare, 70</w:t>
      </w:r>
      <w:r w:rsidRPr="00E6518A">
        <w:rPr>
          <w:highlight w:val="white"/>
        </w:rPr>
        <w:t xml:space="preserve">(6), 611–621. </w:t>
      </w:r>
      <w:proofErr w:type="spellStart"/>
      <w:r w:rsidRPr="00E6518A">
        <w:rPr>
          <w:highlight w:val="white"/>
        </w:rPr>
        <w:t>Recuperado</w:t>
      </w:r>
      <w:proofErr w:type="spellEnd"/>
      <w:r w:rsidRPr="00E6518A">
        <w:rPr>
          <w:highlight w:val="white"/>
        </w:rPr>
        <w:t xml:space="preserve"> de: </w:t>
      </w:r>
      <w:hyperlink r:id="rId47" w:history="1">
        <w:r w:rsidRPr="00E6518A">
          <w:rPr>
            <w:rStyle w:val="Hipervnculo"/>
            <w:highlight w:val="white"/>
          </w:rPr>
          <w:t>https://pubmed.ncbi.nlm.nih.gov/1769245</w:t>
        </w:r>
      </w:hyperlink>
    </w:p>
    <w:p w14:paraId="0C9ADD45" w14:textId="4BB30035" w:rsidR="00E6518A" w:rsidRPr="00E6518A" w:rsidRDefault="00E6518A" w:rsidP="00E6518A">
      <w:pPr>
        <w:pStyle w:val="Referencias"/>
        <w:spacing w:line="360" w:lineRule="auto"/>
        <w:rPr>
          <w:highlight w:val="white"/>
        </w:rPr>
      </w:pPr>
      <w:proofErr w:type="spellStart"/>
      <w:r w:rsidRPr="00E6518A">
        <w:rPr>
          <w:highlight w:val="white"/>
        </w:rPr>
        <w:t>Sgroi</w:t>
      </w:r>
      <w:proofErr w:type="spellEnd"/>
      <w:r w:rsidRPr="00E6518A">
        <w:rPr>
          <w:highlight w:val="white"/>
        </w:rPr>
        <w:t xml:space="preserve">, S., </w:t>
      </w:r>
      <w:proofErr w:type="spellStart"/>
      <w:r w:rsidRPr="00E6518A">
        <w:rPr>
          <w:highlight w:val="white"/>
        </w:rPr>
        <w:t>Blick</w:t>
      </w:r>
      <w:proofErr w:type="spellEnd"/>
      <w:r w:rsidRPr="00E6518A">
        <w:rPr>
          <w:highlight w:val="white"/>
        </w:rPr>
        <w:t xml:space="preserve">, L., &amp; Porter, F. (1982). A conceptual framework for child sexual abuse. In S.M. </w:t>
      </w:r>
      <w:proofErr w:type="spellStart"/>
      <w:r w:rsidRPr="00E6518A">
        <w:rPr>
          <w:highlight w:val="white"/>
        </w:rPr>
        <w:t>Sgroi</w:t>
      </w:r>
      <w:proofErr w:type="spellEnd"/>
      <w:r w:rsidRPr="00E6518A">
        <w:rPr>
          <w:highlight w:val="white"/>
        </w:rPr>
        <w:t xml:space="preserve"> (Ed.),</w:t>
      </w:r>
      <w:r w:rsidRPr="00E6518A">
        <w:rPr>
          <w:i/>
          <w:highlight w:val="white"/>
        </w:rPr>
        <w:t xml:space="preserve"> Handbook of clinical intervention in child sexual abuse</w:t>
      </w:r>
      <w:r w:rsidRPr="00E6518A">
        <w:rPr>
          <w:highlight w:val="white"/>
        </w:rPr>
        <w:t xml:space="preserve"> (pp. 9–37). The Free Press.</w:t>
      </w:r>
    </w:p>
    <w:p w14:paraId="2C2759FD" w14:textId="77777777" w:rsidR="00E6518A" w:rsidRPr="00E6518A" w:rsidRDefault="00E6518A" w:rsidP="00E6518A">
      <w:pPr>
        <w:pStyle w:val="Referencias"/>
        <w:spacing w:line="360" w:lineRule="auto"/>
        <w:rPr>
          <w:highlight w:val="white"/>
        </w:rPr>
      </w:pPr>
      <w:proofErr w:type="spellStart"/>
      <w:r w:rsidRPr="00E6518A">
        <w:rPr>
          <w:highlight w:val="white"/>
        </w:rPr>
        <w:t>Shiu</w:t>
      </w:r>
      <w:proofErr w:type="spellEnd"/>
      <w:r w:rsidRPr="00E6518A">
        <w:rPr>
          <w:highlight w:val="white"/>
        </w:rPr>
        <w:t xml:space="preserve">, M. (2009). Unwarranted skepticism: The federal courts’ treatment of child sexual abuse accommodation syndrome. </w:t>
      </w:r>
      <w:r w:rsidRPr="00E6518A">
        <w:rPr>
          <w:i/>
          <w:highlight w:val="white"/>
        </w:rPr>
        <w:t xml:space="preserve">Southern California Interdisciplinary Law </w:t>
      </w:r>
      <w:r w:rsidRPr="00E6518A">
        <w:rPr>
          <w:i/>
          <w:highlight w:val="white"/>
        </w:rPr>
        <w:lastRenderedPageBreak/>
        <w:t>Journal, 18</w:t>
      </w:r>
      <w:r w:rsidRPr="00E6518A">
        <w:rPr>
          <w:highlight w:val="white"/>
        </w:rPr>
        <w:t xml:space="preserve">, 651–678. </w:t>
      </w:r>
      <w:hyperlink r:id="rId48" w:history="1">
        <w:r w:rsidRPr="00E6518A">
          <w:rPr>
            <w:rStyle w:val="Hipervnculo"/>
            <w:highlight w:val="white"/>
          </w:rPr>
          <w:t>http://mylaw2.usc.edu/why/students/orgs/ilj/assets/docs/18-3%20Shiu.pdf</w:t>
        </w:r>
      </w:hyperlink>
    </w:p>
    <w:p w14:paraId="7CB4020B" w14:textId="77777777" w:rsidR="00E6518A" w:rsidRPr="00E6518A" w:rsidRDefault="00E6518A" w:rsidP="00E6518A">
      <w:pPr>
        <w:pStyle w:val="Referencias"/>
        <w:spacing w:line="360" w:lineRule="auto"/>
        <w:rPr>
          <w:highlight w:val="white"/>
        </w:rPr>
      </w:pPr>
      <w:r w:rsidRPr="00E6518A">
        <w:rPr>
          <w:highlight w:val="white"/>
        </w:rPr>
        <w:t xml:space="preserve">Smith, T. D., Raman, S. R., Madigan, S., Waldman, J., &amp; Shouldice, M. (2018). Anogenital findings in 2569 pediatric examinations for sexual abuse/assault. </w:t>
      </w:r>
      <w:r w:rsidRPr="00E6518A">
        <w:rPr>
          <w:i/>
          <w:highlight w:val="white"/>
        </w:rPr>
        <w:t>Journal of Pediatric &amp; Adolescent Gynecology, 31</w:t>
      </w:r>
      <w:r w:rsidRPr="00E6518A">
        <w:rPr>
          <w:highlight w:val="white"/>
        </w:rPr>
        <w:t xml:space="preserve">(2), 79–83. </w:t>
      </w:r>
      <w:hyperlink r:id="rId49" w:history="1">
        <w:r w:rsidRPr="00E6518A">
          <w:rPr>
            <w:rStyle w:val="Hipervnculo"/>
            <w:highlight w:val="white"/>
          </w:rPr>
          <w:t>https://doi.org/gc98df</w:t>
        </w:r>
      </w:hyperlink>
      <w:r w:rsidRPr="00E6518A">
        <w:rPr>
          <w:highlight w:val="white"/>
        </w:rPr>
        <w:t xml:space="preserve">  </w:t>
      </w:r>
    </w:p>
    <w:p w14:paraId="20BF569C" w14:textId="77777777" w:rsidR="00E6518A" w:rsidRPr="00E6518A" w:rsidRDefault="00E6518A" w:rsidP="00E6518A">
      <w:pPr>
        <w:pStyle w:val="Referencias"/>
        <w:spacing w:line="360" w:lineRule="auto"/>
        <w:rPr>
          <w:highlight w:val="white"/>
        </w:rPr>
      </w:pPr>
      <w:r w:rsidRPr="00E6518A">
        <w:rPr>
          <w:highlight w:val="white"/>
        </w:rPr>
        <w:t xml:space="preserve">Sorensen, T., &amp; Snow, B. (1991). How children tell: The process of disclosure of child sexual abuse. </w:t>
      </w:r>
      <w:r w:rsidRPr="00E6518A">
        <w:rPr>
          <w:i/>
          <w:highlight w:val="white"/>
        </w:rPr>
        <w:t>Child Welfare, 70</w:t>
      </w:r>
      <w:r w:rsidRPr="00E6518A">
        <w:rPr>
          <w:highlight w:val="white"/>
        </w:rPr>
        <w:t xml:space="preserve">(1), 3–15. </w:t>
      </w:r>
      <w:hyperlink r:id="rId50" w:history="1">
        <w:r w:rsidRPr="00E6518A">
          <w:rPr>
            <w:rStyle w:val="Hipervnculo"/>
            <w:highlight w:val="white"/>
          </w:rPr>
          <w:t>https://doi.org/10.1016/0145-2134(96)00077-4</w:t>
        </w:r>
      </w:hyperlink>
    </w:p>
    <w:p w14:paraId="676A66D3" w14:textId="77777777" w:rsidR="00E6518A" w:rsidRPr="00E6518A" w:rsidRDefault="00E6518A" w:rsidP="00E6518A">
      <w:pPr>
        <w:pStyle w:val="Referencias"/>
        <w:spacing w:line="360" w:lineRule="auto"/>
        <w:rPr>
          <w:highlight w:val="white"/>
        </w:rPr>
      </w:pPr>
      <w:r w:rsidRPr="00E6518A">
        <w:rPr>
          <w:highlight w:val="white"/>
        </w:rPr>
        <w:t>Staller, K. M., &amp; Nelson-</w:t>
      </w:r>
      <w:proofErr w:type="spellStart"/>
      <w:r w:rsidRPr="00E6518A">
        <w:rPr>
          <w:highlight w:val="white"/>
        </w:rPr>
        <w:t>Gardell</w:t>
      </w:r>
      <w:proofErr w:type="spellEnd"/>
      <w:r w:rsidRPr="00E6518A">
        <w:rPr>
          <w:highlight w:val="white"/>
        </w:rPr>
        <w:t xml:space="preserve">, D. (2005). “A burden in your heart”: Lessons of disclosure from female preadolescent and adolescent survivors of sexual abuse. </w:t>
      </w:r>
      <w:r w:rsidRPr="00E6518A">
        <w:rPr>
          <w:i/>
          <w:highlight w:val="white"/>
        </w:rPr>
        <w:t>Child Abuse &amp; Neglect, 29</w:t>
      </w:r>
      <w:r w:rsidRPr="00E6518A">
        <w:rPr>
          <w:highlight w:val="white"/>
        </w:rPr>
        <w:t xml:space="preserve">, 1415–1432. </w:t>
      </w:r>
      <w:hyperlink r:id="rId51" w:history="1">
        <w:r w:rsidRPr="00E6518A">
          <w:rPr>
            <w:rStyle w:val="Hipervnculo"/>
            <w:highlight w:val="white"/>
          </w:rPr>
          <w:t>https://doi.org/b9vdmw</w:t>
        </w:r>
      </w:hyperlink>
    </w:p>
    <w:p w14:paraId="3C496DF4" w14:textId="4F11E5F9" w:rsidR="00147EED" w:rsidRPr="008502BB" w:rsidRDefault="00E6518A" w:rsidP="00E6518A">
      <w:pPr>
        <w:pStyle w:val="Referencias"/>
        <w:spacing w:line="360" w:lineRule="auto"/>
        <w:rPr>
          <w:highlight w:val="white"/>
        </w:rPr>
      </w:pPr>
      <w:r w:rsidRPr="00E6518A">
        <w:rPr>
          <w:highlight w:val="white"/>
        </w:rPr>
        <w:t xml:space="preserve">Summit, R. C. (1983). The child sexual abuse accommodation syndrome. </w:t>
      </w:r>
      <w:r w:rsidRPr="00E6518A">
        <w:rPr>
          <w:i/>
          <w:highlight w:val="white"/>
          <w:lang w:val="es-ES_tradnl"/>
        </w:rPr>
        <w:t xml:space="preserve">Child Abuse &amp; </w:t>
      </w:r>
      <w:proofErr w:type="spellStart"/>
      <w:r w:rsidRPr="00E6518A">
        <w:rPr>
          <w:i/>
          <w:highlight w:val="white"/>
          <w:lang w:val="es-ES_tradnl"/>
        </w:rPr>
        <w:t>Neglect</w:t>
      </w:r>
      <w:proofErr w:type="spellEnd"/>
      <w:r w:rsidRPr="00E6518A">
        <w:rPr>
          <w:i/>
          <w:highlight w:val="white"/>
          <w:lang w:val="es-ES_tradnl"/>
        </w:rPr>
        <w:t>, 7</w:t>
      </w:r>
      <w:r w:rsidRPr="00E6518A">
        <w:rPr>
          <w:highlight w:val="white"/>
          <w:lang w:val="es-ES_tradnl"/>
        </w:rPr>
        <w:t xml:space="preserve">(2), 177–193. </w:t>
      </w:r>
      <w:hyperlink r:id="rId52" w:history="1">
        <w:r w:rsidRPr="00E6518A">
          <w:rPr>
            <w:rStyle w:val="Hipervnculo"/>
            <w:highlight w:val="white"/>
            <w:lang w:val="pt-BR"/>
          </w:rPr>
          <w:t>https://doi.org/dtvdz3</w:t>
        </w:r>
      </w:hyperlink>
    </w:p>
    <w:p w14:paraId="4E4CDB4E" w14:textId="17FB3E22" w:rsidR="00147EED" w:rsidRPr="00534025" w:rsidRDefault="008D1149" w:rsidP="00534025">
      <w:pPr>
        <w:shd w:val="clear" w:color="auto" w:fill="FFFFFF"/>
        <w:spacing w:line="260" w:lineRule="exact"/>
        <w:jc w:val="right"/>
        <w:rPr>
          <w:i/>
          <w:iCs/>
          <w:sz w:val="20"/>
          <w:szCs w:val="20"/>
          <w:lang w:val="es-AR"/>
        </w:rPr>
      </w:pPr>
      <w:r>
        <w:rPr>
          <w:lang w:val="en-US"/>
        </w:rPr>
        <w:t xml:space="preserve"> </w:t>
      </w:r>
      <w:r w:rsidR="00147EED" w:rsidRPr="00550C74">
        <w:rPr>
          <w:i/>
          <w:iCs/>
          <w:sz w:val="20"/>
          <w:szCs w:val="20"/>
          <w:lang w:val="en-US"/>
        </w:rPr>
        <w:t>Received</w:t>
      </w:r>
      <w:r w:rsidR="00147EED" w:rsidRPr="00340FA8">
        <w:rPr>
          <w:i/>
          <w:iCs/>
          <w:sz w:val="20"/>
          <w:szCs w:val="20"/>
          <w:lang w:val="en-US"/>
        </w:rPr>
        <w:t>:</w:t>
      </w:r>
      <w:r>
        <w:rPr>
          <w:i/>
          <w:iCs/>
          <w:sz w:val="20"/>
          <w:szCs w:val="20"/>
          <w:lang w:val="en-US"/>
        </w:rPr>
        <w:t xml:space="preserve"> </w:t>
      </w:r>
      <w:r w:rsidR="00534025" w:rsidRPr="00534025">
        <w:rPr>
          <w:i/>
          <w:iCs/>
          <w:sz w:val="20"/>
          <w:szCs w:val="20"/>
        </w:rPr>
        <w:t>2021-07-0</w:t>
      </w:r>
      <w:r w:rsidR="00E6518A">
        <w:rPr>
          <w:i/>
          <w:iCs/>
          <w:sz w:val="20"/>
          <w:szCs w:val="20"/>
        </w:rPr>
        <w:t>6</w:t>
      </w:r>
    </w:p>
    <w:p w14:paraId="61C27069" w14:textId="7C448DD9" w:rsidR="00534025" w:rsidRPr="00534025" w:rsidRDefault="00147EED" w:rsidP="00534025">
      <w:pPr>
        <w:shd w:val="clear" w:color="auto" w:fill="FFFFFF"/>
        <w:spacing w:line="260" w:lineRule="exact"/>
        <w:jc w:val="right"/>
        <w:rPr>
          <w:i/>
          <w:iCs/>
          <w:sz w:val="20"/>
          <w:szCs w:val="20"/>
          <w:lang w:val="es-AR"/>
        </w:rPr>
      </w:pPr>
      <w:r w:rsidRPr="00340FA8">
        <w:rPr>
          <w:i/>
          <w:iCs/>
          <w:sz w:val="20"/>
          <w:szCs w:val="20"/>
          <w:lang w:val="en-US"/>
        </w:rPr>
        <w:t>Accepted:</w:t>
      </w:r>
      <w:r w:rsidR="008D1149">
        <w:rPr>
          <w:i/>
          <w:iCs/>
          <w:sz w:val="20"/>
          <w:szCs w:val="20"/>
          <w:lang w:val="en-US"/>
        </w:rPr>
        <w:t xml:space="preserve"> </w:t>
      </w:r>
      <w:r w:rsidR="00534025" w:rsidRPr="00534025">
        <w:rPr>
          <w:i/>
          <w:iCs/>
          <w:sz w:val="20"/>
          <w:szCs w:val="20"/>
        </w:rPr>
        <w:t>202</w:t>
      </w:r>
      <w:r w:rsidR="00E6518A">
        <w:rPr>
          <w:i/>
          <w:iCs/>
          <w:sz w:val="20"/>
          <w:szCs w:val="20"/>
        </w:rPr>
        <w:t>3</w:t>
      </w:r>
      <w:r w:rsidR="00534025" w:rsidRPr="00534025">
        <w:rPr>
          <w:i/>
          <w:iCs/>
          <w:sz w:val="20"/>
          <w:szCs w:val="20"/>
        </w:rPr>
        <w:t>-</w:t>
      </w:r>
      <w:r w:rsidR="00E6518A">
        <w:rPr>
          <w:i/>
          <w:iCs/>
          <w:sz w:val="20"/>
          <w:szCs w:val="20"/>
        </w:rPr>
        <w:t>01</w:t>
      </w:r>
      <w:r w:rsidR="00534025" w:rsidRPr="00534025">
        <w:rPr>
          <w:i/>
          <w:iCs/>
          <w:sz w:val="20"/>
          <w:szCs w:val="20"/>
        </w:rPr>
        <w:t>-</w:t>
      </w:r>
      <w:r w:rsidR="00E6518A">
        <w:rPr>
          <w:i/>
          <w:iCs/>
          <w:sz w:val="20"/>
          <w:szCs w:val="20"/>
        </w:rPr>
        <w:t>02</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53"/>
      <w:headerReference w:type="default" r:id="rId54"/>
      <w:footerReference w:type="even" r:id="rId55"/>
      <w:footerReference w:type="default" r:id="rId5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A50B" w14:textId="77777777" w:rsidR="00112B30" w:rsidRDefault="00112B30" w:rsidP="00C413D4">
      <w:r>
        <w:separator/>
      </w:r>
    </w:p>
  </w:endnote>
  <w:endnote w:type="continuationSeparator" w:id="0">
    <w:p w14:paraId="086EFE18" w14:textId="77777777" w:rsidR="00112B30" w:rsidRDefault="00112B3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6CB2" w14:textId="77777777" w:rsidR="00112B30" w:rsidRDefault="00112B30" w:rsidP="00C413D4">
      <w:r>
        <w:separator/>
      </w:r>
    </w:p>
  </w:footnote>
  <w:footnote w:type="continuationSeparator" w:id="0">
    <w:p w14:paraId="11B1CF0A" w14:textId="77777777" w:rsidR="00112B30" w:rsidRDefault="00112B30" w:rsidP="00C413D4">
      <w:r>
        <w:continuationSeparator/>
      </w:r>
    </w:p>
  </w:footnote>
  <w:footnote w:id="1">
    <w:p w14:paraId="480D2936" w14:textId="47507377" w:rsidR="005E205D" w:rsidRPr="004728AF" w:rsidRDefault="005E205D"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4728AF" w:rsidRPr="004728AF">
        <w:rPr>
          <w:rFonts w:ascii="Times" w:hAnsi="Times"/>
          <w:b/>
          <w:bCs/>
          <w:sz w:val="16"/>
          <w:szCs w:val="16"/>
          <w:lang w:val="en-US"/>
        </w:rPr>
        <w:t xml:space="preserve">Pedro Augusto Dias </w:t>
      </w:r>
      <w:proofErr w:type="spellStart"/>
      <w:r w:rsidR="004728AF" w:rsidRPr="004728AF">
        <w:rPr>
          <w:rFonts w:ascii="Times" w:hAnsi="Times"/>
          <w:b/>
          <w:bCs/>
          <w:sz w:val="16"/>
          <w:szCs w:val="16"/>
          <w:lang w:val="en-US"/>
        </w:rPr>
        <w:t>Baía</w:t>
      </w:r>
      <w:proofErr w:type="spellEnd"/>
      <w:r>
        <w:rPr>
          <w:rFonts w:ascii="Times" w:hAnsi="Times"/>
          <w:b/>
          <w:bCs/>
          <w:sz w:val="16"/>
          <w:szCs w:val="16"/>
          <w:lang w:val="en-US"/>
        </w:rPr>
        <w:t xml:space="preserve">: </w:t>
      </w:r>
      <w:r w:rsidR="00000000">
        <w:fldChar w:fldCharType="begin"/>
      </w:r>
      <w:r w:rsidR="00000000" w:rsidRPr="00E82494">
        <w:rPr>
          <w:lang w:val="en-US"/>
        </w:rPr>
        <w:instrText>HYPERLINK "mailto:padbaia@yahoo.com.br?subject=RIP/IJP:%20A%20Retratação%20Após%20Revelação%20do%20Abuso%20Sexual%20de%20Crianças:%20a%20Perspectiva%20de%20Profissionais"</w:instrText>
      </w:r>
      <w:r w:rsidR="00000000">
        <w:fldChar w:fldCharType="separate"/>
      </w:r>
      <w:r w:rsidR="004728AF">
        <w:rPr>
          <w:rStyle w:val="Hipervnculo"/>
          <w:sz w:val="16"/>
          <w:szCs w:val="16"/>
          <w:lang w:val="en-GB"/>
        </w:rPr>
        <w:t>padbaia@yahoo.com.br</w:t>
      </w:r>
      <w:r w:rsidR="00000000">
        <w:rPr>
          <w:rStyle w:val="Hipervnculo"/>
          <w:sz w:val="16"/>
          <w:szCs w:val="16"/>
          <w:lang w:val="en-GB"/>
        </w:rPr>
        <w:fldChar w:fldCharType="end"/>
      </w:r>
    </w:p>
  </w:footnote>
  <w:footnote w:id="2">
    <w:p w14:paraId="4AC120F1" w14:textId="577D48E3" w:rsidR="003D2892" w:rsidRPr="00DC7034" w:rsidRDefault="003D2892" w:rsidP="003D289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004728AF" w:rsidRPr="004728AF">
        <w:rPr>
          <w:b/>
          <w:bCs/>
          <w:i/>
          <w:iCs/>
          <w:sz w:val="16"/>
          <w:szCs w:val="16"/>
          <w:lang w:val="en-US"/>
        </w:rPr>
        <w:t>Conflicts of Interest</w:t>
      </w:r>
      <w:r w:rsidR="004728AF" w:rsidRPr="004728AF">
        <w:rPr>
          <w:b/>
          <w:bCs/>
          <w:sz w:val="16"/>
          <w:szCs w:val="16"/>
          <w:lang w:val="en-US"/>
        </w:rPr>
        <w:t>:</w:t>
      </w:r>
      <w:r w:rsidR="004728AF"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 w:id="3">
    <w:p w14:paraId="555F8F71" w14:textId="77777777" w:rsidR="004728AF" w:rsidRPr="004728AF" w:rsidRDefault="004728AF" w:rsidP="00F14E9B">
      <w:pPr>
        <w:pStyle w:val="Body"/>
        <w:jc w:val="both"/>
        <w:rPr>
          <w:lang w:val="pt-BR"/>
        </w:rPr>
      </w:pPr>
      <w:r w:rsidRPr="004728AF">
        <w:rPr>
          <w:rFonts w:ascii="Times" w:hAnsi="Times"/>
          <w:b/>
          <w:bCs/>
          <w:sz w:val="20"/>
          <w:szCs w:val="20"/>
          <w:vertAlign w:val="superscript"/>
          <w:lang w:val="en-US"/>
        </w:rPr>
        <w:footnoteRef/>
      </w:r>
      <w:r w:rsidRPr="00E82494">
        <w:rPr>
          <w:rFonts w:ascii="Times" w:hAnsi="Times"/>
          <w:sz w:val="16"/>
          <w:szCs w:val="16"/>
          <w:lang w:val="pt-BR"/>
        </w:rPr>
        <w:t xml:space="preserve"> Neste artigo, utiliza-se o termo “abuso sexual de crianças”, considerando a Convenção sobre os Direitos das Crianças (1989), segundo a qual a criança é “todo o ser humano com menos de dezoito anos, excepto se a lei nacional confere a maioridade mais cedo” (ONU, 1989, p. 08). Portanto, sempre que empregado, o termo engloba vítimas de abuso sexual com faixas etárias inferiores a 18 anos de idade.</w:t>
      </w:r>
    </w:p>
  </w:footnote>
  <w:footnote w:id="4">
    <w:p w14:paraId="4E0EC7E1" w14:textId="77777777" w:rsidR="004728AF" w:rsidRPr="004728AF" w:rsidRDefault="004728AF" w:rsidP="00F14E9B">
      <w:pPr>
        <w:spacing w:line="276" w:lineRule="auto"/>
        <w:jc w:val="both"/>
        <w:rPr>
          <w:lang w:val="pt-BR"/>
        </w:rPr>
      </w:pPr>
      <w:r w:rsidRPr="004728AF">
        <w:rPr>
          <w:b/>
          <w:bCs/>
          <w:color w:val="222222"/>
          <w:sz w:val="20"/>
          <w:szCs w:val="20"/>
          <w:u w:color="222222"/>
          <w:bdr w:val="nil"/>
          <w:vertAlign w:val="superscript"/>
          <w:lang w:val="es-AR"/>
          <w14:textOutline w14:w="0" w14:cap="flat" w14:cmpd="sng" w14:algn="ctr">
            <w14:noFill/>
            <w14:prstDash w14:val="solid"/>
            <w14:bevel/>
          </w14:textOutline>
        </w:rPr>
        <w:footnoteRef/>
      </w:r>
      <w:r w:rsidRPr="004728AF">
        <w:rPr>
          <w:sz w:val="20"/>
          <w:szCs w:val="20"/>
          <w:lang w:val="pt-BR"/>
        </w:rPr>
        <w:t xml:space="preserve"> </w:t>
      </w:r>
      <w:r w:rsidRPr="00E82494">
        <w:rPr>
          <w:rFonts w:ascii="Times" w:hAnsi="Times"/>
          <w:color w:val="000000"/>
          <w:sz w:val="16"/>
          <w:szCs w:val="16"/>
          <w:u w:color="000000"/>
          <w:bdr w:val="nil"/>
          <w:lang w:val="pt-BR"/>
          <w14:textOutline w14:w="0" w14:cap="flat" w14:cmpd="sng" w14:algn="ctr">
            <w14:noFill/>
            <w14:prstDash w14:val="solid"/>
            <w14:bevel/>
          </w14:textOutline>
        </w:rPr>
        <w:t>O processo é conceituado como interações recíprocas e complexas que um ser humano ativo estabelece com pessoas, objetos e símbolos presentes ao longo dos diversos contextos de interação (</w:t>
      </w:r>
      <w:r w:rsidRPr="00E82494">
        <w:rPr>
          <w:rFonts w:ascii="Times" w:hAnsi="Times"/>
          <w:sz w:val="16"/>
          <w:szCs w:val="16"/>
          <w:u w:color="000000"/>
          <w:bdr w:val="nil"/>
          <w:lang w:val="pt-BR"/>
          <w14:textOutline w14:w="0" w14:cap="flat" w14:cmpd="sng" w14:algn="ctr">
            <w14:noFill/>
            <w14:prstDash w14:val="solid"/>
            <w14:bevel/>
          </w14:textOutline>
        </w:rPr>
        <w:t xml:space="preserve">Bronfenbrenner </w:t>
      </w:r>
      <w:r w:rsidRPr="00E82494">
        <w:rPr>
          <w:rFonts w:ascii="Times" w:hAnsi="Times"/>
          <w:color w:val="000000"/>
          <w:sz w:val="16"/>
          <w:szCs w:val="16"/>
          <w:u w:color="000000"/>
          <w:bdr w:val="nil"/>
          <w:lang w:val="pt-BR"/>
          <w14:textOutline w14:w="0" w14:cap="flat" w14:cmpd="sng" w14:algn="ctr">
            <w14:noFill/>
            <w14:prstDash w14:val="solid"/>
            <w14:bevel/>
          </w14:textOutline>
        </w:rPr>
        <w:t xml:space="preserve">&amp; </w:t>
      </w:r>
      <w:r w:rsidRPr="00E82494">
        <w:rPr>
          <w:rFonts w:ascii="Times" w:hAnsi="Times"/>
          <w:sz w:val="16"/>
          <w:szCs w:val="16"/>
          <w:u w:color="000000"/>
          <w:bdr w:val="nil"/>
          <w:lang w:val="pt-BR"/>
          <w14:textOutline w14:w="0" w14:cap="flat" w14:cmpd="sng" w14:algn="ctr">
            <w14:noFill/>
            <w14:prstDash w14:val="solid"/>
            <w14:bevel/>
          </w14:textOutline>
        </w:rPr>
        <w:t>Ceci, 1994; Lordello &amp; Oliveira, 2012).</w:t>
      </w:r>
    </w:p>
    <w:p w14:paraId="2816D6CF" w14:textId="77777777" w:rsidR="004728AF" w:rsidRPr="004728AF" w:rsidRDefault="004728AF" w:rsidP="004728AF">
      <w:pPr>
        <w:rPr>
          <w:rFonts w:eastAsia="Arial"/>
          <w:color w:val="000000"/>
          <w:lang w:val="pt-BR"/>
        </w:rPr>
      </w:pPr>
    </w:p>
  </w:footnote>
  <w:footnote w:id="5">
    <w:p w14:paraId="16E8628D" w14:textId="77777777" w:rsidR="00F14E9B" w:rsidRPr="00F14E9B" w:rsidRDefault="00F14E9B" w:rsidP="00F14E9B">
      <w:pPr>
        <w:jc w:val="both"/>
        <w:rPr>
          <w:lang w:val="pt-BR"/>
        </w:rPr>
      </w:pPr>
      <w:r w:rsidRPr="00F14E9B">
        <w:rPr>
          <w:rStyle w:val="Refdenotaalpie"/>
          <w:sz w:val="20"/>
          <w:szCs w:val="20"/>
        </w:rPr>
        <w:footnoteRef/>
      </w:r>
      <w:r w:rsidRPr="00F14E9B">
        <w:rPr>
          <w:lang w:val="pt-BR"/>
        </w:rPr>
        <w:t xml:space="preserve"> </w:t>
      </w:r>
      <w:r w:rsidRPr="00E82494">
        <w:rPr>
          <w:rFonts w:ascii="Times" w:hAnsi="Times"/>
          <w:color w:val="000000"/>
          <w:sz w:val="16"/>
          <w:szCs w:val="16"/>
          <w:u w:color="000000"/>
          <w:bdr w:val="nil"/>
          <w:lang w:val="pt-BR"/>
          <w14:textOutline w14:w="0" w14:cap="flat" w14:cmpd="sng" w14:algn="ctr">
            <w14:noFill/>
            <w14:prstDash w14:val="solid"/>
            <w14:bevel/>
          </w14:textOutline>
        </w:rPr>
        <w:t xml:space="preserve">No Brasil, correspondem aos membros do Conselho Tutelar, órgão </w:t>
      </w:r>
      <w:r w:rsidRPr="00E82494">
        <w:rPr>
          <w:rFonts w:ascii="Times" w:hAnsi="Times"/>
          <w:sz w:val="16"/>
          <w:szCs w:val="16"/>
          <w:u w:color="000000"/>
          <w:bdr w:val="nil"/>
          <w:lang w:val="pt-BR"/>
          <w14:textOutline w14:w="0" w14:cap="flat" w14:cmpd="sng" w14:algn="ctr">
            <w14:noFill/>
            <w14:prstDash w14:val="solid"/>
            <w14:bevel/>
          </w14:textOutline>
        </w:rPr>
        <w:t>permanente e autônomo, não jurisdicional, encarregado pela sociedade de zelar pelo cumprimento dos direitos da criança e do adolescente. Entre outras funções, podem encaminhar ao Ministério Público notícia de facto que constitua infração administrativa ou penal contra os direitos da criança ou adolescente (Brasil, 1990).</w:t>
      </w:r>
    </w:p>
  </w:footnote>
  <w:footnote w:id="6">
    <w:p w14:paraId="34867EAA" w14:textId="77777777" w:rsidR="00A806CF" w:rsidRPr="00A806CF" w:rsidRDefault="00A806CF" w:rsidP="00A806CF">
      <w:pPr>
        <w:jc w:val="both"/>
        <w:rPr>
          <w:lang w:val="pt-BR"/>
        </w:rPr>
      </w:pPr>
      <w:r w:rsidRPr="000B6A67">
        <w:rPr>
          <w:rStyle w:val="Refdenotaalpie"/>
          <w:sz w:val="20"/>
          <w:szCs w:val="20"/>
        </w:rPr>
        <w:footnoteRef/>
      </w:r>
      <w:r w:rsidRPr="00A806CF">
        <w:rPr>
          <w:lang w:val="pt-BR"/>
        </w:rPr>
        <w:t xml:space="preserve"> </w:t>
      </w:r>
      <w:r w:rsidRPr="000B6A67">
        <w:rPr>
          <w:sz w:val="16"/>
          <w:szCs w:val="16"/>
          <w:lang w:val="pt-BR"/>
        </w:rPr>
        <w:t xml:space="preserve">Neste contexto, a falta de suporte consiste em desacreditar a criança, culpá-la ou expressar-lhe raiva pelo relato, além de não implementar ações de proteção adequadas (Baía et al., 2021; </w:t>
      </w:r>
      <w:proofErr w:type="spellStart"/>
      <w:r w:rsidRPr="000B6A67">
        <w:rPr>
          <w:sz w:val="16"/>
          <w:szCs w:val="16"/>
          <w:lang w:val="pt-BR"/>
        </w:rPr>
        <w:t>Malloy</w:t>
      </w:r>
      <w:proofErr w:type="spellEnd"/>
      <w:r w:rsidRPr="000B6A67">
        <w:rPr>
          <w:sz w:val="16"/>
          <w:szCs w:val="16"/>
          <w:lang w:val="pt-BR"/>
        </w:rPr>
        <w:t xml:space="preserve"> et al., 2007).</w:t>
      </w:r>
      <w:r w:rsidRPr="00A806CF">
        <w:rPr>
          <w:lang w:val="pt-BR"/>
        </w:rPr>
        <w:t xml:space="preserve">   </w:t>
      </w:r>
    </w:p>
    <w:p w14:paraId="26B5FE06" w14:textId="77777777" w:rsidR="00A806CF" w:rsidRPr="00A806CF" w:rsidRDefault="00A806CF" w:rsidP="00A806CF">
      <w:pPr>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51D52CCD" w:rsidR="00E52901" w:rsidRPr="002F4017" w:rsidRDefault="004728AF" w:rsidP="004A7931">
    <w:pPr>
      <w:pStyle w:val="Encabezado"/>
      <w:jc w:val="center"/>
      <w:rPr>
        <w:lang w:val="pt-BR"/>
      </w:rPr>
    </w:pPr>
    <w:r w:rsidRPr="004728AF">
      <w:rPr>
        <w:rFonts w:ascii="Times" w:hAnsi="Times" w:cs="Times New Roman (Body CS)"/>
        <w:b/>
        <w:bCs/>
        <w:smallCaps/>
        <w:sz w:val="20"/>
        <w:szCs w:val="20"/>
        <w:lang w:val="pt-BR"/>
      </w:rPr>
      <w:t xml:space="preserve">Baía, Alberto, &amp; </w:t>
    </w:r>
    <w:proofErr w:type="spellStart"/>
    <w:r w:rsidRPr="004728AF">
      <w:rPr>
        <w:rFonts w:ascii="Times" w:hAnsi="Times" w:cs="Times New Roman (Body CS)"/>
        <w:b/>
        <w:bCs/>
        <w:smallCaps/>
        <w:sz w:val="20"/>
        <w:szCs w:val="20"/>
        <w:lang w:val="pt-BR"/>
      </w:rPr>
      <w:t>Dell'Aglio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59DD9E90" w:rsidR="00E52901" w:rsidRDefault="00FF2D2D" w:rsidP="00C413D4">
    <w:pPr>
      <w:pStyle w:val="Encabezado"/>
      <w:jc w:val="right"/>
      <w:rPr>
        <w:rFonts w:ascii="Times" w:hAnsi="Times"/>
        <w:i/>
        <w:sz w:val="18"/>
        <w:szCs w:val="18"/>
        <w:lang w:val="es-ES"/>
      </w:rPr>
    </w:pPr>
    <w:r>
      <w:rPr>
        <w:rFonts w:ascii="Times" w:hAnsi="Times"/>
        <w:i/>
        <w:sz w:val="18"/>
        <w:szCs w:val="18"/>
        <w:lang w:val="es-ES"/>
      </w:rPr>
      <w:t>20</w:t>
    </w:r>
    <w:r w:rsidR="00D914D4">
      <w:rPr>
        <w:rFonts w:ascii="Times" w:hAnsi="Times"/>
        <w:i/>
        <w:sz w:val="18"/>
        <w:szCs w:val="18"/>
        <w:lang w:val="es-ES"/>
      </w:rPr>
      <w:t>23</w:t>
    </w:r>
    <w:r>
      <w:rPr>
        <w:rFonts w:ascii="Times" w:hAnsi="Times"/>
        <w:i/>
        <w:sz w:val="18"/>
        <w:szCs w:val="18"/>
        <w:lang w:val="es-ES"/>
      </w:rPr>
      <w:t>, Vol., 5</w:t>
    </w:r>
    <w:r w:rsidR="00D914D4">
      <w:rPr>
        <w:rFonts w:ascii="Times" w:hAnsi="Times"/>
        <w:i/>
        <w:sz w:val="18"/>
        <w:szCs w:val="18"/>
        <w:lang w:val="es-ES"/>
      </w:rPr>
      <w:t>7</w:t>
    </w:r>
    <w:r>
      <w:rPr>
        <w:rFonts w:ascii="Times" w:hAnsi="Times"/>
        <w:i/>
        <w:sz w:val="18"/>
        <w:szCs w:val="18"/>
        <w:lang w:val="es-ES"/>
      </w:rPr>
      <w:t xml:space="preserve">, No. </w:t>
    </w:r>
    <w:r w:rsidR="00D914D4">
      <w:rPr>
        <w:rFonts w:ascii="Times" w:hAnsi="Times"/>
        <w:i/>
        <w:sz w:val="18"/>
        <w:szCs w:val="18"/>
        <w:lang w:val="es-ES"/>
      </w:rPr>
      <w:t>1</w:t>
    </w:r>
    <w:r>
      <w:rPr>
        <w:rFonts w:ascii="Times" w:hAnsi="Times"/>
        <w:i/>
        <w:sz w:val="18"/>
        <w:szCs w:val="18"/>
        <w:lang w:val="es-ES"/>
      </w:rPr>
      <w:t>, e</w:t>
    </w:r>
    <w:r w:rsidR="00D806AD">
      <w:rPr>
        <w:rFonts w:ascii="Times" w:hAnsi="Times"/>
        <w:i/>
        <w:sz w:val="18"/>
        <w:szCs w:val="18"/>
        <w:lang w:val="es-ES"/>
      </w:rPr>
      <w:t>1</w:t>
    </w:r>
    <w:r w:rsidR="0011572C">
      <w:rPr>
        <w:rFonts w:ascii="Times" w:hAnsi="Times"/>
        <w:i/>
        <w:sz w:val="18"/>
        <w:szCs w:val="18"/>
        <w:lang w:val="es-ES"/>
      </w:rPr>
      <w:t>6</w:t>
    </w:r>
    <w:r w:rsidR="00AB44A9">
      <w:rPr>
        <w:rFonts w:ascii="Times" w:hAnsi="Times"/>
        <w:i/>
        <w:sz w:val="18"/>
        <w:szCs w:val="18"/>
        <w:lang w:val="es-ES"/>
      </w:rPr>
      <w:t>74</w:t>
    </w:r>
  </w:p>
  <w:p w14:paraId="1AAB67EA" w14:textId="77777777" w:rsidR="00E52901" w:rsidRPr="00FB7013" w:rsidRDefault="00E52901">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8"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7"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5A8156CE"/>
    <w:multiLevelType w:val="hybridMultilevel"/>
    <w:tmpl w:val="13E20308"/>
    <w:lvl w:ilvl="0" w:tplc="C95EB250">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1"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4"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8"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94850963">
    <w:abstractNumId w:val="31"/>
  </w:num>
  <w:num w:numId="2" w16cid:durableId="850333769">
    <w:abstractNumId w:val="49"/>
  </w:num>
  <w:num w:numId="3" w16cid:durableId="434063218">
    <w:abstractNumId w:val="16"/>
  </w:num>
  <w:num w:numId="4" w16cid:durableId="1288049608">
    <w:abstractNumId w:val="42"/>
  </w:num>
  <w:num w:numId="5" w16cid:durableId="1802453486">
    <w:abstractNumId w:val="50"/>
  </w:num>
  <w:num w:numId="6" w16cid:durableId="218172433">
    <w:abstractNumId w:val="43"/>
  </w:num>
  <w:num w:numId="7" w16cid:durableId="1603299634">
    <w:abstractNumId w:val="35"/>
  </w:num>
  <w:num w:numId="8" w16cid:durableId="1055853846">
    <w:abstractNumId w:val="38"/>
  </w:num>
  <w:num w:numId="9" w16cid:durableId="219830691">
    <w:abstractNumId w:val="45"/>
  </w:num>
  <w:num w:numId="10" w16cid:durableId="1735423565">
    <w:abstractNumId w:val="34"/>
  </w:num>
  <w:num w:numId="11" w16cid:durableId="1207330386">
    <w:abstractNumId w:val="28"/>
  </w:num>
  <w:num w:numId="12" w16cid:durableId="1392583847">
    <w:abstractNumId w:val="14"/>
  </w:num>
  <w:num w:numId="13" w16cid:durableId="470027613">
    <w:abstractNumId w:val="19"/>
  </w:num>
  <w:num w:numId="14" w16cid:durableId="1905680547">
    <w:abstractNumId w:val="21"/>
  </w:num>
  <w:num w:numId="15" w16cid:durableId="1978996844">
    <w:abstractNumId w:val="27"/>
  </w:num>
  <w:num w:numId="16" w16cid:durableId="1475176215">
    <w:abstractNumId w:val="47"/>
  </w:num>
  <w:num w:numId="17" w16cid:durableId="1884167908">
    <w:abstractNumId w:val="23"/>
  </w:num>
  <w:num w:numId="18" w16cid:durableId="1205218886">
    <w:abstractNumId w:val="15"/>
  </w:num>
  <w:num w:numId="19" w16cid:durableId="2013752358">
    <w:abstractNumId w:val="36"/>
  </w:num>
  <w:num w:numId="20" w16cid:durableId="1735347715">
    <w:abstractNumId w:val="11"/>
  </w:num>
  <w:num w:numId="21" w16cid:durableId="507671253">
    <w:abstractNumId w:val="13"/>
  </w:num>
  <w:num w:numId="22" w16cid:durableId="933780350">
    <w:abstractNumId w:val="29"/>
  </w:num>
  <w:num w:numId="23" w16cid:durableId="1840390940">
    <w:abstractNumId w:val="37"/>
  </w:num>
  <w:num w:numId="24" w16cid:durableId="264271784">
    <w:abstractNumId w:val="4"/>
  </w:num>
  <w:num w:numId="25" w16cid:durableId="1123428559">
    <w:abstractNumId w:val="5"/>
  </w:num>
  <w:num w:numId="26" w16cid:durableId="1318192200">
    <w:abstractNumId w:val="6"/>
  </w:num>
  <w:num w:numId="27" w16cid:durableId="1913924175">
    <w:abstractNumId w:val="7"/>
  </w:num>
  <w:num w:numId="28" w16cid:durableId="1044908561">
    <w:abstractNumId w:val="9"/>
  </w:num>
  <w:num w:numId="29" w16cid:durableId="313265215">
    <w:abstractNumId w:val="0"/>
  </w:num>
  <w:num w:numId="30" w16cid:durableId="1762919212">
    <w:abstractNumId w:val="1"/>
  </w:num>
  <w:num w:numId="31" w16cid:durableId="1570771654">
    <w:abstractNumId w:val="2"/>
  </w:num>
  <w:num w:numId="32" w16cid:durableId="720862429">
    <w:abstractNumId w:val="3"/>
  </w:num>
  <w:num w:numId="33" w16cid:durableId="1427270386">
    <w:abstractNumId w:val="8"/>
  </w:num>
  <w:num w:numId="34" w16cid:durableId="1271425521">
    <w:abstractNumId w:val="18"/>
  </w:num>
  <w:num w:numId="35" w16cid:durableId="618339672">
    <w:abstractNumId w:val="24"/>
  </w:num>
  <w:num w:numId="36" w16cid:durableId="201328734">
    <w:abstractNumId w:val="22"/>
  </w:num>
  <w:num w:numId="37" w16cid:durableId="690955138">
    <w:abstractNumId w:val="44"/>
  </w:num>
  <w:num w:numId="38" w16cid:durableId="1599631991">
    <w:abstractNumId w:val="25"/>
  </w:num>
  <w:num w:numId="39" w16cid:durableId="121121222">
    <w:abstractNumId w:val="20"/>
  </w:num>
  <w:num w:numId="40" w16cid:durableId="1991134976">
    <w:abstractNumId w:val="32"/>
  </w:num>
  <w:num w:numId="41" w16cid:durableId="1959216776">
    <w:abstractNumId w:val="17"/>
  </w:num>
  <w:num w:numId="42" w16cid:durableId="822893909">
    <w:abstractNumId w:val="46"/>
  </w:num>
  <w:num w:numId="43" w16cid:durableId="1396470281">
    <w:abstractNumId w:val="33"/>
  </w:num>
  <w:num w:numId="44" w16cid:durableId="1924946536">
    <w:abstractNumId w:val="40"/>
  </w:num>
  <w:num w:numId="45" w16cid:durableId="437525881">
    <w:abstractNumId w:val="30"/>
  </w:num>
  <w:num w:numId="46" w16cid:durableId="1309478728">
    <w:abstractNumId w:val="41"/>
  </w:num>
  <w:num w:numId="47" w16cid:durableId="1067067029">
    <w:abstractNumId w:val="48"/>
  </w:num>
  <w:num w:numId="48" w16cid:durableId="1238900860">
    <w:abstractNumId w:val="10"/>
  </w:num>
  <w:num w:numId="49" w16cid:durableId="944272143">
    <w:abstractNumId w:val="12"/>
  </w:num>
  <w:num w:numId="50" w16cid:durableId="1876697296">
    <w:abstractNumId w:val="39"/>
  </w:num>
  <w:num w:numId="51" w16cid:durableId="125397574">
    <w:abstractNumId w:val="26"/>
  </w:num>
  <w:num w:numId="52" w16cid:durableId="68212746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15BB"/>
    <w:rsid w:val="0007205A"/>
    <w:rsid w:val="000733FA"/>
    <w:rsid w:val="00075F71"/>
    <w:rsid w:val="000815D5"/>
    <w:rsid w:val="000928CA"/>
    <w:rsid w:val="00094513"/>
    <w:rsid w:val="000A323A"/>
    <w:rsid w:val="000A6ECE"/>
    <w:rsid w:val="000B01FD"/>
    <w:rsid w:val="000B1FE0"/>
    <w:rsid w:val="000B32F6"/>
    <w:rsid w:val="000B6A67"/>
    <w:rsid w:val="000D111A"/>
    <w:rsid w:val="000D6953"/>
    <w:rsid w:val="000E759A"/>
    <w:rsid w:val="000E7B98"/>
    <w:rsid w:val="000F56BA"/>
    <w:rsid w:val="001001E7"/>
    <w:rsid w:val="001006DE"/>
    <w:rsid w:val="00105D4F"/>
    <w:rsid w:val="00106780"/>
    <w:rsid w:val="001127D1"/>
    <w:rsid w:val="00112B30"/>
    <w:rsid w:val="0011572C"/>
    <w:rsid w:val="00122236"/>
    <w:rsid w:val="001253E7"/>
    <w:rsid w:val="00136F83"/>
    <w:rsid w:val="001407B5"/>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251"/>
    <w:rsid w:val="001E4CD1"/>
    <w:rsid w:val="001F67B6"/>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B307F"/>
    <w:rsid w:val="002B7F65"/>
    <w:rsid w:val="002C0CD6"/>
    <w:rsid w:val="002C1EB1"/>
    <w:rsid w:val="002C60F5"/>
    <w:rsid w:val="002C7DF0"/>
    <w:rsid w:val="002D0207"/>
    <w:rsid w:val="002D0771"/>
    <w:rsid w:val="002D1053"/>
    <w:rsid w:val="002D6B30"/>
    <w:rsid w:val="002E2011"/>
    <w:rsid w:val="002E2799"/>
    <w:rsid w:val="002E5EA3"/>
    <w:rsid w:val="002E6BEF"/>
    <w:rsid w:val="002F070D"/>
    <w:rsid w:val="002F0CE9"/>
    <w:rsid w:val="002F257B"/>
    <w:rsid w:val="002F38C8"/>
    <w:rsid w:val="002F3E37"/>
    <w:rsid w:val="002F4017"/>
    <w:rsid w:val="00302C5C"/>
    <w:rsid w:val="003128A7"/>
    <w:rsid w:val="00315976"/>
    <w:rsid w:val="003164A5"/>
    <w:rsid w:val="0032193D"/>
    <w:rsid w:val="00322155"/>
    <w:rsid w:val="00333677"/>
    <w:rsid w:val="00340FA8"/>
    <w:rsid w:val="0034107D"/>
    <w:rsid w:val="00342F6D"/>
    <w:rsid w:val="00351BE1"/>
    <w:rsid w:val="00354AA6"/>
    <w:rsid w:val="003664A7"/>
    <w:rsid w:val="00366950"/>
    <w:rsid w:val="0037284D"/>
    <w:rsid w:val="00384F7F"/>
    <w:rsid w:val="003858F9"/>
    <w:rsid w:val="0039161E"/>
    <w:rsid w:val="00393ECF"/>
    <w:rsid w:val="003A1180"/>
    <w:rsid w:val="003A4251"/>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4025"/>
    <w:rsid w:val="0053418A"/>
    <w:rsid w:val="005349DF"/>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0C58"/>
    <w:rsid w:val="005C5113"/>
    <w:rsid w:val="005C627F"/>
    <w:rsid w:val="005C68DE"/>
    <w:rsid w:val="005D0E10"/>
    <w:rsid w:val="005D3031"/>
    <w:rsid w:val="005E00FF"/>
    <w:rsid w:val="005E205D"/>
    <w:rsid w:val="005E3D7A"/>
    <w:rsid w:val="005F2766"/>
    <w:rsid w:val="005F5A5D"/>
    <w:rsid w:val="0061019C"/>
    <w:rsid w:val="006111A2"/>
    <w:rsid w:val="00614EDE"/>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1236"/>
    <w:rsid w:val="006E4870"/>
    <w:rsid w:val="006F51A0"/>
    <w:rsid w:val="006F5633"/>
    <w:rsid w:val="006F7E7E"/>
    <w:rsid w:val="00705B8A"/>
    <w:rsid w:val="00705EF6"/>
    <w:rsid w:val="00713A40"/>
    <w:rsid w:val="00715EFB"/>
    <w:rsid w:val="00720420"/>
    <w:rsid w:val="00724F5C"/>
    <w:rsid w:val="00727BD0"/>
    <w:rsid w:val="00732778"/>
    <w:rsid w:val="00732EF8"/>
    <w:rsid w:val="00734F22"/>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7288"/>
    <w:rsid w:val="008502BB"/>
    <w:rsid w:val="00861A27"/>
    <w:rsid w:val="00861D2F"/>
    <w:rsid w:val="00872EFD"/>
    <w:rsid w:val="00873223"/>
    <w:rsid w:val="00876D90"/>
    <w:rsid w:val="00886B3C"/>
    <w:rsid w:val="00887460"/>
    <w:rsid w:val="00891C98"/>
    <w:rsid w:val="00897638"/>
    <w:rsid w:val="008B0F10"/>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0996"/>
    <w:rsid w:val="00943B5C"/>
    <w:rsid w:val="009442DF"/>
    <w:rsid w:val="009446F0"/>
    <w:rsid w:val="00950BD4"/>
    <w:rsid w:val="0095579B"/>
    <w:rsid w:val="00964CC6"/>
    <w:rsid w:val="00967D26"/>
    <w:rsid w:val="009703F5"/>
    <w:rsid w:val="00986BF6"/>
    <w:rsid w:val="00990AFE"/>
    <w:rsid w:val="00993315"/>
    <w:rsid w:val="009A22B9"/>
    <w:rsid w:val="009B3E5E"/>
    <w:rsid w:val="009B4D60"/>
    <w:rsid w:val="009C307F"/>
    <w:rsid w:val="009C43B4"/>
    <w:rsid w:val="009C4CF0"/>
    <w:rsid w:val="009D2551"/>
    <w:rsid w:val="009D56DE"/>
    <w:rsid w:val="009F3E43"/>
    <w:rsid w:val="009F58C4"/>
    <w:rsid w:val="009F7B75"/>
    <w:rsid w:val="00A00535"/>
    <w:rsid w:val="00A03605"/>
    <w:rsid w:val="00A03E89"/>
    <w:rsid w:val="00A07982"/>
    <w:rsid w:val="00A114D6"/>
    <w:rsid w:val="00A12C89"/>
    <w:rsid w:val="00A13797"/>
    <w:rsid w:val="00A234ED"/>
    <w:rsid w:val="00A36091"/>
    <w:rsid w:val="00A411A9"/>
    <w:rsid w:val="00A457D0"/>
    <w:rsid w:val="00A516C7"/>
    <w:rsid w:val="00A61B22"/>
    <w:rsid w:val="00A64E60"/>
    <w:rsid w:val="00A72239"/>
    <w:rsid w:val="00A75E5A"/>
    <w:rsid w:val="00A76B39"/>
    <w:rsid w:val="00A7762D"/>
    <w:rsid w:val="00A80283"/>
    <w:rsid w:val="00A806CF"/>
    <w:rsid w:val="00A95630"/>
    <w:rsid w:val="00A97C99"/>
    <w:rsid w:val="00AA735D"/>
    <w:rsid w:val="00AB1AC5"/>
    <w:rsid w:val="00AB277A"/>
    <w:rsid w:val="00AB3BF6"/>
    <w:rsid w:val="00AB44A9"/>
    <w:rsid w:val="00AB45ED"/>
    <w:rsid w:val="00AB5679"/>
    <w:rsid w:val="00AC590B"/>
    <w:rsid w:val="00AC7994"/>
    <w:rsid w:val="00AD0AE0"/>
    <w:rsid w:val="00AD3238"/>
    <w:rsid w:val="00AD374A"/>
    <w:rsid w:val="00AE2924"/>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26E5"/>
    <w:rsid w:val="00B44BB1"/>
    <w:rsid w:val="00B461DC"/>
    <w:rsid w:val="00B511FB"/>
    <w:rsid w:val="00B546B7"/>
    <w:rsid w:val="00B56D7D"/>
    <w:rsid w:val="00B60E75"/>
    <w:rsid w:val="00B628F1"/>
    <w:rsid w:val="00B6329B"/>
    <w:rsid w:val="00B63E3C"/>
    <w:rsid w:val="00B6522A"/>
    <w:rsid w:val="00B67695"/>
    <w:rsid w:val="00B73881"/>
    <w:rsid w:val="00B74207"/>
    <w:rsid w:val="00B74BFD"/>
    <w:rsid w:val="00B74D71"/>
    <w:rsid w:val="00B75E4E"/>
    <w:rsid w:val="00B75E90"/>
    <w:rsid w:val="00B775DB"/>
    <w:rsid w:val="00B821DD"/>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6D6D"/>
    <w:rsid w:val="00C14765"/>
    <w:rsid w:val="00C1601D"/>
    <w:rsid w:val="00C2267F"/>
    <w:rsid w:val="00C413D4"/>
    <w:rsid w:val="00C51C25"/>
    <w:rsid w:val="00C559E8"/>
    <w:rsid w:val="00C55B07"/>
    <w:rsid w:val="00C57A71"/>
    <w:rsid w:val="00C86D23"/>
    <w:rsid w:val="00C92787"/>
    <w:rsid w:val="00CA4236"/>
    <w:rsid w:val="00CA4688"/>
    <w:rsid w:val="00CB3863"/>
    <w:rsid w:val="00CB62C5"/>
    <w:rsid w:val="00CC05DE"/>
    <w:rsid w:val="00CC446C"/>
    <w:rsid w:val="00CC4527"/>
    <w:rsid w:val="00CC7D22"/>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6159"/>
    <w:rsid w:val="00DD7D52"/>
    <w:rsid w:val="00DE1119"/>
    <w:rsid w:val="00DE6465"/>
    <w:rsid w:val="00DF29D2"/>
    <w:rsid w:val="00DF37F2"/>
    <w:rsid w:val="00DF799A"/>
    <w:rsid w:val="00E04437"/>
    <w:rsid w:val="00E07DEA"/>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70B5F"/>
    <w:rsid w:val="00E72E8C"/>
    <w:rsid w:val="00E7327E"/>
    <w:rsid w:val="00E74675"/>
    <w:rsid w:val="00E76958"/>
    <w:rsid w:val="00E7723C"/>
    <w:rsid w:val="00E81056"/>
    <w:rsid w:val="00E82494"/>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0FEB"/>
    <w:rsid w:val="00F4526C"/>
    <w:rsid w:val="00F51115"/>
    <w:rsid w:val="00F65680"/>
    <w:rsid w:val="00F70FFE"/>
    <w:rsid w:val="00F7184A"/>
    <w:rsid w:val="00F824D6"/>
    <w:rsid w:val="00F92967"/>
    <w:rsid w:val="00FA7CFE"/>
    <w:rsid w:val="00FB1095"/>
    <w:rsid w:val="00FB1587"/>
    <w:rsid w:val="00FB7013"/>
    <w:rsid w:val="00FC099C"/>
    <w:rsid w:val="00FC66DA"/>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E6518A"/>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E6518A"/>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51"/>
      </w:numPr>
    </w:pPr>
  </w:style>
  <w:style w:type="character" w:customStyle="1" w:styleId="WW8Num15z0">
    <w:name w:val="WW8Num15z0"/>
    <w:rsid w:val="00A8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149-6450" TargetMode="External"/><Relationship Id="rId18" Type="http://schemas.openxmlformats.org/officeDocument/2006/relationships/hyperlink" Target="https://doi.org/gddz6g" TargetMode="External"/><Relationship Id="rId26" Type="http://schemas.openxmlformats.org/officeDocument/2006/relationships/hyperlink" Target="https://doi.org/10.1080/10538712.2018.1477216" TargetMode="External"/><Relationship Id="rId39" Type="http://schemas.openxmlformats.org/officeDocument/2006/relationships/hyperlink" Target="https://doi.org/dqk3rd" TargetMode="External"/><Relationship Id="rId21" Type="http://schemas.openxmlformats.org/officeDocument/2006/relationships/hyperlink" Target="https://doi.org/gmmb" TargetMode="External"/><Relationship Id="rId34" Type="http://schemas.openxmlformats.org/officeDocument/2006/relationships/hyperlink" Target="https://doi.org/fpgpf7" TargetMode="External"/><Relationship Id="rId42" Type="http://schemas.openxmlformats.org/officeDocument/2006/relationships/hyperlink" Target="https://doi.org/fkcx58" TargetMode="External"/><Relationship Id="rId47" Type="http://schemas.openxmlformats.org/officeDocument/2006/relationships/hyperlink" Target="https://pubmed.ncbi.nlm.nih.gov/1769245" TargetMode="External"/><Relationship Id="rId50" Type="http://schemas.openxmlformats.org/officeDocument/2006/relationships/hyperlink" Target="https://doi.org/10.1016/0145-2134(96)00077-4"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b6g67k" TargetMode="External"/><Relationship Id="rId11" Type="http://schemas.openxmlformats.org/officeDocument/2006/relationships/image" Target="media/image2.png"/><Relationship Id="rId24" Type="http://schemas.openxmlformats.org/officeDocument/2006/relationships/hyperlink" Target="http://www.planalto.gov.br/ccivil_03/leis/l8069.htm" TargetMode="External"/><Relationship Id="rId32" Type="http://schemas.openxmlformats.org/officeDocument/2006/relationships/hyperlink" Target="https://doi.org/dhj39c" TargetMode="External"/><Relationship Id="rId37" Type="http://schemas.openxmlformats.org/officeDocument/2006/relationships/hyperlink" Target="https://doi.org/10.1037/1076-8971.11.1.194" TargetMode="External"/><Relationship Id="rId40" Type="http://schemas.openxmlformats.org/officeDocument/2006/relationships/hyperlink" Target="https://doi.org/10.1016/j.jecp.2015.12.003" TargetMode="External"/><Relationship Id="rId45" Type="http://schemas.openxmlformats.org/officeDocument/2006/relationships/hyperlink" Target="https://doi.org/10.1080/10538712.2018.1477224"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ncbi.nlm.nih.gov/pmc/articles/PMC280944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oi.org/fswdcx" TargetMode="External"/><Relationship Id="rId27" Type="http://schemas.openxmlformats.org/officeDocument/2006/relationships/hyperlink" Target="https://doi.org/10.1080/00332747.1993.11024624" TargetMode="External"/><Relationship Id="rId30" Type="http://schemas.openxmlformats.org/officeDocument/2006/relationships/hyperlink" Target="https://doi.org/10.1097/00004583-198903000-00014" TargetMode="External"/><Relationship Id="rId35" Type="http://schemas.openxmlformats.org/officeDocument/2006/relationships/hyperlink" Target="https://doi.org/gc6x6h" TargetMode="External"/><Relationship Id="rId43" Type="http://schemas.openxmlformats.org/officeDocument/2006/relationships/hyperlink" Target="https://doi.org/10.1177/0886260511424503" TargetMode="External"/><Relationship Id="rId48" Type="http://schemas.openxmlformats.org/officeDocument/2006/relationships/hyperlink" Target="http://mylaw2.usc.edu/why/students/orgs/ilj/assets/docs/18-3%20Shiu.pdf" TargetMode="External"/><Relationship Id="rId56" Type="http://schemas.openxmlformats.org/officeDocument/2006/relationships/footer" Target="footer2.xml"/><Relationship Id="rId8" Type="http://schemas.openxmlformats.org/officeDocument/2006/relationships/hyperlink" Target="https://doi.org/10.30849/ripijp.v57i1.1669" TargetMode="External"/><Relationship Id="rId51" Type="http://schemas.openxmlformats.org/officeDocument/2006/relationships/hyperlink" Target="https://doi.org/b9vdmw" TargetMode="External"/><Relationship Id="rId3" Type="http://schemas.openxmlformats.org/officeDocument/2006/relationships/styles" Target="styles.xml"/><Relationship Id="rId12" Type="http://schemas.openxmlformats.org/officeDocument/2006/relationships/hyperlink" Target="https://orcid.org/0000-0002-0372-8449" TargetMode="External"/><Relationship Id="rId17" Type="http://schemas.openxmlformats.org/officeDocument/2006/relationships/image" Target="media/image5.png"/><Relationship Id="rId25" Type="http://schemas.openxmlformats.org/officeDocument/2006/relationships/hyperlink" Target="https://doi.org/10.1007/978-3-319-21097-1_16" TargetMode="External"/><Relationship Id="rId33" Type="http://schemas.openxmlformats.org/officeDocument/2006/relationships/hyperlink" Target="https://doi.org/10.1080/10538712.2010.512520" TargetMode="External"/><Relationship Id="rId38" Type="http://schemas.openxmlformats.org/officeDocument/2006/relationships/hyperlink" Target="https://doi.org/gmmg" TargetMode="External"/><Relationship Id="rId46" Type="http://schemas.openxmlformats.org/officeDocument/2006/relationships/hyperlink" Target="http://www.unicef.pt/media/2766/unicef_convencao_dos_direitos_da_crianca.pdf" TargetMode="External"/><Relationship Id="rId20" Type="http://schemas.openxmlformats.org/officeDocument/2006/relationships/hyperlink" Target="https://doi.org/ggqhv3" TargetMode="External"/><Relationship Id="rId41" Type="http://schemas.openxmlformats.org/officeDocument/2006/relationships/hyperlink" Target="https://doi.org/f826gc"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cr8svr" TargetMode="External"/><Relationship Id="rId28" Type="http://schemas.openxmlformats.org/officeDocument/2006/relationships/hyperlink" Target="https://doi.org/10.1016/j.chiabu.2015.03.010" TargetMode="External"/><Relationship Id="rId36" Type="http://schemas.openxmlformats.org/officeDocument/2006/relationships/hyperlink" Target="https://doi.org/f6c3cn" TargetMode="External"/><Relationship Id="rId49" Type="http://schemas.openxmlformats.org/officeDocument/2006/relationships/hyperlink" Target="https://doi.org/gc98df" TargetMode="External"/><Relationship Id="rId57" Type="http://schemas.openxmlformats.org/officeDocument/2006/relationships/fontTable" Target="fontTable.xml"/><Relationship Id="rId10" Type="http://schemas.openxmlformats.org/officeDocument/2006/relationships/hyperlink" Target="https://orcid.org/0000-0001-6279-5302" TargetMode="External"/><Relationship Id="rId31" Type="http://schemas.openxmlformats.org/officeDocument/2006/relationships/hyperlink" Target="https://doi.org/10.1111/j.1939-0025.1985.tb02703.x" TargetMode="External"/><Relationship Id="rId44" Type="http://schemas.openxmlformats.org/officeDocument/2006/relationships/hyperlink" Target="https://doi.org/gmmh" TargetMode="External"/><Relationship Id="rId52" Type="http://schemas.openxmlformats.org/officeDocument/2006/relationships/hyperlink" Target="https://doi.org/dtvdz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9770</Words>
  <Characters>53740</Characters>
  <Application>Microsoft Office Word</Application>
  <DocSecurity>0</DocSecurity>
  <Lines>447</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10</cp:revision>
  <cp:lastPrinted>2020-05-06T22:26:00Z</cp:lastPrinted>
  <dcterms:created xsi:type="dcterms:W3CDTF">2023-06-13T22:30:00Z</dcterms:created>
  <dcterms:modified xsi:type="dcterms:W3CDTF">2023-06-17T13:52:00Z</dcterms:modified>
</cp:coreProperties>
</file>