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10" w:rsidRDefault="009D36A3" w:rsidP="00376A10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36A3">
        <w:rPr>
          <w:rFonts w:ascii="Times New Roman" w:hAnsi="Times New Roman" w:cs="Times New Roman"/>
          <w:b/>
          <w:sz w:val="24"/>
          <w:szCs w:val="24"/>
          <w:lang w:val="en-US"/>
        </w:rPr>
        <w:t>Psychometric</w:t>
      </w:r>
      <w:r w:rsidR="00023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D36A3">
        <w:rPr>
          <w:rFonts w:ascii="Times New Roman" w:hAnsi="Times New Roman" w:cs="Times New Roman"/>
          <w:b/>
          <w:sz w:val="24"/>
          <w:szCs w:val="24"/>
          <w:lang w:val="en-US"/>
        </w:rPr>
        <w:t>properties</w:t>
      </w:r>
      <w:r w:rsidR="00023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D36A3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6B7D2A" w:rsidRPr="009D36A3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6B7D2A" w:rsidRPr="009D36A3">
        <w:rPr>
          <w:rFonts w:ascii="Times New Roman" w:hAnsi="Times New Roman" w:cs="Times New Roman"/>
          <w:b/>
          <w:sz w:val="24"/>
          <w:szCs w:val="24"/>
          <w:lang w:val="en-US"/>
        </w:rPr>
        <w:t>Survey</w:t>
      </w:r>
      <w:r w:rsidR="00023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B3EFF" w:rsidRPr="009D36A3">
        <w:rPr>
          <w:rFonts w:ascii="Times New Roman" w:hAnsi="Times New Roman" w:cs="Times New Roman"/>
          <w:b/>
          <w:sz w:val="24"/>
          <w:szCs w:val="24"/>
          <w:lang w:val="en-US"/>
        </w:rPr>
        <w:t>Work-Home</w:t>
      </w:r>
      <w:r w:rsidR="00023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B3EFF" w:rsidRPr="009D36A3">
        <w:rPr>
          <w:rFonts w:ascii="Times New Roman" w:hAnsi="Times New Roman" w:cs="Times New Roman"/>
          <w:b/>
          <w:sz w:val="24"/>
          <w:szCs w:val="24"/>
          <w:lang w:val="en-US"/>
        </w:rPr>
        <w:t>Interaction</w:t>
      </w:r>
      <w:r w:rsidR="00023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B3EFF" w:rsidRPr="009D36A3">
        <w:rPr>
          <w:rFonts w:ascii="Times New Roman" w:hAnsi="Times New Roman" w:cs="Times New Roman"/>
          <w:b/>
          <w:sz w:val="24"/>
          <w:szCs w:val="24"/>
          <w:lang w:val="en-US"/>
        </w:rPr>
        <w:t>Nijmegen</w:t>
      </w:r>
      <w:r w:rsidR="00023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B3EFF" w:rsidRPr="009D36A3">
        <w:rPr>
          <w:rFonts w:ascii="Times New Roman" w:hAnsi="Times New Roman" w:cs="Times New Roman"/>
          <w:b/>
          <w:sz w:val="24"/>
          <w:szCs w:val="24"/>
          <w:lang w:val="en-US"/>
        </w:rPr>
        <w:t>(SWING)</w:t>
      </w:r>
      <w:r w:rsidR="00023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Argentinian</w:t>
      </w:r>
      <w:r w:rsidR="00023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population</w:t>
      </w:r>
    </w:p>
    <w:p w:rsidR="00376A10" w:rsidRPr="00376A10" w:rsidRDefault="00376A10" w:rsidP="00376A10">
      <w:pPr>
        <w:pStyle w:val="Sinespaciado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76A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Conflict  of  interest: </w:t>
      </w:r>
      <w:r w:rsidRPr="00376A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None.</w:t>
      </w:r>
    </w:p>
    <w:p w:rsidR="00C52E7C" w:rsidRPr="00023B67" w:rsidRDefault="009D36A3" w:rsidP="007166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3B67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257D8B" w:rsidRPr="00257D8B" w:rsidRDefault="00257D8B" w:rsidP="0071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7D8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scarcity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measurement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Work-Family/Family-Work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interactions,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aims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evidence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population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Argentine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workers.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Method.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sample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611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workers,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internal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structure,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reliability,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concurrent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analyzed.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Results.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confirmatory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factor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showed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satisfactory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fit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indices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original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4-factor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57D8B">
        <w:rPr>
          <w:rFonts w:ascii="Times New Roman" w:hAnsi="Times New Roman" w:cs="Times New Roman"/>
          <w:sz w:val="24"/>
          <w:szCs w:val="24"/>
        </w:rPr>
        <w:t>χ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647.073,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gl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203,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CFI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.93,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GFI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.92,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NFI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.90,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TLI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.92,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RMSEA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.05).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acceptable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57D8B">
        <w:rPr>
          <w:rFonts w:ascii="Times New Roman" w:hAnsi="Times New Roman" w:cs="Times New Roman"/>
          <w:sz w:val="24"/>
          <w:szCs w:val="24"/>
        </w:rPr>
        <w:t>α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.68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.86).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relationships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subscale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scores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engagement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burnout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variables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expected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according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studies.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Discussion.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Although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required,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Argentine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workers.</w:t>
      </w:r>
    </w:p>
    <w:p w:rsidR="00257D8B" w:rsidRDefault="00257D8B" w:rsidP="0071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0992">
        <w:rPr>
          <w:rFonts w:ascii="Times New Roman" w:hAnsi="Times New Roman" w:cs="Times New Roman"/>
          <w:b/>
          <w:sz w:val="24"/>
          <w:szCs w:val="24"/>
          <w:lang w:val="en-US"/>
        </w:rPr>
        <w:t>Key</w:t>
      </w:r>
      <w:r w:rsidR="00023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50992">
        <w:rPr>
          <w:rFonts w:ascii="Times New Roman" w:hAnsi="Times New Roman" w:cs="Times New Roman"/>
          <w:b/>
          <w:sz w:val="24"/>
          <w:szCs w:val="24"/>
          <w:lang w:val="en-US"/>
        </w:rPr>
        <w:t>words: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Reliability,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Validity,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work-family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7D8B">
        <w:rPr>
          <w:rFonts w:ascii="Times New Roman" w:hAnsi="Times New Roman" w:cs="Times New Roman"/>
          <w:sz w:val="24"/>
          <w:szCs w:val="24"/>
          <w:lang w:val="en-US"/>
        </w:rPr>
        <w:t>relationship.</w:t>
      </w:r>
    </w:p>
    <w:p w:rsidR="001128B5" w:rsidRPr="001128B5" w:rsidRDefault="001128B5" w:rsidP="007166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8B5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1128B5" w:rsidRDefault="001128B5" w:rsidP="0071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B5">
        <w:rPr>
          <w:rFonts w:ascii="Times New Roman" w:hAnsi="Times New Roman" w:cs="Times New Roman"/>
          <w:sz w:val="24"/>
          <w:szCs w:val="24"/>
        </w:rPr>
        <w:t>Frente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a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los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escases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instrumentos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medida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adecuados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para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la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evaluación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las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interacciones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Trabajo-Familia/Familia-Trabajo,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el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presente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trabajo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tiene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por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objetivo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proporcionar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evidencias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validez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y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confiabilidad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la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escala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SWING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en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población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trabajadores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argentinos.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Método.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Con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una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muestra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N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=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611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trabajadores,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se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analizaron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estructura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interna,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confiabilidad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y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validez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concurrente.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Resultados.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El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análisis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factorial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confirmatorio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presentó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índices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ajuste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satisfactorios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del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modelo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original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4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factores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(χ2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=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647,073,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gl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=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203,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CFI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=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.93,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GFI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=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.92,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NFI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=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.90,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TLI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=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.92,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RMSEA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=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.05).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El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nivel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confiabilidad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fue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aceptable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(α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entre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.68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a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.86).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Las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relaciones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los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resultados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las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subescalas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con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las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variables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engagement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y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burnout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fueron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las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esperadas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según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estudios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antecedentes.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Discusión.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Aunque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se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requiere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mayor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investigación,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los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resultados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apoyan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el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uso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del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instrumento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en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población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de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trabajadores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argentinos.</w:t>
      </w:r>
    </w:p>
    <w:p w:rsidR="001725DD" w:rsidRPr="0071663E" w:rsidRDefault="001128B5" w:rsidP="0071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50992">
        <w:rPr>
          <w:rFonts w:ascii="Times New Roman" w:hAnsi="Times New Roman" w:cs="Times New Roman"/>
          <w:b/>
          <w:sz w:val="24"/>
          <w:szCs w:val="24"/>
        </w:rPr>
        <w:t>Palabras</w:t>
      </w:r>
      <w:r w:rsidR="00376A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50992">
        <w:rPr>
          <w:rFonts w:ascii="Times New Roman" w:hAnsi="Times New Roman" w:cs="Times New Roman"/>
          <w:b/>
          <w:sz w:val="24"/>
          <w:szCs w:val="24"/>
        </w:rPr>
        <w:t>clave: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Confiabilidad,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Validez,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relación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1128B5">
        <w:rPr>
          <w:rFonts w:ascii="Times New Roman" w:hAnsi="Times New Roman" w:cs="Times New Roman"/>
          <w:sz w:val="24"/>
          <w:szCs w:val="24"/>
        </w:rPr>
        <w:t>trabajo-familia.</w:t>
      </w:r>
    </w:p>
    <w:p w:rsidR="00542AC8" w:rsidRPr="00E73F05" w:rsidRDefault="00542AC8" w:rsidP="007166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3F05">
        <w:rPr>
          <w:rFonts w:ascii="Times New Roman" w:hAnsi="Times New Roman" w:cs="Times New Roman"/>
          <w:b/>
          <w:sz w:val="24"/>
          <w:szCs w:val="24"/>
          <w:lang w:val="en-US"/>
        </w:rPr>
        <w:t>Introduc</w:t>
      </w:r>
      <w:r w:rsidR="001B2BB9">
        <w:rPr>
          <w:rFonts w:ascii="Times New Roman" w:hAnsi="Times New Roman" w:cs="Times New Roman"/>
          <w:b/>
          <w:sz w:val="24"/>
          <w:szCs w:val="24"/>
          <w:lang w:val="en-US"/>
        </w:rPr>
        <w:t>tion</w:t>
      </w:r>
    </w:p>
    <w:p w:rsidR="00E73F05" w:rsidRPr="00E73F05" w:rsidRDefault="00E73F05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3F05">
        <w:rPr>
          <w:rFonts w:ascii="Times New Roman" w:hAnsi="Times New Roman" w:cs="Times New Roman"/>
          <w:sz w:val="24"/>
          <w:szCs w:val="24"/>
          <w:lang w:val="en-US"/>
        </w:rPr>
        <w:lastRenderedPageBreak/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family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increasingly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difficult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maintain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today's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world.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Sociocultural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especially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advance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technologies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affected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boundaries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(Vesga-Rodriguez,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2019).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Telework,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example,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generated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various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advantages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disadvantages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(Gądecki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2016;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Leung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Zhang,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2017;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Rubbini,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2012;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Sarbu,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2018).</w:t>
      </w:r>
    </w:p>
    <w:p w:rsidR="00E73F05" w:rsidRPr="00E73F05" w:rsidRDefault="00E73F05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3F05">
        <w:rPr>
          <w:rFonts w:ascii="Times New Roman" w:hAnsi="Times New Roman" w:cs="Times New Roman"/>
          <w:sz w:val="24"/>
          <w:szCs w:val="24"/>
          <w:lang w:val="en-US"/>
        </w:rPr>
        <w:t>Frictions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family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increased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0453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-19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pandemic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workers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forced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telecommuting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mode.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unplanned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transition,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abruptly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circumstances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generated,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consequences,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rigid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opinion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remote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emotions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perceive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productivity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(Howe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Menges,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2020).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hand,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identified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gender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inequalities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relation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household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chores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increased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telework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pandemic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crisis,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frequently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observed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feelings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anxiety,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loneliness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depression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women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remote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(Lyttelton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2020).</w:t>
      </w:r>
    </w:p>
    <w:p w:rsidR="00E73F05" w:rsidRDefault="00E73F05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3F0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imbalance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conflict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Work-Family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Family-Work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(W-F/F-W)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consequences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mental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health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quality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individuals.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Thus,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numerous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highlight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relationship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W-F/F-W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conflict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burnout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(e.g.,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Chernyak-Hai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Tziner,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2016;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Dyrbye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2011;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Rhnima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2016;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Robinson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2016;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Smith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2019).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affect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perceived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health,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job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satisfaction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self-efficacy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increased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psychological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distress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linked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W-F/F-W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conflict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(Jacobsen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Fjeldbraaten,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2018;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Serenko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2017;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Shimada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2010).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Carlotto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(2017)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interactions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higher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techno-fatigue,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techno-anxiety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decreased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career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73F05">
        <w:rPr>
          <w:rFonts w:ascii="Times New Roman" w:hAnsi="Times New Roman" w:cs="Times New Roman"/>
          <w:sz w:val="24"/>
          <w:szCs w:val="24"/>
          <w:lang w:val="en-US"/>
        </w:rPr>
        <w:t>resilience.</w:t>
      </w:r>
    </w:p>
    <w:p w:rsidR="001B2BB9" w:rsidRPr="001B2BB9" w:rsidRDefault="001B2BB9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2BB9">
        <w:rPr>
          <w:rFonts w:ascii="Times New Roman" w:hAnsi="Times New Roman" w:cs="Times New Roman"/>
          <w:sz w:val="24"/>
          <w:szCs w:val="24"/>
          <w:lang w:val="en-US"/>
        </w:rPr>
        <w:t>Conversely,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F-T/T/T-F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associated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aspects,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workers'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engagement,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psychological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sense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availability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work,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variables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turn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increase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engagement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(Łaba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Geldenhuys,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2018;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Queirós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2016;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Rothmann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Baumann,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2014).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Barreto-Colichi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(2016)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enrichment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bidirectional,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i.e.,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lastRenderedPageBreak/>
        <w:t>growth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opportunities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positively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influence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other.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authors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identified,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studies,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consequences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T-F/F/F-T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interactions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engagement,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job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satisfaction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efficiency.</w:t>
      </w:r>
    </w:p>
    <w:p w:rsidR="001B2BB9" w:rsidRPr="001B2BB9" w:rsidRDefault="001B2BB9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2BB9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relevance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phenomena,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scales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(DiRenzo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2011;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Dolcos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Daley,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2009;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Frone,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2000;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Kelloway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1999;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Kopelman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1983;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Netemeyer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1996;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others)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examine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T-F/F-T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interactions.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T-F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relationship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vice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versa,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although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numerous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(among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works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Marshall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Barnett,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2013;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Parker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Allen,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2001;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Srivastava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Srivastava,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="00A33BB2" w:rsidRPr="001B2BB9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33BB2" w:rsidRPr="001B2BB9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assess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relationship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33BB2">
        <w:rPr>
          <w:rFonts w:ascii="Times New Roman" w:hAnsi="Times New Roman" w:cs="Times New Roman"/>
          <w:sz w:val="24"/>
          <w:szCs w:val="24"/>
          <w:lang w:val="en-US"/>
        </w:rPr>
        <w:t>F-W/W-F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contexts,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Delgado-Sánchez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(2011).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difficult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33BB2">
        <w:rPr>
          <w:rFonts w:ascii="Times New Roman" w:hAnsi="Times New Roman" w:cs="Times New Roman"/>
          <w:sz w:val="24"/>
          <w:szCs w:val="24"/>
          <w:lang w:val="en-US"/>
        </w:rPr>
        <w:t>F-W/W-F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relationships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settings.</w:t>
      </w:r>
    </w:p>
    <w:p w:rsidR="001B2BB9" w:rsidRPr="001B2BB9" w:rsidRDefault="001B2BB9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2BB9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meets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widely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Survey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Work-Home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Nijmegen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(SWING,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Geurts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2005).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brief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self-report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questionnaire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(22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items)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measures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areas,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discriminating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direction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influence,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whether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-F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F-</w:t>
      </w:r>
      <w:r w:rsidR="00A33BB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quality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influence,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negative.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scientific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evidence,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especially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Effort-Recovery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Theory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(Meijman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Mulder,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1998).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original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demonstrated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robust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four-factor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structure,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replicated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independent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samples.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ranged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s-AR"/>
        </w:rPr>
        <w:t>α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.72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s-AR"/>
        </w:rPr>
        <w:t>α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.85.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B7D2A" w:rsidRPr="001B2BB9">
        <w:rPr>
          <w:rFonts w:ascii="Times New Roman" w:hAnsi="Times New Roman" w:cs="Times New Roman"/>
          <w:sz w:val="24"/>
          <w:szCs w:val="24"/>
          <w:lang w:val="en-US"/>
        </w:rPr>
        <w:t>Additionally,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scores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correlated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expected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frequently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external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variables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scientific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B2BB9">
        <w:rPr>
          <w:rFonts w:ascii="Times New Roman" w:hAnsi="Times New Roman" w:cs="Times New Roman"/>
          <w:sz w:val="24"/>
          <w:szCs w:val="24"/>
          <w:lang w:val="en-US"/>
        </w:rPr>
        <w:t>literature.</w:t>
      </w:r>
    </w:p>
    <w:p w:rsidR="00A33BB2" w:rsidRDefault="00A33BB2" w:rsidP="0071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3BB2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put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highlight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others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adaptations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numerous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populations: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France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(Lourel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2005),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Romania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(Ispas&amp;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Iliescu,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2019),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Japan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(Shimada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2018),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Portugal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(Pereira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2014)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South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Africa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(Marais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2009),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others.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aforementioned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values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satisfactory,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alpha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ranged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.72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.90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(Oviedo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Campo-Arias,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2005).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Similarly,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original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four-factor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lastRenderedPageBreak/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replicated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modify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instrument,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3BB2">
        <w:rPr>
          <w:rFonts w:ascii="Times New Roman" w:hAnsi="Times New Roman" w:cs="Times New Roman"/>
          <w:sz w:val="24"/>
          <w:szCs w:val="24"/>
          <w:lang w:val="en-US"/>
        </w:rPr>
        <w:t>1.</w:t>
      </w:r>
    </w:p>
    <w:p w:rsidR="00446CF2" w:rsidRPr="00446CF2" w:rsidRDefault="00446CF2" w:rsidP="007166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6CF2">
        <w:rPr>
          <w:rFonts w:ascii="Times New Roman" w:hAnsi="Times New Roman" w:cs="Times New Roman"/>
          <w:b/>
          <w:sz w:val="24"/>
          <w:szCs w:val="24"/>
          <w:lang w:val="en-US"/>
        </w:rPr>
        <w:t>Table 1</w:t>
      </w:r>
    </w:p>
    <w:p w:rsidR="00446CF2" w:rsidRPr="00446CF2" w:rsidRDefault="00446CF2" w:rsidP="0071663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46CF2">
        <w:rPr>
          <w:rFonts w:ascii="Times New Roman" w:hAnsi="Times New Roman" w:cs="Times New Roman"/>
          <w:i/>
          <w:sz w:val="24"/>
          <w:szCs w:val="24"/>
          <w:lang w:val="en-US"/>
        </w:rPr>
        <w:t>Psychometric data of the SWING scale and its validations to other populations.</w:t>
      </w:r>
    </w:p>
    <w:tbl>
      <w:tblPr>
        <w:tblStyle w:val="Tablaconcuadrcula"/>
        <w:tblW w:w="0" w:type="auto"/>
        <w:tblBorders>
          <w:top w:val="single" w:sz="8" w:space="0" w:color="000000" w:themeColor="text1"/>
          <w:left w:val="none" w:sz="0" w:space="0" w:color="auto"/>
          <w:bottom w:val="single" w:sz="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52"/>
        <w:gridCol w:w="2501"/>
        <w:gridCol w:w="2921"/>
      </w:tblGrid>
      <w:tr w:rsidR="00446CF2" w:rsidRPr="00446CF2" w:rsidTr="0071663E">
        <w:tc>
          <w:tcPr>
            <w:tcW w:w="28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46CF2" w:rsidRPr="00446CF2" w:rsidRDefault="00446CF2" w:rsidP="00716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Validation</w:t>
            </w:r>
          </w:p>
        </w:tc>
        <w:tc>
          <w:tcPr>
            <w:tcW w:w="25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46CF2" w:rsidRPr="00446CF2" w:rsidRDefault="00446CF2" w:rsidP="00716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292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46CF2" w:rsidRPr="00446CF2" w:rsidRDefault="00446CF2" w:rsidP="007166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Structure: number of factors</w:t>
            </w:r>
          </w:p>
        </w:tc>
      </w:tr>
      <w:tr w:rsidR="00446CF2" w:rsidRPr="00446CF2" w:rsidTr="0071663E">
        <w:tc>
          <w:tcPr>
            <w:tcW w:w="2852" w:type="dxa"/>
            <w:tcBorders>
              <w:top w:val="single" w:sz="12" w:space="0" w:color="000000" w:themeColor="text1"/>
              <w:bottom w:val="nil"/>
            </w:tcBorders>
          </w:tcPr>
          <w:p w:rsidR="00446CF2" w:rsidRPr="00446CF2" w:rsidRDefault="00446CF2" w:rsidP="007166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Original Study Holand (Geurts et al., 2005)</w:t>
            </w:r>
          </w:p>
        </w:tc>
        <w:tc>
          <w:tcPr>
            <w:tcW w:w="2501" w:type="dxa"/>
            <w:tcBorders>
              <w:top w:val="single" w:sz="12" w:space="0" w:color="000000" w:themeColor="text1"/>
              <w:bottom w:val="nil"/>
            </w:tcBorders>
          </w:tcPr>
          <w:p w:rsidR="00446CF2" w:rsidRPr="00446CF2" w:rsidRDefault="00446CF2" w:rsidP="0071663E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α=.72 to .85</w:t>
            </w:r>
          </w:p>
        </w:tc>
        <w:tc>
          <w:tcPr>
            <w:tcW w:w="2921" w:type="dxa"/>
            <w:tcBorders>
              <w:top w:val="single" w:sz="12" w:space="0" w:color="000000" w:themeColor="text1"/>
              <w:bottom w:val="nil"/>
            </w:tcBorders>
          </w:tcPr>
          <w:p w:rsidR="00446CF2" w:rsidRPr="00446CF2" w:rsidRDefault="00446CF2" w:rsidP="0071663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6CF2" w:rsidRPr="00446CF2" w:rsidTr="0071663E">
        <w:tc>
          <w:tcPr>
            <w:tcW w:w="2852" w:type="dxa"/>
            <w:tcBorders>
              <w:top w:val="nil"/>
            </w:tcBorders>
          </w:tcPr>
          <w:p w:rsidR="00446CF2" w:rsidRPr="00446CF2" w:rsidRDefault="00446CF2" w:rsidP="007166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South Africa (Marais et al., 2009)</w:t>
            </w:r>
          </w:p>
        </w:tc>
        <w:tc>
          <w:tcPr>
            <w:tcW w:w="2501" w:type="dxa"/>
            <w:tcBorders>
              <w:top w:val="nil"/>
            </w:tcBorders>
          </w:tcPr>
          <w:p w:rsidR="00446CF2" w:rsidRPr="00446CF2" w:rsidRDefault="00446CF2" w:rsidP="0071663E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α=.82 to .90</w:t>
            </w:r>
          </w:p>
        </w:tc>
        <w:tc>
          <w:tcPr>
            <w:tcW w:w="2921" w:type="dxa"/>
            <w:tcBorders>
              <w:top w:val="nil"/>
            </w:tcBorders>
          </w:tcPr>
          <w:p w:rsidR="00446CF2" w:rsidRPr="00446CF2" w:rsidRDefault="00446CF2" w:rsidP="0071663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6CF2" w:rsidRPr="00446CF2" w:rsidTr="0071663E">
        <w:tc>
          <w:tcPr>
            <w:tcW w:w="2852" w:type="dxa"/>
          </w:tcPr>
          <w:p w:rsidR="00446CF2" w:rsidRPr="00446CF2" w:rsidRDefault="00446CF2" w:rsidP="007166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Japan (Shimada et al., 2018)</w:t>
            </w:r>
          </w:p>
        </w:tc>
        <w:tc>
          <w:tcPr>
            <w:tcW w:w="2501" w:type="dxa"/>
          </w:tcPr>
          <w:p w:rsidR="00446CF2" w:rsidRPr="00446CF2" w:rsidRDefault="00446CF2" w:rsidP="0071663E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α=.75 to .86</w:t>
            </w:r>
          </w:p>
        </w:tc>
        <w:tc>
          <w:tcPr>
            <w:tcW w:w="2921" w:type="dxa"/>
          </w:tcPr>
          <w:p w:rsidR="00446CF2" w:rsidRPr="00446CF2" w:rsidRDefault="00446CF2" w:rsidP="0071663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6CF2" w:rsidRPr="00446CF2" w:rsidTr="0071663E">
        <w:tc>
          <w:tcPr>
            <w:tcW w:w="2852" w:type="dxa"/>
          </w:tcPr>
          <w:p w:rsidR="00446CF2" w:rsidRPr="00446CF2" w:rsidRDefault="00446CF2" w:rsidP="007166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Portugal (Pereira et al., 2014)</w:t>
            </w:r>
          </w:p>
        </w:tc>
        <w:tc>
          <w:tcPr>
            <w:tcW w:w="2501" w:type="dxa"/>
          </w:tcPr>
          <w:p w:rsidR="00446CF2" w:rsidRPr="00446CF2" w:rsidRDefault="00446CF2" w:rsidP="0071663E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α=.72 to .86</w:t>
            </w:r>
          </w:p>
        </w:tc>
        <w:tc>
          <w:tcPr>
            <w:tcW w:w="2921" w:type="dxa"/>
          </w:tcPr>
          <w:p w:rsidR="00446CF2" w:rsidRPr="00446CF2" w:rsidRDefault="00446CF2" w:rsidP="0071663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6CF2" w:rsidRPr="00446CF2" w:rsidTr="0071663E">
        <w:tc>
          <w:tcPr>
            <w:tcW w:w="2852" w:type="dxa"/>
          </w:tcPr>
          <w:p w:rsidR="00446CF2" w:rsidRPr="00446CF2" w:rsidRDefault="00446CF2" w:rsidP="007166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France (Lourel et al., 2005)</w:t>
            </w:r>
          </w:p>
        </w:tc>
        <w:tc>
          <w:tcPr>
            <w:tcW w:w="2501" w:type="dxa"/>
          </w:tcPr>
          <w:p w:rsidR="00446CF2" w:rsidRPr="00446CF2" w:rsidRDefault="00446CF2" w:rsidP="0071663E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α=.73 to .84</w:t>
            </w:r>
          </w:p>
        </w:tc>
        <w:tc>
          <w:tcPr>
            <w:tcW w:w="2921" w:type="dxa"/>
          </w:tcPr>
          <w:p w:rsidR="00446CF2" w:rsidRPr="00446CF2" w:rsidRDefault="00446CF2" w:rsidP="0071663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6CF2" w:rsidRPr="00446CF2" w:rsidTr="0071663E">
        <w:tc>
          <w:tcPr>
            <w:tcW w:w="2852" w:type="dxa"/>
          </w:tcPr>
          <w:p w:rsidR="00446CF2" w:rsidRPr="00446CF2" w:rsidRDefault="00446CF2" w:rsidP="007166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Rumania(Ispas, &amp; Iliescu, 2019)</w:t>
            </w:r>
          </w:p>
        </w:tc>
        <w:tc>
          <w:tcPr>
            <w:tcW w:w="2501" w:type="dxa"/>
          </w:tcPr>
          <w:p w:rsidR="00446CF2" w:rsidRPr="00446CF2" w:rsidRDefault="00446CF2" w:rsidP="0071663E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446CF2" w:rsidRPr="00446CF2" w:rsidRDefault="00446CF2" w:rsidP="0071663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6CF2" w:rsidRPr="00446CF2" w:rsidTr="0071663E">
        <w:tc>
          <w:tcPr>
            <w:tcW w:w="2852" w:type="dxa"/>
          </w:tcPr>
          <w:p w:rsidR="00446CF2" w:rsidRPr="00446CF2" w:rsidRDefault="00446CF2" w:rsidP="007166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Spain (Moreno-Jiménez et al., 2009)</w:t>
            </w:r>
          </w:p>
        </w:tc>
        <w:tc>
          <w:tcPr>
            <w:tcW w:w="2501" w:type="dxa"/>
          </w:tcPr>
          <w:p w:rsidR="00446CF2" w:rsidRPr="00446CF2" w:rsidRDefault="00446CF2" w:rsidP="0071663E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α=.77 to .89</w:t>
            </w:r>
          </w:p>
        </w:tc>
        <w:tc>
          <w:tcPr>
            <w:tcW w:w="2921" w:type="dxa"/>
          </w:tcPr>
          <w:p w:rsidR="00446CF2" w:rsidRPr="00446CF2" w:rsidRDefault="00446CF2" w:rsidP="0071663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6CF2" w:rsidRPr="00446CF2" w:rsidTr="0071663E">
        <w:tc>
          <w:tcPr>
            <w:tcW w:w="2852" w:type="dxa"/>
          </w:tcPr>
          <w:p w:rsidR="00446CF2" w:rsidRPr="00446CF2" w:rsidRDefault="00446CF2" w:rsidP="007166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Spanish talking countries (Romeo et al., 2014)</w:t>
            </w:r>
          </w:p>
        </w:tc>
        <w:tc>
          <w:tcPr>
            <w:tcW w:w="2501" w:type="dxa"/>
          </w:tcPr>
          <w:p w:rsidR="00446CF2" w:rsidRPr="00446CF2" w:rsidRDefault="00446CF2" w:rsidP="0071663E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=.85 to .90</w:t>
            </w:r>
          </w:p>
        </w:tc>
        <w:tc>
          <w:tcPr>
            <w:tcW w:w="2921" w:type="dxa"/>
          </w:tcPr>
          <w:p w:rsidR="00446CF2" w:rsidRPr="00446CF2" w:rsidRDefault="00446CF2" w:rsidP="0071663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46CF2" w:rsidRPr="00446CF2" w:rsidTr="0071663E">
        <w:tc>
          <w:tcPr>
            <w:tcW w:w="2852" w:type="dxa"/>
            <w:tcBorders>
              <w:bottom w:val="single" w:sz="12" w:space="0" w:color="000000" w:themeColor="text1"/>
            </w:tcBorders>
          </w:tcPr>
          <w:p w:rsidR="00446CF2" w:rsidRPr="00446CF2" w:rsidRDefault="00446CF2" w:rsidP="007166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Argentina (Gabini, 2017)</w:t>
            </w:r>
          </w:p>
        </w:tc>
        <w:tc>
          <w:tcPr>
            <w:tcW w:w="2501" w:type="dxa"/>
            <w:tcBorders>
              <w:bottom w:val="single" w:sz="12" w:space="0" w:color="000000" w:themeColor="text1"/>
            </w:tcBorders>
          </w:tcPr>
          <w:p w:rsidR="00446CF2" w:rsidRPr="00446CF2" w:rsidRDefault="00446CF2" w:rsidP="007166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Coefficient of compound reliability =.81 and .82</w:t>
            </w:r>
          </w:p>
        </w:tc>
        <w:tc>
          <w:tcPr>
            <w:tcW w:w="2921" w:type="dxa"/>
            <w:tcBorders>
              <w:bottom w:val="single" w:sz="12" w:space="0" w:color="000000" w:themeColor="text1"/>
            </w:tcBorders>
          </w:tcPr>
          <w:p w:rsidR="00446CF2" w:rsidRPr="00446CF2" w:rsidRDefault="00446CF2" w:rsidP="0071663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446CF2" w:rsidRPr="00446CF2" w:rsidRDefault="00446CF2" w:rsidP="0071663E">
            <w:pPr>
              <w:spacing w:line="360" w:lineRule="auto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Named: </w:t>
            </w:r>
            <w:r w:rsidRPr="00446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Work-Family Enrichment and Work-Family Conflict</w:t>
            </w:r>
          </w:p>
        </w:tc>
      </w:tr>
    </w:tbl>
    <w:p w:rsidR="00446CF2" w:rsidRPr="00446CF2" w:rsidRDefault="00446CF2" w:rsidP="007166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06DC" w:rsidRPr="00B006DC" w:rsidRDefault="00B006DC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6DC">
        <w:rPr>
          <w:rFonts w:ascii="Times New Roman" w:hAnsi="Times New Roman" w:cs="Times New Roman"/>
          <w:sz w:val="24"/>
          <w:szCs w:val="24"/>
          <w:lang w:val="en-US"/>
        </w:rPr>
        <w:t>Efforts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develop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version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Hispanic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population,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although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difficulties.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First,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Spanish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validation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Moreno-Jiménez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(2009)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showed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satisfactory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psychometric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properties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relation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internal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consistency,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factorial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CFA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convergent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analyses.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lastRenderedPageBreak/>
        <w:t>However,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provides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evidence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Spain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others,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key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validation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test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B7D2A" w:rsidRPr="00B006DC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B7D2A" w:rsidRPr="00B006DC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B7D2A" w:rsidRPr="00B006DC">
        <w:rPr>
          <w:rFonts w:ascii="Times New Roman" w:hAnsi="Times New Roman" w:cs="Times New Roman"/>
          <w:sz w:val="24"/>
          <w:szCs w:val="24"/>
          <w:lang w:val="en-US"/>
        </w:rPr>
        <w:t>variables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(Ramada-Rodilla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2013;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Chahín-Pinzón,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2014).</w:t>
      </w:r>
    </w:p>
    <w:p w:rsidR="0005199D" w:rsidRDefault="008950A6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Secondly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drawback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validation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Romeo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(2014)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Spanish-speaking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countries.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presents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coefficients,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fit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four-factor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criterion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validity.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However,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methodology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questionable,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6DC">
        <w:rPr>
          <w:rFonts w:ascii="Times New Roman" w:hAnsi="Times New Roman" w:cs="Times New Roman"/>
          <w:sz w:val="24"/>
          <w:szCs w:val="24"/>
          <w:lang w:val="en-US"/>
        </w:rPr>
        <w:t>especially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terms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sample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size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composition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relation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target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population,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sample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consisted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203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drawn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Latin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countries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uneven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proportional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representation.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Latin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America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underestimated,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why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advisable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adapt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target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population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reliable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(Ramada-Rodilla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2013;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Chahín-Pinzón,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2014).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absence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small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sample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comprehension,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difficulties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reported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back-translation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add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doubts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regard.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so,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5199D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considerable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contribution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robustness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cross-cultural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scope,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sufficient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populations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Latin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06DC" w:rsidRPr="00B006DC">
        <w:rPr>
          <w:rFonts w:ascii="Times New Roman" w:hAnsi="Times New Roman" w:cs="Times New Roman"/>
          <w:sz w:val="24"/>
          <w:szCs w:val="24"/>
          <w:lang w:val="en-US"/>
        </w:rPr>
        <w:t>America.</w:t>
      </w:r>
    </w:p>
    <w:p w:rsidR="002B20F6" w:rsidRPr="002B20F6" w:rsidRDefault="002B20F6" w:rsidP="0071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20F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third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validation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Argentina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deserves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attention.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Gabini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(2017)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constitutes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valuable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tool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population,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however,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resulting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questionable.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study,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reduced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8,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(10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items)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eliminated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suggestion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organizational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psychology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experts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(it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mentioned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background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psychometrics),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making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syntactic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modifications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direct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reverse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translation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process.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exploratory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confirmatory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factor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analyses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showed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dimensions,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proceeded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eliminate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items,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thus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reducing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collected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instrument.</w:t>
      </w:r>
    </w:p>
    <w:p w:rsidR="002B20F6" w:rsidRDefault="002B20F6" w:rsidP="0071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20F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spite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efforts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made,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evidence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population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Argentine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workers.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lastRenderedPageBreak/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reason,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35B90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aims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analyze: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internal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structure,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concurrent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aforementioned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20F6">
        <w:rPr>
          <w:rFonts w:ascii="Times New Roman" w:hAnsi="Times New Roman" w:cs="Times New Roman"/>
          <w:sz w:val="24"/>
          <w:szCs w:val="24"/>
          <w:lang w:val="en-US"/>
        </w:rPr>
        <w:t>population.</w:t>
      </w:r>
    </w:p>
    <w:p w:rsidR="00542AC8" w:rsidRPr="005A3706" w:rsidRDefault="00542AC8" w:rsidP="007166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3706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5A3706" w:rsidRPr="005A3706">
        <w:rPr>
          <w:rFonts w:ascii="Times New Roman" w:hAnsi="Times New Roman" w:cs="Times New Roman"/>
          <w:b/>
          <w:sz w:val="24"/>
          <w:szCs w:val="24"/>
          <w:lang w:val="en-US"/>
        </w:rPr>
        <w:t>ethods</w:t>
      </w:r>
    </w:p>
    <w:p w:rsidR="00C11C64" w:rsidRPr="005A3706" w:rsidRDefault="00851B75" w:rsidP="0071663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A3706">
        <w:rPr>
          <w:rFonts w:ascii="Times New Roman" w:hAnsi="Times New Roman" w:cs="Times New Roman"/>
          <w:b/>
          <w:i/>
          <w:sz w:val="24"/>
          <w:szCs w:val="24"/>
          <w:lang w:val="en-US"/>
        </w:rPr>
        <w:t>Participants</w:t>
      </w:r>
    </w:p>
    <w:p w:rsidR="005A3706" w:rsidRPr="005A3706" w:rsidRDefault="005A3706" w:rsidP="0071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370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non-probabilistic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sample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611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workers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sexes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(73.6%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women)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aged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(M</w:t>
      </w:r>
      <w:r>
        <w:rPr>
          <w:rFonts w:ascii="Times New Roman" w:hAnsi="Times New Roman" w:cs="Times New Roman"/>
          <w:sz w:val="24"/>
          <w:szCs w:val="24"/>
          <w:lang w:val="en-US"/>
        </w:rPr>
        <w:t>age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35.33;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=9.16),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worked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city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Córdoba,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used.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participants,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36.1%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reported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married,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38.2%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single,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0.7%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widowed,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0.8%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divorced,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24.3%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cohabiting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partner.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70.8%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participants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reported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children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(M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1.56;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1.35),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ages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ranging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(M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8.09;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7.63).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workers,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71.8%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worked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remaining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28.2%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worked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(up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hours)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collection.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Regarding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work: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37%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worked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commerce,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9.1%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health,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2.4%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administration,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6.1%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remaining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45.5%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unspecified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areas.</w:t>
      </w:r>
    </w:p>
    <w:p w:rsidR="005A3706" w:rsidRDefault="005A3706" w:rsidP="0071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370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noted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sample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size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statistical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planned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time,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particularly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terms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factor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(Lloret-Segura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sz w:val="24"/>
          <w:szCs w:val="24"/>
          <w:lang w:val="en-US"/>
        </w:rPr>
        <w:t>2014).</w:t>
      </w:r>
    </w:p>
    <w:p w:rsidR="00542AC8" w:rsidRPr="00102C22" w:rsidRDefault="00542AC8" w:rsidP="0071663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02C22">
        <w:rPr>
          <w:rFonts w:ascii="Times New Roman" w:hAnsi="Times New Roman" w:cs="Times New Roman"/>
          <w:b/>
          <w:i/>
          <w:sz w:val="24"/>
          <w:szCs w:val="24"/>
          <w:lang w:val="en-US"/>
        </w:rPr>
        <w:t>Instruments</w:t>
      </w:r>
    </w:p>
    <w:p w:rsidR="005A3706" w:rsidRPr="005A3706" w:rsidRDefault="005A3706" w:rsidP="0071663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Ad</w:t>
      </w:r>
      <w:r w:rsidR="00023B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hoc</w:t>
      </w:r>
      <w:r w:rsidR="00023B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questionnaire</w:t>
      </w:r>
      <w:r w:rsidR="00023B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sociodemographic</w:t>
      </w:r>
      <w:r w:rsidR="00023B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data.</w:t>
      </w:r>
      <w:r w:rsidR="00376A1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Participants'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sex,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age,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marital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status,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existence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children,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number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children,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age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youngest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child,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time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(full-time/half-time)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inquired.</w:t>
      </w:r>
      <w:r w:rsidR="00376A1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</w:p>
    <w:p w:rsidR="005A3706" w:rsidRPr="005A3706" w:rsidRDefault="005A3706" w:rsidP="0071663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SWING</w:t>
      </w:r>
      <w:r w:rsidR="00023B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(Geurts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2005).</w:t>
      </w:r>
      <w:r w:rsidR="00376A1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composed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22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items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evaluate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4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types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interactions: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work-family,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work-family,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family-work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family-work.</w:t>
      </w:r>
      <w:r w:rsidR="00376A1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other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words,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it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differentiates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quality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direction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interactions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two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spheres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life.</w:t>
      </w:r>
      <w:r w:rsidR="00376A1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response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options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L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ikert-type: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Never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(0),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Sometimes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(1),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Often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(2)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Always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(3).</w:t>
      </w:r>
      <w:r w:rsidR="00376A1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Spanish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version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adapted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Spanish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population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Moreno-Jiménez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al.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(2009)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used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study.</w:t>
      </w:r>
    </w:p>
    <w:p w:rsidR="005A3706" w:rsidRPr="005A3706" w:rsidRDefault="005A3706" w:rsidP="0071663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UWES</w:t>
      </w:r>
      <w:r w:rsidR="00023B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Engagement</w:t>
      </w:r>
      <w:r w:rsidR="00023B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Questionnaire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(Utrecht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Engagement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Scale,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adapted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workers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Córdoba,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Argentina,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Spontón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2012).</w:t>
      </w:r>
      <w:r w:rsidR="00376A1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has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17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items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102C22">
        <w:rPr>
          <w:rFonts w:ascii="Times New Roman" w:hAnsi="Times New Roman" w:cs="Times New Roman"/>
          <w:bCs/>
          <w:iCs/>
          <w:sz w:val="24"/>
          <w:szCs w:val="24"/>
          <w:lang w:val="en-US"/>
        </w:rPr>
        <w:t>3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102C22">
        <w:rPr>
          <w:rFonts w:ascii="Times New Roman" w:hAnsi="Times New Roman" w:cs="Times New Roman"/>
          <w:bCs/>
          <w:iCs/>
          <w:sz w:val="24"/>
          <w:szCs w:val="24"/>
          <w:lang w:val="en-US"/>
        </w:rPr>
        <w:t>factors: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102C22">
        <w:rPr>
          <w:rFonts w:ascii="Times New Roman" w:hAnsi="Times New Roman" w:cs="Times New Roman"/>
          <w:bCs/>
          <w:iCs/>
          <w:sz w:val="24"/>
          <w:szCs w:val="24"/>
          <w:lang w:val="en-US"/>
        </w:rPr>
        <w:t>vigor,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102C22">
        <w:rPr>
          <w:rFonts w:ascii="Times New Roman" w:hAnsi="Times New Roman" w:cs="Times New Roman"/>
          <w:bCs/>
          <w:iCs/>
          <w:sz w:val="24"/>
          <w:szCs w:val="24"/>
          <w:lang w:val="en-US"/>
        </w:rPr>
        <w:t>dedication,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102C22">
        <w:rPr>
          <w:rFonts w:ascii="Times New Roman" w:hAnsi="Times New Roman" w:cs="Times New Roman"/>
          <w:bCs/>
          <w:iCs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102C22">
        <w:rPr>
          <w:rFonts w:ascii="Times New Roman" w:hAnsi="Times New Roman" w:cs="Times New Roman"/>
          <w:bCs/>
          <w:iCs/>
          <w:sz w:val="24"/>
          <w:szCs w:val="24"/>
          <w:lang w:val="en-US"/>
        </w:rPr>
        <w:t>absorption.</w:t>
      </w:r>
      <w:r w:rsidR="00376A1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responses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graduated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range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from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0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"never"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6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"always".</w:t>
      </w:r>
      <w:r w:rsidR="00376A1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present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reliability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level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lastRenderedPageBreak/>
        <w:t>instrument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acceptable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all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subscales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(vigor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</w:rPr>
        <w:t>α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.780,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dedication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</w:rPr>
        <w:t>α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.876,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absorption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</w:rPr>
        <w:t>α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=.728,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Oviedo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Campo-Arias,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2005).</w:t>
      </w:r>
    </w:p>
    <w:p w:rsidR="005A3706" w:rsidRPr="00194382" w:rsidRDefault="005A3706" w:rsidP="0071663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Maslach</w:t>
      </w:r>
      <w:r w:rsidR="00023B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Burnout</w:t>
      </w:r>
      <w:r w:rsidR="00023B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Inventory-General</w:t>
      </w:r>
      <w:r w:rsidR="00023B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/>
          <w:sz w:val="24"/>
          <w:szCs w:val="24"/>
          <w:lang w:val="en-US"/>
        </w:rPr>
        <w:t>Survey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(MBI-GS,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Schaufeli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1996).</w:t>
      </w:r>
      <w:r w:rsidR="00376A1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validation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made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Spontón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al.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(2019)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Argentine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population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used.</w:t>
      </w:r>
      <w:r w:rsidR="00376A1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burnout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cynicism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scales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used,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each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composed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4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items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graduated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response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options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(from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0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"never",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6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"always").</w:t>
      </w:r>
      <w:r w:rsidR="00376A1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level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reliability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these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scales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adequate,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</w:rPr>
        <w:t>α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.756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="001F6CA8">
        <w:rPr>
          <w:rFonts w:ascii="Times New Roman" w:hAnsi="Times New Roman" w:cs="Times New Roman"/>
          <w:bCs/>
          <w:iCs/>
          <w:sz w:val="24"/>
          <w:szCs w:val="24"/>
          <w:lang w:val="en-US"/>
        </w:rPr>
        <w:t>e</w:t>
      </w:r>
      <w:r w:rsidR="001F6CA8" w:rsidRPr="001F6CA8">
        <w:rPr>
          <w:rFonts w:ascii="Times New Roman" w:hAnsi="Times New Roman" w:cs="Times New Roman"/>
          <w:bCs/>
          <w:iCs/>
          <w:sz w:val="24"/>
          <w:szCs w:val="24"/>
          <w:lang w:val="en-US"/>
        </w:rPr>
        <w:t>xhaustion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</w:rPr>
        <w:t>α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.783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5A37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cynicism.</w:t>
      </w:r>
    </w:p>
    <w:p w:rsidR="00542AC8" w:rsidRPr="00474FC0" w:rsidRDefault="00851B75" w:rsidP="0071663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74FC0">
        <w:rPr>
          <w:rFonts w:ascii="Times New Roman" w:hAnsi="Times New Roman" w:cs="Times New Roman"/>
          <w:b/>
          <w:i/>
          <w:sz w:val="24"/>
          <w:szCs w:val="24"/>
          <w:lang w:val="en-US"/>
        </w:rPr>
        <w:t>Proce</w:t>
      </w:r>
      <w:r w:rsidR="005A3706" w:rsidRPr="00474FC0">
        <w:rPr>
          <w:rFonts w:ascii="Times New Roman" w:hAnsi="Times New Roman" w:cs="Times New Roman"/>
          <w:b/>
          <w:i/>
          <w:sz w:val="24"/>
          <w:szCs w:val="24"/>
          <w:lang w:val="en-US"/>
        </w:rPr>
        <w:t>dure</w:t>
      </w:r>
    </w:p>
    <w:p w:rsidR="00474FC0" w:rsidRPr="00474FC0" w:rsidRDefault="00474FC0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hoc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Sociodemographic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Questionnaire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administered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sample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(N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611)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respective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workplaces,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agreement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authorities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organizations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workers.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subsample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(n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165)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additionally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administered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UWES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Engagement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Questionnaire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MBI-GS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scales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criterion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study.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collection,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loaded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SPSS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19.0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statistical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package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(IBM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Corp.,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2010).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descriptive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exploration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out,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atypical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missing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searched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for,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distribution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responses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analyzed.</w:t>
      </w:r>
    </w:p>
    <w:p w:rsidR="00D21201" w:rsidRDefault="00474FC0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4FC0">
        <w:rPr>
          <w:rFonts w:ascii="Times New Roman" w:hAnsi="Times New Roman" w:cs="Times New Roman"/>
          <w:sz w:val="24"/>
          <w:szCs w:val="24"/>
          <w:lang w:val="en-US"/>
        </w:rPr>
        <w:t>Subsequently,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internal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analyzed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confirmatory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factor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(CFA)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AMOS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program.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</w:rPr>
        <w:t>χ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2,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degrees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freedom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(gl),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comparative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fit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(CFI),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goodness-of-fit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(GFI),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normalized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fit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(NFI),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unnormalized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fit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(TLI)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root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mean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square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approximation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(RMSEA)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considered,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critical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values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proposed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Hu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Bentler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(1999).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analyzed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Cronbach's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Alpha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Omega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coefficient.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Finally,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relationships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obtained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obtained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UWES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Engagement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Questionnaire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MBI-GS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scales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explored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verify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concurrent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4FC0">
        <w:rPr>
          <w:rFonts w:ascii="Times New Roman" w:hAnsi="Times New Roman" w:cs="Times New Roman"/>
          <w:sz w:val="24"/>
          <w:szCs w:val="24"/>
          <w:lang w:val="en-US"/>
        </w:rPr>
        <w:t>validity.</w:t>
      </w:r>
    </w:p>
    <w:p w:rsidR="00D21201" w:rsidRPr="00D21201" w:rsidRDefault="00D21201" w:rsidP="007166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21201">
        <w:rPr>
          <w:rFonts w:ascii="Times New Roman" w:hAnsi="Times New Roman" w:cs="Times New Roman"/>
          <w:b/>
          <w:bCs/>
          <w:sz w:val="24"/>
          <w:szCs w:val="24"/>
          <w:lang w:val="en-US"/>
        </w:rPr>
        <w:t>Ethical</w:t>
      </w:r>
      <w:r w:rsidR="00023B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considerations</w:t>
      </w:r>
    </w:p>
    <w:p w:rsidR="00D21201" w:rsidRDefault="006719BB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1201" w:rsidRPr="00D21201">
        <w:rPr>
          <w:rFonts w:ascii="Times New Roman" w:hAnsi="Times New Roman" w:cs="Times New Roman"/>
          <w:sz w:val="24"/>
          <w:szCs w:val="24"/>
          <w:lang w:val="en-US"/>
        </w:rPr>
        <w:t>study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 conducted following the ethical standards of Argentina, as well as the Universal Declaration of Ethical Principles for </w:t>
      </w:r>
      <w:r w:rsidRPr="00F41412">
        <w:rPr>
          <w:rFonts w:ascii="Times New Roman" w:hAnsi="Times New Roman" w:cs="Times New Roman"/>
          <w:sz w:val="24"/>
          <w:szCs w:val="24"/>
          <w:lang w:val="en-US"/>
        </w:rPr>
        <w:t>Psychologists (IAAP &amp; IUPsyS, 2008), the International Ethical Guidelines for Biomedical Research Involving Human Subjects (</w:t>
      </w:r>
      <w:r w:rsidR="00F41412">
        <w:rPr>
          <w:rFonts w:ascii="Times New Roman" w:hAnsi="Times New Roman" w:cs="Times New Roman"/>
          <w:sz w:val="24"/>
          <w:szCs w:val="24"/>
          <w:lang w:val="en-US"/>
        </w:rPr>
        <w:t xml:space="preserve">OPS &amp; </w:t>
      </w:r>
      <w:r w:rsidRPr="00F41412">
        <w:rPr>
          <w:rFonts w:ascii="Times New Roman" w:hAnsi="Times New Roman" w:cs="Times New Roman"/>
          <w:sz w:val="24"/>
          <w:szCs w:val="24"/>
          <w:lang w:val="en-US"/>
        </w:rPr>
        <w:t>CIOMS</w:t>
      </w:r>
      <w:r w:rsidR="00F41412">
        <w:rPr>
          <w:rFonts w:ascii="Times New Roman" w:hAnsi="Times New Roman" w:cs="Times New Roman"/>
          <w:sz w:val="24"/>
          <w:szCs w:val="24"/>
          <w:lang w:val="en-US"/>
        </w:rPr>
        <w:t>, 2017</w:t>
      </w:r>
      <w:r w:rsidRPr="00F4141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76A10" w:rsidRPr="00F41412">
        <w:rPr>
          <w:rFonts w:ascii="Times New Roman" w:hAnsi="Times New Roman" w:cs="Times New Roman"/>
          <w:sz w:val="24"/>
          <w:szCs w:val="24"/>
          <w:lang w:val="en-US"/>
        </w:rPr>
        <w:t xml:space="preserve"> and the declarations of the Inte</w:t>
      </w:r>
      <w:r w:rsidR="00F41412" w:rsidRPr="00F41412">
        <w:rPr>
          <w:rFonts w:ascii="Times New Roman" w:hAnsi="Times New Roman" w:cs="Times New Roman"/>
          <w:sz w:val="24"/>
          <w:szCs w:val="24"/>
          <w:lang w:val="en-US"/>
        </w:rPr>
        <w:t>ramerican Society of Psychology.</w:t>
      </w:r>
    </w:p>
    <w:p w:rsidR="00D21201" w:rsidRPr="00D21201" w:rsidRDefault="00D21201" w:rsidP="007166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2120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Results</w:t>
      </w:r>
      <w:r w:rsidR="00376A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:rsidR="00D21201" w:rsidRPr="00D21201" w:rsidRDefault="00D21201" w:rsidP="0071663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21201">
        <w:rPr>
          <w:rFonts w:ascii="Times New Roman" w:hAnsi="Times New Roman" w:cs="Times New Roman"/>
          <w:i/>
          <w:iCs/>
          <w:sz w:val="24"/>
          <w:szCs w:val="24"/>
          <w:lang w:val="en-US"/>
        </w:rPr>
        <w:t>Exploration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102C22">
        <w:rPr>
          <w:rFonts w:ascii="Times New Roman" w:hAnsi="Times New Roman" w:cs="Times New Roman"/>
          <w:i/>
          <w:iCs/>
          <w:sz w:val="24"/>
          <w:szCs w:val="24"/>
          <w:lang w:val="en-US"/>
        </w:rPr>
        <w:t>assumptions.</w:t>
      </w:r>
    </w:p>
    <w:p w:rsidR="00474FC0" w:rsidRPr="00474FC0" w:rsidRDefault="00D21201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201">
        <w:rPr>
          <w:rFonts w:ascii="Times New Roman" w:hAnsi="Times New Roman" w:cs="Times New Roman"/>
          <w:sz w:val="24"/>
          <w:szCs w:val="24"/>
          <w:lang w:val="en-US"/>
        </w:rPr>
        <w:t>Firstly,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exploration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attending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outlier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cases,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missing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cases,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mean,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deviation,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skewness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kurtosis.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Sixty-three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outliers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(Z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&gt;3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&lt;3.5)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detected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retained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database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presence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did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markedly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alter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distribution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data.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outlier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detected;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eliminated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large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deviation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relation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rest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data.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missing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5%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found,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however,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imputed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linear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regression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subsequent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CFA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tests.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presented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distribution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exception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7667A">
        <w:rPr>
          <w:rFonts w:ascii="Times New Roman" w:hAnsi="Times New Roman" w:cs="Times New Roman"/>
          <w:sz w:val="24"/>
          <w:szCs w:val="24"/>
          <w:lang w:val="en-US"/>
        </w:rPr>
        <w:t>skewness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7667A">
        <w:rPr>
          <w:rFonts w:ascii="Times New Roman" w:hAnsi="Times New Roman" w:cs="Times New Roman"/>
          <w:sz w:val="24"/>
          <w:szCs w:val="24"/>
          <w:lang w:val="en-US"/>
        </w:rPr>
        <w:t>kurtosis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±1.5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criterion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(George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Malle</w:t>
      </w:r>
      <w:r w:rsidR="0007667A">
        <w:rPr>
          <w:rFonts w:ascii="Times New Roman" w:hAnsi="Times New Roman" w:cs="Times New Roman"/>
          <w:sz w:val="24"/>
          <w:szCs w:val="24"/>
          <w:lang w:val="en-US"/>
        </w:rPr>
        <w:t>ry,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7667A">
        <w:rPr>
          <w:rFonts w:ascii="Times New Roman" w:hAnsi="Times New Roman" w:cs="Times New Roman"/>
          <w:sz w:val="24"/>
          <w:szCs w:val="24"/>
          <w:lang w:val="en-US"/>
        </w:rPr>
        <w:t>2001),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7667A">
        <w:rPr>
          <w:rFonts w:ascii="Times New Roman" w:hAnsi="Times New Roman" w:cs="Times New Roman"/>
          <w:sz w:val="24"/>
          <w:szCs w:val="24"/>
          <w:lang w:val="en-US"/>
        </w:rPr>
        <w:t>namely,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7667A"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7667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7667A">
        <w:rPr>
          <w:rFonts w:ascii="Times New Roman" w:hAnsi="Times New Roman" w:cs="Times New Roman"/>
          <w:sz w:val="24"/>
          <w:szCs w:val="24"/>
          <w:lang w:val="en-US"/>
        </w:rPr>
        <w:t>skewness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1.72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93FDE">
        <w:rPr>
          <w:rFonts w:ascii="Times New Roman" w:hAnsi="Times New Roman" w:cs="Times New Roman"/>
          <w:sz w:val="24"/>
          <w:szCs w:val="24"/>
          <w:lang w:val="en-US"/>
        </w:rPr>
        <w:t>kurtosis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93FDE" w:rsidRPr="00D21201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719B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2.17.</w:t>
      </w:r>
    </w:p>
    <w:p w:rsidR="00D21201" w:rsidRPr="00D21201" w:rsidRDefault="00D21201" w:rsidP="0071663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21201">
        <w:rPr>
          <w:rFonts w:ascii="Times New Roman" w:hAnsi="Times New Roman" w:cs="Times New Roman"/>
          <w:i/>
          <w:iCs/>
          <w:sz w:val="24"/>
          <w:szCs w:val="24"/>
          <w:lang w:val="en-US"/>
        </w:rPr>
        <w:t>Confirmatory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i/>
          <w:iCs/>
          <w:sz w:val="24"/>
          <w:szCs w:val="24"/>
          <w:lang w:val="en-US"/>
        </w:rPr>
        <w:t>factor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i/>
          <w:iCs/>
          <w:sz w:val="24"/>
          <w:szCs w:val="24"/>
          <w:lang w:val="en-US"/>
        </w:rPr>
        <w:t>analysis.</w:t>
      </w:r>
    </w:p>
    <w:p w:rsidR="00D21201" w:rsidRPr="00D21201" w:rsidRDefault="00D21201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201">
        <w:rPr>
          <w:rFonts w:ascii="Times New Roman" w:hAnsi="Times New Roman" w:cs="Times New Roman"/>
          <w:sz w:val="24"/>
          <w:szCs w:val="24"/>
          <w:lang w:val="en-US"/>
        </w:rPr>
        <w:t>Considering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psychometric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background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scale,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CFA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performed.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models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numbers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subjected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analysis;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models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presented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Figure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Likelihood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Method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used,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multiple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considered.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observed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original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four-factor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(M3)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presents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superior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fit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rest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models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tested.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clarified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still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improves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correlation.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shown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sz w:val="24"/>
          <w:szCs w:val="24"/>
          <w:lang w:val="en-US"/>
        </w:rPr>
        <w:t>2.</w:t>
      </w:r>
    </w:p>
    <w:p w:rsidR="00446CF2" w:rsidRPr="00446CF2" w:rsidRDefault="00446CF2" w:rsidP="0071663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46CF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1. </w:t>
      </w:r>
      <w:r w:rsidRPr="00446CF2">
        <w:rPr>
          <w:rFonts w:ascii="Times New Roman" w:hAnsi="Times New Roman" w:cs="Times New Roman"/>
          <w:bCs/>
          <w:sz w:val="24"/>
          <w:szCs w:val="24"/>
          <w:lang w:val="en-US"/>
        </w:rPr>
        <w:t>Models tested by confirmatory factor analysis.</w:t>
      </w:r>
    </w:p>
    <w:p w:rsidR="00446CF2" w:rsidRPr="00446CF2" w:rsidRDefault="00446CF2" w:rsidP="007166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6CF2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3360572" cy="2203888"/>
            <wp:effectExtent l="19050" t="0" r="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125" t="8308" r="17319" b="12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81" cy="2213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CF2" w:rsidRPr="006719BB" w:rsidRDefault="00446CF2" w:rsidP="00446CF2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719BB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Note. </w:t>
      </w:r>
      <w:r w:rsidRPr="006719BB">
        <w:rPr>
          <w:rFonts w:ascii="Times New Roman" w:hAnsi="Times New Roman" w:cs="Times New Roman"/>
          <w:bCs/>
          <w:sz w:val="20"/>
          <w:szCs w:val="20"/>
          <w:lang w:val="en-US"/>
        </w:rPr>
        <w:t>M1. 2-factor model: Negative Interaction and Positive Interaction.  M2.  2-factor model: T-F Interaction and F-T Interaction.  M3.  4-factor model: Negative T-F Interaction, Negative F-T Interaction, Positive T-F Interaction and Positive F-T Interaction.</w:t>
      </w:r>
    </w:p>
    <w:p w:rsidR="00446CF2" w:rsidRDefault="00446CF2" w:rsidP="009315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6CF2" w:rsidRPr="00446CF2" w:rsidRDefault="00446CF2" w:rsidP="00446C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6CF2">
        <w:rPr>
          <w:rFonts w:ascii="Times New Roman" w:hAnsi="Times New Roman" w:cs="Times New Roman"/>
          <w:b/>
          <w:sz w:val="24"/>
          <w:szCs w:val="24"/>
          <w:lang w:val="en-US"/>
        </w:rPr>
        <w:t>Table 2</w:t>
      </w:r>
    </w:p>
    <w:p w:rsidR="00446CF2" w:rsidRPr="00446CF2" w:rsidRDefault="00446CF2" w:rsidP="00446C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46C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Fit indices for each specified model of the SWING scale in Argentine workers.  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8"/>
        <w:gridCol w:w="1234"/>
        <w:gridCol w:w="24"/>
        <w:gridCol w:w="1051"/>
        <w:gridCol w:w="1116"/>
        <w:gridCol w:w="1124"/>
        <w:gridCol w:w="1116"/>
        <w:gridCol w:w="1033"/>
        <w:gridCol w:w="1308"/>
      </w:tblGrid>
      <w:tr w:rsidR="00446CF2" w:rsidRPr="00446CF2" w:rsidTr="00446CF2">
        <w:tc>
          <w:tcPr>
            <w:tcW w:w="1347" w:type="dxa"/>
            <w:tcBorders>
              <w:top w:val="single" w:sz="8" w:space="0" w:color="auto"/>
              <w:bottom w:val="nil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8" w:space="0" w:color="auto"/>
              <w:bottom w:val="nil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53" w:type="dxa"/>
            <w:gridSpan w:val="7"/>
            <w:tcBorders>
              <w:top w:val="single" w:sz="8" w:space="0" w:color="auto"/>
              <w:bottom w:val="nil"/>
            </w:tcBorders>
          </w:tcPr>
          <w:p w:rsidR="00446CF2" w:rsidRPr="00446CF2" w:rsidRDefault="00446CF2" w:rsidP="0044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Fit indices</w:t>
            </w:r>
          </w:p>
        </w:tc>
      </w:tr>
      <w:tr w:rsidR="00446CF2" w:rsidRPr="00446CF2" w:rsidTr="00446CF2">
        <w:tc>
          <w:tcPr>
            <w:tcW w:w="1347" w:type="dxa"/>
            <w:tcBorders>
              <w:top w:val="nil"/>
              <w:bottom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bottom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χ</w:t>
            </w: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4" w:type="dxa"/>
            <w:tcBorders>
              <w:top w:val="nil"/>
              <w:bottom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Df</w:t>
            </w:r>
          </w:p>
        </w:tc>
        <w:tc>
          <w:tcPr>
            <w:tcW w:w="1416" w:type="dxa"/>
            <w:tcBorders>
              <w:top w:val="nil"/>
              <w:bottom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CFI</w:t>
            </w:r>
          </w:p>
        </w:tc>
        <w:tc>
          <w:tcPr>
            <w:tcW w:w="1420" w:type="dxa"/>
            <w:tcBorders>
              <w:top w:val="nil"/>
              <w:bottom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GFI</w:t>
            </w:r>
          </w:p>
        </w:tc>
        <w:tc>
          <w:tcPr>
            <w:tcW w:w="1416" w:type="dxa"/>
            <w:tcBorders>
              <w:top w:val="nil"/>
              <w:bottom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TLI</w:t>
            </w:r>
          </w:p>
        </w:tc>
        <w:tc>
          <w:tcPr>
            <w:tcW w:w="1281" w:type="dxa"/>
            <w:tcBorders>
              <w:top w:val="nil"/>
              <w:bottom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NFI</w:t>
            </w:r>
          </w:p>
        </w:tc>
        <w:tc>
          <w:tcPr>
            <w:tcW w:w="1447" w:type="dxa"/>
            <w:tcBorders>
              <w:top w:val="nil"/>
              <w:bottom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RMSEA</w:t>
            </w:r>
          </w:p>
        </w:tc>
      </w:tr>
      <w:tr w:rsidR="00446CF2" w:rsidRPr="00446CF2" w:rsidTr="00446CF2">
        <w:tc>
          <w:tcPr>
            <w:tcW w:w="1347" w:type="dxa"/>
            <w:tcBorders>
              <w:top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M1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</w:tcBorders>
            <w:vAlign w:val="bottom"/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1332,273</w:t>
            </w:r>
          </w:p>
        </w:tc>
        <w:tc>
          <w:tcPr>
            <w:tcW w:w="1344" w:type="dxa"/>
            <w:tcBorders>
              <w:top w:val="single" w:sz="8" w:space="0" w:color="auto"/>
            </w:tcBorders>
            <w:vAlign w:val="bottom"/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416" w:type="dxa"/>
            <w:tcBorders>
              <w:top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.76</w:t>
            </w:r>
          </w:p>
        </w:tc>
        <w:tc>
          <w:tcPr>
            <w:tcW w:w="1420" w:type="dxa"/>
            <w:tcBorders>
              <w:top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.79</w:t>
            </w:r>
          </w:p>
        </w:tc>
        <w:tc>
          <w:tcPr>
            <w:tcW w:w="1416" w:type="dxa"/>
            <w:tcBorders>
              <w:top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.73</w:t>
            </w:r>
          </w:p>
        </w:tc>
        <w:tc>
          <w:tcPr>
            <w:tcW w:w="1281" w:type="dxa"/>
            <w:tcBorders>
              <w:top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.72</w:t>
            </w:r>
          </w:p>
        </w:tc>
        <w:tc>
          <w:tcPr>
            <w:tcW w:w="1447" w:type="dxa"/>
            <w:tcBorders>
              <w:top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46CF2" w:rsidRPr="00446CF2" w:rsidTr="00446CF2">
        <w:tc>
          <w:tcPr>
            <w:tcW w:w="1347" w:type="dxa"/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M2</w:t>
            </w:r>
          </w:p>
        </w:tc>
        <w:tc>
          <w:tcPr>
            <w:tcW w:w="1345" w:type="dxa"/>
            <w:gridSpan w:val="2"/>
            <w:vAlign w:val="bottom"/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2412,127</w:t>
            </w:r>
          </w:p>
        </w:tc>
        <w:tc>
          <w:tcPr>
            <w:tcW w:w="1344" w:type="dxa"/>
            <w:vAlign w:val="bottom"/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416" w:type="dxa"/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</w:p>
        </w:tc>
        <w:tc>
          <w:tcPr>
            <w:tcW w:w="1420" w:type="dxa"/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.66</w:t>
            </w:r>
          </w:p>
        </w:tc>
        <w:tc>
          <w:tcPr>
            <w:tcW w:w="1416" w:type="dxa"/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.47</w:t>
            </w:r>
          </w:p>
        </w:tc>
        <w:tc>
          <w:tcPr>
            <w:tcW w:w="1281" w:type="dxa"/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1447" w:type="dxa"/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</w:tr>
      <w:tr w:rsidR="00446CF2" w:rsidRPr="00446CF2" w:rsidTr="00446CF2">
        <w:tc>
          <w:tcPr>
            <w:tcW w:w="1347" w:type="dxa"/>
            <w:tcBorders>
              <w:bottom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M3</w:t>
            </w:r>
          </w:p>
        </w:tc>
        <w:tc>
          <w:tcPr>
            <w:tcW w:w="1345" w:type="dxa"/>
            <w:gridSpan w:val="2"/>
            <w:tcBorders>
              <w:bottom w:val="single" w:sz="8" w:space="0" w:color="auto"/>
            </w:tcBorders>
            <w:vAlign w:val="bottom"/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487,147</w:t>
            </w:r>
          </w:p>
        </w:tc>
        <w:tc>
          <w:tcPr>
            <w:tcW w:w="1344" w:type="dxa"/>
            <w:tcBorders>
              <w:bottom w:val="single" w:sz="8" w:space="0" w:color="auto"/>
            </w:tcBorders>
            <w:vAlign w:val="bottom"/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416" w:type="dxa"/>
            <w:tcBorders>
              <w:bottom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.93</w:t>
            </w:r>
          </w:p>
        </w:tc>
        <w:tc>
          <w:tcPr>
            <w:tcW w:w="1420" w:type="dxa"/>
            <w:tcBorders>
              <w:bottom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.92</w:t>
            </w:r>
          </w:p>
        </w:tc>
        <w:tc>
          <w:tcPr>
            <w:tcW w:w="1416" w:type="dxa"/>
            <w:tcBorders>
              <w:bottom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.92</w:t>
            </w:r>
          </w:p>
        </w:tc>
        <w:tc>
          <w:tcPr>
            <w:tcW w:w="1281" w:type="dxa"/>
            <w:tcBorders>
              <w:bottom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.90</w:t>
            </w:r>
          </w:p>
        </w:tc>
        <w:tc>
          <w:tcPr>
            <w:tcW w:w="1447" w:type="dxa"/>
            <w:tcBorders>
              <w:bottom w:val="single" w:sz="8" w:space="0" w:color="auto"/>
            </w:tcBorders>
          </w:tcPr>
          <w:p w:rsidR="00446CF2" w:rsidRPr="00446CF2" w:rsidRDefault="00446CF2" w:rsidP="00446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9315B0" w:rsidRPr="009315B0" w:rsidRDefault="009315B0" w:rsidP="009315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315B0" w:rsidRPr="0071663E" w:rsidRDefault="00D21201" w:rsidP="0071663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internal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consistency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each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subscale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SWING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examined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means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Cronbach's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Alpha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Omega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coefficient.</w:t>
      </w:r>
      <w:r w:rsidR="00376A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results,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presented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Table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3,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considered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optimal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acceptable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except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</w:rPr>
        <w:t>α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obtained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Work-Family</w:t>
      </w:r>
      <w:r w:rsidR="00023B6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Interaction</w:t>
      </w:r>
      <w:r w:rsidR="00023B6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subscale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however,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same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yields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satisfactory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levels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using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</w:rPr>
        <w:t>ω</w:t>
      </w:r>
      <w:r w:rsidR="00023B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D21201">
        <w:rPr>
          <w:rFonts w:ascii="Times New Roman" w:hAnsi="Times New Roman" w:cs="Times New Roman"/>
          <w:bCs/>
          <w:sz w:val="24"/>
          <w:szCs w:val="24"/>
          <w:lang w:val="en-US"/>
        </w:rPr>
        <w:t>coefficient.</w:t>
      </w:r>
    </w:p>
    <w:p w:rsidR="00446CF2" w:rsidRPr="00446CF2" w:rsidRDefault="00446CF2" w:rsidP="007166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6CF2">
        <w:rPr>
          <w:rFonts w:ascii="Times New Roman" w:hAnsi="Times New Roman" w:cs="Times New Roman"/>
          <w:b/>
          <w:sz w:val="24"/>
          <w:szCs w:val="24"/>
          <w:lang w:val="en-US"/>
        </w:rPr>
        <w:t>Table 3</w:t>
      </w:r>
    </w:p>
    <w:p w:rsidR="00446CF2" w:rsidRPr="00446CF2" w:rsidRDefault="00446CF2" w:rsidP="0071663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46CF2">
        <w:rPr>
          <w:rFonts w:ascii="Times New Roman" w:hAnsi="Times New Roman" w:cs="Times New Roman"/>
          <w:i/>
          <w:sz w:val="24"/>
          <w:szCs w:val="24"/>
          <w:lang w:val="en-US"/>
        </w:rPr>
        <w:t>Internal consistency of the SWING subscales.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6"/>
        <w:gridCol w:w="2132"/>
        <w:gridCol w:w="2132"/>
      </w:tblGrid>
      <w:tr w:rsidR="00446CF2" w:rsidRPr="00446CF2" w:rsidTr="00446CF2">
        <w:tc>
          <w:tcPr>
            <w:tcW w:w="3646" w:type="dxa"/>
            <w:tcBorders>
              <w:top w:val="single" w:sz="8" w:space="0" w:color="auto"/>
              <w:bottom w:val="single" w:sz="8" w:space="0" w:color="auto"/>
            </w:tcBorders>
          </w:tcPr>
          <w:p w:rsidR="00446CF2" w:rsidRPr="00446CF2" w:rsidRDefault="00446CF2" w:rsidP="00671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Subscale</w:t>
            </w:r>
          </w:p>
        </w:tc>
        <w:tc>
          <w:tcPr>
            <w:tcW w:w="2132" w:type="dxa"/>
            <w:tcBorders>
              <w:top w:val="single" w:sz="8" w:space="0" w:color="auto"/>
              <w:bottom w:val="single" w:sz="8" w:space="0" w:color="auto"/>
            </w:tcBorders>
          </w:tcPr>
          <w:p w:rsidR="00446CF2" w:rsidRPr="00446CF2" w:rsidRDefault="00446CF2" w:rsidP="00671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α</w:t>
            </w:r>
          </w:p>
        </w:tc>
        <w:tc>
          <w:tcPr>
            <w:tcW w:w="2132" w:type="dxa"/>
            <w:tcBorders>
              <w:top w:val="single" w:sz="8" w:space="0" w:color="auto"/>
              <w:bottom w:val="single" w:sz="8" w:space="0" w:color="auto"/>
            </w:tcBorders>
          </w:tcPr>
          <w:p w:rsidR="00446CF2" w:rsidRPr="00446CF2" w:rsidRDefault="00446CF2" w:rsidP="00671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ω</w:t>
            </w:r>
          </w:p>
        </w:tc>
      </w:tr>
      <w:tr w:rsidR="00446CF2" w:rsidRPr="00446CF2" w:rsidTr="00446CF2">
        <w:tc>
          <w:tcPr>
            <w:tcW w:w="3646" w:type="dxa"/>
            <w:tcBorders>
              <w:top w:val="single" w:sz="8" w:space="0" w:color="auto"/>
            </w:tcBorders>
          </w:tcPr>
          <w:p w:rsidR="00446CF2" w:rsidRPr="00446CF2" w:rsidRDefault="00446CF2" w:rsidP="00671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Work-Family Negative Interaction</w:t>
            </w:r>
          </w:p>
        </w:tc>
        <w:tc>
          <w:tcPr>
            <w:tcW w:w="2132" w:type="dxa"/>
            <w:tcBorders>
              <w:top w:val="single" w:sz="8" w:space="0" w:color="auto"/>
            </w:tcBorders>
          </w:tcPr>
          <w:p w:rsidR="00446CF2" w:rsidRPr="00446CF2" w:rsidRDefault="00446CF2" w:rsidP="006719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.864</w:t>
            </w:r>
          </w:p>
        </w:tc>
        <w:tc>
          <w:tcPr>
            <w:tcW w:w="2132" w:type="dxa"/>
            <w:tcBorders>
              <w:top w:val="single" w:sz="8" w:space="0" w:color="auto"/>
            </w:tcBorders>
          </w:tcPr>
          <w:p w:rsidR="00446CF2" w:rsidRPr="00446CF2" w:rsidRDefault="00446CF2" w:rsidP="006719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.894</w:t>
            </w:r>
          </w:p>
        </w:tc>
      </w:tr>
      <w:tr w:rsidR="00446CF2" w:rsidRPr="00446CF2" w:rsidTr="00446CF2">
        <w:tc>
          <w:tcPr>
            <w:tcW w:w="3646" w:type="dxa"/>
          </w:tcPr>
          <w:p w:rsidR="00446CF2" w:rsidRPr="00446CF2" w:rsidRDefault="00446CF2" w:rsidP="00671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Family-Work Negative Interaction</w:t>
            </w:r>
          </w:p>
        </w:tc>
        <w:tc>
          <w:tcPr>
            <w:tcW w:w="2132" w:type="dxa"/>
          </w:tcPr>
          <w:p w:rsidR="00446CF2" w:rsidRPr="00446CF2" w:rsidRDefault="00446CF2" w:rsidP="006719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.836</w:t>
            </w:r>
          </w:p>
        </w:tc>
        <w:tc>
          <w:tcPr>
            <w:tcW w:w="2132" w:type="dxa"/>
          </w:tcPr>
          <w:p w:rsidR="00446CF2" w:rsidRPr="00446CF2" w:rsidRDefault="00446CF2" w:rsidP="006719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.890</w:t>
            </w:r>
          </w:p>
        </w:tc>
      </w:tr>
      <w:tr w:rsidR="00446CF2" w:rsidRPr="00446CF2" w:rsidTr="00446CF2">
        <w:tc>
          <w:tcPr>
            <w:tcW w:w="3646" w:type="dxa"/>
          </w:tcPr>
          <w:p w:rsidR="00446CF2" w:rsidRPr="00446CF2" w:rsidRDefault="00446CF2" w:rsidP="00671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Work-Family Positive Interaction</w:t>
            </w:r>
          </w:p>
        </w:tc>
        <w:tc>
          <w:tcPr>
            <w:tcW w:w="2132" w:type="dxa"/>
          </w:tcPr>
          <w:p w:rsidR="00446CF2" w:rsidRPr="00446CF2" w:rsidRDefault="00446CF2" w:rsidP="006719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.686</w:t>
            </w:r>
          </w:p>
        </w:tc>
        <w:tc>
          <w:tcPr>
            <w:tcW w:w="2132" w:type="dxa"/>
          </w:tcPr>
          <w:p w:rsidR="00446CF2" w:rsidRPr="00446CF2" w:rsidRDefault="00446CF2" w:rsidP="006719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.794</w:t>
            </w:r>
          </w:p>
        </w:tc>
      </w:tr>
      <w:tr w:rsidR="00446CF2" w:rsidRPr="00446CF2" w:rsidTr="00446CF2">
        <w:tc>
          <w:tcPr>
            <w:tcW w:w="3646" w:type="dxa"/>
            <w:tcBorders>
              <w:bottom w:val="single" w:sz="8" w:space="0" w:color="auto"/>
            </w:tcBorders>
          </w:tcPr>
          <w:p w:rsidR="00446CF2" w:rsidRPr="00446CF2" w:rsidRDefault="00446CF2" w:rsidP="00671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Family-Work Positive Interaction</w:t>
            </w:r>
          </w:p>
        </w:tc>
        <w:tc>
          <w:tcPr>
            <w:tcW w:w="2132" w:type="dxa"/>
            <w:tcBorders>
              <w:bottom w:val="single" w:sz="8" w:space="0" w:color="auto"/>
            </w:tcBorders>
          </w:tcPr>
          <w:p w:rsidR="00446CF2" w:rsidRPr="00446CF2" w:rsidRDefault="00446CF2" w:rsidP="006719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.786</w:t>
            </w:r>
          </w:p>
        </w:tc>
        <w:tc>
          <w:tcPr>
            <w:tcW w:w="2132" w:type="dxa"/>
            <w:tcBorders>
              <w:bottom w:val="single" w:sz="8" w:space="0" w:color="auto"/>
            </w:tcBorders>
          </w:tcPr>
          <w:p w:rsidR="00446CF2" w:rsidRPr="00446CF2" w:rsidRDefault="00446CF2" w:rsidP="006719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.855</w:t>
            </w:r>
          </w:p>
        </w:tc>
      </w:tr>
    </w:tbl>
    <w:p w:rsidR="00446CF2" w:rsidRPr="009315B0" w:rsidRDefault="00446CF2" w:rsidP="006719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0354" w:rsidRDefault="008D0354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0354">
        <w:rPr>
          <w:rFonts w:ascii="Times New Roman" w:hAnsi="Times New Roman" w:cs="Times New Roman"/>
          <w:sz w:val="24"/>
          <w:szCs w:val="24"/>
          <w:lang w:val="en-US"/>
        </w:rPr>
        <w:t>Concurrent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assessed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exploring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correlations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subscales,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UWES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Engagement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Questionnaire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MBI-GS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scales.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expected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literature,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subscales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correlated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negatively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engagement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dimensions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positively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burnout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dimensions;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contrary,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subscales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presented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associations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engagement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lastRenderedPageBreak/>
        <w:t>variables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associations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burnout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variables.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mostly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statistically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shown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354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446CF2" w:rsidRPr="00446CF2" w:rsidRDefault="00446CF2" w:rsidP="007166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6CF2">
        <w:rPr>
          <w:rFonts w:ascii="Times New Roman" w:hAnsi="Times New Roman" w:cs="Times New Roman"/>
          <w:b/>
          <w:sz w:val="24"/>
          <w:szCs w:val="24"/>
          <w:lang w:val="en-US"/>
        </w:rPr>
        <w:t>Table 4</w:t>
      </w:r>
    </w:p>
    <w:p w:rsidR="00446CF2" w:rsidRPr="00446CF2" w:rsidRDefault="00446CF2" w:rsidP="0071663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46CF2">
        <w:rPr>
          <w:rFonts w:ascii="Times New Roman" w:hAnsi="Times New Roman" w:cs="Times New Roman"/>
          <w:i/>
          <w:sz w:val="24"/>
          <w:szCs w:val="24"/>
          <w:lang w:val="en-US"/>
        </w:rPr>
        <w:t>Correlations between SWING subscales and engagement and burnout variables.</w:t>
      </w:r>
    </w:p>
    <w:tbl>
      <w:tblPr>
        <w:tblW w:w="868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56"/>
        <w:gridCol w:w="1200"/>
        <w:gridCol w:w="1233"/>
        <w:gridCol w:w="1220"/>
        <w:gridCol w:w="1394"/>
        <w:gridCol w:w="1200"/>
      </w:tblGrid>
      <w:tr w:rsidR="00446CF2" w:rsidRPr="00446CF2" w:rsidTr="00446CF2">
        <w:trPr>
          <w:cantSplit/>
          <w:trHeight w:val="345"/>
        </w:trPr>
        <w:tc>
          <w:tcPr>
            <w:tcW w:w="2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Vigor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Dedication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Absorption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Exhaustion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Cynicism</w:t>
            </w:r>
          </w:p>
        </w:tc>
      </w:tr>
      <w:tr w:rsidR="00446CF2" w:rsidRPr="00446CF2" w:rsidTr="00446CF2">
        <w:trPr>
          <w:cantSplit/>
          <w:trHeight w:val="645"/>
        </w:trPr>
        <w:tc>
          <w:tcPr>
            <w:tcW w:w="2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Negative Interaction W-F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-0,023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-0,073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,168</w:t>
            </w:r>
            <w:r w:rsidRPr="00446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,687**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,222**</w:t>
            </w:r>
          </w:p>
        </w:tc>
      </w:tr>
      <w:tr w:rsidR="00446CF2" w:rsidRPr="00446CF2" w:rsidTr="00446CF2">
        <w:trPr>
          <w:cantSplit/>
          <w:trHeight w:val="63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Negative Interaction F-W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-,415</w:t>
            </w:r>
            <w:r w:rsidRPr="00446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-,347</w:t>
            </w:r>
            <w:r w:rsidRPr="00446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-,266</w:t>
            </w:r>
            <w:r w:rsidRPr="00446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,260**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,320**</w:t>
            </w:r>
          </w:p>
        </w:tc>
      </w:tr>
      <w:tr w:rsidR="00446CF2" w:rsidRPr="00446CF2" w:rsidTr="00446CF2">
        <w:trPr>
          <w:cantSplit/>
          <w:trHeight w:val="630"/>
        </w:trPr>
        <w:tc>
          <w:tcPr>
            <w:tcW w:w="2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Positive Interaction W-F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,209</w:t>
            </w:r>
            <w:r w:rsidRPr="00446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,316</w:t>
            </w:r>
            <w:r w:rsidRPr="00446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,175</w:t>
            </w:r>
            <w:r w:rsidRPr="00446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-,217**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-,332**</w:t>
            </w:r>
          </w:p>
        </w:tc>
      </w:tr>
      <w:tr w:rsidR="00446CF2" w:rsidRPr="00446CF2" w:rsidTr="00446CF2">
        <w:trPr>
          <w:cantSplit/>
          <w:trHeight w:val="630"/>
        </w:trPr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Positive Interaction F-W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,390</w:t>
            </w:r>
            <w:r w:rsidRPr="00446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,378</w:t>
            </w:r>
            <w:r w:rsidRPr="00446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,189</w:t>
            </w:r>
            <w:r w:rsidRPr="00446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-,225**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446C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-,387**</w:t>
            </w:r>
          </w:p>
        </w:tc>
      </w:tr>
    </w:tbl>
    <w:p w:rsidR="00446CF2" w:rsidRPr="00446CF2" w:rsidRDefault="00446CF2" w:rsidP="00446C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F2">
        <w:rPr>
          <w:rFonts w:ascii="Times New Roman" w:hAnsi="Times New Roman" w:cs="Times New Roman"/>
          <w:b/>
          <w:sz w:val="24"/>
          <w:szCs w:val="24"/>
          <w:lang w:val="en-US"/>
        </w:rPr>
        <w:t>Note.</w:t>
      </w:r>
      <w:r w:rsidRPr="00446CF2">
        <w:rPr>
          <w:rFonts w:ascii="Times New Roman" w:hAnsi="Times New Roman" w:cs="Times New Roman"/>
          <w:sz w:val="24"/>
          <w:szCs w:val="24"/>
          <w:lang w:val="en-US"/>
        </w:rPr>
        <w:t xml:space="preserve"> *</w:t>
      </w:r>
      <w:r w:rsidRPr="00446CF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 </w:t>
      </w:r>
      <w:r w:rsidRPr="00446CF2">
        <w:rPr>
          <w:rFonts w:ascii="Times New Roman" w:hAnsi="Times New Roman" w:cs="Times New Roman"/>
          <w:sz w:val="24"/>
          <w:szCs w:val="24"/>
          <w:lang w:val="en-US"/>
        </w:rPr>
        <w:t>&lt; 0.05; **</w:t>
      </w:r>
      <w:r w:rsidRPr="00446CF2">
        <w:rPr>
          <w:rFonts w:ascii="Times New Roman" w:hAnsi="Times New Roman" w:cs="Times New Roman"/>
          <w:i/>
          <w:iCs/>
          <w:sz w:val="24"/>
          <w:szCs w:val="24"/>
          <w:lang w:val="en-US"/>
        </w:rPr>
        <w:t>p &lt; 0.01.</w:t>
      </w:r>
    </w:p>
    <w:p w:rsidR="00446CF2" w:rsidRDefault="00446CF2" w:rsidP="008D03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0006" w:rsidRDefault="00023292" w:rsidP="0037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29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addition,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multiple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linear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regression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analyses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verify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predictive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relationships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variables.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relationships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subscales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engagement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burnout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variables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(see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tables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292">
        <w:rPr>
          <w:rFonts w:ascii="Times New Roman" w:hAnsi="Times New Roman" w:cs="Times New Roman"/>
          <w:sz w:val="24"/>
          <w:szCs w:val="24"/>
          <w:lang w:val="en-US"/>
        </w:rPr>
        <w:t>9).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72"/>
        <w:gridCol w:w="1269"/>
        <w:gridCol w:w="1318"/>
        <w:gridCol w:w="1879"/>
        <w:gridCol w:w="1113"/>
        <w:gridCol w:w="1113"/>
        <w:gridCol w:w="1114"/>
      </w:tblGrid>
      <w:tr w:rsidR="00446CF2" w:rsidRPr="00446CF2" w:rsidTr="00446CF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Table 5</w:t>
            </w:r>
          </w:p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Multiple linear regression analysis.  SWING and Cynicism scales.  </w:t>
            </w:r>
          </w:p>
        </w:tc>
      </w:tr>
      <w:tr w:rsidR="00446CF2" w:rsidRPr="00446CF2" w:rsidTr="00446CF2">
        <w:trPr>
          <w:trHeight w:val="510"/>
        </w:trPr>
        <w:tc>
          <w:tcPr>
            <w:tcW w:w="65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Unstandardized coefficients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Standardized coeffi</w:t>
            </w: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cients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Adjusted r</w:t>
            </w: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s</w:t>
            </w: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ß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8,068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1,424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5,665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61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NegWF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,149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,081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,135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1,829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,069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NegFW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,687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,210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,238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3,264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Cs/>
                <w:sz w:val="24"/>
                <w:szCs w:val="24"/>
              </w:rPr>
              <w:t>,001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PosWF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-,231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,120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-,163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-1,923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,056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PosFW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-,309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,115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-,231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-2,690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Cs/>
                <w:sz w:val="24"/>
                <w:szCs w:val="24"/>
              </w:rPr>
              <w:t>,008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CF2" w:rsidRPr="006719BB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19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Note. </w:t>
            </w:r>
            <w:r w:rsidRPr="00671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NegWF = Negative Interaction Work-Family, NegFW = Negative Interaction Family-Work, PosWF = Positive Interaction Work-Family, PosFW = Positive Interaction Family-Work.</w:t>
            </w:r>
          </w:p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Table 6</w:t>
            </w:r>
          </w:p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Multiple linear regression analysis.  SWING and Exhaustion scales.  </w:t>
            </w:r>
          </w:p>
        </w:tc>
      </w:tr>
      <w:tr w:rsidR="00446CF2" w:rsidRPr="00446CF2" w:rsidTr="00446CF2">
        <w:trPr>
          <w:trHeight w:val="480"/>
        </w:trPr>
        <w:tc>
          <w:tcPr>
            <w:tcW w:w="65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Unstandardized coefficients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Standardized coefficients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Adjusted r</w:t>
            </w: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s</w:t>
            </w: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ß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46CF2" w:rsidRPr="00446CF2" w:rsidTr="00446CF2">
        <w:trPr>
          <w:trHeight w:val="51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(Constant)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6,876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1,167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5,893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,000</w:t>
            </w:r>
          </w:p>
        </w:tc>
        <w:tc>
          <w:tcPr>
            <w:tcW w:w="61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NegWF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,743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,067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,659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11,150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NegFW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,322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,172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,110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1,870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,064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PosWF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-,125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,098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-,087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-1,281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,202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PosFW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-,058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,094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-,042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-0,618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,538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6CF2" w:rsidRPr="006719BB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19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Note. </w:t>
            </w:r>
            <w:r w:rsidRPr="00671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NegWF = Negative Interaction Work-Family, NegFW = Negative Interaction Family-Work, PosWF = Positive Interaction Work-Family, PosFW = Positive Interaction Family-Work.</w:t>
            </w:r>
          </w:p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Table 7</w:t>
            </w:r>
          </w:p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Multiple linear regression analysis.  </w:t>
            </w:r>
            <w:r w:rsidRPr="00446CF2">
              <w:rPr>
                <w:rFonts w:ascii="Times New Roman" w:hAnsi="Times New Roman" w:cs="Times New Roman"/>
                <w:i/>
                <w:sz w:val="24"/>
                <w:szCs w:val="24"/>
              </w:rPr>
              <w:t>SWING and Absorption scales.</w:t>
            </w:r>
          </w:p>
        </w:tc>
      </w:tr>
      <w:tr w:rsidR="00446CF2" w:rsidRPr="00446CF2" w:rsidTr="00446CF2">
        <w:trPr>
          <w:trHeight w:val="510"/>
        </w:trPr>
        <w:tc>
          <w:tcPr>
            <w:tcW w:w="65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Unstandardized coefficients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Standardized coefficients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Adjusted r</w:t>
            </w: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s</w:t>
            </w: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ß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17,445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1,586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10,998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61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NegWF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,287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,091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,247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3,143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Cs/>
                <w:sz w:val="24"/>
                <w:szCs w:val="24"/>
              </w:rPr>
              <w:t>,002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NegFW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-,906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,237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-,299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-3,826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PosWF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,150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,134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1,120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,264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PosFW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,208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,127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,148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1,638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,104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CF2" w:rsidRPr="006719BB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19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Note. </w:t>
            </w:r>
            <w:r w:rsidRPr="00671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NegWF = Negative Interaction Work-Family, NegFW = Negative Interaction Family-Work, PosWF = Positive Interaction Work-Family, PosFW = Positive Interaction Family-Work.</w:t>
            </w:r>
          </w:p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Table 8</w:t>
            </w:r>
          </w:p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Multiple linear regression analysis.  </w:t>
            </w:r>
            <w:r w:rsidRPr="00446CF2">
              <w:rPr>
                <w:rFonts w:ascii="Times New Roman" w:hAnsi="Times New Roman" w:cs="Times New Roman"/>
                <w:i/>
                <w:sz w:val="24"/>
                <w:szCs w:val="24"/>
              </w:rPr>
              <w:t>SWING and Dedication scales.</w:t>
            </w:r>
          </w:p>
        </w:tc>
      </w:tr>
      <w:tr w:rsidR="00446CF2" w:rsidRPr="00446CF2" w:rsidTr="00446CF2">
        <w:trPr>
          <w:trHeight w:val="510"/>
        </w:trPr>
        <w:tc>
          <w:tcPr>
            <w:tcW w:w="65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Unstandardized coefficients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Standardized coefficients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Adjusted r</w:t>
            </w: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s</w:t>
            </w: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ß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21,255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2,043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10,403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61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NegWF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,012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,114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,008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0,109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,913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NegFW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-1,166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,297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-,290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-3,932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PosWF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,377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,167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,190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2,262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Cs/>
                <w:sz w:val="24"/>
                <w:szCs w:val="24"/>
              </w:rPr>
              <w:t>,025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PosFW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,437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,162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,231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2,692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Cs/>
                <w:sz w:val="24"/>
                <w:szCs w:val="24"/>
              </w:rPr>
              <w:t>,008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CF2" w:rsidRPr="006719BB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19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Note. </w:t>
            </w:r>
            <w:r w:rsidRPr="00671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NegWF = Negative Interaction Work-Family, NegFW = Negative Interaction Family-Work, PosWF = Positive Interaction Work-Family, PosFW = Positive Interaction Family-Work.</w:t>
            </w:r>
          </w:p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Table 9</w:t>
            </w:r>
          </w:p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Multiple linear regression analysis.  </w:t>
            </w:r>
            <w:r w:rsidRPr="00446CF2">
              <w:rPr>
                <w:rFonts w:ascii="Times New Roman" w:hAnsi="Times New Roman" w:cs="Times New Roman"/>
                <w:i/>
                <w:sz w:val="24"/>
                <w:szCs w:val="24"/>
              </w:rPr>
              <w:t>SWING and Vigor scales.</w:t>
            </w:r>
          </w:p>
        </w:tc>
      </w:tr>
      <w:tr w:rsidR="00446CF2" w:rsidRPr="00446CF2" w:rsidTr="00446CF2">
        <w:trPr>
          <w:trHeight w:val="510"/>
        </w:trPr>
        <w:tc>
          <w:tcPr>
            <w:tcW w:w="65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Unstandardized coefficients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Standardized coefficients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Adjusted r</w:t>
            </w:r>
            <w:r w:rsidRPr="00446CF2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s</w:t>
            </w: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ß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25,367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16,908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61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.29</w:t>
            </w: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NegWF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,088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,086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,073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1,029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,305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NegFW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-1,224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,222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-,385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-5,507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PosWF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,013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,126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,008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0,102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,919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F2" w:rsidRPr="00446CF2" w:rsidTr="00446CF2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PosFW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,537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,122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,363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sz w:val="24"/>
                <w:szCs w:val="24"/>
              </w:rPr>
              <w:t>4,414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CF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6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6CF2" w:rsidRPr="00446CF2" w:rsidRDefault="00446CF2" w:rsidP="007166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CF2" w:rsidRPr="006719BB" w:rsidRDefault="00446CF2" w:rsidP="0071663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719BB">
        <w:rPr>
          <w:rFonts w:ascii="Times New Roman" w:hAnsi="Times New Roman" w:cs="Times New Roman"/>
          <w:b/>
          <w:sz w:val="20"/>
          <w:szCs w:val="20"/>
          <w:lang w:val="en-US"/>
        </w:rPr>
        <w:t xml:space="preserve">Note. </w:t>
      </w:r>
      <w:r w:rsidRPr="006719BB">
        <w:rPr>
          <w:rFonts w:ascii="Times New Roman" w:hAnsi="Times New Roman" w:cs="Times New Roman"/>
          <w:sz w:val="20"/>
          <w:szCs w:val="20"/>
          <w:lang w:val="en-US"/>
        </w:rPr>
        <w:t>NegWF = Negative Interaction Work-Family, NegFW = Negative Interaction Family-Work, PosWF = Positive Interaction Work-Family, PosFW = Positive Interaction Family-Work.</w:t>
      </w:r>
    </w:p>
    <w:p w:rsidR="00270006" w:rsidRPr="00604539" w:rsidRDefault="00122F6E" w:rsidP="007166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4539">
        <w:rPr>
          <w:rFonts w:ascii="Times New Roman" w:hAnsi="Times New Roman" w:cs="Times New Roman"/>
          <w:b/>
          <w:sz w:val="24"/>
          <w:szCs w:val="24"/>
          <w:lang w:val="en-US"/>
        </w:rPr>
        <w:t>Discus</w:t>
      </w:r>
      <w:r w:rsidR="00604539" w:rsidRPr="00604539">
        <w:rPr>
          <w:rFonts w:ascii="Times New Roman" w:hAnsi="Times New Roman" w:cs="Times New Roman"/>
          <w:b/>
          <w:sz w:val="24"/>
          <w:szCs w:val="24"/>
          <w:lang w:val="en-US"/>
        </w:rPr>
        <w:t>sion</w:t>
      </w:r>
    </w:p>
    <w:p w:rsidR="00604539" w:rsidRDefault="00604539" w:rsidP="00376A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4539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consequences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interactions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family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life,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valid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reliable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evaluation.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especially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context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-19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pandemic,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highlights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impact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interactions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mental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health.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evaluate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psychometric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properties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population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Argentine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workers.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evidence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solid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internal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structure,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acceptable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levels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concurrent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scientific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literature.</w:t>
      </w:r>
    </w:p>
    <w:p w:rsidR="00604539" w:rsidRPr="00604539" w:rsidRDefault="00604539" w:rsidP="00376A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453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noted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allows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differentiating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interactions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negative,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direction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interactions,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-F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F-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internal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corroborated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CFA,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replication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original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four-factor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(Geurts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2005)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obtained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eliminating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item.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consistent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adaptation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populations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(Ispas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Iliescu,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lastRenderedPageBreak/>
        <w:t>2019;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Lourel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2005;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Marais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2009;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Moreno-Jiménez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2009;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Pereira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2014;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Romeo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2014;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Shimada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2018)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although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differ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reported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Gabini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(2017)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Argentina,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obtained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methodological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processes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study.</w:t>
      </w:r>
    </w:p>
    <w:p w:rsidR="00604539" w:rsidRDefault="00604539" w:rsidP="006045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4539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aspect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interest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residual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correlation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CFA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improve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indicators.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improved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reported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Pereira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(2014)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Lourel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(2005).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Relying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background,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possible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interpret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lack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independence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errors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existence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common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model.</w:t>
      </w:r>
    </w:p>
    <w:p w:rsidR="00604539" w:rsidRDefault="00604539" w:rsidP="00376A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levels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acceptable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optimal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study.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consistent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validations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populations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(Ispas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Iliescu,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2019;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Lourel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2005;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Marais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2009;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Moreno-Jiménez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2009;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Pereira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2014;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Romeo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2014;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Shimada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2018).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improve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estimation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omega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coefficient,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expected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considering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Cronbach's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alpha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affected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presence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uncorrected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correlated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errors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(Viladrich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4382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2017).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04539" w:rsidRDefault="00604539" w:rsidP="00376A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relationships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burnout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engagement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scales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mostly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consistent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studies.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Thus,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burnout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variables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positively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associated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interactions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-F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F-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negatively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associated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interactions;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coinciding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from,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others,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Chernyak-Hai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Tziner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(2016),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Dyrbye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(2011),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Rhnima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(2016),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Robinson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(2016),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Smith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(2019).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part,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engagement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dimensions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correlated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positively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-F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F-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interactions,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negatively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interactions;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similar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reported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Łaba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Geldenhuys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(2018),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Queirós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(2016),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Rothmann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Baumann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(2014).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However,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relationship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-F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subscale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scores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obtained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absorption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striking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-F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expected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hinder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absorption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work,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absorption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context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investigated.</w:t>
      </w:r>
    </w:p>
    <w:p w:rsidR="00604539" w:rsidRPr="00604539" w:rsidRDefault="00604539" w:rsidP="00376A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4539">
        <w:rPr>
          <w:rFonts w:ascii="Times New Roman" w:hAnsi="Times New Roman" w:cs="Times New Roman"/>
          <w:sz w:val="24"/>
          <w:szCs w:val="24"/>
          <w:lang w:val="en-US"/>
        </w:rPr>
        <w:lastRenderedPageBreak/>
        <w:t>Nevertheless,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studies.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hand,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sample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consisted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mainly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women,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affected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measurement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variables.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considering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contradictory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antecedents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Argentine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population,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analyze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stability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psychometric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properties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SWING.</w:t>
      </w:r>
    </w:p>
    <w:p w:rsidR="0006006B" w:rsidRDefault="00604539" w:rsidP="00BF50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4539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work-family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relationships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crucial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variables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individual,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family,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organizational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well-being,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especially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considering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generated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-19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pandemic,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hoped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validation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contribute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encourage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phenomena.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Providing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reliable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tool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diagnostic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health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promotion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04539">
        <w:rPr>
          <w:rFonts w:ascii="Times New Roman" w:hAnsi="Times New Roman" w:cs="Times New Roman"/>
          <w:sz w:val="24"/>
          <w:szCs w:val="24"/>
          <w:lang w:val="en-US"/>
        </w:rPr>
        <w:t>processes.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6006B" w:rsidRPr="00604539" w:rsidRDefault="0006006B" w:rsidP="00BF50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42AC8" w:rsidRPr="00023B67" w:rsidRDefault="00516A96" w:rsidP="00376A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B67">
        <w:rPr>
          <w:rFonts w:ascii="Times New Roman" w:hAnsi="Times New Roman" w:cs="Times New Roman"/>
          <w:b/>
          <w:sz w:val="24"/>
          <w:szCs w:val="24"/>
        </w:rPr>
        <w:t>Referenc</w:t>
      </w:r>
      <w:r w:rsidR="00604539" w:rsidRPr="00023B67">
        <w:rPr>
          <w:rFonts w:ascii="Times New Roman" w:hAnsi="Times New Roman" w:cs="Times New Roman"/>
          <w:b/>
          <w:sz w:val="24"/>
          <w:szCs w:val="24"/>
        </w:rPr>
        <w:t>es</w:t>
      </w:r>
    </w:p>
    <w:p w:rsidR="00BF50F7" w:rsidRPr="00674A0C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</w:rPr>
        <w:t>Barreto-Colichi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</w:rPr>
        <w:t>Mangini-Bocchi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</w:rPr>
        <w:t>Molina-Lima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&amp;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</w:rPr>
        <w:t>Popim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(2016)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Interactions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quality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life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family: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Integrative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review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International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Archives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of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Medicine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9</w:t>
      </w:r>
      <w:r w:rsidRPr="00674A0C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(358)</w:t>
      </w:r>
      <w:r w:rsidR="00023B6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,</w:t>
      </w:r>
      <w:r w:rsidR="00376A1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 </w:t>
      </w:r>
      <w:r w:rsidRPr="00674A0C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1-17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hyperlink r:id="rId9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https://doi.org/10.3823/2229</w:t>
        </w:r>
      </w:hyperlink>
    </w:p>
    <w:p w:rsidR="00BF50F7" w:rsidRPr="00BF50F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4A0C">
        <w:rPr>
          <w:rFonts w:ascii="Times New Roman" w:hAnsi="Times New Roman" w:cs="Times New Roman"/>
          <w:sz w:val="24"/>
          <w:szCs w:val="24"/>
          <w:lang w:val="en-US"/>
        </w:rPr>
        <w:t>Carlotto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Welter-Wendt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&amp;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Jones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(2017)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Technostress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career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commitment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satisfaction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work-family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workers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74A0C">
        <w:rPr>
          <w:rFonts w:ascii="Times New Roman" w:hAnsi="Times New Roman" w:cs="Times New Roman"/>
          <w:sz w:val="24"/>
          <w:szCs w:val="24"/>
          <w:lang w:val="en-US"/>
        </w:rPr>
        <w:t>technologies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3222F">
        <w:rPr>
          <w:rFonts w:ascii="Times New Roman" w:hAnsi="Times New Roman" w:cs="Times New Roman"/>
          <w:i/>
          <w:iCs/>
          <w:sz w:val="24"/>
          <w:szCs w:val="24"/>
        </w:rPr>
        <w:t>Actualidades</w:t>
      </w:r>
      <w:r w:rsidR="00023B6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C3222F">
        <w:rPr>
          <w:rFonts w:ascii="Times New Roman" w:hAnsi="Times New Roman" w:cs="Times New Roman"/>
          <w:i/>
          <w:iCs/>
          <w:sz w:val="24"/>
          <w:szCs w:val="24"/>
        </w:rPr>
        <w:t>en</w:t>
      </w:r>
      <w:r w:rsidR="00023B6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C3222F">
        <w:rPr>
          <w:rFonts w:ascii="Times New Roman" w:hAnsi="Times New Roman" w:cs="Times New Roman"/>
          <w:i/>
          <w:iCs/>
          <w:sz w:val="24"/>
          <w:szCs w:val="24"/>
        </w:rPr>
        <w:t>Psicología</w:t>
      </w:r>
      <w:r w:rsidR="00023B67">
        <w:rPr>
          <w:rFonts w:ascii="Times New Roman" w:hAnsi="Times New Roman" w:cs="Times New Roman"/>
          <w:sz w:val="24"/>
          <w:szCs w:val="24"/>
        </w:rPr>
        <w:t>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C3222F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C3222F">
        <w:rPr>
          <w:rFonts w:ascii="Times New Roman" w:hAnsi="Times New Roman" w:cs="Times New Roman"/>
          <w:sz w:val="24"/>
          <w:szCs w:val="24"/>
        </w:rPr>
        <w:t>(122)</w:t>
      </w:r>
      <w:r w:rsidR="00023B67">
        <w:rPr>
          <w:rFonts w:ascii="Times New Roman" w:hAnsi="Times New Roman" w:cs="Times New Roman"/>
          <w:sz w:val="24"/>
          <w:szCs w:val="24"/>
        </w:rPr>
        <w:t>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C3222F">
        <w:rPr>
          <w:rFonts w:ascii="Times New Roman" w:hAnsi="Times New Roman" w:cs="Times New Roman"/>
          <w:sz w:val="24"/>
          <w:szCs w:val="24"/>
        </w:rPr>
        <w:t>91-102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</w:rPr>
          <w:t>https://dx.doi.org/10.</w:t>
        </w:r>
        <w:r w:rsidR="00023B67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 </w:t>
        </w:r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</w:rPr>
          <w:t>15517/ap.v31i122.22729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0F7">
        <w:rPr>
          <w:rFonts w:ascii="Times New Roman" w:hAnsi="Times New Roman" w:cs="Times New Roman"/>
          <w:sz w:val="24"/>
          <w:szCs w:val="24"/>
        </w:rPr>
        <w:t>Chahín-Pinzón</w:t>
      </w:r>
      <w:r w:rsidR="00023B67">
        <w:rPr>
          <w:rFonts w:ascii="Times New Roman" w:hAnsi="Times New Roman" w:cs="Times New Roman"/>
          <w:sz w:val="24"/>
          <w:szCs w:val="24"/>
        </w:rPr>
        <w:t>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N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(2014)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Aspectos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a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tener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en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cuenta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cuando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se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realiza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una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adaptación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test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entre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diferentes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culturas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Psychologia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376A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109-112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11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https://doi.org/10.21500/19002386.1225</w:t>
        </w:r>
      </w:hyperlink>
    </w:p>
    <w:p w:rsidR="00BF50F7" w:rsidRPr="00BF50F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Chernyak-Hai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&amp;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Tziner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(2016)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“I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believe”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“Iinvest”of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work-family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balance: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indirect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influences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personal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values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engagement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perceived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organizational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climate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place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693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burnout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Psicología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del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Trabajo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y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las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Organizaciones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32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(1)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1-10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hyperlink r:id="rId12" w:history="1">
        <w:r w:rsidRPr="00BF50F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BF50F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org/10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BF50F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1016/j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BF50F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rpto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BF50F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2015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BF50F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11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BF50F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004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F50F7">
        <w:rPr>
          <w:rFonts w:ascii="Times New Roman" w:hAnsi="Times New Roman" w:cs="Times New Roman"/>
          <w:sz w:val="24"/>
          <w:szCs w:val="24"/>
        </w:rPr>
        <w:lastRenderedPageBreak/>
        <w:t>Delgado-Sánchez</w:t>
      </w:r>
      <w:r w:rsidR="00023B67">
        <w:rPr>
          <w:rFonts w:ascii="Times New Roman" w:hAnsi="Times New Roman" w:cs="Times New Roman"/>
          <w:sz w:val="24"/>
          <w:szCs w:val="24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</w:rPr>
        <w:t>A</w:t>
      </w:r>
      <w:r w:rsidR="00023B67">
        <w:rPr>
          <w:rFonts w:ascii="Times New Roman" w:hAnsi="Times New Roman" w:cs="Times New Roman"/>
          <w:sz w:val="24"/>
          <w:szCs w:val="24"/>
        </w:rPr>
        <w:t xml:space="preserve">.,  </w:t>
      </w:r>
      <w:r w:rsidRPr="00BF50F7">
        <w:rPr>
          <w:rFonts w:ascii="Times New Roman" w:hAnsi="Times New Roman" w:cs="Times New Roman"/>
          <w:sz w:val="24"/>
          <w:szCs w:val="24"/>
        </w:rPr>
        <w:t>Saletti-Cuesta</w:t>
      </w:r>
      <w:r w:rsidR="00023B67">
        <w:rPr>
          <w:rFonts w:ascii="Times New Roman" w:hAnsi="Times New Roman" w:cs="Times New Roman"/>
          <w:sz w:val="24"/>
          <w:szCs w:val="24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</w:rPr>
        <w:t>L</w:t>
      </w:r>
      <w:r w:rsidR="00023B67">
        <w:rPr>
          <w:rFonts w:ascii="Times New Roman" w:hAnsi="Times New Roman" w:cs="Times New Roman"/>
          <w:sz w:val="24"/>
          <w:szCs w:val="24"/>
        </w:rPr>
        <w:t xml:space="preserve">.,  </w:t>
      </w:r>
      <w:r w:rsidRPr="00BF50F7">
        <w:rPr>
          <w:rFonts w:ascii="Times New Roman" w:hAnsi="Times New Roman" w:cs="Times New Roman"/>
          <w:sz w:val="24"/>
          <w:szCs w:val="24"/>
        </w:rPr>
        <w:t>Toro-Cárdenas</w:t>
      </w:r>
      <w:r w:rsidR="00023B67">
        <w:rPr>
          <w:rFonts w:ascii="Times New Roman" w:hAnsi="Times New Roman" w:cs="Times New Roman"/>
          <w:sz w:val="24"/>
          <w:szCs w:val="24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</w:rPr>
        <w:t>S</w:t>
      </w:r>
      <w:r w:rsidR="00023B67">
        <w:rPr>
          <w:rFonts w:ascii="Times New Roman" w:hAnsi="Times New Roman" w:cs="Times New Roman"/>
          <w:sz w:val="24"/>
          <w:szCs w:val="24"/>
        </w:rPr>
        <w:t xml:space="preserve">.,  </w:t>
      </w:r>
      <w:r w:rsidRPr="00BF50F7">
        <w:rPr>
          <w:rFonts w:ascii="Times New Roman" w:hAnsi="Times New Roman" w:cs="Times New Roman"/>
          <w:sz w:val="24"/>
          <w:szCs w:val="24"/>
        </w:rPr>
        <w:t>López-Fernández</w:t>
      </w:r>
      <w:r w:rsidR="00023B67">
        <w:rPr>
          <w:rFonts w:ascii="Times New Roman" w:hAnsi="Times New Roman" w:cs="Times New Roman"/>
          <w:sz w:val="24"/>
          <w:szCs w:val="24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</w:rPr>
        <w:t>L</w:t>
      </w:r>
      <w:r w:rsidR="00023B67">
        <w:rPr>
          <w:rFonts w:ascii="Times New Roman" w:hAnsi="Times New Roman" w:cs="Times New Roman"/>
          <w:sz w:val="24"/>
          <w:szCs w:val="24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</w:rPr>
        <w:t>A</w:t>
      </w:r>
      <w:r w:rsidR="00023B67">
        <w:rPr>
          <w:rFonts w:ascii="Times New Roman" w:hAnsi="Times New Roman" w:cs="Times New Roman"/>
          <w:sz w:val="24"/>
          <w:szCs w:val="24"/>
        </w:rPr>
        <w:t xml:space="preserve">.,  </w:t>
      </w:r>
      <w:r w:rsidRPr="00BF50F7">
        <w:rPr>
          <w:rFonts w:ascii="Times New Roman" w:hAnsi="Times New Roman" w:cs="Times New Roman"/>
          <w:sz w:val="24"/>
          <w:szCs w:val="24"/>
        </w:rPr>
        <w:t>Luna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del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Castillo</w:t>
      </w:r>
      <w:r w:rsidR="00023B67">
        <w:rPr>
          <w:rFonts w:ascii="Times New Roman" w:hAnsi="Times New Roman" w:cs="Times New Roman"/>
          <w:sz w:val="24"/>
          <w:szCs w:val="24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</w:rPr>
        <w:t>J</w:t>
      </w:r>
      <w:r w:rsidR="00023B67">
        <w:rPr>
          <w:rFonts w:ascii="Times New Roman" w:hAnsi="Times New Roman" w:cs="Times New Roman"/>
          <w:sz w:val="24"/>
          <w:szCs w:val="24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</w:rPr>
        <w:t>de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</w:t>
      </w:r>
      <w:r w:rsidR="00023B67">
        <w:rPr>
          <w:rFonts w:ascii="Times New Roman" w:hAnsi="Times New Roman" w:cs="Times New Roman"/>
          <w:sz w:val="24"/>
          <w:szCs w:val="24"/>
        </w:rPr>
        <w:t>.,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</w:rPr>
        <w:t xml:space="preserve">&amp;  </w:t>
      </w:r>
      <w:r w:rsidRPr="00BF50F7">
        <w:rPr>
          <w:rFonts w:ascii="Times New Roman" w:hAnsi="Times New Roman" w:cs="Times New Roman"/>
          <w:sz w:val="24"/>
          <w:szCs w:val="24"/>
        </w:rPr>
        <w:t>Mateo-Rodríguez</w:t>
      </w:r>
      <w:r w:rsidR="00023B67">
        <w:rPr>
          <w:rFonts w:ascii="Times New Roman" w:hAnsi="Times New Roman" w:cs="Times New Roman"/>
          <w:sz w:val="24"/>
          <w:szCs w:val="24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</w:rPr>
        <w:t>I</w:t>
      </w:r>
      <w:r w:rsidR="00023B67">
        <w:rPr>
          <w:rFonts w:ascii="Times New Roman" w:hAnsi="Times New Roman" w:cs="Times New Roman"/>
          <w:sz w:val="24"/>
          <w:szCs w:val="24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</w:rPr>
        <w:t>(2011)</w:t>
      </w:r>
      <w:r w:rsidR="00023B67">
        <w:rPr>
          <w:rFonts w:ascii="Times New Roman" w:hAnsi="Times New Roman" w:cs="Times New Roman"/>
          <w:sz w:val="24"/>
          <w:szCs w:val="24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</w:rPr>
        <w:t>Validación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escala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para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evaluar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la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relación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familia-trabajo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en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médicas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y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médicos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familia</w:t>
      </w:r>
      <w:r w:rsidR="00023B67">
        <w:rPr>
          <w:rFonts w:ascii="Times New Roman" w:hAnsi="Times New Roman" w:cs="Times New Roman"/>
          <w:sz w:val="24"/>
          <w:szCs w:val="24"/>
        </w:rPr>
        <w:t xml:space="preserve">.  </w:t>
      </w:r>
      <w:r w:rsidRPr="00BF50F7">
        <w:rPr>
          <w:rFonts w:ascii="Times New Roman" w:hAnsi="Times New Roman" w:cs="Times New Roman"/>
          <w:i/>
          <w:sz w:val="24"/>
          <w:szCs w:val="24"/>
        </w:rPr>
        <w:t>Revista</w:t>
      </w:r>
      <w:r w:rsidR="00023B6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Española</w:t>
      </w:r>
      <w:r w:rsidR="00023B6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de</w:t>
      </w:r>
      <w:r w:rsidR="00023B6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Salud</w:t>
      </w:r>
      <w:r w:rsidR="00023B6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Pública</w:t>
      </w:r>
      <w:r w:rsidR="00023B67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Pr="00BF50F7">
        <w:rPr>
          <w:rFonts w:ascii="Times New Roman" w:hAnsi="Times New Roman" w:cs="Times New Roman"/>
          <w:i/>
          <w:sz w:val="24"/>
          <w:szCs w:val="24"/>
        </w:rPr>
        <w:t>85</w:t>
      </w:r>
      <w:r w:rsidRPr="00BF50F7">
        <w:rPr>
          <w:rFonts w:ascii="Times New Roman" w:hAnsi="Times New Roman" w:cs="Times New Roman"/>
          <w:sz w:val="24"/>
          <w:szCs w:val="24"/>
        </w:rPr>
        <w:t>(2)</w:t>
      </w:r>
      <w:r w:rsidR="00023B67">
        <w:rPr>
          <w:rFonts w:ascii="Times New Roman" w:hAnsi="Times New Roman" w:cs="Times New Roman"/>
          <w:sz w:val="24"/>
          <w:szCs w:val="24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</w:rPr>
        <w:t>149-162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hyperlink r:id="rId13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https://doi.org/10.1590/s1135-57272011000200004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B67">
        <w:rPr>
          <w:rFonts w:ascii="Times New Roman" w:hAnsi="Times New Roman" w:cs="Times New Roman"/>
          <w:sz w:val="24"/>
          <w:szCs w:val="24"/>
        </w:rPr>
        <w:t>DiRenzo</w:t>
      </w:r>
      <w:r w:rsidR="00023B67" w:rsidRPr="00023B67">
        <w:rPr>
          <w:rFonts w:ascii="Times New Roman" w:hAnsi="Times New Roman" w:cs="Times New Roman"/>
          <w:sz w:val="24"/>
          <w:szCs w:val="24"/>
        </w:rPr>
        <w:t xml:space="preserve">,  </w:t>
      </w:r>
      <w:r w:rsidRPr="00023B67">
        <w:rPr>
          <w:rFonts w:ascii="Times New Roman" w:hAnsi="Times New Roman" w:cs="Times New Roman"/>
          <w:sz w:val="24"/>
          <w:szCs w:val="24"/>
        </w:rPr>
        <w:t>M</w:t>
      </w:r>
      <w:r w:rsidR="00023B67" w:rsidRPr="00023B67">
        <w:rPr>
          <w:rFonts w:ascii="Times New Roman" w:hAnsi="Times New Roman" w:cs="Times New Roman"/>
          <w:sz w:val="24"/>
          <w:szCs w:val="24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.,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Greenhaus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Weer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(2011)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Interference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Family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Family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Interference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with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Scale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[Database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record]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APA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PsycTests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14" w:tgtFrame="_blank" w:history="1"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US"/>
          </w:rPr>
          <w:t>.</w:t>
        </w:r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US"/>
          </w:rPr>
          <w:t>org/10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US"/>
          </w:rPr>
          <w:t>.</w:t>
        </w:r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US"/>
          </w:rPr>
          <w:t>1037/t10318-000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Dolcos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Daley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(2009)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Work-Family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Conflict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Scale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[Database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record]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PsycTests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hyperlink r:id="rId15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https://doi.org/10.1037/t01666-000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Dyrbye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Shanafelt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Balch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Satele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Sloan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Freischlag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(2011)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Relationship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work-home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conflicts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burnout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among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American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surgeons: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comparison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by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sex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Archives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of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surgery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146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(2)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211-217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hyperlink r:id="rId16" w:history="1"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</w:t>
        </w:r>
        <w:r w:rsidR="00023B67"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org/10</w:t>
        </w:r>
        <w:r w:rsidR="00023B67"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1001/archsurg</w:t>
        </w:r>
        <w:r w:rsidR="00023B67"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2010</w:t>
        </w:r>
        <w:r w:rsidR="00023B67"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310</w:t>
        </w:r>
      </w:hyperlink>
    </w:p>
    <w:p w:rsidR="00BF50F7" w:rsidRPr="001725DD" w:rsidRDefault="00BF50F7" w:rsidP="00BF50F7">
      <w:pPr>
        <w:pStyle w:val="Normal1"/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>Federación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>de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>Psicólogos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>de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>la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>República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>Argentina</w:t>
      </w:r>
      <w:r w:rsidR="00023B67" w:rsidRP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>(2013)</w:t>
      </w:r>
      <w:r w:rsidR="00023B67" w:rsidRPr="00023B6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Código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de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ética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d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e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la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Federación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de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Psicólogos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de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la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República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Argentina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(Fe</w:t>
      </w:r>
      <w:r w:rsidR="00023B67"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.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</w:t>
      </w:r>
      <w:r w:rsidRPr="00446CF2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</w:t>
      </w:r>
      <w:r w:rsidR="00023B67" w:rsidRPr="00446CF2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.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R</w:t>
      </w:r>
      <w:r w:rsidR="00023B67"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.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A</w:t>
      </w:r>
      <w:r w:rsidR="00023B67"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.  </w:t>
      </w:r>
      <w:r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)</w:t>
      </w:r>
      <w:r w:rsidR="00023B67" w:rsidRP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.</w:t>
      </w:r>
      <w:r w:rsidR="00376A10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 </w:t>
      </w:r>
      <w:r w:rsidRPr="001725DD">
        <w:rPr>
          <w:rFonts w:ascii="Times New Roman" w:eastAsia="Times New Roman" w:hAnsi="Times New Roman" w:cs="Times New Roman"/>
          <w:sz w:val="24"/>
          <w:szCs w:val="24"/>
          <w:lang w:val="en-US"/>
        </w:rPr>
        <w:t>FePRA</w:t>
      </w:r>
      <w:r w:rsidR="00023B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1725DD">
        <w:rPr>
          <w:rFonts w:ascii="Times New Roman" w:eastAsia="Times New Roman" w:hAnsi="Times New Roman" w:cs="Times New Roman"/>
          <w:sz w:val="24"/>
          <w:szCs w:val="24"/>
          <w:lang w:val="en-US"/>
        </w:rPr>
        <w:t>website:</w:t>
      </w:r>
      <w:r w:rsidR="00023B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hyperlink r:id="rId17" w:history="1">
        <w:r w:rsidR="00023B67" w:rsidRPr="006117A5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n-US"/>
          </w:rPr>
          <w:t>http://www.fepra.org.ar/feprav3/</w:t>
        </w:r>
      </w:hyperlink>
    </w:p>
    <w:p w:rsidR="00BF50F7" w:rsidRPr="00023B67" w:rsidRDefault="00BF50F7" w:rsidP="00376A10">
      <w:pPr>
        <w:shd w:val="clear" w:color="auto" w:fill="FFFFFF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D36A3">
        <w:rPr>
          <w:rFonts w:ascii="Times New Roman" w:hAnsi="Times New Roman" w:cs="Times New Roman"/>
          <w:sz w:val="24"/>
          <w:szCs w:val="24"/>
          <w:lang w:val="en-US"/>
        </w:rPr>
        <w:t>Frone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9D36A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9D36A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9D36A3">
        <w:rPr>
          <w:rFonts w:ascii="Times New Roman" w:hAnsi="Times New Roman" w:cs="Times New Roman"/>
          <w:sz w:val="24"/>
          <w:szCs w:val="24"/>
          <w:lang w:val="en-US"/>
        </w:rPr>
        <w:t>(2000)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9D36A3">
        <w:rPr>
          <w:rStyle w:val="nfasis"/>
          <w:rFonts w:ascii="Times New Roman" w:hAnsi="Times New Roman" w:cs="Times New Roman"/>
          <w:sz w:val="24"/>
          <w:szCs w:val="24"/>
          <w:lang w:val="en-US"/>
        </w:rPr>
        <w:t>Work-Family</w:t>
      </w:r>
      <w:r w:rsid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D36A3">
        <w:rPr>
          <w:rStyle w:val="nfasis"/>
          <w:rFonts w:ascii="Times New Roman" w:hAnsi="Times New Roman" w:cs="Times New Roman"/>
          <w:sz w:val="24"/>
          <w:szCs w:val="24"/>
          <w:lang w:val="en-US"/>
        </w:rPr>
        <w:t>Conflict</w:t>
      </w:r>
      <w:r w:rsid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D36A3">
        <w:rPr>
          <w:rStyle w:val="nfasis"/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lang w:val="en-US"/>
        </w:rPr>
        <w:t>[Database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lang w:val="en-US"/>
        </w:rPr>
        <w:t>record]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</w:rPr>
        <w:t>APA</w:t>
      </w:r>
      <w:r w:rsidR="00023B67" w:rsidRP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</w:rPr>
        <w:t>PsycTests</w:t>
      </w:r>
      <w:r w:rsidR="00023B67" w:rsidRPr="00023B67">
        <w:rPr>
          <w:rFonts w:ascii="Times New Roman" w:hAnsi="Times New Roman" w:cs="Times New Roman"/>
          <w:sz w:val="24"/>
          <w:szCs w:val="24"/>
        </w:rPr>
        <w:t>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hyperlink r:id="rId18" w:history="1">
        <w:r w:rsidR="00023B67" w:rsidRPr="00023B67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https://doi.org/10.1037/t08858-000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0F7">
        <w:rPr>
          <w:rFonts w:ascii="Times New Roman" w:hAnsi="Times New Roman" w:cs="Times New Roman"/>
          <w:sz w:val="24"/>
          <w:szCs w:val="24"/>
        </w:rPr>
        <w:t>Gabini</w:t>
      </w:r>
      <w:r w:rsidR="00023B67">
        <w:rPr>
          <w:rFonts w:ascii="Times New Roman" w:hAnsi="Times New Roman" w:cs="Times New Roman"/>
          <w:sz w:val="24"/>
          <w:szCs w:val="24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</w:rPr>
        <w:t>S</w:t>
      </w:r>
      <w:r w:rsidR="00023B67">
        <w:rPr>
          <w:rFonts w:ascii="Times New Roman" w:hAnsi="Times New Roman" w:cs="Times New Roman"/>
          <w:sz w:val="24"/>
          <w:szCs w:val="24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</w:rPr>
        <w:t>(2017)</w:t>
      </w:r>
      <w:r w:rsidR="00023B67">
        <w:rPr>
          <w:rFonts w:ascii="Times New Roman" w:hAnsi="Times New Roman" w:cs="Times New Roman"/>
          <w:sz w:val="24"/>
          <w:szCs w:val="24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</w:rPr>
        <w:t>Interacción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trabajo-familia: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Adaptación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y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validación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un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instrumento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para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medirla</w:t>
      </w:r>
      <w:r w:rsidR="00023B67">
        <w:rPr>
          <w:rFonts w:ascii="Times New Roman" w:hAnsi="Times New Roman" w:cs="Times New Roman"/>
          <w:sz w:val="24"/>
          <w:szCs w:val="24"/>
        </w:rPr>
        <w:t xml:space="preserve">.  </w:t>
      </w:r>
      <w:r w:rsidRPr="00BF50F7">
        <w:rPr>
          <w:rFonts w:ascii="Times New Roman" w:hAnsi="Times New Roman" w:cs="Times New Roman"/>
          <w:i/>
          <w:sz w:val="24"/>
          <w:szCs w:val="24"/>
        </w:rPr>
        <w:t>Revista</w:t>
      </w:r>
      <w:r w:rsidR="00023B6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da</w:t>
      </w:r>
      <w:r w:rsidR="00023B6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UIIPS</w:t>
      </w:r>
      <w:r w:rsidR="00023B67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Pr="00BF50F7">
        <w:rPr>
          <w:rFonts w:ascii="Times New Roman" w:hAnsi="Times New Roman" w:cs="Times New Roman"/>
          <w:i/>
          <w:sz w:val="24"/>
          <w:szCs w:val="24"/>
        </w:rPr>
        <w:t>5</w:t>
      </w:r>
      <w:r w:rsidRPr="00BF50F7">
        <w:rPr>
          <w:rFonts w:ascii="Times New Roman" w:hAnsi="Times New Roman" w:cs="Times New Roman"/>
          <w:sz w:val="24"/>
          <w:szCs w:val="24"/>
        </w:rPr>
        <w:t>(5)</w:t>
      </w:r>
      <w:r w:rsidR="00023B67">
        <w:rPr>
          <w:rFonts w:ascii="Times New Roman" w:hAnsi="Times New Roman" w:cs="Times New Roman"/>
          <w:sz w:val="24"/>
          <w:szCs w:val="24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</w:rPr>
        <w:t>24-32</w:t>
      </w:r>
      <w:r w:rsidR="00023B67">
        <w:rPr>
          <w:rFonts w:ascii="Times New Roman" w:hAnsi="Times New Roman" w:cs="Times New Roman"/>
          <w:sz w:val="24"/>
          <w:szCs w:val="24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</w:rPr>
        <w:t>Revista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da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UIIPS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website:</w:t>
      </w:r>
      <w:r w:rsidR="00023B67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https://revistas</w:t>
      </w:r>
      <w:r w:rsidR="00023B67">
        <w:rPr>
          <w:rFonts w:ascii="Times New Roman" w:hAnsi="Times New Roman" w:cs="Times New Roman"/>
          <w:sz w:val="24"/>
          <w:szCs w:val="24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</w:rPr>
        <w:t>rcaap</w:t>
      </w:r>
      <w:r w:rsidR="00023B67">
        <w:rPr>
          <w:rFonts w:ascii="Times New Roman" w:hAnsi="Times New Roman" w:cs="Times New Roman"/>
          <w:sz w:val="24"/>
          <w:szCs w:val="24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pt/uiips/index</w:t>
      </w:r>
    </w:p>
    <w:p w:rsidR="00BF50F7" w:rsidRPr="001725DD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Gądecki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Jewdokimow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Zadkowska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(2016)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Reconstructing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borders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definitions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home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context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telecommuting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Poland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Intersections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2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(3)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84-96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hyperlink r:id="rId19" w:history="1">
        <w:r w:rsidRPr="001725DD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https://doi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.</w:t>
        </w:r>
        <w:r w:rsidRPr="001725DD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org/10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.</w:t>
        </w:r>
        <w:r w:rsidRPr="001725DD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17356/ieejsp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.</w:t>
        </w:r>
        <w:r w:rsidRPr="001725DD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v2i3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.</w:t>
        </w:r>
        <w:r w:rsidRPr="001725DD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166</w:t>
        </w:r>
      </w:hyperlink>
    </w:p>
    <w:p w:rsidR="00BF50F7" w:rsidRPr="001725DD" w:rsidRDefault="00BF50F7" w:rsidP="00BF50F7">
      <w:pPr>
        <w:pStyle w:val="Normal1"/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val="en-US"/>
        </w:rPr>
      </w:pPr>
      <w:r w:rsidRPr="001725D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George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 </w:t>
      </w:r>
      <w:r w:rsidRPr="001725D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D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.,</w:t>
      </w:r>
      <w:r w:rsidR="00376A10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 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&amp;  </w:t>
      </w:r>
      <w:r w:rsidRPr="001725D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Mallery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 </w:t>
      </w:r>
      <w:r w:rsidRPr="001725D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M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  </w:t>
      </w:r>
      <w:r w:rsidRPr="001725D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(2001)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  </w:t>
      </w:r>
      <w:r w:rsidRPr="001725D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SPSS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 </w:t>
      </w:r>
      <w:r w:rsidRPr="001725D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for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 </w:t>
      </w:r>
      <w:r w:rsidRPr="001725D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Windows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 </w:t>
      </w:r>
      <w:r w:rsidRPr="001725D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Step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 </w:t>
      </w:r>
      <w:r w:rsidRPr="001725D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By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 </w:t>
      </w:r>
      <w:r w:rsidRPr="001725D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Step: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 </w:t>
      </w:r>
      <w:r w:rsidRPr="001725D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A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 </w:t>
      </w:r>
      <w:r w:rsidRPr="001725D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Simple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 </w:t>
      </w:r>
      <w:r w:rsidRPr="001725D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Guide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 </w:t>
      </w:r>
      <w:r w:rsidRPr="001725D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and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 </w:t>
      </w:r>
      <w:r w:rsidRPr="001725D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Reference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.  </w:t>
      </w:r>
      <w:r w:rsidRPr="001725D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10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.</w:t>
      </w:r>
      <w:r w:rsidRPr="001725D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0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 </w:t>
      </w:r>
      <w:r w:rsidRPr="001725D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updated</w:t>
      </w:r>
      <w:r w:rsidR="00023B6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.</w:t>
      </w:r>
      <w:r w:rsidR="00376A10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 </w:t>
      </w:r>
      <w:r w:rsidRPr="001725D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Allyn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 &amp;  </w:t>
      </w:r>
      <w:r w:rsidRPr="001725D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Bacon</w:t>
      </w:r>
      <w:r w:rsidR="00023B6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  </w:t>
      </w:r>
    </w:p>
    <w:p w:rsidR="00BF50F7" w:rsidRPr="001725DD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0F7">
        <w:rPr>
          <w:rFonts w:ascii="Times New Roman" w:hAnsi="Times New Roman" w:cs="Times New Roman"/>
          <w:sz w:val="24"/>
          <w:szCs w:val="24"/>
          <w:lang w:val="en-US"/>
        </w:rPr>
        <w:t>Geurts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.,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Taris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.,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Kompier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.,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Dikkers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.,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VanHooff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&amp;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Kinnunen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(2005)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Work-home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psychological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perspective: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validation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questionnaire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Work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23B67" w:rsidRPr="00023B67">
        <w:rPr>
          <w:rFonts w:ascii="Times New Roman" w:hAnsi="Times New Roman" w:cs="Times New Roman"/>
          <w:i/>
          <w:sz w:val="24"/>
          <w:szCs w:val="24"/>
          <w:lang w:val="en-US"/>
        </w:rPr>
        <w:t>&amp;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Stress</w:t>
      </w:r>
      <w:r w:rsidR="00023B67" w:rsidRPr="00023B6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19</w:t>
      </w:r>
      <w:r w:rsidRPr="009D36A3">
        <w:rPr>
          <w:rFonts w:ascii="Times New Roman" w:hAnsi="Times New Roman" w:cs="Times New Roman"/>
          <w:sz w:val="24"/>
          <w:szCs w:val="24"/>
          <w:lang w:val="en-US"/>
        </w:rPr>
        <w:t>(4)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9D36A3">
        <w:rPr>
          <w:rFonts w:ascii="Times New Roman" w:hAnsi="Times New Roman" w:cs="Times New Roman"/>
          <w:sz w:val="24"/>
          <w:szCs w:val="24"/>
          <w:lang w:val="en-US"/>
        </w:rPr>
        <w:t>319-339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20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https://doi.org/10.1080/02678370500410208</w:t>
        </w:r>
      </w:hyperlink>
    </w:p>
    <w:p w:rsidR="00BF50F7" w:rsidRPr="001725DD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Howe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Menges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(2020)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Mindsets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about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remote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predict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employee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well-being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home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office: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Evidence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from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604539"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COVID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-19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pandemic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Microsoft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website: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hyperlink r:id="rId21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https://www.microsoft.com/en-us/research/</w:t>
        </w:r>
      </w:hyperlink>
    </w:p>
    <w:p w:rsidR="00BF50F7" w:rsidRPr="001725DD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725DD">
        <w:rPr>
          <w:rFonts w:ascii="Times New Roman" w:hAnsi="Times New Roman" w:cs="Times New Roman"/>
          <w:sz w:val="24"/>
          <w:szCs w:val="24"/>
          <w:lang w:val="en-US"/>
        </w:rPr>
        <w:t>Hu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&amp;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Bentler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(1999)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Cutoff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criteria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fit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indexes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covariance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analysis: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Conventional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criteria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versus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alternatives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1725DD">
        <w:rPr>
          <w:rFonts w:ascii="Times New Roman" w:hAnsi="Times New Roman" w:cs="Times New Roman"/>
          <w:i/>
          <w:sz w:val="24"/>
          <w:szCs w:val="24"/>
          <w:lang w:val="en-US"/>
        </w:rPr>
        <w:t>Structural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i/>
          <w:sz w:val="24"/>
          <w:szCs w:val="24"/>
          <w:lang w:val="en-US"/>
        </w:rPr>
        <w:t>Equation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i/>
          <w:sz w:val="24"/>
          <w:szCs w:val="24"/>
          <w:lang w:val="en-US"/>
        </w:rPr>
        <w:t>Modeling: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i/>
          <w:sz w:val="24"/>
          <w:szCs w:val="24"/>
          <w:lang w:val="en-US"/>
        </w:rPr>
        <w:t>Multidisciplinary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725DD">
        <w:rPr>
          <w:rFonts w:ascii="Times New Roman" w:hAnsi="Times New Roman" w:cs="Times New Roman"/>
          <w:i/>
          <w:sz w:val="24"/>
          <w:szCs w:val="24"/>
          <w:lang w:val="en-US"/>
        </w:rPr>
        <w:t>Journal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 </w:t>
      </w:r>
      <w:r w:rsidRPr="001725DD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(1)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1725DD">
        <w:rPr>
          <w:rFonts w:ascii="Times New Roman" w:hAnsi="Times New Roman" w:cs="Times New Roman"/>
          <w:sz w:val="24"/>
          <w:szCs w:val="24"/>
          <w:lang w:val="en-US"/>
        </w:rPr>
        <w:t>1-55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22" w:history="1">
        <w:r w:rsidR="0071663E" w:rsidRPr="00FB5052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http://dx.doi.org/10.1080/10705519909540118</w:t>
        </w:r>
      </w:hyperlink>
      <w:r w:rsidR="007166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50F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IBM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Corporation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(2010)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IBM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SPSS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Statistics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Windows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(Version19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[Software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cómputo]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IBM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</w:p>
    <w:p w:rsidR="00F41412" w:rsidRPr="009D36A3" w:rsidRDefault="00F41412" w:rsidP="00F414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International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Association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Aplied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Psychology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&amp;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International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Psychological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Science.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[IAAP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&amp;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IUPsyS]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(2008).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Universal  Declaration  of  Ethical  Principles  for  Psychologists.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IUPsyS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website: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hyperlink r:id="rId23" w:history="1">
        <w:r w:rsidRPr="00F41412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https://www.iupsys.net/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F2">
        <w:rPr>
          <w:rFonts w:ascii="Times New Roman" w:hAnsi="Times New Roman" w:cs="Times New Roman"/>
          <w:sz w:val="24"/>
          <w:szCs w:val="24"/>
        </w:rPr>
        <w:t>Ispas</w:t>
      </w:r>
      <w:r w:rsidR="00023B67" w:rsidRPr="00446CF2">
        <w:rPr>
          <w:rFonts w:ascii="Times New Roman" w:hAnsi="Times New Roman" w:cs="Times New Roman"/>
          <w:sz w:val="24"/>
          <w:szCs w:val="24"/>
        </w:rPr>
        <w:t xml:space="preserve">,  </w:t>
      </w:r>
      <w:r w:rsidRPr="00446CF2">
        <w:rPr>
          <w:rFonts w:ascii="Times New Roman" w:hAnsi="Times New Roman" w:cs="Times New Roman"/>
          <w:sz w:val="24"/>
          <w:szCs w:val="24"/>
        </w:rPr>
        <w:t>S</w:t>
      </w:r>
      <w:r w:rsidR="00023B67" w:rsidRPr="00446CF2">
        <w:rPr>
          <w:rFonts w:ascii="Times New Roman" w:hAnsi="Times New Roman" w:cs="Times New Roman"/>
          <w:sz w:val="24"/>
          <w:szCs w:val="24"/>
        </w:rPr>
        <w:t xml:space="preserve">.  </w:t>
      </w:r>
      <w:r w:rsidRPr="00446CF2">
        <w:rPr>
          <w:rFonts w:ascii="Times New Roman" w:hAnsi="Times New Roman" w:cs="Times New Roman"/>
          <w:sz w:val="24"/>
          <w:szCs w:val="24"/>
        </w:rPr>
        <w:t>A</w:t>
      </w:r>
      <w:r w:rsidR="00023B67" w:rsidRPr="00446CF2">
        <w:rPr>
          <w:rFonts w:ascii="Times New Roman" w:hAnsi="Times New Roman" w:cs="Times New Roman"/>
          <w:sz w:val="24"/>
          <w:szCs w:val="24"/>
        </w:rPr>
        <w:t>.,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="00023B67" w:rsidRPr="00446CF2">
        <w:rPr>
          <w:rFonts w:ascii="Times New Roman" w:hAnsi="Times New Roman" w:cs="Times New Roman"/>
          <w:sz w:val="24"/>
          <w:szCs w:val="24"/>
        </w:rPr>
        <w:t xml:space="preserve">&amp;  </w:t>
      </w:r>
      <w:r w:rsidRPr="00446CF2">
        <w:rPr>
          <w:rFonts w:ascii="Times New Roman" w:hAnsi="Times New Roman" w:cs="Times New Roman"/>
          <w:sz w:val="24"/>
          <w:szCs w:val="24"/>
        </w:rPr>
        <w:t>Iliescu</w:t>
      </w:r>
      <w:r w:rsidR="00023B67" w:rsidRPr="00446CF2">
        <w:rPr>
          <w:rFonts w:ascii="Times New Roman" w:hAnsi="Times New Roman" w:cs="Times New Roman"/>
          <w:sz w:val="24"/>
          <w:szCs w:val="24"/>
        </w:rPr>
        <w:t xml:space="preserve">,  </w:t>
      </w:r>
      <w:r w:rsidRPr="00446CF2">
        <w:rPr>
          <w:rFonts w:ascii="Times New Roman" w:hAnsi="Times New Roman" w:cs="Times New Roman"/>
          <w:sz w:val="24"/>
          <w:szCs w:val="24"/>
        </w:rPr>
        <w:t>D</w:t>
      </w:r>
      <w:r w:rsidR="00023B67" w:rsidRPr="00446CF2">
        <w:rPr>
          <w:rFonts w:ascii="Times New Roman" w:hAnsi="Times New Roman" w:cs="Times New Roman"/>
          <w:sz w:val="24"/>
          <w:szCs w:val="24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(2019)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Romanian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adaptation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Survey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Work–Home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NijmeGen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BF50F7">
        <w:rPr>
          <w:rFonts w:ascii="Times New Roman" w:hAnsi="Times New Roman" w:cs="Times New Roman"/>
          <w:i/>
          <w:sz w:val="24"/>
          <w:szCs w:val="24"/>
          <w:lang w:val="en-US"/>
        </w:rPr>
        <w:t>Evaluation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&amp;  </w:t>
      </w:r>
      <w:r w:rsidRPr="00BF50F7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  <w:lang w:val="en-US"/>
        </w:rPr>
        <w:t>Health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  <w:lang w:val="en-US"/>
        </w:rPr>
        <w:t>Professions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 </w:t>
      </w:r>
      <w:r w:rsidRPr="00BF50F7">
        <w:rPr>
          <w:rFonts w:ascii="Times New Roman" w:hAnsi="Times New Roman" w:cs="Times New Roman"/>
          <w:i/>
          <w:sz w:val="24"/>
          <w:szCs w:val="24"/>
          <w:lang w:val="en-US"/>
        </w:rPr>
        <w:t>42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196-218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24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https://doi.org/10.1177/0163278718791303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Jacobsen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Fjeldbraaten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(2018)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Shift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sickness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absence-the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mediating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roles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work-home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conflict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perceived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health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Human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Resource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Management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57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(5)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1145-1157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hyperlink r:id="rId25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https://doi.org/10.1002/hrm.21894</w:t>
        </w:r>
      </w:hyperlink>
    </w:p>
    <w:p w:rsidR="00BF50F7" w:rsidRPr="00BF50F7" w:rsidRDefault="00BF50F7" w:rsidP="00376A10">
      <w:pPr>
        <w:shd w:val="clear" w:color="auto" w:fill="FFFFFF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67">
        <w:rPr>
          <w:rFonts w:ascii="Times New Roman" w:hAnsi="Times New Roman" w:cs="Times New Roman"/>
          <w:sz w:val="24"/>
          <w:szCs w:val="24"/>
          <w:lang w:val="en-US"/>
        </w:rPr>
        <w:t>Kelloway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.,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Gottlieb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&amp;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Barham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(1999)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>Work</w:t>
      </w:r>
      <w:r w:rsid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>Family</w:t>
      </w:r>
      <w:r w:rsid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>Conflict</w:t>
      </w:r>
      <w:r w:rsid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[Database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record]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APA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PsycTests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hyperlink r:id="rId26" w:tgtFrame="_blank" w:history="1">
        <w:r w:rsidRPr="00BF50F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pt-BR"/>
          </w:rPr>
          <w:t>https://doi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pt-BR"/>
          </w:rPr>
          <w:t>.</w:t>
        </w:r>
        <w:r w:rsidRPr="00BF50F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pt-BR"/>
          </w:rPr>
          <w:t>org/10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pt-BR"/>
          </w:rPr>
          <w:t>.</w:t>
        </w:r>
        <w:r w:rsidRPr="00BF50F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pt-BR"/>
          </w:rPr>
          <w:t>1037/t02979-000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B67">
        <w:rPr>
          <w:rFonts w:ascii="Times New Roman" w:hAnsi="Times New Roman" w:cs="Times New Roman"/>
          <w:sz w:val="24"/>
          <w:szCs w:val="24"/>
          <w:lang w:val="en-US"/>
        </w:rPr>
        <w:t>Kopelman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.,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Greenhaus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&amp;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Connolly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(1983)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family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inter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conflict: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construct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validation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Organizational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Behavior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Human</w:t>
      </w:r>
      <w:r w:rsid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Performance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32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198-215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hyperlink r:id="rId27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https://doi.org/10.1016/0030-5073(83)90147-2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Łaba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Geldenhuys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(2018)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Positive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interaction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between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home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psychological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availability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women's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engagement: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'shortitudinal'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of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Industrial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Psychology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44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(1)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1-11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hyperlink r:id="rId28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https://doi.org/10.4102/sajip.v44i0.1538</w:t>
        </w:r>
      </w:hyperlink>
    </w:p>
    <w:p w:rsidR="00BF50F7" w:rsidRPr="0006006B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Leun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Zhang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(2017)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Mapping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ICT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use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home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telecommuting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practices: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perspective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from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work/family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border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theory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Telematics</w:t>
      </w:r>
      <w:r w:rsidR="0006006B" w:rsidRP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and</w:t>
      </w:r>
      <w:r w:rsidR="0006006B" w:rsidRP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Informatics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34</w:t>
      </w:r>
      <w:r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(1)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385-396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hyperlink r:id="rId29" w:history="1">
        <w:r w:rsidRP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https://doi</w:t>
        </w:r>
        <w:r w:rsidR="00023B67" w:rsidRP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.</w:t>
        </w:r>
        <w:r w:rsidRP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org/10</w:t>
        </w:r>
        <w:r w:rsidR="00023B67" w:rsidRP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.</w:t>
        </w:r>
        <w:r w:rsidRP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1016/j</w:t>
        </w:r>
        <w:r w:rsidR="00023B67" w:rsidRP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.</w:t>
        </w:r>
        <w:r w:rsidRP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tele</w:t>
        </w:r>
        <w:r w:rsidR="00023B67" w:rsidRP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.</w:t>
        </w:r>
        <w:r w:rsidRP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2016</w:t>
        </w:r>
        <w:r w:rsidR="00023B67" w:rsidRP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.</w:t>
        </w:r>
        <w:r w:rsidRP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06</w:t>
        </w:r>
        <w:r w:rsidR="00023B67" w:rsidRP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.</w:t>
        </w:r>
        <w:r w:rsidRP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001</w:t>
        </w:r>
      </w:hyperlink>
    </w:p>
    <w:p w:rsidR="00BF50F7" w:rsidRPr="0006006B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006B">
        <w:rPr>
          <w:rFonts w:ascii="Times New Roman" w:hAnsi="Times New Roman" w:cs="Times New Roman"/>
          <w:sz w:val="24"/>
          <w:szCs w:val="24"/>
          <w:lang w:val="en-US"/>
        </w:rPr>
        <w:lastRenderedPageBreak/>
        <w:t>Lloret-Segura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Ferreres-Traver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Hernández-Baeza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Tomás-Marco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(2014)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El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análisis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factorial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exploratorio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los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ítems: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una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guía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práctica</w:t>
      </w:r>
      <w:r w:rsidR="00023B67">
        <w:rPr>
          <w:rFonts w:ascii="Times New Roman" w:hAnsi="Times New Roman" w:cs="Times New Roman"/>
          <w:sz w:val="24"/>
          <w:szCs w:val="24"/>
        </w:rPr>
        <w:t>,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revisada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y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actualizada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>Anales</w:t>
      </w:r>
      <w:r w:rsidR="0006006B"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>de</w:t>
      </w:r>
      <w:r w:rsidR="0006006B"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>Psicología/Annals</w:t>
      </w:r>
      <w:r w:rsidR="0006006B"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06006B"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>Psychology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>30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(3)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1151-1169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30" w:history="1">
        <w:r w:rsidR="00023B67" w:rsidRPr="0006006B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https://doi.org/10.6018/analesps.30.3.199361</w:t>
        </w:r>
      </w:hyperlink>
    </w:p>
    <w:p w:rsidR="00BF50F7" w:rsidRPr="00BF50F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6006B">
        <w:rPr>
          <w:rFonts w:ascii="Times New Roman" w:hAnsi="Times New Roman" w:cs="Times New Roman"/>
          <w:sz w:val="24"/>
          <w:szCs w:val="24"/>
          <w:lang w:val="en-US"/>
        </w:rPr>
        <w:t>Lourel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Gana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Wawrzyniak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(2005)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Home–work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interaction: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French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adaptation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validation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“Survey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Work–Home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Interaction-Nijmegen”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(SWING)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  <w:lang w:val="pt-BR"/>
        </w:rPr>
        <w:t>Psychologie</w:t>
      </w:r>
      <w:r w:rsidR="0006006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</w:t>
      </w:r>
      <w:r w:rsidR="00023B67">
        <w:rPr>
          <w:rFonts w:ascii="Times New Roman" w:hAnsi="Times New Roman" w:cs="Times New Roman"/>
          <w:i/>
          <w:sz w:val="24"/>
          <w:szCs w:val="24"/>
          <w:lang w:val="pt-BR"/>
        </w:rPr>
        <w:t>du</w:t>
      </w:r>
      <w:r w:rsidR="0006006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  <w:lang w:val="pt-BR"/>
        </w:rPr>
        <w:t>Travail</w:t>
      </w:r>
      <w:r w:rsidR="0006006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</w:t>
      </w:r>
      <w:r w:rsidR="00023B67">
        <w:rPr>
          <w:rFonts w:ascii="Times New Roman" w:hAnsi="Times New Roman" w:cs="Times New Roman"/>
          <w:i/>
          <w:sz w:val="24"/>
          <w:szCs w:val="24"/>
          <w:lang w:val="pt-BR"/>
        </w:rPr>
        <w:t>et</w:t>
      </w:r>
      <w:r w:rsidR="0006006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</w:t>
      </w:r>
      <w:r w:rsidR="00023B67">
        <w:rPr>
          <w:rFonts w:ascii="Times New Roman" w:hAnsi="Times New Roman" w:cs="Times New Roman"/>
          <w:i/>
          <w:sz w:val="24"/>
          <w:szCs w:val="24"/>
          <w:lang w:val="pt-BR"/>
        </w:rPr>
        <w:t>dês</w:t>
      </w:r>
      <w:r w:rsidR="0006006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  <w:lang w:val="pt-BR"/>
        </w:rPr>
        <w:t>Organisations</w:t>
      </w:r>
      <w:r w:rsidR="00023B67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="0006006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  <w:lang w:val="pt-BR"/>
        </w:rPr>
        <w:t>11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(4)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227-239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hyperlink r:id="rId31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https://doi.org/10.1016/j.pto.2005.10.003</w:t>
        </w:r>
      </w:hyperlink>
    </w:p>
    <w:p w:rsidR="00BF50F7" w:rsidRPr="00BF50F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Lyttelton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Zang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Musick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(2020)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Gender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differences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telecommuting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implications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inequality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home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Soc</w:t>
      </w:r>
      <w:r w:rsidR="0006006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Ar</w:t>
      </w:r>
      <w:r w:rsidR="0006006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Xiv</w:t>
      </w:r>
      <w:r w:rsidR="0006006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Papers</w:t>
      </w:r>
      <w:r w:rsidR="00023B6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 </w:t>
      </w:r>
      <w:hyperlink r:id="rId32" w:history="1">
        <w:r w:rsidR="00023B67" w:rsidRPr="006117A5">
          <w:rPr>
            <w:rStyle w:val="Hipervnculo"/>
            <w:rFonts w:ascii="Times New Roman" w:hAnsi="Times New Roman" w:cs="Times New Roman"/>
            <w:iCs/>
            <w:sz w:val="24"/>
            <w:szCs w:val="24"/>
            <w:shd w:val="clear" w:color="auto" w:fill="FFFFFF"/>
            <w:lang w:val="en-US"/>
          </w:rPr>
          <w:t>https://doi.org/10.31235/osf.io/tdf8c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B67">
        <w:rPr>
          <w:rFonts w:ascii="Times New Roman" w:hAnsi="Times New Roman" w:cs="Times New Roman"/>
          <w:sz w:val="24"/>
          <w:szCs w:val="24"/>
          <w:lang w:val="en-US"/>
        </w:rPr>
        <w:t>Marais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Mostert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Geurts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Taris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(2009)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psychometric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properties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translated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version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Survey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Work-Home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Interaction-Nijmegen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(SWING)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South</w:t>
      </w:r>
      <w:r w:rsidR="000600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African</w:t>
      </w:r>
      <w:r w:rsidR="000600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Journal</w:t>
      </w:r>
      <w:r w:rsidR="000600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0600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Psychology</w:t>
      </w:r>
      <w:r w:rsidR="00023B67" w:rsidRPr="00023B6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39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202-219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33" w:history="1"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US"/>
          </w:rPr>
          <w:t>.</w:t>
        </w:r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US"/>
          </w:rPr>
          <w:t>org/10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US"/>
          </w:rPr>
          <w:t>.</w:t>
        </w:r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n-US"/>
          </w:rPr>
          <w:t>1177/008124630903900206</w:t>
        </w:r>
      </w:hyperlink>
    </w:p>
    <w:p w:rsidR="00BF50F7" w:rsidRPr="00BF50F7" w:rsidRDefault="00BF50F7" w:rsidP="00376A10">
      <w:pPr>
        <w:shd w:val="clear" w:color="auto" w:fill="FFFFFF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B67">
        <w:rPr>
          <w:rFonts w:ascii="Times New Roman" w:hAnsi="Times New Roman" w:cs="Times New Roman"/>
          <w:sz w:val="24"/>
          <w:szCs w:val="24"/>
          <w:lang w:val="en-US"/>
        </w:rPr>
        <w:t>Marshall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Barnett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(2013)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>Work-Family</w:t>
      </w:r>
      <w:r w:rsidR="0006006B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>Strains</w:t>
      </w:r>
      <w:r w:rsidR="0006006B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>and</w:t>
      </w:r>
      <w:r w:rsidR="0006006B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>Gains</w:t>
      </w:r>
      <w:r w:rsidR="0006006B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>Scale</w:t>
      </w:r>
      <w:r w:rsid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>—</w:t>
      </w:r>
      <w:r w:rsidRPr="00023B67">
        <w:rPr>
          <w:rStyle w:val="nfasis"/>
          <w:rFonts w:ascii="Times New Roman" w:hAnsi="Times New Roman" w:cs="Times New Roman"/>
          <w:sz w:val="24"/>
          <w:szCs w:val="24"/>
          <w:lang w:val="en-US"/>
        </w:rPr>
        <w:t>Revised</w:t>
      </w:r>
      <w:r w:rsidR="0006006B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[Database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record]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APA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PsycTests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hyperlink r:id="rId34" w:tgtFrame="_blank" w:history="1">
        <w:r w:rsidRPr="00BF50F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pt-BR"/>
          </w:rPr>
          <w:t>https://doi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pt-BR"/>
          </w:rPr>
          <w:t>.</w:t>
        </w:r>
        <w:r w:rsidRPr="00BF50F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pt-BR"/>
          </w:rPr>
          <w:t>org/10</w:t>
        </w:r>
        <w:r w:rsid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pt-BR"/>
          </w:rPr>
          <w:t>.</w:t>
        </w:r>
        <w:r w:rsidRPr="00BF50F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pt-BR"/>
          </w:rPr>
          <w:t>1037/t32988-000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Meijman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Mulder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(1998)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Psychological</w:t>
      </w:r>
      <w:r w:rsidR="0006006B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aspects</w:t>
      </w:r>
      <w:r w:rsidR="0006006B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06006B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workload</w:t>
      </w:r>
      <w:r w:rsidR="00023B67" w:rsidRP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Drenth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Thierry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Wolff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(Eds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Handbook</w:t>
      </w:r>
      <w:r w:rsidR="0006006B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06006B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</w:t>
      </w:r>
      <w:r w:rsidR="0006006B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6006B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organizational</w:t>
      </w:r>
      <w:r w:rsidR="0006006B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psychology</w:t>
      </w:r>
      <w:r w:rsidR="0006006B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i w:val="0"/>
          <w:sz w:val="24"/>
          <w:szCs w:val="24"/>
          <w:shd w:val="clear" w:color="auto" w:fill="FFFFFF"/>
          <w:lang w:val="en-US"/>
        </w:rPr>
        <w:t>(</w:t>
      </w:r>
      <w:r w:rsidRP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</w:t>
      </w:r>
      <w:r w:rsidRP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nd</w:t>
      </w:r>
      <w:r w:rsidR="0006006B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</w:t>
      </w:r>
      <w:r w:rsidR="00023B67">
        <w:rPr>
          <w:rStyle w:val="nf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5-33)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Psychology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Press/Erlbaum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Taylor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&amp;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Francis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46CF2">
        <w:rPr>
          <w:rFonts w:ascii="Times New Roman" w:hAnsi="Times New Roman" w:cs="Times New Roman"/>
          <w:sz w:val="24"/>
          <w:szCs w:val="24"/>
        </w:rPr>
        <w:t>Moreno-Jiménez</w:t>
      </w:r>
      <w:r w:rsidR="00023B67" w:rsidRPr="00446CF2">
        <w:rPr>
          <w:rFonts w:ascii="Times New Roman" w:hAnsi="Times New Roman" w:cs="Times New Roman"/>
          <w:sz w:val="24"/>
          <w:szCs w:val="24"/>
        </w:rPr>
        <w:t>,</w:t>
      </w:r>
      <w:r w:rsidR="0006006B" w:rsidRPr="00446CF2">
        <w:rPr>
          <w:rFonts w:ascii="Times New Roman" w:hAnsi="Times New Roman" w:cs="Times New Roman"/>
          <w:sz w:val="24"/>
          <w:szCs w:val="24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</w:rPr>
        <w:t>B</w:t>
      </w:r>
      <w:r w:rsidR="00023B67" w:rsidRPr="00446CF2">
        <w:rPr>
          <w:rFonts w:ascii="Times New Roman" w:hAnsi="Times New Roman" w:cs="Times New Roman"/>
          <w:sz w:val="24"/>
          <w:szCs w:val="24"/>
        </w:rPr>
        <w:t>.,</w:t>
      </w:r>
      <w:r w:rsidR="0006006B" w:rsidRPr="00446CF2">
        <w:rPr>
          <w:rFonts w:ascii="Times New Roman" w:hAnsi="Times New Roman" w:cs="Times New Roman"/>
          <w:sz w:val="24"/>
          <w:szCs w:val="24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</w:rPr>
        <w:t>Sanz-Vergel</w:t>
      </w:r>
      <w:r w:rsidR="00023B67" w:rsidRPr="00446CF2">
        <w:rPr>
          <w:rFonts w:ascii="Times New Roman" w:hAnsi="Times New Roman" w:cs="Times New Roman"/>
          <w:sz w:val="24"/>
          <w:szCs w:val="24"/>
        </w:rPr>
        <w:t>,</w:t>
      </w:r>
      <w:r w:rsidR="0006006B" w:rsidRPr="00446CF2">
        <w:rPr>
          <w:rFonts w:ascii="Times New Roman" w:hAnsi="Times New Roman" w:cs="Times New Roman"/>
          <w:sz w:val="24"/>
          <w:szCs w:val="24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</w:rPr>
        <w:t>A</w:t>
      </w:r>
      <w:r w:rsidR="00023B67" w:rsidRPr="00446CF2">
        <w:rPr>
          <w:rFonts w:ascii="Times New Roman" w:hAnsi="Times New Roman" w:cs="Times New Roman"/>
          <w:sz w:val="24"/>
          <w:szCs w:val="24"/>
        </w:rPr>
        <w:t>.</w:t>
      </w:r>
      <w:r w:rsidR="0006006B" w:rsidRPr="00446CF2">
        <w:rPr>
          <w:rFonts w:ascii="Times New Roman" w:hAnsi="Times New Roman" w:cs="Times New Roman"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</w:rPr>
        <w:t>I</w:t>
      </w:r>
      <w:r w:rsidR="00023B67" w:rsidRPr="0006006B">
        <w:rPr>
          <w:rFonts w:ascii="Times New Roman" w:hAnsi="Times New Roman" w:cs="Times New Roman"/>
          <w:sz w:val="24"/>
          <w:szCs w:val="24"/>
        </w:rPr>
        <w:t>.,</w:t>
      </w:r>
      <w:r w:rsidR="0006006B" w:rsidRP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</w:rPr>
        <w:t>Rodríguez-Muñoz</w:t>
      </w:r>
      <w:r w:rsidR="00023B67" w:rsidRPr="0006006B">
        <w:rPr>
          <w:rFonts w:ascii="Times New Roman" w:hAnsi="Times New Roman" w:cs="Times New Roman"/>
          <w:sz w:val="24"/>
          <w:szCs w:val="24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</w:rPr>
        <w:t>A</w:t>
      </w:r>
      <w:r w:rsidR="00023B67" w:rsidRPr="0006006B">
        <w:rPr>
          <w:rFonts w:ascii="Times New Roman" w:hAnsi="Times New Roman" w:cs="Times New Roman"/>
          <w:sz w:val="24"/>
          <w:szCs w:val="24"/>
        </w:rPr>
        <w:t>.,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="00023B67" w:rsidRPr="0006006B">
        <w:rPr>
          <w:rFonts w:ascii="Times New Roman" w:hAnsi="Times New Roman" w:cs="Times New Roman"/>
          <w:sz w:val="24"/>
          <w:szCs w:val="24"/>
        </w:rPr>
        <w:t>&amp;</w:t>
      </w:r>
      <w:r w:rsidR="0006006B" w:rsidRP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</w:rPr>
        <w:t>Geurts</w:t>
      </w:r>
      <w:r w:rsidR="00023B67" w:rsidRPr="0006006B">
        <w:rPr>
          <w:rFonts w:ascii="Times New Roman" w:hAnsi="Times New Roman" w:cs="Times New Roman"/>
          <w:sz w:val="24"/>
          <w:szCs w:val="24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</w:rPr>
        <w:t>S</w:t>
      </w:r>
      <w:r w:rsidR="00023B67" w:rsidRPr="0006006B">
        <w:rPr>
          <w:rFonts w:ascii="Times New Roman" w:hAnsi="Times New Roman" w:cs="Times New Roman"/>
          <w:sz w:val="24"/>
          <w:szCs w:val="24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</w:rPr>
        <w:t>(2009)</w:t>
      </w:r>
      <w:r w:rsidR="00023B67" w:rsidRPr="0006006B">
        <w:rPr>
          <w:rFonts w:ascii="Times New Roman" w:hAnsi="Times New Roman" w:cs="Times New Roman"/>
          <w:sz w:val="24"/>
          <w:szCs w:val="24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Propiedades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psicométricas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la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versión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española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del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Cuestionario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Interacción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Trabajo-Familia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(SWING)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Psicothema</w:t>
      </w:r>
      <w:r w:rsidR="00023B67">
        <w:rPr>
          <w:rFonts w:ascii="Times New Roman" w:hAnsi="Times New Roman" w:cs="Times New Roman"/>
          <w:i/>
          <w:sz w:val="24"/>
          <w:szCs w:val="24"/>
        </w:rPr>
        <w:t>,</w:t>
      </w:r>
      <w:r w:rsidR="0006006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21</w:t>
      </w:r>
      <w:r w:rsidRPr="00BF50F7">
        <w:rPr>
          <w:rFonts w:ascii="Times New Roman" w:hAnsi="Times New Roman" w:cs="Times New Roman"/>
          <w:sz w:val="24"/>
          <w:szCs w:val="24"/>
        </w:rPr>
        <w:t>(2)</w:t>
      </w:r>
      <w:r w:rsidR="00023B67">
        <w:rPr>
          <w:rFonts w:ascii="Times New Roman" w:hAnsi="Times New Roman" w:cs="Times New Roman"/>
          <w:sz w:val="24"/>
          <w:szCs w:val="24"/>
        </w:rPr>
        <w:t>,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331-337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</w:rPr>
        <w:t>Psicothema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</w:rPr>
        <w:t>website: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</w:rPr>
        <w:t>http://www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Pr="00023B67">
        <w:rPr>
          <w:rFonts w:ascii="Times New Roman" w:hAnsi="Times New Roman" w:cs="Times New Roman"/>
          <w:sz w:val="24"/>
          <w:szCs w:val="24"/>
        </w:rPr>
        <w:t>psicothema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Pr="00023B67">
        <w:rPr>
          <w:rFonts w:ascii="Times New Roman" w:hAnsi="Times New Roman" w:cs="Times New Roman"/>
          <w:sz w:val="24"/>
          <w:szCs w:val="24"/>
        </w:rPr>
        <w:t>com/</w:t>
      </w:r>
    </w:p>
    <w:p w:rsidR="00BF50F7" w:rsidRPr="00F41412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006B">
        <w:rPr>
          <w:rFonts w:ascii="Times New Roman" w:hAnsi="Times New Roman" w:cs="Times New Roman"/>
          <w:sz w:val="24"/>
          <w:szCs w:val="24"/>
        </w:rPr>
        <w:t>Netemeyer</w:t>
      </w:r>
      <w:r w:rsidR="00023B67" w:rsidRPr="0006006B">
        <w:rPr>
          <w:rFonts w:ascii="Times New Roman" w:hAnsi="Times New Roman" w:cs="Times New Roman"/>
          <w:sz w:val="24"/>
          <w:szCs w:val="24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</w:rPr>
        <w:t>R</w:t>
      </w:r>
      <w:r w:rsidR="00023B67" w:rsidRPr="0006006B">
        <w:rPr>
          <w:rFonts w:ascii="Times New Roman" w:hAnsi="Times New Roman" w:cs="Times New Roman"/>
          <w:sz w:val="24"/>
          <w:szCs w:val="24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</w:rPr>
        <w:t>G</w:t>
      </w:r>
      <w:r w:rsidR="00023B67" w:rsidRPr="0006006B">
        <w:rPr>
          <w:rFonts w:ascii="Times New Roman" w:hAnsi="Times New Roman" w:cs="Times New Roman"/>
          <w:sz w:val="24"/>
          <w:szCs w:val="24"/>
        </w:rPr>
        <w:t>.,</w:t>
      </w:r>
      <w:r w:rsidR="0006006B" w:rsidRP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</w:rPr>
        <w:t>Boles</w:t>
      </w:r>
      <w:r w:rsidR="00023B67" w:rsidRPr="0006006B">
        <w:rPr>
          <w:rFonts w:ascii="Times New Roman" w:hAnsi="Times New Roman" w:cs="Times New Roman"/>
          <w:sz w:val="24"/>
          <w:szCs w:val="24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</w:rPr>
        <w:t>J</w:t>
      </w:r>
      <w:r w:rsidR="00023B67" w:rsidRPr="0006006B">
        <w:rPr>
          <w:rFonts w:ascii="Times New Roman" w:hAnsi="Times New Roman" w:cs="Times New Roman"/>
          <w:sz w:val="24"/>
          <w:szCs w:val="24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McMurrian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(1996)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validation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work-family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conflict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family-work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conflict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scales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</w:rPr>
        <w:t>Journal</w:t>
      </w:r>
      <w:r w:rsidR="0006006B" w:rsidRPr="00F4141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</w:rPr>
        <w:t>of</w:t>
      </w:r>
      <w:r w:rsidR="0006006B" w:rsidRPr="00F4141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</w:rPr>
        <w:t>Applied</w:t>
      </w:r>
      <w:r w:rsidR="0006006B" w:rsidRPr="00F4141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</w:rPr>
        <w:t>Psychology</w:t>
      </w:r>
      <w:r w:rsidR="00023B67" w:rsidRPr="00F41412">
        <w:rPr>
          <w:rFonts w:ascii="Times New Roman" w:hAnsi="Times New Roman" w:cs="Times New Roman"/>
          <w:i/>
          <w:sz w:val="24"/>
          <w:szCs w:val="24"/>
        </w:rPr>
        <w:t>,</w:t>
      </w:r>
      <w:r w:rsidR="0006006B" w:rsidRPr="00F4141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</w:rPr>
        <w:t>81</w:t>
      </w:r>
      <w:r w:rsidRPr="00F41412">
        <w:rPr>
          <w:rFonts w:ascii="Times New Roman" w:hAnsi="Times New Roman" w:cs="Times New Roman"/>
          <w:sz w:val="24"/>
          <w:szCs w:val="24"/>
        </w:rPr>
        <w:t>(4)</w:t>
      </w:r>
      <w:r w:rsidR="00023B67" w:rsidRPr="00F41412">
        <w:rPr>
          <w:rFonts w:ascii="Times New Roman" w:hAnsi="Times New Roman" w:cs="Times New Roman"/>
          <w:sz w:val="24"/>
          <w:szCs w:val="24"/>
        </w:rPr>
        <w:t>,</w:t>
      </w:r>
      <w:r w:rsidR="0006006B" w:rsidRPr="00F41412">
        <w:rPr>
          <w:rFonts w:ascii="Times New Roman" w:hAnsi="Times New Roman" w:cs="Times New Roman"/>
          <w:sz w:val="24"/>
          <w:szCs w:val="24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</w:rPr>
        <w:t>400-410</w:t>
      </w:r>
      <w:r w:rsidR="00023B67" w:rsidRPr="00F41412">
        <w:rPr>
          <w:rFonts w:ascii="Times New Roman" w:hAnsi="Times New Roman" w:cs="Times New Roman"/>
          <w:sz w:val="24"/>
          <w:szCs w:val="24"/>
        </w:rPr>
        <w:t>.</w:t>
      </w:r>
      <w:r w:rsidR="00376A10" w:rsidRPr="00F41412">
        <w:rPr>
          <w:rFonts w:ascii="Times New Roman" w:hAnsi="Times New Roman" w:cs="Times New Roman"/>
          <w:sz w:val="24"/>
          <w:szCs w:val="24"/>
        </w:rPr>
        <w:t xml:space="preserve">  </w:t>
      </w:r>
      <w:hyperlink r:id="rId35" w:history="1">
        <w:r w:rsidR="00023B67" w:rsidRPr="00F41412">
          <w:rPr>
            <w:rStyle w:val="Hipervnculo"/>
            <w:rFonts w:ascii="Times New Roman" w:hAnsi="Times New Roman" w:cs="Times New Roman"/>
            <w:sz w:val="24"/>
            <w:szCs w:val="24"/>
          </w:rPr>
          <w:t>http://dx.doi.org/10.1037/0021-9010.81.4.400</w:t>
        </w:r>
      </w:hyperlink>
    </w:p>
    <w:p w:rsidR="00F41412" w:rsidRPr="00F41412" w:rsidRDefault="00F41412" w:rsidP="00F414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Organización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Panamericana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la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Salud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Consejo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Organizaciones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Internacionales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las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Ciencias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Médicas.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[OPS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CIOMS]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(2017).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Pautas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éticas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internacionales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para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la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investigación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relacionada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con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la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salud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con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seres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humanos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CIOMS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>website: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hyperlink r:id="rId36" w:history="1">
        <w:r w:rsidRPr="00F41412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https://cioms.ch/</w:t>
        </w:r>
      </w:hyperlink>
      <w:r w:rsidRPr="00F41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Oviedo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="0006006B" w:rsidRP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>Campo-Arias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>(2005)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Aproximación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al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uso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del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coeficiente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alfa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Cronbach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colombiana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psiquiatría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34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(4)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572-580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Psiquiatria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website: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http://psiquiatria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org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co/web/publicaciones/revista-colombiana-de-psiquiatria/</w:t>
      </w:r>
    </w:p>
    <w:p w:rsidR="00BF50F7" w:rsidRPr="00023B67" w:rsidRDefault="00BF50F7" w:rsidP="00376A10">
      <w:pPr>
        <w:shd w:val="clear" w:color="auto" w:fill="FFFFFF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0F7">
        <w:rPr>
          <w:rFonts w:ascii="Times New Roman" w:hAnsi="Times New Roman" w:cs="Times New Roman"/>
          <w:sz w:val="24"/>
          <w:szCs w:val="24"/>
          <w:lang w:val="en-US"/>
        </w:rPr>
        <w:t>Parker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Allen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(2001)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Style w:val="nfasis"/>
          <w:rFonts w:ascii="Times New Roman" w:hAnsi="Times New Roman" w:cs="Times New Roman"/>
          <w:sz w:val="24"/>
          <w:szCs w:val="24"/>
          <w:lang w:val="en-US"/>
        </w:rPr>
        <w:t>Perceived</w:t>
      </w:r>
      <w:r w:rsidR="0006006B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Style w:val="nfasis"/>
          <w:rFonts w:ascii="Times New Roman" w:hAnsi="Times New Roman" w:cs="Times New Roman"/>
          <w:sz w:val="24"/>
          <w:szCs w:val="24"/>
          <w:lang w:val="en-US"/>
        </w:rPr>
        <w:t>Fairness</w:t>
      </w:r>
      <w:r w:rsidR="0006006B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Style w:val="nfasis"/>
          <w:rFonts w:ascii="Times New Roman" w:hAnsi="Times New Roman" w:cs="Times New Roman"/>
          <w:sz w:val="24"/>
          <w:szCs w:val="24"/>
          <w:lang w:val="en-US"/>
        </w:rPr>
        <w:t>of</w:t>
      </w:r>
      <w:r w:rsidR="0006006B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Style w:val="nfasis"/>
          <w:rFonts w:ascii="Times New Roman" w:hAnsi="Times New Roman" w:cs="Times New Roman"/>
          <w:sz w:val="24"/>
          <w:szCs w:val="24"/>
          <w:lang w:val="en-US"/>
        </w:rPr>
        <w:t>Work/Family</w:t>
      </w:r>
      <w:r w:rsidR="0006006B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Style w:val="nfasis"/>
          <w:rFonts w:ascii="Times New Roman" w:hAnsi="Times New Roman" w:cs="Times New Roman"/>
          <w:sz w:val="24"/>
          <w:szCs w:val="24"/>
          <w:lang w:val="en-US"/>
        </w:rPr>
        <w:t>Benefits</w:t>
      </w:r>
      <w:r w:rsidR="0006006B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Style w:val="nfasis"/>
          <w:rFonts w:ascii="Times New Roman" w:hAnsi="Times New Roman" w:cs="Times New Roman"/>
          <w:sz w:val="24"/>
          <w:szCs w:val="24"/>
          <w:lang w:val="en-US"/>
        </w:rPr>
        <w:t>Scale</w:t>
      </w:r>
      <w:r w:rsidR="0006006B">
        <w:rPr>
          <w:rStyle w:val="nfasis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[Database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record]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APA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PsycTests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37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https://doi.org/10.1037/t09758-000</w:t>
        </w:r>
      </w:hyperlink>
    </w:p>
    <w:p w:rsidR="00BF50F7" w:rsidRPr="00BF50F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50F7">
        <w:rPr>
          <w:rFonts w:ascii="Times New Roman" w:hAnsi="Times New Roman" w:cs="Times New Roman"/>
          <w:sz w:val="24"/>
          <w:szCs w:val="24"/>
          <w:lang w:val="pt-BR"/>
        </w:rPr>
        <w:t>Pereira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.,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Queirós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.,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Gonçalves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.,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Carlotto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&amp;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Borges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(2014)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Burnout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interação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trabalho-família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enfermeiros: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Estudo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exploratório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como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Survey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Work-Home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Interaction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Nijmegen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(SWING)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  <w:lang w:val="pt-BR"/>
        </w:rPr>
        <w:t>Revista</w:t>
      </w:r>
      <w:r w:rsidR="0006006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  <w:lang w:val="pt-BR"/>
        </w:rPr>
        <w:t>Portuguesa</w:t>
      </w:r>
      <w:r w:rsidR="0006006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  <w:lang w:val="pt-BR"/>
        </w:rPr>
        <w:t>de</w:t>
      </w:r>
      <w:r w:rsidR="0006006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  <w:lang w:val="pt-BR"/>
        </w:rPr>
        <w:t>Enfermagem</w:t>
      </w:r>
      <w:r w:rsidR="0006006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  <w:lang w:val="pt-BR"/>
        </w:rPr>
        <w:t>de</w:t>
      </w:r>
      <w:r w:rsidR="0006006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  <w:lang w:val="pt-BR"/>
        </w:rPr>
        <w:t>Saúde</w:t>
      </w:r>
      <w:r w:rsidR="0006006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  <w:lang w:val="pt-BR"/>
        </w:rPr>
        <w:t>Mental</w:t>
      </w:r>
      <w:r w:rsidR="00023B67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="0006006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  <w:lang w:val="pt-BR"/>
        </w:rPr>
        <w:t>11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24-30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Aspem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website: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http://aspesm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org/index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php/revista/</w:t>
      </w:r>
    </w:p>
    <w:p w:rsidR="00BF50F7" w:rsidRPr="00102C22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Queirós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Pereira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Monteiro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&amp;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Cameira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(septiembre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2016)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Work-home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interaction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as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predictor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of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engagement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among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Family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Health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Units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Work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presented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in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25°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Epidemiology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in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Occupational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Health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Conference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Barcelona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España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Repositorio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Aberto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website: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https://repositorio-aberto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up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  <w:r w:rsidRPr="00102C2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pt/</w:t>
      </w:r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F50F7">
        <w:rPr>
          <w:rFonts w:ascii="Times New Roman" w:hAnsi="Times New Roman" w:cs="Times New Roman"/>
          <w:sz w:val="24"/>
          <w:szCs w:val="24"/>
        </w:rPr>
        <w:t>Ramada-Rodilla</w:t>
      </w:r>
      <w:r w:rsidR="00023B67">
        <w:rPr>
          <w:rFonts w:ascii="Times New Roman" w:hAnsi="Times New Roman" w:cs="Times New Roman"/>
          <w:sz w:val="24"/>
          <w:szCs w:val="24"/>
        </w:rPr>
        <w:t>,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J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M</w:t>
      </w:r>
      <w:r w:rsidR="00023B67">
        <w:rPr>
          <w:rFonts w:ascii="Times New Roman" w:hAnsi="Times New Roman" w:cs="Times New Roman"/>
          <w:sz w:val="24"/>
          <w:szCs w:val="24"/>
        </w:rPr>
        <w:t>.,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Serra-Pujadas</w:t>
      </w:r>
      <w:r w:rsidR="00023B67">
        <w:rPr>
          <w:rFonts w:ascii="Times New Roman" w:hAnsi="Times New Roman" w:cs="Times New Roman"/>
          <w:sz w:val="24"/>
          <w:szCs w:val="24"/>
        </w:rPr>
        <w:t>,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C</w:t>
      </w:r>
      <w:r w:rsidR="00023B67">
        <w:rPr>
          <w:rFonts w:ascii="Times New Roman" w:hAnsi="Times New Roman" w:cs="Times New Roman"/>
          <w:sz w:val="24"/>
          <w:szCs w:val="24"/>
        </w:rPr>
        <w:t>.,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</w:rPr>
        <w:t>&amp;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Delclós-Clanchet</w:t>
      </w:r>
      <w:r w:rsidR="00023B67">
        <w:rPr>
          <w:rFonts w:ascii="Times New Roman" w:hAnsi="Times New Roman" w:cs="Times New Roman"/>
          <w:sz w:val="24"/>
          <w:szCs w:val="24"/>
        </w:rPr>
        <w:t>,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G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L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(2013)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Adaptación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cultural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y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validación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cuestionarios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salud: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Revisión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y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recomendaciones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metodológicas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Salud</w:t>
      </w:r>
      <w:r w:rsidR="0006006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pública</w:t>
      </w:r>
      <w:r w:rsidR="0006006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de</w:t>
      </w:r>
      <w:r w:rsidR="0006006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México</w:t>
      </w:r>
      <w:r w:rsidR="00023B67">
        <w:rPr>
          <w:rFonts w:ascii="Times New Roman" w:hAnsi="Times New Roman" w:cs="Times New Roman"/>
          <w:i/>
          <w:sz w:val="24"/>
          <w:szCs w:val="24"/>
        </w:rPr>
        <w:t>,</w:t>
      </w:r>
      <w:r w:rsidR="0006006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55</w:t>
      </w:r>
      <w:r w:rsidRPr="00BF50F7">
        <w:rPr>
          <w:rFonts w:ascii="Times New Roman" w:hAnsi="Times New Roman" w:cs="Times New Roman"/>
          <w:sz w:val="24"/>
          <w:szCs w:val="24"/>
        </w:rPr>
        <w:t>(1)</w:t>
      </w:r>
      <w:r w:rsidR="00023B67">
        <w:rPr>
          <w:rFonts w:ascii="Times New Roman" w:hAnsi="Times New Roman" w:cs="Times New Roman"/>
          <w:sz w:val="24"/>
          <w:szCs w:val="24"/>
        </w:rPr>
        <w:t>,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57-66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hyperlink r:id="rId38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https://doi.org/10.1590/s0036-36342013000100009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Rhnima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Richard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Núñez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Pousa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(2016)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Elconflictotrabajo-familia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como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factor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riesgo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el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apoyo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social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del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supervisor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como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factor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protector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del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agotamiento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CIENCIA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ergo-sum</w:t>
      </w:r>
      <w:r w:rsidR="00023B67"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Científica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Multidisciplinaria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Prospectiva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23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(3)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205-218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Ciencia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Ergo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Sum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website: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https://cienciaergosum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uaemex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mx/article/download/7363/5893</w:t>
      </w:r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Robinson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Magee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Caputi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(2016)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Burnout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work-family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interface: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two-wave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study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sole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partnered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working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mothers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Career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Development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International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21</w:t>
      </w:r>
      <w:r w:rsidRPr="00BF50F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(1)</w:t>
      </w:r>
      <w:r w:rsidR="00023B6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31-44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hyperlink r:id="rId39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https://doi.org/10.1108/cdi-06-2015-0085</w:t>
        </w:r>
      </w:hyperlink>
    </w:p>
    <w:p w:rsidR="00BF50F7" w:rsidRPr="0006006B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23B67">
        <w:rPr>
          <w:rFonts w:ascii="Times New Roman" w:hAnsi="Times New Roman" w:cs="Times New Roman"/>
          <w:sz w:val="24"/>
          <w:szCs w:val="24"/>
          <w:lang w:val="en-US"/>
        </w:rPr>
        <w:lastRenderedPageBreak/>
        <w:t>Romeo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Berger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Yepes-Baldó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Ramos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(2014)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Adaptation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validation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Spanish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Version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“Survey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Work-Home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Interaction–NijmeGen”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(SWING)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Spanish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speaking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countries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sz w:val="24"/>
          <w:szCs w:val="24"/>
        </w:rPr>
        <w:t>Anales</w:t>
      </w:r>
      <w:r w:rsidR="0006006B" w:rsidRPr="0006006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i/>
          <w:sz w:val="24"/>
          <w:szCs w:val="24"/>
        </w:rPr>
        <w:t>de</w:t>
      </w:r>
      <w:r w:rsidR="0006006B" w:rsidRPr="0006006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i/>
          <w:sz w:val="24"/>
          <w:szCs w:val="24"/>
        </w:rPr>
        <w:t>Psicología</w:t>
      </w:r>
      <w:r w:rsidR="00023B67" w:rsidRPr="0006006B">
        <w:rPr>
          <w:rFonts w:ascii="Times New Roman" w:hAnsi="Times New Roman" w:cs="Times New Roman"/>
          <w:i/>
          <w:sz w:val="24"/>
          <w:szCs w:val="24"/>
        </w:rPr>
        <w:t>,</w:t>
      </w:r>
      <w:r w:rsidR="0006006B" w:rsidRPr="0006006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i/>
          <w:sz w:val="24"/>
          <w:szCs w:val="24"/>
        </w:rPr>
        <w:t>30</w:t>
      </w:r>
      <w:r w:rsidRPr="0006006B">
        <w:rPr>
          <w:rFonts w:ascii="Times New Roman" w:hAnsi="Times New Roman" w:cs="Times New Roman"/>
          <w:sz w:val="24"/>
          <w:szCs w:val="24"/>
        </w:rPr>
        <w:t>(1)</w:t>
      </w:r>
      <w:r w:rsidR="00023B67" w:rsidRPr="0006006B">
        <w:rPr>
          <w:rFonts w:ascii="Times New Roman" w:hAnsi="Times New Roman" w:cs="Times New Roman"/>
          <w:sz w:val="24"/>
          <w:szCs w:val="24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</w:rPr>
        <w:t>287-293</w:t>
      </w:r>
      <w:r w:rsidR="00023B67" w:rsidRPr="0006006B">
        <w:rPr>
          <w:rFonts w:ascii="Times New Roman" w:hAnsi="Times New Roman" w:cs="Times New Roman"/>
          <w:sz w:val="24"/>
          <w:szCs w:val="24"/>
        </w:rPr>
        <w:t>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hyperlink r:id="rId40" w:history="1">
        <w:r w:rsidR="00023B67" w:rsidRPr="0006006B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https://doi.org/10.6018/analesps.30.1.148291</w:t>
        </w:r>
      </w:hyperlink>
    </w:p>
    <w:p w:rsidR="00BF50F7" w:rsidRPr="0006006B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>Rothmann</w:t>
      </w:r>
      <w:r w:rsidR="00023B67" w:rsidRP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 w:rsidRP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023B67" w:rsidRP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376A10" w:rsidRP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23B67" w:rsidRP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="0006006B" w:rsidRP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>Baumann</w:t>
      </w:r>
      <w:r w:rsidR="00023B67" w:rsidRP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 w:rsidRP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023B67" w:rsidRP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 w:rsidRP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(2014)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Employee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engagement:The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effects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work-home/home-work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interaction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psychological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conditions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South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African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of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Economic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and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Management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Sciences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17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(4)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515-530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hyperlink r:id="rId41" w:history="1">
        <w:r w:rsidR="00023B67" w:rsidRPr="006117A5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</w:t>
        </w:r>
        <w:r w:rsidR="00023B67" w:rsidRPr="0006006B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4102/sajems.v17i4.419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highlight w:val="cyan"/>
          <w:lang w:val="en-US"/>
        </w:rPr>
      </w:pP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</w:rPr>
        <w:t>Rubbini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</w:rPr>
        <w:t>(2012)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</w:rPr>
        <w:t>Los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</w:rPr>
        <w:t>riesgos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</w:rPr>
        <w:t>psicosociales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</w:rPr>
        <w:t>el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</w:rPr>
        <w:t>teletrabajo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VII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Jornadas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Sociología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la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Universidad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Nacional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La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Plata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376A1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Argentina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="00376A1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Memoria</w:t>
      </w:r>
      <w:r w:rsidR="0006006B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Fahce</w:t>
      </w:r>
      <w:r w:rsidR="0006006B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website:</w:t>
      </w:r>
      <w:r w:rsidR="0006006B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http://www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memoria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fahce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unlp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ar/</w:t>
      </w:r>
    </w:p>
    <w:p w:rsidR="00BF50F7" w:rsidRPr="009D36A3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Sarbu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(2018)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role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telecommuting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work-family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conflict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among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German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employees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Researchin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Transportation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Economics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70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37-51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</w:p>
    <w:p w:rsidR="00BF50F7" w:rsidRPr="00BF50F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0F7">
        <w:rPr>
          <w:rFonts w:ascii="Times New Roman" w:hAnsi="Times New Roman" w:cs="Times New Roman"/>
          <w:sz w:val="24"/>
          <w:szCs w:val="24"/>
          <w:lang w:val="en-US"/>
        </w:rPr>
        <w:t>Schaufeli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Leiter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Maslach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Jackson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(1996)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Maslach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Burnout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Inventory-General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Survey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Maslach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Jackson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Leiter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(Eds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Maslach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Burnout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Inventory-test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(3º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Consulting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Psychologists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F50F7" w:rsidRPr="00BF50F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Serenko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06006B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Sato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06006B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Palvia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06006B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Turan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="0006006B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Sasaki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023B67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 w:rsidRPr="00446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(2017)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effect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work-home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conflict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IT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employees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Japan: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moderating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role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conscientiousness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Twenty-third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Americas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Conference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Information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Systems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Boston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https://core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BF50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uk/reader/301372540</w:t>
      </w:r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Shimada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Shimazu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Bakker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Demerouti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Kawakami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(2010)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Work-family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spillover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among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Japanese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dual-earner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couples: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large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community-based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study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of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Occupational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Health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52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(6)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9D36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335-343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hyperlink r:id="rId42" w:history="1">
        <w:r w:rsidR="0006006B" w:rsidRPr="006117A5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https://doi.org/10.1539/joh.l9130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B67">
        <w:rPr>
          <w:rFonts w:ascii="Times New Roman" w:hAnsi="Times New Roman" w:cs="Times New Roman"/>
          <w:sz w:val="24"/>
          <w:szCs w:val="24"/>
          <w:lang w:val="en-US"/>
        </w:rPr>
        <w:t>Shimada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Shimazu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Geurts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Kawakami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(2018)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Japanese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version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Survey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Work-Home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Interaction-NijmeGen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(SWING-J)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Community</w:t>
      </w:r>
      <w:r w:rsidR="00023B67" w:rsidRPr="00023B6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Work</w:t>
      </w:r>
      <w:r w:rsidR="000600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23B67">
        <w:rPr>
          <w:rFonts w:ascii="Times New Roman" w:hAnsi="Times New Roman" w:cs="Times New Roman"/>
          <w:i/>
          <w:sz w:val="24"/>
          <w:szCs w:val="24"/>
          <w:lang w:val="en-US"/>
        </w:rPr>
        <w:t>&amp;</w:t>
      </w:r>
      <w:r w:rsidR="000600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Family</w:t>
      </w:r>
      <w:r w:rsidR="00023B67" w:rsidRPr="00023B6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sz w:val="24"/>
          <w:szCs w:val="24"/>
          <w:lang w:val="en-US"/>
        </w:rPr>
        <w:t>22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(3)</w:t>
      </w:r>
      <w:r w:rsidR="00023B67" w:rsidRPr="00023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267-283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43" w:history="1">
        <w:r w:rsidR="0006006B" w:rsidRPr="006117A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https://doi.org/10.1080/13668803.2018.1471588</w:t>
        </w:r>
      </w:hyperlink>
    </w:p>
    <w:p w:rsidR="00BF50F7" w:rsidRPr="0006006B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Smith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DeJoy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Dyal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&amp;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Huang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(2019)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Impact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pressure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stress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work-family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conflict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fire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fighter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burnout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lastRenderedPageBreak/>
        <w:t>Archives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of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Environmental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&amp;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Occupational</w:t>
      </w:r>
      <w:r w:rsidR="000600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Health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74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(4)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215-222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hyperlink r:id="rId44" w:history="1">
        <w:r w:rsidR="0006006B" w:rsidRPr="0006006B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https://doi.org/10.1080/19338244.2017.1395789</w:t>
        </w:r>
      </w:hyperlink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Spontón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</w:t>
      </w:r>
      <w:r w:rsidR="0006006B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Medrano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="00023B67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Maffei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Spontón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Castellano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(2012)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Validación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del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cuestionario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Engagement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UWES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la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población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trabajadores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Córdoba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Argentina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Liberabit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18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(2)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725DD">
        <w:rPr>
          <w:rFonts w:ascii="Times New Roman" w:hAnsi="Times New Roman" w:cs="Times New Roman"/>
          <w:sz w:val="24"/>
          <w:szCs w:val="24"/>
          <w:shd w:val="clear" w:color="auto" w:fill="FFFFFF"/>
        </w:rPr>
        <w:t>147-154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Liberabit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website: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http://ojs3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revistaliberabit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com/publicaciones/</w:t>
      </w:r>
    </w:p>
    <w:p w:rsidR="00BF50F7" w:rsidRPr="00023B67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Spontón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Trógolo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Castellano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Medrano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(2019)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Medición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del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burnout: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Estructura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factorial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validez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confiabilidad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trabajadores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argentinos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Interdisciplinaria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36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(1)</w:t>
      </w:r>
      <w:r w:rsidR="00023B67"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87-103</w:t>
      </w:r>
      <w:r w:rsidR="00023B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76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hyperlink r:id="rId45" w:history="1"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</w:t>
        </w:r>
        <w:r w:rsid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org/10</w:t>
        </w:r>
        <w:r w:rsid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16888/interd</w:t>
        </w:r>
        <w:r w:rsid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2019</w:t>
        </w:r>
        <w:r w:rsid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36</w:t>
        </w:r>
        <w:r w:rsid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</w:t>
        </w:r>
        <w:r w:rsidR="0006006B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023B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7</w:t>
        </w:r>
      </w:hyperlink>
    </w:p>
    <w:p w:rsidR="00BF50F7" w:rsidRPr="0006006B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0F7">
        <w:rPr>
          <w:rFonts w:ascii="Times New Roman" w:hAnsi="Times New Roman" w:cs="Times New Roman"/>
          <w:sz w:val="24"/>
          <w:szCs w:val="24"/>
          <w:lang w:val="pt-BR"/>
        </w:rPr>
        <w:t>Srivastava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.,</w:t>
      </w:r>
      <w:r w:rsidR="00376A1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&amp;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Srivastava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U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  <w:lang w:val="pt-BR"/>
        </w:rPr>
        <w:t>(2014)</w:t>
      </w:r>
      <w:r w:rsidR="00023B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Work-Family</w:t>
      </w:r>
      <w:r w:rsid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Facilitation</w:t>
      </w:r>
      <w:r w:rsid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i/>
          <w:iCs/>
          <w:sz w:val="24"/>
          <w:szCs w:val="24"/>
          <w:lang w:val="en-US"/>
        </w:rPr>
        <w:t>Scale</w:t>
      </w:r>
      <w:r w:rsid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[Database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record]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APA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3B67">
        <w:rPr>
          <w:rFonts w:ascii="Times New Roman" w:hAnsi="Times New Roman" w:cs="Times New Roman"/>
          <w:sz w:val="24"/>
          <w:szCs w:val="24"/>
          <w:lang w:val="en-US"/>
        </w:rPr>
        <w:t>PsycTests</w:t>
      </w:r>
      <w:r w:rsidR="00023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46" w:history="1">
        <w:r w:rsidR="0006006B" w:rsidRPr="006117A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</w:t>
        </w:r>
        <w:r w:rsidR="0006006B" w:rsidRPr="0006006B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1037/t61223-000</w:t>
        </w:r>
      </w:hyperlink>
    </w:p>
    <w:p w:rsidR="00BF50F7" w:rsidRPr="0006006B" w:rsidRDefault="00BF50F7" w:rsidP="00376A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006B">
        <w:rPr>
          <w:rFonts w:ascii="Times New Roman" w:hAnsi="Times New Roman" w:cs="Times New Roman"/>
          <w:sz w:val="24"/>
          <w:szCs w:val="24"/>
          <w:lang w:val="en-US"/>
        </w:rPr>
        <w:t>Vesga-Rodríguez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(2019)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La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interacción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trabajo-familia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en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el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contexto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actual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del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mundo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del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trabajo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Equidad</w:t>
      </w:r>
      <w:r w:rsidR="0006006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y</w:t>
      </w:r>
      <w:r w:rsidR="0006006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Desarrollo</w:t>
      </w:r>
      <w:r w:rsidR="00023B67">
        <w:rPr>
          <w:rFonts w:ascii="Times New Roman" w:hAnsi="Times New Roman" w:cs="Times New Roman"/>
          <w:i/>
          <w:sz w:val="24"/>
          <w:szCs w:val="24"/>
        </w:rPr>
        <w:t>,</w:t>
      </w:r>
      <w:r w:rsidR="0006006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i/>
          <w:sz w:val="24"/>
          <w:szCs w:val="24"/>
        </w:rPr>
        <w:t>1</w:t>
      </w:r>
      <w:r w:rsidRPr="00BF50F7">
        <w:rPr>
          <w:rFonts w:ascii="Times New Roman" w:hAnsi="Times New Roman" w:cs="Times New Roman"/>
          <w:sz w:val="24"/>
          <w:szCs w:val="24"/>
        </w:rPr>
        <w:t>(33)</w:t>
      </w:r>
      <w:r w:rsidR="00023B67">
        <w:rPr>
          <w:rFonts w:ascii="Times New Roman" w:hAnsi="Times New Roman" w:cs="Times New Roman"/>
          <w:sz w:val="24"/>
          <w:szCs w:val="24"/>
        </w:rPr>
        <w:t>,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121-135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376A10">
        <w:rPr>
          <w:rFonts w:ascii="Times New Roman" w:hAnsi="Times New Roman" w:cs="Times New Roman"/>
          <w:sz w:val="24"/>
          <w:szCs w:val="24"/>
        </w:rPr>
        <w:t xml:space="preserve">  </w:t>
      </w:r>
      <w:hyperlink r:id="rId47" w:history="1">
        <w:r w:rsidR="0006006B" w:rsidRPr="006117A5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</w:t>
        </w:r>
        <w:r w:rsidR="0006006B" w:rsidRPr="0006006B">
          <w:rPr>
            <w:rStyle w:val="Hipervnculo"/>
            <w:rFonts w:ascii="Times New Roman" w:hAnsi="Times New Roman" w:cs="Times New Roman"/>
            <w:sz w:val="24"/>
            <w:szCs w:val="24"/>
          </w:rPr>
          <w:t>19052/eq.vol1.  iss33.7</w:t>
        </w:r>
      </w:hyperlink>
    </w:p>
    <w:p w:rsidR="00837C66" w:rsidRPr="00F41412" w:rsidRDefault="00BF50F7" w:rsidP="00F414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6A10">
        <w:rPr>
          <w:rFonts w:ascii="Times New Roman" w:hAnsi="Times New Roman" w:cs="Times New Roman"/>
          <w:sz w:val="24"/>
          <w:szCs w:val="24"/>
        </w:rPr>
        <w:t>Viladrich</w:t>
      </w:r>
      <w:r w:rsidR="00023B67" w:rsidRPr="00376A10">
        <w:rPr>
          <w:rFonts w:ascii="Times New Roman" w:hAnsi="Times New Roman" w:cs="Times New Roman"/>
          <w:sz w:val="24"/>
          <w:szCs w:val="24"/>
        </w:rPr>
        <w:t>,</w:t>
      </w:r>
      <w:r w:rsidR="0006006B" w:rsidRP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376A10">
        <w:rPr>
          <w:rFonts w:ascii="Times New Roman" w:hAnsi="Times New Roman" w:cs="Times New Roman"/>
          <w:sz w:val="24"/>
          <w:szCs w:val="24"/>
        </w:rPr>
        <w:t>C</w:t>
      </w:r>
      <w:r w:rsidR="00023B67" w:rsidRPr="00376A10">
        <w:rPr>
          <w:rFonts w:ascii="Times New Roman" w:hAnsi="Times New Roman" w:cs="Times New Roman"/>
          <w:sz w:val="24"/>
          <w:szCs w:val="24"/>
        </w:rPr>
        <w:t>.,</w:t>
      </w:r>
      <w:r w:rsidR="0006006B" w:rsidRP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376A10">
        <w:rPr>
          <w:rFonts w:ascii="Times New Roman" w:hAnsi="Times New Roman" w:cs="Times New Roman"/>
          <w:sz w:val="24"/>
          <w:szCs w:val="24"/>
        </w:rPr>
        <w:t>Angulo-Brunet</w:t>
      </w:r>
      <w:r w:rsidR="00023B67" w:rsidRPr="00376A10">
        <w:rPr>
          <w:rFonts w:ascii="Times New Roman" w:hAnsi="Times New Roman" w:cs="Times New Roman"/>
          <w:sz w:val="24"/>
          <w:szCs w:val="24"/>
        </w:rPr>
        <w:t>,</w:t>
      </w:r>
      <w:r w:rsidR="0006006B" w:rsidRP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376A10">
        <w:rPr>
          <w:rFonts w:ascii="Times New Roman" w:hAnsi="Times New Roman" w:cs="Times New Roman"/>
          <w:sz w:val="24"/>
          <w:szCs w:val="24"/>
        </w:rPr>
        <w:t>A</w:t>
      </w:r>
      <w:r w:rsidR="00023B67" w:rsidRPr="00376A10">
        <w:rPr>
          <w:rFonts w:ascii="Times New Roman" w:hAnsi="Times New Roman" w:cs="Times New Roman"/>
          <w:sz w:val="24"/>
          <w:szCs w:val="24"/>
        </w:rPr>
        <w:t>.,</w:t>
      </w:r>
      <w:r w:rsidR="00376A10" w:rsidRPr="00376A10">
        <w:rPr>
          <w:rFonts w:ascii="Times New Roman" w:hAnsi="Times New Roman" w:cs="Times New Roman"/>
          <w:sz w:val="24"/>
          <w:szCs w:val="24"/>
        </w:rPr>
        <w:t xml:space="preserve">  </w:t>
      </w:r>
      <w:r w:rsidR="00023B67" w:rsidRPr="00376A10">
        <w:rPr>
          <w:rFonts w:ascii="Times New Roman" w:hAnsi="Times New Roman" w:cs="Times New Roman"/>
          <w:sz w:val="24"/>
          <w:szCs w:val="24"/>
        </w:rPr>
        <w:t>&amp;</w:t>
      </w:r>
      <w:r w:rsidR="0006006B" w:rsidRP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376A10">
        <w:rPr>
          <w:rFonts w:ascii="Times New Roman" w:hAnsi="Times New Roman" w:cs="Times New Roman"/>
          <w:sz w:val="24"/>
          <w:szCs w:val="24"/>
        </w:rPr>
        <w:t>Doval</w:t>
      </w:r>
      <w:r w:rsidR="00023B67" w:rsidRPr="00376A10">
        <w:rPr>
          <w:rFonts w:ascii="Times New Roman" w:hAnsi="Times New Roman" w:cs="Times New Roman"/>
          <w:sz w:val="24"/>
          <w:szCs w:val="24"/>
        </w:rPr>
        <w:t>,</w:t>
      </w:r>
      <w:r w:rsidR="0006006B" w:rsidRP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376A10">
        <w:rPr>
          <w:rFonts w:ascii="Times New Roman" w:hAnsi="Times New Roman" w:cs="Times New Roman"/>
          <w:sz w:val="24"/>
          <w:szCs w:val="24"/>
        </w:rPr>
        <w:t>E</w:t>
      </w:r>
      <w:r w:rsidR="00023B67" w:rsidRPr="00376A10">
        <w:rPr>
          <w:rFonts w:ascii="Times New Roman" w:hAnsi="Times New Roman" w:cs="Times New Roman"/>
          <w:sz w:val="24"/>
          <w:szCs w:val="24"/>
        </w:rPr>
        <w:t>.</w:t>
      </w:r>
      <w:r w:rsidR="0006006B" w:rsidRPr="00376A10">
        <w:rPr>
          <w:rFonts w:ascii="Times New Roman" w:hAnsi="Times New Roman" w:cs="Times New Roman"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</w:rPr>
        <w:t>(2017)</w:t>
      </w:r>
      <w:r w:rsidR="00023B67" w:rsidRPr="0006006B">
        <w:rPr>
          <w:rFonts w:ascii="Times New Roman" w:hAnsi="Times New Roman" w:cs="Times New Roman"/>
          <w:sz w:val="24"/>
          <w:szCs w:val="24"/>
        </w:rPr>
        <w:t>.</w:t>
      </w:r>
      <w:r w:rsidR="0006006B" w:rsidRP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Un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viaje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alrededor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alfa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y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omega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para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estimar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la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fiabilidad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de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consistencia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BF50F7">
        <w:rPr>
          <w:rFonts w:ascii="Times New Roman" w:hAnsi="Times New Roman" w:cs="Times New Roman"/>
          <w:sz w:val="24"/>
          <w:szCs w:val="24"/>
        </w:rPr>
        <w:t>interna</w:t>
      </w:r>
      <w:r w:rsidR="00023B67">
        <w:rPr>
          <w:rFonts w:ascii="Times New Roman" w:hAnsi="Times New Roman" w:cs="Times New Roman"/>
          <w:sz w:val="24"/>
          <w:szCs w:val="24"/>
        </w:rPr>
        <w:t>.</w:t>
      </w:r>
      <w:r w:rsidR="0006006B">
        <w:rPr>
          <w:rFonts w:ascii="Times New Roman" w:hAnsi="Times New Roman" w:cs="Times New Roman"/>
          <w:sz w:val="24"/>
          <w:szCs w:val="24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>Anale</w:t>
      </w:r>
      <w:r w:rsid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>sde</w:t>
      </w:r>
      <w:r w:rsid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>Psicología/Annals</w:t>
      </w:r>
      <w:r w:rsid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>Psychology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i/>
          <w:iCs/>
          <w:sz w:val="24"/>
          <w:szCs w:val="24"/>
          <w:lang w:val="en-US"/>
        </w:rPr>
        <w:t>33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(3)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0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006B">
        <w:rPr>
          <w:rFonts w:ascii="Times New Roman" w:hAnsi="Times New Roman" w:cs="Times New Roman"/>
          <w:sz w:val="24"/>
          <w:szCs w:val="24"/>
          <w:lang w:val="en-US"/>
        </w:rPr>
        <w:t>755-782</w:t>
      </w:r>
      <w:r w:rsidR="00023B67" w:rsidRPr="000600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6A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48" w:history="1">
        <w:r w:rsidR="0071663E" w:rsidRPr="00FB5052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http://dx.doi.org/10.6018/analesps.33.3.268401</w:t>
        </w:r>
      </w:hyperlink>
      <w:r w:rsidR="007166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837C66" w:rsidRPr="00F41412" w:rsidSect="00C72478">
      <w:headerReference w:type="default" r:id="rId4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F301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CF79" w16cex:dateUtc="2021-05-17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F30180" w16cid:durableId="244CCF7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2CD" w:rsidRDefault="006D02CD" w:rsidP="00E914CF">
      <w:pPr>
        <w:spacing w:after="0" w:line="240" w:lineRule="auto"/>
      </w:pPr>
      <w:r>
        <w:separator/>
      </w:r>
    </w:p>
  </w:endnote>
  <w:endnote w:type="continuationSeparator" w:id="1">
    <w:p w:rsidR="006D02CD" w:rsidRDefault="006D02CD" w:rsidP="00E9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2CD" w:rsidRDefault="006D02CD" w:rsidP="00E914CF">
      <w:pPr>
        <w:spacing w:after="0" w:line="240" w:lineRule="auto"/>
      </w:pPr>
      <w:r>
        <w:separator/>
      </w:r>
    </w:p>
  </w:footnote>
  <w:footnote w:type="continuationSeparator" w:id="1">
    <w:p w:rsidR="006D02CD" w:rsidRDefault="006D02CD" w:rsidP="00E9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880673"/>
      <w:docPartObj>
        <w:docPartGallery w:val="Page Numbers (Top of Page)"/>
        <w:docPartUnique/>
      </w:docPartObj>
    </w:sdtPr>
    <w:sdtContent>
      <w:p w:rsidR="00376A10" w:rsidRDefault="00376A10">
        <w:pPr>
          <w:pStyle w:val="Encabezado"/>
          <w:jc w:val="right"/>
        </w:pPr>
        <w:fldSimple w:instr=" PAGE   \* MERGEFORMAT ">
          <w:r w:rsidR="00F41412">
            <w:rPr>
              <w:noProof/>
            </w:rPr>
            <w:t>1</w:t>
          </w:r>
        </w:fldSimple>
      </w:p>
    </w:sdtContent>
  </w:sdt>
  <w:p w:rsidR="00376A10" w:rsidRDefault="00376A1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01D18"/>
    <w:multiLevelType w:val="hybridMultilevel"/>
    <w:tmpl w:val="9D9E2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25D59"/>
    <w:multiLevelType w:val="hybridMultilevel"/>
    <w:tmpl w:val="AFB66D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C4CA9"/>
    <w:multiLevelType w:val="hybridMultilevel"/>
    <w:tmpl w:val="422629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D4373"/>
    <w:multiLevelType w:val="hybridMultilevel"/>
    <w:tmpl w:val="A69E74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iana Moretti">
    <w15:presenceInfo w15:providerId="Windows Live" w15:userId="c085cdb9e6fcc37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42AC8"/>
    <w:rsid w:val="000070FC"/>
    <w:rsid w:val="00014059"/>
    <w:rsid w:val="00021963"/>
    <w:rsid w:val="00021B7E"/>
    <w:rsid w:val="00023292"/>
    <w:rsid w:val="00023B67"/>
    <w:rsid w:val="00040F43"/>
    <w:rsid w:val="00044331"/>
    <w:rsid w:val="0005117B"/>
    <w:rsid w:val="0005199D"/>
    <w:rsid w:val="00055643"/>
    <w:rsid w:val="0005579C"/>
    <w:rsid w:val="00056678"/>
    <w:rsid w:val="0006006B"/>
    <w:rsid w:val="000613F2"/>
    <w:rsid w:val="000619C3"/>
    <w:rsid w:val="000667C2"/>
    <w:rsid w:val="00067B39"/>
    <w:rsid w:val="0007667A"/>
    <w:rsid w:val="0007786E"/>
    <w:rsid w:val="00077F48"/>
    <w:rsid w:val="0008337B"/>
    <w:rsid w:val="00086782"/>
    <w:rsid w:val="000868B4"/>
    <w:rsid w:val="0009080B"/>
    <w:rsid w:val="0009171D"/>
    <w:rsid w:val="000923FA"/>
    <w:rsid w:val="00095650"/>
    <w:rsid w:val="000976BC"/>
    <w:rsid w:val="000A14CE"/>
    <w:rsid w:val="000A3431"/>
    <w:rsid w:val="000C5CBA"/>
    <w:rsid w:val="000C68E7"/>
    <w:rsid w:val="000D02F5"/>
    <w:rsid w:val="000D3FBB"/>
    <w:rsid w:val="000D7D4B"/>
    <w:rsid w:val="000E7FCA"/>
    <w:rsid w:val="000F19AF"/>
    <w:rsid w:val="00102C22"/>
    <w:rsid w:val="0010400A"/>
    <w:rsid w:val="00106195"/>
    <w:rsid w:val="001072A3"/>
    <w:rsid w:val="00111750"/>
    <w:rsid w:val="001128B5"/>
    <w:rsid w:val="00113512"/>
    <w:rsid w:val="00122F6E"/>
    <w:rsid w:val="00127B6A"/>
    <w:rsid w:val="00133754"/>
    <w:rsid w:val="00141B6A"/>
    <w:rsid w:val="0014740A"/>
    <w:rsid w:val="001569DC"/>
    <w:rsid w:val="0016079F"/>
    <w:rsid w:val="001725DD"/>
    <w:rsid w:val="00177951"/>
    <w:rsid w:val="0018719A"/>
    <w:rsid w:val="00190C96"/>
    <w:rsid w:val="00194382"/>
    <w:rsid w:val="001A55B2"/>
    <w:rsid w:val="001B2BB9"/>
    <w:rsid w:val="001D0144"/>
    <w:rsid w:val="001D103E"/>
    <w:rsid w:val="001D2346"/>
    <w:rsid w:val="001D253B"/>
    <w:rsid w:val="001E24D7"/>
    <w:rsid w:val="001F2D5E"/>
    <w:rsid w:val="001F3906"/>
    <w:rsid w:val="001F49E7"/>
    <w:rsid w:val="001F6CA8"/>
    <w:rsid w:val="00200DB4"/>
    <w:rsid w:val="00207ADD"/>
    <w:rsid w:val="002100B9"/>
    <w:rsid w:val="00213AC5"/>
    <w:rsid w:val="00215B31"/>
    <w:rsid w:val="00217292"/>
    <w:rsid w:val="0023337B"/>
    <w:rsid w:val="002345BC"/>
    <w:rsid w:val="00241740"/>
    <w:rsid w:val="00241D5F"/>
    <w:rsid w:val="002463F1"/>
    <w:rsid w:val="00250625"/>
    <w:rsid w:val="002533E1"/>
    <w:rsid w:val="00257D8B"/>
    <w:rsid w:val="0026428C"/>
    <w:rsid w:val="0026622A"/>
    <w:rsid w:val="00270006"/>
    <w:rsid w:val="00271FC7"/>
    <w:rsid w:val="00284A22"/>
    <w:rsid w:val="00290D33"/>
    <w:rsid w:val="002A5F0B"/>
    <w:rsid w:val="002A729B"/>
    <w:rsid w:val="002B20F6"/>
    <w:rsid w:val="002B3DC8"/>
    <w:rsid w:val="002B7C08"/>
    <w:rsid w:val="002C0836"/>
    <w:rsid w:val="002C22DF"/>
    <w:rsid w:val="002D5FA1"/>
    <w:rsid w:val="002E0BA5"/>
    <w:rsid w:val="002E2D8A"/>
    <w:rsid w:val="002E3793"/>
    <w:rsid w:val="002E3D70"/>
    <w:rsid w:val="002F5918"/>
    <w:rsid w:val="0030712E"/>
    <w:rsid w:val="00312396"/>
    <w:rsid w:val="00320B2D"/>
    <w:rsid w:val="003233AC"/>
    <w:rsid w:val="00323ABD"/>
    <w:rsid w:val="003302BE"/>
    <w:rsid w:val="003336FC"/>
    <w:rsid w:val="00335B90"/>
    <w:rsid w:val="00351E68"/>
    <w:rsid w:val="00365D5E"/>
    <w:rsid w:val="003718EA"/>
    <w:rsid w:val="003731F7"/>
    <w:rsid w:val="0037428E"/>
    <w:rsid w:val="00374D01"/>
    <w:rsid w:val="00376A10"/>
    <w:rsid w:val="00380902"/>
    <w:rsid w:val="00384718"/>
    <w:rsid w:val="00391108"/>
    <w:rsid w:val="00395AFC"/>
    <w:rsid w:val="003C521D"/>
    <w:rsid w:val="003C6C82"/>
    <w:rsid w:val="003D6273"/>
    <w:rsid w:val="004009C9"/>
    <w:rsid w:val="00400B5C"/>
    <w:rsid w:val="0040322C"/>
    <w:rsid w:val="00404B05"/>
    <w:rsid w:val="00404C0B"/>
    <w:rsid w:val="00417A96"/>
    <w:rsid w:val="00444F4B"/>
    <w:rsid w:val="00446CF2"/>
    <w:rsid w:val="0045318C"/>
    <w:rsid w:val="0046183A"/>
    <w:rsid w:val="004736FC"/>
    <w:rsid w:val="00474FC0"/>
    <w:rsid w:val="00475551"/>
    <w:rsid w:val="00493379"/>
    <w:rsid w:val="00497565"/>
    <w:rsid w:val="004A1CD3"/>
    <w:rsid w:val="004A794F"/>
    <w:rsid w:val="004B258C"/>
    <w:rsid w:val="004B3EFF"/>
    <w:rsid w:val="004C5301"/>
    <w:rsid w:val="00502285"/>
    <w:rsid w:val="005125DB"/>
    <w:rsid w:val="00516A96"/>
    <w:rsid w:val="005230BD"/>
    <w:rsid w:val="00533BB9"/>
    <w:rsid w:val="005416A0"/>
    <w:rsid w:val="00542AC8"/>
    <w:rsid w:val="0054350A"/>
    <w:rsid w:val="0054461B"/>
    <w:rsid w:val="00553BD9"/>
    <w:rsid w:val="00574576"/>
    <w:rsid w:val="00574889"/>
    <w:rsid w:val="00575F6F"/>
    <w:rsid w:val="00586EDA"/>
    <w:rsid w:val="005870C6"/>
    <w:rsid w:val="005A102A"/>
    <w:rsid w:val="005A2DEE"/>
    <w:rsid w:val="005A3706"/>
    <w:rsid w:val="005B30BF"/>
    <w:rsid w:val="005C5FA7"/>
    <w:rsid w:val="005C7604"/>
    <w:rsid w:val="005C7856"/>
    <w:rsid w:val="005C7D1A"/>
    <w:rsid w:val="005D086B"/>
    <w:rsid w:val="005D5F04"/>
    <w:rsid w:val="005E0E54"/>
    <w:rsid w:val="005E2D98"/>
    <w:rsid w:val="005E7298"/>
    <w:rsid w:val="005E7734"/>
    <w:rsid w:val="0060134A"/>
    <w:rsid w:val="0060207B"/>
    <w:rsid w:val="00604539"/>
    <w:rsid w:val="006048D4"/>
    <w:rsid w:val="00620608"/>
    <w:rsid w:val="006235DA"/>
    <w:rsid w:val="00623F5E"/>
    <w:rsid w:val="00631663"/>
    <w:rsid w:val="00635DEA"/>
    <w:rsid w:val="00636683"/>
    <w:rsid w:val="0064000A"/>
    <w:rsid w:val="006425EB"/>
    <w:rsid w:val="00644B63"/>
    <w:rsid w:val="00653587"/>
    <w:rsid w:val="006562E1"/>
    <w:rsid w:val="00656C5C"/>
    <w:rsid w:val="00667550"/>
    <w:rsid w:val="006719BB"/>
    <w:rsid w:val="00674A0C"/>
    <w:rsid w:val="00677111"/>
    <w:rsid w:val="0068243E"/>
    <w:rsid w:val="00693FDE"/>
    <w:rsid w:val="006953F0"/>
    <w:rsid w:val="006B02E5"/>
    <w:rsid w:val="006B10EF"/>
    <w:rsid w:val="006B5E25"/>
    <w:rsid w:val="006B703F"/>
    <w:rsid w:val="006B7D2A"/>
    <w:rsid w:val="006C0343"/>
    <w:rsid w:val="006C2120"/>
    <w:rsid w:val="006C3148"/>
    <w:rsid w:val="006C66F9"/>
    <w:rsid w:val="006D02CD"/>
    <w:rsid w:val="006E2038"/>
    <w:rsid w:val="006F2B79"/>
    <w:rsid w:val="0070476E"/>
    <w:rsid w:val="00705132"/>
    <w:rsid w:val="0070628D"/>
    <w:rsid w:val="007078A6"/>
    <w:rsid w:val="007113F7"/>
    <w:rsid w:val="0071663E"/>
    <w:rsid w:val="0072015F"/>
    <w:rsid w:val="00734C06"/>
    <w:rsid w:val="007400B6"/>
    <w:rsid w:val="00746072"/>
    <w:rsid w:val="00763995"/>
    <w:rsid w:val="00764375"/>
    <w:rsid w:val="007658D1"/>
    <w:rsid w:val="0078053E"/>
    <w:rsid w:val="00795711"/>
    <w:rsid w:val="007A333F"/>
    <w:rsid w:val="007A35D6"/>
    <w:rsid w:val="007A5A1B"/>
    <w:rsid w:val="007A6CC6"/>
    <w:rsid w:val="007B065B"/>
    <w:rsid w:val="007B47A8"/>
    <w:rsid w:val="007C4B06"/>
    <w:rsid w:val="007C5CF4"/>
    <w:rsid w:val="007E64D1"/>
    <w:rsid w:val="007E670B"/>
    <w:rsid w:val="007F0C3A"/>
    <w:rsid w:val="007F4AE7"/>
    <w:rsid w:val="00802DE8"/>
    <w:rsid w:val="00807174"/>
    <w:rsid w:val="00814017"/>
    <w:rsid w:val="008315B3"/>
    <w:rsid w:val="00834BC5"/>
    <w:rsid w:val="00835819"/>
    <w:rsid w:val="00837C66"/>
    <w:rsid w:val="00840315"/>
    <w:rsid w:val="00841CE8"/>
    <w:rsid w:val="00841FE0"/>
    <w:rsid w:val="00847296"/>
    <w:rsid w:val="00851B75"/>
    <w:rsid w:val="00860C00"/>
    <w:rsid w:val="008950A6"/>
    <w:rsid w:val="008B5A6B"/>
    <w:rsid w:val="008C57F8"/>
    <w:rsid w:val="008D0354"/>
    <w:rsid w:val="008D511B"/>
    <w:rsid w:val="008E0504"/>
    <w:rsid w:val="008E55CA"/>
    <w:rsid w:val="008E79B5"/>
    <w:rsid w:val="008F28A7"/>
    <w:rsid w:val="00915ADE"/>
    <w:rsid w:val="00922490"/>
    <w:rsid w:val="00923175"/>
    <w:rsid w:val="009239EF"/>
    <w:rsid w:val="009315B0"/>
    <w:rsid w:val="00931997"/>
    <w:rsid w:val="00932CD9"/>
    <w:rsid w:val="00947794"/>
    <w:rsid w:val="00953C7C"/>
    <w:rsid w:val="00955C8B"/>
    <w:rsid w:val="00970ED1"/>
    <w:rsid w:val="00974521"/>
    <w:rsid w:val="009777F1"/>
    <w:rsid w:val="00984AFF"/>
    <w:rsid w:val="00984D80"/>
    <w:rsid w:val="009B1B10"/>
    <w:rsid w:val="009B26EE"/>
    <w:rsid w:val="009C7C3E"/>
    <w:rsid w:val="009D36A3"/>
    <w:rsid w:val="009D4F8E"/>
    <w:rsid w:val="009E4A85"/>
    <w:rsid w:val="00A05B6C"/>
    <w:rsid w:val="00A208E6"/>
    <w:rsid w:val="00A33BB2"/>
    <w:rsid w:val="00A37AE6"/>
    <w:rsid w:val="00A433A1"/>
    <w:rsid w:val="00A50A90"/>
    <w:rsid w:val="00A53C5C"/>
    <w:rsid w:val="00A64063"/>
    <w:rsid w:val="00A74AD9"/>
    <w:rsid w:val="00A86CDD"/>
    <w:rsid w:val="00A9287C"/>
    <w:rsid w:val="00AC20C8"/>
    <w:rsid w:val="00AC4F69"/>
    <w:rsid w:val="00AC5E8D"/>
    <w:rsid w:val="00AD4B6F"/>
    <w:rsid w:val="00AE6C67"/>
    <w:rsid w:val="00AF0433"/>
    <w:rsid w:val="00AF781D"/>
    <w:rsid w:val="00B006DC"/>
    <w:rsid w:val="00B01DD0"/>
    <w:rsid w:val="00B05127"/>
    <w:rsid w:val="00B17735"/>
    <w:rsid w:val="00B21E3E"/>
    <w:rsid w:val="00B25480"/>
    <w:rsid w:val="00B27DC0"/>
    <w:rsid w:val="00B31AEA"/>
    <w:rsid w:val="00B327BF"/>
    <w:rsid w:val="00B33ECA"/>
    <w:rsid w:val="00B3421E"/>
    <w:rsid w:val="00B379D5"/>
    <w:rsid w:val="00B50992"/>
    <w:rsid w:val="00B60885"/>
    <w:rsid w:val="00B65A67"/>
    <w:rsid w:val="00B67828"/>
    <w:rsid w:val="00B82572"/>
    <w:rsid w:val="00B83563"/>
    <w:rsid w:val="00BB15F1"/>
    <w:rsid w:val="00BB2F6F"/>
    <w:rsid w:val="00BB5853"/>
    <w:rsid w:val="00BC1846"/>
    <w:rsid w:val="00BC3945"/>
    <w:rsid w:val="00BD20AE"/>
    <w:rsid w:val="00BD4BC9"/>
    <w:rsid w:val="00BE5D7D"/>
    <w:rsid w:val="00BF38C1"/>
    <w:rsid w:val="00BF50F7"/>
    <w:rsid w:val="00BF6C56"/>
    <w:rsid w:val="00BF70D2"/>
    <w:rsid w:val="00C04F93"/>
    <w:rsid w:val="00C11304"/>
    <w:rsid w:val="00C11C64"/>
    <w:rsid w:val="00C12A55"/>
    <w:rsid w:val="00C149AC"/>
    <w:rsid w:val="00C2635F"/>
    <w:rsid w:val="00C278C6"/>
    <w:rsid w:val="00C27ABE"/>
    <w:rsid w:val="00C3222F"/>
    <w:rsid w:val="00C34FE7"/>
    <w:rsid w:val="00C41164"/>
    <w:rsid w:val="00C52E7C"/>
    <w:rsid w:val="00C71F1A"/>
    <w:rsid w:val="00C72478"/>
    <w:rsid w:val="00C735D3"/>
    <w:rsid w:val="00C75351"/>
    <w:rsid w:val="00C84195"/>
    <w:rsid w:val="00C90493"/>
    <w:rsid w:val="00CA227B"/>
    <w:rsid w:val="00CA7E85"/>
    <w:rsid w:val="00CB5ED2"/>
    <w:rsid w:val="00CB6067"/>
    <w:rsid w:val="00CE3A53"/>
    <w:rsid w:val="00CF03CC"/>
    <w:rsid w:val="00D043FC"/>
    <w:rsid w:val="00D12D26"/>
    <w:rsid w:val="00D16A1D"/>
    <w:rsid w:val="00D21201"/>
    <w:rsid w:val="00D22E74"/>
    <w:rsid w:val="00D54789"/>
    <w:rsid w:val="00D811B5"/>
    <w:rsid w:val="00D8279A"/>
    <w:rsid w:val="00D83F97"/>
    <w:rsid w:val="00D853D2"/>
    <w:rsid w:val="00D85693"/>
    <w:rsid w:val="00DA5612"/>
    <w:rsid w:val="00DB510E"/>
    <w:rsid w:val="00DC476D"/>
    <w:rsid w:val="00DC65E4"/>
    <w:rsid w:val="00DC6D4D"/>
    <w:rsid w:val="00DC6EF7"/>
    <w:rsid w:val="00DD0046"/>
    <w:rsid w:val="00DD2C18"/>
    <w:rsid w:val="00DE3A1D"/>
    <w:rsid w:val="00DF0325"/>
    <w:rsid w:val="00DF6753"/>
    <w:rsid w:val="00DF7830"/>
    <w:rsid w:val="00E00028"/>
    <w:rsid w:val="00E00596"/>
    <w:rsid w:val="00E07A90"/>
    <w:rsid w:val="00E1459A"/>
    <w:rsid w:val="00E16FCD"/>
    <w:rsid w:val="00E2248E"/>
    <w:rsid w:val="00E26BEB"/>
    <w:rsid w:val="00E306A8"/>
    <w:rsid w:val="00E41EDA"/>
    <w:rsid w:val="00E50AC0"/>
    <w:rsid w:val="00E56CDA"/>
    <w:rsid w:val="00E63278"/>
    <w:rsid w:val="00E6500D"/>
    <w:rsid w:val="00E6550D"/>
    <w:rsid w:val="00E713EF"/>
    <w:rsid w:val="00E73F05"/>
    <w:rsid w:val="00E73F82"/>
    <w:rsid w:val="00E740C5"/>
    <w:rsid w:val="00E85479"/>
    <w:rsid w:val="00E902DC"/>
    <w:rsid w:val="00E914CF"/>
    <w:rsid w:val="00EB01D9"/>
    <w:rsid w:val="00EB64A9"/>
    <w:rsid w:val="00ED1D09"/>
    <w:rsid w:val="00ED3832"/>
    <w:rsid w:val="00EE2061"/>
    <w:rsid w:val="00EE3567"/>
    <w:rsid w:val="00F06BB6"/>
    <w:rsid w:val="00F321CC"/>
    <w:rsid w:val="00F330D6"/>
    <w:rsid w:val="00F345B3"/>
    <w:rsid w:val="00F40841"/>
    <w:rsid w:val="00F41412"/>
    <w:rsid w:val="00F4156F"/>
    <w:rsid w:val="00F42C63"/>
    <w:rsid w:val="00F55BDC"/>
    <w:rsid w:val="00F75BD0"/>
    <w:rsid w:val="00FA7300"/>
    <w:rsid w:val="00FB6406"/>
    <w:rsid w:val="00FC0C19"/>
    <w:rsid w:val="00FC6D4A"/>
    <w:rsid w:val="00FD151E"/>
    <w:rsid w:val="00FD338B"/>
    <w:rsid w:val="00FD449D"/>
    <w:rsid w:val="00FF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F0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337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37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37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37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375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75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9171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91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4CF"/>
  </w:style>
  <w:style w:type="paragraph" w:styleId="Piedepgina">
    <w:name w:val="footer"/>
    <w:basedOn w:val="Normal"/>
    <w:link w:val="PiedepginaCar"/>
    <w:uiPriority w:val="99"/>
    <w:unhideWhenUsed/>
    <w:rsid w:val="00E91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4CF"/>
  </w:style>
  <w:style w:type="paragraph" w:styleId="Sinespaciado">
    <w:name w:val="No Spacing"/>
    <w:uiPriority w:val="1"/>
    <w:qFormat/>
    <w:rsid w:val="006B5E2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B51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50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931997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956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95650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st">
    <w:name w:val="st"/>
    <w:basedOn w:val="Fuentedeprrafopredeter"/>
    <w:rsid w:val="00EB01D9"/>
  </w:style>
  <w:style w:type="paragraph" w:customStyle="1" w:styleId="Normal1">
    <w:name w:val="Normal1"/>
    <w:rsid w:val="00BF50F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590/s1135-57272011000200004" TargetMode="External"/><Relationship Id="rId18" Type="http://schemas.openxmlformats.org/officeDocument/2006/relationships/hyperlink" Target="https://doi.org/10.1037/t08858-000" TargetMode="External"/><Relationship Id="rId26" Type="http://schemas.openxmlformats.org/officeDocument/2006/relationships/hyperlink" Target="https://doi.apa.org/doi/10.1037/t02979-000" TargetMode="External"/><Relationship Id="rId39" Type="http://schemas.openxmlformats.org/officeDocument/2006/relationships/hyperlink" Target="https://doi.org/10.1108/cdi-06-2015-0085" TargetMode="External"/><Relationship Id="rId21" Type="http://schemas.openxmlformats.org/officeDocument/2006/relationships/hyperlink" Target="https://www.microsoft.com/en-us/research/" TargetMode="External"/><Relationship Id="rId34" Type="http://schemas.openxmlformats.org/officeDocument/2006/relationships/hyperlink" Target="https://doi.apa.org/doi/10.1037/t32988-000" TargetMode="External"/><Relationship Id="rId42" Type="http://schemas.openxmlformats.org/officeDocument/2006/relationships/hyperlink" Target="https://doi.org/10.1539/joh.l9130" TargetMode="External"/><Relationship Id="rId47" Type="http://schemas.openxmlformats.org/officeDocument/2006/relationships/hyperlink" Target="https://doi.org/10.19052/eq.vol1.%20iss33.7" TargetMode="External"/><Relationship Id="rId50" Type="http://schemas.openxmlformats.org/officeDocument/2006/relationships/fontTable" Target="fontTable.xml"/><Relationship Id="rId55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rpto.2015.11.004" TargetMode="External"/><Relationship Id="rId17" Type="http://schemas.openxmlformats.org/officeDocument/2006/relationships/hyperlink" Target="http://www.fepra.org.ar/feprav3/" TargetMode="External"/><Relationship Id="rId25" Type="http://schemas.openxmlformats.org/officeDocument/2006/relationships/hyperlink" Target="https://doi.org/10.1002/hrm.21894" TargetMode="External"/><Relationship Id="rId33" Type="http://schemas.openxmlformats.org/officeDocument/2006/relationships/hyperlink" Target="https://doi.org/10.1177/008124630903900206" TargetMode="External"/><Relationship Id="rId38" Type="http://schemas.openxmlformats.org/officeDocument/2006/relationships/hyperlink" Target="https://doi.org/10.1590/s0036-36342013000100009" TargetMode="External"/><Relationship Id="rId46" Type="http://schemas.openxmlformats.org/officeDocument/2006/relationships/hyperlink" Target="https://doi.org/10.1037/t61223-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01/archsurg.2010.310" TargetMode="External"/><Relationship Id="rId20" Type="http://schemas.openxmlformats.org/officeDocument/2006/relationships/hyperlink" Target="https://doi.org/10.1080/02678370500410208" TargetMode="External"/><Relationship Id="rId29" Type="http://schemas.openxmlformats.org/officeDocument/2006/relationships/hyperlink" Target="https://doi.org/10.1016/j.tele.2016.06.001" TargetMode="External"/><Relationship Id="rId41" Type="http://schemas.openxmlformats.org/officeDocument/2006/relationships/hyperlink" Target="https://doi.org/10.4102/sajems.v17i4.419" TargetMode="External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1500/19002386.1225" TargetMode="External"/><Relationship Id="rId24" Type="http://schemas.openxmlformats.org/officeDocument/2006/relationships/hyperlink" Target="https://doi.org/10.1177/0163278718791303" TargetMode="External"/><Relationship Id="rId32" Type="http://schemas.openxmlformats.org/officeDocument/2006/relationships/hyperlink" Target="https://doi.org/10.31235/osf.io/tdf8c" TargetMode="External"/><Relationship Id="rId37" Type="http://schemas.openxmlformats.org/officeDocument/2006/relationships/hyperlink" Target="https://doi.org/10.1037/t09758-000" TargetMode="External"/><Relationship Id="rId40" Type="http://schemas.openxmlformats.org/officeDocument/2006/relationships/hyperlink" Target="https://doi.org/10.6018/analesps.30.1.148291" TargetMode="External"/><Relationship Id="rId45" Type="http://schemas.openxmlformats.org/officeDocument/2006/relationships/hyperlink" Target="https://doi.org/10.16888/interd.2019.36.1.7" TargetMode="External"/><Relationship Id="rId53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37/t01666-000" TargetMode="External"/><Relationship Id="rId23" Type="http://schemas.openxmlformats.org/officeDocument/2006/relationships/hyperlink" Target="https://www.iupsys.net/" TargetMode="External"/><Relationship Id="rId28" Type="http://schemas.openxmlformats.org/officeDocument/2006/relationships/hyperlink" Target="https://doi.org/10.4102/sajip.v44i0.1538" TargetMode="External"/><Relationship Id="rId36" Type="http://schemas.openxmlformats.org/officeDocument/2006/relationships/hyperlink" Target="https://cioms.ch/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x.doi.org/10.%2015517/ap.v31i122.22729" TargetMode="External"/><Relationship Id="rId19" Type="http://schemas.openxmlformats.org/officeDocument/2006/relationships/hyperlink" Target="https://doi.org/10.17356/ieejsp.v2i3.166" TargetMode="External"/><Relationship Id="rId31" Type="http://schemas.openxmlformats.org/officeDocument/2006/relationships/hyperlink" Target="https://doi.org/10.1016/j.pto.2005.10.003" TargetMode="External"/><Relationship Id="rId44" Type="http://schemas.openxmlformats.org/officeDocument/2006/relationships/hyperlink" Target="https://doi.org/10.1080/19338244.2017.1395789" TargetMode="External"/><Relationship Id="rId52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s://doi.org/10.3823/2229" TargetMode="External"/><Relationship Id="rId14" Type="http://schemas.openxmlformats.org/officeDocument/2006/relationships/hyperlink" Target="https://doi.apa.org/doi/10.1037/t10318-000" TargetMode="External"/><Relationship Id="rId22" Type="http://schemas.openxmlformats.org/officeDocument/2006/relationships/hyperlink" Target="http://dx.doi.org/10.1080/10705519909540118" TargetMode="External"/><Relationship Id="rId27" Type="http://schemas.openxmlformats.org/officeDocument/2006/relationships/hyperlink" Target="https://doi.org/10.1016/0030-5073(83)90147-2" TargetMode="External"/><Relationship Id="rId30" Type="http://schemas.openxmlformats.org/officeDocument/2006/relationships/hyperlink" Target="https://doi.org/10.6018/analesps.30.3.199361" TargetMode="External"/><Relationship Id="rId35" Type="http://schemas.openxmlformats.org/officeDocument/2006/relationships/hyperlink" Target="http://dx.doi.org/10.1037/0021-9010.81.4.400" TargetMode="External"/><Relationship Id="rId43" Type="http://schemas.openxmlformats.org/officeDocument/2006/relationships/hyperlink" Target="https://doi.org/10.1080/13668803.2018.1471588" TargetMode="External"/><Relationship Id="rId48" Type="http://schemas.openxmlformats.org/officeDocument/2006/relationships/hyperlink" Target="http://dx.doi.org/10.6018/analesps.33.3.268401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OIT16</b:Tag>
    <b:SourceType>Report</b:SourceType>
    <b:Guid>{CF5C3F72-8974-4E77-90D8-406266EC0060}</b:Guid>
    <b:Title>Las mujeres en el trabajo. Tendencias de 2016</b:Title>
    <b:Year>2016</b:Year>
    <b:Publisher>Organizacion Internacional del Trabajo</b:Publisher>
    <b:City>Ginebra</b:City>
    <b:Author>
      <b:Author>
        <b:Corporate>OIT</b:Corporate>
      </b:Author>
    </b:Author>
    <b:Pages>3</b:Pages>
    <b:RefOrder>3</b:RefOrder>
  </b:Source>
</b:Sources>
</file>

<file path=customXml/itemProps1.xml><?xml version="1.0" encoding="utf-8"?>
<ds:datastoreItem xmlns:ds="http://schemas.openxmlformats.org/officeDocument/2006/customXml" ds:itemID="{EE2F3FED-310C-47E1-9519-97367B62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20</Pages>
  <Words>6883</Words>
  <Characters>37860</Characters>
  <Application>Microsoft Office Word</Application>
  <DocSecurity>0</DocSecurity>
  <Lines>315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EXO S.A.</Company>
  <LinksUpToDate>false</LinksUpToDate>
  <CharactersWithSpaces>44654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Elena</cp:lastModifiedBy>
  <cp:revision>4</cp:revision>
  <cp:lastPrinted>2020-08-30T22:23:00Z</cp:lastPrinted>
  <dcterms:created xsi:type="dcterms:W3CDTF">2021-07-11T14:41:00Z</dcterms:created>
  <dcterms:modified xsi:type="dcterms:W3CDTF">2021-07-11T22:46:00Z</dcterms:modified>
</cp:coreProperties>
</file>