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E78B5" w:rsidRPr="009F53BF" w:rsidRDefault="003F478A">
      <w:pPr>
        <w:pBdr>
          <w:top w:val="nil"/>
          <w:left w:val="nil"/>
          <w:bottom w:val="nil"/>
          <w:right w:val="nil"/>
          <w:between w:val="nil"/>
        </w:pBdr>
        <w:jc w:val="center"/>
        <w:rPr>
          <w:b/>
          <w:lang w:val="en-US"/>
        </w:rPr>
      </w:pPr>
      <w:r w:rsidRPr="009F53BF">
        <w:rPr>
          <w:b/>
          <w:color w:val="000000"/>
          <w:sz w:val="36"/>
          <w:szCs w:val="36"/>
          <w:lang w:val="en-US"/>
        </w:rPr>
        <w:t xml:space="preserve"> </w:t>
      </w:r>
      <w:r w:rsidRPr="009F53BF">
        <w:rPr>
          <w:b/>
          <w:sz w:val="36"/>
          <w:szCs w:val="36"/>
          <w:lang w:val="en-US"/>
        </w:rPr>
        <w:t>Career choice in times of COVID-19: dispositional factors and anxiety in high school and college students.</w:t>
      </w:r>
    </w:p>
    <w:p w14:paraId="00000002" w14:textId="77777777" w:rsidR="002E78B5" w:rsidRPr="009F53BF" w:rsidRDefault="002E78B5">
      <w:pPr>
        <w:rPr>
          <w:i/>
          <w:sz w:val="28"/>
          <w:szCs w:val="28"/>
          <w:lang w:val="en-US"/>
        </w:rPr>
      </w:pPr>
    </w:p>
    <w:p w14:paraId="00000003" w14:textId="77777777" w:rsidR="002E78B5" w:rsidRPr="009F53BF" w:rsidRDefault="003F478A">
      <w:pPr>
        <w:rPr>
          <w:rFonts w:ascii="Times" w:eastAsia="Times" w:hAnsi="Times" w:cs="Times"/>
          <w:i/>
          <w:sz w:val="28"/>
          <w:szCs w:val="28"/>
          <w:lang w:val="en-US"/>
        </w:rPr>
      </w:pPr>
      <w:r>
        <w:rPr>
          <w:noProof/>
        </w:rPr>
        <mc:AlternateContent>
          <mc:Choice Requires="wpg">
            <w:drawing>
              <wp:anchor distT="4294967295" distB="4294967295" distL="114300" distR="114300" simplePos="0" relativeHeight="251658240" behindDoc="0" locked="0" layoutInCell="1" hidden="0" allowOverlap="1">
                <wp:simplePos x="0" y="0"/>
                <wp:positionH relativeFrom="column">
                  <wp:posOffset>1</wp:posOffset>
                </wp:positionH>
                <wp:positionV relativeFrom="paragraph">
                  <wp:posOffset>55896</wp:posOffset>
                </wp:positionV>
                <wp:extent cx="6172200" cy="25400"/>
                <wp:effectExtent l="0" t="0" r="0" b="0"/>
                <wp:wrapNone/>
                <wp:docPr id="11" name="Conector recto de flecha 11"/>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72200" cy="25400"/>
                <wp:effectExtent b="0" l="0" r="0" t="0"/>
                <wp:wrapNone/>
                <wp:docPr id="1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172200" cy="25400"/>
                        </a:xfrm>
                        <a:prstGeom prst="rect"/>
                        <a:ln/>
                      </pic:spPr>
                    </pic:pic>
                  </a:graphicData>
                </a:graphic>
              </wp:anchor>
            </w:drawing>
          </mc:Fallback>
        </mc:AlternateContent>
      </w:r>
    </w:p>
    <w:p w14:paraId="00000004" w14:textId="77777777" w:rsidR="002E78B5" w:rsidRPr="009F53BF" w:rsidRDefault="002E78B5">
      <w:pPr>
        <w:rPr>
          <w:b/>
          <w:sz w:val="20"/>
          <w:szCs w:val="20"/>
          <w:lang w:val="en-US"/>
        </w:rPr>
      </w:pPr>
    </w:p>
    <w:p w14:paraId="00000005" w14:textId="77777777" w:rsidR="002E78B5" w:rsidRPr="009F53BF" w:rsidRDefault="003F478A">
      <w:pPr>
        <w:pBdr>
          <w:top w:val="nil"/>
          <w:left w:val="nil"/>
          <w:bottom w:val="nil"/>
          <w:right w:val="nil"/>
          <w:between w:val="nil"/>
        </w:pBdr>
        <w:jc w:val="center"/>
        <w:rPr>
          <w:b/>
          <w:sz w:val="20"/>
          <w:szCs w:val="20"/>
          <w:lang w:val="en-US"/>
        </w:rPr>
      </w:pPr>
      <w:r w:rsidRPr="009F53BF">
        <w:rPr>
          <w:b/>
          <w:sz w:val="20"/>
          <w:szCs w:val="20"/>
          <w:lang w:val="en-US"/>
        </w:rPr>
        <w:t>ABSTRACT</w:t>
      </w:r>
    </w:p>
    <w:p w14:paraId="00000006" w14:textId="77777777" w:rsidR="002E78B5" w:rsidRPr="009F53BF" w:rsidRDefault="003F478A">
      <w:pPr>
        <w:pBdr>
          <w:top w:val="nil"/>
          <w:left w:val="nil"/>
          <w:bottom w:val="nil"/>
          <w:right w:val="nil"/>
          <w:between w:val="nil"/>
        </w:pBdr>
        <w:jc w:val="both"/>
        <w:rPr>
          <w:sz w:val="20"/>
          <w:szCs w:val="20"/>
          <w:lang w:val="en-US"/>
        </w:rPr>
      </w:pPr>
      <w:r w:rsidRPr="009F53BF">
        <w:rPr>
          <w:sz w:val="20"/>
          <w:szCs w:val="20"/>
          <w:lang w:val="en-US"/>
        </w:rPr>
        <w:t xml:space="preserve">This research had the purpose of analyzing the dispositional factors (personal, environmental factors, and significant people) who are related with career choices in high school and university students. Also, it analyzed the anxiety levels of the students </w:t>
      </w:r>
      <w:r w:rsidRPr="009F53BF">
        <w:rPr>
          <w:sz w:val="20"/>
          <w:szCs w:val="20"/>
          <w:lang w:val="en-US"/>
        </w:rPr>
        <w:t>and the relation between those factors. This is a non-experimental, transactional and correlational study. Participants were 515 high school and university students; the high school students were close to choosing their career and the university students m</w:t>
      </w:r>
      <w:r w:rsidRPr="009F53BF">
        <w:rPr>
          <w:sz w:val="20"/>
          <w:szCs w:val="20"/>
          <w:lang w:val="en-US"/>
        </w:rPr>
        <w:t>ade their choice during the period from March to August 2020.Both groups made their election during the COVID-19 pandemic.  The results show that both high school and university students prefer biological and health science as their first career choice. Th</w:t>
      </w:r>
      <w:r w:rsidRPr="009F53BF">
        <w:rPr>
          <w:sz w:val="20"/>
          <w:szCs w:val="20"/>
          <w:lang w:val="en-US"/>
        </w:rPr>
        <w:t xml:space="preserve">e dispositional factors most reported are the inclinations, the social prestige and the objects. 42.7% of the participants reported moderate and severe anxiety levels, while women presented higher anxiety levels. The results highlight a need for more data </w:t>
      </w:r>
      <w:r w:rsidRPr="009F53BF">
        <w:rPr>
          <w:sz w:val="20"/>
          <w:szCs w:val="20"/>
          <w:lang w:val="en-US"/>
        </w:rPr>
        <w:t>related to remote education in schools and how it can help to improve the vocational guidance process.</w:t>
      </w:r>
    </w:p>
    <w:p w14:paraId="00000007" w14:textId="77777777" w:rsidR="002E78B5" w:rsidRPr="009F53BF" w:rsidRDefault="003F478A">
      <w:pPr>
        <w:rPr>
          <w:sz w:val="20"/>
          <w:szCs w:val="20"/>
          <w:lang w:val="en-US"/>
        </w:rPr>
      </w:pPr>
      <w:r w:rsidRPr="009F53BF">
        <w:rPr>
          <w:b/>
          <w:sz w:val="20"/>
          <w:szCs w:val="20"/>
          <w:lang w:val="en-US"/>
        </w:rPr>
        <w:t xml:space="preserve">Key Words: </w:t>
      </w:r>
      <w:r w:rsidRPr="009F53BF">
        <w:rPr>
          <w:b/>
          <w:sz w:val="20"/>
          <w:szCs w:val="20"/>
          <w:lang w:val="en-US"/>
        </w:rPr>
        <w:br/>
      </w:r>
      <w:r w:rsidRPr="009F53BF">
        <w:rPr>
          <w:sz w:val="20"/>
          <w:szCs w:val="20"/>
          <w:lang w:val="en-US"/>
        </w:rPr>
        <w:t>Career choice; anxiety; COVID-19; dispositional factors; students.</w:t>
      </w:r>
      <w:r w:rsidRPr="009F53BF">
        <w:rPr>
          <w:sz w:val="20"/>
          <w:szCs w:val="20"/>
          <w:lang w:val="en-US"/>
        </w:rPr>
        <w:br/>
      </w:r>
    </w:p>
    <w:p w14:paraId="00000008" w14:textId="77777777" w:rsidR="002E78B5" w:rsidRDefault="003F478A">
      <w:pPr>
        <w:pBdr>
          <w:top w:val="nil"/>
          <w:left w:val="nil"/>
          <w:bottom w:val="nil"/>
          <w:right w:val="nil"/>
          <w:between w:val="nil"/>
        </w:pBdr>
        <w:spacing w:after="120"/>
        <w:jc w:val="center"/>
        <w:rPr>
          <w:b/>
          <w:smallCaps/>
          <w:color w:val="000000"/>
          <w:sz w:val="20"/>
          <w:szCs w:val="20"/>
        </w:rPr>
      </w:pPr>
      <w:r>
        <w:rPr>
          <w:b/>
          <w:smallCaps/>
          <w:color w:val="000000"/>
          <w:sz w:val="20"/>
          <w:szCs w:val="20"/>
        </w:rPr>
        <w:t>Resumen</w:t>
      </w:r>
    </w:p>
    <w:p w14:paraId="00000009" w14:textId="77777777" w:rsidR="002E78B5" w:rsidRDefault="003F478A">
      <w:pPr>
        <w:pBdr>
          <w:top w:val="nil"/>
          <w:left w:val="nil"/>
          <w:bottom w:val="nil"/>
          <w:right w:val="nil"/>
          <w:between w:val="nil"/>
        </w:pBdr>
        <w:jc w:val="both"/>
        <w:rPr>
          <w:sz w:val="20"/>
          <w:szCs w:val="20"/>
        </w:rPr>
      </w:pPr>
      <w:r>
        <w:rPr>
          <w:sz w:val="20"/>
          <w:szCs w:val="20"/>
        </w:rPr>
        <w:t>El presente estudio tuvo como finalidad analizar los factores dis</w:t>
      </w:r>
      <w:r>
        <w:rPr>
          <w:sz w:val="20"/>
          <w:szCs w:val="20"/>
        </w:rPr>
        <w:t>posicionales (personales, ambientales y personas significativas) que inciden en la elección de carrera en estudiantes de bachillerato y universidad, así como analizar sus niveles de ansiedad y la relación entre dichos constructos. El diseño fue no experime</w:t>
      </w:r>
      <w:r>
        <w:rPr>
          <w:sz w:val="20"/>
          <w:szCs w:val="20"/>
        </w:rPr>
        <w:t xml:space="preserve">ntal, </w:t>
      </w:r>
      <w:proofErr w:type="spellStart"/>
      <w:r>
        <w:rPr>
          <w:sz w:val="20"/>
          <w:szCs w:val="20"/>
        </w:rPr>
        <w:t>transeccional</w:t>
      </w:r>
      <w:proofErr w:type="spellEnd"/>
      <w:r>
        <w:rPr>
          <w:sz w:val="20"/>
          <w:szCs w:val="20"/>
        </w:rPr>
        <w:t>, correlacional, en el cual se trabajó con una muestra de 515 estudiantes de bachillerato próximos a elegir una licenciatura y estudiantes universitarios que realizaron su elección durante el periodo comprendido de Marzo a Agosto del 202</w:t>
      </w:r>
      <w:r>
        <w:rPr>
          <w:sz w:val="20"/>
          <w:szCs w:val="20"/>
        </w:rPr>
        <w:t>0, esto durante la pandemia por COVID-19. Los resultados muestran que  predominan las preferencias por Ciencias Biológicas y de la Salud en ambos niveles educativos, los factores disposicionales que mayor incidencia tienen son las inclinaciones, el prestig</w:t>
      </w:r>
      <w:r>
        <w:rPr>
          <w:sz w:val="20"/>
          <w:szCs w:val="20"/>
        </w:rPr>
        <w:t>io social de la carrera y los objetos; en cuanto a los resultados de ansiedad, se presentaron niveles de ansiedad de moderada a severa  en el 42.7% de la muestra y son las mujeres las que tienden a tener mayores niveles, siendo los estudiantes que ya estud</w:t>
      </w:r>
      <w:r>
        <w:rPr>
          <w:sz w:val="20"/>
          <w:szCs w:val="20"/>
        </w:rPr>
        <w:t xml:space="preserve">ian la universidad quienes presentan niveles más altos. Se recomienda realizar estudios que permitan obtener datos sobre la situación actual que se vive dentro de los centros educativos con los procesos de educación remota y coadyuvar en la implementación </w:t>
      </w:r>
      <w:r>
        <w:rPr>
          <w:sz w:val="20"/>
          <w:szCs w:val="20"/>
        </w:rPr>
        <w:t>de acciones para la mejora de los procesos de orientación vocacional.</w:t>
      </w:r>
    </w:p>
    <w:p w14:paraId="0000000A" w14:textId="77777777" w:rsidR="002E78B5" w:rsidRDefault="002E78B5">
      <w:pPr>
        <w:pBdr>
          <w:top w:val="nil"/>
          <w:left w:val="nil"/>
          <w:bottom w:val="nil"/>
          <w:right w:val="nil"/>
          <w:between w:val="nil"/>
        </w:pBdr>
        <w:jc w:val="both"/>
        <w:rPr>
          <w:b/>
          <w:sz w:val="20"/>
          <w:szCs w:val="20"/>
        </w:rPr>
      </w:pPr>
    </w:p>
    <w:p w14:paraId="0000000B" w14:textId="77777777" w:rsidR="002E78B5" w:rsidRDefault="003F478A">
      <w:pPr>
        <w:pBdr>
          <w:top w:val="nil"/>
          <w:left w:val="nil"/>
          <w:bottom w:val="nil"/>
          <w:right w:val="nil"/>
          <w:between w:val="nil"/>
        </w:pBdr>
        <w:rPr>
          <w:sz w:val="20"/>
          <w:szCs w:val="20"/>
        </w:rPr>
      </w:pPr>
      <w:r>
        <w:rPr>
          <w:b/>
          <w:sz w:val="20"/>
          <w:szCs w:val="20"/>
        </w:rPr>
        <w:t xml:space="preserve">Palabras clave: </w:t>
      </w:r>
      <w:r>
        <w:rPr>
          <w:b/>
          <w:sz w:val="20"/>
          <w:szCs w:val="20"/>
        </w:rPr>
        <w:br/>
      </w:r>
      <w:r>
        <w:rPr>
          <w:sz w:val="20"/>
          <w:szCs w:val="20"/>
        </w:rPr>
        <w:t>Elección de carrera; ansiedad; COVID-19; factores disposicionales; estudiantes.</w:t>
      </w:r>
    </w:p>
    <w:p w14:paraId="0000000C" w14:textId="77777777" w:rsidR="002E78B5" w:rsidRDefault="002E78B5">
      <w:pPr>
        <w:jc w:val="both"/>
        <w:rPr>
          <w:sz w:val="20"/>
          <w:szCs w:val="20"/>
        </w:rPr>
      </w:pPr>
    </w:p>
    <w:p w14:paraId="0000000D" w14:textId="77777777" w:rsidR="002E78B5" w:rsidRDefault="003F478A">
      <w:pPr>
        <w:jc w:val="both"/>
        <w:rPr>
          <w:sz w:val="20"/>
          <w:szCs w:val="20"/>
        </w:rPr>
      </w:pPr>
      <w:r>
        <w:rPr>
          <w:noProof/>
        </w:rPr>
        <w:drawing>
          <wp:anchor distT="0" distB="0" distL="114300" distR="114300" simplePos="0" relativeHeight="251659264" behindDoc="0" locked="0" layoutInCell="1" hidden="0" allowOverlap="1">
            <wp:simplePos x="0" y="0"/>
            <wp:positionH relativeFrom="column">
              <wp:posOffset>5400675</wp:posOffset>
            </wp:positionH>
            <wp:positionV relativeFrom="paragraph">
              <wp:posOffset>0</wp:posOffset>
            </wp:positionV>
            <wp:extent cx="396000" cy="259200"/>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96000" cy="259200"/>
                    </a:xfrm>
                    <a:prstGeom prst="rect">
                      <a:avLst/>
                    </a:prstGeom>
                    <a:ln/>
                  </pic:spPr>
                </pic:pic>
              </a:graphicData>
            </a:graphic>
          </wp:anchor>
        </w:drawing>
      </w:r>
    </w:p>
    <w:p w14:paraId="0000000E" w14:textId="77777777" w:rsidR="002E78B5" w:rsidRDefault="002E78B5">
      <w:pPr>
        <w:rPr>
          <w:b/>
        </w:rPr>
      </w:pPr>
    </w:p>
    <w:p w14:paraId="0000000F" w14:textId="77777777" w:rsidR="002E78B5" w:rsidRDefault="003F478A">
      <w:pPr>
        <w:rPr>
          <w:b/>
        </w:rPr>
      </w:pPr>
      <w:r>
        <w:br w:type="page"/>
      </w:r>
    </w:p>
    <w:p w14:paraId="00000010" w14:textId="77777777" w:rsidR="002E78B5" w:rsidRDefault="003F478A">
      <w:pPr>
        <w:pBdr>
          <w:top w:val="nil"/>
          <w:left w:val="nil"/>
          <w:bottom w:val="nil"/>
          <w:right w:val="nil"/>
          <w:between w:val="nil"/>
        </w:pBdr>
        <w:jc w:val="center"/>
      </w:pPr>
      <w:r>
        <w:lastRenderedPageBreak/>
        <w:t>Elección de carrera en tiempos de COVID-19: factores disposicionales y ansiedad en estudiantes de bachillerato y universidad.</w:t>
      </w:r>
    </w:p>
    <w:p w14:paraId="00000011" w14:textId="77777777" w:rsidR="002E78B5" w:rsidRDefault="003F478A">
      <w:pPr>
        <w:pBdr>
          <w:top w:val="nil"/>
          <w:left w:val="nil"/>
          <w:bottom w:val="nil"/>
          <w:right w:val="nil"/>
          <w:between w:val="nil"/>
        </w:pBdr>
        <w:jc w:val="center"/>
        <w:rPr>
          <w:b/>
          <w:color w:val="000000"/>
        </w:rPr>
      </w:pPr>
      <w:r>
        <w:rPr>
          <w:b/>
          <w:color w:val="000000"/>
        </w:rPr>
        <w:t>Introducción</w:t>
      </w:r>
    </w:p>
    <w:p w14:paraId="00000012" w14:textId="77777777" w:rsidR="002E78B5" w:rsidRDefault="003F478A">
      <w:pPr>
        <w:pBdr>
          <w:top w:val="nil"/>
          <w:left w:val="nil"/>
          <w:bottom w:val="nil"/>
          <w:right w:val="nil"/>
          <w:between w:val="nil"/>
        </w:pBdr>
        <w:spacing w:line="360" w:lineRule="auto"/>
        <w:jc w:val="both"/>
        <w:rPr>
          <w:highlight w:val="white"/>
        </w:rPr>
      </w:pPr>
      <w:r>
        <w:tab/>
      </w:r>
      <w:r>
        <w:t xml:space="preserve">En la actualidad, el impacto de la pandemia COVID-19 ha dejado estragos a nivel mundial en todos los ámbitos del ser humano. Todas las actividades que requerían </w:t>
      </w:r>
      <w:proofErr w:type="spellStart"/>
      <w:proofErr w:type="gramStart"/>
      <w:r>
        <w:t>presencialidad</w:t>
      </w:r>
      <w:proofErr w:type="spellEnd"/>
      <w:r>
        <w:t>,</w:t>
      </w:r>
      <w:proofErr w:type="gramEnd"/>
      <w:r>
        <w:t xml:space="preserve"> pasaron a ser realizadas a distancia, concentrándose la mayoría de ellas al tel</w:t>
      </w:r>
      <w:r>
        <w:t>etrabajo y a realizarlas desde casa. En el ámbito educativo, se tuvieron que reconfigurar los procesos de enseñanza-aprendizaje, donde los centros educativos y la labor docente tuvieron que implementar una enseñanza remota de emergencia (Pardo y Cobo 2020;</w:t>
      </w:r>
      <w:r>
        <w:t xml:space="preserve"> Fernández-</w:t>
      </w:r>
      <w:proofErr w:type="spellStart"/>
      <w:r>
        <w:t>Regueira</w:t>
      </w:r>
      <w:proofErr w:type="spellEnd"/>
      <w:r>
        <w:t xml:space="preserve">, </w:t>
      </w:r>
      <w:proofErr w:type="spellStart"/>
      <w:r>
        <w:t>Gewerc</w:t>
      </w:r>
      <w:proofErr w:type="spellEnd"/>
      <w:r>
        <w:t xml:space="preserve"> y Llamas-</w:t>
      </w:r>
      <w:proofErr w:type="spellStart"/>
      <w:r>
        <w:t>Nistal</w:t>
      </w:r>
      <w:proofErr w:type="spellEnd"/>
      <w:r>
        <w:t xml:space="preserve">, 2020; Portillo, Castellanos, Reynoso y </w:t>
      </w:r>
      <w:proofErr w:type="spellStart"/>
      <w:r>
        <w:t>Gavotto</w:t>
      </w:r>
      <w:proofErr w:type="spellEnd"/>
      <w:r>
        <w:t xml:space="preserve">, 2020). </w:t>
      </w:r>
      <w:r>
        <w:rPr>
          <w:highlight w:val="white"/>
        </w:rPr>
        <w:t xml:space="preserve">El impacto de esta en el uso de la tecnología a mostrado tanto la posibilidad de acceso y de uso de </w:t>
      </w:r>
      <w:proofErr w:type="gramStart"/>
      <w:r>
        <w:rPr>
          <w:highlight w:val="white"/>
        </w:rPr>
        <w:t>la misma</w:t>
      </w:r>
      <w:proofErr w:type="gramEnd"/>
      <w:r>
        <w:rPr>
          <w:highlight w:val="white"/>
        </w:rPr>
        <w:t xml:space="preserve"> como una herramienta educativa, pero también ha</w:t>
      </w:r>
      <w:r>
        <w:rPr>
          <w:highlight w:val="white"/>
        </w:rPr>
        <w:t xml:space="preserve"> puesto de manifiesto las desigualdades sociales en el acceso y como a su vez esto dificulta la posibilidad de acceder a los procesos básicos de educación en modalidad en línea a los cuales la sociedad ha tenido que enfrentarse</w:t>
      </w:r>
      <w:r>
        <w:t xml:space="preserve"> (Gavilán, 2020).</w:t>
      </w:r>
      <w:r>
        <w:rPr>
          <w:highlight w:val="white"/>
        </w:rPr>
        <w:t xml:space="preserve"> Uno de los </w:t>
      </w:r>
      <w:r>
        <w:rPr>
          <w:highlight w:val="white"/>
        </w:rPr>
        <w:t xml:space="preserve">efectos más importantes de la pandemia, además del golpe al ámbito educativo, a sido sin duda, el identificado en el área socioemocional de los estudiantes, </w:t>
      </w:r>
      <w:r>
        <w:t>ya que producto de la enseñanza remota de emergencia han surgido síntomas como miedo, angustia, eno</w:t>
      </w:r>
      <w:r>
        <w:t>jo, culpa y/o resentimiento (Escamilla, et al., 2020), lo que se ha reflejado en una actitud negativa hacia el aprendizaje y los procesos educativos. Algunos estudios enfocados en evaluar el impacto en el área emocional, se han centrado en describir la ans</w:t>
      </w:r>
      <w:r>
        <w:t>iedad experimentada por los estudiantes durante el periodo por pandemia, encontrando hallazgos que indican que los niveles de estrés y ansiedad se han incrementado en los estudiantes durante este periodo, esto relacionado con diferentes factores, siendo un</w:t>
      </w:r>
      <w:r>
        <w:t>o de los más importantes la preocupación por su desempeño académico, identificando en los jóvenes niveles de ansiedad de moderados a severos</w:t>
      </w:r>
      <w:r>
        <w:rPr>
          <w:highlight w:val="white"/>
        </w:rPr>
        <w:t xml:space="preserve"> (Son et al., 2020;  Wang et al., 2020). </w:t>
      </w:r>
    </w:p>
    <w:p w14:paraId="00000013" w14:textId="77777777" w:rsidR="002E78B5" w:rsidRDefault="003F478A">
      <w:pPr>
        <w:pBdr>
          <w:top w:val="nil"/>
          <w:left w:val="nil"/>
          <w:bottom w:val="nil"/>
          <w:right w:val="nil"/>
          <w:between w:val="nil"/>
        </w:pBdr>
        <w:spacing w:line="360" w:lineRule="auto"/>
        <w:jc w:val="both"/>
      </w:pPr>
      <w:r>
        <w:tab/>
        <w:t>Por ello, resulta indispensable evaluar el efecto que estos cambios en la</w:t>
      </w:r>
      <w:r>
        <w:t xml:space="preserve">s condiciones del contexto académico y social traen consigo y conocer las repercusiones a nivel de aprendizaje, de calidad educativa, logística, proceso, así como efectos emocionales que esto pueda llevar a los principales actores de la educación. </w:t>
      </w:r>
    </w:p>
    <w:p w14:paraId="00000014" w14:textId="77777777" w:rsidR="002E78B5" w:rsidRDefault="003F478A">
      <w:pPr>
        <w:pBdr>
          <w:top w:val="nil"/>
          <w:left w:val="nil"/>
          <w:bottom w:val="nil"/>
          <w:right w:val="nil"/>
          <w:between w:val="nil"/>
        </w:pBdr>
        <w:spacing w:line="360" w:lineRule="auto"/>
        <w:jc w:val="both"/>
        <w:rPr>
          <w:highlight w:val="yellow"/>
        </w:rPr>
      </w:pPr>
      <w:r>
        <w:tab/>
        <w:t>Es imp</w:t>
      </w:r>
      <w:r>
        <w:t xml:space="preserve">ortante considerar que a pesar de que las condiciones de enseñanza han cambiado, es fundamental dar continuidad y seguimiento a los procesos de enseñanza-aprendizaje y a aquellos que tienen que ver con la transición a la universidad (Figuera, Rodríguez y </w:t>
      </w:r>
      <w:proofErr w:type="spellStart"/>
      <w:r>
        <w:t>L</w:t>
      </w:r>
      <w:r>
        <w:t>lanes</w:t>
      </w:r>
      <w:proofErr w:type="spellEnd"/>
      <w:r>
        <w:t xml:space="preserve">, 2015), considerando que, a pesar de las dificultades sociales, económicas y de salud que la pandemia ha </w:t>
      </w:r>
      <w:r>
        <w:lastRenderedPageBreak/>
        <w:t>traído como consecuencia, los procesos de admisión al nivel universitario no se han detenido. El elemento más significativo de transitar a la uni</w:t>
      </w:r>
      <w:r>
        <w:t>versidad para un estudiante es su proceso de elección profesional, definiendo en su plan de vida la necesidad de continuar con sus estudios en la etapa superior, lo que pone de manifiesto la necesidad de elegir entre las múltiples opciones que se ofrecen e</w:t>
      </w:r>
      <w:r>
        <w:t xml:space="preserve">n este nivel, y las cuales actualmente son ofrecidas de forma completamente remota. </w:t>
      </w:r>
    </w:p>
    <w:p w14:paraId="00000015" w14:textId="77777777" w:rsidR="002E78B5" w:rsidRDefault="003F478A">
      <w:pPr>
        <w:pBdr>
          <w:top w:val="nil"/>
          <w:left w:val="nil"/>
          <w:bottom w:val="nil"/>
          <w:right w:val="nil"/>
          <w:between w:val="nil"/>
        </w:pBdr>
        <w:spacing w:line="360" w:lineRule="auto"/>
        <w:jc w:val="both"/>
      </w:pPr>
      <w:r>
        <w:rPr>
          <w:highlight w:val="white"/>
        </w:rPr>
        <w:tab/>
        <w:t xml:space="preserve">Ante las condiciones actuales, es primordial continuar prestando atención al proceso vocacional, así como a los factores que influyen en los jóvenes ante las condiciones </w:t>
      </w:r>
      <w:r>
        <w:rPr>
          <w:highlight w:val="white"/>
        </w:rPr>
        <w:t>sociales actuales para elegir su profesión. Se debe de igual forma, modificar y ajustar los mecanismos de trabajo e intervención a los medios digitales, evitando que los procesos de orientación, asesoría y acompañamiento se vuelven impersonales, poco inter</w:t>
      </w:r>
      <w:r>
        <w:rPr>
          <w:highlight w:val="white"/>
        </w:rPr>
        <w:t xml:space="preserve">activos y automatizados; propiciando la empatía con el estudiante, así como la participación constante en su proceso de decidir y en la retroalimentación </w:t>
      </w:r>
      <w:proofErr w:type="gramStart"/>
      <w:r>
        <w:rPr>
          <w:highlight w:val="white"/>
        </w:rPr>
        <w:t>del mismo</w:t>
      </w:r>
      <w:proofErr w:type="gramEnd"/>
      <w:r>
        <w:rPr>
          <w:highlight w:val="white"/>
        </w:rPr>
        <w:t>. Lo anterior, supone un reto enorme para quienes trabajan en las áreas de orientación y tuto</w:t>
      </w:r>
      <w:r>
        <w:rPr>
          <w:highlight w:val="white"/>
        </w:rPr>
        <w:t xml:space="preserve">ría, demandando nuevas habilidades de manejo de tecnología, comunicación y seguimiento emocional a los estudiantes. </w:t>
      </w:r>
      <w:r>
        <w:t>Conocer el sentir del estudiante en su transitar hacia la universidad, así como la manera en que genera identidad y su rol como estudiante h</w:t>
      </w:r>
      <w:r>
        <w:t xml:space="preserve">acia su profesión, cómo es interpretado a través de sus procesos formativos y cuál es la forma en que se incorpora a esta nueva normalidad educativa, se vuelven entonces elementos primordiales que el orientador debe identificar (Francia, Aguirre, </w:t>
      </w:r>
      <w:proofErr w:type="spellStart"/>
      <w:r>
        <w:t>Suares</w:t>
      </w:r>
      <w:proofErr w:type="spellEnd"/>
      <w:r>
        <w:t xml:space="preserve"> y </w:t>
      </w:r>
      <w:r>
        <w:t xml:space="preserve">Torres, 2020), cobrando vital importancia, el aspecto referido al ajuste del </w:t>
      </w:r>
      <w:proofErr w:type="spellStart"/>
      <w:r>
        <w:t>jóven</w:t>
      </w:r>
      <w:proofErr w:type="spellEnd"/>
      <w:r>
        <w:t xml:space="preserve"> tanto emocional y académico a las características actuales de nuestro contexto. </w:t>
      </w:r>
    </w:p>
    <w:p w14:paraId="00000016" w14:textId="77777777" w:rsidR="002E78B5" w:rsidRDefault="003F478A">
      <w:pPr>
        <w:spacing w:line="360" w:lineRule="auto"/>
        <w:jc w:val="both"/>
        <w:rPr>
          <w:highlight w:val="yellow"/>
        </w:rPr>
      </w:pPr>
      <w:r>
        <w:tab/>
      </w:r>
      <w:r>
        <w:t>A partir de lo anterior, resulta entonces primordial conocer cómo ante las condiciones de la pandemia por COVID-19 los jóvenes llevan a cabo su proceso de elección vocacional, identificando cuáles son los principales factores que influyen en dicho proceso,</w:t>
      </w:r>
      <w:r>
        <w:t xml:space="preserve"> explorando, además la influencia de algunas variables de la dimensión emocional, particularmente el constructo de ansiedad.</w:t>
      </w:r>
    </w:p>
    <w:p w14:paraId="00000017" w14:textId="77777777" w:rsidR="002E78B5" w:rsidRDefault="003F478A">
      <w:pPr>
        <w:pBdr>
          <w:top w:val="nil"/>
          <w:left w:val="nil"/>
          <w:bottom w:val="nil"/>
          <w:right w:val="nil"/>
          <w:between w:val="nil"/>
        </w:pBdr>
        <w:spacing w:line="360" w:lineRule="auto"/>
        <w:jc w:val="both"/>
        <w:rPr>
          <w:highlight w:val="white"/>
        </w:rPr>
      </w:pPr>
      <w:r>
        <w:rPr>
          <w:b/>
          <w:i/>
        </w:rPr>
        <w:t>Antecedentes</w:t>
      </w:r>
      <w:r>
        <w:rPr>
          <w:b/>
          <w:i/>
          <w:color w:val="222222"/>
          <w:highlight w:val="white"/>
        </w:rPr>
        <w:br/>
      </w:r>
      <w:r>
        <w:rPr>
          <w:highlight w:val="white"/>
        </w:rPr>
        <w:tab/>
        <w:t>El proceso de elegir una carrera demanda en los jóvenes la capacidad de solucionar problemas y tomar decisiones de fo</w:t>
      </w:r>
      <w:r>
        <w:rPr>
          <w:highlight w:val="white"/>
        </w:rPr>
        <w:t xml:space="preserve">rma efectiva, representando a nivel </w:t>
      </w:r>
      <w:proofErr w:type="spellStart"/>
      <w:r>
        <w:rPr>
          <w:highlight w:val="white"/>
        </w:rPr>
        <w:t>psicoemocional</w:t>
      </w:r>
      <w:proofErr w:type="spellEnd"/>
      <w:r>
        <w:rPr>
          <w:highlight w:val="white"/>
        </w:rPr>
        <w:t xml:space="preserve"> que el estudiante posea habilidades de afrontamiento y de manejo emocional con las que en muchas ocasiones los estudiantes no cuentan. Aunado a esto, las condiciones del contexto actual por la pandemia de </w:t>
      </w:r>
      <w:r>
        <w:rPr>
          <w:highlight w:val="white"/>
        </w:rPr>
        <w:t xml:space="preserve">COVID-19, implican una demanda mayor a nivel emocional en la población en </w:t>
      </w:r>
      <w:r>
        <w:rPr>
          <w:highlight w:val="white"/>
        </w:rPr>
        <w:lastRenderedPageBreak/>
        <w:t>general, por lo que resulta importante observar qué es lo que pasa con las y los jóvenes que se encuentran en proceso de elegir una carrera en medio de las condiciones de salud actua</w:t>
      </w:r>
      <w:r>
        <w:rPr>
          <w:highlight w:val="white"/>
        </w:rPr>
        <w:t>les.  Generalmente, la elección de carrera se ve influenciada por elementos de orden personal, ambientales y personas significativas, además de variables académicas y socioeconómicas (</w:t>
      </w:r>
      <w:proofErr w:type="spellStart"/>
      <w:r>
        <w:rPr>
          <w:highlight w:val="white"/>
        </w:rPr>
        <w:t>Norzagaray</w:t>
      </w:r>
      <w:proofErr w:type="spellEnd"/>
      <w:r>
        <w:rPr>
          <w:highlight w:val="white"/>
        </w:rPr>
        <w:t xml:space="preserve"> y López, 2018), mismas que hacen más o menos probable que el </w:t>
      </w:r>
      <w:r>
        <w:rPr>
          <w:highlight w:val="white"/>
        </w:rPr>
        <w:t>estudiante opte por una institución o profesión para continuar con sus estudios de grado.</w:t>
      </w:r>
    </w:p>
    <w:p w14:paraId="00000018" w14:textId="77777777" w:rsidR="002E78B5" w:rsidRDefault="003F478A">
      <w:pPr>
        <w:pBdr>
          <w:top w:val="nil"/>
          <w:left w:val="nil"/>
          <w:bottom w:val="nil"/>
          <w:right w:val="nil"/>
          <w:between w:val="nil"/>
        </w:pBdr>
        <w:spacing w:line="360" w:lineRule="auto"/>
        <w:jc w:val="both"/>
        <w:rPr>
          <w:highlight w:val="white"/>
        </w:rPr>
      </w:pPr>
      <w:r>
        <w:rPr>
          <w:highlight w:val="white"/>
        </w:rPr>
        <w:tab/>
        <w:t>Se ha identificado en literatura previa, que uno de los factores con mayor relevancia y que incide en la elección vocacional en estudiantes de bachillerato es el emo</w:t>
      </w:r>
      <w:r>
        <w:rPr>
          <w:highlight w:val="white"/>
        </w:rPr>
        <w:t>cional (Postigo, 2020). La influencia de las emociones debe ser vista en un sentido bidireccional. En primera instancia como la inestabilidad emocional producto de la etapa de la vida en la que se encuentran, denominado fin de la adolescencia, misma que pu</w:t>
      </w:r>
      <w:r>
        <w:rPr>
          <w:highlight w:val="white"/>
        </w:rPr>
        <w:t>ede manifestarse como inseguridad y confusión y lo cual puede dificultar en el proceso de elección de carrera y la toma de una decisión acertada (Figueroa, 1993); o bien, la reacción emocional que genera dicha elección. En relación con lo anterior, el mode</w:t>
      </w:r>
      <w:r>
        <w:rPr>
          <w:highlight w:val="white"/>
        </w:rPr>
        <w:t xml:space="preserve">lo de Donald </w:t>
      </w:r>
      <w:proofErr w:type="spellStart"/>
      <w:r>
        <w:rPr>
          <w:highlight w:val="white"/>
        </w:rPr>
        <w:t>Super</w:t>
      </w:r>
      <w:proofErr w:type="spellEnd"/>
      <w:r>
        <w:rPr>
          <w:highlight w:val="white"/>
        </w:rPr>
        <w:t xml:space="preserve"> sobre orientación vocacional ofrece como una de las principales aportaciones integrar la variable de personalidad como influencia fundamental en el proceso de elección vocacional, considerando como se mencionó dicho proceso como algo din</w:t>
      </w:r>
      <w:r>
        <w:rPr>
          <w:highlight w:val="white"/>
        </w:rPr>
        <w:t>ámico, en donde la personalidad del sujeto juega una función ¨</w:t>
      </w:r>
      <w:proofErr w:type="spellStart"/>
      <w:r>
        <w:rPr>
          <w:highlight w:val="white"/>
        </w:rPr>
        <w:t>predictora</w:t>
      </w:r>
      <w:proofErr w:type="spellEnd"/>
      <w:r>
        <w:rPr>
          <w:highlight w:val="white"/>
        </w:rPr>
        <w:t>¨ de dicha decisión en conjunto con las experiencias previas de este (</w:t>
      </w:r>
      <w:proofErr w:type="spellStart"/>
      <w:r>
        <w:rPr>
          <w:highlight w:val="white"/>
        </w:rPr>
        <w:t>Grañeras</w:t>
      </w:r>
      <w:proofErr w:type="spellEnd"/>
      <w:r>
        <w:rPr>
          <w:highlight w:val="white"/>
        </w:rPr>
        <w:t xml:space="preserve"> y Parra, 2009).</w:t>
      </w:r>
    </w:p>
    <w:p w14:paraId="00000019" w14:textId="77777777" w:rsidR="002E78B5" w:rsidRDefault="003F478A">
      <w:pPr>
        <w:spacing w:line="360" w:lineRule="auto"/>
        <w:jc w:val="both"/>
        <w:rPr>
          <w:highlight w:val="yellow"/>
        </w:rPr>
      </w:pPr>
      <w:r>
        <w:rPr>
          <w:highlight w:val="white"/>
        </w:rPr>
        <w:tab/>
        <w:t>Actualmente, la elección de carrera en medio de la pandemia COVID-19 vuelve el proceso a</w:t>
      </w:r>
      <w:r>
        <w:rPr>
          <w:highlight w:val="white"/>
        </w:rPr>
        <w:t xml:space="preserve">ún más complejo y por consiguiente tiene efectos en la decisión que toman los jóvenes.  </w:t>
      </w:r>
      <w:r>
        <w:t>La pandemia interfiere en asumir roles de adulto, genera apatía y marcado desinterés por el proyecto de vida y poca valoración de sí mismos. Sin embargo, se ha observad</w:t>
      </w:r>
      <w:r>
        <w:t>o que el buen uso y aplicación de los procesos virtuales pueden apoyar a la generación en la articulación de intereses, deseos, aptitudes y en llegar a lugares remotos o acortar distancias (</w:t>
      </w:r>
      <w:proofErr w:type="spellStart"/>
      <w:r>
        <w:t>Scalise</w:t>
      </w:r>
      <w:proofErr w:type="spellEnd"/>
      <w:r>
        <w:t xml:space="preserve">, 2020). </w:t>
      </w:r>
    </w:p>
    <w:p w14:paraId="0000001A" w14:textId="77777777" w:rsidR="002E78B5" w:rsidRDefault="003F478A">
      <w:pPr>
        <w:pBdr>
          <w:top w:val="nil"/>
          <w:left w:val="nil"/>
          <w:bottom w:val="nil"/>
          <w:right w:val="nil"/>
          <w:between w:val="nil"/>
        </w:pBdr>
        <w:spacing w:line="360" w:lineRule="auto"/>
        <w:jc w:val="both"/>
        <w:rPr>
          <w:highlight w:val="white"/>
        </w:rPr>
      </w:pPr>
      <w:r>
        <w:rPr>
          <w:highlight w:val="white"/>
        </w:rPr>
        <w:tab/>
        <w:t>La ansiedad es uno de los aspectos negativos que</w:t>
      </w:r>
      <w:r>
        <w:rPr>
          <w:highlight w:val="white"/>
        </w:rPr>
        <w:t xml:space="preserve"> son mayormente referidos en la literatura como una respuesta ante la elección. Se han identificado diversos estudios que refieren modelos estructurales en donde se describe que los estudiantes universitarios presentan mayores niveles de ansiedad (González</w:t>
      </w:r>
      <w:r>
        <w:rPr>
          <w:highlight w:val="white"/>
        </w:rPr>
        <w:t xml:space="preserve">, Barrera, Maytorena y Fuentes, 2018), o bien, un incremento en los niveles de ansiedad, lo que repercute en el desempeño académico, </w:t>
      </w:r>
      <w:proofErr w:type="gramStart"/>
      <w:r>
        <w:rPr>
          <w:highlight w:val="white"/>
        </w:rPr>
        <w:t>y</w:t>
      </w:r>
      <w:proofErr w:type="gramEnd"/>
      <w:r>
        <w:rPr>
          <w:highlight w:val="white"/>
        </w:rPr>
        <w:t xml:space="preserve"> por ende, se condiciona su elección de carrera (Pérez-</w:t>
      </w:r>
      <w:proofErr w:type="spellStart"/>
      <w:r>
        <w:rPr>
          <w:highlight w:val="white"/>
        </w:rPr>
        <w:t>Tyteca</w:t>
      </w:r>
      <w:proofErr w:type="spellEnd"/>
      <w:r>
        <w:rPr>
          <w:highlight w:val="white"/>
        </w:rPr>
        <w:t xml:space="preserve"> y Castro, 2011). </w:t>
      </w:r>
    </w:p>
    <w:p w14:paraId="0000001B" w14:textId="77777777" w:rsidR="002E78B5" w:rsidRDefault="003F478A">
      <w:pPr>
        <w:pBdr>
          <w:top w:val="nil"/>
          <w:left w:val="nil"/>
          <w:bottom w:val="nil"/>
          <w:right w:val="nil"/>
          <w:between w:val="nil"/>
        </w:pBdr>
        <w:spacing w:line="360" w:lineRule="auto"/>
        <w:jc w:val="both"/>
        <w:rPr>
          <w:highlight w:val="white"/>
        </w:rPr>
      </w:pPr>
      <w:r>
        <w:rPr>
          <w:highlight w:val="white"/>
        </w:rPr>
        <w:lastRenderedPageBreak/>
        <w:tab/>
        <w:t xml:space="preserve">Específicamente, analizando los estudios </w:t>
      </w:r>
      <w:r>
        <w:rPr>
          <w:highlight w:val="white"/>
        </w:rPr>
        <w:t xml:space="preserve">realizados a partir de la pandemia por COVID-19, se ha encontrado que </w:t>
      </w:r>
      <w:r>
        <w:t>en el área emocional en estudiantes universitarios existen bajos niveles de satisfacción, autoestima y felicidad, y altos niveles de ansiedad (</w:t>
      </w:r>
      <w:proofErr w:type="spellStart"/>
      <w:r>
        <w:t>Tinsley</w:t>
      </w:r>
      <w:proofErr w:type="spellEnd"/>
      <w:r>
        <w:t xml:space="preserve">, 2020). </w:t>
      </w:r>
      <w:proofErr w:type="spellStart"/>
      <w:r>
        <w:t>Barceleta-Eguiarte</w:t>
      </w:r>
      <w:proofErr w:type="spellEnd"/>
      <w:r>
        <w:t>, Rodrígu</w:t>
      </w:r>
      <w:r>
        <w:t>ez y González (2021) encontraron que los adolescentes con mayor tiempo en confinamiento presentaron niveles de miedo, preocupación e indicadores de estrés, además de diferencias significativas por sexo en donde las mujeres tienden a un incremento de dichos</w:t>
      </w:r>
      <w:r>
        <w:t xml:space="preserve"> indicadores (Cobo-Rendón, Vega-Valenzuela y García-Álvarez, 2020).</w:t>
      </w:r>
    </w:p>
    <w:p w14:paraId="0000001C" w14:textId="77777777" w:rsidR="002E78B5" w:rsidRDefault="003F478A">
      <w:pPr>
        <w:pBdr>
          <w:top w:val="nil"/>
          <w:left w:val="nil"/>
          <w:bottom w:val="nil"/>
          <w:right w:val="nil"/>
          <w:between w:val="nil"/>
        </w:pBdr>
        <w:spacing w:line="360" w:lineRule="auto"/>
        <w:jc w:val="both"/>
        <w:rPr>
          <w:highlight w:val="yellow"/>
        </w:rPr>
      </w:pPr>
      <w:r>
        <w:tab/>
        <w:t>Por otra parte, aquellos estudiantes que iniciaron sus estudios universitarios en pandemia consideran que dicho evento ha generado una ruptura en la dimensión psicológica, educativa y fam</w:t>
      </w:r>
      <w:r>
        <w:t>iliar; dichos estudiantes expresan percepciones sobre ansiedad ante el por venir y problemas para generar un sentido de afiliación (Tavera-</w:t>
      </w:r>
      <w:proofErr w:type="spellStart"/>
      <w:r>
        <w:t>Fenollosa</w:t>
      </w:r>
      <w:proofErr w:type="spellEnd"/>
      <w:r>
        <w:t xml:space="preserve"> y Martínez, 2021). </w:t>
      </w:r>
      <w:r>
        <w:rPr>
          <w:color w:val="222222"/>
          <w:highlight w:val="white"/>
        </w:rPr>
        <w:t>Se observa además que los jóvenes se encuentran actualmente atravesando un estado de vul</w:t>
      </w:r>
      <w:r>
        <w:rPr>
          <w:color w:val="222222"/>
          <w:highlight w:val="white"/>
        </w:rPr>
        <w:t xml:space="preserve">nerabilidad, en donde se manifiesta una marcada apatía y desinterés en su proceso vocacional, principalmente en el planteamiento de un proyecto de vida, así como una poca valoración de sí mismos </w:t>
      </w:r>
      <w:r>
        <w:rPr>
          <w:color w:val="222222"/>
        </w:rPr>
        <w:t>(</w:t>
      </w:r>
      <w:proofErr w:type="spellStart"/>
      <w:r>
        <w:rPr>
          <w:color w:val="222222"/>
        </w:rPr>
        <w:t>Scalise</w:t>
      </w:r>
      <w:proofErr w:type="spellEnd"/>
      <w:r>
        <w:rPr>
          <w:color w:val="222222"/>
        </w:rPr>
        <w:t xml:space="preserve">, 2020). </w:t>
      </w:r>
    </w:p>
    <w:p w14:paraId="0000001D" w14:textId="77777777" w:rsidR="002E78B5" w:rsidRDefault="003F478A">
      <w:pPr>
        <w:pBdr>
          <w:top w:val="nil"/>
          <w:left w:val="nil"/>
          <w:bottom w:val="nil"/>
          <w:right w:val="nil"/>
          <w:between w:val="nil"/>
        </w:pBdr>
        <w:spacing w:line="360" w:lineRule="auto"/>
        <w:jc w:val="both"/>
      </w:pPr>
      <w:r>
        <w:tab/>
        <w:t>Lo anterior indica que, bajo tiempos de in</w:t>
      </w:r>
      <w:r>
        <w:t xml:space="preserve">certidumbre y caos social, se refuerzan las emociones negativas y bien, la ansiedad ante la elección se hace aún más contundente. Añadiendo a esto, es importante considerar que el acompañamiento para la elección de carrera ha requerido </w:t>
      </w:r>
      <w:proofErr w:type="spellStart"/>
      <w:r>
        <w:t>presencialidad</w:t>
      </w:r>
      <w:proofErr w:type="spellEnd"/>
      <w:r>
        <w:t xml:space="preserve"> y una</w:t>
      </w:r>
      <w:r>
        <w:t xml:space="preserve"> serie de acciones por parte de los orientadores, en donde ahora se debe hacer un uso aplicado y funcional de la </w:t>
      </w:r>
      <w:proofErr w:type="spellStart"/>
      <w:r>
        <w:t>TIC’s</w:t>
      </w:r>
      <w:proofErr w:type="spellEnd"/>
      <w:r>
        <w:t xml:space="preserve">, mismas que se han llevado a cabo a través de una virtualidad disruptiva (Gavilán, 2020). </w:t>
      </w:r>
    </w:p>
    <w:p w14:paraId="0000001E" w14:textId="77777777" w:rsidR="002E78B5" w:rsidRDefault="003F478A">
      <w:pPr>
        <w:pBdr>
          <w:top w:val="nil"/>
          <w:left w:val="nil"/>
          <w:bottom w:val="nil"/>
          <w:right w:val="nil"/>
          <w:between w:val="nil"/>
        </w:pBdr>
        <w:spacing w:after="120"/>
        <w:rPr>
          <w:b/>
          <w:i/>
        </w:rPr>
      </w:pPr>
      <w:r>
        <w:rPr>
          <w:b/>
          <w:i/>
        </w:rPr>
        <w:t>Marco teórico</w:t>
      </w:r>
    </w:p>
    <w:p w14:paraId="0000001F" w14:textId="77777777" w:rsidR="002E78B5" w:rsidRDefault="003F478A">
      <w:pPr>
        <w:pBdr>
          <w:top w:val="nil"/>
          <w:left w:val="nil"/>
          <w:bottom w:val="nil"/>
          <w:right w:val="nil"/>
          <w:between w:val="nil"/>
        </w:pBdr>
        <w:spacing w:line="360" w:lineRule="auto"/>
        <w:jc w:val="both"/>
      </w:pPr>
      <w:r>
        <w:tab/>
        <w:t>El estudio de la ansiedad ha si</w:t>
      </w:r>
      <w:r>
        <w:t>do foco de interés para distintas áreas del conocimiento, entre ellas la psicología. Una persona puede sentir ansiedad como parte de su vida cotidiana y de manera temporal, lo importante es detectar cuando esta se convierte en un problema que interviene, p</w:t>
      </w:r>
      <w:r>
        <w:t xml:space="preserve">or ejemplo, en las actividades académicas (NIMH, 2021). </w:t>
      </w:r>
    </w:p>
    <w:p w14:paraId="00000020" w14:textId="77777777" w:rsidR="002E78B5" w:rsidRDefault="003F478A">
      <w:pPr>
        <w:pBdr>
          <w:top w:val="nil"/>
          <w:left w:val="nil"/>
          <w:bottom w:val="nil"/>
          <w:right w:val="nil"/>
          <w:between w:val="nil"/>
        </w:pBdr>
        <w:spacing w:line="360" w:lineRule="auto"/>
        <w:jc w:val="both"/>
      </w:pPr>
      <w:r>
        <w:tab/>
        <w:t>Existen modelos de abordaje psicológico de la ansiedad, entre los cuales encontramos el psicoanalítico de retroflexión de la hostilidad, modelos conductuales, y los cognitivo conductuales como el de</w:t>
      </w:r>
      <w:r>
        <w:t xml:space="preserve"> Beck (Martín, 2007). De este último, se desprende el Inventario de Ansiedad de Beck (1988), siendo una de las herramientas mayormente utilizadas para la evaluación de sintomatología de ansiedad referida en el Manual Diagnóstico y estadístico de trastornos</w:t>
      </w:r>
      <w:r>
        <w:t xml:space="preserve"> mentales (DSM por sus </w:t>
      </w:r>
      <w:r>
        <w:lastRenderedPageBreak/>
        <w:t>siglas en inglés) acerca de las reacciones físicas de la ansiedad y se considera un instrumento útil para valorar los síntomas relacionados con la misma (Morrison, 2015).</w:t>
      </w:r>
    </w:p>
    <w:p w14:paraId="00000021" w14:textId="77777777" w:rsidR="002E78B5" w:rsidRDefault="003F478A">
      <w:pPr>
        <w:pBdr>
          <w:top w:val="nil"/>
          <w:left w:val="nil"/>
          <w:bottom w:val="nil"/>
          <w:right w:val="nil"/>
          <w:between w:val="nil"/>
        </w:pBdr>
        <w:spacing w:line="360" w:lineRule="auto"/>
        <w:jc w:val="both"/>
      </w:pPr>
      <w:r>
        <w:tab/>
        <w:t>El estudio de la Elección de Carrera desde una perspectiva in</w:t>
      </w:r>
      <w:r>
        <w:t>teraccionista surge como una necesidad de tener una visión integral desde la psicología considerando aquellos factores que inciden en este proceso, como son disposiciones personales, ambientales, personas significativas, variables académicas y socioeconómi</w:t>
      </w:r>
      <w:r>
        <w:t>cas (</w:t>
      </w:r>
      <w:proofErr w:type="spellStart"/>
      <w:r>
        <w:t>Norzagaray</w:t>
      </w:r>
      <w:proofErr w:type="spellEnd"/>
      <w:r>
        <w:t xml:space="preserve"> y López, 2018). Se toma como referencia el Análisis Contingencial como sistema de análisis y metodológico para el abordaje tecnológico entre la teoría y la solución de problemas (Díaz-González, Rodríguez, Robles, Moreno y Frías, 2003), el c</w:t>
      </w:r>
      <w:r>
        <w:t xml:space="preserve">ual permite identificar el comportamiento del individuo en interacción con el ambiente e identificar los factores que inciden para conocer su valor funcional (Rodríguez-Campuzano, 2018). </w:t>
      </w:r>
    </w:p>
    <w:p w14:paraId="00000022" w14:textId="77777777" w:rsidR="002E78B5" w:rsidRDefault="003F478A">
      <w:pPr>
        <w:pBdr>
          <w:top w:val="nil"/>
          <w:left w:val="nil"/>
          <w:bottom w:val="nil"/>
          <w:right w:val="nil"/>
          <w:between w:val="nil"/>
        </w:pBdr>
        <w:spacing w:line="360" w:lineRule="auto"/>
        <w:jc w:val="both"/>
        <w:rPr>
          <w:b/>
        </w:rPr>
      </w:pPr>
      <w:r>
        <w:tab/>
        <w:t>Dicho análisis puede ser realizado en cualquier área donde el human</w:t>
      </w:r>
      <w:r>
        <w:t xml:space="preserve">o pueda desempeñarse; regularmente los estudios emprendidos son el ámbito de la salud, como lo son estudios de caso sobre desorden obsesivo compulsivo con el análisis de las dimensiones básicas </w:t>
      </w:r>
      <w:proofErr w:type="spellStart"/>
      <w:r>
        <w:t>microcontingencia</w:t>
      </w:r>
      <w:proofErr w:type="spellEnd"/>
      <w:r>
        <w:t xml:space="preserve"> y </w:t>
      </w:r>
      <w:proofErr w:type="spellStart"/>
      <w:r>
        <w:t>macrocontingencia</w:t>
      </w:r>
      <w:proofErr w:type="spellEnd"/>
      <w:r>
        <w:t xml:space="preserve"> (Rodríguez, 2018), uso d</w:t>
      </w:r>
      <w:r>
        <w:t>e condón (</w:t>
      </w:r>
      <w:r>
        <w:rPr>
          <w:color w:val="222222"/>
        </w:rPr>
        <w:t>Rodríguez, Paniagua, Montijo, Villegas, Arroyo, y Cervantes, 2008) y los factores disposicionales asociados (Rodríguez y Díaz-González, 2011)</w:t>
      </w:r>
      <w:r>
        <w:t>, propuestas de intervención en casos clínicos, realizando análisis micro, macro y génesis del problema (</w:t>
      </w:r>
      <w:proofErr w:type="spellStart"/>
      <w:r>
        <w:t>Gómes</w:t>
      </w:r>
      <w:proofErr w:type="spellEnd"/>
      <w:r>
        <w:t xml:space="preserve">-Gonzales, 2016), mediación de pareja utilizando los cinco pasos de la metodología para su análisis y tratamiento (Rodríguez-Campuzano, 2010). Sin embargo, en el ámbito educativo López y </w:t>
      </w:r>
      <w:proofErr w:type="spellStart"/>
      <w:r>
        <w:t>Norzagaray</w:t>
      </w:r>
      <w:proofErr w:type="spellEnd"/>
      <w:r>
        <w:t xml:space="preserve"> (2016) elaboraron un instrumento de medición para eva</w:t>
      </w:r>
      <w:r>
        <w:t>luar los factores disposicionales situacionales asociados a la elección de carrera desde esta metodología, considerando las dimensiones de los disposicionales situacionales: inclinaciones, circunstancia social, objetos y acontecimientos físicos en la unive</w:t>
      </w:r>
      <w:r>
        <w:t>rsidad, prestigio social de la carrera, personas significativas (familia) y otras personas significativas.</w:t>
      </w:r>
    </w:p>
    <w:p w14:paraId="00000023" w14:textId="77777777" w:rsidR="002E78B5" w:rsidRDefault="003F478A">
      <w:pPr>
        <w:pBdr>
          <w:top w:val="nil"/>
          <w:left w:val="nil"/>
          <w:bottom w:val="nil"/>
          <w:right w:val="nil"/>
          <w:between w:val="nil"/>
        </w:pBdr>
        <w:spacing w:line="360" w:lineRule="auto"/>
        <w:jc w:val="both"/>
      </w:pPr>
      <w:r>
        <w:tab/>
        <w:t>A partir de lo anterior, el presente estudio plantea varios objetivos de análisis. Primeramente, se busca analizar la relación existente entre los f</w:t>
      </w:r>
      <w:r>
        <w:t xml:space="preserve">actores que inciden en la elección de carrera y los niveles de ansiedad en estudiantes de bachillerato y de universidad. Posteriormente, se busca identificar si existen diferencias en los factores que influyen en la elección de carrera y los resultados en </w:t>
      </w:r>
      <w:r>
        <w:t xml:space="preserve">ansiedad en función del área vocacional. Se plantea además determinar las diferencias que existen en los niveles de ansiedad en función del género y nivel educativo </w:t>
      </w:r>
      <w:proofErr w:type="gramStart"/>
      <w:r>
        <w:t>y</w:t>
      </w:r>
      <w:proofErr w:type="gramEnd"/>
      <w:r>
        <w:t xml:space="preserve"> por último, identificar si existe diferencias en los factores que influyen en la elección</w:t>
      </w:r>
      <w:r>
        <w:t xml:space="preserve"> de carrera en función del nivel de ansiedad reportado por los participantes. </w:t>
      </w:r>
    </w:p>
    <w:p w14:paraId="00000024" w14:textId="77777777" w:rsidR="002E78B5" w:rsidRDefault="003F478A">
      <w:pPr>
        <w:pBdr>
          <w:top w:val="nil"/>
          <w:left w:val="nil"/>
          <w:bottom w:val="nil"/>
          <w:right w:val="nil"/>
          <w:between w:val="nil"/>
        </w:pBdr>
        <w:jc w:val="center"/>
        <w:rPr>
          <w:b/>
        </w:rPr>
      </w:pPr>
      <w:r>
        <w:rPr>
          <w:b/>
        </w:rPr>
        <w:lastRenderedPageBreak/>
        <w:t>Método</w:t>
      </w:r>
    </w:p>
    <w:p w14:paraId="00000025" w14:textId="77777777" w:rsidR="002E78B5" w:rsidRDefault="003F478A">
      <w:pPr>
        <w:pBdr>
          <w:top w:val="nil"/>
          <w:left w:val="nil"/>
          <w:bottom w:val="nil"/>
          <w:right w:val="nil"/>
          <w:between w:val="nil"/>
        </w:pBdr>
        <w:spacing w:after="160"/>
        <w:rPr>
          <w:b/>
          <w:i/>
        </w:rPr>
      </w:pPr>
      <w:r>
        <w:rPr>
          <w:b/>
          <w:i/>
        </w:rPr>
        <w:t>Diseño</w:t>
      </w:r>
    </w:p>
    <w:p w14:paraId="00000026" w14:textId="77777777" w:rsidR="002E78B5" w:rsidRDefault="003F478A">
      <w:pPr>
        <w:pBdr>
          <w:top w:val="nil"/>
          <w:left w:val="nil"/>
          <w:bottom w:val="nil"/>
          <w:right w:val="nil"/>
          <w:between w:val="nil"/>
        </w:pBdr>
        <w:spacing w:line="360" w:lineRule="auto"/>
        <w:jc w:val="both"/>
      </w:pPr>
      <w:r>
        <w:tab/>
      </w:r>
      <w:r>
        <w:t xml:space="preserve">El estudio se llevó a cabo mediante un diseño no experimental, </w:t>
      </w:r>
      <w:proofErr w:type="spellStart"/>
      <w:r>
        <w:t>transeccional</w:t>
      </w:r>
      <w:proofErr w:type="spellEnd"/>
      <w:r>
        <w:t xml:space="preserve"> (Ato, López y Benavente, 2013) de tipo correlacional (Jiménez y Ramírez, 2012) realizándose una única recolección en el tiempo, durante el mes de abril de 2021 con el objetivo de </w:t>
      </w:r>
      <w:r>
        <w:t xml:space="preserve">identificar las relaciones entre las variables del estudio. </w:t>
      </w:r>
    </w:p>
    <w:p w14:paraId="00000027" w14:textId="77777777" w:rsidR="002E78B5" w:rsidRDefault="003F478A">
      <w:pPr>
        <w:pBdr>
          <w:top w:val="nil"/>
          <w:left w:val="nil"/>
          <w:bottom w:val="nil"/>
          <w:right w:val="nil"/>
          <w:between w:val="nil"/>
        </w:pBdr>
        <w:spacing w:after="120"/>
        <w:rPr>
          <w:b/>
          <w:i/>
        </w:rPr>
      </w:pPr>
      <w:r>
        <w:rPr>
          <w:b/>
          <w:i/>
        </w:rPr>
        <w:t>Participantes</w:t>
      </w:r>
    </w:p>
    <w:p w14:paraId="00000028" w14:textId="77777777" w:rsidR="002E78B5" w:rsidRDefault="003F478A">
      <w:pPr>
        <w:pBdr>
          <w:top w:val="nil"/>
          <w:left w:val="nil"/>
          <w:bottom w:val="nil"/>
          <w:right w:val="nil"/>
          <w:between w:val="nil"/>
        </w:pBdr>
        <w:spacing w:after="120" w:line="360" w:lineRule="auto"/>
        <w:jc w:val="both"/>
      </w:pPr>
      <w:r>
        <w:tab/>
      </w:r>
      <w:r>
        <w:t xml:space="preserve">La selección de los participantes se realizó por medio de un muestreo no probabilístico por conveniencia. La muestra total se conformó por 515 participantes de los cuales 292 (56.7% fueron estudiantes de nivel preparatoria) y 223 (43.3% fueron estudiantes </w:t>
      </w:r>
      <w:r>
        <w:t>de nivel universitario). De estos, el 71.8% eran mujeres, y el 28.2% eran hombres. Las edades oscilaron entre 15 y 50 años, concentrándose su mayoría (el 96.7% de la muestra) en un rango de 17 a 22 años. El 92.4% fueron estudiantes del turno matutino, y el</w:t>
      </w:r>
      <w:r>
        <w:t xml:space="preserve"> 7.6% del turno vespertino. </w:t>
      </w:r>
    </w:p>
    <w:p w14:paraId="00000029" w14:textId="57AC15CC" w:rsidR="002E78B5" w:rsidRDefault="003F478A">
      <w:pPr>
        <w:pBdr>
          <w:top w:val="nil"/>
          <w:left w:val="nil"/>
          <w:bottom w:val="nil"/>
          <w:right w:val="nil"/>
          <w:between w:val="nil"/>
        </w:pBdr>
        <w:spacing w:line="360" w:lineRule="auto"/>
        <w:jc w:val="both"/>
      </w:pPr>
      <w:r>
        <w:tab/>
      </w:r>
      <w:r>
        <w:t>La invitación a participar en el estudio a los estudiantes se realizó por medio de los profesores, tutores u orientadores que impartieron clase durante el semestre 2021-1. Se consideró para la inclusión de los estudiantes de preparatoria los siguientes cri</w:t>
      </w:r>
      <w:r>
        <w:t>terios: que se encontrara cursando el 6to semestre de preparatoria, y que estuvieran inscritos en instituciones públicas o privadas del estado durante el semestre 2021-1. Para la inclusión en el estudio de estudiantes universitarios se consideró: que los e</w:t>
      </w:r>
      <w:r>
        <w:t xml:space="preserve">studiantes se encontraran cursando el segundo semestre o primeros cuatrimestres de la carrera, que se encontrarán inscritos en alguna universidad pública o privada del estado durante el semestre 2021-1, </w:t>
      </w:r>
      <w:r w:rsidR="009F53BF">
        <w:t>y,</w:t>
      </w:r>
      <w:r>
        <w:t xml:space="preserve"> por último, que los estudiantes hubiesen ingresado </w:t>
      </w:r>
      <w:r>
        <w:t xml:space="preserve">a la universidad durante el semestre 2020-2. </w:t>
      </w:r>
    </w:p>
    <w:p w14:paraId="0000002A" w14:textId="77777777" w:rsidR="002E78B5" w:rsidRDefault="003F478A">
      <w:pPr>
        <w:pBdr>
          <w:top w:val="nil"/>
          <w:left w:val="nil"/>
          <w:bottom w:val="nil"/>
          <w:right w:val="nil"/>
          <w:between w:val="nil"/>
        </w:pBdr>
        <w:spacing w:line="360" w:lineRule="auto"/>
        <w:jc w:val="both"/>
      </w:pPr>
      <w:r>
        <w:tab/>
        <w:t>Los criterios anteriores, permitieron garantizar que, para el caso de estudiantes de preparatoria, estos estuvieran realizando su proceso de admisión a la universidad durante el periodo de pandemia por COVID-1</w:t>
      </w:r>
      <w:r>
        <w:t xml:space="preserve">9 (Enero a Julio del 2021), mientras </w:t>
      </w:r>
      <w:proofErr w:type="gramStart"/>
      <w:r>
        <w:t>que</w:t>
      </w:r>
      <w:proofErr w:type="gramEnd"/>
      <w:r>
        <w:t xml:space="preserve"> en el caso de estudiantes universitarios, se consideró a aquellos que eligieron e ingresaron a una carrera universitaria durante el mismo periodo pero del año 2020. Como criterios de exclusión se consideraron los si</w:t>
      </w:r>
      <w:r>
        <w:t xml:space="preserve">guientes: aquellos estudiantes que estuvieran cursando un semestre distinto al último de bachillerato y los primeros en universidad, </w:t>
      </w:r>
      <w:proofErr w:type="gramStart"/>
      <w:r>
        <w:t>y</w:t>
      </w:r>
      <w:proofErr w:type="gramEnd"/>
      <w:r>
        <w:t xml:space="preserve"> por ende, aquellos que no pasaron por proceso de elección de durante la pandemia COVID-19 (de marzo de 2020 a abril de 20</w:t>
      </w:r>
      <w:r>
        <w:t>21).</w:t>
      </w:r>
    </w:p>
    <w:p w14:paraId="0000002B" w14:textId="77777777" w:rsidR="002E78B5" w:rsidRDefault="003F478A">
      <w:pPr>
        <w:pBdr>
          <w:top w:val="nil"/>
          <w:left w:val="nil"/>
          <w:bottom w:val="nil"/>
          <w:right w:val="nil"/>
          <w:between w:val="nil"/>
        </w:pBdr>
        <w:rPr>
          <w:i/>
        </w:rPr>
      </w:pPr>
      <w:r>
        <w:rPr>
          <w:b/>
          <w:i/>
        </w:rPr>
        <w:t>Materiales</w:t>
      </w:r>
    </w:p>
    <w:p w14:paraId="0000002C" w14:textId="77777777" w:rsidR="002E78B5" w:rsidRDefault="003F478A">
      <w:pPr>
        <w:pBdr>
          <w:top w:val="nil"/>
          <w:left w:val="nil"/>
          <w:bottom w:val="nil"/>
          <w:right w:val="nil"/>
          <w:between w:val="nil"/>
        </w:pBdr>
        <w:spacing w:line="360" w:lineRule="auto"/>
        <w:jc w:val="both"/>
      </w:pPr>
      <w:r>
        <w:lastRenderedPageBreak/>
        <w:tab/>
        <w:t>Se utilizó una ficha de datos generales, con la cual se recabó información sobre datos sociodemográficos y académicos del estudiante, incluyendo su situación académica actual, promedio del último semestre cursado, serie o especialidad, est</w:t>
      </w:r>
      <w:r>
        <w:t xml:space="preserve">atus como estudiante (regular o irregular), preparatoria de egreso, opciones de universidad y de carrera. Para esta sección, las preguntas fueron ajustadas en función del nivel educativo de los estudiantes. </w:t>
      </w:r>
    </w:p>
    <w:p w14:paraId="0000002D" w14:textId="77777777" w:rsidR="002E78B5" w:rsidRDefault="003F478A">
      <w:pPr>
        <w:pBdr>
          <w:top w:val="nil"/>
          <w:left w:val="nil"/>
          <w:bottom w:val="nil"/>
          <w:right w:val="nil"/>
          <w:between w:val="nil"/>
        </w:pBdr>
        <w:spacing w:line="360" w:lineRule="auto"/>
        <w:jc w:val="both"/>
      </w:pPr>
      <w:r>
        <w:tab/>
        <w:t>Se aplicó el Inventario de Factores que Influye</w:t>
      </w:r>
      <w:r>
        <w:t xml:space="preserve">n en la Elección de Carrera (IFIEC), con el objetivo de evaluar los principales factores que influyen en la elección. Fue propuesto inicialmente con un total de 53 reactivos agrupados en nueve dimensiones, mismas que están alineadas desde la perspectiva </w:t>
      </w:r>
      <w:proofErr w:type="spellStart"/>
      <w:r>
        <w:t>in</w:t>
      </w:r>
      <w:r>
        <w:t>terconductual</w:t>
      </w:r>
      <w:proofErr w:type="spellEnd"/>
      <w:r>
        <w:t xml:space="preserve"> al análisis contingencial (Rodríguez, 2006; López y </w:t>
      </w:r>
      <w:proofErr w:type="spellStart"/>
      <w:r>
        <w:t>Norzagaray</w:t>
      </w:r>
      <w:proofErr w:type="spellEnd"/>
      <w:r>
        <w:t xml:space="preserve">, 2016), evaluando los factores disposicionales desde </w:t>
      </w:r>
      <w:proofErr w:type="spellStart"/>
      <w:r>
        <w:t>microcontingencia</w:t>
      </w:r>
      <w:proofErr w:type="spellEnd"/>
      <w:r>
        <w:t xml:space="preserve"> y el rubro de personas significativas. El inventario cuenta con una escala Likert del 1 al 5 indicando el ni</w:t>
      </w:r>
      <w:r>
        <w:t>vel de importancia que asigna el estudiante a cada reactivo referente a su elección. Para su validación, se realizó un Análisis Factorial Exploratorio, donde se obtuvieron 25 reactivos agrupados en 6 factores obteniendo consistencia interna de 0.88 según a</w:t>
      </w:r>
      <w:r>
        <w:t xml:space="preserve">lfa de </w:t>
      </w:r>
      <w:proofErr w:type="spellStart"/>
      <w:r>
        <w:t>Cronbach</w:t>
      </w:r>
      <w:proofErr w:type="spellEnd"/>
      <w:r>
        <w:t>, los cuales guardan congruencia con la propuesta original de sus dimensiones.</w:t>
      </w:r>
    </w:p>
    <w:p w14:paraId="0000002E" w14:textId="77777777" w:rsidR="002E78B5" w:rsidRDefault="003F478A">
      <w:pPr>
        <w:pBdr>
          <w:top w:val="nil"/>
          <w:left w:val="nil"/>
          <w:bottom w:val="nil"/>
          <w:right w:val="nil"/>
          <w:between w:val="nil"/>
        </w:pBdr>
        <w:spacing w:line="360" w:lineRule="auto"/>
        <w:jc w:val="both"/>
        <w:rPr>
          <w:b/>
        </w:rPr>
      </w:pPr>
      <w:r>
        <w:tab/>
        <w:t xml:space="preserve">Para la evaluación de la ansiedad en los estudiantes se utilizó el Inventario de Ansiedad de Beck (Beck, Epstein, Brown y </w:t>
      </w:r>
      <w:proofErr w:type="spellStart"/>
      <w:r>
        <w:t>Steer</w:t>
      </w:r>
      <w:proofErr w:type="spellEnd"/>
      <w:r>
        <w:t>, 1988) que se compone por 21 ítem</w:t>
      </w:r>
      <w:r>
        <w:t>s los cuales describen la sintomatología física de acuerdo con los criterios del DSM-IV para el diagnóstico de ansiedad. Los ítems tienen opción de respuesta del 0 al 3, donde 0 es en absoluto y 3 es severamente, casi no podía soportarlo. La prueba se vali</w:t>
      </w:r>
      <w:r>
        <w:t>dó en pacientes con trastorno de pánico y obtuvo alta consistencia interna (α = .92); esta prueba ha demostrado ser de los instrumentos más utilizados para valorar ansiedad (González, 2007). El instrumento ha sido validado en estudiantes universitarios mex</w:t>
      </w:r>
      <w:r>
        <w:t xml:space="preserve">icanos, obteniendo alfa de </w:t>
      </w:r>
      <w:proofErr w:type="spellStart"/>
      <w:r>
        <w:t>Cronbach</w:t>
      </w:r>
      <w:proofErr w:type="spellEnd"/>
      <w:r>
        <w:t xml:space="preserve"> de .84 (Robles, Varela, Jurado y Páez, 2001), y consistencia interna de .89 en pacientes asmáticos (Díaz-Barriga y González-Celis, 2019).</w:t>
      </w:r>
    </w:p>
    <w:p w14:paraId="0000002F" w14:textId="77777777" w:rsidR="002E78B5" w:rsidRDefault="003F478A">
      <w:pPr>
        <w:pBdr>
          <w:top w:val="nil"/>
          <w:left w:val="nil"/>
          <w:bottom w:val="nil"/>
          <w:right w:val="nil"/>
          <w:between w:val="nil"/>
        </w:pBdr>
        <w:rPr>
          <w:b/>
          <w:i/>
        </w:rPr>
      </w:pPr>
      <w:r>
        <w:rPr>
          <w:b/>
          <w:i/>
        </w:rPr>
        <w:t>Procedimiento y análisis de los datos</w:t>
      </w:r>
    </w:p>
    <w:p w14:paraId="00000030" w14:textId="77777777" w:rsidR="002E78B5" w:rsidRDefault="003F478A">
      <w:pPr>
        <w:spacing w:line="360" w:lineRule="auto"/>
        <w:jc w:val="both"/>
        <w:rPr>
          <w:b/>
        </w:rPr>
      </w:pPr>
      <w:r>
        <w:tab/>
        <w:t xml:space="preserve">El proceso de aplicación de las pruebas se </w:t>
      </w:r>
      <w:r>
        <w:t xml:space="preserve">realizó en modalidad </w:t>
      </w:r>
      <w:proofErr w:type="spellStart"/>
      <w:r>
        <w:t>on</w:t>
      </w:r>
      <w:proofErr w:type="spellEnd"/>
      <w:r>
        <w:t xml:space="preserve"> line por medio de la plataforma Google </w:t>
      </w:r>
      <w:proofErr w:type="spellStart"/>
      <w:r>
        <w:t>Forms</w:t>
      </w:r>
      <w:proofErr w:type="spellEnd"/>
      <w:r>
        <w:t>. Los estudiantes tuvieron acceso al enlace de la encuesta por medio de los tutores u orientadores quienes se los hicieron llegar por medio de correo electrónico o plataformas instituciona</w:t>
      </w:r>
      <w:r>
        <w:t xml:space="preserve">les. El formato contenía un total de 7 secciones asignadas para cada uno de los instrumentos de evaluación. Sin embargo, para fines estadísticos y de análisis de este artículo </w:t>
      </w:r>
      <w:r>
        <w:lastRenderedPageBreak/>
        <w:t>se presentan únicamente los resultados descriptivos de la Ficha de Datos General</w:t>
      </w:r>
      <w:r>
        <w:t xml:space="preserve">es, IFIEC e Inventario de Ansiedad de Beck. </w:t>
      </w:r>
    </w:p>
    <w:p w14:paraId="00000031" w14:textId="77777777" w:rsidR="002E78B5" w:rsidRDefault="003F478A">
      <w:pPr>
        <w:pBdr>
          <w:top w:val="nil"/>
          <w:left w:val="nil"/>
          <w:bottom w:val="nil"/>
          <w:right w:val="nil"/>
          <w:between w:val="nil"/>
        </w:pBdr>
        <w:spacing w:line="360" w:lineRule="auto"/>
        <w:jc w:val="both"/>
      </w:pPr>
      <w:r>
        <w:tab/>
        <w:t xml:space="preserve">Para la fase de análisis de los datos, se utilizó el paquete estadístico SPSS versión 25. Se obtuvieron estadísticos descriptivos y análisis de confiabilidad por medio de la prueba Alfa de </w:t>
      </w:r>
      <w:proofErr w:type="spellStart"/>
      <w:r>
        <w:t>Cronbach</w:t>
      </w:r>
      <w:proofErr w:type="spellEnd"/>
      <w:r>
        <w:t>. Se realizar</w:t>
      </w:r>
      <w:r>
        <w:t xml:space="preserve">on análisis para determinar el comportamiento de los datos (sesgo y </w:t>
      </w:r>
      <w:proofErr w:type="spellStart"/>
      <w:r>
        <w:t>curtosis</w:t>
      </w:r>
      <w:proofErr w:type="spellEnd"/>
      <w:r>
        <w:t xml:space="preserve">) y se determinó la utilización de pruebas paramétricas para el análisis de correlación de </w:t>
      </w:r>
      <w:proofErr w:type="gramStart"/>
      <w:r>
        <w:t>los mismos</w:t>
      </w:r>
      <w:proofErr w:type="gramEnd"/>
      <w:r>
        <w:t xml:space="preserve"> (R de Pearson), esto considerando el comportamiento de datos y el tamaño de la</w:t>
      </w:r>
      <w:r>
        <w:t xml:space="preserve"> muestra.</w:t>
      </w:r>
      <w:r>
        <w:rPr>
          <w:highlight w:val="white"/>
        </w:rPr>
        <w:t xml:space="preserve"> La variable ansiedad fue recodificada, tomando como referencia los criterios de Díaz-Barriga y González-Celis (2019) que sugieren los puntos de corte de 0 a 4 categorizada como ansiedad mínima, de 5 a 14 como ansiedad leve, de 15 a 27 ansiedad mo</w:t>
      </w:r>
      <w:r>
        <w:rPr>
          <w:highlight w:val="white"/>
        </w:rPr>
        <w:t>derada y de 28 a 60 puntos ansiedad severa. S</w:t>
      </w:r>
      <w:r>
        <w:t>e realizó además un análisis de diferencias entre las variables de género y nivel de ansiedad por medio de la prueba U de Mann Whitney, así como ANOVA de una sola vía para comparar las áreas de carrera universit</w:t>
      </w:r>
      <w:r>
        <w:t xml:space="preserve">aria con los factores estudiados y descritos previamente. </w:t>
      </w:r>
    </w:p>
    <w:p w14:paraId="00000032" w14:textId="77777777" w:rsidR="002E78B5" w:rsidRDefault="003F478A">
      <w:pPr>
        <w:pBdr>
          <w:top w:val="nil"/>
          <w:left w:val="nil"/>
          <w:bottom w:val="nil"/>
          <w:right w:val="nil"/>
          <w:between w:val="nil"/>
        </w:pBdr>
        <w:jc w:val="both"/>
        <w:rPr>
          <w:b/>
          <w:i/>
        </w:rPr>
      </w:pPr>
      <w:r>
        <w:rPr>
          <w:b/>
          <w:i/>
        </w:rPr>
        <w:t>Consideraciones éticas</w:t>
      </w:r>
    </w:p>
    <w:p w14:paraId="00000033" w14:textId="77777777" w:rsidR="002E78B5" w:rsidRDefault="003F478A">
      <w:pPr>
        <w:pBdr>
          <w:top w:val="nil"/>
          <w:left w:val="nil"/>
          <w:bottom w:val="nil"/>
          <w:right w:val="nil"/>
          <w:between w:val="nil"/>
        </w:pBdr>
        <w:spacing w:line="360" w:lineRule="auto"/>
        <w:jc w:val="both"/>
      </w:pPr>
      <w:r>
        <w:tab/>
      </w:r>
      <w:r>
        <w:t xml:space="preserve">La selección de los participantes, el proceso de aplicación de las pruebas y el análisis de la información en la presente investigación considera las directrices de </w:t>
      </w:r>
      <w:r>
        <w:rPr>
          <w:i/>
        </w:rPr>
        <w:t xml:space="preserve">American </w:t>
      </w:r>
      <w:proofErr w:type="spellStart"/>
      <w:r>
        <w:rPr>
          <w:i/>
        </w:rPr>
        <w:t>Educational</w:t>
      </w:r>
      <w:proofErr w:type="spellEnd"/>
      <w:r>
        <w:rPr>
          <w:i/>
        </w:rPr>
        <w:t xml:space="preserve"> </w:t>
      </w:r>
      <w:proofErr w:type="spellStart"/>
      <w:r>
        <w:rPr>
          <w:i/>
        </w:rPr>
        <w:t>Research</w:t>
      </w:r>
      <w:proofErr w:type="spellEnd"/>
      <w:r>
        <w:rPr>
          <w:i/>
        </w:rPr>
        <w:t xml:space="preserve"> </w:t>
      </w:r>
      <w:proofErr w:type="spellStart"/>
      <w:r>
        <w:rPr>
          <w:i/>
        </w:rPr>
        <w:t>Association</w:t>
      </w:r>
      <w:proofErr w:type="spellEnd"/>
      <w:r>
        <w:rPr>
          <w:i/>
        </w:rPr>
        <w:t xml:space="preserve"> </w:t>
      </w:r>
      <w:r>
        <w:t xml:space="preserve">(AERA, 2011) y la </w:t>
      </w:r>
      <w:r>
        <w:rPr>
          <w:i/>
        </w:rPr>
        <w:t xml:space="preserve">American </w:t>
      </w:r>
      <w:proofErr w:type="spellStart"/>
      <w:r>
        <w:rPr>
          <w:i/>
        </w:rPr>
        <w:t>Psychological</w:t>
      </w:r>
      <w:proofErr w:type="spellEnd"/>
      <w:r>
        <w:rPr>
          <w:i/>
        </w:rPr>
        <w:t xml:space="preserve"> </w:t>
      </w:r>
      <w:proofErr w:type="spellStart"/>
      <w:r>
        <w:rPr>
          <w:i/>
        </w:rPr>
        <w:t>Associat</w:t>
      </w:r>
      <w:r>
        <w:rPr>
          <w:i/>
        </w:rPr>
        <w:t>ion</w:t>
      </w:r>
      <w:proofErr w:type="spellEnd"/>
      <w:r>
        <w:t xml:space="preserve"> (APA, 2010).</w:t>
      </w:r>
    </w:p>
    <w:p w14:paraId="00000034" w14:textId="77777777" w:rsidR="002E78B5" w:rsidRDefault="003F478A">
      <w:pPr>
        <w:pBdr>
          <w:top w:val="nil"/>
          <w:left w:val="nil"/>
          <w:bottom w:val="nil"/>
          <w:right w:val="nil"/>
          <w:between w:val="nil"/>
        </w:pBdr>
        <w:spacing w:line="360" w:lineRule="auto"/>
        <w:jc w:val="both"/>
      </w:pPr>
      <w:r>
        <w:tab/>
        <w:t xml:space="preserve">Las pruebas aplicadas por medio de Google </w:t>
      </w:r>
      <w:proofErr w:type="spellStart"/>
      <w:r>
        <w:t>Forms</w:t>
      </w:r>
      <w:proofErr w:type="spellEnd"/>
      <w:r>
        <w:t xml:space="preserve"> incluyeron un apartado de consentimiento informado en donde se explicaba a los participantes los datos de identificación de los investigadores, el objetivo de la investigación, la confidenci</w:t>
      </w:r>
      <w:r>
        <w:t>alidad y manejo de los datos, los riesgos y los beneficios para los participantes, además de la opción de no participar en el estudio en caso de así decidirlo. La información y el enlace para el ingreso a la plataforma con las pruebas fue distribuido a los</w:t>
      </w:r>
      <w:r>
        <w:t xml:space="preserve"> estudiantes por medio de profesores, tutores, orientadores vocacionales y/o directivos de las instituciones de educación media superior y superior, las cuales fueron elegidas por un muestreo por conveniencia. Se solicitó el apoyo y participación a los est</w:t>
      </w:r>
      <w:r>
        <w:t xml:space="preserve">udiantes para resolver el instrumento, sin un incentivo de por medio. </w:t>
      </w:r>
    </w:p>
    <w:p w14:paraId="00000035" w14:textId="77777777" w:rsidR="002E78B5" w:rsidRDefault="003F478A">
      <w:pPr>
        <w:pBdr>
          <w:top w:val="nil"/>
          <w:left w:val="nil"/>
          <w:bottom w:val="nil"/>
          <w:right w:val="nil"/>
          <w:between w:val="nil"/>
        </w:pBdr>
        <w:jc w:val="center"/>
        <w:rPr>
          <w:b/>
        </w:rPr>
      </w:pPr>
      <w:r>
        <w:rPr>
          <w:b/>
        </w:rPr>
        <w:t>Resultados</w:t>
      </w:r>
    </w:p>
    <w:p w14:paraId="00000036" w14:textId="77777777" w:rsidR="002E78B5" w:rsidRDefault="003F478A">
      <w:pPr>
        <w:pBdr>
          <w:top w:val="nil"/>
          <w:left w:val="nil"/>
          <w:bottom w:val="nil"/>
          <w:right w:val="nil"/>
          <w:between w:val="nil"/>
        </w:pBdr>
        <w:spacing w:line="360" w:lineRule="auto"/>
        <w:jc w:val="both"/>
      </w:pPr>
      <w:r>
        <w:tab/>
        <w:t xml:space="preserve">El análisis de confiabilidad obtenido por medio de Alfa de </w:t>
      </w:r>
      <w:proofErr w:type="spellStart"/>
      <w:r>
        <w:t>Cronbach</w:t>
      </w:r>
      <w:proofErr w:type="spellEnd"/>
      <w:r>
        <w:t xml:space="preserve"> en cada una de las escalas y </w:t>
      </w:r>
      <w:proofErr w:type="spellStart"/>
      <w:r>
        <w:t>subescalas</w:t>
      </w:r>
      <w:proofErr w:type="spellEnd"/>
      <w:r>
        <w:t xml:space="preserve"> utilizadas indican altos niveles de consistencia interna para el </w:t>
      </w:r>
      <w:r>
        <w:t xml:space="preserve">Inventario de Ansiedad de Beck (α= .94) </w:t>
      </w:r>
      <w:proofErr w:type="gramStart"/>
      <w:r>
        <w:t>y  el</w:t>
      </w:r>
      <w:proofErr w:type="gramEnd"/>
      <w:r>
        <w:t xml:space="preserve"> IFIEC (α=.93).</w:t>
      </w:r>
    </w:p>
    <w:p w14:paraId="00000037" w14:textId="77777777" w:rsidR="002E78B5" w:rsidRDefault="003F478A">
      <w:pPr>
        <w:pBdr>
          <w:top w:val="nil"/>
          <w:left w:val="nil"/>
          <w:bottom w:val="nil"/>
          <w:right w:val="nil"/>
          <w:between w:val="nil"/>
        </w:pBdr>
        <w:spacing w:line="360" w:lineRule="auto"/>
        <w:jc w:val="both"/>
      </w:pPr>
      <w:r>
        <w:tab/>
        <w:t xml:space="preserve">A continuación, se presentan el análisis descriptivo de las escalas y </w:t>
      </w:r>
      <w:proofErr w:type="spellStart"/>
      <w:r>
        <w:t>subescalas</w:t>
      </w:r>
      <w:proofErr w:type="spellEnd"/>
      <w:r>
        <w:t xml:space="preserve"> del IFIEC y el Inventario de Ansiedad de Beck (Tabla 2), donde se observa que las medias más altas se </w:t>
      </w:r>
      <w:r>
        <w:lastRenderedPageBreak/>
        <w:t>identifican</w:t>
      </w:r>
      <w:r>
        <w:t xml:space="preserve"> en los factores de la elección de carrera en las </w:t>
      </w:r>
      <w:proofErr w:type="spellStart"/>
      <w:r>
        <w:t>subescalas</w:t>
      </w:r>
      <w:proofErr w:type="spellEnd"/>
      <w:r>
        <w:t xml:space="preserve"> de Inclinaciones (</w:t>
      </w:r>
      <w:r>
        <w:rPr>
          <w:color w:val="111111"/>
          <w:sz w:val="27"/>
          <w:szCs w:val="27"/>
          <w:highlight w:val="white"/>
        </w:rPr>
        <w:t>x̄</w:t>
      </w:r>
      <w:r>
        <w:t>= 3.46), Objetos y acontecimientos físicos (</w:t>
      </w:r>
      <w:r>
        <w:rPr>
          <w:color w:val="111111"/>
          <w:sz w:val="27"/>
          <w:szCs w:val="27"/>
          <w:highlight w:val="white"/>
        </w:rPr>
        <w:t>x̄</w:t>
      </w:r>
      <w:r>
        <w:t>= 3.3) y Prestigio social (</w:t>
      </w:r>
      <w:r>
        <w:rPr>
          <w:color w:val="111111"/>
          <w:sz w:val="27"/>
          <w:szCs w:val="27"/>
          <w:highlight w:val="white"/>
        </w:rPr>
        <w:t>x̄</w:t>
      </w:r>
      <w:r>
        <w:t>= 3.26).</w:t>
      </w:r>
    </w:p>
    <w:p w14:paraId="00000038" w14:textId="77777777" w:rsidR="002E78B5" w:rsidRDefault="003F478A">
      <w:pPr>
        <w:pBdr>
          <w:top w:val="nil"/>
          <w:left w:val="nil"/>
          <w:bottom w:val="nil"/>
          <w:right w:val="nil"/>
          <w:between w:val="nil"/>
        </w:pBdr>
        <w:rPr>
          <w:i/>
        </w:rPr>
      </w:pPr>
      <w:r>
        <w:t xml:space="preserve">Tabla 2. </w:t>
      </w:r>
      <w:r>
        <w:br/>
      </w:r>
      <w:r>
        <w:rPr>
          <w:i/>
        </w:rPr>
        <w:t>Análisis descriptivo de los instrumentos utilizados</w:t>
      </w:r>
    </w:p>
    <w:tbl>
      <w:tblPr>
        <w:tblStyle w:val="a"/>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
        <w:gridCol w:w="1657"/>
        <w:gridCol w:w="105"/>
        <w:gridCol w:w="1003"/>
        <w:gridCol w:w="206"/>
        <w:gridCol w:w="1108"/>
        <w:gridCol w:w="1086"/>
        <w:gridCol w:w="116"/>
        <w:gridCol w:w="1267"/>
        <w:gridCol w:w="80"/>
        <w:gridCol w:w="1061"/>
        <w:gridCol w:w="1385"/>
        <w:gridCol w:w="17"/>
      </w:tblGrid>
      <w:tr w:rsidR="002E78B5" w14:paraId="01FBDDBE" w14:textId="77777777">
        <w:tc>
          <w:tcPr>
            <w:tcW w:w="2031" w:type="dxa"/>
            <w:gridSpan w:val="3"/>
            <w:tcBorders>
              <w:left w:val="nil"/>
              <w:bottom w:val="single" w:sz="4" w:space="0" w:color="000000"/>
              <w:right w:val="nil"/>
            </w:tcBorders>
          </w:tcPr>
          <w:p w14:paraId="00000039" w14:textId="77777777" w:rsidR="002E78B5" w:rsidRDefault="003F478A">
            <w:pPr>
              <w:rPr>
                <w:b/>
              </w:rPr>
            </w:pPr>
            <w:r>
              <w:rPr>
                <w:b/>
              </w:rPr>
              <w:t>Instrumento</w:t>
            </w:r>
          </w:p>
        </w:tc>
        <w:tc>
          <w:tcPr>
            <w:tcW w:w="1003" w:type="dxa"/>
            <w:tcBorders>
              <w:left w:val="nil"/>
              <w:bottom w:val="single" w:sz="4" w:space="0" w:color="000000"/>
              <w:right w:val="nil"/>
            </w:tcBorders>
          </w:tcPr>
          <w:p w14:paraId="0000003C" w14:textId="77777777" w:rsidR="002E78B5" w:rsidRDefault="003F478A">
            <w:pPr>
              <w:rPr>
                <w:b/>
              </w:rPr>
            </w:pPr>
            <w:r>
              <w:rPr>
                <w:b/>
              </w:rPr>
              <w:t>Media</w:t>
            </w:r>
          </w:p>
        </w:tc>
        <w:tc>
          <w:tcPr>
            <w:tcW w:w="1314" w:type="dxa"/>
            <w:gridSpan w:val="2"/>
            <w:tcBorders>
              <w:left w:val="nil"/>
              <w:bottom w:val="single" w:sz="4" w:space="0" w:color="000000"/>
              <w:right w:val="nil"/>
            </w:tcBorders>
          </w:tcPr>
          <w:p w14:paraId="0000003D" w14:textId="77777777" w:rsidR="002E78B5" w:rsidRDefault="003F478A">
            <w:pPr>
              <w:rPr>
                <w:b/>
              </w:rPr>
            </w:pPr>
            <w:r>
              <w:rPr>
                <w:b/>
              </w:rPr>
              <w:t>Mediana</w:t>
            </w:r>
          </w:p>
        </w:tc>
        <w:tc>
          <w:tcPr>
            <w:tcW w:w="1086" w:type="dxa"/>
            <w:tcBorders>
              <w:left w:val="nil"/>
              <w:bottom w:val="single" w:sz="4" w:space="0" w:color="000000"/>
              <w:right w:val="nil"/>
            </w:tcBorders>
          </w:tcPr>
          <w:p w14:paraId="0000003F" w14:textId="77777777" w:rsidR="002E78B5" w:rsidRDefault="003F478A">
            <w:pPr>
              <w:rPr>
                <w:b/>
              </w:rPr>
            </w:pPr>
            <w:proofErr w:type="spellStart"/>
            <w:r>
              <w:rPr>
                <w:b/>
              </w:rPr>
              <w:t>Desv</w:t>
            </w:r>
            <w:proofErr w:type="spellEnd"/>
            <w:r>
              <w:rPr>
                <w:b/>
              </w:rPr>
              <w:t>.</w:t>
            </w:r>
          </w:p>
        </w:tc>
        <w:tc>
          <w:tcPr>
            <w:tcW w:w="1463" w:type="dxa"/>
            <w:gridSpan w:val="3"/>
            <w:tcBorders>
              <w:left w:val="nil"/>
              <w:bottom w:val="single" w:sz="4" w:space="0" w:color="000000"/>
              <w:right w:val="nil"/>
            </w:tcBorders>
          </w:tcPr>
          <w:p w14:paraId="00000040" w14:textId="77777777" w:rsidR="002E78B5" w:rsidRDefault="003F478A">
            <w:pPr>
              <w:rPr>
                <w:b/>
              </w:rPr>
            </w:pPr>
            <w:r>
              <w:rPr>
                <w:b/>
              </w:rPr>
              <w:t>Asimetría</w:t>
            </w:r>
          </w:p>
        </w:tc>
        <w:tc>
          <w:tcPr>
            <w:tcW w:w="1061" w:type="dxa"/>
            <w:tcBorders>
              <w:left w:val="nil"/>
              <w:bottom w:val="single" w:sz="4" w:space="0" w:color="000000"/>
              <w:right w:val="nil"/>
            </w:tcBorders>
          </w:tcPr>
          <w:p w14:paraId="00000043" w14:textId="77777777" w:rsidR="002E78B5" w:rsidRDefault="003F478A">
            <w:pPr>
              <w:rPr>
                <w:b/>
              </w:rPr>
            </w:pPr>
            <w:r>
              <w:rPr>
                <w:b/>
              </w:rPr>
              <w:t xml:space="preserve">Error </w:t>
            </w:r>
            <w:proofErr w:type="spellStart"/>
            <w:r>
              <w:rPr>
                <w:b/>
              </w:rPr>
              <w:t>Est</w:t>
            </w:r>
            <w:proofErr w:type="spellEnd"/>
            <w:r>
              <w:rPr>
                <w:b/>
              </w:rPr>
              <w:t>.</w:t>
            </w:r>
          </w:p>
        </w:tc>
        <w:tc>
          <w:tcPr>
            <w:tcW w:w="1402" w:type="dxa"/>
            <w:gridSpan w:val="2"/>
            <w:tcBorders>
              <w:left w:val="nil"/>
              <w:bottom w:val="single" w:sz="4" w:space="0" w:color="000000"/>
              <w:right w:val="nil"/>
            </w:tcBorders>
          </w:tcPr>
          <w:p w14:paraId="00000044" w14:textId="77777777" w:rsidR="002E78B5" w:rsidRDefault="003F478A">
            <w:pPr>
              <w:rPr>
                <w:b/>
              </w:rPr>
            </w:pPr>
            <w:proofErr w:type="spellStart"/>
            <w:r>
              <w:rPr>
                <w:b/>
              </w:rPr>
              <w:t>Curtosis</w:t>
            </w:r>
            <w:proofErr w:type="spellEnd"/>
          </w:p>
        </w:tc>
      </w:tr>
      <w:tr w:rsidR="002E78B5" w14:paraId="367665EA" w14:textId="77777777">
        <w:tc>
          <w:tcPr>
            <w:tcW w:w="2031" w:type="dxa"/>
            <w:gridSpan w:val="3"/>
            <w:tcBorders>
              <w:left w:val="nil"/>
              <w:bottom w:val="nil"/>
              <w:right w:val="nil"/>
            </w:tcBorders>
          </w:tcPr>
          <w:p w14:paraId="00000046" w14:textId="77777777" w:rsidR="002E78B5" w:rsidRDefault="003F478A">
            <w:pPr>
              <w:rPr>
                <w:b/>
              </w:rPr>
            </w:pPr>
            <w:r>
              <w:rPr>
                <w:b/>
              </w:rPr>
              <w:t>IFIEC</w:t>
            </w:r>
          </w:p>
        </w:tc>
        <w:tc>
          <w:tcPr>
            <w:tcW w:w="1003" w:type="dxa"/>
            <w:tcBorders>
              <w:left w:val="nil"/>
              <w:bottom w:val="nil"/>
              <w:right w:val="nil"/>
            </w:tcBorders>
          </w:tcPr>
          <w:p w14:paraId="00000049" w14:textId="77777777" w:rsidR="002E78B5" w:rsidRDefault="003F478A">
            <w:pPr>
              <w:jc w:val="center"/>
            </w:pPr>
            <w:r>
              <w:t>2.89</w:t>
            </w:r>
          </w:p>
        </w:tc>
        <w:tc>
          <w:tcPr>
            <w:tcW w:w="1314" w:type="dxa"/>
            <w:gridSpan w:val="2"/>
            <w:tcBorders>
              <w:left w:val="nil"/>
              <w:bottom w:val="nil"/>
              <w:right w:val="nil"/>
            </w:tcBorders>
          </w:tcPr>
          <w:p w14:paraId="0000004A" w14:textId="77777777" w:rsidR="002E78B5" w:rsidRDefault="003F478A">
            <w:pPr>
              <w:jc w:val="center"/>
            </w:pPr>
            <w:r>
              <w:t>2.84</w:t>
            </w:r>
          </w:p>
        </w:tc>
        <w:tc>
          <w:tcPr>
            <w:tcW w:w="1086" w:type="dxa"/>
            <w:tcBorders>
              <w:left w:val="nil"/>
              <w:bottom w:val="nil"/>
              <w:right w:val="nil"/>
            </w:tcBorders>
          </w:tcPr>
          <w:p w14:paraId="0000004C" w14:textId="77777777" w:rsidR="002E78B5" w:rsidRDefault="003F478A">
            <w:pPr>
              <w:jc w:val="center"/>
            </w:pPr>
            <w:r>
              <w:t>.792</w:t>
            </w:r>
          </w:p>
        </w:tc>
        <w:tc>
          <w:tcPr>
            <w:tcW w:w="1463" w:type="dxa"/>
            <w:gridSpan w:val="3"/>
            <w:tcBorders>
              <w:left w:val="nil"/>
              <w:bottom w:val="nil"/>
              <w:right w:val="nil"/>
            </w:tcBorders>
          </w:tcPr>
          <w:p w14:paraId="0000004D" w14:textId="77777777" w:rsidR="002E78B5" w:rsidRDefault="003F478A">
            <w:pPr>
              <w:jc w:val="center"/>
            </w:pPr>
            <w:r>
              <w:t>.104</w:t>
            </w:r>
          </w:p>
        </w:tc>
        <w:tc>
          <w:tcPr>
            <w:tcW w:w="1061" w:type="dxa"/>
            <w:tcBorders>
              <w:left w:val="nil"/>
              <w:bottom w:val="nil"/>
              <w:right w:val="nil"/>
            </w:tcBorders>
          </w:tcPr>
          <w:p w14:paraId="00000050" w14:textId="77777777" w:rsidR="002E78B5" w:rsidRDefault="003F478A">
            <w:pPr>
              <w:jc w:val="center"/>
            </w:pPr>
            <w:r>
              <w:t>.108</w:t>
            </w:r>
          </w:p>
        </w:tc>
        <w:tc>
          <w:tcPr>
            <w:tcW w:w="1402" w:type="dxa"/>
            <w:gridSpan w:val="2"/>
            <w:tcBorders>
              <w:left w:val="nil"/>
              <w:bottom w:val="nil"/>
              <w:right w:val="nil"/>
            </w:tcBorders>
          </w:tcPr>
          <w:p w14:paraId="00000051" w14:textId="77777777" w:rsidR="002E78B5" w:rsidRDefault="003F478A">
            <w:pPr>
              <w:jc w:val="center"/>
            </w:pPr>
            <w:r>
              <w:t>-.473</w:t>
            </w:r>
          </w:p>
        </w:tc>
      </w:tr>
      <w:tr w:rsidR="002E78B5" w14:paraId="77309C12" w14:textId="77777777">
        <w:trPr>
          <w:gridAfter w:val="1"/>
          <w:wAfter w:w="17" w:type="dxa"/>
        </w:trPr>
        <w:tc>
          <w:tcPr>
            <w:tcW w:w="269" w:type="dxa"/>
            <w:tcBorders>
              <w:top w:val="nil"/>
              <w:left w:val="nil"/>
              <w:bottom w:val="nil"/>
              <w:right w:val="nil"/>
            </w:tcBorders>
          </w:tcPr>
          <w:p w14:paraId="00000053" w14:textId="77777777" w:rsidR="002E78B5" w:rsidRDefault="002E78B5">
            <w:pPr>
              <w:widowControl w:val="0"/>
              <w:spacing w:line="276" w:lineRule="auto"/>
            </w:pPr>
          </w:p>
        </w:tc>
        <w:tc>
          <w:tcPr>
            <w:tcW w:w="1657" w:type="dxa"/>
            <w:tcBorders>
              <w:top w:val="nil"/>
              <w:left w:val="nil"/>
              <w:bottom w:val="nil"/>
              <w:right w:val="nil"/>
            </w:tcBorders>
          </w:tcPr>
          <w:p w14:paraId="00000054" w14:textId="77777777" w:rsidR="002E78B5" w:rsidRDefault="003F478A">
            <w:pPr>
              <w:rPr>
                <w:b/>
              </w:rPr>
            </w:pPr>
            <w:r>
              <w:rPr>
                <w:b/>
              </w:rPr>
              <w:t>Personas</w:t>
            </w:r>
          </w:p>
        </w:tc>
        <w:tc>
          <w:tcPr>
            <w:tcW w:w="1314" w:type="dxa"/>
            <w:gridSpan w:val="3"/>
            <w:tcBorders>
              <w:top w:val="nil"/>
              <w:left w:val="nil"/>
              <w:bottom w:val="nil"/>
              <w:right w:val="nil"/>
            </w:tcBorders>
          </w:tcPr>
          <w:p w14:paraId="00000055" w14:textId="77777777" w:rsidR="002E78B5" w:rsidRDefault="003F478A">
            <w:pPr>
              <w:jc w:val="center"/>
            </w:pPr>
            <w:r>
              <w:t>2.75</w:t>
            </w:r>
          </w:p>
        </w:tc>
        <w:tc>
          <w:tcPr>
            <w:tcW w:w="1108" w:type="dxa"/>
            <w:tcBorders>
              <w:top w:val="nil"/>
              <w:left w:val="nil"/>
              <w:bottom w:val="nil"/>
              <w:right w:val="nil"/>
            </w:tcBorders>
          </w:tcPr>
          <w:p w14:paraId="00000058" w14:textId="77777777" w:rsidR="002E78B5" w:rsidRDefault="003F478A">
            <w:r>
              <w:t>2.67</w:t>
            </w:r>
          </w:p>
        </w:tc>
        <w:tc>
          <w:tcPr>
            <w:tcW w:w="1202" w:type="dxa"/>
            <w:gridSpan w:val="2"/>
            <w:tcBorders>
              <w:top w:val="nil"/>
              <w:left w:val="nil"/>
              <w:bottom w:val="nil"/>
              <w:right w:val="nil"/>
            </w:tcBorders>
          </w:tcPr>
          <w:p w14:paraId="00000059" w14:textId="77777777" w:rsidR="002E78B5" w:rsidRDefault="003F478A">
            <w:pPr>
              <w:jc w:val="center"/>
            </w:pPr>
            <w:r>
              <w:t>1.129</w:t>
            </w:r>
          </w:p>
        </w:tc>
        <w:tc>
          <w:tcPr>
            <w:tcW w:w="1267" w:type="dxa"/>
            <w:tcBorders>
              <w:top w:val="nil"/>
              <w:left w:val="nil"/>
              <w:bottom w:val="nil"/>
              <w:right w:val="nil"/>
            </w:tcBorders>
          </w:tcPr>
          <w:p w14:paraId="0000005B" w14:textId="77777777" w:rsidR="002E78B5" w:rsidRDefault="003F478A">
            <w:pPr>
              <w:jc w:val="center"/>
            </w:pPr>
            <w:r>
              <w:t>.281</w:t>
            </w:r>
          </w:p>
        </w:tc>
        <w:tc>
          <w:tcPr>
            <w:tcW w:w="1141" w:type="dxa"/>
            <w:gridSpan w:val="2"/>
            <w:tcBorders>
              <w:top w:val="nil"/>
              <w:left w:val="nil"/>
              <w:bottom w:val="nil"/>
              <w:right w:val="nil"/>
            </w:tcBorders>
          </w:tcPr>
          <w:p w14:paraId="0000005C" w14:textId="77777777" w:rsidR="002E78B5" w:rsidRDefault="003F478A">
            <w:pPr>
              <w:jc w:val="center"/>
            </w:pPr>
            <w:r>
              <w:t>.108</w:t>
            </w:r>
          </w:p>
        </w:tc>
        <w:tc>
          <w:tcPr>
            <w:tcW w:w="1385" w:type="dxa"/>
            <w:tcBorders>
              <w:top w:val="nil"/>
              <w:left w:val="nil"/>
              <w:bottom w:val="nil"/>
              <w:right w:val="nil"/>
            </w:tcBorders>
          </w:tcPr>
          <w:p w14:paraId="0000005E" w14:textId="77777777" w:rsidR="002E78B5" w:rsidRDefault="003F478A">
            <w:pPr>
              <w:jc w:val="center"/>
            </w:pPr>
            <w:r>
              <w:t>-829</w:t>
            </w:r>
          </w:p>
        </w:tc>
      </w:tr>
      <w:tr w:rsidR="002E78B5" w14:paraId="1EE05C1F" w14:textId="77777777">
        <w:trPr>
          <w:gridAfter w:val="1"/>
          <w:wAfter w:w="17" w:type="dxa"/>
        </w:trPr>
        <w:tc>
          <w:tcPr>
            <w:tcW w:w="269" w:type="dxa"/>
            <w:tcBorders>
              <w:top w:val="nil"/>
              <w:left w:val="nil"/>
              <w:bottom w:val="nil"/>
              <w:right w:val="nil"/>
            </w:tcBorders>
          </w:tcPr>
          <w:p w14:paraId="0000005F" w14:textId="77777777" w:rsidR="002E78B5" w:rsidRDefault="002E78B5">
            <w:pPr>
              <w:widowControl w:val="0"/>
              <w:spacing w:line="276" w:lineRule="auto"/>
            </w:pPr>
          </w:p>
        </w:tc>
        <w:tc>
          <w:tcPr>
            <w:tcW w:w="1657" w:type="dxa"/>
            <w:tcBorders>
              <w:top w:val="nil"/>
              <w:left w:val="nil"/>
              <w:bottom w:val="nil"/>
              <w:right w:val="nil"/>
            </w:tcBorders>
          </w:tcPr>
          <w:p w14:paraId="00000060" w14:textId="77777777" w:rsidR="002E78B5" w:rsidRDefault="003F478A">
            <w:pPr>
              <w:rPr>
                <w:b/>
              </w:rPr>
            </w:pPr>
            <w:r>
              <w:rPr>
                <w:b/>
              </w:rPr>
              <w:t>Objetos</w:t>
            </w:r>
          </w:p>
        </w:tc>
        <w:tc>
          <w:tcPr>
            <w:tcW w:w="1314" w:type="dxa"/>
            <w:gridSpan w:val="3"/>
            <w:tcBorders>
              <w:top w:val="nil"/>
              <w:left w:val="nil"/>
              <w:bottom w:val="nil"/>
              <w:right w:val="nil"/>
            </w:tcBorders>
          </w:tcPr>
          <w:p w14:paraId="00000061" w14:textId="77777777" w:rsidR="002E78B5" w:rsidRDefault="003F478A">
            <w:pPr>
              <w:jc w:val="center"/>
            </w:pPr>
            <w:r>
              <w:t>3.30</w:t>
            </w:r>
          </w:p>
        </w:tc>
        <w:tc>
          <w:tcPr>
            <w:tcW w:w="1108" w:type="dxa"/>
            <w:tcBorders>
              <w:top w:val="nil"/>
              <w:left w:val="nil"/>
              <w:bottom w:val="nil"/>
              <w:right w:val="nil"/>
            </w:tcBorders>
          </w:tcPr>
          <w:p w14:paraId="00000064" w14:textId="77777777" w:rsidR="002E78B5" w:rsidRDefault="003F478A">
            <w:r>
              <w:t>3.40</w:t>
            </w:r>
          </w:p>
        </w:tc>
        <w:tc>
          <w:tcPr>
            <w:tcW w:w="1202" w:type="dxa"/>
            <w:gridSpan w:val="2"/>
            <w:tcBorders>
              <w:top w:val="nil"/>
              <w:left w:val="nil"/>
              <w:bottom w:val="nil"/>
              <w:right w:val="nil"/>
            </w:tcBorders>
          </w:tcPr>
          <w:p w14:paraId="00000065" w14:textId="77777777" w:rsidR="002E78B5" w:rsidRDefault="003F478A">
            <w:pPr>
              <w:jc w:val="center"/>
            </w:pPr>
            <w:r>
              <w:t>1.044</w:t>
            </w:r>
          </w:p>
        </w:tc>
        <w:tc>
          <w:tcPr>
            <w:tcW w:w="1267" w:type="dxa"/>
            <w:tcBorders>
              <w:top w:val="nil"/>
              <w:left w:val="nil"/>
              <w:bottom w:val="nil"/>
              <w:right w:val="nil"/>
            </w:tcBorders>
          </w:tcPr>
          <w:p w14:paraId="00000067" w14:textId="77777777" w:rsidR="002E78B5" w:rsidRDefault="003F478A">
            <w:pPr>
              <w:jc w:val="center"/>
            </w:pPr>
            <w:r>
              <w:t>-.330</w:t>
            </w:r>
          </w:p>
        </w:tc>
        <w:tc>
          <w:tcPr>
            <w:tcW w:w="1141" w:type="dxa"/>
            <w:gridSpan w:val="2"/>
            <w:tcBorders>
              <w:top w:val="nil"/>
              <w:left w:val="nil"/>
              <w:bottom w:val="nil"/>
              <w:right w:val="nil"/>
            </w:tcBorders>
          </w:tcPr>
          <w:p w14:paraId="00000068" w14:textId="77777777" w:rsidR="002E78B5" w:rsidRDefault="003F478A">
            <w:pPr>
              <w:jc w:val="center"/>
            </w:pPr>
            <w:r>
              <w:t>.108</w:t>
            </w:r>
          </w:p>
        </w:tc>
        <w:tc>
          <w:tcPr>
            <w:tcW w:w="1385" w:type="dxa"/>
            <w:tcBorders>
              <w:top w:val="nil"/>
              <w:left w:val="nil"/>
              <w:bottom w:val="nil"/>
              <w:right w:val="nil"/>
            </w:tcBorders>
          </w:tcPr>
          <w:p w14:paraId="0000006A" w14:textId="77777777" w:rsidR="002E78B5" w:rsidRDefault="003F478A">
            <w:pPr>
              <w:jc w:val="center"/>
            </w:pPr>
            <w:r>
              <w:t>-.553</w:t>
            </w:r>
          </w:p>
        </w:tc>
      </w:tr>
      <w:tr w:rsidR="002E78B5" w14:paraId="203AD539" w14:textId="77777777">
        <w:trPr>
          <w:gridAfter w:val="1"/>
          <w:wAfter w:w="17" w:type="dxa"/>
        </w:trPr>
        <w:tc>
          <w:tcPr>
            <w:tcW w:w="269" w:type="dxa"/>
            <w:tcBorders>
              <w:top w:val="nil"/>
              <w:left w:val="nil"/>
              <w:bottom w:val="nil"/>
              <w:right w:val="nil"/>
            </w:tcBorders>
          </w:tcPr>
          <w:p w14:paraId="0000006B" w14:textId="77777777" w:rsidR="002E78B5" w:rsidRDefault="002E78B5">
            <w:pPr>
              <w:widowControl w:val="0"/>
              <w:spacing w:line="276" w:lineRule="auto"/>
            </w:pPr>
          </w:p>
        </w:tc>
        <w:tc>
          <w:tcPr>
            <w:tcW w:w="1657" w:type="dxa"/>
            <w:tcBorders>
              <w:top w:val="nil"/>
              <w:left w:val="nil"/>
              <w:bottom w:val="nil"/>
              <w:right w:val="nil"/>
            </w:tcBorders>
          </w:tcPr>
          <w:p w14:paraId="0000006C" w14:textId="77777777" w:rsidR="002E78B5" w:rsidRDefault="003F478A">
            <w:pPr>
              <w:rPr>
                <w:b/>
              </w:rPr>
            </w:pPr>
            <w:r>
              <w:rPr>
                <w:b/>
              </w:rPr>
              <w:t>Otros Significativos</w:t>
            </w:r>
          </w:p>
        </w:tc>
        <w:tc>
          <w:tcPr>
            <w:tcW w:w="1314" w:type="dxa"/>
            <w:gridSpan w:val="3"/>
            <w:tcBorders>
              <w:top w:val="nil"/>
              <w:left w:val="nil"/>
              <w:bottom w:val="nil"/>
              <w:right w:val="nil"/>
            </w:tcBorders>
          </w:tcPr>
          <w:p w14:paraId="0000006D" w14:textId="77777777" w:rsidR="002E78B5" w:rsidRDefault="003F478A">
            <w:pPr>
              <w:jc w:val="center"/>
            </w:pPr>
            <w:r>
              <w:t>2.24</w:t>
            </w:r>
          </w:p>
        </w:tc>
        <w:tc>
          <w:tcPr>
            <w:tcW w:w="1108" w:type="dxa"/>
            <w:tcBorders>
              <w:top w:val="nil"/>
              <w:left w:val="nil"/>
              <w:bottom w:val="nil"/>
              <w:right w:val="nil"/>
            </w:tcBorders>
          </w:tcPr>
          <w:p w14:paraId="00000070" w14:textId="77777777" w:rsidR="002E78B5" w:rsidRDefault="003F478A">
            <w:r>
              <w:t>2.00</w:t>
            </w:r>
          </w:p>
        </w:tc>
        <w:tc>
          <w:tcPr>
            <w:tcW w:w="1202" w:type="dxa"/>
            <w:gridSpan w:val="2"/>
            <w:tcBorders>
              <w:top w:val="nil"/>
              <w:left w:val="nil"/>
              <w:bottom w:val="nil"/>
              <w:right w:val="nil"/>
            </w:tcBorders>
          </w:tcPr>
          <w:p w14:paraId="00000071" w14:textId="77777777" w:rsidR="002E78B5" w:rsidRDefault="003F478A">
            <w:pPr>
              <w:jc w:val="center"/>
            </w:pPr>
            <w:r>
              <w:t>1.015</w:t>
            </w:r>
          </w:p>
        </w:tc>
        <w:tc>
          <w:tcPr>
            <w:tcW w:w="1267" w:type="dxa"/>
            <w:tcBorders>
              <w:top w:val="nil"/>
              <w:left w:val="nil"/>
              <w:bottom w:val="nil"/>
              <w:right w:val="nil"/>
            </w:tcBorders>
          </w:tcPr>
          <w:p w14:paraId="00000073" w14:textId="77777777" w:rsidR="002E78B5" w:rsidRDefault="003F478A">
            <w:pPr>
              <w:jc w:val="center"/>
            </w:pPr>
            <w:r>
              <w:t>.739</w:t>
            </w:r>
          </w:p>
        </w:tc>
        <w:tc>
          <w:tcPr>
            <w:tcW w:w="1141" w:type="dxa"/>
            <w:gridSpan w:val="2"/>
            <w:tcBorders>
              <w:top w:val="nil"/>
              <w:left w:val="nil"/>
              <w:bottom w:val="nil"/>
              <w:right w:val="nil"/>
            </w:tcBorders>
          </w:tcPr>
          <w:p w14:paraId="00000074" w14:textId="77777777" w:rsidR="002E78B5" w:rsidRDefault="003F478A">
            <w:pPr>
              <w:jc w:val="center"/>
            </w:pPr>
            <w:r>
              <w:t>.108</w:t>
            </w:r>
          </w:p>
        </w:tc>
        <w:tc>
          <w:tcPr>
            <w:tcW w:w="1385" w:type="dxa"/>
            <w:tcBorders>
              <w:top w:val="nil"/>
              <w:left w:val="nil"/>
              <w:bottom w:val="nil"/>
              <w:right w:val="nil"/>
            </w:tcBorders>
          </w:tcPr>
          <w:p w14:paraId="00000076" w14:textId="77777777" w:rsidR="002E78B5" w:rsidRDefault="003F478A">
            <w:pPr>
              <w:jc w:val="center"/>
            </w:pPr>
            <w:r>
              <w:t>-.168</w:t>
            </w:r>
          </w:p>
        </w:tc>
      </w:tr>
      <w:tr w:rsidR="002E78B5" w14:paraId="0C12BBE2" w14:textId="77777777">
        <w:trPr>
          <w:gridAfter w:val="1"/>
          <w:wAfter w:w="17" w:type="dxa"/>
        </w:trPr>
        <w:tc>
          <w:tcPr>
            <w:tcW w:w="269" w:type="dxa"/>
            <w:tcBorders>
              <w:top w:val="nil"/>
              <w:left w:val="nil"/>
              <w:bottom w:val="nil"/>
              <w:right w:val="nil"/>
            </w:tcBorders>
          </w:tcPr>
          <w:p w14:paraId="00000077" w14:textId="77777777" w:rsidR="002E78B5" w:rsidRDefault="002E78B5">
            <w:pPr>
              <w:widowControl w:val="0"/>
              <w:spacing w:line="276" w:lineRule="auto"/>
            </w:pPr>
          </w:p>
        </w:tc>
        <w:tc>
          <w:tcPr>
            <w:tcW w:w="1657" w:type="dxa"/>
            <w:tcBorders>
              <w:top w:val="nil"/>
              <w:left w:val="nil"/>
              <w:bottom w:val="nil"/>
              <w:right w:val="nil"/>
            </w:tcBorders>
          </w:tcPr>
          <w:p w14:paraId="00000078" w14:textId="77777777" w:rsidR="002E78B5" w:rsidRDefault="003F478A">
            <w:pPr>
              <w:rPr>
                <w:b/>
              </w:rPr>
            </w:pPr>
            <w:r>
              <w:rPr>
                <w:b/>
              </w:rPr>
              <w:t>Circunstancia social</w:t>
            </w:r>
          </w:p>
        </w:tc>
        <w:tc>
          <w:tcPr>
            <w:tcW w:w="1314" w:type="dxa"/>
            <w:gridSpan w:val="3"/>
            <w:tcBorders>
              <w:top w:val="nil"/>
              <w:left w:val="nil"/>
              <w:bottom w:val="nil"/>
              <w:right w:val="nil"/>
            </w:tcBorders>
          </w:tcPr>
          <w:p w14:paraId="00000079" w14:textId="77777777" w:rsidR="002E78B5" w:rsidRDefault="003F478A">
            <w:pPr>
              <w:jc w:val="center"/>
            </w:pPr>
            <w:r>
              <w:t>2.55</w:t>
            </w:r>
          </w:p>
        </w:tc>
        <w:tc>
          <w:tcPr>
            <w:tcW w:w="1108" w:type="dxa"/>
            <w:tcBorders>
              <w:top w:val="nil"/>
              <w:left w:val="nil"/>
              <w:bottom w:val="nil"/>
              <w:right w:val="nil"/>
            </w:tcBorders>
          </w:tcPr>
          <w:p w14:paraId="0000007C" w14:textId="77777777" w:rsidR="002E78B5" w:rsidRDefault="003F478A">
            <w:r>
              <w:t>2.50</w:t>
            </w:r>
          </w:p>
        </w:tc>
        <w:tc>
          <w:tcPr>
            <w:tcW w:w="1202" w:type="dxa"/>
            <w:gridSpan w:val="2"/>
            <w:tcBorders>
              <w:top w:val="nil"/>
              <w:left w:val="nil"/>
              <w:bottom w:val="nil"/>
              <w:right w:val="nil"/>
            </w:tcBorders>
          </w:tcPr>
          <w:p w14:paraId="0000007D" w14:textId="77777777" w:rsidR="002E78B5" w:rsidRDefault="003F478A">
            <w:pPr>
              <w:jc w:val="center"/>
            </w:pPr>
            <w:r>
              <w:t>.975</w:t>
            </w:r>
          </w:p>
        </w:tc>
        <w:tc>
          <w:tcPr>
            <w:tcW w:w="1267" w:type="dxa"/>
            <w:tcBorders>
              <w:top w:val="nil"/>
              <w:left w:val="nil"/>
              <w:bottom w:val="nil"/>
              <w:right w:val="nil"/>
            </w:tcBorders>
          </w:tcPr>
          <w:p w14:paraId="0000007F" w14:textId="77777777" w:rsidR="002E78B5" w:rsidRDefault="003F478A">
            <w:pPr>
              <w:jc w:val="center"/>
            </w:pPr>
            <w:r>
              <w:t>.274</w:t>
            </w:r>
          </w:p>
        </w:tc>
        <w:tc>
          <w:tcPr>
            <w:tcW w:w="1141" w:type="dxa"/>
            <w:gridSpan w:val="2"/>
            <w:tcBorders>
              <w:top w:val="nil"/>
              <w:left w:val="nil"/>
              <w:bottom w:val="nil"/>
              <w:right w:val="nil"/>
            </w:tcBorders>
          </w:tcPr>
          <w:p w14:paraId="00000080" w14:textId="77777777" w:rsidR="002E78B5" w:rsidRDefault="003F478A">
            <w:pPr>
              <w:jc w:val="center"/>
            </w:pPr>
            <w:r>
              <w:t>.108</w:t>
            </w:r>
          </w:p>
        </w:tc>
        <w:tc>
          <w:tcPr>
            <w:tcW w:w="1385" w:type="dxa"/>
            <w:tcBorders>
              <w:top w:val="nil"/>
              <w:left w:val="nil"/>
              <w:bottom w:val="nil"/>
              <w:right w:val="nil"/>
            </w:tcBorders>
          </w:tcPr>
          <w:p w14:paraId="00000082" w14:textId="77777777" w:rsidR="002E78B5" w:rsidRDefault="003F478A">
            <w:pPr>
              <w:jc w:val="center"/>
            </w:pPr>
            <w:r>
              <w:t>-.615</w:t>
            </w:r>
          </w:p>
        </w:tc>
      </w:tr>
      <w:tr w:rsidR="002E78B5" w14:paraId="45BE8E37" w14:textId="77777777">
        <w:trPr>
          <w:gridAfter w:val="1"/>
          <w:wAfter w:w="17" w:type="dxa"/>
        </w:trPr>
        <w:tc>
          <w:tcPr>
            <w:tcW w:w="269" w:type="dxa"/>
            <w:tcBorders>
              <w:top w:val="nil"/>
              <w:left w:val="nil"/>
              <w:bottom w:val="nil"/>
              <w:right w:val="nil"/>
            </w:tcBorders>
          </w:tcPr>
          <w:p w14:paraId="00000083" w14:textId="77777777" w:rsidR="002E78B5" w:rsidRDefault="002E78B5">
            <w:pPr>
              <w:widowControl w:val="0"/>
              <w:spacing w:line="276" w:lineRule="auto"/>
            </w:pPr>
          </w:p>
        </w:tc>
        <w:tc>
          <w:tcPr>
            <w:tcW w:w="1657" w:type="dxa"/>
            <w:tcBorders>
              <w:top w:val="nil"/>
              <w:left w:val="nil"/>
              <w:bottom w:val="nil"/>
              <w:right w:val="nil"/>
            </w:tcBorders>
          </w:tcPr>
          <w:p w14:paraId="00000084" w14:textId="77777777" w:rsidR="002E78B5" w:rsidRDefault="003F478A">
            <w:pPr>
              <w:rPr>
                <w:b/>
              </w:rPr>
            </w:pPr>
            <w:r>
              <w:rPr>
                <w:b/>
              </w:rPr>
              <w:t>Inclinaciones</w:t>
            </w:r>
          </w:p>
        </w:tc>
        <w:tc>
          <w:tcPr>
            <w:tcW w:w="1314" w:type="dxa"/>
            <w:gridSpan w:val="3"/>
            <w:tcBorders>
              <w:top w:val="nil"/>
              <w:left w:val="nil"/>
              <w:bottom w:val="nil"/>
              <w:right w:val="nil"/>
            </w:tcBorders>
          </w:tcPr>
          <w:p w14:paraId="00000085" w14:textId="77777777" w:rsidR="002E78B5" w:rsidRDefault="003F478A">
            <w:pPr>
              <w:jc w:val="center"/>
            </w:pPr>
            <w:r>
              <w:t>3.46</w:t>
            </w:r>
          </w:p>
        </w:tc>
        <w:tc>
          <w:tcPr>
            <w:tcW w:w="1108" w:type="dxa"/>
            <w:tcBorders>
              <w:top w:val="nil"/>
              <w:left w:val="nil"/>
              <w:bottom w:val="nil"/>
              <w:right w:val="nil"/>
            </w:tcBorders>
          </w:tcPr>
          <w:p w14:paraId="00000088" w14:textId="77777777" w:rsidR="002E78B5" w:rsidRDefault="003F478A">
            <w:r>
              <w:t>3.67</w:t>
            </w:r>
          </w:p>
        </w:tc>
        <w:tc>
          <w:tcPr>
            <w:tcW w:w="1202" w:type="dxa"/>
            <w:gridSpan w:val="2"/>
            <w:tcBorders>
              <w:top w:val="nil"/>
              <w:left w:val="nil"/>
              <w:bottom w:val="nil"/>
              <w:right w:val="nil"/>
            </w:tcBorders>
          </w:tcPr>
          <w:p w14:paraId="00000089" w14:textId="77777777" w:rsidR="002E78B5" w:rsidRDefault="003F478A">
            <w:pPr>
              <w:jc w:val="center"/>
            </w:pPr>
            <w:r>
              <w:t>1.055</w:t>
            </w:r>
          </w:p>
        </w:tc>
        <w:tc>
          <w:tcPr>
            <w:tcW w:w="1267" w:type="dxa"/>
            <w:tcBorders>
              <w:top w:val="nil"/>
              <w:left w:val="nil"/>
              <w:bottom w:val="nil"/>
              <w:right w:val="nil"/>
            </w:tcBorders>
          </w:tcPr>
          <w:p w14:paraId="0000008B" w14:textId="77777777" w:rsidR="002E78B5" w:rsidRDefault="003F478A">
            <w:pPr>
              <w:jc w:val="center"/>
            </w:pPr>
            <w:r>
              <w:t>-.318</w:t>
            </w:r>
          </w:p>
        </w:tc>
        <w:tc>
          <w:tcPr>
            <w:tcW w:w="1141" w:type="dxa"/>
            <w:gridSpan w:val="2"/>
            <w:tcBorders>
              <w:top w:val="nil"/>
              <w:left w:val="nil"/>
              <w:bottom w:val="nil"/>
              <w:right w:val="nil"/>
            </w:tcBorders>
          </w:tcPr>
          <w:p w14:paraId="0000008C" w14:textId="77777777" w:rsidR="002E78B5" w:rsidRDefault="003F478A">
            <w:pPr>
              <w:jc w:val="center"/>
            </w:pPr>
            <w:r>
              <w:t>.108</w:t>
            </w:r>
          </w:p>
        </w:tc>
        <w:tc>
          <w:tcPr>
            <w:tcW w:w="1385" w:type="dxa"/>
            <w:tcBorders>
              <w:top w:val="nil"/>
              <w:left w:val="nil"/>
              <w:bottom w:val="nil"/>
              <w:right w:val="nil"/>
            </w:tcBorders>
          </w:tcPr>
          <w:p w14:paraId="0000008E" w14:textId="77777777" w:rsidR="002E78B5" w:rsidRDefault="003F478A">
            <w:pPr>
              <w:jc w:val="center"/>
            </w:pPr>
            <w:r>
              <w:t>-.805</w:t>
            </w:r>
          </w:p>
        </w:tc>
      </w:tr>
      <w:tr w:rsidR="002E78B5" w14:paraId="3A62A7E7" w14:textId="77777777">
        <w:trPr>
          <w:gridAfter w:val="1"/>
          <w:wAfter w:w="17" w:type="dxa"/>
        </w:trPr>
        <w:tc>
          <w:tcPr>
            <w:tcW w:w="269" w:type="dxa"/>
            <w:tcBorders>
              <w:top w:val="nil"/>
              <w:left w:val="nil"/>
              <w:bottom w:val="nil"/>
              <w:right w:val="nil"/>
            </w:tcBorders>
          </w:tcPr>
          <w:p w14:paraId="0000008F" w14:textId="77777777" w:rsidR="002E78B5" w:rsidRDefault="002E78B5">
            <w:pPr>
              <w:widowControl w:val="0"/>
              <w:spacing w:line="276" w:lineRule="auto"/>
            </w:pPr>
          </w:p>
        </w:tc>
        <w:tc>
          <w:tcPr>
            <w:tcW w:w="1657" w:type="dxa"/>
            <w:tcBorders>
              <w:top w:val="nil"/>
              <w:left w:val="nil"/>
              <w:bottom w:val="nil"/>
              <w:right w:val="nil"/>
            </w:tcBorders>
          </w:tcPr>
          <w:p w14:paraId="00000090" w14:textId="77777777" w:rsidR="002E78B5" w:rsidRDefault="003F478A">
            <w:pPr>
              <w:rPr>
                <w:b/>
              </w:rPr>
            </w:pPr>
            <w:r>
              <w:rPr>
                <w:b/>
              </w:rPr>
              <w:t>Prestigio Social</w:t>
            </w:r>
          </w:p>
        </w:tc>
        <w:tc>
          <w:tcPr>
            <w:tcW w:w="1314" w:type="dxa"/>
            <w:gridSpan w:val="3"/>
            <w:tcBorders>
              <w:top w:val="nil"/>
              <w:left w:val="nil"/>
              <w:bottom w:val="nil"/>
              <w:right w:val="nil"/>
            </w:tcBorders>
          </w:tcPr>
          <w:p w14:paraId="00000091" w14:textId="77777777" w:rsidR="002E78B5" w:rsidRDefault="003F478A">
            <w:pPr>
              <w:jc w:val="center"/>
            </w:pPr>
            <w:r>
              <w:t>3.26</w:t>
            </w:r>
          </w:p>
        </w:tc>
        <w:tc>
          <w:tcPr>
            <w:tcW w:w="1108" w:type="dxa"/>
            <w:tcBorders>
              <w:top w:val="nil"/>
              <w:left w:val="nil"/>
              <w:bottom w:val="nil"/>
              <w:right w:val="nil"/>
            </w:tcBorders>
          </w:tcPr>
          <w:p w14:paraId="00000094" w14:textId="77777777" w:rsidR="002E78B5" w:rsidRDefault="003F478A">
            <w:r>
              <w:t>3.33</w:t>
            </w:r>
          </w:p>
        </w:tc>
        <w:tc>
          <w:tcPr>
            <w:tcW w:w="1202" w:type="dxa"/>
            <w:gridSpan w:val="2"/>
            <w:tcBorders>
              <w:top w:val="nil"/>
              <w:left w:val="nil"/>
              <w:bottom w:val="nil"/>
              <w:right w:val="nil"/>
            </w:tcBorders>
          </w:tcPr>
          <w:p w14:paraId="00000095" w14:textId="77777777" w:rsidR="002E78B5" w:rsidRDefault="003F478A">
            <w:pPr>
              <w:jc w:val="center"/>
            </w:pPr>
            <w:r>
              <w:t>1.094</w:t>
            </w:r>
          </w:p>
        </w:tc>
        <w:tc>
          <w:tcPr>
            <w:tcW w:w="1267" w:type="dxa"/>
            <w:tcBorders>
              <w:top w:val="nil"/>
              <w:left w:val="nil"/>
              <w:bottom w:val="nil"/>
              <w:right w:val="nil"/>
            </w:tcBorders>
          </w:tcPr>
          <w:p w14:paraId="00000097" w14:textId="77777777" w:rsidR="002E78B5" w:rsidRDefault="003F478A">
            <w:pPr>
              <w:jc w:val="center"/>
            </w:pPr>
            <w:r>
              <w:t>-.292</w:t>
            </w:r>
          </w:p>
        </w:tc>
        <w:tc>
          <w:tcPr>
            <w:tcW w:w="1141" w:type="dxa"/>
            <w:gridSpan w:val="2"/>
            <w:tcBorders>
              <w:top w:val="nil"/>
              <w:left w:val="nil"/>
              <w:bottom w:val="nil"/>
              <w:right w:val="nil"/>
            </w:tcBorders>
          </w:tcPr>
          <w:p w14:paraId="00000098" w14:textId="77777777" w:rsidR="002E78B5" w:rsidRDefault="003F478A">
            <w:pPr>
              <w:jc w:val="center"/>
            </w:pPr>
            <w:r>
              <w:t>.108</w:t>
            </w:r>
          </w:p>
        </w:tc>
        <w:tc>
          <w:tcPr>
            <w:tcW w:w="1385" w:type="dxa"/>
            <w:tcBorders>
              <w:top w:val="nil"/>
              <w:left w:val="nil"/>
              <w:bottom w:val="nil"/>
              <w:right w:val="nil"/>
            </w:tcBorders>
          </w:tcPr>
          <w:p w14:paraId="0000009A" w14:textId="77777777" w:rsidR="002E78B5" w:rsidRDefault="003F478A">
            <w:pPr>
              <w:jc w:val="center"/>
            </w:pPr>
            <w:r>
              <w:t>-.722</w:t>
            </w:r>
          </w:p>
        </w:tc>
      </w:tr>
      <w:tr w:rsidR="002E78B5" w14:paraId="75D00D2D" w14:textId="77777777">
        <w:tc>
          <w:tcPr>
            <w:tcW w:w="2031" w:type="dxa"/>
            <w:gridSpan w:val="3"/>
            <w:tcBorders>
              <w:top w:val="nil"/>
              <w:left w:val="nil"/>
              <w:right w:val="nil"/>
            </w:tcBorders>
          </w:tcPr>
          <w:p w14:paraId="0000009B" w14:textId="77777777" w:rsidR="002E78B5" w:rsidRDefault="003F478A">
            <w:pPr>
              <w:rPr>
                <w:b/>
              </w:rPr>
            </w:pPr>
            <w:r>
              <w:rPr>
                <w:b/>
              </w:rPr>
              <w:t>Ansiedad</w:t>
            </w:r>
          </w:p>
        </w:tc>
        <w:tc>
          <w:tcPr>
            <w:tcW w:w="1003" w:type="dxa"/>
            <w:tcBorders>
              <w:top w:val="nil"/>
              <w:left w:val="nil"/>
              <w:right w:val="nil"/>
            </w:tcBorders>
          </w:tcPr>
          <w:p w14:paraId="0000009E" w14:textId="77777777" w:rsidR="002E78B5" w:rsidRDefault="003F478A">
            <w:pPr>
              <w:jc w:val="center"/>
            </w:pPr>
            <w:r>
              <w:t>.73</w:t>
            </w:r>
          </w:p>
        </w:tc>
        <w:tc>
          <w:tcPr>
            <w:tcW w:w="1314" w:type="dxa"/>
            <w:gridSpan w:val="2"/>
            <w:tcBorders>
              <w:top w:val="nil"/>
              <w:left w:val="nil"/>
              <w:right w:val="nil"/>
            </w:tcBorders>
          </w:tcPr>
          <w:p w14:paraId="0000009F" w14:textId="77777777" w:rsidR="002E78B5" w:rsidRDefault="003F478A">
            <w:pPr>
              <w:jc w:val="center"/>
            </w:pPr>
            <w:r>
              <w:t>.52</w:t>
            </w:r>
          </w:p>
        </w:tc>
        <w:tc>
          <w:tcPr>
            <w:tcW w:w="1086" w:type="dxa"/>
            <w:tcBorders>
              <w:top w:val="nil"/>
              <w:left w:val="nil"/>
              <w:right w:val="nil"/>
            </w:tcBorders>
          </w:tcPr>
          <w:p w14:paraId="000000A1" w14:textId="77777777" w:rsidR="002E78B5" w:rsidRDefault="003F478A">
            <w:pPr>
              <w:jc w:val="center"/>
            </w:pPr>
            <w:r>
              <w:t>.666</w:t>
            </w:r>
          </w:p>
        </w:tc>
        <w:tc>
          <w:tcPr>
            <w:tcW w:w="1463" w:type="dxa"/>
            <w:gridSpan w:val="3"/>
            <w:tcBorders>
              <w:top w:val="nil"/>
              <w:left w:val="nil"/>
              <w:right w:val="nil"/>
            </w:tcBorders>
          </w:tcPr>
          <w:p w14:paraId="000000A2" w14:textId="77777777" w:rsidR="002E78B5" w:rsidRDefault="003F478A">
            <w:pPr>
              <w:jc w:val="center"/>
            </w:pPr>
            <w:r>
              <w:t>.950</w:t>
            </w:r>
          </w:p>
        </w:tc>
        <w:tc>
          <w:tcPr>
            <w:tcW w:w="1061" w:type="dxa"/>
            <w:tcBorders>
              <w:top w:val="nil"/>
              <w:left w:val="nil"/>
              <w:right w:val="nil"/>
            </w:tcBorders>
          </w:tcPr>
          <w:p w14:paraId="000000A5" w14:textId="77777777" w:rsidR="002E78B5" w:rsidRDefault="003F478A">
            <w:pPr>
              <w:jc w:val="center"/>
            </w:pPr>
            <w:r>
              <w:t>.108</w:t>
            </w:r>
          </w:p>
        </w:tc>
        <w:tc>
          <w:tcPr>
            <w:tcW w:w="1402" w:type="dxa"/>
            <w:gridSpan w:val="2"/>
            <w:tcBorders>
              <w:top w:val="nil"/>
              <w:left w:val="nil"/>
              <w:right w:val="nil"/>
            </w:tcBorders>
          </w:tcPr>
          <w:p w14:paraId="000000A6" w14:textId="77777777" w:rsidR="002E78B5" w:rsidRDefault="003F478A">
            <w:pPr>
              <w:jc w:val="center"/>
            </w:pPr>
            <w:r>
              <w:t>.107</w:t>
            </w:r>
          </w:p>
        </w:tc>
      </w:tr>
    </w:tbl>
    <w:p w14:paraId="000000A8" w14:textId="77777777" w:rsidR="002E78B5" w:rsidRDefault="003F478A">
      <w:pPr>
        <w:pBdr>
          <w:top w:val="nil"/>
          <w:left w:val="nil"/>
          <w:bottom w:val="nil"/>
          <w:right w:val="nil"/>
          <w:between w:val="nil"/>
        </w:pBdr>
        <w:jc w:val="both"/>
      </w:pPr>
      <w:r>
        <w:rPr>
          <w:i/>
        </w:rPr>
        <w:t>Nota:</w:t>
      </w:r>
      <w:r>
        <w:t xml:space="preserve"> las dimensiones de personas, objetos, otros significativos, circunstancia social, inclinaciones y prestigio social son </w:t>
      </w:r>
      <w:proofErr w:type="spellStart"/>
      <w:r>
        <w:t>subescalas</w:t>
      </w:r>
      <w:proofErr w:type="spellEnd"/>
      <w:r>
        <w:t xml:space="preserve"> de IFIEC.</w:t>
      </w:r>
    </w:p>
    <w:p w14:paraId="000000A9" w14:textId="77777777" w:rsidR="002E78B5" w:rsidRDefault="003F478A">
      <w:pPr>
        <w:pBdr>
          <w:top w:val="nil"/>
          <w:left w:val="nil"/>
          <w:bottom w:val="nil"/>
          <w:right w:val="nil"/>
          <w:between w:val="nil"/>
        </w:pBdr>
        <w:spacing w:before="200" w:line="360" w:lineRule="auto"/>
        <w:ind w:firstLine="720"/>
        <w:jc w:val="both"/>
      </w:pPr>
      <w:r>
        <w:t xml:space="preserve">En relación con los resultados obtenidos en el inventario de Ansiedad de Beck se identificó que alrededor del 57 % </w:t>
      </w:r>
      <w:r>
        <w:t xml:space="preserve">de la muestra total de estudiantes evaluados presentan niveles mínimos o leves de ansiedad, lo que indicaría sintomatología leve de la misma, sin embargo, es importante resaltar que el 43% restante presenta sintomatología moderada o severa asociada con la </w:t>
      </w:r>
      <w:r>
        <w:t xml:space="preserve">ansiedad, lo </w:t>
      </w:r>
      <w:proofErr w:type="gramStart"/>
      <w:r>
        <w:t>que  indica</w:t>
      </w:r>
      <w:proofErr w:type="gramEnd"/>
      <w:r>
        <w:t xml:space="preserve"> la presencia de síntomas en los estudiantes como nerviosismo, miedo e incapacidad de relajarse. </w:t>
      </w:r>
    </w:p>
    <w:p w14:paraId="000000AA" w14:textId="77777777" w:rsidR="002E78B5" w:rsidRDefault="003F478A">
      <w:pPr>
        <w:pBdr>
          <w:top w:val="nil"/>
          <w:left w:val="nil"/>
          <w:bottom w:val="nil"/>
          <w:right w:val="nil"/>
          <w:between w:val="nil"/>
        </w:pBdr>
        <w:spacing w:line="360" w:lineRule="auto"/>
        <w:ind w:firstLine="720"/>
        <w:jc w:val="both"/>
      </w:pPr>
      <w:r>
        <w:t xml:space="preserve">Se realizó además un análisis descriptivo de las puntuaciones medias de la muestra para el IFIEC y el Inventario de Ansiedad de Beck, según el nivel educativo (preparatoria y universidad), identificando las medias para cada una de las dimensiones y </w:t>
      </w:r>
      <w:proofErr w:type="spellStart"/>
      <w:r>
        <w:t>subdime</w:t>
      </w:r>
      <w:r>
        <w:t>nsiones</w:t>
      </w:r>
      <w:proofErr w:type="spellEnd"/>
      <w:r>
        <w:t xml:space="preserve"> evaluadas. Aunque los resultados son muy similares, se identificaron medias más altas en los estudiantes de bachillerato correspondientes a las dimensiones del IFIEC en las </w:t>
      </w:r>
      <w:proofErr w:type="spellStart"/>
      <w:r>
        <w:t>subdimensiones</w:t>
      </w:r>
      <w:proofErr w:type="spellEnd"/>
      <w:r>
        <w:t xml:space="preserve"> de Inclinaciones (</w:t>
      </w:r>
      <w:r>
        <w:rPr>
          <w:color w:val="111111"/>
          <w:sz w:val="27"/>
          <w:szCs w:val="27"/>
          <w:highlight w:val="white"/>
        </w:rPr>
        <w:t>x̄</w:t>
      </w:r>
      <w:r>
        <w:t>= 3.5), Objetos y acontecimientos físico</w:t>
      </w:r>
      <w:r>
        <w:t>s (</w:t>
      </w:r>
      <w:r>
        <w:rPr>
          <w:color w:val="111111"/>
          <w:sz w:val="27"/>
          <w:szCs w:val="27"/>
          <w:highlight w:val="white"/>
        </w:rPr>
        <w:t>x̄</w:t>
      </w:r>
      <w:r>
        <w:t>= 3.42</w:t>
      </w:r>
      <w:proofErr w:type="gramStart"/>
      <w:r>
        <w:t>)  y</w:t>
      </w:r>
      <w:proofErr w:type="gramEnd"/>
      <w:r>
        <w:t xml:space="preserve"> Prestigio social (</w:t>
      </w:r>
      <w:r>
        <w:rPr>
          <w:color w:val="111111"/>
          <w:sz w:val="27"/>
          <w:szCs w:val="27"/>
          <w:highlight w:val="white"/>
        </w:rPr>
        <w:t>x̄</w:t>
      </w:r>
      <w:r>
        <w:t xml:space="preserve">= 3.38); mientras que en los estudiantes universitarios, se identificaron medias más altas en la </w:t>
      </w:r>
      <w:proofErr w:type="spellStart"/>
      <w:r>
        <w:t>subdimensión</w:t>
      </w:r>
      <w:proofErr w:type="spellEnd"/>
      <w:r>
        <w:t xml:space="preserve"> de Personas significativas (</w:t>
      </w:r>
      <w:r>
        <w:rPr>
          <w:color w:val="111111"/>
          <w:sz w:val="27"/>
          <w:szCs w:val="27"/>
          <w:highlight w:val="white"/>
        </w:rPr>
        <w:t>x̄</w:t>
      </w:r>
      <w:r>
        <w:t>= 2.84). A su vez, los estudiantes de preparatoria obtuvieron medias más altas e</w:t>
      </w:r>
      <w:r>
        <w:t>n la ansiedad mínima (</w:t>
      </w:r>
      <w:r>
        <w:rPr>
          <w:color w:val="111111"/>
          <w:sz w:val="27"/>
          <w:szCs w:val="27"/>
          <w:highlight w:val="white"/>
        </w:rPr>
        <w:t>x̄</w:t>
      </w:r>
      <w:r>
        <w:t>= 29.5) y leve (</w:t>
      </w:r>
      <w:r>
        <w:rPr>
          <w:color w:val="111111"/>
          <w:sz w:val="27"/>
          <w:szCs w:val="27"/>
          <w:highlight w:val="white"/>
        </w:rPr>
        <w:t>x̄</w:t>
      </w:r>
      <w:r>
        <w:t>=29.8), mientras que los de universidad moderada (</w:t>
      </w:r>
      <w:r>
        <w:rPr>
          <w:color w:val="111111"/>
          <w:sz w:val="27"/>
          <w:szCs w:val="27"/>
          <w:highlight w:val="white"/>
        </w:rPr>
        <w:t>x̄</w:t>
      </w:r>
      <w:r>
        <w:t>= 22.9) y severa (</w:t>
      </w:r>
      <w:r>
        <w:rPr>
          <w:color w:val="111111"/>
          <w:sz w:val="27"/>
          <w:szCs w:val="27"/>
          <w:highlight w:val="white"/>
        </w:rPr>
        <w:t>x̄</w:t>
      </w:r>
      <w:r>
        <w:t>= 21.1).</w:t>
      </w:r>
    </w:p>
    <w:p w14:paraId="000000AB" w14:textId="77777777" w:rsidR="002E78B5" w:rsidRDefault="003F478A">
      <w:pPr>
        <w:pBdr>
          <w:top w:val="nil"/>
          <w:left w:val="nil"/>
          <w:bottom w:val="nil"/>
          <w:right w:val="nil"/>
          <w:between w:val="nil"/>
        </w:pBdr>
        <w:spacing w:line="360" w:lineRule="auto"/>
        <w:ind w:firstLine="720"/>
        <w:jc w:val="both"/>
      </w:pPr>
      <w:r>
        <w:t>Con relación a las áreas de preferencia vocacional, se encontró que los estudiantes de preparatoria tienden a presentar interés por e</w:t>
      </w:r>
      <w:r>
        <w:t xml:space="preserve">l área profesional de Ciencias Biológicas y de la Salud </w:t>
      </w:r>
      <w:r>
        <w:lastRenderedPageBreak/>
        <w:t>(43.9%) seguido de Ciencias Sociales (32.7%); en este sentido, se identifica un dato consistente con los estudiantes que ya se encuentran estudiando la universidad quienes son coinciden con Ciencias B</w:t>
      </w:r>
      <w:r>
        <w:t>iológicas y de la Salud como principal área de preferencia, seguida del área profesional de por Ciencias Exactas e Ingenierías, ambas con un porcentaje de 31.2% (ver Tabla 3).</w:t>
      </w:r>
    </w:p>
    <w:p w14:paraId="000000AC" w14:textId="77777777" w:rsidR="002E78B5" w:rsidRDefault="003F478A">
      <w:pPr>
        <w:pBdr>
          <w:top w:val="nil"/>
          <w:left w:val="nil"/>
          <w:bottom w:val="nil"/>
          <w:right w:val="nil"/>
          <w:between w:val="nil"/>
        </w:pBdr>
        <w:rPr>
          <w:i/>
        </w:rPr>
      </w:pPr>
      <w:r>
        <w:t xml:space="preserve">Tabla 3. </w:t>
      </w:r>
      <w:r>
        <w:br/>
      </w:r>
      <w:r>
        <w:rPr>
          <w:i/>
        </w:rPr>
        <w:t>Áreas de preferencia por nivel educativo</w:t>
      </w:r>
    </w:p>
    <w:tbl>
      <w:tblPr>
        <w:tblStyle w:val="a0"/>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8"/>
        <w:gridCol w:w="1565"/>
        <w:gridCol w:w="3543"/>
        <w:gridCol w:w="1462"/>
      </w:tblGrid>
      <w:tr w:rsidR="002E78B5" w14:paraId="49966365" w14:textId="77777777">
        <w:tc>
          <w:tcPr>
            <w:tcW w:w="2258" w:type="dxa"/>
            <w:tcBorders>
              <w:left w:val="nil"/>
              <w:right w:val="nil"/>
            </w:tcBorders>
          </w:tcPr>
          <w:p w14:paraId="000000AD" w14:textId="77777777" w:rsidR="002E78B5" w:rsidRDefault="003F478A">
            <w:pPr>
              <w:rPr>
                <w:b/>
              </w:rPr>
            </w:pPr>
            <w:r>
              <w:rPr>
                <w:b/>
              </w:rPr>
              <w:t>Preparatoria</w:t>
            </w:r>
          </w:p>
        </w:tc>
        <w:tc>
          <w:tcPr>
            <w:tcW w:w="1565" w:type="dxa"/>
            <w:tcBorders>
              <w:left w:val="nil"/>
              <w:right w:val="nil"/>
            </w:tcBorders>
          </w:tcPr>
          <w:p w14:paraId="000000AE" w14:textId="77777777" w:rsidR="002E78B5" w:rsidRDefault="003F478A">
            <w:pPr>
              <w:rPr>
                <w:b/>
              </w:rPr>
            </w:pPr>
            <w:r>
              <w:rPr>
                <w:b/>
              </w:rPr>
              <w:t>Porcentaje</w:t>
            </w:r>
          </w:p>
        </w:tc>
        <w:tc>
          <w:tcPr>
            <w:tcW w:w="3543" w:type="dxa"/>
            <w:tcBorders>
              <w:left w:val="nil"/>
              <w:right w:val="nil"/>
            </w:tcBorders>
          </w:tcPr>
          <w:p w14:paraId="000000AF" w14:textId="77777777" w:rsidR="002E78B5" w:rsidRDefault="003F478A">
            <w:pPr>
              <w:rPr>
                <w:b/>
              </w:rPr>
            </w:pPr>
            <w:r>
              <w:rPr>
                <w:b/>
              </w:rPr>
              <w:t>Unive</w:t>
            </w:r>
            <w:r>
              <w:rPr>
                <w:b/>
              </w:rPr>
              <w:t>rsidad</w:t>
            </w:r>
          </w:p>
        </w:tc>
        <w:tc>
          <w:tcPr>
            <w:tcW w:w="1462" w:type="dxa"/>
            <w:tcBorders>
              <w:left w:val="nil"/>
              <w:right w:val="nil"/>
            </w:tcBorders>
          </w:tcPr>
          <w:p w14:paraId="000000B0" w14:textId="77777777" w:rsidR="002E78B5" w:rsidRDefault="003F478A">
            <w:pPr>
              <w:rPr>
                <w:b/>
              </w:rPr>
            </w:pPr>
            <w:r>
              <w:rPr>
                <w:b/>
              </w:rPr>
              <w:t>Porcentaje</w:t>
            </w:r>
          </w:p>
        </w:tc>
      </w:tr>
      <w:tr w:rsidR="002E78B5" w14:paraId="296FF0D6" w14:textId="77777777">
        <w:tc>
          <w:tcPr>
            <w:tcW w:w="2258" w:type="dxa"/>
            <w:tcBorders>
              <w:left w:val="nil"/>
              <w:bottom w:val="nil"/>
              <w:right w:val="nil"/>
            </w:tcBorders>
          </w:tcPr>
          <w:p w14:paraId="000000B1" w14:textId="77777777" w:rsidR="002E78B5" w:rsidRDefault="003F478A">
            <w:r>
              <w:t xml:space="preserve">Cs. Biológicas y de la Salud </w:t>
            </w:r>
          </w:p>
        </w:tc>
        <w:tc>
          <w:tcPr>
            <w:tcW w:w="1565" w:type="dxa"/>
            <w:tcBorders>
              <w:left w:val="nil"/>
              <w:bottom w:val="nil"/>
              <w:right w:val="nil"/>
            </w:tcBorders>
          </w:tcPr>
          <w:p w14:paraId="000000B2" w14:textId="77777777" w:rsidR="002E78B5" w:rsidRDefault="003F478A">
            <w:pPr>
              <w:rPr>
                <w:b/>
              </w:rPr>
            </w:pPr>
            <w:r>
              <w:rPr>
                <w:b/>
              </w:rPr>
              <w:t>43.9% (98)</w:t>
            </w:r>
          </w:p>
        </w:tc>
        <w:tc>
          <w:tcPr>
            <w:tcW w:w="3543" w:type="dxa"/>
            <w:tcBorders>
              <w:left w:val="nil"/>
              <w:bottom w:val="nil"/>
              <w:right w:val="nil"/>
            </w:tcBorders>
          </w:tcPr>
          <w:p w14:paraId="000000B3" w14:textId="77777777" w:rsidR="002E78B5" w:rsidRDefault="003F478A">
            <w:r>
              <w:t xml:space="preserve">Cs. Biológicas y de la Salud </w:t>
            </w:r>
          </w:p>
        </w:tc>
        <w:tc>
          <w:tcPr>
            <w:tcW w:w="1462" w:type="dxa"/>
            <w:tcBorders>
              <w:left w:val="nil"/>
              <w:bottom w:val="nil"/>
              <w:right w:val="nil"/>
            </w:tcBorders>
          </w:tcPr>
          <w:p w14:paraId="000000B4" w14:textId="77777777" w:rsidR="002E78B5" w:rsidRDefault="003F478A">
            <w:pPr>
              <w:rPr>
                <w:b/>
              </w:rPr>
            </w:pPr>
            <w:r>
              <w:rPr>
                <w:b/>
              </w:rPr>
              <w:t>31.2% (91)</w:t>
            </w:r>
          </w:p>
        </w:tc>
      </w:tr>
      <w:tr w:rsidR="002E78B5" w14:paraId="4676FEBC" w14:textId="77777777">
        <w:tc>
          <w:tcPr>
            <w:tcW w:w="2258" w:type="dxa"/>
            <w:tcBorders>
              <w:top w:val="nil"/>
              <w:left w:val="nil"/>
              <w:bottom w:val="nil"/>
              <w:right w:val="nil"/>
            </w:tcBorders>
          </w:tcPr>
          <w:p w14:paraId="000000B5" w14:textId="77777777" w:rsidR="002E78B5" w:rsidRDefault="003F478A">
            <w:r>
              <w:t xml:space="preserve">Cs. Exactas e ingenierías </w:t>
            </w:r>
          </w:p>
        </w:tc>
        <w:tc>
          <w:tcPr>
            <w:tcW w:w="1565" w:type="dxa"/>
            <w:tcBorders>
              <w:top w:val="nil"/>
              <w:left w:val="nil"/>
              <w:bottom w:val="nil"/>
              <w:right w:val="nil"/>
            </w:tcBorders>
          </w:tcPr>
          <w:p w14:paraId="000000B6" w14:textId="77777777" w:rsidR="002E78B5" w:rsidRDefault="003F478A">
            <w:r>
              <w:t>13% (29)</w:t>
            </w:r>
          </w:p>
        </w:tc>
        <w:tc>
          <w:tcPr>
            <w:tcW w:w="3543" w:type="dxa"/>
            <w:tcBorders>
              <w:top w:val="nil"/>
              <w:left w:val="nil"/>
              <w:bottom w:val="nil"/>
              <w:right w:val="nil"/>
            </w:tcBorders>
          </w:tcPr>
          <w:p w14:paraId="000000B7" w14:textId="77777777" w:rsidR="002E78B5" w:rsidRDefault="003F478A">
            <w:r>
              <w:t xml:space="preserve">Cs. Exactas e ingenierías </w:t>
            </w:r>
          </w:p>
        </w:tc>
        <w:tc>
          <w:tcPr>
            <w:tcW w:w="1462" w:type="dxa"/>
            <w:tcBorders>
              <w:top w:val="nil"/>
              <w:left w:val="nil"/>
              <w:bottom w:val="nil"/>
              <w:right w:val="nil"/>
            </w:tcBorders>
          </w:tcPr>
          <w:p w14:paraId="000000B8" w14:textId="77777777" w:rsidR="002E78B5" w:rsidRDefault="003F478A">
            <w:pPr>
              <w:rPr>
                <w:b/>
              </w:rPr>
            </w:pPr>
            <w:r>
              <w:rPr>
                <w:b/>
              </w:rPr>
              <w:t>31.2% (91)</w:t>
            </w:r>
          </w:p>
        </w:tc>
      </w:tr>
      <w:tr w:rsidR="002E78B5" w14:paraId="5E174697" w14:textId="77777777">
        <w:tc>
          <w:tcPr>
            <w:tcW w:w="2258" w:type="dxa"/>
            <w:tcBorders>
              <w:top w:val="nil"/>
              <w:left w:val="nil"/>
              <w:bottom w:val="nil"/>
              <w:right w:val="nil"/>
            </w:tcBorders>
          </w:tcPr>
          <w:p w14:paraId="000000B9" w14:textId="77777777" w:rsidR="002E78B5" w:rsidRDefault="003F478A">
            <w:r>
              <w:t xml:space="preserve">Cs. Sociales </w:t>
            </w:r>
          </w:p>
        </w:tc>
        <w:tc>
          <w:tcPr>
            <w:tcW w:w="1565" w:type="dxa"/>
            <w:tcBorders>
              <w:top w:val="nil"/>
              <w:left w:val="nil"/>
              <w:bottom w:val="nil"/>
              <w:right w:val="nil"/>
            </w:tcBorders>
          </w:tcPr>
          <w:p w14:paraId="000000BA" w14:textId="77777777" w:rsidR="002E78B5" w:rsidRDefault="003F478A">
            <w:pPr>
              <w:rPr>
                <w:b/>
              </w:rPr>
            </w:pPr>
            <w:r>
              <w:rPr>
                <w:b/>
              </w:rPr>
              <w:t>32.7% (73)</w:t>
            </w:r>
          </w:p>
        </w:tc>
        <w:tc>
          <w:tcPr>
            <w:tcW w:w="3543" w:type="dxa"/>
            <w:tcBorders>
              <w:top w:val="nil"/>
              <w:left w:val="nil"/>
              <w:bottom w:val="nil"/>
              <w:right w:val="nil"/>
            </w:tcBorders>
          </w:tcPr>
          <w:p w14:paraId="000000BB" w14:textId="77777777" w:rsidR="002E78B5" w:rsidRDefault="003F478A">
            <w:r>
              <w:t xml:space="preserve">Cs. Sociales </w:t>
            </w:r>
          </w:p>
        </w:tc>
        <w:tc>
          <w:tcPr>
            <w:tcW w:w="1462" w:type="dxa"/>
            <w:tcBorders>
              <w:top w:val="nil"/>
              <w:left w:val="nil"/>
              <w:bottom w:val="nil"/>
              <w:right w:val="nil"/>
            </w:tcBorders>
          </w:tcPr>
          <w:p w14:paraId="000000BC" w14:textId="77777777" w:rsidR="002E78B5" w:rsidRDefault="003F478A">
            <w:r>
              <w:t>18.8% (55)</w:t>
            </w:r>
          </w:p>
        </w:tc>
      </w:tr>
      <w:tr w:rsidR="002E78B5" w14:paraId="3DFBF5F5" w14:textId="77777777">
        <w:tc>
          <w:tcPr>
            <w:tcW w:w="2258" w:type="dxa"/>
            <w:tcBorders>
              <w:top w:val="nil"/>
              <w:left w:val="nil"/>
              <w:bottom w:val="nil"/>
              <w:right w:val="nil"/>
            </w:tcBorders>
          </w:tcPr>
          <w:p w14:paraId="000000BD" w14:textId="77777777" w:rsidR="002E78B5" w:rsidRDefault="003F478A">
            <w:r>
              <w:t xml:space="preserve">Económico Administrativo </w:t>
            </w:r>
          </w:p>
        </w:tc>
        <w:tc>
          <w:tcPr>
            <w:tcW w:w="1565" w:type="dxa"/>
            <w:tcBorders>
              <w:top w:val="nil"/>
              <w:left w:val="nil"/>
              <w:bottom w:val="nil"/>
              <w:right w:val="nil"/>
            </w:tcBorders>
          </w:tcPr>
          <w:p w14:paraId="000000BE" w14:textId="77777777" w:rsidR="002E78B5" w:rsidRDefault="003F478A">
            <w:r>
              <w:t>3.59% (8)</w:t>
            </w:r>
          </w:p>
        </w:tc>
        <w:tc>
          <w:tcPr>
            <w:tcW w:w="3543" w:type="dxa"/>
            <w:tcBorders>
              <w:top w:val="nil"/>
              <w:left w:val="nil"/>
              <w:bottom w:val="nil"/>
              <w:right w:val="nil"/>
            </w:tcBorders>
          </w:tcPr>
          <w:p w14:paraId="000000BF" w14:textId="77777777" w:rsidR="002E78B5" w:rsidRDefault="003F478A">
            <w:r>
              <w:t xml:space="preserve">Económico Administrativo </w:t>
            </w:r>
          </w:p>
        </w:tc>
        <w:tc>
          <w:tcPr>
            <w:tcW w:w="1462" w:type="dxa"/>
            <w:tcBorders>
              <w:top w:val="nil"/>
              <w:left w:val="nil"/>
              <w:bottom w:val="nil"/>
              <w:right w:val="nil"/>
            </w:tcBorders>
          </w:tcPr>
          <w:p w14:paraId="000000C0" w14:textId="77777777" w:rsidR="002E78B5" w:rsidRDefault="003F478A">
            <w:r>
              <w:t>8.2% (24)</w:t>
            </w:r>
          </w:p>
        </w:tc>
      </w:tr>
      <w:tr w:rsidR="002E78B5" w14:paraId="06178F73" w14:textId="77777777">
        <w:tc>
          <w:tcPr>
            <w:tcW w:w="2258" w:type="dxa"/>
            <w:tcBorders>
              <w:top w:val="nil"/>
              <w:left w:val="nil"/>
              <w:right w:val="nil"/>
            </w:tcBorders>
          </w:tcPr>
          <w:p w14:paraId="000000C1" w14:textId="77777777" w:rsidR="002E78B5" w:rsidRDefault="003F478A">
            <w:r>
              <w:t xml:space="preserve">Humanidades y Bellas Artes </w:t>
            </w:r>
          </w:p>
        </w:tc>
        <w:tc>
          <w:tcPr>
            <w:tcW w:w="1565" w:type="dxa"/>
            <w:tcBorders>
              <w:top w:val="nil"/>
              <w:left w:val="nil"/>
              <w:right w:val="nil"/>
            </w:tcBorders>
          </w:tcPr>
          <w:p w14:paraId="000000C2" w14:textId="77777777" w:rsidR="002E78B5" w:rsidRDefault="003F478A">
            <w:r>
              <w:t>6.73 (15)</w:t>
            </w:r>
          </w:p>
        </w:tc>
        <w:tc>
          <w:tcPr>
            <w:tcW w:w="3543" w:type="dxa"/>
            <w:tcBorders>
              <w:top w:val="nil"/>
              <w:left w:val="nil"/>
              <w:right w:val="nil"/>
            </w:tcBorders>
          </w:tcPr>
          <w:p w14:paraId="000000C3" w14:textId="77777777" w:rsidR="002E78B5" w:rsidRDefault="003F478A">
            <w:r>
              <w:t xml:space="preserve">Humanidades y Bellas Artes </w:t>
            </w:r>
          </w:p>
        </w:tc>
        <w:tc>
          <w:tcPr>
            <w:tcW w:w="1462" w:type="dxa"/>
            <w:tcBorders>
              <w:top w:val="nil"/>
              <w:left w:val="nil"/>
              <w:right w:val="nil"/>
            </w:tcBorders>
          </w:tcPr>
          <w:p w14:paraId="000000C4" w14:textId="77777777" w:rsidR="002E78B5" w:rsidRDefault="003F478A">
            <w:r>
              <w:t>10.6% (31)</w:t>
            </w:r>
          </w:p>
        </w:tc>
      </w:tr>
    </w:tbl>
    <w:p w14:paraId="000000C5" w14:textId="77777777" w:rsidR="002E78B5" w:rsidRDefault="002E78B5">
      <w:pPr>
        <w:pBdr>
          <w:top w:val="nil"/>
          <w:left w:val="nil"/>
          <w:bottom w:val="nil"/>
          <w:right w:val="nil"/>
          <w:between w:val="nil"/>
        </w:pBdr>
        <w:jc w:val="both"/>
      </w:pPr>
    </w:p>
    <w:p w14:paraId="000000C6" w14:textId="77777777" w:rsidR="002E78B5" w:rsidRDefault="003F478A">
      <w:pPr>
        <w:pBdr>
          <w:top w:val="nil"/>
          <w:left w:val="nil"/>
          <w:bottom w:val="nil"/>
          <w:right w:val="nil"/>
          <w:between w:val="nil"/>
        </w:pBdr>
        <w:spacing w:line="360" w:lineRule="auto"/>
        <w:ind w:firstLine="720"/>
        <w:jc w:val="both"/>
      </w:pPr>
      <w:r>
        <w:t>En cuanto al objetivo de buscar relaciones entre los constructos medidos, esto se llevó a cabo por medio de la prueba de correlación de Pearson; dichos resultados se muestran en la Tabla 4.  Se identificaron correlaciones muy fuertes y fuertes y estadístic</w:t>
      </w:r>
      <w:r>
        <w:t>amente significativas entre las dimensiones del IFIEC de Personas y Otros Significativos (r</w:t>
      </w:r>
      <w:r>
        <w:rPr>
          <w:color w:val="111111"/>
          <w:highlight w:val="white"/>
        </w:rPr>
        <w:t xml:space="preserve">=.684, </w:t>
      </w:r>
      <w:r>
        <w:rPr>
          <w:i/>
          <w:color w:val="111111"/>
          <w:highlight w:val="white"/>
        </w:rPr>
        <w:t>p=.000</w:t>
      </w:r>
      <w:r>
        <w:rPr>
          <w:color w:val="111111"/>
          <w:highlight w:val="white"/>
        </w:rPr>
        <w:t xml:space="preserve">), </w:t>
      </w:r>
      <w:r>
        <w:t>las dimensiones de Prestigio social de la carrera con Objetos y acontecimientos físicos de la universidad (r</w:t>
      </w:r>
      <w:r>
        <w:rPr>
          <w:color w:val="111111"/>
          <w:highlight w:val="white"/>
        </w:rPr>
        <w:t xml:space="preserve">=.622, </w:t>
      </w:r>
      <w:r>
        <w:rPr>
          <w:i/>
          <w:color w:val="111111"/>
          <w:highlight w:val="white"/>
        </w:rPr>
        <w:t>p=.000</w:t>
      </w:r>
      <w:r>
        <w:rPr>
          <w:color w:val="111111"/>
          <w:highlight w:val="white"/>
        </w:rPr>
        <w:t xml:space="preserve">) </w:t>
      </w:r>
      <w:r>
        <w:t>y Circunstancia Social (r</w:t>
      </w:r>
      <w:r>
        <w:rPr>
          <w:color w:val="111111"/>
          <w:highlight w:val="white"/>
        </w:rPr>
        <w:t>=</w:t>
      </w:r>
      <w:r>
        <w:rPr>
          <w:color w:val="111111"/>
          <w:highlight w:val="white"/>
        </w:rPr>
        <w:t xml:space="preserve">.555, </w:t>
      </w:r>
      <w:r>
        <w:rPr>
          <w:i/>
          <w:color w:val="111111"/>
          <w:highlight w:val="white"/>
        </w:rPr>
        <w:t>p=.000</w:t>
      </w:r>
      <w:r>
        <w:rPr>
          <w:color w:val="111111"/>
          <w:highlight w:val="white"/>
        </w:rPr>
        <w:t>)</w:t>
      </w:r>
      <w:r>
        <w:t xml:space="preserve"> y Circunstancia social y la dimensión de Otros Significativos (r</w:t>
      </w:r>
      <w:r>
        <w:rPr>
          <w:color w:val="111111"/>
          <w:highlight w:val="white"/>
        </w:rPr>
        <w:t xml:space="preserve">=.613, </w:t>
      </w:r>
      <w:r>
        <w:rPr>
          <w:i/>
          <w:color w:val="111111"/>
          <w:highlight w:val="white"/>
        </w:rPr>
        <w:t>p=.000</w:t>
      </w:r>
      <w:r>
        <w:rPr>
          <w:color w:val="111111"/>
          <w:highlight w:val="white"/>
        </w:rPr>
        <w:t>)</w:t>
      </w:r>
      <w:r>
        <w:t xml:space="preserve">. En relación con la escala de Ansiedad de Beck, se identificaron correlaciones </w:t>
      </w:r>
      <w:proofErr w:type="gramStart"/>
      <w:r>
        <w:t>bajas</w:t>
      </w:r>
      <w:proofErr w:type="gramEnd"/>
      <w:r>
        <w:t xml:space="preserve"> pero estadísticamente significativas con las dimensiones de Objetos y aconteci</w:t>
      </w:r>
      <w:r>
        <w:t>mientos físicos (r</w:t>
      </w:r>
      <w:r>
        <w:rPr>
          <w:color w:val="111111"/>
          <w:highlight w:val="white"/>
        </w:rPr>
        <w:t xml:space="preserve">=.087, </w:t>
      </w:r>
      <w:r>
        <w:rPr>
          <w:i/>
          <w:color w:val="111111"/>
          <w:highlight w:val="white"/>
        </w:rPr>
        <w:t>p=.05</w:t>
      </w:r>
      <w:r>
        <w:rPr>
          <w:color w:val="111111"/>
          <w:highlight w:val="white"/>
        </w:rPr>
        <w:t xml:space="preserve">) y Prestigio social </w:t>
      </w:r>
      <w:r>
        <w:t>(r</w:t>
      </w:r>
      <w:r>
        <w:rPr>
          <w:color w:val="111111"/>
          <w:highlight w:val="white"/>
        </w:rPr>
        <w:t xml:space="preserve">=.097, </w:t>
      </w:r>
      <w:r>
        <w:rPr>
          <w:i/>
          <w:color w:val="111111"/>
          <w:highlight w:val="white"/>
        </w:rPr>
        <w:t>p=.05</w:t>
      </w:r>
      <w:r>
        <w:rPr>
          <w:color w:val="111111"/>
          <w:highlight w:val="white"/>
        </w:rPr>
        <w:t>). Esto indicaría que aquellos estudiantes quienes perciben estos dos últimos factores como importantes en su proceso de elección de carrera, muestran niveles de ansiedad más altos en la esca</w:t>
      </w:r>
      <w:r>
        <w:rPr>
          <w:color w:val="111111"/>
          <w:highlight w:val="white"/>
        </w:rPr>
        <w:t xml:space="preserve">la de Ansiedad de Beck. </w:t>
      </w:r>
    </w:p>
    <w:p w14:paraId="000000C7" w14:textId="77777777" w:rsidR="002E78B5" w:rsidRDefault="003F478A">
      <w:pPr>
        <w:pBdr>
          <w:top w:val="nil"/>
          <w:left w:val="nil"/>
          <w:bottom w:val="nil"/>
          <w:right w:val="nil"/>
          <w:between w:val="nil"/>
        </w:pBdr>
        <w:rPr>
          <w:i/>
        </w:rPr>
      </w:pPr>
      <w:r>
        <w:t xml:space="preserve">Tabla 4. </w:t>
      </w:r>
      <w:r>
        <w:br/>
      </w:r>
      <w:r>
        <w:rPr>
          <w:i/>
        </w:rPr>
        <w:t>Matriz de correlación de Pearson con factores en la EC y ansiedad</w:t>
      </w:r>
    </w:p>
    <w:tbl>
      <w:tblPr>
        <w:tblStyle w:val="a1"/>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5"/>
        <w:gridCol w:w="900"/>
        <w:gridCol w:w="930"/>
        <w:gridCol w:w="913"/>
        <w:gridCol w:w="1033"/>
        <w:gridCol w:w="893"/>
        <w:gridCol w:w="1084"/>
        <w:gridCol w:w="1100"/>
        <w:gridCol w:w="900"/>
      </w:tblGrid>
      <w:tr w:rsidR="002E78B5" w14:paraId="50E6E147" w14:textId="77777777">
        <w:tc>
          <w:tcPr>
            <w:tcW w:w="1085" w:type="dxa"/>
            <w:tcBorders>
              <w:left w:val="nil"/>
              <w:right w:val="nil"/>
            </w:tcBorders>
          </w:tcPr>
          <w:p w14:paraId="000000C8" w14:textId="77777777" w:rsidR="002E78B5" w:rsidRDefault="003F478A">
            <w:pPr>
              <w:rPr>
                <w:b/>
              </w:rPr>
            </w:pPr>
            <w:r>
              <w:rPr>
                <w:b/>
              </w:rPr>
              <w:t>Factor</w:t>
            </w:r>
          </w:p>
        </w:tc>
        <w:tc>
          <w:tcPr>
            <w:tcW w:w="900" w:type="dxa"/>
            <w:tcBorders>
              <w:left w:val="nil"/>
              <w:right w:val="nil"/>
            </w:tcBorders>
          </w:tcPr>
          <w:p w14:paraId="000000C9" w14:textId="77777777" w:rsidR="002E78B5" w:rsidRDefault="003F478A">
            <w:pPr>
              <w:rPr>
                <w:b/>
              </w:rPr>
            </w:pPr>
            <w:r>
              <w:rPr>
                <w:b/>
              </w:rPr>
              <w:t>IFIEC</w:t>
            </w:r>
          </w:p>
        </w:tc>
        <w:tc>
          <w:tcPr>
            <w:tcW w:w="930" w:type="dxa"/>
            <w:tcBorders>
              <w:left w:val="nil"/>
              <w:right w:val="nil"/>
            </w:tcBorders>
          </w:tcPr>
          <w:p w14:paraId="000000CA" w14:textId="77777777" w:rsidR="002E78B5" w:rsidRDefault="003F478A">
            <w:pPr>
              <w:rPr>
                <w:b/>
              </w:rPr>
            </w:pPr>
            <w:r>
              <w:rPr>
                <w:b/>
              </w:rPr>
              <w:t>PERS.</w:t>
            </w:r>
          </w:p>
        </w:tc>
        <w:tc>
          <w:tcPr>
            <w:tcW w:w="913" w:type="dxa"/>
            <w:tcBorders>
              <w:left w:val="nil"/>
              <w:right w:val="nil"/>
            </w:tcBorders>
          </w:tcPr>
          <w:p w14:paraId="000000CB" w14:textId="77777777" w:rsidR="002E78B5" w:rsidRDefault="003F478A">
            <w:pPr>
              <w:rPr>
                <w:b/>
              </w:rPr>
            </w:pPr>
            <w:r>
              <w:rPr>
                <w:b/>
              </w:rPr>
              <w:t>OBJ</w:t>
            </w:r>
          </w:p>
        </w:tc>
        <w:tc>
          <w:tcPr>
            <w:tcW w:w="1033" w:type="dxa"/>
            <w:tcBorders>
              <w:left w:val="nil"/>
              <w:right w:val="nil"/>
            </w:tcBorders>
          </w:tcPr>
          <w:p w14:paraId="000000CC" w14:textId="77777777" w:rsidR="002E78B5" w:rsidRDefault="003F478A">
            <w:pPr>
              <w:rPr>
                <w:b/>
              </w:rPr>
            </w:pPr>
            <w:r>
              <w:rPr>
                <w:b/>
              </w:rPr>
              <w:t>OTROS</w:t>
            </w:r>
          </w:p>
        </w:tc>
        <w:tc>
          <w:tcPr>
            <w:tcW w:w="893" w:type="dxa"/>
            <w:tcBorders>
              <w:left w:val="nil"/>
              <w:right w:val="nil"/>
            </w:tcBorders>
          </w:tcPr>
          <w:p w14:paraId="000000CD" w14:textId="77777777" w:rsidR="002E78B5" w:rsidRDefault="003F478A">
            <w:pPr>
              <w:rPr>
                <w:b/>
              </w:rPr>
            </w:pPr>
            <w:r>
              <w:rPr>
                <w:b/>
              </w:rPr>
              <w:t>CIRC.</w:t>
            </w:r>
          </w:p>
        </w:tc>
        <w:tc>
          <w:tcPr>
            <w:tcW w:w="1084" w:type="dxa"/>
            <w:tcBorders>
              <w:left w:val="nil"/>
              <w:right w:val="nil"/>
            </w:tcBorders>
          </w:tcPr>
          <w:p w14:paraId="000000CE" w14:textId="77777777" w:rsidR="002E78B5" w:rsidRDefault="003F478A">
            <w:pPr>
              <w:rPr>
                <w:b/>
              </w:rPr>
            </w:pPr>
            <w:r>
              <w:rPr>
                <w:b/>
              </w:rPr>
              <w:t>INCLIN.</w:t>
            </w:r>
          </w:p>
        </w:tc>
        <w:tc>
          <w:tcPr>
            <w:tcW w:w="1100" w:type="dxa"/>
            <w:tcBorders>
              <w:left w:val="nil"/>
              <w:right w:val="nil"/>
            </w:tcBorders>
          </w:tcPr>
          <w:p w14:paraId="000000CF" w14:textId="77777777" w:rsidR="002E78B5" w:rsidRDefault="003F478A">
            <w:pPr>
              <w:rPr>
                <w:b/>
              </w:rPr>
            </w:pPr>
            <w:r>
              <w:rPr>
                <w:b/>
              </w:rPr>
              <w:t>PREST.</w:t>
            </w:r>
          </w:p>
        </w:tc>
        <w:tc>
          <w:tcPr>
            <w:tcW w:w="900" w:type="dxa"/>
            <w:tcBorders>
              <w:left w:val="nil"/>
              <w:right w:val="nil"/>
            </w:tcBorders>
          </w:tcPr>
          <w:p w14:paraId="000000D0" w14:textId="77777777" w:rsidR="002E78B5" w:rsidRDefault="003F478A">
            <w:pPr>
              <w:rPr>
                <w:b/>
              </w:rPr>
            </w:pPr>
            <w:r>
              <w:rPr>
                <w:b/>
              </w:rPr>
              <w:t>BECK</w:t>
            </w:r>
          </w:p>
        </w:tc>
      </w:tr>
      <w:tr w:rsidR="002E78B5" w14:paraId="445D4AF7" w14:textId="77777777">
        <w:tc>
          <w:tcPr>
            <w:tcW w:w="1085" w:type="dxa"/>
            <w:tcBorders>
              <w:left w:val="nil"/>
              <w:bottom w:val="nil"/>
              <w:right w:val="nil"/>
            </w:tcBorders>
          </w:tcPr>
          <w:p w14:paraId="000000D1" w14:textId="77777777" w:rsidR="002E78B5" w:rsidRDefault="003F478A">
            <w:r>
              <w:t>IFIEC</w:t>
            </w:r>
          </w:p>
        </w:tc>
        <w:tc>
          <w:tcPr>
            <w:tcW w:w="900" w:type="dxa"/>
            <w:tcBorders>
              <w:left w:val="nil"/>
              <w:bottom w:val="nil"/>
              <w:right w:val="nil"/>
            </w:tcBorders>
          </w:tcPr>
          <w:p w14:paraId="000000D2" w14:textId="77777777" w:rsidR="002E78B5" w:rsidRDefault="003F478A">
            <w:r>
              <w:t>1</w:t>
            </w:r>
          </w:p>
        </w:tc>
        <w:tc>
          <w:tcPr>
            <w:tcW w:w="930" w:type="dxa"/>
            <w:tcBorders>
              <w:left w:val="nil"/>
              <w:bottom w:val="nil"/>
              <w:right w:val="nil"/>
            </w:tcBorders>
          </w:tcPr>
          <w:p w14:paraId="000000D3" w14:textId="77777777" w:rsidR="002E78B5" w:rsidRDefault="002E78B5"/>
        </w:tc>
        <w:tc>
          <w:tcPr>
            <w:tcW w:w="913" w:type="dxa"/>
            <w:tcBorders>
              <w:left w:val="nil"/>
              <w:bottom w:val="nil"/>
              <w:right w:val="nil"/>
            </w:tcBorders>
          </w:tcPr>
          <w:p w14:paraId="000000D4" w14:textId="77777777" w:rsidR="002E78B5" w:rsidRDefault="002E78B5"/>
        </w:tc>
        <w:tc>
          <w:tcPr>
            <w:tcW w:w="1033" w:type="dxa"/>
            <w:tcBorders>
              <w:left w:val="nil"/>
              <w:bottom w:val="nil"/>
              <w:right w:val="nil"/>
            </w:tcBorders>
          </w:tcPr>
          <w:p w14:paraId="000000D5" w14:textId="77777777" w:rsidR="002E78B5" w:rsidRDefault="002E78B5"/>
        </w:tc>
        <w:tc>
          <w:tcPr>
            <w:tcW w:w="893" w:type="dxa"/>
            <w:tcBorders>
              <w:left w:val="nil"/>
              <w:bottom w:val="nil"/>
              <w:right w:val="nil"/>
            </w:tcBorders>
          </w:tcPr>
          <w:p w14:paraId="000000D6" w14:textId="77777777" w:rsidR="002E78B5" w:rsidRDefault="002E78B5"/>
        </w:tc>
        <w:tc>
          <w:tcPr>
            <w:tcW w:w="1084" w:type="dxa"/>
            <w:tcBorders>
              <w:left w:val="nil"/>
              <w:bottom w:val="nil"/>
              <w:right w:val="nil"/>
            </w:tcBorders>
          </w:tcPr>
          <w:p w14:paraId="000000D7" w14:textId="77777777" w:rsidR="002E78B5" w:rsidRDefault="002E78B5"/>
        </w:tc>
        <w:tc>
          <w:tcPr>
            <w:tcW w:w="1100" w:type="dxa"/>
            <w:tcBorders>
              <w:left w:val="nil"/>
              <w:bottom w:val="nil"/>
              <w:right w:val="nil"/>
            </w:tcBorders>
          </w:tcPr>
          <w:p w14:paraId="000000D8" w14:textId="77777777" w:rsidR="002E78B5" w:rsidRDefault="002E78B5"/>
        </w:tc>
        <w:tc>
          <w:tcPr>
            <w:tcW w:w="900" w:type="dxa"/>
            <w:tcBorders>
              <w:left w:val="nil"/>
              <w:bottom w:val="nil"/>
              <w:right w:val="nil"/>
            </w:tcBorders>
          </w:tcPr>
          <w:p w14:paraId="000000D9" w14:textId="77777777" w:rsidR="002E78B5" w:rsidRDefault="002E78B5"/>
        </w:tc>
      </w:tr>
      <w:tr w:rsidR="002E78B5" w14:paraId="4A11CE54" w14:textId="77777777">
        <w:tc>
          <w:tcPr>
            <w:tcW w:w="1085" w:type="dxa"/>
            <w:tcBorders>
              <w:top w:val="nil"/>
              <w:left w:val="nil"/>
              <w:bottom w:val="nil"/>
              <w:right w:val="nil"/>
            </w:tcBorders>
          </w:tcPr>
          <w:p w14:paraId="000000DA" w14:textId="77777777" w:rsidR="002E78B5" w:rsidRDefault="003F478A">
            <w:r>
              <w:t>PERS.</w:t>
            </w:r>
          </w:p>
        </w:tc>
        <w:tc>
          <w:tcPr>
            <w:tcW w:w="900" w:type="dxa"/>
            <w:tcBorders>
              <w:top w:val="nil"/>
              <w:left w:val="nil"/>
              <w:bottom w:val="nil"/>
              <w:right w:val="nil"/>
            </w:tcBorders>
          </w:tcPr>
          <w:p w14:paraId="000000DB" w14:textId="77777777" w:rsidR="002E78B5" w:rsidRDefault="003F478A">
            <w:r>
              <w:t>.771**</w:t>
            </w:r>
          </w:p>
        </w:tc>
        <w:tc>
          <w:tcPr>
            <w:tcW w:w="930" w:type="dxa"/>
            <w:tcBorders>
              <w:top w:val="nil"/>
              <w:left w:val="nil"/>
              <w:bottom w:val="nil"/>
              <w:right w:val="nil"/>
            </w:tcBorders>
          </w:tcPr>
          <w:p w14:paraId="000000DC" w14:textId="77777777" w:rsidR="002E78B5" w:rsidRDefault="003F478A">
            <w:r>
              <w:t>1</w:t>
            </w:r>
          </w:p>
        </w:tc>
        <w:tc>
          <w:tcPr>
            <w:tcW w:w="913" w:type="dxa"/>
            <w:tcBorders>
              <w:top w:val="nil"/>
              <w:left w:val="nil"/>
              <w:bottom w:val="nil"/>
              <w:right w:val="nil"/>
            </w:tcBorders>
          </w:tcPr>
          <w:p w14:paraId="000000DD" w14:textId="77777777" w:rsidR="002E78B5" w:rsidRDefault="002E78B5"/>
        </w:tc>
        <w:tc>
          <w:tcPr>
            <w:tcW w:w="1033" w:type="dxa"/>
            <w:tcBorders>
              <w:top w:val="nil"/>
              <w:left w:val="nil"/>
              <w:bottom w:val="nil"/>
              <w:right w:val="nil"/>
            </w:tcBorders>
          </w:tcPr>
          <w:p w14:paraId="000000DE" w14:textId="77777777" w:rsidR="002E78B5" w:rsidRDefault="002E78B5"/>
        </w:tc>
        <w:tc>
          <w:tcPr>
            <w:tcW w:w="893" w:type="dxa"/>
            <w:tcBorders>
              <w:top w:val="nil"/>
              <w:left w:val="nil"/>
              <w:bottom w:val="nil"/>
              <w:right w:val="nil"/>
            </w:tcBorders>
          </w:tcPr>
          <w:p w14:paraId="000000DF" w14:textId="77777777" w:rsidR="002E78B5" w:rsidRDefault="002E78B5"/>
        </w:tc>
        <w:tc>
          <w:tcPr>
            <w:tcW w:w="1084" w:type="dxa"/>
            <w:tcBorders>
              <w:top w:val="nil"/>
              <w:left w:val="nil"/>
              <w:bottom w:val="nil"/>
              <w:right w:val="nil"/>
            </w:tcBorders>
          </w:tcPr>
          <w:p w14:paraId="000000E0" w14:textId="77777777" w:rsidR="002E78B5" w:rsidRDefault="002E78B5"/>
        </w:tc>
        <w:tc>
          <w:tcPr>
            <w:tcW w:w="1100" w:type="dxa"/>
            <w:tcBorders>
              <w:top w:val="nil"/>
              <w:left w:val="nil"/>
              <w:bottom w:val="nil"/>
              <w:right w:val="nil"/>
            </w:tcBorders>
          </w:tcPr>
          <w:p w14:paraId="000000E1" w14:textId="77777777" w:rsidR="002E78B5" w:rsidRDefault="002E78B5"/>
        </w:tc>
        <w:tc>
          <w:tcPr>
            <w:tcW w:w="900" w:type="dxa"/>
            <w:tcBorders>
              <w:top w:val="nil"/>
              <w:left w:val="nil"/>
              <w:bottom w:val="nil"/>
              <w:right w:val="nil"/>
            </w:tcBorders>
          </w:tcPr>
          <w:p w14:paraId="000000E2" w14:textId="77777777" w:rsidR="002E78B5" w:rsidRDefault="002E78B5"/>
        </w:tc>
      </w:tr>
      <w:tr w:rsidR="002E78B5" w14:paraId="28255C3C" w14:textId="77777777">
        <w:tc>
          <w:tcPr>
            <w:tcW w:w="1085" w:type="dxa"/>
            <w:tcBorders>
              <w:top w:val="nil"/>
              <w:left w:val="nil"/>
              <w:bottom w:val="nil"/>
              <w:right w:val="nil"/>
            </w:tcBorders>
          </w:tcPr>
          <w:p w14:paraId="000000E3" w14:textId="77777777" w:rsidR="002E78B5" w:rsidRDefault="003F478A">
            <w:r>
              <w:t>OBJ.</w:t>
            </w:r>
          </w:p>
        </w:tc>
        <w:tc>
          <w:tcPr>
            <w:tcW w:w="900" w:type="dxa"/>
            <w:tcBorders>
              <w:top w:val="nil"/>
              <w:left w:val="nil"/>
              <w:bottom w:val="nil"/>
              <w:right w:val="nil"/>
            </w:tcBorders>
          </w:tcPr>
          <w:p w14:paraId="000000E4" w14:textId="77777777" w:rsidR="002E78B5" w:rsidRDefault="003F478A">
            <w:r>
              <w:t>.781**</w:t>
            </w:r>
          </w:p>
        </w:tc>
        <w:tc>
          <w:tcPr>
            <w:tcW w:w="930" w:type="dxa"/>
            <w:tcBorders>
              <w:top w:val="nil"/>
              <w:left w:val="nil"/>
              <w:bottom w:val="nil"/>
              <w:right w:val="nil"/>
            </w:tcBorders>
          </w:tcPr>
          <w:p w14:paraId="000000E5" w14:textId="77777777" w:rsidR="002E78B5" w:rsidRDefault="003F478A">
            <w:r>
              <w:t>.412**</w:t>
            </w:r>
          </w:p>
        </w:tc>
        <w:tc>
          <w:tcPr>
            <w:tcW w:w="913" w:type="dxa"/>
            <w:tcBorders>
              <w:top w:val="nil"/>
              <w:left w:val="nil"/>
              <w:bottom w:val="nil"/>
              <w:right w:val="nil"/>
            </w:tcBorders>
          </w:tcPr>
          <w:p w14:paraId="000000E6" w14:textId="77777777" w:rsidR="002E78B5" w:rsidRDefault="003F478A">
            <w:r>
              <w:t>1</w:t>
            </w:r>
          </w:p>
        </w:tc>
        <w:tc>
          <w:tcPr>
            <w:tcW w:w="1033" w:type="dxa"/>
            <w:tcBorders>
              <w:top w:val="nil"/>
              <w:left w:val="nil"/>
              <w:bottom w:val="nil"/>
              <w:right w:val="nil"/>
            </w:tcBorders>
          </w:tcPr>
          <w:p w14:paraId="000000E7" w14:textId="77777777" w:rsidR="002E78B5" w:rsidRDefault="002E78B5"/>
        </w:tc>
        <w:tc>
          <w:tcPr>
            <w:tcW w:w="893" w:type="dxa"/>
            <w:tcBorders>
              <w:top w:val="nil"/>
              <w:left w:val="nil"/>
              <w:bottom w:val="nil"/>
              <w:right w:val="nil"/>
            </w:tcBorders>
          </w:tcPr>
          <w:p w14:paraId="000000E8" w14:textId="77777777" w:rsidR="002E78B5" w:rsidRDefault="002E78B5"/>
        </w:tc>
        <w:tc>
          <w:tcPr>
            <w:tcW w:w="1084" w:type="dxa"/>
            <w:tcBorders>
              <w:top w:val="nil"/>
              <w:left w:val="nil"/>
              <w:bottom w:val="nil"/>
              <w:right w:val="nil"/>
            </w:tcBorders>
          </w:tcPr>
          <w:p w14:paraId="000000E9" w14:textId="77777777" w:rsidR="002E78B5" w:rsidRDefault="002E78B5"/>
        </w:tc>
        <w:tc>
          <w:tcPr>
            <w:tcW w:w="1100" w:type="dxa"/>
            <w:tcBorders>
              <w:top w:val="nil"/>
              <w:left w:val="nil"/>
              <w:bottom w:val="nil"/>
              <w:right w:val="nil"/>
            </w:tcBorders>
          </w:tcPr>
          <w:p w14:paraId="000000EA" w14:textId="77777777" w:rsidR="002E78B5" w:rsidRDefault="002E78B5"/>
        </w:tc>
        <w:tc>
          <w:tcPr>
            <w:tcW w:w="900" w:type="dxa"/>
            <w:tcBorders>
              <w:top w:val="nil"/>
              <w:left w:val="nil"/>
              <w:bottom w:val="nil"/>
              <w:right w:val="nil"/>
            </w:tcBorders>
          </w:tcPr>
          <w:p w14:paraId="000000EB" w14:textId="77777777" w:rsidR="002E78B5" w:rsidRDefault="002E78B5"/>
        </w:tc>
      </w:tr>
      <w:tr w:rsidR="002E78B5" w14:paraId="3C503CF8" w14:textId="77777777">
        <w:tc>
          <w:tcPr>
            <w:tcW w:w="1085" w:type="dxa"/>
            <w:tcBorders>
              <w:top w:val="nil"/>
              <w:left w:val="nil"/>
              <w:bottom w:val="nil"/>
              <w:right w:val="nil"/>
            </w:tcBorders>
          </w:tcPr>
          <w:p w14:paraId="000000EC" w14:textId="77777777" w:rsidR="002E78B5" w:rsidRDefault="003F478A">
            <w:r>
              <w:t>OTROS</w:t>
            </w:r>
          </w:p>
        </w:tc>
        <w:tc>
          <w:tcPr>
            <w:tcW w:w="900" w:type="dxa"/>
            <w:tcBorders>
              <w:top w:val="nil"/>
              <w:left w:val="nil"/>
              <w:bottom w:val="nil"/>
              <w:right w:val="nil"/>
            </w:tcBorders>
          </w:tcPr>
          <w:p w14:paraId="000000ED" w14:textId="77777777" w:rsidR="002E78B5" w:rsidRDefault="003F478A">
            <w:r>
              <w:t>.791**</w:t>
            </w:r>
          </w:p>
        </w:tc>
        <w:tc>
          <w:tcPr>
            <w:tcW w:w="930" w:type="dxa"/>
            <w:tcBorders>
              <w:top w:val="nil"/>
              <w:left w:val="nil"/>
              <w:bottom w:val="nil"/>
              <w:right w:val="nil"/>
            </w:tcBorders>
          </w:tcPr>
          <w:p w14:paraId="000000EE" w14:textId="77777777" w:rsidR="002E78B5" w:rsidRDefault="003F478A">
            <w:pPr>
              <w:rPr>
                <w:b/>
              </w:rPr>
            </w:pPr>
            <w:r>
              <w:rPr>
                <w:b/>
              </w:rPr>
              <w:t>.684**</w:t>
            </w:r>
          </w:p>
        </w:tc>
        <w:tc>
          <w:tcPr>
            <w:tcW w:w="913" w:type="dxa"/>
            <w:tcBorders>
              <w:top w:val="nil"/>
              <w:left w:val="nil"/>
              <w:bottom w:val="nil"/>
              <w:right w:val="nil"/>
            </w:tcBorders>
          </w:tcPr>
          <w:p w14:paraId="000000EF" w14:textId="77777777" w:rsidR="002E78B5" w:rsidRDefault="003F478A">
            <w:r>
              <w:t>.434**</w:t>
            </w:r>
          </w:p>
        </w:tc>
        <w:tc>
          <w:tcPr>
            <w:tcW w:w="1033" w:type="dxa"/>
            <w:tcBorders>
              <w:top w:val="nil"/>
              <w:left w:val="nil"/>
              <w:bottom w:val="nil"/>
              <w:right w:val="nil"/>
            </w:tcBorders>
          </w:tcPr>
          <w:p w14:paraId="000000F0" w14:textId="77777777" w:rsidR="002E78B5" w:rsidRDefault="003F478A">
            <w:r>
              <w:t>1</w:t>
            </w:r>
          </w:p>
        </w:tc>
        <w:tc>
          <w:tcPr>
            <w:tcW w:w="893" w:type="dxa"/>
            <w:tcBorders>
              <w:top w:val="nil"/>
              <w:left w:val="nil"/>
              <w:bottom w:val="nil"/>
              <w:right w:val="nil"/>
            </w:tcBorders>
          </w:tcPr>
          <w:p w14:paraId="000000F1" w14:textId="77777777" w:rsidR="002E78B5" w:rsidRDefault="002E78B5"/>
        </w:tc>
        <w:tc>
          <w:tcPr>
            <w:tcW w:w="1084" w:type="dxa"/>
            <w:tcBorders>
              <w:top w:val="nil"/>
              <w:left w:val="nil"/>
              <w:bottom w:val="nil"/>
              <w:right w:val="nil"/>
            </w:tcBorders>
          </w:tcPr>
          <w:p w14:paraId="000000F2" w14:textId="77777777" w:rsidR="002E78B5" w:rsidRDefault="002E78B5"/>
        </w:tc>
        <w:tc>
          <w:tcPr>
            <w:tcW w:w="1100" w:type="dxa"/>
            <w:tcBorders>
              <w:top w:val="nil"/>
              <w:left w:val="nil"/>
              <w:bottom w:val="nil"/>
              <w:right w:val="nil"/>
            </w:tcBorders>
          </w:tcPr>
          <w:p w14:paraId="000000F3" w14:textId="77777777" w:rsidR="002E78B5" w:rsidRDefault="002E78B5"/>
        </w:tc>
        <w:tc>
          <w:tcPr>
            <w:tcW w:w="900" w:type="dxa"/>
            <w:tcBorders>
              <w:top w:val="nil"/>
              <w:left w:val="nil"/>
              <w:bottom w:val="nil"/>
              <w:right w:val="nil"/>
            </w:tcBorders>
          </w:tcPr>
          <w:p w14:paraId="000000F4" w14:textId="77777777" w:rsidR="002E78B5" w:rsidRDefault="002E78B5"/>
        </w:tc>
      </w:tr>
      <w:tr w:rsidR="002E78B5" w14:paraId="6D3FC165" w14:textId="77777777">
        <w:tc>
          <w:tcPr>
            <w:tcW w:w="1085" w:type="dxa"/>
            <w:tcBorders>
              <w:top w:val="nil"/>
              <w:left w:val="nil"/>
              <w:bottom w:val="nil"/>
              <w:right w:val="nil"/>
            </w:tcBorders>
          </w:tcPr>
          <w:p w14:paraId="000000F5" w14:textId="77777777" w:rsidR="002E78B5" w:rsidRDefault="003F478A">
            <w:r>
              <w:t>CIRC.</w:t>
            </w:r>
          </w:p>
        </w:tc>
        <w:tc>
          <w:tcPr>
            <w:tcW w:w="900" w:type="dxa"/>
            <w:tcBorders>
              <w:top w:val="nil"/>
              <w:left w:val="nil"/>
              <w:bottom w:val="nil"/>
              <w:right w:val="nil"/>
            </w:tcBorders>
          </w:tcPr>
          <w:p w14:paraId="000000F6" w14:textId="77777777" w:rsidR="002E78B5" w:rsidRDefault="003F478A">
            <w:r>
              <w:t>.781**</w:t>
            </w:r>
          </w:p>
        </w:tc>
        <w:tc>
          <w:tcPr>
            <w:tcW w:w="930" w:type="dxa"/>
            <w:tcBorders>
              <w:top w:val="nil"/>
              <w:left w:val="nil"/>
              <w:bottom w:val="nil"/>
              <w:right w:val="nil"/>
            </w:tcBorders>
          </w:tcPr>
          <w:p w14:paraId="000000F7" w14:textId="77777777" w:rsidR="002E78B5" w:rsidRDefault="003F478A">
            <w:r>
              <w:t>.555*</w:t>
            </w:r>
          </w:p>
        </w:tc>
        <w:tc>
          <w:tcPr>
            <w:tcW w:w="913" w:type="dxa"/>
            <w:tcBorders>
              <w:top w:val="nil"/>
              <w:left w:val="nil"/>
              <w:bottom w:val="nil"/>
              <w:right w:val="nil"/>
            </w:tcBorders>
          </w:tcPr>
          <w:p w14:paraId="000000F8" w14:textId="77777777" w:rsidR="002E78B5" w:rsidRDefault="003F478A">
            <w:r>
              <w:t>.490**</w:t>
            </w:r>
          </w:p>
        </w:tc>
        <w:tc>
          <w:tcPr>
            <w:tcW w:w="1033" w:type="dxa"/>
            <w:tcBorders>
              <w:top w:val="nil"/>
              <w:left w:val="nil"/>
              <w:bottom w:val="nil"/>
              <w:right w:val="nil"/>
            </w:tcBorders>
          </w:tcPr>
          <w:p w14:paraId="000000F9" w14:textId="77777777" w:rsidR="002E78B5" w:rsidRDefault="003F478A">
            <w:pPr>
              <w:rPr>
                <w:b/>
              </w:rPr>
            </w:pPr>
            <w:r>
              <w:rPr>
                <w:b/>
              </w:rPr>
              <w:t>.613**</w:t>
            </w:r>
          </w:p>
        </w:tc>
        <w:tc>
          <w:tcPr>
            <w:tcW w:w="893" w:type="dxa"/>
            <w:tcBorders>
              <w:top w:val="nil"/>
              <w:left w:val="nil"/>
              <w:bottom w:val="nil"/>
              <w:right w:val="nil"/>
            </w:tcBorders>
          </w:tcPr>
          <w:p w14:paraId="000000FA" w14:textId="77777777" w:rsidR="002E78B5" w:rsidRDefault="003F478A">
            <w:r>
              <w:t>1</w:t>
            </w:r>
          </w:p>
        </w:tc>
        <w:tc>
          <w:tcPr>
            <w:tcW w:w="1084" w:type="dxa"/>
            <w:tcBorders>
              <w:top w:val="nil"/>
              <w:left w:val="nil"/>
              <w:bottom w:val="nil"/>
              <w:right w:val="nil"/>
            </w:tcBorders>
          </w:tcPr>
          <w:p w14:paraId="000000FB" w14:textId="77777777" w:rsidR="002E78B5" w:rsidRDefault="002E78B5"/>
        </w:tc>
        <w:tc>
          <w:tcPr>
            <w:tcW w:w="1100" w:type="dxa"/>
            <w:tcBorders>
              <w:top w:val="nil"/>
              <w:left w:val="nil"/>
              <w:bottom w:val="nil"/>
              <w:right w:val="nil"/>
            </w:tcBorders>
          </w:tcPr>
          <w:p w14:paraId="000000FC" w14:textId="77777777" w:rsidR="002E78B5" w:rsidRDefault="002E78B5"/>
        </w:tc>
        <w:tc>
          <w:tcPr>
            <w:tcW w:w="900" w:type="dxa"/>
            <w:tcBorders>
              <w:top w:val="nil"/>
              <w:left w:val="nil"/>
              <w:bottom w:val="nil"/>
              <w:right w:val="nil"/>
            </w:tcBorders>
          </w:tcPr>
          <w:p w14:paraId="000000FD" w14:textId="77777777" w:rsidR="002E78B5" w:rsidRDefault="002E78B5"/>
        </w:tc>
      </w:tr>
      <w:tr w:rsidR="002E78B5" w14:paraId="41EB2E96" w14:textId="77777777">
        <w:tc>
          <w:tcPr>
            <w:tcW w:w="1085" w:type="dxa"/>
            <w:tcBorders>
              <w:top w:val="nil"/>
              <w:left w:val="nil"/>
              <w:bottom w:val="nil"/>
              <w:right w:val="nil"/>
            </w:tcBorders>
          </w:tcPr>
          <w:p w14:paraId="000000FE" w14:textId="77777777" w:rsidR="002E78B5" w:rsidRDefault="003F478A">
            <w:r>
              <w:t>INCLIN</w:t>
            </w:r>
            <w:r>
              <w:rPr>
                <w:sz w:val="22"/>
                <w:szCs w:val="22"/>
              </w:rPr>
              <w:t>.</w:t>
            </w:r>
          </w:p>
        </w:tc>
        <w:tc>
          <w:tcPr>
            <w:tcW w:w="900" w:type="dxa"/>
            <w:tcBorders>
              <w:top w:val="nil"/>
              <w:left w:val="nil"/>
              <w:bottom w:val="nil"/>
              <w:right w:val="nil"/>
            </w:tcBorders>
          </w:tcPr>
          <w:p w14:paraId="000000FF" w14:textId="77777777" w:rsidR="002E78B5" w:rsidRDefault="003F478A">
            <w:r>
              <w:t>.641**</w:t>
            </w:r>
          </w:p>
        </w:tc>
        <w:tc>
          <w:tcPr>
            <w:tcW w:w="930" w:type="dxa"/>
            <w:tcBorders>
              <w:top w:val="nil"/>
              <w:left w:val="nil"/>
              <w:bottom w:val="nil"/>
              <w:right w:val="nil"/>
            </w:tcBorders>
          </w:tcPr>
          <w:p w14:paraId="00000100" w14:textId="77777777" w:rsidR="002E78B5" w:rsidRDefault="003F478A">
            <w:r>
              <w:t>.341**</w:t>
            </w:r>
          </w:p>
        </w:tc>
        <w:tc>
          <w:tcPr>
            <w:tcW w:w="913" w:type="dxa"/>
            <w:tcBorders>
              <w:top w:val="nil"/>
              <w:left w:val="nil"/>
              <w:bottom w:val="nil"/>
              <w:right w:val="nil"/>
            </w:tcBorders>
          </w:tcPr>
          <w:p w14:paraId="00000101" w14:textId="77777777" w:rsidR="002E78B5" w:rsidRDefault="003F478A">
            <w:r>
              <w:t>.551**</w:t>
            </w:r>
          </w:p>
        </w:tc>
        <w:tc>
          <w:tcPr>
            <w:tcW w:w="1033" w:type="dxa"/>
            <w:tcBorders>
              <w:top w:val="nil"/>
              <w:left w:val="nil"/>
              <w:bottom w:val="nil"/>
              <w:right w:val="nil"/>
            </w:tcBorders>
          </w:tcPr>
          <w:p w14:paraId="00000102" w14:textId="77777777" w:rsidR="002E78B5" w:rsidRDefault="003F478A">
            <w:r>
              <w:t>.344**</w:t>
            </w:r>
          </w:p>
        </w:tc>
        <w:tc>
          <w:tcPr>
            <w:tcW w:w="893" w:type="dxa"/>
            <w:tcBorders>
              <w:top w:val="nil"/>
              <w:left w:val="nil"/>
              <w:bottom w:val="nil"/>
              <w:right w:val="nil"/>
            </w:tcBorders>
          </w:tcPr>
          <w:p w14:paraId="00000103" w14:textId="77777777" w:rsidR="002E78B5" w:rsidRDefault="003F478A">
            <w:r>
              <w:t>.383**</w:t>
            </w:r>
          </w:p>
        </w:tc>
        <w:tc>
          <w:tcPr>
            <w:tcW w:w="1084" w:type="dxa"/>
            <w:tcBorders>
              <w:top w:val="nil"/>
              <w:left w:val="nil"/>
              <w:bottom w:val="nil"/>
              <w:right w:val="nil"/>
            </w:tcBorders>
          </w:tcPr>
          <w:p w14:paraId="00000104" w14:textId="77777777" w:rsidR="002E78B5" w:rsidRDefault="003F478A">
            <w:r>
              <w:t>1</w:t>
            </w:r>
          </w:p>
        </w:tc>
        <w:tc>
          <w:tcPr>
            <w:tcW w:w="1100" w:type="dxa"/>
            <w:tcBorders>
              <w:top w:val="nil"/>
              <w:left w:val="nil"/>
              <w:bottom w:val="nil"/>
              <w:right w:val="nil"/>
            </w:tcBorders>
          </w:tcPr>
          <w:p w14:paraId="00000105" w14:textId="77777777" w:rsidR="002E78B5" w:rsidRDefault="002E78B5"/>
        </w:tc>
        <w:tc>
          <w:tcPr>
            <w:tcW w:w="900" w:type="dxa"/>
            <w:tcBorders>
              <w:top w:val="nil"/>
              <w:left w:val="nil"/>
              <w:bottom w:val="nil"/>
              <w:right w:val="nil"/>
            </w:tcBorders>
          </w:tcPr>
          <w:p w14:paraId="00000106" w14:textId="77777777" w:rsidR="002E78B5" w:rsidRDefault="002E78B5"/>
        </w:tc>
      </w:tr>
      <w:tr w:rsidR="002E78B5" w14:paraId="766703BC" w14:textId="77777777">
        <w:tc>
          <w:tcPr>
            <w:tcW w:w="1085" w:type="dxa"/>
            <w:tcBorders>
              <w:top w:val="nil"/>
              <w:left w:val="nil"/>
              <w:bottom w:val="nil"/>
              <w:right w:val="nil"/>
            </w:tcBorders>
          </w:tcPr>
          <w:p w14:paraId="00000107" w14:textId="77777777" w:rsidR="002E78B5" w:rsidRDefault="003F478A">
            <w:r>
              <w:t>PREST.</w:t>
            </w:r>
          </w:p>
        </w:tc>
        <w:tc>
          <w:tcPr>
            <w:tcW w:w="900" w:type="dxa"/>
            <w:tcBorders>
              <w:top w:val="nil"/>
              <w:left w:val="nil"/>
              <w:bottom w:val="nil"/>
              <w:right w:val="nil"/>
            </w:tcBorders>
          </w:tcPr>
          <w:p w14:paraId="00000108" w14:textId="77777777" w:rsidR="002E78B5" w:rsidRDefault="003F478A">
            <w:r>
              <w:t>.717**</w:t>
            </w:r>
          </w:p>
        </w:tc>
        <w:tc>
          <w:tcPr>
            <w:tcW w:w="930" w:type="dxa"/>
            <w:tcBorders>
              <w:top w:val="nil"/>
              <w:left w:val="nil"/>
              <w:bottom w:val="nil"/>
              <w:right w:val="nil"/>
            </w:tcBorders>
          </w:tcPr>
          <w:p w14:paraId="00000109" w14:textId="77777777" w:rsidR="002E78B5" w:rsidRDefault="003F478A">
            <w:r>
              <w:t>.390**</w:t>
            </w:r>
          </w:p>
        </w:tc>
        <w:tc>
          <w:tcPr>
            <w:tcW w:w="913" w:type="dxa"/>
            <w:tcBorders>
              <w:top w:val="nil"/>
              <w:left w:val="nil"/>
              <w:bottom w:val="nil"/>
              <w:right w:val="nil"/>
            </w:tcBorders>
          </w:tcPr>
          <w:p w14:paraId="0000010A" w14:textId="77777777" w:rsidR="002E78B5" w:rsidRDefault="003F478A">
            <w:pPr>
              <w:rPr>
                <w:b/>
              </w:rPr>
            </w:pPr>
            <w:r>
              <w:rPr>
                <w:b/>
              </w:rPr>
              <w:t>.622**</w:t>
            </w:r>
          </w:p>
        </w:tc>
        <w:tc>
          <w:tcPr>
            <w:tcW w:w="1033" w:type="dxa"/>
            <w:tcBorders>
              <w:top w:val="nil"/>
              <w:left w:val="nil"/>
              <w:bottom w:val="nil"/>
              <w:right w:val="nil"/>
            </w:tcBorders>
          </w:tcPr>
          <w:p w14:paraId="0000010B" w14:textId="77777777" w:rsidR="002E78B5" w:rsidRDefault="003F478A">
            <w:r>
              <w:t>.361**</w:t>
            </w:r>
          </w:p>
        </w:tc>
        <w:tc>
          <w:tcPr>
            <w:tcW w:w="893" w:type="dxa"/>
            <w:tcBorders>
              <w:top w:val="nil"/>
              <w:left w:val="nil"/>
              <w:bottom w:val="nil"/>
              <w:right w:val="nil"/>
            </w:tcBorders>
          </w:tcPr>
          <w:p w14:paraId="0000010C" w14:textId="77777777" w:rsidR="002E78B5" w:rsidRDefault="003F478A">
            <w:r>
              <w:t>.</w:t>
            </w:r>
            <w:r>
              <w:rPr>
                <w:b/>
              </w:rPr>
              <w:t>555**</w:t>
            </w:r>
          </w:p>
        </w:tc>
        <w:tc>
          <w:tcPr>
            <w:tcW w:w="1084" w:type="dxa"/>
            <w:tcBorders>
              <w:top w:val="nil"/>
              <w:left w:val="nil"/>
              <w:bottom w:val="nil"/>
              <w:right w:val="nil"/>
            </w:tcBorders>
          </w:tcPr>
          <w:p w14:paraId="0000010D" w14:textId="77777777" w:rsidR="002E78B5" w:rsidRDefault="003F478A">
            <w:r>
              <w:t>.438**</w:t>
            </w:r>
          </w:p>
        </w:tc>
        <w:tc>
          <w:tcPr>
            <w:tcW w:w="1100" w:type="dxa"/>
            <w:tcBorders>
              <w:top w:val="nil"/>
              <w:left w:val="nil"/>
              <w:bottom w:val="nil"/>
              <w:right w:val="nil"/>
            </w:tcBorders>
          </w:tcPr>
          <w:p w14:paraId="0000010E" w14:textId="77777777" w:rsidR="002E78B5" w:rsidRDefault="003F478A">
            <w:r>
              <w:t>1</w:t>
            </w:r>
          </w:p>
        </w:tc>
        <w:tc>
          <w:tcPr>
            <w:tcW w:w="900" w:type="dxa"/>
            <w:tcBorders>
              <w:top w:val="nil"/>
              <w:left w:val="nil"/>
              <w:bottom w:val="nil"/>
              <w:right w:val="nil"/>
            </w:tcBorders>
          </w:tcPr>
          <w:p w14:paraId="0000010F" w14:textId="77777777" w:rsidR="002E78B5" w:rsidRDefault="002E78B5"/>
        </w:tc>
      </w:tr>
      <w:tr w:rsidR="002E78B5" w14:paraId="69073BEE" w14:textId="77777777">
        <w:tc>
          <w:tcPr>
            <w:tcW w:w="1085" w:type="dxa"/>
            <w:tcBorders>
              <w:top w:val="nil"/>
              <w:left w:val="nil"/>
              <w:right w:val="nil"/>
            </w:tcBorders>
          </w:tcPr>
          <w:p w14:paraId="00000110" w14:textId="77777777" w:rsidR="002E78B5" w:rsidRDefault="003F478A">
            <w:r>
              <w:t>BECK</w:t>
            </w:r>
          </w:p>
        </w:tc>
        <w:tc>
          <w:tcPr>
            <w:tcW w:w="900" w:type="dxa"/>
            <w:tcBorders>
              <w:top w:val="nil"/>
              <w:left w:val="nil"/>
              <w:right w:val="nil"/>
            </w:tcBorders>
          </w:tcPr>
          <w:p w14:paraId="00000111" w14:textId="77777777" w:rsidR="002E78B5" w:rsidRDefault="003F478A">
            <w:r>
              <w:t>.083</w:t>
            </w:r>
          </w:p>
        </w:tc>
        <w:tc>
          <w:tcPr>
            <w:tcW w:w="930" w:type="dxa"/>
            <w:tcBorders>
              <w:top w:val="nil"/>
              <w:left w:val="nil"/>
              <w:right w:val="nil"/>
            </w:tcBorders>
          </w:tcPr>
          <w:p w14:paraId="00000112" w14:textId="77777777" w:rsidR="002E78B5" w:rsidRDefault="003F478A">
            <w:r>
              <w:t>.069</w:t>
            </w:r>
          </w:p>
        </w:tc>
        <w:tc>
          <w:tcPr>
            <w:tcW w:w="913" w:type="dxa"/>
            <w:tcBorders>
              <w:top w:val="nil"/>
              <w:left w:val="nil"/>
              <w:right w:val="nil"/>
            </w:tcBorders>
          </w:tcPr>
          <w:p w14:paraId="00000113" w14:textId="77777777" w:rsidR="002E78B5" w:rsidRDefault="003F478A">
            <w:pPr>
              <w:rPr>
                <w:b/>
              </w:rPr>
            </w:pPr>
            <w:r>
              <w:rPr>
                <w:b/>
              </w:rPr>
              <w:t>.087*</w:t>
            </w:r>
          </w:p>
        </w:tc>
        <w:tc>
          <w:tcPr>
            <w:tcW w:w="1033" w:type="dxa"/>
            <w:tcBorders>
              <w:top w:val="nil"/>
              <w:left w:val="nil"/>
              <w:right w:val="nil"/>
            </w:tcBorders>
          </w:tcPr>
          <w:p w14:paraId="00000114" w14:textId="77777777" w:rsidR="002E78B5" w:rsidRDefault="003F478A">
            <w:r>
              <w:t>.059</w:t>
            </w:r>
          </w:p>
        </w:tc>
        <w:tc>
          <w:tcPr>
            <w:tcW w:w="893" w:type="dxa"/>
            <w:tcBorders>
              <w:top w:val="nil"/>
              <w:left w:val="nil"/>
              <w:right w:val="nil"/>
            </w:tcBorders>
          </w:tcPr>
          <w:p w14:paraId="00000115" w14:textId="77777777" w:rsidR="002E78B5" w:rsidRDefault="003F478A">
            <w:r>
              <w:t>.076</w:t>
            </w:r>
          </w:p>
        </w:tc>
        <w:tc>
          <w:tcPr>
            <w:tcW w:w="1084" w:type="dxa"/>
            <w:tcBorders>
              <w:top w:val="nil"/>
              <w:left w:val="nil"/>
              <w:right w:val="nil"/>
            </w:tcBorders>
          </w:tcPr>
          <w:p w14:paraId="00000116" w14:textId="77777777" w:rsidR="002E78B5" w:rsidRDefault="003F478A">
            <w:r>
              <w:t>.003</w:t>
            </w:r>
          </w:p>
        </w:tc>
        <w:tc>
          <w:tcPr>
            <w:tcW w:w="1100" w:type="dxa"/>
            <w:tcBorders>
              <w:top w:val="nil"/>
              <w:left w:val="nil"/>
              <w:right w:val="nil"/>
            </w:tcBorders>
          </w:tcPr>
          <w:p w14:paraId="00000117" w14:textId="77777777" w:rsidR="002E78B5" w:rsidRDefault="003F478A">
            <w:pPr>
              <w:rPr>
                <w:b/>
              </w:rPr>
            </w:pPr>
            <w:r>
              <w:rPr>
                <w:b/>
              </w:rPr>
              <w:t>.097*</w:t>
            </w:r>
          </w:p>
        </w:tc>
        <w:tc>
          <w:tcPr>
            <w:tcW w:w="900" w:type="dxa"/>
            <w:tcBorders>
              <w:top w:val="nil"/>
              <w:left w:val="nil"/>
              <w:right w:val="nil"/>
            </w:tcBorders>
          </w:tcPr>
          <w:p w14:paraId="00000118" w14:textId="77777777" w:rsidR="002E78B5" w:rsidRDefault="003F478A">
            <w:r>
              <w:t>1</w:t>
            </w:r>
          </w:p>
        </w:tc>
      </w:tr>
    </w:tbl>
    <w:p w14:paraId="00000119" w14:textId="77777777" w:rsidR="002E78B5" w:rsidRDefault="003F478A">
      <w:pPr>
        <w:pBdr>
          <w:top w:val="nil"/>
          <w:left w:val="nil"/>
          <w:bottom w:val="nil"/>
          <w:right w:val="nil"/>
          <w:between w:val="nil"/>
        </w:pBdr>
        <w:jc w:val="both"/>
      </w:pPr>
      <w:r>
        <w:rPr>
          <w:i/>
        </w:rPr>
        <w:t>Nota:</w:t>
      </w:r>
      <w:r>
        <w:t xml:space="preserve"> IFIEC (Inventario de Factores que Influyen en la Elección de Carrera), PERS. (Personas), OBJ. (Objetos y acontecimientos físicos en la universidad), OTROS (Otros significativos), CIRC. (Circunstancia social), INCLIN. (Inclinaciones), PREST. (Prestigio soc</w:t>
      </w:r>
      <w:r>
        <w:t>ial de la carrera), BECK (Ansiedad de Beck).</w:t>
      </w:r>
    </w:p>
    <w:p w14:paraId="0000011A" w14:textId="77777777" w:rsidR="002E78B5" w:rsidRDefault="003F478A">
      <w:pPr>
        <w:pBdr>
          <w:top w:val="nil"/>
          <w:left w:val="nil"/>
          <w:bottom w:val="nil"/>
          <w:right w:val="nil"/>
          <w:between w:val="nil"/>
        </w:pBdr>
        <w:spacing w:before="200" w:line="360" w:lineRule="auto"/>
        <w:ind w:firstLine="720"/>
        <w:jc w:val="both"/>
      </w:pPr>
      <w:r>
        <w:lastRenderedPageBreak/>
        <w:t xml:space="preserve">Posteriormente se condujo un Análisis de Varianza (ANOVA de </w:t>
      </w:r>
      <w:proofErr w:type="spellStart"/>
      <w:r>
        <w:t>Tukey</w:t>
      </w:r>
      <w:proofErr w:type="spellEnd"/>
      <w:r>
        <w:t>) con el objetivo de comparar los efectos de las diferentes áreas de elección vocacional reportadas por los estudiantes en los factores que influyen en la elección de carrera (IFIEC) y la var</w:t>
      </w:r>
      <w:r>
        <w:t>iable de ansiedad. Se identificó que hubo un efecto importante en el factor de Circunstancia Social (</w:t>
      </w:r>
      <w:r>
        <w:rPr>
          <w:i/>
        </w:rPr>
        <w:t>p</w:t>
      </w:r>
      <w:r>
        <w:t>=.008) y en Ansiedad (</w:t>
      </w:r>
      <w:r>
        <w:rPr>
          <w:i/>
        </w:rPr>
        <w:t>p</w:t>
      </w:r>
      <w:r>
        <w:t xml:space="preserve">=.000). Los resultados del análisis se muestran en la Tabla 5. </w:t>
      </w:r>
    </w:p>
    <w:p w14:paraId="0000011B" w14:textId="77777777" w:rsidR="002E78B5" w:rsidRDefault="003F478A">
      <w:pPr>
        <w:pBdr>
          <w:top w:val="nil"/>
          <w:left w:val="nil"/>
          <w:bottom w:val="nil"/>
          <w:right w:val="nil"/>
          <w:between w:val="nil"/>
        </w:pBdr>
        <w:spacing w:line="360" w:lineRule="auto"/>
        <w:ind w:firstLine="720"/>
        <w:jc w:val="both"/>
      </w:pPr>
      <w:r>
        <w:t xml:space="preserve">Para </w:t>
      </w:r>
      <w:r>
        <w:rPr>
          <w:highlight w:val="white"/>
        </w:rPr>
        <w:t xml:space="preserve">el factor de circunstancia social, se identificó que el grupo </w:t>
      </w:r>
      <w:r>
        <w:rPr>
          <w:highlight w:val="white"/>
        </w:rPr>
        <w:t xml:space="preserve">de estudiantes de Ciencias Exactas e Ingenierías son quienes muestran valores más altos que los grupos de Ciencias Biológicas y de la Salud, así como como el grupo de Ciencias Sociales (F (4, 510) = 3.512, </w:t>
      </w:r>
      <w:r>
        <w:rPr>
          <w:i/>
          <w:highlight w:val="white"/>
        </w:rPr>
        <w:t>p</w:t>
      </w:r>
      <w:r>
        <w:rPr>
          <w:highlight w:val="white"/>
        </w:rPr>
        <w:t>=.008). En cuanto al constructo de Ansiedad se id</w:t>
      </w:r>
      <w:r>
        <w:rPr>
          <w:highlight w:val="white"/>
        </w:rPr>
        <w:t xml:space="preserve">entificó que los grupos de Ciencias Biológicas y de la Salud y los estudiantes del área de Sociales y Humanidades (F (4, 510) = 12.081, </w:t>
      </w:r>
      <w:r>
        <w:rPr>
          <w:i/>
          <w:highlight w:val="white"/>
        </w:rPr>
        <w:t>p</w:t>
      </w:r>
      <w:r>
        <w:rPr>
          <w:highlight w:val="white"/>
        </w:rPr>
        <w:t xml:space="preserve">=.000) son quienes muestran valores más altos en dicha variable que los participantes de otras áreas. </w:t>
      </w:r>
    </w:p>
    <w:p w14:paraId="0000011C" w14:textId="77777777" w:rsidR="002E78B5" w:rsidRDefault="003F478A">
      <w:pPr>
        <w:pBdr>
          <w:top w:val="nil"/>
          <w:left w:val="nil"/>
          <w:bottom w:val="nil"/>
          <w:right w:val="nil"/>
          <w:between w:val="nil"/>
        </w:pBdr>
        <w:rPr>
          <w:i/>
        </w:rPr>
      </w:pPr>
      <w:r>
        <w:t xml:space="preserve">Tabla 5. </w:t>
      </w:r>
      <w:r>
        <w:br/>
      </w:r>
      <w:proofErr w:type="spellStart"/>
      <w:r>
        <w:rPr>
          <w:i/>
        </w:rPr>
        <w:t>Anova</w:t>
      </w:r>
      <w:proofErr w:type="spellEnd"/>
      <w:r>
        <w:rPr>
          <w:i/>
        </w:rPr>
        <w:t xml:space="preserve"> </w:t>
      </w:r>
      <w:r>
        <w:rPr>
          <w:i/>
        </w:rPr>
        <w:t xml:space="preserve">de </w:t>
      </w:r>
      <w:proofErr w:type="spellStart"/>
      <w:r>
        <w:rPr>
          <w:i/>
        </w:rPr>
        <w:t>Turkey</w:t>
      </w:r>
      <w:proofErr w:type="spellEnd"/>
      <w:r>
        <w:rPr>
          <w:i/>
        </w:rPr>
        <w:t xml:space="preserve"> una vía por área para los factores de la elección de carrera y ansiedad.</w:t>
      </w:r>
    </w:p>
    <w:tbl>
      <w:tblPr>
        <w:tblStyle w:val="a2"/>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4"/>
        <w:gridCol w:w="1318"/>
        <w:gridCol w:w="1217"/>
        <w:gridCol w:w="1230"/>
        <w:gridCol w:w="1234"/>
        <w:gridCol w:w="1207"/>
        <w:gridCol w:w="1250"/>
      </w:tblGrid>
      <w:tr w:rsidR="002E78B5" w14:paraId="55930462" w14:textId="77777777">
        <w:tc>
          <w:tcPr>
            <w:tcW w:w="3222" w:type="dxa"/>
            <w:gridSpan w:val="2"/>
            <w:tcBorders>
              <w:left w:val="nil"/>
              <w:bottom w:val="single" w:sz="4" w:space="0" w:color="000000"/>
              <w:right w:val="nil"/>
            </w:tcBorders>
          </w:tcPr>
          <w:p w14:paraId="0000011D" w14:textId="77777777" w:rsidR="002E78B5" w:rsidRDefault="003F478A">
            <w:pPr>
              <w:jc w:val="center"/>
              <w:rPr>
                <w:b/>
              </w:rPr>
            </w:pPr>
            <w:r>
              <w:rPr>
                <w:b/>
              </w:rPr>
              <w:t>Variable y fuente</w:t>
            </w:r>
          </w:p>
        </w:tc>
        <w:tc>
          <w:tcPr>
            <w:tcW w:w="1217" w:type="dxa"/>
            <w:tcBorders>
              <w:left w:val="nil"/>
              <w:bottom w:val="single" w:sz="4" w:space="0" w:color="000000"/>
              <w:right w:val="nil"/>
            </w:tcBorders>
          </w:tcPr>
          <w:p w14:paraId="0000011F" w14:textId="77777777" w:rsidR="002E78B5" w:rsidRDefault="003F478A">
            <w:pPr>
              <w:jc w:val="center"/>
              <w:rPr>
                <w:b/>
              </w:rPr>
            </w:pPr>
            <w:proofErr w:type="spellStart"/>
            <w:r>
              <w:rPr>
                <w:b/>
                <w:i/>
              </w:rPr>
              <w:t>gl</w:t>
            </w:r>
            <w:proofErr w:type="spellEnd"/>
          </w:p>
        </w:tc>
        <w:tc>
          <w:tcPr>
            <w:tcW w:w="1230" w:type="dxa"/>
            <w:tcBorders>
              <w:left w:val="nil"/>
              <w:bottom w:val="single" w:sz="4" w:space="0" w:color="000000"/>
              <w:right w:val="nil"/>
            </w:tcBorders>
          </w:tcPr>
          <w:p w14:paraId="00000120" w14:textId="77777777" w:rsidR="002E78B5" w:rsidRDefault="003F478A">
            <w:pPr>
              <w:jc w:val="center"/>
              <w:rPr>
                <w:b/>
              </w:rPr>
            </w:pPr>
            <w:r>
              <w:rPr>
                <w:b/>
                <w:i/>
              </w:rPr>
              <w:t>SS</w:t>
            </w:r>
          </w:p>
        </w:tc>
        <w:tc>
          <w:tcPr>
            <w:tcW w:w="1234" w:type="dxa"/>
            <w:tcBorders>
              <w:left w:val="nil"/>
              <w:bottom w:val="single" w:sz="4" w:space="0" w:color="000000"/>
              <w:right w:val="nil"/>
            </w:tcBorders>
          </w:tcPr>
          <w:p w14:paraId="00000121" w14:textId="77777777" w:rsidR="002E78B5" w:rsidRDefault="003F478A">
            <w:pPr>
              <w:jc w:val="center"/>
              <w:rPr>
                <w:b/>
              </w:rPr>
            </w:pPr>
            <w:r>
              <w:rPr>
                <w:b/>
                <w:i/>
              </w:rPr>
              <w:t>MS</w:t>
            </w:r>
          </w:p>
        </w:tc>
        <w:tc>
          <w:tcPr>
            <w:tcW w:w="1207" w:type="dxa"/>
            <w:tcBorders>
              <w:left w:val="nil"/>
              <w:bottom w:val="single" w:sz="4" w:space="0" w:color="000000"/>
              <w:right w:val="nil"/>
            </w:tcBorders>
          </w:tcPr>
          <w:p w14:paraId="00000122" w14:textId="77777777" w:rsidR="002E78B5" w:rsidRDefault="003F478A">
            <w:pPr>
              <w:jc w:val="center"/>
              <w:rPr>
                <w:b/>
              </w:rPr>
            </w:pPr>
            <w:r>
              <w:rPr>
                <w:b/>
                <w:i/>
              </w:rPr>
              <w:t>F</w:t>
            </w:r>
          </w:p>
        </w:tc>
        <w:tc>
          <w:tcPr>
            <w:tcW w:w="1250" w:type="dxa"/>
            <w:tcBorders>
              <w:left w:val="nil"/>
              <w:bottom w:val="single" w:sz="4" w:space="0" w:color="000000"/>
              <w:right w:val="nil"/>
            </w:tcBorders>
          </w:tcPr>
          <w:p w14:paraId="00000123" w14:textId="77777777" w:rsidR="002E78B5" w:rsidRDefault="003F478A">
            <w:pPr>
              <w:jc w:val="center"/>
              <w:rPr>
                <w:b/>
              </w:rPr>
            </w:pPr>
            <w:r>
              <w:rPr>
                <w:b/>
              </w:rPr>
              <w:t>Sig.</w:t>
            </w:r>
          </w:p>
        </w:tc>
      </w:tr>
      <w:tr w:rsidR="002E78B5" w14:paraId="041C052A" w14:textId="77777777">
        <w:tc>
          <w:tcPr>
            <w:tcW w:w="1904" w:type="dxa"/>
            <w:vMerge w:val="restart"/>
            <w:tcBorders>
              <w:left w:val="nil"/>
              <w:bottom w:val="nil"/>
              <w:right w:val="nil"/>
            </w:tcBorders>
          </w:tcPr>
          <w:p w14:paraId="00000124" w14:textId="77777777" w:rsidR="002E78B5" w:rsidRDefault="003F478A">
            <w:pPr>
              <w:rPr>
                <w:b/>
              </w:rPr>
            </w:pPr>
            <w:r>
              <w:rPr>
                <w:b/>
              </w:rPr>
              <w:t>IFIEC</w:t>
            </w:r>
          </w:p>
        </w:tc>
        <w:tc>
          <w:tcPr>
            <w:tcW w:w="1318" w:type="dxa"/>
            <w:tcBorders>
              <w:left w:val="nil"/>
              <w:bottom w:val="nil"/>
              <w:right w:val="nil"/>
            </w:tcBorders>
          </w:tcPr>
          <w:p w14:paraId="00000125" w14:textId="77777777" w:rsidR="002E78B5" w:rsidRDefault="003F478A">
            <w:pPr>
              <w:rPr>
                <w:b/>
                <w:sz w:val="18"/>
                <w:szCs w:val="18"/>
              </w:rPr>
            </w:pPr>
            <w:r>
              <w:rPr>
                <w:sz w:val="18"/>
                <w:szCs w:val="18"/>
              </w:rPr>
              <w:t>Entre grupos</w:t>
            </w:r>
          </w:p>
        </w:tc>
        <w:tc>
          <w:tcPr>
            <w:tcW w:w="1217" w:type="dxa"/>
            <w:tcBorders>
              <w:left w:val="nil"/>
              <w:bottom w:val="nil"/>
              <w:right w:val="nil"/>
            </w:tcBorders>
          </w:tcPr>
          <w:p w14:paraId="00000126" w14:textId="77777777" w:rsidR="002E78B5" w:rsidRDefault="003F478A">
            <w:pPr>
              <w:jc w:val="center"/>
            </w:pPr>
            <w:r>
              <w:t>.706</w:t>
            </w:r>
          </w:p>
        </w:tc>
        <w:tc>
          <w:tcPr>
            <w:tcW w:w="1230" w:type="dxa"/>
            <w:tcBorders>
              <w:left w:val="nil"/>
              <w:bottom w:val="nil"/>
              <w:right w:val="nil"/>
            </w:tcBorders>
          </w:tcPr>
          <w:p w14:paraId="00000127" w14:textId="77777777" w:rsidR="002E78B5" w:rsidRDefault="003F478A">
            <w:pPr>
              <w:jc w:val="center"/>
            </w:pPr>
            <w:r>
              <w:t>.176</w:t>
            </w:r>
          </w:p>
        </w:tc>
        <w:tc>
          <w:tcPr>
            <w:tcW w:w="1234" w:type="dxa"/>
            <w:tcBorders>
              <w:left w:val="nil"/>
              <w:bottom w:val="nil"/>
              <w:right w:val="nil"/>
            </w:tcBorders>
          </w:tcPr>
          <w:p w14:paraId="00000128" w14:textId="77777777" w:rsidR="002E78B5" w:rsidRDefault="003F478A">
            <w:pPr>
              <w:jc w:val="center"/>
            </w:pPr>
            <w:r>
              <w:t>.706</w:t>
            </w:r>
          </w:p>
        </w:tc>
        <w:tc>
          <w:tcPr>
            <w:tcW w:w="1207" w:type="dxa"/>
            <w:tcBorders>
              <w:left w:val="nil"/>
              <w:bottom w:val="nil"/>
              <w:right w:val="nil"/>
            </w:tcBorders>
          </w:tcPr>
          <w:p w14:paraId="00000129" w14:textId="77777777" w:rsidR="002E78B5" w:rsidRDefault="003F478A">
            <w:pPr>
              <w:jc w:val="center"/>
            </w:pPr>
            <w:r>
              <w:t>.280</w:t>
            </w:r>
          </w:p>
        </w:tc>
        <w:tc>
          <w:tcPr>
            <w:tcW w:w="1250" w:type="dxa"/>
            <w:tcBorders>
              <w:left w:val="nil"/>
              <w:bottom w:val="nil"/>
              <w:right w:val="nil"/>
            </w:tcBorders>
          </w:tcPr>
          <w:p w14:paraId="0000012A" w14:textId="77777777" w:rsidR="002E78B5" w:rsidRDefault="003F478A">
            <w:pPr>
              <w:jc w:val="center"/>
            </w:pPr>
            <w:r>
              <w:t>.891</w:t>
            </w:r>
          </w:p>
        </w:tc>
      </w:tr>
      <w:tr w:rsidR="002E78B5" w14:paraId="41FEBC67" w14:textId="77777777">
        <w:tc>
          <w:tcPr>
            <w:tcW w:w="1904" w:type="dxa"/>
            <w:vMerge/>
            <w:tcBorders>
              <w:left w:val="nil"/>
              <w:bottom w:val="nil"/>
              <w:right w:val="nil"/>
            </w:tcBorders>
          </w:tcPr>
          <w:p w14:paraId="0000012B" w14:textId="77777777" w:rsidR="002E78B5" w:rsidRDefault="002E78B5">
            <w:pPr>
              <w:widowControl w:val="0"/>
              <w:spacing w:line="276" w:lineRule="auto"/>
            </w:pPr>
          </w:p>
        </w:tc>
        <w:tc>
          <w:tcPr>
            <w:tcW w:w="1318" w:type="dxa"/>
            <w:tcBorders>
              <w:top w:val="nil"/>
              <w:left w:val="nil"/>
              <w:bottom w:val="nil"/>
              <w:right w:val="nil"/>
            </w:tcBorders>
          </w:tcPr>
          <w:p w14:paraId="0000012C" w14:textId="77777777" w:rsidR="002E78B5" w:rsidRDefault="003F478A">
            <w:pPr>
              <w:rPr>
                <w:b/>
                <w:sz w:val="18"/>
                <w:szCs w:val="18"/>
              </w:rPr>
            </w:pPr>
            <w:proofErr w:type="spellStart"/>
            <w:r>
              <w:rPr>
                <w:sz w:val="18"/>
                <w:szCs w:val="18"/>
              </w:rPr>
              <w:t>Intragrupos</w:t>
            </w:r>
            <w:proofErr w:type="spellEnd"/>
          </w:p>
        </w:tc>
        <w:tc>
          <w:tcPr>
            <w:tcW w:w="1217" w:type="dxa"/>
            <w:tcBorders>
              <w:top w:val="nil"/>
              <w:left w:val="nil"/>
              <w:bottom w:val="nil"/>
              <w:right w:val="nil"/>
            </w:tcBorders>
          </w:tcPr>
          <w:p w14:paraId="0000012D" w14:textId="77777777" w:rsidR="002E78B5" w:rsidRDefault="003F478A">
            <w:pPr>
              <w:jc w:val="center"/>
            </w:pPr>
            <w:r>
              <w:t>321.885</w:t>
            </w:r>
          </w:p>
        </w:tc>
        <w:tc>
          <w:tcPr>
            <w:tcW w:w="1230" w:type="dxa"/>
            <w:tcBorders>
              <w:top w:val="nil"/>
              <w:left w:val="nil"/>
              <w:bottom w:val="nil"/>
              <w:right w:val="nil"/>
            </w:tcBorders>
          </w:tcPr>
          <w:p w14:paraId="0000012E" w14:textId="77777777" w:rsidR="002E78B5" w:rsidRDefault="003F478A">
            <w:pPr>
              <w:jc w:val="center"/>
            </w:pPr>
            <w:r>
              <w:t>.631</w:t>
            </w:r>
          </w:p>
        </w:tc>
        <w:tc>
          <w:tcPr>
            <w:tcW w:w="1234" w:type="dxa"/>
            <w:tcBorders>
              <w:top w:val="nil"/>
              <w:left w:val="nil"/>
              <w:bottom w:val="nil"/>
              <w:right w:val="nil"/>
            </w:tcBorders>
          </w:tcPr>
          <w:p w14:paraId="0000012F" w14:textId="77777777" w:rsidR="002E78B5" w:rsidRDefault="003F478A">
            <w:pPr>
              <w:jc w:val="center"/>
            </w:pPr>
            <w:r>
              <w:t>321.885</w:t>
            </w:r>
          </w:p>
        </w:tc>
        <w:tc>
          <w:tcPr>
            <w:tcW w:w="1207" w:type="dxa"/>
            <w:tcBorders>
              <w:top w:val="nil"/>
              <w:left w:val="nil"/>
              <w:bottom w:val="nil"/>
              <w:right w:val="nil"/>
            </w:tcBorders>
          </w:tcPr>
          <w:p w14:paraId="00000130" w14:textId="77777777" w:rsidR="002E78B5" w:rsidRDefault="002E78B5">
            <w:pPr>
              <w:jc w:val="center"/>
            </w:pPr>
          </w:p>
        </w:tc>
        <w:tc>
          <w:tcPr>
            <w:tcW w:w="1250" w:type="dxa"/>
            <w:tcBorders>
              <w:top w:val="nil"/>
              <w:left w:val="nil"/>
              <w:bottom w:val="nil"/>
              <w:right w:val="nil"/>
            </w:tcBorders>
          </w:tcPr>
          <w:p w14:paraId="00000131" w14:textId="77777777" w:rsidR="002E78B5" w:rsidRDefault="002E78B5">
            <w:pPr>
              <w:jc w:val="center"/>
            </w:pPr>
          </w:p>
        </w:tc>
      </w:tr>
      <w:tr w:rsidR="002E78B5" w14:paraId="648E9255" w14:textId="77777777">
        <w:tc>
          <w:tcPr>
            <w:tcW w:w="1904" w:type="dxa"/>
            <w:vMerge w:val="restart"/>
            <w:tcBorders>
              <w:top w:val="nil"/>
              <w:left w:val="nil"/>
              <w:bottom w:val="nil"/>
              <w:right w:val="nil"/>
            </w:tcBorders>
          </w:tcPr>
          <w:p w14:paraId="00000132" w14:textId="77777777" w:rsidR="002E78B5" w:rsidRDefault="003F478A">
            <w:pPr>
              <w:rPr>
                <w:b/>
              </w:rPr>
            </w:pPr>
            <w:r>
              <w:rPr>
                <w:b/>
              </w:rPr>
              <w:t>Personas significativas</w:t>
            </w:r>
          </w:p>
        </w:tc>
        <w:tc>
          <w:tcPr>
            <w:tcW w:w="1318" w:type="dxa"/>
            <w:tcBorders>
              <w:top w:val="nil"/>
              <w:left w:val="nil"/>
              <w:bottom w:val="nil"/>
              <w:right w:val="nil"/>
            </w:tcBorders>
          </w:tcPr>
          <w:p w14:paraId="00000133" w14:textId="77777777" w:rsidR="002E78B5" w:rsidRDefault="003F478A">
            <w:pPr>
              <w:rPr>
                <w:b/>
                <w:sz w:val="18"/>
                <w:szCs w:val="18"/>
              </w:rPr>
            </w:pPr>
            <w:r>
              <w:rPr>
                <w:sz w:val="18"/>
                <w:szCs w:val="18"/>
              </w:rPr>
              <w:t>Entre grupos</w:t>
            </w:r>
          </w:p>
        </w:tc>
        <w:tc>
          <w:tcPr>
            <w:tcW w:w="1217" w:type="dxa"/>
            <w:tcBorders>
              <w:top w:val="nil"/>
              <w:left w:val="nil"/>
              <w:bottom w:val="nil"/>
              <w:right w:val="nil"/>
            </w:tcBorders>
          </w:tcPr>
          <w:p w14:paraId="00000134" w14:textId="77777777" w:rsidR="002E78B5" w:rsidRDefault="003F478A">
            <w:pPr>
              <w:jc w:val="center"/>
            </w:pPr>
            <w:r>
              <w:t>510</w:t>
            </w:r>
          </w:p>
        </w:tc>
        <w:tc>
          <w:tcPr>
            <w:tcW w:w="1230" w:type="dxa"/>
            <w:tcBorders>
              <w:top w:val="nil"/>
              <w:left w:val="nil"/>
              <w:bottom w:val="nil"/>
              <w:right w:val="nil"/>
            </w:tcBorders>
          </w:tcPr>
          <w:p w14:paraId="00000135" w14:textId="77777777" w:rsidR="002E78B5" w:rsidRDefault="003F478A">
            <w:pPr>
              <w:jc w:val="center"/>
            </w:pPr>
            <w:r>
              <w:t>.749</w:t>
            </w:r>
          </w:p>
        </w:tc>
        <w:tc>
          <w:tcPr>
            <w:tcW w:w="1234" w:type="dxa"/>
            <w:tcBorders>
              <w:top w:val="nil"/>
              <w:left w:val="nil"/>
              <w:bottom w:val="nil"/>
              <w:right w:val="nil"/>
            </w:tcBorders>
          </w:tcPr>
          <w:p w14:paraId="00000136" w14:textId="77777777" w:rsidR="002E78B5" w:rsidRDefault="003F478A">
            <w:pPr>
              <w:jc w:val="center"/>
            </w:pPr>
            <w:r>
              <w:t>2.995</w:t>
            </w:r>
          </w:p>
        </w:tc>
        <w:tc>
          <w:tcPr>
            <w:tcW w:w="1207" w:type="dxa"/>
            <w:tcBorders>
              <w:top w:val="nil"/>
              <w:left w:val="nil"/>
              <w:bottom w:val="nil"/>
              <w:right w:val="nil"/>
            </w:tcBorders>
          </w:tcPr>
          <w:p w14:paraId="00000137" w14:textId="77777777" w:rsidR="002E78B5" w:rsidRDefault="003F478A">
            <w:pPr>
              <w:jc w:val="center"/>
            </w:pPr>
            <w:r>
              <w:t>.586</w:t>
            </w:r>
          </w:p>
        </w:tc>
        <w:tc>
          <w:tcPr>
            <w:tcW w:w="1250" w:type="dxa"/>
            <w:tcBorders>
              <w:top w:val="nil"/>
              <w:left w:val="nil"/>
              <w:bottom w:val="nil"/>
              <w:right w:val="nil"/>
            </w:tcBorders>
          </w:tcPr>
          <w:p w14:paraId="00000138" w14:textId="77777777" w:rsidR="002E78B5" w:rsidRDefault="003F478A">
            <w:pPr>
              <w:jc w:val="center"/>
            </w:pPr>
            <w:r>
              <w:t>.673</w:t>
            </w:r>
          </w:p>
        </w:tc>
      </w:tr>
      <w:tr w:rsidR="002E78B5" w14:paraId="4C90BBB1" w14:textId="77777777">
        <w:tc>
          <w:tcPr>
            <w:tcW w:w="1904" w:type="dxa"/>
            <w:vMerge/>
            <w:tcBorders>
              <w:top w:val="nil"/>
              <w:left w:val="nil"/>
              <w:bottom w:val="nil"/>
              <w:right w:val="nil"/>
            </w:tcBorders>
          </w:tcPr>
          <w:p w14:paraId="00000139" w14:textId="77777777" w:rsidR="002E78B5" w:rsidRDefault="002E78B5">
            <w:pPr>
              <w:widowControl w:val="0"/>
              <w:spacing w:line="276" w:lineRule="auto"/>
            </w:pPr>
          </w:p>
        </w:tc>
        <w:tc>
          <w:tcPr>
            <w:tcW w:w="1318" w:type="dxa"/>
            <w:tcBorders>
              <w:top w:val="nil"/>
              <w:left w:val="nil"/>
              <w:bottom w:val="nil"/>
              <w:right w:val="nil"/>
            </w:tcBorders>
          </w:tcPr>
          <w:p w14:paraId="0000013A" w14:textId="77777777" w:rsidR="002E78B5" w:rsidRDefault="003F478A">
            <w:pPr>
              <w:rPr>
                <w:b/>
                <w:sz w:val="18"/>
                <w:szCs w:val="18"/>
              </w:rPr>
            </w:pPr>
            <w:proofErr w:type="spellStart"/>
            <w:r>
              <w:rPr>
                <w:sz w:val="18"/>
                <w:szCs w:val="18"/>
              </w:rPr>
              <w:t>Intragrupos</w:t>
            </w:r>
            <w:proofErr w:type="spellEnd"/>
          </w:p>
        </w:tc>
        <w:tc>
          <w:tcPr>
            <w:tcW w:w="1217" w:type="dxa"/>
            <w:tcBorders>
              <w:top w:val="nil"/>
              <w:left w:val="nil"/>
              <w:bottom w:val="nil"/>
              <w:right w:val="nil"/>
            </w:tcBorders>
          </w:tcPr>
          <w:p w14:paraId="0000013B" w14:textId="77777777" w:rsidR="002E78B5" w:rsidRDefault="003F478A">
            <w:pPr>
              <w:jc w:val="center"/>
            </w:pPr>
            <w:r>
              <w:t>514</w:t>
            </w:r>
          </w:p>
        </w:tc>
        <w:tc>
          <w:tcPr>
            <w:tcW w:w="1230" w:type="dxa"/>
            <w:tcBorders>
              <w:top w:val="nil"/>
              <w:left w:val="nil"/>
              <w:bottom w:val="nil"/>
              <w:right w:val="nil"/>
            </w:tcBorders>
          </w:tcPr>
          <w:p w14:paraId="0000013C" w14:textId="77777777" w:rsidR="002E78B5" w:rsidRDefault="003F478A">
            <w:pPr>
              <w:jc w:val="center"/>
            </w:pPr>
            <w:r>
              <w:t>1.278</w:t>
            </w:r>
          </w:p>
        </w:tc>
        <w:tc>
          <w:tcPr>
            <w:tcW w:w="1234" w:type="dxa"/>
            <w:tcBorders>
              <w:top w:val="nil"/>
              <w:left w:val="nil"/>
              <w:bottom w:val="nil"/>
              <w:right w:val="nil"/>
            </w:tcBorders>
          </w:tcPr>
          <w:p w14:paraId="0000013D" w14:textId="77777777" w:rsidR="002E78B5" w:rsidRDefault="003F478A">
            <w:pPr>
              <w:jc w:val="center"/>
            </w:pPr>
            <w:r>
              <w:t>651.900</w:t>
            </w:r>
          </w:p>
        </w:tc>
        <w:tc>
          <w:tcPr>
            <w:tcW w:w="1207" w:type="dxa"/>
            <w:tcBorders>
              <w:top w:val="nil"/>
              <w:left w:val="nil"/>
              <w:bottom w:val="nil"/>
              <w:right w:val="nil"/>
            </w:tcBorders>
          </w:tcPr>
          <w:p w14:paraId="0000013E" w14:textId="77777777" w:rsidR="002E78B5" w:rsidRDefault="002E78B5">
            <w:pPr>
              <w:jc w:val="center"/>
            </w:pPr>
          </w:p>
        </w:tc>
        <w:tc>
          <w:tcPr>
            <w:tcW w:w="1250" w:type="dxa"/>
            <w:tcBorders>
              <w:top w:val="nil"/>
              <w:left w:val="nil"/>
              <w:bottom w:val="nil"/>
              <w:right w:val="nil"/>
            </w:tcBorders>
          </w:tcPr>
          <w:p w14:paraId="0000013F" w14:textId="77777777" w:rsidR="002E78B5" w:rsidRDefault="002E78B5">
            <w:pPr>
              <w:jc w:val="center"/>
            </w:pPr>
          </w:p>
        </w:tc>
      </w:tr>
      <w:tr w:rsidR="002E78B5" w14:paraId="677D55F5" w14:textId="77777777">
        <w:tc>
          <w:tcPr>
            <w:tcW w:w="1904" w:type="dxa"/>
            <w:vMerge w:val="restart"/>
            <w:tcBorders>
              <w:top w:val="nil"/>
              <w:left w:val="nil"/>
              <w:right w:val="nil"/>
            </w:tcBorders>
          </w:tcPr>
          <w:p w14:paraId="00000140" w14:textId="77777777" w:rsidR="002E78B5" w:rsidRDefault="003F478A">
            <w:pPr>
              <w:rPr>
                <w:b/>
              </w:rPr>
            </w:pPr>
            <w:r>
              <w:rPr>
                <w:b/>
              </w:rPr>
              <w:t>Objetos y acontecimientos físicos</w:t>
            </w:r>
          </w:p>
        </w:tc>
        <w:tc>
          <w:tcPr>
            <w:tcW w:w="1318" w:type="dxa"/>
            <w:tcBorders>
              <w:top w:val="nil"/>
              <w:left w:val="nil"/>
              <w:bottom w:val="nil"/>
              <w:right w:val="nil"/>
            </w:tcBorders>
          </w:tcPr>
          <w:p w14:paraId="00000141" w14:textId="77777777" w:rsidR="002E78B5" w:rsidRDefault="003F478A">
            <w:pPr>
              <w:rPr>
                <w:b/>
                <w:sz w:val="18"/>
                <w:szCs w:val="18"/>
              </w:rPr>
            </w:pPr>
            <w:r>
              <w:rPr>
                <w:sz w:val="18"/>
                <w:szCs w:val="18"/>
              </w:rPr>
              <w:t>Entre grupos</w:t>
            </w:r>
          </w:p>
        </w:tc>
        <w:tc>
          <w:tcPr>
            <w:tcW w:w="1217" w:type="dxa"/>
            <w:tcBorders>
              <w:top w:val="nil"/>
              <w:left w:val="nil"/>
              <w:bottom w:val="nil"/>
              <w:right w:val="nil"/>
            </w:tcBorders>
          </w:tcPr>
          <w:p w14:paraId="00000142" w14:textId="77777777" w:rsidR="002E78B5" w:rsidRDefault="003F478A">
            <w:pPr>
              <w:jc w:val="center"/>
            </w:pPr>
            <w:r>
              <w:t>4</w:t>
            </w:r>
          </w:p>
        </w:tc>
        <w:tc>
          <w:tcPr>
            <w:tcW w:w="1230" w:type="dxa"/>
            <w:tcBorders>
              <w:top w:val="nil"/>
              <w:left w:val="nil"/>
              <w:bottom w:val="nil"/>
              <w:right w:val="nil"/>
            </w:tcBorders>
          </w:tcPr>
          <w:p w14:paraId="00000143" w14:textId="77777777" w:rsidR="002E78B5" w:rsidRDefault="003F478A">
            <w:pPr>
              <w:jc w:val="center"/>
            </w:pPr>
            <w:r>
              <w:t>.681</w:t>
            </w:r>
          </w:p>
        </w:tc>
        <w:tc>
          <w:tcPr>
            <w:tcW w:w="1234" w:type="dxa"/>
            <w:tcBorders>
              <w:top w:val="nil"/>
              <w:left w:val="nil"/>
              <w:bottom w:val="nil"/>
              <w:right w:val="nil"/>
            </w:tcBorders>
          </w:tcPr>
          <w:p w14:paraId="00000144" w14:textId="77777777" w:rsidR="002E78B5" w:rsidRDefault="003F478A">
            <w:pPr>
              <w:jc w:val="center"/>
            </w:pPr>
            <w:r>
              <w:t>2.723</w:t>
            </w:r>
          </w:p>
        </w:tc>
        <w:tc>
          <w:tcPr>
            <w:tcW w:w="1207" w:type="dxa"/>
            <w:tcBorders>
              <w:top w:val="nil"/>
              <w:left w:val="nil"/>
              <w:bottom w:val="nil"/>
              <w:right w:val="nil"/>
            </w:tcBorders>
          </w:tcPr>
          <w:p w14:paraId="00000145" w14:textId="77777777" w:rsidR="002E78B5" w:rsidRDefault="003F478A">
            <w:pPr>
              <w:jc w:val="center"/>
            </w:pPr>
            <w:r>
              <w:t>.623</w:t>
            </w:r>
          </w:p>
        </w:tc>
        <w:tc>
          <w:tcPr>
            <w:tcW w:w="1250" w:type="dxa"/>
            <w:tcBorders>
              <w:top w:val="nil"/>
              <w:left w:val="nil"/>
              <w:bottom w:val="nil"/>
              <w:right w:val="nil"/>
            </w:tcBorders>
          </w:tcPr>
          <w:p w14:paraId="00000146" w14:textId="77777777" w:rsidR="002E78B5" w:rsidRDefault="003F478A">
            <w:pPr>
              <w:jc w:val="center"/>
            </w:pPr>
            <w:r>
              <w:t>.646</w:t>
            </w:r>
          </w:p>
        </w:tc>
      </w:tr>
      <w:tr w:rsidR="002E78B5" w14:paraId="4E577DFB" w14:textId="77777777">
        <w:tc>
          <w:tcPr>
            <w:tcW w:w="1904" w:type="dxa"/>
            <w:vMerge/>
            <w:tcBorders>
              <w:top w:val="nil"/>
              <w:left w:val="nil"/>
              <w:right w:val="nil"/>
            </w:tcBorders>
          </w:tcPr>
          <w:p w14:paraId="00000147" w14:textId="77777777" w:rsidR="002E78B5" w:rsidRDefault="002E78B5">
            <w:pPr>
              <w:widowControl w:val="0"/>
              <w:spacing w:line="276" w:lineRule="auto"/>
            </w:pPr>
          </w:p>
        </w:tc>
        <w:tc>
          <w:tcPr>
            <w:tcW w:w="1318" w:type="dxa"/>
            <w:tcBorders>
              <w:top w:val="nil"/>
              <w:left w:val="nil"/>
              <w:bottom w:val="nil"/>
              <w:right w:val="nil"/>
            </w:tcBorders>
          </w:tcPr>
          <w:p w14:paraId="00000148" w14:textId="77777777" w:rsidR="002E78B5" w:rsidRDefault="003F478A">
            <w:pPr>
              <w:rPr>
                <w:b/>
                <w:sz w:val="18"/>
                <w:szCs w:val="18"/>
              </w:rPr>
            </w:pPr>
            <w:proofErr w:type="spellStart"/>
            <w:r>
              <w:rPr>
                <w:sz w:val="18"/>
                <w:szCs w:val="18"/>
              </w:rPr>
              <w:t>Intragrupos</w:t>
            </w:r>
            <w:proofErr w:type="spellEnd"/>
          </w:p>
        </w:tc>
        <w:tc>
          <w:tcPr>
            <w:tcW w:w="1217" w:type="dxa"/>
            <w:tcBorders>
              <w:top w:val="nil"/>
              <w:left w:val="nil"/>
              <w:bottom w:val="nil"/>
              <w:right w:val="nil"/>
            </w:tcBorders>
          </w:tcPr>
          <w:p w14:paraId="00000149" w14:textId="77777777" w:rsidR="002E78B5" w:rsidRDefault="003F478A">
            <w:pPr>
              <w:jc w:val="center"/>
            </w:pPr>
            <w:r>
              <w:t>507</w:t>
            </w:r>
          </w:p>
        </w:tc>
        <w:tc>
          <w:tcPr>
            <w:tcW w:w="1230" w:type="dxa"/>
            <w:tcBorders>
              <w:top w:val="nil"/>
              <w:left w:val="nil"/>
              <w:bottom w:val="nil"/>
              <w:right w:val="nil"/>
            </w:tcBorders>
          </w:tcPr>
          <w:p w14:paraId="0000014A" w14:textId="77777777" w:rsidR="002E78B5" w:rsidRDefault="003F478A">
            <w:pPr>
              <w:jc w:val="center"/>
            </w:pPr>
            <w:r>
              <w:t>1.093</w:t>
            </w:r>
          </w:p>
        </w:tc>
        <w:tc>
          <w:tcPr>
            <w:tcW w:w="1234" w:type="dxa"/>
            <w:tcBorders>
              <w:top w:val="nil"/>
              <w:left w:val="nil"/>
              <w:bottom w:val="nil"/>
              <w:right w:val="nil"/>
            </w:tcBorders>
          </w:tcPr>
          <w:p w14:paraId="0000014B" w14:textId="77777777" w:rsidR="002E78B5" w:rsidRDefault="003F478A">
            <w:pPr>
              <w:jc w:val="center"/>
            </w:pPr>
            <w:r>
              <w:t>553.908</w:t>
            </w:r>
          </w:p>
        </w:tc>
        <w:tc>
          <w:tcPr>
            <w:tcW w:w="1207" w:type="dxa"/>
            <w:tcBorders>
              <w:top w:val="nil"/>
              <w:left w:val="nil"/>
              <w:bottom w:val="nil"/>
              <w:right w:val="nil"/>
            </w:tcBorders>
          </w:tcPr>
          <w:p w14:paraId="0000014C" w14:textId="77777777" w:rsidR="002E78B5" w:rsidRDefault="002E78B5">
            <w:pPr>
              <w:jc w:val="center"/>
            </w:pPr>
          </w:p>
        </w:tc>
        <w:tc>
          <w:tcPr>
            <w:tcW w:w="1250" w:type="dxa"/>
            <w:tcBorders>
              <w:top w:val="nil"/>
              <w:left w:val="nil"/>
              <w:bottom w:val="nil"/>
              <w:right w:val="nil"/>
            </w:tcBorders>
          </w:tcPr>
          <w:p w14:paraId="0000014D" w14:textId="77777777" w:rsidR="002E78B5" w:rsidRDefault="002E78B5">
            <w:pPr>
              <w:jc w:val="center"/>
            </w:pPr>
          </w:p>
        </w:tc>
      </w:tr>
      <w:tr w:rsidR="002E78B5" w14:paraId="0D88E831" w14:textId="77777777">
        <w:tc>
          <w:tcPr>
            <w:tcW w:w="1904" w:type="dxa"/>
            <w:vMerge w:val="restart"/>
            <w:tcBorders>
              <w:top w:val="nil"/>
              <w:left w:val="nil"/>
              <w:right w:val="nil"/>
            </w:tcBorders>
          </w:tcPr>
          <w:p w14:paraId="0000014E" w14:textId="77777777" w:rsidR="002E78B5" w:rsidRDefault="003F478A">
            <w:pPr>
              <w:rPr>
                <w:b/>
              </w:rPr>
            </w:pPr>
            <w:r>
              <w:rPr>
                <w:b/>
              </w:rPr>
              <w:t>Otros significativos</w:t>
            </w:r>
          </w:p>
        </w:tc>
        <w:tc>
          <w:tcPr>
            <w:tcW w:w="1318" w:type="dxa"/>
            <w:tcBorders>
              <w:top w:val="nil"/>
              <w:left w:val="nil"/>
              <w:bottom w:val="nil"/>
              <w:right w:val="nil"/>
            </w:tcBorders>
          </w:tcPr>
          <w:p w14:paraId="0000014F" w14:textId="77777777" w:rsidR="002E78B5" w:rsidRDefault="003F478A">
            <w:pPr>
              <w:rPr>
                <w:b/>
                <w:sz w:val="18"/>
                <w:szCs w:val="18"/>
              </w:rPr>
            </w:pPr>
            <w:r>
              <w:rPr>
                <w:sz w:val="18"/>
                <w:szCs w:val="18"/>
              </w:rPr>
              <w:t>Entre grupos</w:t>
            </w:r>
          </w:p>
        </w:tc>
        <w:tc>
          <w:tcPr>
            <w:tcW w:w="1217" w:type="dxa"/>
            <w:tcBorders>
              <w:top w:val="nil"/>
              <w:left w:val="nil"/>
              <w:bottom w:val="nil"/>
              <w:right w:val="nil"/>
            </w:tcBorders>
          </w:tcPr>
          <w:p w14:paraId="00000150" w14:textId="77777777" w:rsidR="002E78B5" w:rsidRDefault="003F478A">
            <w:pPr>
              <w:jc w:val="center"/>
            </w:pPr>
            <w:r>
              <w:t>4</w:t>
            </w:r>
          </w:p>
        </w:tc>
        <w:tc>
          <w:tcPr>
            <w:tcW w:w="1230" w:type="dxa"/>
            <w:tcBorders>
              <w:top w:val="nil"/>
              <w:left w:val="nil"/>
              <w:bottom w:val="nil"/>
              <w:right w:val="nil"/>
            </w:tcBorders>
          </w:tcPr>
          <w:p w14:paraId="00000151" w14:textId="77777777" w:rsidR="002E78B5" w:rsidRDefault="003F478A">
            <w:pPr>
              <w:jc w:val="center"/>
            </w:pPr>
            <w:r>
              <w:t>.807</w:t>
            </w:r>
          </w:p>
        </w:tc>
        <w:tc>
          <w:tcPr>
            <w:tcW w:w="1234" w:type="dxa"/>
            <w:tcBorders>
              <w:top w:val="nil"/>
              <w:left w:val="nil"/>
              <w:bottom w:val="nil"/>
              <w:right w:val="nil"/>
            </w:tcBorders>
          </w:tcPr>
          <w:p w14:paraId="00000152" w14:textId="77777777" w:rsidR="002E78B5" w:rsidRDefault="003F478A">
            <w:pPr>
              <w:jc w:val="center"/>
            </w:pPr>
            <w:r>
              <w:t>3.229</w:t>
            </w:r>
          </w:p>
        </w:tc>
        <w:tc>
          <w:tcPr>
            <w:tcW w:w="1207" w:type="dxa"/>
            <w:tcBorders>
              <w:top w:val="nil"/>
              <w:left w:val="nil"/>
              <w:bottom w:val="nil"/>
              <w:right w:val="nil"/>
            </w:tcBorders>
          </w:tcPr>
          <w:p w14:paraId="00000153" w14:textId="77777777" w:rsidR="002E78B5" w:rsidRDefault="003F478A">
            <w:pPr>
              <w:jc w:val="center"/>
            </w:pPr>
            <w:r>
              <w:t>.782</w:t>
            </w:r>
          </w:p>
        </w:tc>
        <w:tc>
          <w:tcPr>
            <w:tcW w:w="1250" w:type="dxa"/>
            <w:tcBorders>
              <w:top w:val="nil"/>
              <w:left w:val="nil"/>
              <w:bottom w:val="nil"/>
              <w:right w:val="nil"/>
            </w:tcBorders>
          </w:tcPr>
          <w:p w14:paraId="00000154" w14:textId="77777777" w:rsidR="002E78B5" w:rsidRDefault="003F478A">
            <w:pPr>
              <w:jc w:val="center"/>
            </w:pPr>
            <w:r>
              <w:t>.537</w:t>
            </w:r>
          </w:p>
        </w:tc>
      </w:tr>
      <w:tr w:rsidR="002E78B5" w14:paraId="584069C1" w14:textId="77777777">
        <w:tc>
          <w:tcPr>
            <w:tcW w:w="1904" w:type="dxa"/>
            <w:vMerge/>
            <w:tcBorders>
              <w:top w:val="nil"/>
              <w:left w:val="nil"/>
              <w:right w:val="nil"/>
            </w:tcBorders>
          </w:tcPr>
          <w:p w14:paraId="00000155" w14:textId="77777777" w:rsidR="002E78B5" w:rsidRDefault="002E78B5">
            <w:pPr>
              <w:widowControl w:val="0"/>
              <w:spacing w:line="276" w:lineRule="auto"/>
            </w:pPr>
          </w:p>
        </w:tc>
        <w:tc>
          <w:tcPr>
            <w:tcW w:w="1318" w:type="dxa"/>
            <w:tcBorders>
              <w:top w:val="nil"/>
              <w:left w:val="nil"/>
              <w:bottom w:val="nil"/>
              <w:right w:val="nil"/>
            </w:tcBorders>
          </w:tcPr>
          <w:p w14:paraId="00000156" w14:textId="77777777" w:rsidR="002E78B5" w:rsidRDefault="003F478A">
            <w:pPr>
              <w:rPr>
                <w:b/>
                <w:sz w:val="18"/>
                <w:szCs w:val="18"/>
              </w:rPr>
            </w:pPr>
            <w:proofErr w:type="spellStart"/>
            <w:r>
              <w:rPr>
                <w:sz w:val="18"/>
                <w:szCs w:val="18"/>
              </w:rPr>
              <w:t>Intragrupos</w:t>
            </w:r>
            <w:proofErr w:type="spellEnd"/>
          </w:p>
        </w:tc>
        <w:tc>
          <w:tcPr>
            <w:tcW w:w="1217" w:type="dxa"/>
            <w:tcBorders>
              <w:top w:val="nil"/>
              <w:left w:val="nil"/>
              <w:bottom w:val="nil"/>
              <w:right w:val="nil"/>
            </w:tcBorders>
          </w:tcPr>
          <w:p w14:paraId="00000157" w14:textId="77777777" w:rsidR="002E78B5" w:rsidRDefault="003F478A">
            <w:pPr>
              <w:jc w:val="center"/>
            </w:pPr>
            <w:r>
              <w:t>510</w:t>
            </w:r>
          </w:p>
        </w:tc>
        <w:tc>
          <w:tcPr>
            <w:tcW w:w="1230" w:type="dxa"/>
            <w:tcBorders>
              <w:top w:val="nil"/>
              <w:left w:val="nil"/>
              <w:bottom w:val="nil"/>
              <w:right w:val="nil"/>
            </w:tcBorders>
          </w:tcPr>
          <w:p w14:paraId="00000158" w14:textId="77777777" w:rsidR="002E78B5" w:rsidRDefault="003F478A">
            <w:pPr>
              <w:jc w:val="center"/>
            </w:pPr>
            <w:r>
              <w:t>1.032</w:t>
            </w:r>
          </w:p>
        </w:tc>
        <w:tc>
          <w:tcPr>
            <w:tcW w:w="1234" w:type="dxa"/>
            <w:tcBorders>
              <w:top w:val="nil"/>
              <w:left w:val="nil"/>
              <w:bottom w:val="nil"/>
              <w:right w:val="nil"/>
            </w:tcBorders>
          </w:tcPr>
          <w:p w14:paraId="00000159" w14:textId="77777777" w:rsidR="002E78B5" w:rsidRDefault="003F478A">
            <w:pPr>
              <w:jc w:val="center"/>
            </w:pPr>
            <w:r>
              <w:t>526.216</w:t>
            </w:r>
          </w:p>
        </w:tc>
        <w:tc>
          <w:tcPr>
            <w:tcW w:w="1207" w:type="dxa"/>
            <w:tcBorders>
              <w:top w:val="nil"/>
              <w:left w:val="nil"/>
              <w:bottom w:val="nil"/>
              <w:right w:val="nil"/>
            </w:tcBorders>
          </w:tcPr>
          <w:p w14:paraId="0000015A" w14:textId="77777777" w:rsidR="002E78B5" w:rsidRDefault="002E78B5">
            <w:pPr>
              <w:jc w:val="center"/>
            </w:pPr>
          </w:p>
        </w:tc>
        <w:tc>
          <w:tcPr>
            <w:tcW w:w="1250" w:type="dxa"/>
            <w:tcBorders>
              <w:top w:val="nil"/>
              <w:left w:val="nil"/>
              <w:bottom w:val="nil"/>
              <w:right w:val="nil"/>
            </w:tcBorders>
          </w:tcPr>
          <w:p w14:paraId="0000015B" w14:textId="77777777" w:rsidR="002E78B5" w:rsidRDefault="002E78B5">
            <w:pPr>
              <w:jc w:val="center"/>
            </w:pPr>
          </w:p>
        </w:tc>
      </w:tr>
      <w:tr w:rsidR="002E78B5" w14:paraId="3A25F5AB" w14:textId="77777777">
        <w:tc>
          <w:tcPr>
            <w:tcW w:w="1904" w:type="dxa"/>
            <w:vMerge w:val="restart"/>
            <w:tcBorders>
              <w:top w:val="nil"/>
              <w:left w:val="nil"/>
              <w:right w:val="nil"/>
            </w:tcBorders>
          </w:tcPr>
          <w:p w14:paraId="0000015C" w14:textId="77777777" w:rsidR="002E78B5" w:rsidRDefault="003F478A">
            <w:pPr>
              <w:rPr>
                <w:b/>
              </w:rPr>
            </w:pPr>
            <w:r>
              <w:rPr>
                <w:b/>
              </w:rPr>
              <w:t>Circunstancia Social</w:t>
            </w:r>
          </w:p>
        </w:tc>
        <w:tc>
          <w:tcPr>
            <w:tcW w:w="1318" w:type="dxa"/>
            <w:tcBorders>
              <w:top w:val="nil"/>
              <w:left w:val="nil"/>
              <w:bottom w:val="nil"/>
              <w:right w:val="nil"/>
            </w:tcBorders>
          </w:tcPr>
          <w:p w14:paraId="0000015D" w14:textId="77777777" w:rsidR="002E78B5" w:rsidRDefault="003F478A">
            <w:pPr>
              <w:rPr>
                <w:b/>
              </w:rPr>
            </w:pPr>
            <w:r>
              <w:rPr>
                <w:sz w:val="18"/>
                <w:szCs w:val="18"/>
              </w:rPr>
              <w:t>Entre grupos</w:t>
            </w:r>
          </w:p>
        </w:tc>
        <w:tc>
          <w:tcPr>
            <w:tcW w:w="1217" w:type="dxa"/>
            <w:tcBorders>
              <w:top w:val="nil"/>
              <w:left w:val="nil"/>
              <w:bottom w:val="nil"/>
              <w:right w:val="nil"/>
            </w:tcBorders>
          </w:tcPr>
          <w:p w14:paraId="0000015E" w14:textId="77777777" w:rsidR="002E78B5" w:rsidRDefault="003F478A">
            <w:pPr>
              <w:jc w:val="center"/>
            </w:pPr>
            <w:r>
              <w:t>4</w:t>
            </w:r>
          </w:p>
        </w:tc>
        <w:tc>
          <w:tcPr>
            <w:tcW w:w="1230" w:type="dxa"/>
            <w:tcBorders>
              <w:top w:val="nil"/>
              <w:left w:val="nil"/>
              <w:bottom w:val="nil"/>
              <w:right w:val="nil"/>
            </w:tcBorders>
          </w:tcPr>
          <w:p w14:paraId="0000015F" w14:textId="77777777" w:rsidR="002E78B5" w:rsidRDefault="003F478A">
            <w:pPr>
              <w:jc w:val="center"/>
            </w:pPr>
            <w:r>
              <w:t>3.274</w:t>
            </w:r>
          </w:p>
        </w:tc>
        <w:tc>
          <w:tcPr>
            <w:tcW w:w="1234" w:type="dxa"/>
            <w:tcBorders>
              <w:top w:val="nil"/>
              <w:left w:val="nil"/>
              <w:bottom w:val="nil"/>
              <w:right w:val="nil"/>
            </w:tcBorders>
          </w:tcPr>
          <w:p w14:paraId="00000160" w14:textId="77777777" w:rsidR="002E78B5" w:rsidRDefault="003F478A">
            <w:pPr>
              <w:jc w:val="center"/>
            </w:pPr>
            <w:r>
              <w:t>13.094</w:t>
            </w:r>
          </w:p>
        </w:tc>
        <w:tc>
          <w:tcPr>
            <w:tcW w:w="1207" w:type="dxa"/>
            <w:tcBorders>
              <w:top w:val="nil"/>
              <w:left w:val="nil"/>
              <w:bottom w:val="nil"/>
              <w:right w:val="nil"/>
            </w:tcBorders>
          </w:tcPr>
          <w:p w14:paraId="00000161" w14:textId="77777777" w:rsidR="002E78B5" w:rsidRDefault="003F478A">
            <w:pPr>
              <w:jc w:val="center"/>
            </w:pPr>
            <w:r>
              <w:t>3.512</w:t>
            </w:r>
          </w:p>
        </w:tc>
        <w:tc>
          <w:tcPr>
            <w:tcW w:w="1250" w:type="dxa"/>
            <w:tcBorders>
              <w:top w:val="nil"/>
              <w:left w:val="nil"/>
              <w:bottom w:val="nil"/>
              <w:right w:val="nil"/>
            </w:tcBorders>
          </w:tcPr>
          <w:p w14:paraId="00000162" w14:textId="77777777" w:rsidR="002E78B5" w:rsidRDefault="003F478A">
            <w:pPr>
              <w:jc w:val="center"/>
              <w:rPr>
                <w:b/>
              </w:rPr>
            </w:pPr>
            <w:r>
              <w:rPr>
                <w:b/>
              </w:rPr>
              <w:t>.008*</w:t>
            </w:r>
          </w:p>
        </w:tc>
      </w:tr>
      <w:tr w:rsidR="002E78B5" w14:paraId="5D4E71D1" w14:textId="77777777">
        <w:tc>
          <w:tcPr>
            <w:tcW w:w="1904" w:type="dxa"/>
            <w:vMerge/>
            <w:tcBorders>
              <w:top w:val="nil"/>
              <w:left w:val="nil"/>
              <w:right w:val="nil"/>
            </w:tcBorders>
          </w:tcPr>
          <w:p w14:paraId="00000163" w14:textId="77777777" w:rsidR="002E78B5" w:rsidRDefault="002E78B5">
            <w:pPr>
              <w:widowControl w:val="0"/>
              <w:spacing w:line="276" w:lineRule="auto"/>
              <w:rPr>
                <w:b/>
              </w:rPr>
            </w:pPr>
          </w:p>
        </w:tc>
        <w:tc>
          <w:tcPr>
            <w:tcW w:w="1318" w:type="dxa"/>
            <w:tcBorders>
              <w:top w:val="nil"/>
              <w:left w:val="nil"/>
              <w:bottom w:val="nil"/>
              <w:right w:val="nil"/>
            </w:tcBorders>
          </w:tcPr>
          <w:p w14:paraId="00000164" w14:textId="77777777" w:rsidR="002E78B5" w:rsidRDefault="003F478A">
            <w:pPr>
              <w:rPr>
                <w:b/>
              </w:rPr>
            </w:pPr>
            <w:proofErr w:type="spellStart"/>
            <w:r>
              <w:rPr>
                <w:sz w:val="18"/>
                <w:szCs w:val="18"/>
              </w:rPr>
              <w:t>Intragrupos</w:t>
            </w:r>
            <w:proofErr w:type="spellEnd"/>
          </w:p>
        </w:tc>
        <w:tc>
          <w:tcPr>
            <w:tcW w:w="1217" w:type="dxa"/>
            <w:tcBorders>
              <w:top w:val="nil"/>
              <w:left w:val="nil"/>
              <w:bottom w:val="nil"/>
              <w:right w:val="nil"/>
            </w:tcBorders>
          </w:tcPr>
          <w:p w14:paraId="00000165" w14:textId="77777777" w:rsidR="002E78B5" w:rsidRDefault="003F478A">
            <w:pPr>
              <w:jc w:val="center"/>
            </w:pPr>
            <w:r>
              <w:t>510</w:t>
            </w:r>
          </w:p>
        </w:tc>
        <w:tc>
          <w:tcPr>
            <w:tcW w:w="1230" w:type="dxa"/>
            <w:tcBorders>
              <w:top w:val="nil"/>
              <w:left w:val="nil"/>
              <w:bottom w:val="nil"/>
              <w:right w:val="nil"/>
            </w:tcBorders>
          </w:tcPr>
          <w:p w14:paraId="00000166" w14:textId="77777777" w:rsidR="002E78B5" w:rsidRDefault="003F478A">
            <w:pPr>
              <w:jc w:val="center"/>
            </w:pPr>
            <w:r>
              <w:t>.932</w:t>
            </w:r>
          </w:p>
        </w:tc>
        <w:tc>
          <w:tcPr>
            <w:tcW w:w="1234" w:type="dxa"/>
            <w:tcBorders>
              <w:top w:val="nil"/>
              <w:left w:val="nil"/>
              <w:bottom w:val="nil"/>
              <w:right w:val="nil"/>
            </w:tcBorders>
          </w:tcPr>
          <w:p w14:paraId="00000167" w14:textId="77777777" w:rsidR="002E78B5" w:rsidRDefault="003F478A">
            <w:pPr>
              <w:jc w:val="center"/>
            </w:pPr>
            <w:r>
              <w:t>475.317</w:t>
            </w:r>
          </w:p>
        </w:tc>
        <w:tc>
          <w:tcPr>
            <w:tcW w:w="1207" w:type="dxa"/>
            <w:tcBorders>
              <w:top w:val="nil"/>
              <w:left w:val="nil"/>
              <w:bottom w:val="nil"/>
              <w:right w:val="nil"/>
            </w:tcBorders>
          </w:tcPr>
          <w:p w14:paraId="00000168" w14:textId="77777777" w:rsidR="002E78B5" w:rsidRDefault="002E78B5">
            <w:pPr>
              <w:jc w:val="center"/>
            </w:pPr>
          </w:p>
        </w:tc>
        <w:tc>
          <w:tcPr>
            <w:tcW w:w="1250" w:type="dxa"/>
            <w:tcBorders>
              <w:top w:val="nil"/>
              <w:left w:val="nil"/>
              <w:bottom w:val="nil"/>
              <w:right w:val="nil"/>
            </w:tcBorders>
          </w:tcPr>
          <w:p w14:paraId="00000169" w14:textId="77777777" w:rsidR="002E78B5" w:rsidRDefault="002E78B5">
            <w:pPr>
              <w:jc w:val="center"/>
            </w:pPr>
          </w:p>
        </w:tc>
      </w:tr>
      <w:tr w:rsidR="002E78B5" w14:paraId="257150D2" w14:textId="77777777">
        <w:tc>
          <w:tcPr>
            <w:tcW w:w="1904" w:type="dxa"/>
            <w:vMerge w:val="restart"/>
            <w:tcBorders>
              <w:top w:val="nil"/>
              <w:left w:val="nil"/>
              <w:right w:val="nil"/>
            </w:tcBorders>
          </w:tcPr>
          <w:p w14:paraId="0000016A" w14:textId="77777777" w:rsidR="002E78B5" w:rsidRDefault="003F478A">
            <w:pPr>
              <w:rPr>
                <w:b/>
              </w:rPr>
            </w:pPr>
            <w:r>
              <w:rPr>
                <w:b/>
              </w:rPr>
              <w:t>Inclinaciones</w:t>
            </w:r>
          </w:p>
        </w:tc>
        <w:tc>
          <w:tcPr>
            <w:tcW w:w="1318" w:type="dxa"/>
            <w:tcBorders>
              <w:top w:val="nil"/>
              <w:left w:val="nil"/>
              <w:bottom w:val="nil"/>
              <w:right w:val="nil"/>
            </w:tcBorders>
          </w:tcPr>
          <w:p w14:paraId="0000016B" w14:textId="77777777" w:rsidR="002E78B5" w:rsidRDefault="003F478A">
            <w:pPr>
              <w:rPr>
                <w:b/>
              </w:rPr>
            </w:pPr>
            <w:r>
              <w:rPr>
                <w:sz w:val="18"/>
                <w:szCs w:val="18"/>
              </w:rPr>
              <w:t>Entre grupos</w:t>
            </w:r>
          </w:p>
        </w:tc>
        <w:tc>
          <w:tcPr>
            <w:tcW w:w="1217" w:type="dxa"/>
            <w:tcBorders>
              <w:top w:val="nil"/>
              <w:left w:val="nil"/>
              <w:bottom w:val="nil"/>
              <w:right w:val="nil"/>
            </w:tcBorders>
          </w:tcPr>
          <w:p w14:paraId="0000016C" w14:textId="77777777" w:rsidR="002E78B5" w:rsidRDefault="003F478A">
            <w:pPr>
              <w:jc w:val="center"/>
            </w:pPr>
            <w:r>
              <w:t>4</w:t>
            </w:r>
          </w:p>
        </w:tc>
        <w:tc>
          <w:tcPr>
            <w:tcW w:w="1230" w:type="dxa"/>
            <w:tcBorders>
              <w:top w:val="nil"/>
              <w:left w:val="nil"/>
              <w:bottom w:val="nil"/>
              <w:right w:val="nil"/>
            </w:tcBorders>
          </w:tcPr>
          <w:p w14:paraId="0000016D" w14:textId="77777777" w:rsidR="002E78B5" w:rsidRDefault="003F478A">
            <w:pPr>
              <w:jc w:val="center"/>
            </w:pPr>
            <w:r>
              <w:t>3.274</w:t>
            </w:r>
          </w:p>
        </w:tc>
        <w:tc>
          <w:tcPr>
            <w:tcW w:w="1234" w:type="dxa"/>
            <w:tcBorders>
              <w:top w:val="nil"/>
              <w:left w:val="nil"/>
              <w:bottom w:val="nil"/>
              <w:right w:val="nil"/>
            </w:tcBorders>
          </w:tcPr>
          <w:p w14:paraId="0000016E" w14:textId="77777777" w:rsidR="002E78B5" w:rsidRDefault="003F478A">
            <w:pPr>
              <w:jc w:val="center"/>
            </w:pPr>
            <w:r>
              <w:t>.925</w:t>
            </w:r>
          </w:p>
        </w:tc>
        <w:tc>
          <w:tcPr>
            <w:tcW w:w="1207" w:type="dxa"/>
            <w:tcBorders>
              <w:top w:val="nil"/>
              <w:left w:val="nil"/>
              <w:bottom w:val="nil"/>
              <w:right w:val="nil"/>
            </w:tcBorders>
          </w:tcPr>
          <w:p w14:paraId="0000016F" w14:textId="77777777" w:rsidR="002E78B5" w:rsidRDefault="003F478A">
            <w:pPr>
              <w:jc w:val="center"/>
            </w:pPr>
            <w:r>
              <w:t>.206</w:t>
            </w:r>
          </w:p>
        </w:tc>
        <w:tc>
          <w:tcPr>
            <w:tcW w:w="1250" w:type="dxa"/>
            <w:tcBorders>
              <w:top w:val="nil"/>
              <w:left w:val="nil"/>
              <w:bottom w:val="nil"/>
              <w:right w:val="nil"/>
            </w:tcBorders>
          </w:tcPr>
          <w:p w14:paraId="00000170" w14:textId="77777777" w:rsidR="002E78B5" w:rsidRDefault="003F478A">
            <w:pPr>
              <w:jc w:val="center"/>
            </w:pPr>
            <w:r>
              <w:t>.935</w:t>
            </w:r>
          </w:p>
        </w:tc>
      </w:tr>
      <w:tr w:rsidR="002E78B5" w14:paraId="07363F5D" w14:textId="77777777">
        <w:tc>
          <w:tcPr>
            <w:tcW w:w="1904" w:type="dxa"/>
            <w:vMerge/>
            <w:tcBorders>
              <w:top w:val="nil"/>
              <w:left w:val="nil"/>
              <w:right w:val="nil"/>
            </w:tcBorders>
          </w:tcPr>
          <w:p w14:paraId="00000171" w14:textId="77777777" w:rsidR="002E78B5" w:rsidRDefault="002E78B5">
            <w:pPr>
              <w:widowControl w:val="0"/>
              <w:spacing w:line="276" w:lineRule="auto"/>
            </w:pPr>
          </w:p>
        </w:tc>
        <w:tc>
          <w:tcPr>
            <w:tcW w:w="1318" w:type="dxa"/>
            <w:tcBorders>
              <w:top w:val="nil"/>
              <w:left w:val="nil"/>
              <w:bottom w:val="nil"/>
              <w:right w:val="nil"/>
            </w:tcBorders>
          </w:tcPr>
          <w:p w14:paraId="00000172" w14:textId="77777777" w:rsidR="002E78B5" w:rsidRDefault="003F478A">
            <w:pPr>
              <w:rPr>
                <w:b/>
              </w:rPr>
            </w:pPr>
            <w:proofErr w:type="spellStart"/>
            <w:r>
              <w:rPr>
                <w:sz w:val="18"/>
                <w:szCs w:val="18"/>
              </w:rPr>
              <w:t>Intragrupos</w:t>
            </w:r>
            <w:proofErr w:type="spellEnd"/>
          </w:p>
        </w:tc>
        <w:tc>
          <w:tcPr>
            <w:tcW w:w="1217" w:type="dxa"/>
            <w:tcBorders>
              <w:top w:val="nil"/>
              <w:left w:val="nil"/>
              <w:bottom w:val="nil"/>
              <w:right w:val="nil"/>
            </w:tcBorders>
          </w:tcPr>
          <w:p w14:paraId="00000173" w14:textId="77777777" w:rsidR="002E78B5" w:rsidRDefault="003F478A">
            <w:pPr>
              <w:jc w:val="center"/>
            </w:pPr>
            <w:r>
              <w:t>507</w:t>
            </w:r>
          </w:p>
        </w:tc>
        <w:tc>
          <w:tcPr>
            <w:tcW w:w="1230" w:type="dxa"/>
            <w:tcBorders>
              <w:top w:val="nil"/>
              <w:left w:val="nil"/>
              <w:bottom w:val="nil"/>
              <w:right w:val="nil"/>
            </w:tcBorders>
          </w:tcPr>
          <w:p w14:paraId="00000174" w14:textId="77777777" w:rsidR="002E78B5" w:rsidRDefault="003F478A">
            <w:pPr>
              <w:jc w:val="center"/>
            </w:pPr>
            <w:r>
              <w:t>.932</w:t>
            </w:r>
          </w:p>
        </w:tc>
        <w:tc>
          <w:tcPr>
            <w:tcW w:w="1234" w:type="dxa"/>
            <w:tcBorders>
              <w:top w:val="nil"/>
              <w:left w:val="nil"/>
              <w:bottom w:val="nil"/>
              <w:right w:val="nil"/>
            </w:tcBorders>
          </w:tcPr>
          <w:p w14:paraId="00000175" w14:textId="77777777" w:rsidR="002E78B5" w:rsidRDefault="003F478A">
            <w:pPr>
              <w:jc w:val="center"/>
            </w:pPr>
            <w:r>
              <w:t>568.294</w:t>
            </w:r>
          </w:p>
        </w:tc>
        <w:tc>
          <w:tcPr>
            <w:tcW w:w="1207" w:type="dxa"/>
            <w:tcBorders>
              <w:top w:val="nil"/>
              <w:left w:val="nil"/>
              <w:bottom w:val="nil"/>
              <w:right w:val="nil"/>
            </w:tcBorders>
          </w:tcPr>
          <w:p w14:paraId="00000176" w14:textId="77777777" w:rsidR="002E78B5" w:rsidRDefault="002E78B5">
            <w:pPr>
              <w:jc w:val="center"/>
            </w:pPr>
          </w:p>
        </w:tc>
        <w:tc>
          <w:tcPr>
            <w:tcW w:w="1250" w:type="dxa"/>
            <w:tcBorders>
              <w:top w:val="nil"/>
              <w:left w:val="nil"/>
              <w:bottom w:val="nil"/>
              <w:right w:val="nil"/>
            </w:tcBorders>
          </w:tcPr>
          <w:p w14:paraId="00000177" w14:textId="77777777" w:rsidR="002E78B5" w:rsidRDefault="002E78B5">
            <w:pPr>
              <w:jc w:val="center"/>
            </w:pPr>
          </w:p>
        </w:tc>
      </w:tr>
      <w:tr w:rsidR="002E78B5" w14:paraId="472999AB" w14:textId="77777777">
        <w:tc>
          <w:tcPr>
            <w:tcW w:w="1904" w:type="dxa"/>
            <w:vMerge w:val="restart"/>
            <w:tcBorders>
              <w:top w:val="nil"/>
              <w:left w:val="nil"/>
              <w:right w:val="nil"/>
            </w:tcBorders>
          </w:tcPr>
          <w:p w14:paraId="00000178" w14:textId="77777777" w:rsidR="002E78B5" w:rsidRDefault="003F478A">
            <w:pPr>
              <w:rPr>
                <w:b/>
              </w:rPr>
            </w:pPr>
            <w:r>
              <w:rPr>
                <w:b/>
              </w:rPr>
              <w:t>Prestigio social de la carrera</w:t>
            </w:r>
          </w:p>
        </w:tc>
        <w:tc>
          <w:tcPr>
            <w:tcW w:w="1318" w:type="dxa"/>
            <w:tcBorders>
              <w:top w:val="nil"/>
              <w:left w:val="nil"/>
              <w:bottom w:val="nil"/>
              <w:right w:val="nil"/>
            </w:tcBorders>
          </w:tcPr>
          <w:p w14:paraId="00000179" w14:textId="77777777" w:rsidR="002E78B5" w:rsidRDefault="003F478A">
            <w:pPr>
              <w:rPr>
                <w:b/>
              </w:rPr>
            </w:pPr>
            <w:r>
              <w:rPr>
                <w:sz w:val="18"/>
                <w:szCs w:val="18"/>
              </w:rPr>
              <w:t>Entre grupos</w:t>
            </w:r>
          </w:p>
        </w:tc>
        <w:tc>
          <w:tcPr>
            <w:tcW w:w="1217" w:type="dxa"/>
            <w:tcBorders>
              <w:top w:val="nil"/>
              <w:left w:val="nil"/>
              <w:bottom w:val="nil"/>
              <w:right w:val="nil"/>
            </w:tcBorders>
          </w:tcPr>
          <w:p w14:paraId="0000017A" w14:textId="77777777" w:rsidR="002E78B5" w:rsidRDefault="003F478A">
            <w:pPr>
              <w:jc w:val="center"/>
            </w:pPr>
            <w:r>
              <w:t>4</w:t>
            </w:r>
          </w:p>
        </w:tc>
        <w:tc>
          <w:tcPr>
            <w:tcW w:w="1230" w:type="dxa"/>
            <w:tcBorders>
              <w:top w:val="nil"/>
              <w:left w:val="nil"/>
              <w:bottom w:val="nil"/>
              <w:right w:val="nil"/>
            </w:tcBorders>
          </w:tcPr>
          <w:p w14:paraId="0000017B" w14:textId="77777777" w:rsidR="002E78B5" w:rsidRDefault="003F478A">
            <w:pPr>
              <w:jc w:val="center"/>
            </w:pPr>
            <w:r>
              <w:t>1.813</w:t>
            </w:r>
          </w:p>
        </w:tc>
        <w:tc>
          <w:tcPr>
            <w:tcW w:w="1234" w:type="dxa"/>
            <w:tcBorders>
              <w:top w:val="nil"/>
              <w:left w:val="nil"/>
              <w:bottom w:val="nil"/>
              <w:right w:val="nil"/>
            </w:tcBorders>
          </w:tcPr>
          <w:p w14:paraId="0000017C" w14:textId="77777777" w:rsidR="002E78B5" w:rsidRDefault="003F478A">
            <w:pPr>
              <w:jc w:val="center"/>
            </w:pPr>
            <w:r>
              <w:t>7.250</w:t>
            </w:r>
          </w:p>
        </w:tc>
        <w:tc>
          <w:tcPr>
            <w:tcW w:w="1207" w:type="dxa"/>
            <w:tcBorders>
              <w:top w:val="nil"/>
              <w:left w:val="nil"/>
              <w:bottom w:val="nil"/>
              <w:right w:val="nil"/>
            </w:tcBorders>
          </w:tcPr>
          <w:p w14:paraId="0000017D" w14:textId="77777777" w:rsidR="002E78B5" w:rsidRDefault="003F478A">
            <w:pPr>
              <w:jc w:val="center"/>
            </w:pPr>
            <w:r>
              <w:t>1.521</w:t>
            </w:r>
          </w:p>
        </w:tc>
        <w:tc>
          <w:tcPr>
            <w:tcW w:w="1250" w:type="dxa"/>
            <w:tcBorders>
              <w:top w:val="nil"/>
              <w:left w:val="nil"/>
              <w:bottom w:val="nil"/>
              <w:right w:val="nil"/>
            </w:tcBorders>
          </w:tcPr>
          <w:p w14:paraId="0000017E" w14:textId="77777777" w:rsidR="002E78B5" w:rsidRDefault="003F478A">
            <w:pPr>
              <w:jc w:val="center"/>
            </w:pPr>
            <w:r>
              <w:t>.195</w:t>
            </w:r>
          </w:p>
        </w:tc>
      </w:tr>
      <w:tr w:rsidR="002E78B5" w14:paraId="21F90885" w14:textId="77777777">
        <w:tc>
          <w:tcPr>
            <w:tcW w:w="1904" w:type="dxa"/>
            <w:vMerge/>
            <w:tcBorders>
              <w:top w:val="nil"/>
              <w:left w:val="nil"/>
              <w:right w:val="nil"/>
            </w:tcBorders>
          </w:tcPr>
          <w:p w14:paraId="0000017F" w14:textId="77777777" w:rsidR="002E78B5" w:rsidRDefault="002E78B5">
            <w:pPr>
              <w:widowControl w:val="0"/>
              <w:spacing w:line="276" w:lineRule="auto"/>
            </w:pPr>
          </w:p>
        </w:tc>
        <w:tc>
          <w:tcPr>
            <w:tcW w:w="1318" w:type="dxa"/>
            <w:tcBorders>
              <w:top w:val="nil"/>
              <w:left w:val="nil"/>
              <w:bottom w:val="nil"/>
              <w:right w:val="nil"/>
            </w:tcBorders>
          </w:tcPr>
          <w:p w14:paraId="00000180" w14:textId="77777777" w:rsidR="002E78B5" w:rsidRDefault="003F478A">
            <w:pPr>
              <w:rPr>
                <w:b/>
              </w:rPr>
            </w:pPr>
            <w:proofErr w:type="spellStart"/>
            <w:r>
              <w:rPr>
                <w:sz w:val="18"/>
                <w:szCs w:val="18"/>
              </w:rPr>
              <w:t>Intragrupos</w:t>
            </w:r>
            <w:proofErr w:type="spellEnd"/>
          </w:p>
        </w:tc>
        <w:tc>
          <w:tcPr>
            <w:tcW w:w="1217" w:type="dxa"/>
            <w:tcBorders>
              <w:top w:val="nil"/>
              <w:left w:val="nil"/>
              <w:bottom w:val="nil"/>
              <w:right w:val="nil"/>
            </w:tcBorders>
          </w:tcPr>
          <w:p w14:paraId="00000181" w14:textId="77777777" w:rsidR="002E78B5" w:rsidRDefault="003F478A">
            <w:pPr>
              <w:jc w:val="center"/>
            </w:pPr>
            <w:r>
              <w:t>510</w:t>
            </w:r>
          </w:p>
        </w:tc>
        <w:tc>
          <w:tcPr>
            <w:tcW w:w="1230" w:type="dxa"/>
            <w:tcBorders>
              <w:top w:val="nil"/>
              <w:left w:val="nil"/>
              <w:bottom w:val="nil"/>
              <w:right w:val="nil"/>
            </w:tcBorders>
          </w:tcPr>
          <w:p w14:paraId="00000182" w14:textId="77777777" w:rsidR="002E78B5" w:rsidRDefault="003F478A">
            <w:pPr>
              <w:jc w:val="center"/>
            </w:pPr>
            <w:r>
              <w:t>1.191</w:t>
            </w:r>
          </w:p>
        </w:tc>
        <w:tc>
          <w:tcPr>
            <w:tcW w:w="1234" w:type="dxa"/>
            <w:tcBorders>
              <w:top w:val="nil"/>
              <w:left w:val="nil"/>
              <w:bottom w:val="nil"/>
              <w:right w:val="nil"/>
            </w:tcBorders>
          </w:tcPr>
          <w:p w14:paraId="00000183" w14:textId="77777777" w:rsidR="002E78B5" w:rsidRDefault="003F478A">
            <w:pPr>
              <w:jc w:val="center"/>
            </w:pPr>
            <w:r>
              <w:t>607.595</w:t>
            </w:r>
          </w:p>
        </w:tc>
        <w:tc>
          <w:tcPr>
            <w:tcW w:w="1207" w:type="dxa"/>
            <w:tcBorders>
              <w:top w:val="nil"/>
              <w:left w:val="nil"/>
              <w:bottom w:val="nil"/>
              <w:right w:val="nil"/>
            </w:tcBorders>
          </w:tcPr>
          <w:p w14:paraId="00000184" w14:textId="77777777" w:rsidR="002E78B5" w:rsidRDefault="002E78B5">
            <w:pPr>
              <w:jc w:val="center"/>
            </w:pPr>
          </w:p>
        </w:tc>
        <w:tc>
          <w:tcPr>
            <w:tcW w:w="1250" w:type="dxa"/>
            <w:tcBorders>
              <w:top w:val="nil"/>
              <w:left w:val="nil"/>
              <w:bottom w:val="nil"/>
              <w:right w:val="nil"/>
            </w:tcBorders>
          </w:tcPr>
          <w:p w14:paraId="00000185" w14:textId="77777777" w:rsidR="002E78B5" w:rsidRDefault="002E78B5">
            <w:pPr>
              <w:jc w:val="center"/>
            </w:pPr>
          </w:p>
        </w:tc>
      </w:tr>
      <w:tr w:rsidR="002E78B5" w14:paraId="69C89029" w14:textId="77777777">
        <w:tc>
          <w:tcPr>
            <w:tcW w:w="1904" w:type="dxa"/>
            <w:vMerge w:val="restart"/>
            <w:tcBorders>
              <w:top w:val="nil"/>
              <w:left w:val="nil"/>
              <w:bottom w:val="nil"/>
              <w:right w:val="nil"/>
            </w:tcBorders>
          </w:tcPr>
          <w:p w14:paraId="00000186" w14:textId="77777777" w:rsidR="002E78B5" w:rsidRDefault="003F478A">
            <w:pPr>
              <w:rPr>
                <w:b/>
              </w:rPr>
            </w:pPr>
            <w:r>
              <w:rPr>
                <w:b/>
              </w:rPr>
              <w:t>Ansiedad</w:t>
            </w:r>
          </w:p>
        </w:tc>
        <w:tc>
          <w:tcPr>
            <w:tcW w:w="1318" w:type="dxa"/>
            <w:tcBorders>
              <w:top w:val="nil"/>
              <w:left w:val="nil"/>
              <w:bottom w:val="nil"/>
              <w:right w:val="nil"/>
            </w:tcBorders>
          </w:tcPr>
          <w:p w14:paraId="00000187" w14:textId="77777777" w:rsidR="002E78B5" w:rsidRDefault="003F478A">
            <w:pPr>
              <w:rPr>
                <w:b/>
              </w:rPr>
            </w:pPr>
            <w:r>
              <w:rPr>
                <w:sz w:val="18"/>
                <w:szCs w:val="18"/>
              </w:rPr>
              <w:t>Entre grupos</w:t>
            </w:r>
          </w:p>
        </w:tc>
        <w:tc>
          <w:tcPr>
            <w:tcW w:w="1217" w:type="dxa"/>
            <w:tcBorders>
              <w:top w:val="nil"/>
              <w:left w:val="nil"/>
              <w:bottom w:val="nil"/>
              <w:right w:val="nil"/>
            </w:tcBorders>
          </w:tcPr>
          <w:p w14:paraId="00000188" w14:textId="77777777" w:rsidR="002E78B5" w:rsidRDefault="003F478A">
            <w:pPr>
              <w:jc w:val="center"/>
            </w:pPr>
            <w:r>
              <w:t>4</w:t>
            </w:r>
          </w:p>
        </w:tc>
        <w:tc>
          <w:tcPr>
            <w:tcW w:w="1230" w:type="dxa"/>
            <w:tcBorders>
              <w:top w:val="nil"/>
              <w:left w:val="nil"/>
              <w:bottom w:val="nil"/>
              <w:right w:val="nil"/>
            </w:tcBorders>
          </w:tcPr>
          <w:p w14:paraId="00000189" w14:textId="77777777" w:rsidR="002E78B5" w:rsidRDefault="003F478A">
            <w:pPr>
              <w:jc w:val="center"/>
            </w:pPr>
            <w:r>
              <w:t>4.928</w:t>
            </w:r>
          </w:p>
        </w:tc>
        <w:tc>
          <w:tcPr>
            <w:tcW w:w="1234" w:type="dxa"/>
            <w:tcBorders>
              <w:top w:val="nil"/>
              <w:left w:val="nil"/>
              <w:bottom w:val="nil"/>
              <w:right w:val="nil"/>
            </w:tcBorders>
          </w:tcPr>
          <w:p w14:paraId="0000018A" w14:textId="77777777" w:rsidR="002E78B5" w:rsidRDefault="003F478A">
            <w:pPr>
              <w:jc w:val="center"/>
            </w:pPr>
            <w:r>
              <w:t>19.711</w:t>
            </w:r>
          </w:p>
        </w:tc>
        <w:tc>
          <w:tcPr>
            <w:tcW w:w="1207" w:type="dxa"/>
            <w:tcBorders>
              <w:top w:val="nil"/>
              <w:left w:val="nil"/>
              <w:bottom w:val="nil"/>
              <w:right w:val="nil"/>
            </w:tcBorders>
          </w:tcPr>
          <w:p w14:paraId="0000018B" w14:textId="77777777" w:rsidR="002E78B5" w:rsidRDefault="003F478A">
            <w:pPr>
              <w:jc w:val="center"/>
            </w:pPr>
            <w:r>
              <w:t>12.081</w:t>
            </w:r>
          </w:p>
        </w:tc>
        <w:tc>
          <w:tcPr>
            <w:tcW w:w="1250" w:type="dxa"/>
            <w:tcBorders>
              <w:top w:val="nil"/>
              <w:left w:val="nil"/>
              <w:bottom w:val="nil"/>
              <w:right w:val="nil"/>
            </w:tcBorders>
          </w:tcPr>
          <w:p w14:paraId="0000018C" w14:textId="77777777" w:rsidR="002E78B5" w:rsidRDefault="003F478A">
            <w:pPr>
              <w:jc w:val="center"/>
              <w:rPr>
                <w:b/>
              </w:rPr>
            </w:pPr>
            <w:r>
              <w:rPr>
                <w:b/>
              </w:rPr>
              <w:t>.000*</w:t>
            </w:r>
          </w:p>
        </w:tc>
      </w:tr>
      <w:tr w:rsidR="002E78B5" w14:paraId="4E4F576D" w14:textId="77777777">
        <w:tc>
          <w:tcPr>
            <w:tcW w:w="1904" w:type="dxa"/>
            <w:vMerge/>
            <w:tcBorders>
              <w:top w:val="nil"/>
              <w:left w:val="nil"/>
              <w:bottom w:val="nil"/>
              <w:right w:val="nil"/>
            </w:tcBorders>
          </w:tcPr>
          <w:p w14:paraId="0000018D" w14:textId="77777777" w:rsidR="002E78B5" w:rsidRDefault="002E78B5">
            <w:pPr>
              <w:widowControl w:val="0"/>
              <w:spacing w:line="276" w:lineRule="auto"/>
              <w:rPr>
                <w:b/>
              </w:rPr>
            </w:pPr>
          </w:p>
        </w:tc>
        <w:tc>
          <w:tcPr>
            <w:tcW w:w="1318" w:type="dxa"/>
            <w:tcBorders>
              <w:top w:val="nil"/>
              <w:left w:val="nil"/>
              <w:right w:val="nil"/>
            </w:tcBorders>
          </w:tcPr>
          <w:p w14:paraId="0000018E" w14:textId="77777777" w:rsidR="002E78B5" w:rsidRDefault="003F478A">
            <w:pPr>
              <w:rPr>
                <w:b/>
              </w:rPr>
            </w:pPr>
            <w:proofErr w:type="spellStart"/>
            <w:r>
              <w:rPr>
                <w:sz w:val="18"/>
                <w:szCs w:val="18"/>
              </w:rPr>
              <w:t>Intragrupos</w:t>
            </w:r>
            <w:proofErr w:type="spellEnd"/>
          </w:p>
        </w:tc>
        <w:tc>
          <w:tcPr>
            <w:tcW w:w="1217" w:type="dxa"/>
            <w:tcBorders>
              <w:top w:val="nil"/>
              <w:left w:val="nil"/>
              <w:right w:val="nil"/>
            </w:tcBorders>
          </w:tcPr>
          <w:p w14:paraId="0000018F" w14:textId="77777777" w:rsidR="002E78B5" w:rsidRDefault="003F478A">
            <w:pPr>
              <w:jc w:val="center"/>
            </w:pPr>
            <w:r>
              <w:t>510</w:t>
            </w:r>
          </w:p>
        </w:tc>
        <w:tc>
          <w:tcPr>
            <w:tcW w:w="1230" w:type="dxa"/>
            <w:tcBorders>
              <w:top w:val="nil"/>
              <w:left w:val="nil"/>
              <w:right w:val="nil"/>
            </w:tcBorders>
          </w:tcPr>
          <w:p w14:paraId="00000190" w14:textId="77777777" w:rsidR="002E78B5" w:rsidRDefault="003F478A">
            <w:pPr>
              <w:jc w:val="center"/>
            </w:pPr>
            <w:r>
              <w:t>.408</w:t>
            </w:r>
          </w:p>
        </w:tc>
        <w:tc>
          <w:tcPr>
            <w:tcW w:w="1234" w:type="dxa"/>
            <w:tcBorders>
              <w:top w:val="nil"/>
              <w:left w:val="nil"/>
              <w:right w:val="nil"/>
            </w:tcBorders>
          </w:tcPr>
          <w:p w14:paraId="00000191" w14:textId="77777777" w:rsidR="002E78B5" w:rsidRDefault="003F478A">
            <w:pPr>
              <w:jc w:val="center"/>
            </w:pPr>
            <w:r>
              <w:t>208.021</w:t>
            </w:r>
          </w:p>
        </w:tc>
        <w:tc>
          <w:tcPr>
            <w:tcW w:w="1207" w:type="dxa"/>
            <w:tcBorders>
              <w:top w:val="nil"/>
              <w:left w:val="nil"/>
              <w:right w:val="nil"/>
            </w:tcBorders>
          </w:tcPr>
          <w:p w14:paraId="00000192" w14:textId="77777777" w:rsidR="002E78B5" w:rsidRDefault="002E78B5">
            <w:pPr>
              <w:jc w:val="center"/>
            </w:pPr>
          </w:p>
        </w:tc>
        <w:tc>
          <w:tcPr>
            <w:tcW w:w="1250" w:type="dxa"/>
            <w:tcBorders>
              <w:top w:val="nil"/>
              <w:left w:val="nil"/>
              <w:right w:val="nil"/>
            </w:tcBorders>
          </w:tcPr>
          <w:p w14:paraId="00000193" w14:textId="77777777" w:rsidR="002E78B5" w:rsidRDefault="002E78B5">
            <w:pPr>
              <w:jc w:val="center"/>
            </w:pPr>
          </w:p>
        </w:tc>
      </w:tr>
    </w:tbl>
    <w:p w14:paraId="00000194" w14:textId="77777777" w:rsidR="002E78B5" w:rsidRDefault="003F478A">
      <w:pPr>
        <w:spacing w:line="360" w:lineRule="auto"/>
        <w:jc w:val="both"/>
      </w:pPr>
      <w:r>
        <w:rPr>
          <w:i/>
        </w:rPr>
        <w:t xml:space="preserve">Nota: </w:t>
      </w:r>
      <w:r>
        <w:t>*</w:t>
      </w:r>
      <w:r>
        <w:rPr>
          <w:i/>
        </w:rPr>
        <w:t xml:space="preserve">p </w:t>
      </w:r>
      <w:r>
        <w:t xml:space="preserve">&lt;.05. Variables circunstancia social sig. .008 y Ansiedad sig. .000, </w:t>
      </w:r>
      <w:proofErr w:type="spellStart"/>
      <w:r>
        <w:t>gl</w:t>
      </w:r>
      <w:proofErr w:type="spellEnd"/>
      <w:r>
        <w:t xml:space="preserve"> (grados de libertad), SS (media cuadrática), MS (suma de cuadrados), F (Valor F). </w:t>
      </w:r>
    </w:p>
    <w:p w14:paraId="00000195" w14:textId="77777777" w:rsidR="002E78B5" w:rsidRDefault="003F478A">
      <w:pPr>
        <w:spacing w:line="360" w:lineRule="auto"/>
        <w:ind w:firstLine="720"/>
        <w:jc w:val="both"/>
      </w:pPr>
      <w:r>
        <w:t>Además, se realizó una comparación de medias de los niveles de ansiedad en función del nivel educativ</w:t>
      </w:r>
      <w:r>
        <w:t>o de los participantes. Los resultados muestran medias más altas para los niveles de ansiedad mínima y leve en estudiantes de preparatoria y medias más altas en los universitarios para los niveles de ansiedad moderada y severa (ver Figura 4). Al realizar e</w:t>
      </w:r>
      <w:r>
        <w:t xml:space="preserve">l análisis de diferencias por medio de la prueba U de Mann-Whitney, no se encontraron diferencias estadísticamente significativas en los niveles de ansiedad entre preparatoria y universidad (U=34,096, </w:t>
      </w:r>
      <w:proofErr w:type="spellStart"/>
      <w:r>
        <w:t>gl</w:t>
      </w:r>
      <w:proofErr w:type="spellEnd"/>
      <w:r>
        <w:t xml:space="preserve">=1, </w:t>
      </w:r>
      <w:r>
        <w:rPr>
          <w:i/>
        </w:rPr>
        <w:t>p&gt;.001</w:t>
      </w:r>
      <w:r>
        <w:t>)</w:t>
      </w:r>
    </w:p>
    <w:p w14:paraId="00000196" w14:textId="77777777" w:rsidR="002E78B5" w:rsidRDefault="003F478A">
      <w:pPr>
        <w:pBdr>
          <w:top w:val="nil"/>
          <w:left w:val="nil"/>
          <w:bottom w:val="nil"/>
          <w:right w:val="nil"/>
          <w:between w:val="nil"/>
        </w:pBdr>
      </w:pPr>
      <w:r>
        <w:rPr>
          <w:noProof/>
        </w:rPr>
        <w:lastRenderedPageBreak/>
        <w:drawing>
          <wp:inline distT="0" distB="0" distL="0" distR="0">
            <wp:extent cx="5928360" cy="1939332"/>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0000197" w14:textId="77777777" w:rsidR="002E78B5" w:rsidRDefault="003F478A">
      <w:pPr>
        <w:jc w:val="both"/>
        <w:rPr>
          <w:b/>
        </w:rPr>
      </w:pPr>
      <w:r>
        <w:rPr>
          <w:i/>
        </w:rPr>
        <w:t>Figura 4.</w:t>
      </w:r>
      <w:r>
        <w:t xml:space="preserve"> Comparación de medias de nive</w:t>
      </w:r>
      <w:r>
        <w:t>les de ansiedad por nivel educativo.</w:t>
      </w:r>
    </w:p>
    <w:p w14:paraId="00000198" w14:textId="77777777" w:rsidR="002E78B5" w:rsidRDefault="002E78B5">
      <w:pPr>
        <w:spacing w:line="360" w:lineRule="auto"/>
        <w:ind w:firstLine="720"/>
        <w:jc w:val="both"/>
      </w:pPr>
    </w:p>
    <w:p w14:paraId="0000019C" w14:textId="09AF0637" w:rsidR="002E78B5" w:rsidRDefault="003F478A" w:rsidP="009F53BF">
      <w:pPr>
        <w:spacing w:line="360" w:lineRule="auto"/>
        <w:ind w:firstLine="720"/>
        <w:jc w:val="both"/>
        <w:rPr>
          <w:b/>
        </w:rPr>
      </w:pPr>
      <w:r>
        <w:t>Por último, se realizó un análisis de diferencias con el objetivo de comparar los niveles de ansiedad en función del sexo por medio de la prueba de U de Mann-Whitney. Los resultados muestran diferencias estadísticament</w:t>
      </w:r>
      <w:r>
        <w:t>e significativas en los niveles de ansiedad entre mujeres (</w:t>
      </w:r>
      <w:r>
        <w:rPr>
          <w:i/>
        </w:rPr>
        <w:t>Md</w:t>
      </w:r>
      <w:r>
        <w:t>=2) y hombres (</w:t>
      </w:r>
      <w:r>
        <w:rPr>
          <w:i/>
        </w:rPr>
        <w:t>Md</w:t>
      </w:r>
      <w:r>
        <w:t xml:space="preserve">=1), (U=17,648, z=-6.254, </w:t>
      </w:r>
      <w:r>
        <w:rPr>
          <w:i/>
        </w:rPr>
        <w:t>p&lt;.001,</w:t>
      </w:r>
      <w:r>
        <w:t xml:space="preserve"> r=.95), indicando un nivel más alto de ansiedad en las mujeres. </w:t>
      </w:r>
    </w:p>
    <w:p w14:paraId="0000019D" w14:textId="77777777" w:rsidR="002E78B5" w:rsidRDefault="003F478A" w:rsidP="009F53BF">
      <w:pPr>
        <w:pBdr>
          <w:top w:val="nil"/>
          <w:left w:val="nil"/>
          <w:bottom w:val="nil"/>
          <w:right w:val="nil"/>
          <w:between w:val="nil"/>
        </w:pBdr>
        <w:spacing w:after="100" w:afterAutospacing="1"/>
        <w:jc w:val="center"/>
        <w:rPr>
          <w:b/>
        </w:rPr>
      </w:pPr>
      <w:r>
        <w:rPr>
          <w:b/>
        </w:rPr>
        <w:t>Discusión</w:t>
      </w:r>
    </w:p>
    <w:p w14:paraId="0000019E" w14:textId="77777777" w:rsidR="002E78B5" w:rsidRDefault="003F478A">
      <w:pPr>
        <w:pBdr>
          <w:top w:val="nil"/>
          <w:left w:val="nil"/>
          <w:bottom w:val="nil"/>
          <w:right w:val="nil"/>
          <w:between w:val="nil"/>
        </w:pBdr>
        <w:spacing w:line="360" w:lineRule="auto"/>
        <w:ind w:firstLine="720"/>
        <w:jc w:val="both"/>
      </w:pPr>
      <w:r>
        <w:t>El presente estudio tuvo como objetivo buscar las relaciones entre los factores que inciden en la elección de carrera y los niveles de ansiedad en estudiantes de preparatoria y universidad durante la pandemia COVID-19, así como contrastar dichos constructo</w:t>
      </w:r>
      <w:r>
        <w:t>s con variables como sexo, nivel educativo y área de la carrera de elección. Como hipótesis, se establece que bajo condiciones inusuales del contexto (como lo es la pandemia de COVID-19) los estudiantes quienes se encontraron o se encuentran actualmente cu</w:t>
      </w:r>
      <w:r>
        <w:t xml:space="preserve">rsando por un proceso de elección vocacional presentan mayores niveles de ansiedad y síntomas físicos asociados a esta. En este sentido, este estudio ha arrojado algunos hallazgos importantes en la muestra de estudio, destacando en el aspecto vocacional y </w:t>
      </w:r>
      <w:r>
        <w:t>en relación con las preferencias por área que los estudiantes tienden a elegir carreras relacionadas con Ciencias Biológicas y de la Salud, mientras que en relación  con  los factores que inciden en la elección de carrera, se identificó que son la circunst</w:t>
      </w:r>
      <w:r>
        <w:t>ancia social e inclinaciones, los factores que mayor peso tienen sobre la decisión vocacional de los estudiantes</w:t>
      </w:r>
    </w:p>
    <w:p w14:paraId="0000019F" w14:textId="77777777" w:rsidR="002E78B5" w:rsidRDefault="003F478A">
      <w:pPr>
        <w:pBdr>
          <w:top w:val="nil"/>
          <w:left w:val="nil"/>
          <w:bottom w:val="nil"/>
          <w:right w:val="nil"/>
          <w:between w:val="nil"/>
        </w:pBdr>
        <w:spacing w:line="360" w:lineRule="auto"/>
        <w:ind w:firstLine="720"/>
        <w:jc w:val="both"/>
      </w:pPr>
      <w:r>
        <w:t xml:space="preserve">En relación con lo planteado en las hipótesis del estudio, se encontró que en relación con la evaluación con la Escala de Ansiedad de Beck los </w:t>
      </w:r>
      <w:r>
        <w:t xml:space="preserve">resultados indican que en su mayoría los estudiantes muestran niveles de ansiedad mínima y leve (57.3%), sin embargo, es posible observar que un gran porcentaje de la muestra (42.7%) quienes presentaron ansiedad moderada y severa. </w:t>
      </w:r>
      <w:r>
        <w:lastRenderedPageBreak/>
        <w:t>Esto sería un indicador d</w:t>
      </w:r>
      <w:r>
        <w:t xml:space="preserve">e la intensidad de los síntomas físicos que los estudiantes evaluados han experimentado durante el periodo de pandemia por COVID-19 desde el primer semestre del año 2020 hasta el primer semestre del 2021. En este mismo sentido,  se encontraron diferencias </w:t>
      </w:r>
      <w:r>
        <w:t xml:space="preserve">significativas en los niveles de ansiedad en función del sexo identificándose que las mujeres muestran medias más altas en los puntajes del inventario de Ansiedad de Beck, lo que indica mayores niveles de ansiedad que los hombres, encontrándose además que </w:t>
      </w:r>
      <w:r>
        <w:t>son los estudiantes que ya se encuentran estudiando en la universidad, y quienes cursaron por un proceso de elección de carrera a inicio de la pandemia por COVID-19 quienes presentan medias más altas en relación con la prueba de ansiedad. En este mismo sen</w:t>
      </w:r>
      <w:r>
        <w:t>tido, se encontraron diferencias significativas en la sintomatología de ansiedad en los estudiantes que prefieren áreas relacionadas con la Salud y Químico Biólogo, mismas que tuvieron diferencias significativas y medias más altas en dicho factor sobre los</w:t>
      </w:r>
      <w:r>
        <w:t xml:space="preserve"> otros grupos de áreas vocacionales. Esto se observó de igual forma en aquellos estudiantes que se orientan a las áreas vocacionales de Ciencias Sociales y Humanidades quienes de igual forma obtuvieron medias más altas en los resultados de Ansiedad de Beck</w:t>
      </w:r>
      <w:r>
        <w:t xml:space="preserve">. </w:t>
      </w:r>
    </w:p>
    <w:p w14:paraId="000001A0" w14:textId="77777777" w:rsidR="002E78B5" w:rsidRDefault="003F478A">
      <w:pPr>
        <w:pBdr>
          <w:top w:val="nil"/>
          <w:left w:val="nil"/>
          <w:bottom w:val="nil"/>
          <w:right w:val="nil"/>
          <w:between w:val="nil"/>
        </w:pBdr>
        <w:spacing w:line="360" w:lineRule="auto"/>
        <w:ind w:firstLine="720"/>
        <w:jc w:val="both"/>
      </w:pPr>
      <w:r>
        <w:t xml:space="preserve">Por último, un hallazgo importante se identificó al realizar un análisis en los puntajes de ansiedad en relación con los resultados de la prueba IFIEC, encontrándose que hubo diferencias significativas en </w:t>
      </w:r>
      <w:proofErr w:type="gramStart"/>
      <w:r>
        <w:t xml:space="preserve">la </w:t>
      </w:r>
      <w:proofErr w:type="spellStart"/>
      <w:r>
        <w:t>subdimensión</w:t>
      </w:r>
      <w:proofErr w:type="spellEnd"/>
      <w:proofErr w:type="gramEnd"/>
      <w:r>
        <w:t xml:space="preserve"> de circunstancia social, la cual</w:t>
      </w:r>
      <w:r>
        <w:t xml:space="preserve"> es entendida como la situación que enmarca la interacción en el proceso de elección de carrera (ej. amigos, familia, relación amorosa o condición laboral).  Estos resultados podrían indicar entonces que aquellos estudiantes que le confirieron mayor import</w:t>
      </w:r>
      <w:r>
        <w:t xml:space="preserve">ancia a su contexto y circunstancia social durante el periodo de pandemia por COVID-19, presentaron mayores síntomas de ansiedad según el inventario de Beck. Estos resultados muestran consistencia con los hallazgos obtenidos por </w:t>
      </w:r>
      <w:proofErr w:type="spellStart"/>
      <w:r>
        <w:t>Bakr</w:t>
      </w:r>
      <w:proofErr w:type="spellEnd"/>
      <w:r>
        <w:t xml:space="preserve"> </w:t>
      </w:r>
      <w:proofErr w:type="spellStart"/>
      <w:r>
        <w:t>Koshaim</w:t>
      </w:r>
      <w:proofErr w:type="spellEnd"/>
      <w:r>
        <w:t xml:space="preserve"> et al., (2020)</w:t>
      </w:r>
      <w:r>
        <w:t>, en donde se identifica que para los estudiantes algunos factores como el si viven solos o con familiares, edad y género muestran correlaciones positivas con niveles severos y moderados de ansiedad en los estudiantes.</w:t>
      </w:r>
    </w:p>
    <w:p w14:paraId="000001A1" w14:textId="77777777" w:rsidR="002E78B5" w:rsidRDefault="003F478A">
      <w:pPr>
        <w:pBdr>
          <w:top w:val="nil"/>
          <w:left w:val="nil"/>
          <w:bottom w:val="nil"/>
          <w:right w:val="nil"/>
          <w:between w:val="nil"/>
        </w:pBdr>
        <w:spacing w:line="360" w:lineRule="auto"/>
        <w:ind w:firstLine="720"/>
        <w:jc w:val="both"/>
      </w:pPr>
      <w:r>
        <w:t>En cuanto a los factores que tienen m</w:t>
      </w:r>
      <w:r>
        <w:t>ayor peso para la elección, se encontró que son las inclinaciones (</w:t>
      </w:r>
      <w:r>
        <w:rPr>
          <w:i/>
        </w:rPr>
        <w:t>M</w:t>
      </w:r>
      <w:r>
        <w:t>=3.46), prestigio social de la carrera (</w:t>
      </w:r>
      <w:r>
        <w:rPr>
          <w:i/>
        </w:rPr>
        <w:t>M</w:t>
      </w:r>
      <w:r>
        <w:t>=3.26), así como objetos y acontecimientos físicos (</w:t>
      </w:r>
      <w:r>
        <w:rPr>
          <w:i/>
        </w:rPr>
        <w:t>M</w:t>
      </w:r>
      <w:r>
        <w:t>=3.3), los que influyeron mayormente en el proceso vocacional de los estudiantes evaluados, id</w:t>
      </w:r>
      <w:r>
        <w:t xml:space="preserve">entificándose que son los estudiantes de preparatoria quienes presentan medias más altas en las puntuaciones del IFIEC. Lo anterior indica la importancia que los </w:t>
      </w:r>
      <w:r>
        <w:lastRenderedPageBreak/>
        <w:t xml:space="preserve">estudiantes quienes están próximos a llevar a cabo su decisión vacacional, confieren a dichos </w:t>
      </w:r>
      <w:r>
        <w:t xml:space="preserve">factores relacionados con la elección. </w:t>
      </w:r>
    </w:p>
    <w:p w14:paraId="000001A2" w14:textId="77777777" w:rsidR="002E78B5" w:rsidRDefault="003F478A">
      <w:pPr>
        <w:pBdr>
          <w:top w:val="nil"/>
          <w:left w:val="nil"/>
          <w:bottom w:val="nil"/>
          <w:right w:val="nil"/>
          <w:between w:val="nil"/>
        </w:pBdr>
        <w:spacing w:line="360" w:lineRule="auto"/>
        <w:ind w:firstLine="720"/>
        <w:jc w:val="both"/>
      </w:pPr>
      <w:r>
        <w:t>Se identificó además una relación entre los factores de personas (familiares) y otros significativos. Lo anterior representa un hallazgo que podría indicar que los estudiantes de ambos niveles (tanto quienes ya reali</w:t>
      </w:r>
      <w:r>
        <w:t>zaron su elección, como quienes se encuentran próximos a hacerlo) asignan un valor de figuras de ejemplo o motivación para elegir una profesión a aquellas personas que presentan un lazo cercano con ellos (familiares o amigos). Por otra parte, dentro de las</w:t>
      </w:r>
      <w:r>
        <w:t xml:space="preserve"> correlaciones del instrumento IFIEC, se identificaron además asociaciones entre </w:t>
      </w:r>
      <w:proofErr w:type="gramStart"/>
      <w:r>
        <w:t xml:space="preserve">las </w:t>
      </w:r>
      <w:proofErr w:type="spellStart"/>
      <w:r>
        <w:t>subdimensiones</w:t>
      </w:r>
      <w:proofErr w:type="spellEnd"/>
      <w:proofErr w:type="gramEnd"/>
      <w:r>
        <w:t xml:space="preserve"> de Prestigio social de la carrera y objetos y acontecimientos físicos, así como circunstancia social, esto dado que dichas dimensiones del IFIEC aluden a ex</w:t>
      </w:r>
      <w:r>
        <w:t xml:space="preserve">pectativas e interacciones sociales sobre la carrera y universidad. </w:t>
      </w:r>
    </w:p>
    <w:p w14:paraId="000001A3" w14:textId="070C23AB" w:rsidR="002E78B5" w:rsidRDefault="003F478A">
      <w:pPr>
        <w:pBdr>
          <w:top w:val="nil"/>
          <w:left w:val="nil"/>
          <w:bottom w:val="nil"/>
          <w:right w:val="nil"/>
          <w:between w:val="nil"/>
        </w:pBdr>
        <w:spacing w:line="360" w:lineRule="auto"/>
        <w:ind w:firstLine="720"/>
        <w:jc w:val="both"/>
      </w:pPr>
      <w:r>
        <w:t xml:space="preserve">Otro hallazgo importante de dicho </w:t>
      </w:r>
      <w:r w:rsidR="009F53BF">
        <w:t>análisis</w:t>
      </w:r>
      <w:r>
        <w:t xml:space="preserve"> es que se identificó una relación baja pero estadísticamente significativa entre el constructo de ansiedad y </w:t>
      </w:r>
      <w:proofErr w:type="gramStart"/>
      <w:r>
        <w:t xml:space="preserve">las </w:t>
      </w:r>
      <w:proofErr w:type="spellStart"/>
      <w:r>
        <w:t>subdimensiones</w:t>
      </w:r>
      <w:proofErr w:type="spellEnd"/>
      <w:proofErr w:type="gramEnd"/>
      <w:r>
        <w:t xml:space="preserve"> del IFIEC de ob</w:t>
      </w:r>
      <w:r>
        <w:t>jetos y acontecimientos físicos, así como con el prestigio social de la carrera. Lo anterior indicaría que aquellos estudiantes que confieren una mayor importancia a estos dos últimos factores para elegir su carrera muestran niveles más elevados de ansieda</w:t>
      </w:r>
      <w:r>
        <w:t xml:space="preserve">d y síntomas más significativos de esta. </w:t>
      </w:r>
    </w:p>
    <w:p w14:paraId="000001A4" w14:textId="44C3159D" w:rsidR="002E78B5" w:rsidRDefault="003F478A">
      <w:pPr>
        <w:pBdr>
          <w:top w:val="nil"/>
          <w:left w:val="nil"/>
          <w:bottom w:val="nil"/>
          <w:right w:val="nil"/>
          <w:between w:val="nil"/>
        </w:pBdr>
        <w:spacing w:line="360" w:lineRule="auto"/>
        <w:ind w:firstLine="720"/>
        <w:jc w:val="both"/>
      </w:pPr>
      <w:r>
        <w:t xml:space="preserve">En relación con los estudios previos, se identifican diferentes aspectos. A diferencia del estudio realizado por </w:t>
      </w:r>
      <w:r>
        <w:rPr>
          <w:highlight w:val="white"/>
        </w:rPr>
        <w:t>González, Barrera, Maytorena y Fuentes (2018), quienes encontraron que son las y los universitarios q</w:t>
      </w:r>
      <w:r>
        <w:rPr>
          <w:highlight w:val="white"/>
        </w:rPr>
        <w:t>uienes presentan mayores niveles de ansiedad ante la elección, los resultados de la presente investigación muestran que son los estudiantes de preparatoria quienes presentan mayores niveles. Lo anterior sucede dado que se encuentran próximos a elegir una c</w:t>
      </w:r>
      <w:r>
        <w:rPr>
          <w:highlight w:val="white"/>
        </w:rPr>
        <w:t xml:space="preserve">arrera, y dado que la condición actual y las limitaciones de la virtualidad impiden que el proceso vocacional se desarrolle llevando actividades básicas para el proceso decisional, como, por ejemplo, conocer el campus en su dimensión física </w:t>
      </w:r>
      <w:proofErr w:type="spellStart"/>
      <w:r>
        <w:rPr>
          <w:highlight w:val="white"/>
        </w:rPr>
        <w:t>ó</w:t>
      </w:r>
      <w:proofErr w:type="spellEnd"/>
      <w:r>
        <w:rPr>
          <w:highlight w:val="white"/>
        </w:rPr>
        <w:t xml:space="preserve"> visitar aulas</w:t>
      </w:r>
      <w:r>
        <w:rPr>
          <w:highlight w:val="white"/>
        </w:rPr>
        <w:t xml:space="preserve"> de las carreras de interés, lo cual se ha observado que es un factor fundamental en el proceso de elección para la muestra de estudiantes. A pesar de ello, el 42.7% los estudiantes universitarios presentaron niveles de ansiedad moderada y severa, lo cual </w:t>
      </w:r>
      <w:r>
        <w:rPr>
          <w:highlight w:val="white"/>
        </w:rPr>
        <w:t xml:space="preserve">coincide con los estudios realizados por </w:t>
      </w:r>
      <w:proofErr w:type="spellStart"/>
      <w:r>
        <w:t>Tinsley</w:t>
      </w:r>
      <w:proofErr w:type="spellEnd"/>
      <w:r>
        <w:t xml:space="preserve"> (2020</w:t>
      </w:r>
      <w:r w:rsidR="009F53BF">
        <w:t xml:space="preserve">), </w:t>
      </w:r>
      <w:proofErr w:type="spellStart"/>
      <w:r w:rsidR="009F53BF">
        <w:t>Bakr</w:t>
      </w:r>
      <w:proofErr w:type="spellEnd"/>
      <w:r>
        <w:t xml:space="preserve"> </w:t>
      </w:r>
      <w:proofErr w:type="spellStart"/>
      <w:r>
        <w:t>Koshaim</w:t>
      </w:r>
      <w:proofErr w:type="spellEnd"/>
      <w:r>
        <w:t xml:space="preserve"> et al., (2020) y Tavera-</w:t>
      </w:r>
      <w:proofErr w:type="spellStart"/>
      <w:r>
        <w:t>Fenollosa</w:t>
      </w:r>
      <w:proofErr w:type="spellEnd"/>
      <w:r>
        <w:t xml:space="preserve"> y Martínez (2021), estos últimos sugieren que la ansiedad es generada por el porvenir incierto, más que por la elección pasada. Este malestar, sin duda</w:t>
      </w:r>
      <w:r>
        <w:t xml:space="preserve"> se muestra agravado por las condiciones del contexto y la incertidumbre académica y profesional a </w:t>
      </w:r>
      <w:r>
        <w:lastRenderedPageBreak/>
        <w:t>la que los estudiantes se enfrentan. Lo anterior juega un papel fundamental en relación con las diferencias por sexo, donde los hallazgos coinciden con lo re</w:t>
      </w:r>
      <w:r>
        <w:t xml:space="preserve">ferido por Del Valle et. al (2020) y Cobo-Rendón, Vega-Valenzuela y García-Álvarez, (2020), quienes encuentran mayores niveles de ansiedad en mujeres ante la incertidumbre provocada por la pandemia. </w:t>
      </w:r>
    </w:p>
    <w:p w14:paraId="000001A5" w14:textId="77777777" w:rsidR="002E78B5" w:rsidRDefault="003F478A">
      <w:pPr>
        <w:pBdr>
          <w:top w:val="nil"/>
          <w:left w:val="nil"/>
          <w:bottom w:val="nil"/>
          <w:right w:val="nil"/>
          <w:between w:val="nil"/>
        </w:pBdr>
        <w:spacing w:line="360" w:lineRule="auto"/>
        <w:ind w:firstLine="720"/>
        <w:jc w:val="both"/>
      </w:pPr>
      <w:r>
        <w:t xml:space="preserve">Es importante indicar que el estudio presenta validez y </w:t>
      </w:r>
      <w:r>
        <w:t>confiabilidad por lo que es posible generalizar los resultados. Teóricamente, el estudio aporta importantes hallazgos, dado que son pocas las investigaciones actuales que han documentado el proceso de la elección de carrera desde el método científico y esc</w:t>
      </w:r>
      <w:r>
        <w:t xml:space="preserve">asos los trabajos que se han realizado para estudiar dicho proceso durante el contexto actual de pandemia por COVID-19, además de que la muestra utilizada muestra variabilidad en las características poblacionales. En cuanto a las deficiencias del estudio, </w:t>
      </w:r>
      <w:r>
        <w:t>se identifica una en relación con el procedimiento de aplicación del instrumento, en particular ya que no se pueden contemplar los factores ambientales al momento de la aplicación y existe un sesgo de memoria en relación al proceso de respuesta  en los est</w:t>
      </w:r>
      <w:r>
        <w:t>udiantes de universidad, particularmente en lo que corresponde al inventario de Ansiedad de Beck, ya que este hace referencia a sintomatología física específica, lo cual resulta difícil de recordar y ubicar temporalmente. Esto sin duda, pudiera representar</w:t>
      </w:r>
      <w:r>
        <w:t xml:space="preserve"> un factor que interfiera con la validez de los análisis realizados. Como posibles líneas de investigación, se sugiere realizar estudios longitudinales que permitan evaluar la transición de los estudiantes del bachillerato a la universidad, y las variables</w:t>
      </w:r>
      <w:r>
        <w:t xml:space="preserve"> asociadas a la elección de carrera, pudiendo realizar estudios comparativos que evidencien la forma en la toma de decisiones bajo contextos inesperados o de “caos social” como lo es la pandemia COVID-19, así como poder someter a control las variables extr</w:t>
      </w:r>
      <w:r>
        <w:t>añas mencionadas previamente para disminuir el sesgo dentro del proceso investigativo. Es importante, además considerar la realización de estudios de corte cualitativo, con el objetivo de ampliar la información proporcionada por los estudiantes en cuanto a</w:t>
      </w:r>
      <w:r>
        <w:t xml:space="preserve"> cómo ellos perciben que la pandemia por COVID-19 ha influido en su proceso vocacional. </w:t>
      </w:r>
    </w:p>
    <w:p w14:paraId="000001A7" w14:textId="0E292AD7" w:rsidR="002E78B5" w:rsidRPr="009F53BF" w:rsidRDefault="003F478A" w:rsidP="009F53BF">
      <w:pPr>
        <w:pBdr>
          <w:top w:val="nil"/>
          <w:left w:val="nil"/>
          <w:bottom w:val="nil"/>
          <w:right w:val="nil"/>
          <w:between w:val="nil"/>
        </w:pBdr>
        <w:spacing w:line="360" w:lineRule="auto"/>
        <w:ind w:firstLine="720"/>
        <w:jc w:val="both"/>
      </w:pPr>
      <w:r>
        <w:t>Lo anterior permitirá sin duda, profundizar en la percepción de los jóvenes sobre los cambios contextuales, académicos y emocionales a raíz de la pandemia. Los resulta</w:t>
      </w:r>
      <w:r>
        <w:t>dos del presente estudio ponen de manifiesto la necesidad de generar conocimiento en un contexto globalizado actual y afectado por condiciones únicas de salud y sociales, y que se sigue enfrentando con múltiples y espontáneos cambios que repercuten a la co</w:t>
      </w:r>
      <w:r>
        <w:t>munidad y en especial a los estudiantes como futuros ciudadanos y profesionistas.</w:t>
      </w:r>
    </w:p>
    <w:p w14:paraId="000001A8" w14:textId="77777777" w:rsidR="002E78B5" w:rsidRPr="009F53BF" w:rsidRDefault="003F478A">
      <w:pPr>
        <w:pBdr>
          <w:top w:val="nil"/>
          <w:left w:val="nil"/>
          <w:bottom w:val="nil"/>
          <w:right w:val="nil"/>
          <w:between w:val="nil"/>
        </w:pBdr>
        <w:jc w:val="center"/>
        <w:rPr>
          <w:b/>
          <w:lang w:val="en-US"/>
        </w:rPr>
      </w:pPr>
      <w:proofErr w:type="spellStart"/>
      <w:r w:rsidRPr="009F53BF">
        <w:rPr>
          <w:b/>
          <w:lang w:val="en-US"/>
        </w:rPr>
        <w:lastRenderedPageBreak/>
        <w:t>Referencias</w:t>
      </w:r>
      <w:proofErr w:type="spellEnd"/>
    </w:p>
    <w:p w14:paraId="000001A9" w14:textId="77777777" w:rsidR="002E78B5" w:rsidRPr="009F53BF" w:rsidRDefault="003F478A">
      <w:pPr>
        <w:ind w:left="720" w:hanging="720"/>
        <w:jc w:val="both"/>
        <w:rPr>
          <w:color w:val="333333"/>
          <w:highlight w:val="white"/>
          <w:lang w:val="en-US"/>
        </w:rPr>
      </w:pPr>
      <w:r w:rsidRPr="009F53BF">
        <w:rPr>
          <w:color w:val="333333"/>
          <w:highlight w:val="white"/>
          <w:lang w:val="en-US"/>
        </w:rPr>
        <w:t xml:space="preserve">AERA. (2011). American Educational Research Association. Code of ethics. </w:t>
      </w:r>
      <w:r w:rsidRPr="009F53BF">
        <w:rPr>
          <w:i/>
          <w:color w:val="333333"/>
          <w:highlight w:val="white"/>
          <w:lang w:val="en-US"/>
        </w:rPr>
        <w:t>Educational Researcher, 40</w:t>
      </w:r>
      <w:r w:rsidRPr="009F53BF">
        <w:rPr>
          <w:color w:val="333333"/>
          <w:highlight w:val="white"/>
          <w:lang w:val="en-US"/>
        </w:rPr>
        <w:t>(3), 145-156.</w:t>
      </w:r>
    </w:p>
    <w:p w14:paraId="000001AA" w14:textId="77777777" w:rsidR="002E78B5" w:rsidRDefault="003F478A">
      <w:pPr>
        <w:ind w:left="720" w:hanging="720"/>
        <w:jc w:val="both"/>
        <w:rPr>
          <w:color w:val="333333"/>
          <w:highlight w:val="white"/>
        </w:rPr>
      </w:pPr>
      <w:r>
        <w:rPr>
          <w:color w:val="333333"/>
          <w:highlight w:val="white"/>
        </w:rPr>
        <w:t xml:space="preserve">APA. (2010). </w:t>
      </w:r>
      <w:r>
        <w:rPr>
          <w:i/>
          <w:color w:val="333333"/>
          <w:highlight w:val="white"/>
        </w:rPr>
        <w:t xml:space="preserve">American </w:t>
      </w:r>
      <w:proofErr w:type="spellStart"/>
      <w:r>
        <w:rPr>
          <w:i/>
          <w:color w:val="333333"/>
          <w:highlight w:val="white"/>
        </w:rPr>
        <w:t>Psychological</w:t>
      </w:r>
      <w:proofErr w:type="spellEnd"/>
      <w:r>
        <w:rPr>
          <w:i/>
          <w:color w:val="333333"/>
          <w:highlight w:val="white"/>
        </w:rPr>
        <w:t xml:space="preserve"> </w:t>
      </w:r>
      <w:proofErr w:type="spellStart"/>
      <w:r>
        <w:rPr>
          <w:i/>
          <w:color w:val="333333"/>
          <w:highlight w:val="white"/>
        </w:rPr>
        <w:t>Association</w:t>
      </w:r>
      <w:proofErr w:type="spellEnd"/>
      <w:r>
        <w:rPr>
          <w:i/>
          <w:color w:val="333333"/>
          <w:highlight w:val="white"/>
        </w:rPr>
        <w:t xml:space="preserve">. Manual de Publicaciones de la American </w:t>
      </w:r>
      <w:proofErr w:type="spellStart"/>
      <w:r>
        <w:rPr>
          <w:i/>
          <w:color w:val="333333"/>
          <w:highlight w:val="white"/>
        </w:rPr>
        <w:t>Psychological</w:t>
      </w:r>
      <w:proofErr w:type="spellEnd"/>
      <w:r>
        <w:rPr>
          <w:i/>
          <w:color w:val="333333"/>
          <w:highlight w:val="white"/>
        </w:rPr>
        <w:t xml:space="preserve"> </w:t>
      </w:r>
      <w:proofErr w:type="spellStart"/>
      <w:r>
        <w:rPr>
          <w:i/>
          <w:color w:val="333333"/>
          <w:highlight w:val="white"/>
        </w:rPr>
        <w:t>Association</w:t>
      </w:r>
      <w:proofErr w:type="spellEnd"/>
      <w:r>
        <w:rPr>
          <w:i/>
          <w:color w:val="333333"/>
          <w:highlight w:val="white"/>
        </w:rPr>
        <w:t xml:space="preserve">, tercera edición traducida de la sexta en inglés. </w:t>
      </w:r>
      <w:proofErr w:type="spellStart"/>
      <w:r>
        <w:rPr>
          <w:i/>
          <w:color w:val="333333"/>
          <w:highlight w:val="white"/>
        </w:rPr>
        <w:t>Tr</w:t>
      </w:r>
      <w:proofErr w:type="spellEnd"/>
      <w:r>
        <w:rPr>
          <w:i/>
          <w:color w:val="333333"/>
          <w:highlight w:val="white"/>
        </w:rPr>
        <w:t xml:space="preserve">. </w:t>
      </w:r>
      <w:proofErr w:type="spellStart"/>
      <w:r>
        <w:rPr>
          <w:i/>
          <w:color w:val="333333"/>
          <w:highlight w:val="white"/>
        </w:rPr>
        <w:t>Miroslava</w:t>
      </w:r>
      <w:proofErr w:type="spellEnd"/>
      <w:r>
        <w:rPr>
          <w:i/>
          <w:color w:val="333333"/>
          <w:highlight w:val="white"/>
        </w:rPr>
        <w:t xml:space="preserve"> Guerra Frías.</w:t>
      </w:r>
      <w:r>
        <w:rPr>
          <w:color w:val="333333"/>
          <w:highlight w:val="white"/>
        </w:rPr>
        <w:t xml:space="preserve"> México: El Manual Moderno.</w:t>
      </w:r>
    </w:p>
    <w:p w14:paraId="000001AB" w14:textId="77777777" w:rsidR="002E78B5" w:rsidRDefault="003F478A">
      <w:pPr>
        <w:ind w:left="720" w:hanging="720"/>
        <w:jc w:val="both"/>
        <w:rPr>
          <w:color w:val="222222"/>
          <w:highlight w:val="white"/>
        </w:rPr>
      </w:pPr>
      <w:r>
        <w:rPr>
          <w:color w:val="222222"/>
          <w:highlight w:val="white"/>
        </w:rPr>
        <w:t>Ato, M., López-García, J. J., &amp; Benavente, A. (201</w:t>
      </w:r>
      <w:r>
        <w:rPr>
          <w:color w:val="222222"/>
          <w:highlight w:val="white"/>
        </w:rPr>
        <w:t xml:space="preserve">3). Un sistema de clasificación de los diseños de investigación en psicología. </w:t>
      </w:r>
      <w:r>
        <w:rPr>
          <w:i/>
          <w:color w:val="222222"/>
          <w:highlight w:val="white"/>
        </w:rPr>
        <w:t>Anales de Psicología/</w:t>
      </w:r>
      <w:proofErr w:type="spellStart"/>
      <w:r>
        <w:rPr>
          <w:i/>
          <w:color w:val="222222"/>
          <w:highlight w:val="white"/>
        </w:rPr>
        <w:t>Annals</w:t>
      </w:r>
      <w:proofErr w:type="spellEnd"/>
      <w:r>
        <w:rPr>
          <w:i/>
          <w:color w:val="222222"/>
          <w:highlight w:val="white"/>
        </w:rPr>
        <w:t xml:space="preserve"> of </w:t>
      </w:r>
      <w:proofErr w:type="spellStart"/>
      <w:r>
        <w:rPr>
          <w:i/>
          <w:color w:val="222222"/>
          <w:highlight w:val="white"/>
        </w:rPr>
        <w:t>Psychology</w:t>
      </w:r>
      <w:proofErr w:type="spellEnd"/>
      <w:r>
        <w:rPr>
          <w:color w:val="222222"/>
          <w:highlight w:val="white"/>
        </w:rPr>
        <w:t xml:space="preserve">, </w:t>
      </w:r>
      <w:r>
        <w:rPr>
          <w:i/>
          <w:color w:val="222222"/>
          <w:highlight w:val="white"/>
        </w:rPr>
        <w:t>29</w:t>
      </w:r>
      <w:r>
        <w:rPr>
          <w:color w:val="222222"/>
          <w:highlight w:val="white"/>
        </w:rPr>
        <w:t xml:space="preserve">(3), 1038-1059. </w:t>
      </w:r>
      <w:hyperlink r:id="rId10">
        <w:r>
          <w:rPr>
            <w:color w:val="1155CC"/>
            <w:highlight w:val="white"/>
            <w:u w:val="single"/>
          </w:rPr>
          <w:t>http://dx.doi.org/10.6018/analesps.29.3.178511</w:t>
        </w:r>
      </w:hyperlink>
    </w:p>
    <w:p w14:paraId="000001AC" w14:textId="77777777" w:rsidR="002E78B5" w:rsidRDefault="003F478A">
      <w:pPr>
        <w:pBdr>
          <w:top w:val="nil"/>
          <w:left w:val="nil"/>
          <w:bottom w:val="nil"/>
          <w:right w:val="nil"/>
          <w:between w:val="nil"/>
        </w:pBdr>
        <w:ind w:left="720" w:hanging="720"/>
        <w:jc w:val="both"/>
        <w:rPr>
          <w:color w:val="222222"/>
          <w:highlight w:val="white"/>
        </w:rPr>
      </w:pPr>
      <w:proofErr w:type="spellStart"/>
      <w:r>
        <w:rPr>
          <w:color w:val="222222"/>
          <w:highlight w:val="white"/>
        </w:rPr>
        <w:t>Bar</w:t>
      </w:r>
      <w:r>
        <w:rPr>
          <w:color w:val="222222"/>
          <w:highlight w:val="white"/>
        </w:rPr>
        <w:t>celata-Eguiarte</w:t>
      </w:r>
      <w:proofErr w:type="spellEnd"/>
      <w:r>
        <w:rPr>
          <w:color w:val="222222"/>
          <w:highlight w:val="white"/>
        </w:rPr>
        <w:t xml:space="preserve">, B., Rodríguez, R. y González, F. (2021). Respuestas psicológicas durante el confinamiento por la pandemia por COVID-19 en estudiantes universitarios. REMO Revista Mexicana de Orientación Educativa, 18(40), 1-20. </w:t>
      </w:r>
      <w:hyperlink r:id="rId11">
        <w:r>
          <w:rPr>
            <w:color w:val="1155CC"/>
            <w:highlight w:val="white"/>
            <w:u w:val="single"/>
          </w:rPr>
          <w:t>https://doi.org/10.31206/rmdo342020</w:t>
        </w:r>
      </w:hyperlink>
    </w:p>
    <w:p w14:paraId="000001AD" w14:textId="77777777" w:rsidR="002E78B5" w:rsidRPr="009F53BF" w:rsidRDefault="003F478A">
      <w:pPr>
        <w:pBdr>
          <w:top w:val="nil"/>
          <w:left w:val="nil"/>
          <w:bottom w:val="nil"/>
          <w:right w:val="nil"/>
          <w:between w:val="nil"/>
        </w:pBdr>
        <w:ind w:left="720" w:hanging="720"/>
        <w:jc w:val="both"/>
        <w:rPr>
          <w:color w:val="000000"/>
          <w:lang w:val="en-US"/>
        </w:rPr>
      </w:pPr>
      <w:r>
        <w:rPr>
          <w:color w:val="000000"/>
        </w:rPr>
        <w:t xml:space="preserve">Beck, A.T., Epstein, N., Brown, G. y </w:t>
      </w:r>
      <w:proofErr w:type="spellStart"/>
      <w:r>
        <w:rPr>
          <w:color w:val="000000"/>
        </w:rPr>
        <w:t>Steer</w:t>
      </w:r>
      <w:proofErr w:type="spellEnd"/>
      <w:r>
        <w:rPr>
          <w:color w:val="000000"/>
        </w:rPr>
        <w:t xml:space="preserve">, R.A. (1988). </w:t>
      </w:r>
      <w:r w:rsidRPr="009F53BF">
        <w:rPr>
          <w:color w:val="000000"/>
          <w:lang w:val="en-US"/>
        </w:rPr>
        <w:t xml:space="preserve">An inventory for measuring clinical anxiety: Psychometric properties. </w:t>
      </w:r>
      <w:r w:rsidRPr="009F53BF">
        <w:rPr>
          <w:i/>
          <w:color w:val="000000"/>
          <w:lang w:val="en-US"/>
        </w:rPr>
        <w:t>Journal of Consulting and Clinical Psychology</w:t>
      </w:r>
      <w:r w:rsidRPr="009F53BF">
        <w:rPr>
          <w:color w:val="000000"/>
          <w:lang w:val="en-US"/>
        </w:rPr>
        <w:t xml:space="preserve">, 56, 893-897. </w:t>
      </w:r>
      <w:hyperlink r:id="rId12">
        <w:r w:rsidRPr="009F53BF">
          <w:rPr>
            <w:color w:val="0000FF"/>
            <w:u w:val="single"/>
            <w:lang w:val="en-US"/>
          </w:rPr>
          <w:t>https://doi.apa.org/doiLanding?doi=10.1037%2F0022-006X.56.6.893</w:t>
        </w:r>
      </w:hyperlink>
      <w:r w:rsidRPr="009F53BF">
        <w:rPr>
          <w:color w:val="000000"/>
          <w:lang w:val="en-US"/>
        </w:rPr>
        <w:t xml:space="preserve"> </w:t>
      </w:r>
    </w:p>
    <w:p w14:paraId="000001AE" w14:textId="77777777" w:rsidR="002E78B5" w:rsidRPr="009F53BF" w:rsidRDefault="003F478A">
      <w:pPr>
        <w:pBdr>
          <w:top w:val="nil"/>
          <w:left w:val="nil"/>
          <w:bottom w:val="nil"/>
          <w:right w:val="nil"/>
          <w:between w:val="nil"/>
        </w:pBdr>
        <w:ind w:left="720" w:hanging="720"/>
        <w:jc w:val="both"/>
        <w:rPr>
          <w:color w:val="222222"/>
          <w:highlight w:val="white"/>
          <w:lang w:val="en-US"/>
        </w:rPr>
      </w:pPr>
      <w:r>
        <w:rPr>
          <w:color w:val="222222"/>
          <w:highlight w:val="white"/>
        </w:rPr>
        <w:t>Campuzano, M. D. L. R., &amp; Anaya, E. D. G. (2011). Relación entre la consistencia en el uso de condón y factores d</w:t>
      </w:r>
      <w:r>
        <w:rPr>
          <w:color w:val="222222"/>
          <w:highlight w:val="white"/>
        </w:rPr>
        <w:t xml:space="preserve">isposicionales en estudiantes de bachillerato. </w:t>
      </w:r>
      <w:proofErr w:type="spellStart"/>
      <w:r w:rsidRPr="009F53BF">
        <w:rPr>
          <w:i/>
          <w:color w:val="222222"/>
          <w:highlight w:val="white"/>
          <w:lang w:val="en-US"/>
        </w:rPr>
        <w:t>Psicología</w:t>
      </w:r>
      <w:proofErr w:type="spellEnd"/>
      <w:r w:rsidRPr="009F53BF">
        <w:rPr>
          <w:i/>
          <w:color w:val="222222"/>
          <w:highlight w:val="white"/>
          <w:lang w:val="en-US"/>
        </w:rPr>
        <w:t xml:space="preserve"> y </w:t>
      </w:r>
      <w:proofErr w:type="spellStart"/>
      <w:r w:rsidRPr="009F53BF">
        <w:rPr>
          <w:i/>
          <w:color w:val="222222"/>
          <w:highlight w:val="white"/>
          <w:lang w:val="en-US"/>
        </w:rPr>
        <w:t>Salud</w:t>
      </w:r>
      <w:proofErr w:type="spellEnd"/>
      <w:r w:rsidRPr="009F53BF">
        <w:rPr>
          <w:color w:val="222222"/>
          <w:highlight w:val="white"/>
          <w:lang w:val="en-US"/>
        </w:rPr>
        <w:t xml:space="preserve">, </w:t>
      </w:r>
      <w:r w:rsidRPr="009F53BF">
        <w:rPr>
          <w:i/>
          <w:color w:val="222222"/>
          <w:highlight w:val="white"/>
          <w:lang w:val="en-US"/>
        </w:rPr>
        <w:t>21</w:t>
      </w:r>
      <w:r w:rsidRPr="009F53BF">
        <w:rPr>
          <w:color w:val="222222"/>
          <w:highlight w:val="white"/>
          <w:lang w:val="en-US"/>
        </w:rPr>
        <w:t>(1), 17-24.</w:t>
      </w:r>
    </w:p>
    <w:p w14:paraId="000001AF" w14:textId="77777777" w:rsidR="002E78B5" w:rsidRDefault="003F478A">
      <w:pPr>
        <w:pBdr>
          <w:top w:val="nil"/>
          <w:left w:val="nil"/>
          <w:bottom w:val="nil"/>
          <w:right w:val="nil"/>
          <w:between w:val="nil"/>
        </w:pBdr>
        <w:ind w:left="720" w:hanging="720"/>
        <w:jc w:val="both"/>
        <w:rPr>
          <w:color w:val="222222"/>
          <w:highlight w:val="white"/>
        </w:rPr>
      </w:pPr>
      <w:r w:rsidRPr="009F53BF">
        <w:rPr>
          <w:color w:val="222222"/>
          <w:highlight w:val="white"/>
          <w:lang w:val="en-US"/>
        </w:rPr>
        <w:t xml:space="preserve">CEDEFOP (2017). On the way to 2020: data for vocational education and training policies. Country statistical overviews – 2016 update. Luxembourg: Publications Office. </w:t>
      </w:r>
      <w:proofErr w:type="spellStart"/>
      <w:r w:rsidRPr="009F53BF">
        <w:rPr>
          <w:color w:val="222222"/>
          <w:highlight w:val="white"/>
          <w:lang w:val="en-US"/>
        </w:rPr>
        <w:t>Cedefop</w:t>
      </w:r>
      <w:proofErr w:type="spellEnd"/>
      <w:r w:rsidRPr="009F53BF">
        <w:rPr>
          <w:color w:val="222222"/>
          <w:highlight w:val="white"/>
          <w:lang w:val="en-US"/>
        </w:rPr>
        <w:t xml:space="preserve"> </w:t>
      </w:r>
      <w:r w:rsidRPr="009F53BF">
        <w:rPr>
          <w:color w:val="222222"/>
          <w:highlight w:val="white"/>
          <w:lang w:val="en-US"/>
        </w:rPr>
        <w:t xml:space="preserve">research paper; No 61. </w:t>
      </w:r>
      <w:hyperlink r:id="rId13">
        <w:r>
          <w:rPr>
            <w:color w:val="0000FF"/>
            <w:highlight w:val="white"/>
            <w:u w:val="single"/>
          </w:rPr>
          <w:t>http://dx.doi.org/10.2801/414017</w:t>
        </w:r>
      </w:hyperlink>
      <w:r>
        <w:rPr>
          <w:color w:val="222222"/>
          <w:highlight w:val="white"/>
        </w:rPr>
        <w:t xml:space="preserve"> </w:t>
      </w:r>
    </w:p>
    <w:p w14:paraId="000001B0" w14:textId="77777777" w:rsidR="002E78B5" w:rsidRDefault="003F478A">
      <w:pPr>
        <w:ind w:left="720" w:hanging="720"/>
        <w:jc w:val="both"/>
        <w:rPr>
          <w:color w:val="111111"/>
          <w:highlight w:val="white"/>
        </w:rPr>
      </w:pPr>
      <w:proofErr w:type="spellStart"/>
      <w:r>
        <w:rPr>
          <w:color w:val="111111"/>
          <w:highlight w:val="white"/>
        </w:rPr>
        <w:t>Cobo-Rendón</w:t>
      </w:r>
      <w:proofErr w:type="spellEnd"/>
      <w:r>
        <w:rPr>
          <w:color w:val="111111"/>
          <w:highlight w:val="white"/>
        </w:rPr>
        <w:t xml:space="preserve">, R., Vega-Valenzuela, A., y </w:t>
      </w:r>
      <w:proofErr w:type="spellStart"/>
      <w:r>
        <w:rPr>
          <w:color w:val="111111"/>
          <w:highlight w:val="white"/>
        </w:rPr>
        <w:t>García-Álvarez</w:t>
      </w:r>
      <w:proofErr w:type="spellEnd"/>
      <w:r>
        <w:rPr>
          <w:color w:val="111111"/>
          <w:highlight w:val="white"/>
        </w:rPr>
        <w:t>, D., (2020). Consideraciones institucionales sobre la Salud Mental en estudiantes univers</w:t>
      </w:r>
      <w:r>
        <w:rPr>
          <w:color w:val="111111"/>
          <w:highlight w:val="white"/>
        </w:rPr>
        <w:t xml:space="preserve">itarios durante la pandemia de COVID-19. </w:t>
      </w:r>
      <w:proofErr w:type="spellStart"/>
      <w:r>
        <w:rPr>
          <w:i/>
          <w:color w:val="111111"/>
          <w:highlight w:val="white"/>
        </w:rPr>
        <w:t>CienciAmérica</w:t>
      </w:r>
      <w:proofErr w:type="spellEnd"/>
      <w:r>
        <w:rPr>
          <w:color w:val="111111"/>
          <w:highlight w:val="white"/>
        </w:rPr>
        <w:t>, 9(</w:t>
      </w:r>
      <w:r>
        <w:rPr>
          <w:i/>
          <w:color w:val="111111"/>
          <w:highlight w:val="white"/>
        </w:rPr>
        <w:t>2</w:t>
      </w:r>
      <w:r>
        <w:rPr>
          <w:color w:val="111111"/>
          <w:highlight w:val="white"/>
        </w:rPr>
        <w:t xml:space="preserve">): 277-284. </w:t>
      </w:r>
      <w:hyperlink r:id="rId14">
        <w:r>
          <w:rPr>
            <w:color w:val="0000FF"/>
            <w:u w:val="single"/>
          </w:rPr>
          <w:t>http://dx.doi.org/10.33210/ca.v9i2.322</w:t>
        </w:r>
      </w:hyperlink>
      <w:r>
        <w:rPr>
          <w:color w:val="111111"/>
        </w:rPr>
        <w:t xml:space="preserve"> </w:t>
      </w:r>
    </w:p>
    <w:p w14:paraId="000001B1" w14:textId="77777777" w:rsidR="002E78B5" w:rsidRDefault="003F478A">
      <w:pPr>
        <w:pBdr>
          <w:top w:val="nil"/>
          <w:left w:val="nil"/>
          <w:bottom w:val="nil"/>
          <w:right w:val="nil"/>
          <w:between w:val="nil"/>
        </w:pBdr>
        <w:ind w:left="720" w:hanging="720"/>
        <w:jc w:val="both"/>
        <w:rPr>
          <w:color w:val="222222"/>
          <w:highlight w:val="white"/>
        </w:rPr>
      </w:pPr>
      <w:r>
        <w:rPr>
          <w:color w:val="333333"/>
          <w:highlight w:val="white"/>
        </w:rPr>
        <w:t xml:space="preserve">del Valle, M. V., Andrés, M. L., </w:t>
      </w:r>
      <w:proofErr w:type="spellStart"/>
      <w:r>
        <w:rPr>
          <w:color w:val="333333"/>
          <w:highlight w:val="white"/>
        </w:rPr>
        <w:t>Urquijo</w:t>
      </w:r>
      <w:proofErr w:type="spellEnd"/>
      <w:r>
        <w:rPr>
          <w:color w:val="333333"/>
          <w:highlight w:val="white"/>
        </w:rPr>
        <w:t>, S., Yerro-</w:t>
      </w:r>
      <w:proofErr w:type="spellStart"/>
      <w:r>
        <w:rPr>
          <w:color w:val="333333"/>
          <w:highlight w:val="white"/>
        </w:rPr>
        <w:t>Avincetto</w:t>
      </w:r>
      <w:proofErr w:type="spellEnd"/>
      <w:r>
        <w:rPr>
          <w:color w:val="333333"/>
          <w:highlight w:val="white"/>
        </w:rPr>
        <w:t xml:space="preserve">, M., López-Morales, H., &amp; </w:t>
      </w:r>
      <w:proofErr w:type="spellStart"/>
      <w:r>
        <w:rPr>
          <w:color w:val="333333"/>
          <w:highlight w:val="white"/>
        </w:rPr>
        <w:t>Canet-Juric</w:t>
      </w:r>
      <w:proofErr w:type="spellEnd"/>
      <w:r>
        <w:rPr>
          <w:color w:val="333333"/>
          <w:highlight w:val="white"/>
        </w:rPr>
        <w:t xml:space="preserve">, L. (2020). </w:t>
      </w:r>
      <w:r w:rsidRPr="009F53BF">
        <w:rPr>
          <w:color w:val="333333"/>
          <w:highlight w:val="white"/>
          <w:lang w:val="en-US"/>
        </w:rPr>
        <w:t xml:space="preserve">Intolerance of uncertainty over COVID-19 pandemic and its effect on anxiety and depressive symptoms. </w:t>
      </w:r>
      <w:r>
        <w:rPr>
          <w:i/>
          <w:color w:val="333333"/>
          <w:highlight w:val="white"/>
        </w:rPr>
        <w:t>Revista Interamericana De Psicología/</w:t>
      </w:r>
      <w:proofErr w:type="spellStart"/>
      <w:r>
        <w:rPr>
          <w:i/>
          <w:color w:val="333333"/>
          <w:highlight w:val="white"/>
        </w:rPr>
        <w:t>Intera</w:t>
      </w:r>
      <w:r>
        <w:rPr>
          <w:i/>
          <w:color w:val="333333"/>
          <w:highlight w:val="white"/>
        </w:rPr>
        <w:t>merican</w:t>
      </w:r>
      <w:proofErr w:type="spellEnd"/>
      <w:r>
        <w:rPr>
          <w:i/>
          <w:color w:val="333333"/>
          <w:highlight w:val="white"/>
        </w:rPr>
        <w:t xml:space="preserve"> </w:t>
      </w:r>
      <w:proofErr w:type="spellStart"/>
      <w:r>
        <w:rPr>
          <w:i/>
          <w:color w:val="333333"/>
          <w:highlight w:val="white"/>
        </w:rPr>
        <w:t>Journal</w:t>
      </w:r>
      <w:proofErr w:type="spellEnd"/>
      <w:r>
        <w:rPr>
          <w:i/>
          <w:color w:val="333333"/>
          <w:highlight w:val="white"/>
        </w:rPr>
        <w:t xml:space="preserve"> of </w:t>
      </w:r>
      <w:proofErr w:type="spellStart"/>
      <w:r>
        <w:rPr>
          <w:i/>
          <w:color w:val="333333"/>
          <w:highlight w:val="white"/>
        </w:rPr>
        <w:t>Psychology</w:t>
      </w:r>
      <w:proofErr w:type="spellEnd"/>
      <w:r>
        <w:rPr>
          <w:color w:val="333333"/>
          <w:highlight w:val="white"/>
        </w:rPr>
        <w:t xml:space="preserve">, </w:t>
      </w:r>
      <w:r>
        <w:rPr>
          <w:i/>
          <w:color w:val="333333"/>
          <w:highlight w:val="white"/>
        </w:rPr>
        <w:t>54</w:t>
      </w:r>
      <w:r>
        <w:rPr>
          <w:color w:val="333333"/>
          <w:highlight w:val="white"/>
        </w:rPr>
        <w:t xml:space="preserve">(2), e1335. </w:t>
      </w:r>
      <w:hyperlink r:id="rId15">
        <w:r>
          <w:rPr>
            <w:color w:val="1155CC"/>
            <w:highlight w:val="white"/>
            <w:u w:val="single"/>
          </w:rPr>
          <w:t>https://doi.org/10.30849/ripijp.v54i2.1335</w:t>
        </w:r>
      </w:hyperlink>
      <w:r>
        <w:rPr>
          <w:color w:val="333333"/>
          <w:highlight w:val="white"/>
        </w:rPr>
        <w:t xml:space="preserve"> </w:t>
      </w:r>
    </w:p>
    <w:p w14:paraId="000001B2" w14:textId="77777777" w:rsidR="002E78B5" w:rsidRDefault="003F478A">
      <w:pPr>
        <w:pBdr>
          <w:top w:val="nil"/>
          <w:left w:val="nil"/>
          <w:bottom w:val="nil"/>
          <w:right w:val="nil"/>
          <w:between w:val="nil"/>
        </w:pBdr>
        <w:ind w:left="720" w:hanging="720"/>
        <w:jc w:val="both"/>
        <w:rPr>
          <w:b/>
          <w:color w:val="222222"/>
          <w:highlight w:val="white"/>
        </w:rPr>
      </w:pPr>
      <w:r>
        <w:rPr>
          <w:color w:val="222222"/>
          <w:highlight w:val="white"/>
        </w:rPr>
        <w:t xml:space="preserve">Díaz-Barriga, C. y </w:t>
      </w:r>
      <w:proofErr w:type="spellStart"/>
      <w:r>
        <w:rPr>
          <w:color w:val="222222"/>
          <w:highlight w:val="white"/>
        </w:rPr>
        <w:t>González</w:t>
      </w:r>
      <w:proofErr w:type="spellEnd"/>
      <w:r>
        <w:rPr>
          <w:color w:val="222222"/>
          <w:highlight w:val="white"/>
        </w:rPr>
        <w:t xml:space="preserve">, A. (2019). Propiedades </w:t>
      </w:r>
      <w:proofErr w:type="spellStart"/>
      <w:r>
        <w:rPr>
          <w:color w:val="222222"/>
          <w:highlight w:val="white"/>
        </w:rPr>
        <w:t>psicométricas</w:t>
      </w:r>
      <w:proofErr w:type="spellEnd"/>
      <w:r>
        <w:rPr>
          <w:color w:val="222222"/>
          <w:highlight w:val="white"/>
        </w:rPr>
        <w:t xml:space="preserve"> del </w:t>
      </w:r>
      <w:proofErr w:type="gramStart"/>
      <w:r>
        <w:rPr>
          <w:color w:val="222222"/>
          <w:highlight w:val="white"/>
        </w:rPr>
        <w:t>Inventario  de</w:t>
      </w:r>
      <w:proofErr w:type="gramEnd"/>
      <w:r>
        <w:rPr>
          <w:color w:val="222222"/>
          <w:highlight w:val="white"/>
        </w:rPr>
        <w:t xml:space="preserve"> Ansiedad de Beck e</w:t>
      </w:r>
      <w:r>
        <w:rPr>
          <w:color w:val="222222"/>
          <w:highlight w:val="white"/>
        </w:rPr>
        <w:t xml:space="preserve">n adultos </w:t>
      </w:r>
      <w:proofErr w:type="spellStart"/>
      <w:r>
        <w:rPr>
          <w:color w:val="222222"/>
          <w:highlight w:val="white"/>
        </w:rPr>
        <w:t>asmáticos</w:t>
      </w:r>
      <w:proofErr w:type="spellEnd"/>
      <w:r>
        <w:rPr>
          <w:color w:val="222222"/>
          <w:highlight w:val="white"/>
        </w:rPr>
        <w:t xml:space="preserve"> mexicanos. </w:t>
      </w:r>
      <w:proofErr w:type="spellStart"/>
      <w:r>
        <w:rPr>
          <w:i/>
          <w:color w:val="222222"/>
          <w:highlight w:val="white"/>
        </w:rPr>
        <w:t>Psicología</w:t>
      </w:r>
      <w:proofErr w:type="spellEnd"/>
      <w:r>
        <w:rPr>
          <w:i/>
          <w:color w:val="222222"/>
          <w:highlight w:val="white"/>
        </w:rPr>
        <w:t xml:space="preserve"> y Salud</w:t>
      </w:r>
      <w:r>
        <w:rPr>
          <w:color w:val="222222"/>
          <w:highlight w:val="white"/>
        </w:rPr>
        <w:t xml:space="preserve">, </w:t>
      </w:r>
      <w:r>
        <w:rPr>
          <w:i/>
          <w:color w:val="222222"/>
          <w:highlight w:val="white"/>
        </w:rPr>
        <w:t>29</w:t>
      </w:r>
      <w:r>
        <w:rPr>
          <w:color w:val="222222"/>
          <w:highlight w:val="white"/>
        </w:rPr>
        <w:t xml:space="preserve">(1), 5-16. </w:t>
      </w:r>
      <w:hyperlink r:id="rId16">
        <w:r>
          <w:rPr>
            <w:color w:val="0000FF"/>
            <w:u w:val="single"/>
          </w:rPr>
          <w:t>https://doi.org/10.25009/pys.v29i1.2563</w:t>
        </w:r>
      </w:hyperlink>
      <w:r>
        <w:rPr>
          <w:color w:val="222222"/>
        </w:rPr>
        <w:t xml:space="preserve"> </w:t>
      </w:r>
      <w:r>
        <w:rPr>
          <w:color w:val="222222"/>
          <w:highlight w:val="white"/>
        </w:rPr>
        <w:t xml:space="preserve"> </w:t>
      </w:r>
    </w:p>
    <w:p w14:paraId="000001B3" w14:textId="77777777" w:rsidR="002E78B5" w:rsidRDefault="003F478A">
      <w:pPr>
        <w:pBdr>
          <w:top w:val="nil"/>
          <w:left w:val="nil"/>
          <w:bottom w:val="nil"/>
          <w:right w:val="nil"/>
          <w:between w:val="nil"/>
        </w:pBdr>
        <w:ind w:left="720" w:hanging="720"/>
        <w:jc w:val="both"/>
        <w:rPr>
          <w:color w:val="222222"/>
          <w:highlight w:val="white"/>
        </w:rPr>
      </w:pPr>
      <w:r>
        <w:rPr>
          <w:color w:val="222222"/>
          <w:highlight w:val="white"/>
        </w:rPr>
        <w:t xml:space="preserve">Escamilla, J., García, R., Moreno, C., </w:t>
      </w:r>
      <w:proofErr w:type="spellStart"/>
      <w:r>
        <w:rPr>
          <w:color w:val="222222"/>
          <w:highlight w:val="white"/>
        </w:rPr>
        <w:t>Osoria</w:t>
      </w:r>
      <w:proofErr w:type="spellEnd"/>
      <w:r>
        <w:rPr>
          <w:color w:val="222222"/>
          <w:highlight w:val="white"/>
        </w:rPr>
        <w:t>, J., Peña, A., González, A., Rodríguez, J.,</w:t>
      </w:r>
      <w:r>
        <w:rPr>
          <w:color w:val="222222"/>
          <w:highlight w:val="white"/>
        </w:rPr>
        <w:t xml:space="preserve"> Saldívar, R., Luna, V., Briz, O., </w:t>
      </w:r>
      <w:proofErr w:type="gramStart"/>
      <w:r>
        <w:rPr>
          <w:color w:val="222222"/>
          <w:highlight w:val="white"/>
        </w:rPr>
        <w:t>García,  A.</w:t>
      </w:r>
      <w:proofErr w:type="gramEnd"/>
      <w:r>
        <w:rPr>
          <w:color w:val="222222"/>
          <w:highlight w:val="white"/>
        </w:rPr>
        <w:t xml:space="preserve">, Galván, N., Garrido, M., Infanzón, H., Rivero, C., </w:t>
      </w:r>
      <w:proofErr w:type="spellStart"/>
      <w:r>
        <w:rPr>
          <w:color w:val="222222"/>
          <w:highlight w:val="white"/>
        </w:rPr>
        <w:t>Yap</w:t>
      </w:r>
      <w:proofErr w:type="spellEnd"/>
      <w:r>
        <w:rPr>
          <w:color w:val="222222"/>
          <w:highlight w:val="white"/>
        </w:rPr>
        <w:t xml:space="preserve">, K., y Zavala, C. (2020). ¿Cómo abordar la dimensión </w:t>
      </w:r>
      <w:proofErr w:type="spellStart"/>
      <w:r>
        <w:rPr>
          <w:color w:val="222222"/>
          <w:highlight w:val="white"/>
        </w:rPr>
        <w:t>socioafectiva</w:t>
      </w:r>
      <w:proofErr w:type="spellEnd"/>
      <w:r>
        <w:rPr>
          <w:color w:val="222222"/>
          <w:highlight w:val="white"/>
        </w:rPr>
        <w:t xml:space="preserve"> en la enseñanza remota de </w:t>
      </w:r>
      <w:proofErr w:type="gramStart"/>
      <w:r>
        <w:rPr>
          <w:color w:val="222222"/>
          <w:highlight w:val="white"/>
        </w:rPr>
        <w:t>emergencia?.</w:t>
      </w:r>
      <w:proofErr w:type="gramEnd"/>
      <w:r>
        <w:rPr>
          <w:color w:val="222222"/>
          <w:highlight w:val="white"/>
        </w:rPr>
        <w:t xml:space="preserve"> </w:t>
      </w:r>
      <w:r>
        <w:rPr>
          <w:i/>
          <w:color w:val="222222"/>
          <w:highlight w:val="white"/>
        </w:rPr>
        <w:t>Revista Digital Universitaria</w:t>
      </w:r>
      <w:r>
        <w:rPr>
          <w:color w:val="222222"/>
          <w:highlight w:val="white"/>
        </w:rPr>
        <w:t xml:space="preserve">, </w:t>
      </w:r>
      <w:r>
        <w:rPr>
          <w:i/>
          <w:color w:val="222222"/>
          <w:highlight w:val="white"/>
        </w:rPr>
        <w:t>21</w:t>
      </w:r>
      <w:r>
        <w:rPr>
          <w:color w:val="222222"/>
          <w:highlight w:val="white"/>
        </w:rPr>
        <w:t xml:space="preserve">(5), 1-10. </w:t>
      </w:r>
      <w:r>
        <w:rPr>
          <w:color w:val="0000FF"/>
          <w:highlight w:val="white"/>
        </w:rPr>
        <w:t>htt</w:t>
      </w:r>
      <w:r>
        <w:rPr>
          <w:color w:val="0000FF"/>
          <w:highlight w:val="white"/>
        </w:rPr>
        <w:t>p://doi.org/10.22201/cuaieed.16076079e.2020.21.5.10</w:t>
      </w:r>
    </w:p>
    <w:p w14:paraId="000001B4" w14:textId="77777777" w:rsidR="002E78B5" w:rsidRDefault="003F478A">
      <w:pPr>
        <w:pBdr>
          <w:top w:val="nil"/>
          <w:left w:val="nil"/>
          <w:bottom w:val="nil"/>
          <w:right w:val="nil"/>
          <w:between w:val="nil"/>
        </w:pBdr>
        <w:ind w:left="720" w:hanging="720"/>
        <w:jc w:val="both"/>
        <w:rPr>
          <w:color w:val="222222"/>
          <w:highlight w:val="white"/>
        </w:rPr>
      </w:pPr>
      <w:r>
        <w:rPr>
          <w:color w:val="222222"/>
          <w:highlight w:val="white"/>
        </w:rPr>
        <w:t>Fernández-</w:t>
      </w:r>
      <w:proofErr w:type="spellStart"/>
      <w:r>
        <w:rPr>
          <w:color w:val="222222"/>
          <w:highlight w:val="white"/>
        </w:rPr>
        <w:t>Regueira</w:t>
      </w:r>
      <w:proofErr w:type="spellEnd"/>
      <w:r>
        <w:rPr>
          <w:color w:val="222222"/>
          <w:highlight w:val="white"/>
        </w:rPr>
        <w:t xml:space="preserve">, U., </w:t>
      </w:r>
      <w:proofErr w:type="spellStart"/>
      <w:r>
        <w:rPr>
          <w:color w:val="222222"/>
          <w:highlight w:val="white"/>
        </w:rPr>
        <w:t>Gewerc</w:t>
      </w:r>
      <w:proofErr w:type="spellEnd"/>
      <w:r>
        <w:rPr>
          <w:color w:val="222222"/>
          <w:highlight w:val="white"/>
        </w:rPr>
        <w:t>, A. y Llamas-</w:t>
      </w:r>
      <w:proofErr w:type="spellStart"/>
      <w:r>
        <w:rPr>
          <w:color w:val="222222"/>
          <w:highlight w:val="white"/>
        </w:rPr>
        <w:t>Nistal</w:t>
      </w:r>
      <w:proofErr w:type="spellEnd"/>
      <w:r>
        <w:rPr>
          <w:color w:val="222222"/>
          <w:highlight w:val="white"/>
        </w:rPr>
        <w:t xml:space="preserve">, M. (2020). El profesorado universitario de Galicia y la enseñanza remota de emergencia: condiciones y contradicciones. </w:t>
      </w:r>
      <w:r>
        <w:rPr>
          <w:i/>
          <w:color w:val="222222"/>
          <w:highlight w:val="white"/>
        </w:rPr>
        <w:t>Campus Virtuales</w:t>
      </w:r>
      <w:r>
        <w:rPr>
          <w:color w:val="222222"/>
          <w:highlight w:val="white"/>
        </w:rPr>
        <w:t xml:space="preserve">, </w:t>
      </w:r>
      <w:r>
        <w:rPr>
          <w:i/>
          <w:color w:val="222222"/>
          <w:highlight w:val="white"/>
        </w:rPr>
        <w:t>9</w:t>
      </w:r>
      <w:r>
        <w:rPr>
          <w:color w:val="222222"/>
          <w:highlight w:val="white"/>
        </w:rPr>
        <w:t>(2), 9-24.</w:t>
      </w:r>
    </w:p>
    <w:p w14:paraId="000001B5" w14:textId="77777777" w:rsidR="002E78B5" w:rsidRDefault="003F478A">
      <w:pPr>
        <w:pBdr>
          <w:top w:val="nil"/>
          <w:left w:val="nil"/>
          <w:bottom w:val="nil"/>
          <w:right w:val="nil"/>
          <w:between w:val="nil"/>
        </w:pBdr>
        <w:ind w:left="720" w:hanging="720"/>
        <w:jc w:val="both"/>
        <w:rPr>
          <w:color w:val="222222"/>
          <w:highlight w:val="white"/>
        </w:rPr>
      </w:pPr>
      <w:r>
        <w:rPr>
          <w:color w:val="222222"/>
          <w:highlight w:val="white"/>
        </w:rPr>
        <w:t>Fig</w:t>
      </w:r>
      <w:r>
        <w:rPr>
          <w:color w:val="222222"/>
          <w:highlight w:val="white"/>
        </w:rPr>
        <w:t xml:space="preserve">uera </w:t>
      </w:r>
      <w:proofErr w:type="spellStart"/>
      <w:r>
        <w:rPr>
          <w:color w:val="222222"/>
          <w:highlight w:val="white"/>
        </w:rPr>
        <w:t>Gazo</w:t>
      </w:r>
      <w:proofErr w:type="spellEnd"/>
      <w:r>
        <w:rPr>
          <w:color w:val="222222"/>
          <w:highlight w:val="white"/>
        </w:rPr>
        <w:t xml:space="preserve">, P., Rodríguez Moreno, M. L., &amp; </w:t>
      </w:r>
      <w:proofErr w:type="spellStart"/>
      <w:r>
        <w:rPr>
          <w:color w:val="222222"/>
          <w:highlight w:val="white"/>
        </w:rPr>
        <w:t>Llanes</w:t>
      </w:r>
      <w:proofErr w:type="spellEnd"/>
      <w:r>
        <w:rPr>
          <w:color w:val="222222"/>
          <w:highlight w:val="white"/>
        </w:rPr>
        <w:t xml:space="preserve">, J. (2015). Transición y orientación: Interrelaciones, estrategias y recomendaciones desde la investigación. </w:t>
      </w:r>
      <w:r>
        <w:rPr>
          <w:i/>
          <w:color w:val="222222"/>
          <w:highlight w:val="white"/>
        </w:rPr>
        <w:t xml:space="preserve">REIRE. Revista </w:t>
      </w:r>
      <w:proofErr w:type="spellStart"/>
      <w:r>
        <w:rPr>
          <w:i/>
          <w:color w:val="222222"/>
          <w:highlight w:val="white"/>
        </w:rPr>
        <w:t>d'Innovació</w:t>
      </w:r>
      <w:proofErr w:type="spellEnd"/>
      <w:r>
        <w:rPr>
          <w:i/>
          <w:color w:val="222222"/>
          <w:highlight w:val="white"/>
        </w:rPr>
        <w:t xml:space="preserve"> i Recerca en </w:t>
      </w:r>
      <w:proofErr w:type="spellStart"/>
      <w:r>
        <w:rPr>
          <w:i/>
          <w:color w:val="222222"/>
          <w:highlight w:val="white"/>
        </w:rPr>
        <w:t>Educació</w:t>
      </w:r>
      <w:proofErr w:type="spellEnd"/>
      <w:r>
        <w:rPr>
          <w:i/>
          <w:color w:val="222222"/>
          <w:highlight w:val="white"/>
        </w:rPr>
        <w:t>, 2015, vol. 8</w:t>
      </w:r>
      <w:r>
        <w:rPr>
          <w:color w:val="222222"/>
          <w:highlight w:val="white"/>
        </w:rPr>
        <w:t>(2), 1-17.</w:t>
      </w:r>
    </w:p>
    <w:p w14:paraId="000001B6" w14:textId="77777777" w:rsidR="002E78B5" w:rsidRDefault="003F478A">
      <w:pPr>
        <w:pBdr>
          <w:top w:val="nil"/>
          <w:left w:val="nil"/>
          <w:bottom w:val="nil"/>
          <w:right w:val="nil"/>
          <w:between w:val="nil"/>
        </w:pBdr>
        <w:ind w:left="720" w:hanging="720"/>
        <w:jc w:val="both"/>
        <w:rPr>
          <w:color w:val="222222"/>
          <w:highlight w:val="white"/>
        </w:rPr>
      </w:pPr>
      <w:r>
        <w:rPr>
          <w:color w:val="222222"/>
          <w:highlight w:val="white"/>
        </w:rPr>
        <w:t>Figueroa de Amorós, E. (1</w:t>
      </w:r>
      <w:r>
        <w:rPr>
          <w:color w:val="222222"/>
          <w:highlight w:val="white"/>
        </w:rPr>
        <w:t xml:space="preserve">993). La elección de carrera: una decisión de gran trascendencia. Educación, 2(3), 5-13. Recuperado a partir de </w:t>
      </w:r>
      <w:hyperlink r:id="rId17">
        <w:r>
          <w:rPr>
            <w:color w:val="0000FF"/>
            <w:highlight w:val="white"/>
            <w:u w:val="single"/>
          </w:rPr>
          <w:t>http://revistas.pucp.edu.pe/index.php/educacion/article/view/4416</w:t>
        </w:r>
      </w:hyperlink>
      <w:r>
        <w:rPr>
          <w:color w:val="222222"/>
          <w:highlight w:val="white"/>
        </w:rPr>
        <w:t xml:space="preserve"> </w:t>
      </w:r>
    </w:p>
    <w:p w14:paraId="000001B7" w14:textId="77777777" w:rsidR="002E78B5" w:rsidRDefault="003F478A">
      <w:pPr>
        <w:pBdr>
          <w:top w:val="nil"/>
          <w:left w:val="nil"/>
          <w:bottom w:val="nil"/>
          <w:right w:val="nil"/>
          <w:between w:val="nil"/>
        </w:pBdr>
        <w:ind w:left="720" w:hanging="720"/>
        <w:jc w:val="both"/>
        <w:rPr>
          <w:color w:val="222222"/>
          <w:highlight w:val="white"/>
        </w:rPr>
      </w:pPr>
      <w:r>
        <w:rPr>
          <w:color w:val="222222"/>
          <w:highlight w:val="white"/>
        </w:rPr>
        <w:lastRenderedPageBreak/>
        <w:t xml:space="preserve">Francia, M., Aguirre, S. A., </w:t>
      </w:r>
      <w:proofErr w:type="spellStart"/>
      <w:r>
        <w:rPr>
          <w:color w:val="222222"/>
          <w:highlight w:val="white"/>
        </w:rPr>
        <w:t>Assum</w:t>
      </w:r>
      <w:proofErr w:type="spellEnd"/>
      <w:r>
        <w:rPr>
          <w:color w:val="222222"/>
          <w:highlight w:val="white"/>
        </w:rPr>
        <w:t xml:space="preserve">, M., </w:t>
      </w:r>
      <w:proofErr w:type="spellStart"/>
      <w:r>
        <w:rPr>
          <w:color w:val="222222"/>
          <w:highlight w:val="white"/>
        </w:rPr>
        <w:t>Suares</w:t>
      </w:r>
      <w:proofErr w:type="spellEnd"/>
      <w:r>
        <w:rPr>
          <w:color w:val="222222"/>
          <w:highlight w:val="white"/>
        </w:rPr>
        <w:t>, M. C., &amp; Torres, D. Universidad en tiempos de pandemia: sentires de una ingresante en su rol como estudiante universitaria.</w:t>
      </w:r>
      <w:r>
        <w:rPr>
          <w:i/>
          <w:color w:val="222222"/>
          <w:highlight w:val="white"/>
        </w:rPr>
        <w:t xml:space="preserve"> Anuario de Invest</w:t>
      </w:r>
      <w:r>
        <w:rPr>
          <w:i/>
          <w:color w:val="222222"/>
          <w:highlight w:val="white"/>
        </w:rPr>
        <w:t>igaciones de la Facultad de Psicología 5</w:t>
      </w:r>
      <w:r>
        <w:rPr>
          <w:color w:val="222222"/>
          <w:highlight w:val="white"/>
        </w:rPr>
        <w:t xml:space="preserve">(2), 53-70). </w:t>
      </w:r>
      <w:hyperlink r:id="rId18">
        <w:r>
          <w:rPr>
            <w:color w:val="1155CC"/>
            <w:highlight w:val="white"/>
            <w:u w:val="single"/>
          </w:rPr>
          <w:t>https://revistas.unc.edu.ar/index.php/aifp/article/view/31070</w:t>
        </w:r>
      </w:hyperlink>
      <w:r>
        <w:rPr>
          <w:color w:val="222222"/>
          <w:highlight w:val="white"/>
        </w:rPr>
        <w:t xml:space="preserve"> </w:t>
      </w:r>
    </w:p>
    <w:p w14:paraId="000001B8" w14:textId="77777777" w:rsidR="002E78B5" w:rsidRDefault="003F478A">
      <w:pPr>
        <w:pBdr>
          <w:top w:val="nil"/>
          <w:left w:val="nil"/>
          <w:bottom w:val="nil"/>
          <w:right w:val="nil"/>
          <w:between w:val="nil"/>
        </w:pBdr>
        <w:ind w:left="720" w:hanging="720"/>
        <w:jc w:val="both"/>
        <w:rPr>
          <w:color w:val="333333"/>
          <w:highlight w:val="white"/>
        </w:rPr>
      </w:pPr>
      <w:r>
        <w:rPr>
          <w:color w:val="333333"/>
          <w:highlight w:val="white"/>
        </w:rPr>
        <w:t xml:space="preserve">Gallegos, M., </w:t>
      </w:r>
      <w:proofErr w:type="spellStart"/>
      <w:r>
        <w:rPr>
          <w:color w:val="333333"/>
          <w:highlight w:val="white"/>
        </w:rPr>
        <w:t>Zalaquett</w:t>
      </w:r>
      <w:proofErr w:type="spellEnd"/>
      <w:r>
        <w:rPr>
          <w:color w:val="333333"/>
          <w:highlight w:val="white"/>
        </w:rPr>
        <w:t xml:space="preserve">, </w:t>
      </w:r>
      <w:proofErr w:type="gramStart"/>
      <w:r>
        <w:rPr>
          <w:color w:val="333333"/>
          <w:highlight w:val="white"/>
        </w:rPr>
        <w:t>C. .</w:t>
      </w:r>
      <w:proofErr w:type="gramEnd"/>
      <w:r>
        <w:rPr>
          <w:color w:val="333333"/>
          <w:highlight w:val="white"/>
        </w:rPr>
        <w:t>, Luna Sánchez, S. E. ., Mazo-</w:t>
      </w:r>
      <w:r>
        <w:rPr>
          <w:color w:val="333333"/>
          <w:highlight w:val="white"/>
        </w:rPr>
        <w:t xml:space="preserve">Zea, R., Ortiz-Torres, B., Penagos-Corzo, J. C., Portillo, N., Torres Fernández, I., Urzúa, A., Morgan </w:t>
      </w:r>
      <w:proofErr w:type="spellStart"/>
      <w:r>
        <w:rPr>
          <w:color w:val="333333"/>
          <w:highlight w:val="white"/>
        </w:rPr>
        <w:t>Consoli</w:t>
      </w:r>
      <w:proofErr w:type="spellEnd"/>
      <w:r>
        <w:rPr>
          <w:color w:val="333333"/>
          <w:highlight w:val="white"/>
        </w:rPr>
        <w:t xml:space="preserve">, M., Polanco, F. A., </w:t>
      </w:r>
      <w:proofErr w:type="spellStart"/>
      <w:r>
        <w:rPr>
          <w:color w:val="333333"/>
          <w:highlight w:val="white"/>
        </w:rPr>
        <w:t>Florez</w:t>
      </w:r>
      <w:proofErr w:type="spellEnd"/>
      <w:r>
        <w:rPr>
          <w:color w:val="333333"/>
          <w:highlight w:val="white"/>
        </w:rPr>
        <w:t xml:space="preserve">, A. M., &amp; </w:t>
      </w:r>
      <w:proofErr w:type="spellStart"/>
      <w:r>
        <w:rPr>
          <w:color w:val="333333"/>
          <w:highlight w:val="white"/>
        </w:rPr>
        <w:t>Lopes</w:t>
      </w:r>
      <w:proofErr w:type="spellEnd"/>
      <w:r>
        <w:rPr>
          <w:color w:val="333333"/>
          <w:highlight w:val="white"/>
        </w:rPr>
        <w:t xml:space="preserve"> Miranda, R. (2020). </w:t>
      </w:r>
      <w:r w:rsidRPr="009F53BF">
        <w:rPr>
          <w:color w:val="333333"/>
          <w:highlight w:val="white"/>
          <w:lang w:val="en-US"/>
        </w:rPr>
        <w:t xml:space="preserve">Coping with the Coronavirus (Covid-19) pandemic in the Americas: recommendations </w:t>
      </w:r>
      <w:r w:rsidRPr="009F53BF">
        <w:rPr>
          <w:color w:val="333333"/>
          <w:highlight w:val="white"/>
          <w:lang w:val="en-US"/>
        </w:rPr>
        <w:t xml:space="preserve">and guidelines for mental health. </w:t>
      </w:r>
      <w:r>
        <w:rPr>
          <w:i/>
          <w:color w:val="333333"/>
          <w:highlight w:val="white"/>
        </w:rPr>
        <w:t>Revista Interamericana De Psicología/</w:t>
      </w:r>
      <w:proofErr w:type="spellStart"/>
      <w:r>
        <w:rPr>
          <w:i/>
          <w:color w:val="333333"/>
          <w:highlight w:val="white"/>
        </w:rPr>
        <w:t>Interamerican</w:t>
      </w:r>
      <w:proofErr w:type="spellEnd"/>
      <w:r>
        <w:rPr>
          <w:i/>
          <w:color w:val="333333"/>
          <w:highlight w:val="white"/>
        </w:rPr>
        <w:t xml:space="preserve"> </w:t>
      </w:r>
      <w:proofErr w:type="spellStart"/>
      <w:r>
        <w:rPr>
          <w:i/>
          <w:color w:val="333333"/>
          <w:highlight w:val="white"/>
        </w:rPr>
        <w:t>Journal</w:t>
      </w:r>
      <w:proofErr w:type="spellEnd"/>
      <w:r>
        <w:rPr>
          <w:i/>
          <w:color w:val="333333"/>
          <w:highlight w:val="white"/>
        </w:rPr>
        <w:t xml:space="preserve"> of </w:t>
      </w:r>
      <w:proofErr w:type="spellStart"/>
      <w:r>
        <w:rPr>
          <w:i/>
          <w:color w:val="333333"/>
          <w:highlight w:val="white"/>
        </w:rPr>
        <w:t>Psychology</w:t>
      </w:r>
      <w:proofErr w:type="spellEnd"/>
      <w:r>
        <w:rPr>
          <w:color w:val="333333"/>
          <w:highlight w:val="white"/>
        </w:rPr>
        <w:t xml:space="preserve">, </w:t>
      </w:r>
      <w:r>
        <w:rPr>
          <w:i/>
          <w:color w:val="333333"/>
          <w:highlight w:val="white"/>
        </w:rPr>
        <w:t>54</w:t>
      </w:r>
      <w:r>
        <w:rPr>
          <w:color w:val="333333"/>
          <w:highlight w:val="white"/>
        </w:rPr>
        <w:t xml:space="preserve">(1), e1304. </w:t>
      </w:r>
      <w:hyperlink r:id="rId19">
        <w:r>
          <w:rPr>
            <w:color w:val="1155CC"/>
            <w:highlight w:val="white"/>
            <w:u w:val="single"/>
          </w:rPr>
          <w:t>https://doi.org/10.30849/ripijp.v54i1.1304</w:t>
        </w:r>
      </w:hyperlink>
      <w:r>
        <w:rPr>
          <w:color w:val="333333"/>
          <w:highlight w:val="white"/>
        </w:rPr>
        <w:t xml:space="preserve"> </w:t>
      </w:r>
    </w:p>
    <w:p w14:paraId="000001B9" w14:textId="77777777" w:rsidR="002E78B5" w:rsidRDefault="003F478A">
      <w:pPr>
        <w:pBdr>
          <w:top w:val="nil"/>
          <w:left w:val="nil"/>
          <w:bottom w:val="nil"/>
          <w:right w:val="nil"/>
          <w:between w:val="nil"/>
        </w:pBdr>
        <w:ind w:left="720" w:hanging="720"/>
        <w:jc w:val="both"/>
        <w:rPr>
          <w:color w:val="222222"/>
          <w:highlight w:val="white"/>
        </w:rPr>
      </w:pPr>
      <w:r>
        <w:rPr>
          <w:color w:val="222222"/>
          <w:highlight w:val="white"/>
        </w:rPr>
        <w:t>Gavilán, M. (2020). La orien</w:t>
      </w:r>
      <w:r>
        <w:rPr>
          <w:color w:val="222222"/>
          <w:highlight w:val="white"/>
        </w:rPr>
        <w:t xml:space="preserve">tación entre la pandemia y el futuro. </w:t>
      </w:r>
      <w:r>
        <w:rPr>
          <w:i/>
          <w:color w:val="222222"/>
          <w:highlight w:val="white"/>
        </w:rPr>
        <w:t>Orientación y Sociedad, 20</w:t>
      </w:r>
      <w:r>
        <w:rPr>
          <w:color w:val="222222"/>
          <w:highlight w:val="white"/>
        </w:rPr>
        <w:t xml:space="preserve">(1), 1-20. </w:t>
      </w:r>
      <w:hyperlink r:id="rId20">
        <w:r>
          <w:rPr>
            <w:color w:val="1155CC"/>
            <w:highlight w:val="white"/>
            <w:u w:val="single"/>
          </w:rPr>
          <w:t>https://revistas.unlp.edu.ar/OrientacionYSociedad/article/view/10238</w:t>
        </w:r>
      </w:hyperlink>
      <w:r>
        <w:rPr>
          <w:color w:val="222222"/>
          <w:highlight w:val="white"/>
        </w:rPr>
        <w:t xml:space="preserve"> </w:t>
      </w:r>
    </w:p>
    <w:p w14:paraId="000001BA" w14:textId="77777777" w:rsidR="002E78B5" w:rsidRDefault="003F478A">
      <w:pPr>
        <w:pBdr>
          <w:top w:val="nil"/>
          <w:left w:val="nil"/>
          <w:bottom w:val="nil"/>
          <w:right w:val="nil"/>
          <w:between w:val="nil"/>
        </w:pBdr>
        <w:ind w:left="720" w:hanging="720"/>
        <w:jc w:val="both"/>
        <w:rPr>
          <w:color w:val="222222"/>
          <w:highlight w:val="white"/>
        </w:rPr>
      </w:pPr>
      <w:r>
        <w:rPr>
          <w:color w:val="222222"/>
          <w:highlight w:val="white"/>
        </w:rPr>
        <w:t>Gómez Gonzales, C. A. J</w:t>
      </w:r>
      <w:r>
        <w:rPr>
          <w:color w:val="222222"/>
          <w:highlight w:val="white"/>
        </w:rPr>
        <w:t xml:space="preserve">. (2016). Análisis contingencial: una propuesta de intervención en un caso clínico. </w:t>
      </w:r>
      <w:r>
        <w:rPr>
          <w:i/>
          <w:color w:val="222222"/>
          <w:highlight w:val="white"/>
        </w:rPr>
        <w:t>CASUS 1</w:t>
      </w:r>
      <w:r>
        <w:rPr>
          <w:color w:val="222222"/>
          <w:highlight w:val="white"/>
        </w:rPr>
        <w:t xml:space="preserve">(1), 34-40. </w:t>
      </w:r>
      <w:hyperlink r:id="rId21">
        <w:r>
          <w:rPr>
            <w:color w:val="0000FF"/>
            <w:u w:val="single"/>
          </w:rPr>
          <w:t>https://doi.org/10.35626/casus.1.2016.15</w:t>
        </w:r>
      </w:hyperlink>
      <w:r>
        <w:rPr>
          <w:color w:val="222222"/>
        </w:rPr>
        <w:t xml:space="preserve"> </w:t>
      </w:r>
    </w:p>
    <w:p w14:paraId="000001BB" w14:textId="77777777" w:rsidR="002E78B5" w:rsidRDefault="003F478A">
      <w:pPr>
        <w:pBdr>
          <w:top w:val="nil"/>
          <w:left w:val="nil"/>
          <w:bottom w:val="nil"/>
          <w:right w:val="nil"/>
          <w:between w:val="nil"/>
        </w:pBdr>
        <w:ind w:left="720" w:hanging="720"/>
        <w:jc w:val="both"/>
        <w:rPr>
          <w:color w:val="222222"/>
          <w:highlight w:val="white"/>
        </w:rPr>
      </w:pPr>
      <w:r>
        <w:rPr>
          <w:color w:val="222222"/>
          <w:highlight w:val="white"/>
        </w:rPr>
        <w:t>Gómez-Ortiz, P., M. y Vázquez-Domínguez, E. (2019).</w:t>
      </w:r>
      <w:r>
        <w:rPr>
          <w:color w:val="222222"/>
          <w:highlight w:val="white"/>
        </w:rPr>
        <w:t xml:space="preserve"> La importancia de un plan de vida y carrera. </w:t>
      </w:r>
      <w:r>
        <w:rPr>
          <w:i/>
          <w:color w:val="222222"/>
          <w:highlight w:val="white"/>
        </w:rPr>
        <w:t>TEPEXI Boletín Científico de la Escuela Superior Tepeji del Río</w:t>
      </w:r>
      <w:r>
        <w:rPr>
          <w:color w:val="222222"/>
          <w:highlight w:val="white"/>
        </w:rPr>
        <w:t xml:space="preserve">, </w:t>
      </w:r>
      <w:r>
        <w:rPr>
          <w:i/>
          <w:color w:val="222222"/>
          <w:highlight w:val="white"/>
        </w:rPr>
        <w:t>6</w:t>
      </w:r>
      <w:r>
        <w:rPr>
          <w:color w:val="222222"/>
          <w:highlight w:val="white"/>
        </w:rPr>
        <w:t>(11), 1-5.</w:t>
      </w:r>
    </w:p>
    <w:p w14:paraId="000001BC" w14:textId="77777777" w:rsidR="002E78B5" w:rsidRDefault="003F478A">
      <w:pPr>
        <w:pBdr>
          <w:top w:val="nil"/>
          <w:left w:val="nil"/>
          <w:bottom w:val="nil"/>
          <w:right w:val="nil"/>
          <w:between w:val="nil"/>
        </w:pBdr>
        <w:ind w:left="720" w:hanging="720"/>
        <w:jc w:val="both"/>
        <w:rPr>
          <w:color w:val="222222"/>
          <w:highlight w:val="white"/>
        </w:rPr>
      </w:pPr>
      <w:r>
        <w:rPr>
          <w:color w:val="222222"/>
          <w:highlight w:val="white"/>
        </w:rPr>
        <w:t>González-Lomelí, D., Barrera, L., Maytorena, M., &amp; Fuentes, M. (2018). Certeza vocacional y factores de carrera en estudiantes de dos</w:t>
      </w:r>
      <w:r>
        <w:rPr>
          <w:color w:val="222222"/>
          <w:highlight w:val="white"/>
        </w:rPr>
        <w:t xml:space="preserve"> universidades del noroeste de México. </w:t>
      </w:r>
      <w:proofErr w:type="spellStart"/>
      <w:r>
        <w:rPr>
          <w:color w:val="222222"/>
          <w:highlight w:val="white"/>
        </w:rPr>
        <w:t>Psicumex</w:t>
      </w:r>
      <w:proofErr w:type="spellEnd"/>
      <w:r>
        <w:rPr>
          <w:color w:val="222222"/>
          <w:highlight w:val="white"/>
        </w:rPr>
        <w:t xml:space="preserve">, 8(2), 5–23. </w:t>
      </w:r>
      <w:hyperlink r:id="rId22">
        <w:r>
          <w:rPr>
            <w:color w:val="0000FF"/>
            <w:highlight w:val="white"/>
            <w:u w:val="single"/>
          </w:rPr>
          <w:t>https://doi.org/10.36793/psicumex.v8i2.295</w:t>
        </w:r>
      </w:hyperlink>
      <w:r>
        <w:rPr>
          <w:color w:val="222222"/>
          <w:highlight w:val="white"/>
        </w:rPr>
        <w:t xml:space="preserve"> </w:t>
      </w:r>
    </w:p>
    <w:p w14:paraId="000001BD" w14:textId="77777777" w:rsidR="002E78B5" w:rsidRDefault="003F478A">
      <w:pPr>
        <w:pBdr>
          <w:top w:val="nil"/>
          <w:left w:val="nil"/>
          <w:bottom w:val="nil"/>
          <w:right w:val="nil"/>
          <w:between w:val="nil"/>
        </w:pBdr>
        <w:ind w:left="720" w:hanging="720"/>
        <w:jc w:val="both"/>
        <w:rPr>
          <w:color w:val="000000"/>
        </w:rPr>
      </w:pPr>
      <w:r>
        <w:rPr>
          <w:color w:val="000000"/>
        </w:rPr>
        <w:t xml:space="preserve">González, F. (2007). </w:t>
      </w:r>
      <w:r>
        <w:rPr>
          <w:i/>
          <w:color w:val="000000"/>
        </w:rPr>
        <w:t>Instrumentos de evaluación psicológica</w:t>
      </w:r>
      <w:r>
        <w:rPr>
          <w:color w:val="000000"/>
        </w:rPr>
        <w:t>. Editorial Ciencias Médicas: Cuba.</w:t>
      </w:r>
      <w:r>
        <w:rPr>
          <w:color w:val="211E1E"/>
        </w:rPr>
        <w:t xml:space="preserve"> ISBN 978-959-212-221-5 </w:t>
      </w:r>
    </w:p>
    <w:p w14:paraId="000001BE" w14:textId="77777777" w:rsidR="002E78B5" w:rsidRDefault="003F478A">
      <w:pPr>
        <w:pBdr>
          <w:top w:val="nil"/>
          <w:left w:val="nil"/>
          <w:bottom w:val="nil"/>
          <w:right w:val="nil"/>
          <w:between w:val="nil"/>
        </w:pBdr>
        <w:ind w:left="720" w:hanging="720"/>
        <w:jc w:val="both"/>
        <w:rPr>
          <w:color w:val="222222"/>
          <w:highlight w:val="white"/>
        </w:rPr>
      </w:pPr>
      <w:r>
        <w:rPr>
          <w:color w:val="222222"/>
          <w:highlight w:val="white"/>
        </w:rPr>
        <w:t xml:space="preserve">Gonzalo, R. (2020). Orientación educativa y tecnologías. Uso de recursos digitales, virtuales y tecnológicos en </w:t>
      </w:r>
      <w:proofErr w:type="gramStart"/>
      <w:r>
        <w:rPr>
          <w:color w:val="222222"/>
          <w:highlight w:val="white"/>
        </w:rPr>
        <w:t>equipos  de</w:t>
      </w:r>
      <w:proofErr w:type="gramEnd"/>
      <w:r>
        <w:rPr>
          <w:color w:val="222222"/>
          <w:highlight w:val="white"/>
        </w:rPr>
        <w:t xml:space="preserve"> orientación educativa durante pandemia. </w:t>
      </w:r>
      <w:r>
        <w:rPr>
          <w:i/>
          <w:color w:val="222222"/>
          <w:highlight w:val="white"/>
        </w:rPr>
        <w:t>Orientación y Sociedad, 20</w:t>
      </w:r>
      <w:r>
        <w:rPr>
          <w:color w:val="222222"/>
          <w:highlight w:val="white"/>
        </w:rPr>
        <w:t>(2), 1</w:t>
      </w:r>
      <w:r>
        <w:rPr>
          <w:color w:val="222222"/>
          <w:highlight w:val="white"/>
        </w:rPr>
        <w:t xml:space="preserve">5. </w:t>
      </w:r>
      <w:hyperlink r:id="rId23">
        <w:r>
          <w:rPr>
            <w:color w:val="1155CC"/>
            <w:highlight w:val="white"/>
            <w:u w:val="single"/>
          </w:rPr>
          <w:t>https://revistas.unlp.edu.ar/OrientacionYSociedad/article/view/10887</w:t>
        </w:r>
      </w:hyperlink>
      <w:r>
        <w:rPr>
          <w:color w:val="222222"/>
          <w:highlight w:val="white"/>
        </w:rPr>
        <w:t xml:space="preserve"> </w:t>
      </w:r>
    </w:p>
    <w:p w14:paraId="000001BF" w14:textId="77777777" w:rsidR="002E78B5" w:rsidRDefault="003F478A">
      <w:pPr>
        <w:pBdr>
          <w:top w:val="nil"/>
          <w:left w:val="nil"/>
          <w:bottom w:val="nil"/>
          <w:right w:val="nil"/>
          <w:between w:val="nil"/>
        </w:pBdr>
        <w:ind w:left="720" w:hanging="720"/>
        <w:jc w:val="both"/>
        <w:rPr>
          <w:color w:val="222222"/>
          <w:highlight w:val="white"/>
        </w:rPr>
      </w:pPr>
      <w:proofErr w:type="spellStart"/>
      <w:r>
        <w:rPr>
          <w:color w:val="222222"/>
          <w:highlight w:val="white"/>
        </w:rPr>
        <w:t>Grañeras</w:t>
      </w:r>
      <w:proofErr w:type="spellEnd"/>
      <w:r>
        <w:rPr>
          <w:color w:val="222222"/>
          <w:highlight w:val="white"/>
        </w:rPr>
        <w:t>, M. y Parras, A. (2009). Orientación educativa: fundamentos teóricos, modelos institucionales y nuevas perspectivas. Ministerio de Educación, Política Social y Deporte. Gobierno de España. Segunda edición. 245-248.</w:t>
      </w:r>
    </w:p>
    <w:p w14:paraId="000001C0" w14:textId="77777777" w:rsidR="002E78B5" w:rsidRPr="009F53BF" w:rsidRDefault="003F478A">
      <w:pPr>
        <w:pBdr>
          <w:top w:val="nil"/>
          <w:left w:val="nil"/>
          <w:bottom w:val="nil"/>
          <w:right w:val="nil"/>
          <w:between w:val="nil"/>
        </w:pBdr>
        <w:ind w:left="720" w:hanging="720"/>
        <w:jc w:val="both"/>
        <w:rPr>
          <w:color w:val="222222"/>
          <w:highlight w:val="white"/>
          <w:lang w:val="en-US"/>
        </w:rPr>
      </w:pPr>
      <w:r>
        <w:rPr>
          <w:color w:val="222222"/>
          <w:highlight w:val="white"/>
        </w:rPr>
        <w:t xml:space="preserve">Jiménez, F. </w:t>
      </w:r>
      <w:proofErr w:type="gramStart"/>
      <w:r>
        <w:rPr>
          <w:color w:val="222222"/>
          <w:highlight w:val="white"/>
        </w:rPr>
        <w:t>y  Ramírez</w:t>
      </w:r>
      <w:proofErr w:type="gramEnd"/>
      <w:r>
        <w:rPr>
          <w:color w:val="222222"/>
          <w:highlight w:val="white"/>
        </w:rPr>
        <w:t>, Y. (2011</w:t>
      </w:r>
      <w:r>
        <w:rPr>
          <w:color w:val="222222"/>
          <w:highlight w:val="white"/>
        </w:rPr>
        <w:t xml:space="preserve">). Clasificación de los diseños de investigación. En J.A. García </w:t>
      </w:r>
      <w:proofErr w:type="spellStart"/>
      <w:r>
        <w:rPr>
          <w:color w:val="222222"/>
          <w:highlight w:val="white"/>
        </w:rPr>
        <w:t>García</w:t>
      </w:r>
      <w:proofErr w:type="spellEnd"/>
      <w:r>
        <w:rPr>
          <w:color w:val="222222"/>
          <w:highlight w:val="white"/>
        </w:rPr>
        <w:t xml:space="preserve">, F. Jiménez Ponce, M. R. </w:t>
      </w:r>
      <w:proofErr w:type="spellStart"/>
      <w:r>
        <w:rPr>
          <w:color w:val="222222"/>
          <w:highlight w:val="white"/>
        </w:rPr>
        <w:t>Arnaud</w:t>
      </w:r>
      <w:proofErr w:type="spellEnd"/>
      <w:r>
        <w:rPr>
          <w:color w:val="222222"/>
          <w:highlight w:val="white"/>
        </w:rPr>
        <w:t xml:space="preserve"> Viñas, Y. Ramírez Piña y L. Lino Piña (Eds.), </w:t>
      </w:r>
      <w:r>
        <w:rPr>
          <w:i/>
          <w:color w:val="222222"/>
          <w:highlight w:val="white"/>
        </w:rPr>
        <w:t>Introducción a la Metodología de la Investigación en Ciencias de la Salud</w:t>
      </w:r>
      <w:r>
        <w:rPr>
          <w:color w:val="222222"/>
          <w:highlight w:val="white"/>
        </w:rPr>
        <w:t xml:space="preserve"> (pp. 41-52). </w:t>
      </w:r>
      <w:r w:rsidRPr="009F53BF">
        <w:rPr>
          <w:color w:val="222222"/>
          <w:highlight w:val="white"/>
          <w:lang w:val="en-US"/>
        </w:rPr>
        <w:t xml:space="preserve">McGraw-Hill </w:t>
      </w:r>
      <w:proofErr w:type="spellStart"/>
      <w:r w:rsidRPr="009F53BF">
        <w:rPr>
          <w:color w:val="222222"/>
          <w:highlight w:val="white"/>
          <w:lang w:val="en-US"/>
        </w:rPr>
        <w:t>Educaci</w:t>
      </w:r>
      <w:r w:rsidRPr="009F53BF">
        <w:rPr>
          <w:color w:val="222222"/>
          <w:highlight w:val="white"/>
          <w:lang w:val="en-US"/>
        </w:rPr>
        <w:t>ón</w:t>
      </w:r>
      <w:proofErr w:type="spellEnd"/>
    </w:p>
    <w:p w14:paraId="000001C1" w14:textId="77777777" w:rsidR="002E78B5" w:rsidRDefault="003F478A">
      <w:pPr>
        <w:spacing w:after="160"/>
        <w:ind w:left="720"/>
        <w:jc w:val="both"/>
        <w:rPr>
          <w:color w:val="222222"/>
          <w:highlight w:val="white"/>
        </w:rPr>
      </w:pPr>
      <w:proofErr w:type="spellStart"/>
      <w:r w:rsidRPr="009F53BF">
        <w:rPr>
          <w:color w:val="222222"/>
          <w:highlight w:val="white"/>
          <w:lang w:val="en-US"/>
        </w:rPr>
        <w:t>Khoshaim</w:t>
      </w:r>
      <w:proofErr w:type="spellEnd"/>
      <w:r w:rsidRPr="009F53BF">
        <w:rPr>
          <w:color w:val="222222"/>
          <w:highlight w:val="white"/>
          <w:lang w:val="en-US"/>
        </w:rPr>
        <w:t xml:space="preserve"> HB., Al-</w:t>
      </w:r>
      <w:proofErr w:type="spellStart"/>
      <w:r w:rsidRPr="009F53BF">
        <w:rPr>
          <w:color w:val="222222"/>
          <w:highlight w:val="white"/>
          <w:lang w:val="en-US"/>
        </w:rPr>
        <w:t>Sukayt</w:t>
      </w:r>
      <w:proofErr w:type="spellEnd"/>
      <w:r w:rsidRPr="009F53BF">
        <w:rPr>
          <w:color w:val="222222"/>
          <w:highlight w:val="white"/>
          <w:lang w:val="en-US"/>
        </w:rPr>
        <w:t xml:space="preserve"> A., </w:t>
      </w:r>
      <w:proofErr w:type="spellStart"/>
      <w:r w:rsidRPr="009F53BF">
        <w:rPr>
          <w:color w:val="222222"/>
          <w:highlight w:val="white"/>
          <w:lang w:val="en-US"/>
        </w:rPr>
        <w:t>Chinna</w:t>
      </w:r>
      <w:proofErr w:type="spellEnd"/>
      <w:r w:rsidRPr="009F53BF">
        <w:rPr>
          <w:color w:val="222222"/>
          <w:highlight w:val="white"/>
          <w:lang w:val="en-US"/>
        </w:rPr>
        <w:t xml:space="preserve"> K., </w:t>
      </w:r>
      <w:proofErr w:type="spellStart"/>
      <w:r w:rsidRPr="009F53BF">
        <w:rPr>
          <w:color w:val="222222"/>
          <w:highlight w:val="white"/>
          <w:lang w:val="en-US"/>
        </w:rPr>
        <w:t>Nurunnabi</w:t>
      </w:r>
      <w:proofErr w:type="spellEnd"/>
      <w:r w:rsidRPr="009F53BF">
        <w:rPr>
          <w:color w:val="222222"/>
          <w:highlight w:val="white"/>
          <w:lang w:val="en-US"/>
        </w:rPr>
        <w:t xml:space="preserve"> M., </w:t>
      </w:r>
      <w:proofErr w:type="spellStart"/>
      <w:r w:rsidRPr="009F53BF">
        <w:rPr>
          <w:color w:val="222222"/>
          <w:highlight w:val="white"/>
          <w:lang w:val="en-US"/>
        </w:rPr>
        <w:t>Sundarasen</w:t>
      </w:r>
      <w:proofErr w:type="spellEnd"/>
      <w:r w:rsidRPr="009F53BF">
        <w:rPr>
          <w:color w:val="222222"/>
          <w:highlight w:val="white"/>
          <w:lang w:val="en-US"/>
        </w:rPr>
        <w:t xml:space="preserve"> S., </w:t>
      </w:r>
      <w:proofErr w:type="spellStart"/>
      <w:r w:rsidRPr="009F53BF">
        <w:rPr>
          <w:color w:val="222222"/>
          <w:highlight w:val="white"/>
          <w:lang w:val="en-US"/>
        </w:rPr>
        <w:t>Kamaludin</w:t>
      </w:r>
      <w:proofErr w:type="spellEnd"/>
      <w:r w:rsidRPr="009F53BF">
        <w:rPr>
          <w:color w:val="222222"/>
          <w:highlight w:val="white"/>
          <w:lang w:val="en-US"/>
        </w:rPr>
        <w:t xml:space="preserve"> K., Baloch GM., &amp; Hossain SFA (2020) Anxiety Level of University Students During COVID-19 in Saudi Arabia. </w:t>
      </w:r>
      <w:r>
        <w:rPr>
          <w:i/>
          <w:color w:val="222222"/>
          <w:highlight w:val="white"/>
        </w:rPr>
        <w:t xml:space="preserve">Front. </w:t>
      </w:r>
      <w:proofErr w:type="spellStart"/>
      <w:r>
        <w:rPr>
          <w:i/>
          <w:color w:val="222222"/>
          <w:highlight w:val="white"/>
        </w:rPr>
        <w:t>Psychiatry</w:t>
      </w:r>
      <w:proofErr w:type="spellEnd"/>
      <w:r>
        <w:rPr>
          <w:color w:val="222222"/>
          <w:highlight w:val="white"/>
        </w:rPr>
        <w:t xml:space="preserve"> 11:579750. </w:t>
      </w:r>
      <w:proofErr w:type="spellStart"/>
      <w:r>
        <w:rPr>
          <w:color w:val="222222"/>
          <w:highlight w:val="white"/>
        </w:rPr>
        <w:t>doi</w:t>
      </w:r>
      <w:proofErr w:type="spellEnd"/>
      <w:r>
        <w:rPr>
          <w:color w:val="222222"/>
          <w:highlight w:val="white"/>
        </w:rPr>
        <w:t>: 10.3389/fpsyt.2020.579750</w:t>
      </w:r>
    </w:p>
    <w:p w14:paraId="000001C2" w14:textId="77777777" w:rsidR="002E78B5" w:rsidRDefault="003F478A">
      <w:pPr>
        <w:pBdr>
          <w:top w:val="nil"/>
          <w:left w:val="nil"/>
          <w:bottom w:val="nil"/>
          <w:right w:val="nil"/>
          <w:between w:val="nil"/>
        </w:pBdr>
        <w:ind w:left="720" w:hanging="720"/>
        <w:jc w:val="both"/>
        <w:rPr>
          <w:color w:val="222222"/>
          <w:highlight w:val="white"/>
        </w:rPr>
      </w:pPr>
      <w:r>
        <w:rPr>
          <w:color w:val="222222"/>
          <w:highlight w:val="white"/>
        </w:rPr>
        <w:t>López, D</w:t>
      </w:r>
      <w:r>
        <w:rPr>
          <w:color w:val="222222"/>
          <w:highlight w:val="white"/>
        </w:rPr>
        <w:t xml:space="preserve">. y </w:t>
      </w:r>
      <w:proofErr w:type="spellStart"/>
      <w:r>
        <w:rPr>
          <w:color w:val="222222"/>
          <w:highlight w:val="white"/>
        </w:rPr>
        <w:t>Norzagaray</w:t>
      </w:r>
      <w:proofErr w:type="spellEnd"/>
      <w:r>
        <w:rPr>
          <w:color w:val="222222"/>
          <w:highlight w:val="white"/>
        </w:rPr>
        <w:t xml:space="preserve">, C. (2016). Construcción y validación de un instrumento para evaluar factores disposicionales asociados a la elección de carrera. </w:t>
      </w:r>
      <w:r>
        <w:rPr>
          <w:i/>
          <w:color w:val="222222"/>
          <w:highlight w:val="white"/>
        </w:rPr>
        <w:t>Enseñanza e Investigación en Psicología, 21</w:t>
      </w:r>
      <w:r>
        <w:rPr>
          <w:color w:val="222222"/>
          <w:highlight w:val="white"/>
        </w:rPr>
        <w:t xml:space="preserve">(2), 120-130. </w:t>
      </w:r>
      <w:hyperlink r:id="rId24">
        <w:r>
          <w:rPr>
            <w:color w:val="0000FF"/>
            <w:u w:val="single"/>
          </w:rPr>
          <w:t>https://www.redalyc.org/pdf/292/29248181002.pdf</w:t>
        </w:r>
      </w:hyperlink>
      <w:r>
        <w:rPr>
          <w:color w:val="222222"/>
        </w:rPr>
        <w:t xml:space="preserve"> </w:t>
      </w:r>
    </w:p>
    <w:p w14:paraId="000001C3" w14:textId="77777777" w:rsidR="002E78B5" w:rsidRDefault="003F478A">
      <w:pPr>
        <w:pBdr>
          <w:top w:val="nil"/>
          <w:left w:val="nil"/>
          <w:bottom w:val="nil"/>
          <w:right w:val="nil"/>
          <w:between w:val="nil"/>
        </w:pBdr>
        <w:ind w:left="720" w:hanging="720"/>
        <w:jc w:val="both"/>
        <w:rPr>
          <w:color w:val="211E1E"/>
        </w:rPr>
      </w:pPr>
      <w:r>
        <w:rPr>
          <w:color w:val="222222"/>
          <w:highlight w:val="white"/>
        </w:rPr>
        <w:t xml:space="preserve">Martín, M. (2007). Instrumentos de Evaluación psicológica para el estudio de los estados de ansiedad y depresión. En. F. González, </w:t>
      </w:r>
      <w:r>
        <w:rPr>
          <w:i/>
        </w:rPr>
        <w:t>Instrumentos de evaluación psicológica</w:t>
      </w:r>
      <w:r>
        <w:t>. Editorial Ciencias Médi</w:t>
      </w:r>
      <w:r>
        <w:t>cas: Cuba.</w:t>
      </w:r>
      <w:r>
        <w:rPr>
          <w:color w:val="211E1E"/>
        </w:rPr>
        <w:t xml:space="preserve"> ISBN 978-959-212-221-5 </w:t>
      </w:r>
    </w:p>
    <w:p w14:paraId="000001C4" w14:textId="77777777" w:rsidR="002E78B5" w:rsidRDefault="003F478A">
      <w:pPr>
        <w:pBdr>
          <w:top w:val="nil"/>
          <w:left w:val="nil"/>
          <w:bottom w:val="nil"/>
          <w:right w:val="nil"/>
          <w:between w:val="nil"/>
        </w:pBdr>
        <w:ind w:left="720" w:hanging="720"/>
        <w:jc w:val="both"/>
        <w:rPr>
          <w:color w:val="222222"/>
          <w:highlight w:val="white"/>
        </w:rPr>
      </w:pPr>
      <w:r>
        <w:rPr>
          <w:color w:val="222222"/>
          <w:highlight w:val="white"/>
        </w:rPr>
        <w:t xml:space="preserve">Morales, J. A. F., Matos, J. L. B., &amp; </w:t>
      </w:r>
      <w:proofErr w:type="spellStart"/>
      <w:r>
        <w:rPr>
          <w:color w:val="222222"/>
          <w:highlight w:val="white"/>
        </w:rPr>
        <w:t>Alvarez</w:t>
      </w:r>
      <w:proofErr w:type="spellEnd"/>
      <w:r>
        <w:rPr>
          <w:color w:val="222222"/>
          <w:highlight w:val="white"/>
        </w:rPr>
        <w:t xml:space="preserve">, J. A. H. (2015). Metas y motivos en la elección de una carrera en estudiantes de una universidad privada de Lima. </w:t>
      </w:r>
      <w:proofErr w:type="spellStart"/>
      <w:r>
        <w:rPr>
          <w:color w:val="222222"/>
          <w:highlight w:val="white"/>
        </w:rPr>
        <w:t>Eduser</w:t>
      </w:r>
      <w:proofErr w:type="spellEnd"/>
      <w:r>
        <w:rPr>
          <w:color w:val="222222"/>
          <w:highlight w:val="white"/>
        </w:rPr>
        <w:t>, 2(1).</w:t>
      </w:r>
    </w:p>
    <w:p w14:paraId="000001C5" w14:textId="77777777" w:rsidR="002E78B5" w:rsidRDefault="003F478A">
      <w:pPr>
        <w:pBdr>
          <w:top w:val="nil"/>
          <w:left w:val="nil"/>
          <w:bottom w:val="nil"/>
          <w:right w:val="nil"/>
          <w:between w:val="nil"/>
        </w:pBdr>
        <w:ind w:left="720" w:hanging="720"/>
        <w:jc w:val="both"/>
        <w:rPr>
          <w:color w:val="211E1E"/>
        </w:rPr>
      </w:pPr>
      <w:r>
        <w:rPr>
          <w:color w:val="222222"/>
          <w:highlight w:val="white"/>
        </w:rPr>
        <w:t xml:space="preserve">Morrison, J. (2015). </w:t>
      </w:r>
      <w:r>
        <w:rPr>
          <w:i/>
          <w:color w:val="222222"/>
          <w:highlight w:val="white"/>
        </w:rPr>
        <w:t>DSM-5® Guía para el diagn</w:t>
      </w:r>
      <w:r>
        <w:rPr>
          <w:i/>
          <w:color w:val="222222"/>
          <w:highlight w:val="white"/>
        </w:rPr>
        <w:t>óstico clínico</w:t>
      </w:r>
      <w:r>
        <w:rPr>
          <w:color w:val="222222"/>
          <w:highlight w:val="white"/>
        </w:rPr>
        <w:t>. Editorial El Manual Moderno.</w:t>
      </w:r>
    </w:p>
    <w:p w14:paraId="000001C6" w14:textId="77777777" w:rsidR="002E78B5" w:rsidRPr="009F53BF" w:rsidRDefault="003F478A">
      <w:pPr>
        <w:pBdr>
          <w:top w:val="nil"/>
          <w:left w:val="nil"/>
          <w:bottom w:val="nil"/>
          <w:right w:val="nil"/>
          <w:between w:val="nil"/>
        </w:pBdr>
        <w:ind w:left="720" w:hanging="720"/>
        <w:jc w:val="both"/>
        <w:rPr>
          <w:b/>
          <w:color w:val="222222"/>
          <w:highlight w:val="white"/>
          <w:lang w:val="en-US"/>
        </w:rPr>
      </w:pPr>
      <w:r w:rsidRPr="009F53BF">
        <w:rPr>
          <w:lang w:val="en-US"/>
        </w:rPr>
        <w:t xml:space="preserve">NIMH (2021). National Institute of Mental Health, </w:t>
      </w:r>
      <w:proofErr w:type="gramStart"/>
      <w:r w:rsidRPr="009F53BF">
        <w:rPr>
          <w:lang w:val="en-US"/>
        </w:rPr>
        <w:t>National  Institutes</w:t>
      </w:r>
      <w:proofErr w:type="gramEnd"/>
      <w:r w:rsidRPr="009F53BF">
        <w:rPr>
          <w:lang w:val="en-US"/>
        </w:rPr>
        <w:t xml:space="preserve"> of Health, part of U.S.  Department of Health and Human Services. </w:t>
      </w:r>
      <w:hyperlink r:id="rId25">
        <w:r w:rsidRPr="009F53BF">
          <w:rPr>
            <w:color w:val="1155CC"/>
            <w:u w:val="single"/>
            <w:lang w:val="en-US"/>
          </w:rPr>
          <w:t>https://www.nimh.nih.gov/health/topics/anxiety-disorders/</w:t>
        </w:r>
      </w:hyperlink>
      <w:r w:rsidRPr="009F53BF">
        <w:rPr>
          <w:lang w:val="en-US"/>
        </w:rPr>
        <w:t xml:space="preserve"> </w:t>
      </w:r>
    </w:p>
    <w:p w14:paraId="000001C7" w14:textId="77777777" w:rsidR="002E78B5" w:rsidRDefault="003F478A">
      <w:pPr>
        <w:pBdr>
          <w:top w:val="nil"/>
          <w:left w:val="nil"/>
          <w:bottom w:val="nil"/>
          <w:right w:val="nil"/>
          <w:between w:val="nil"/>
        </w:pBdr>
        <w:ind w:left="720" w:hanging="720"/>
        <w:jc w:val="both"/>
        <w:rPr>
          <w:color w:val="222222"/>
          <w:highlight w:val="white"/>
        </w:rPr>
      </w:pPr>
      <w:proofErr w:type="spellStart"/>
      <w:r>
        <w:rPr>
          <w:color w:val="222222"/>
          <w:highlight w:val="white"/>
        </w:rPr>
        <w:lastRenderedPageBreak/>
        <w:t>Norzagaray</w:t>
      </w:r>
      <w:proofErr w:type="spellEnd"/>
      <w:r>
        <w:rPr>
          <w:color w:val="222222"/>
          <w:highlight w:val="white"/>
        </w:rPr>
        <w:t xml:space="preserve">, C. y López, D. (2018). Factores disposicionales que influyen en la elección de carrera en estudiantes de bachillerato. </w:t>
      </w:r>
      <w:r>
        <w:rPr>
          <w:i/>
          <w:color w:val="222222"/>
          <w:highlight w:val="white"/>
        </w:rPr>
        <w:t>Enseñanza e Investigación en Psicología, 23</w:t>
      </w:r>
      <w:r>
        <w:rPr>
          <w:color w:val="222222"/>
          <w:highlight w:val="white"/>
        </w:rPr>
        <w:t xml:space="preserve">(3), 249-259. </w:t>
      </w:r>
      <w:hyperlink r:id="rId26">
        <w:r>
          <w:rPr>
            <w:color w:val="0000FF"/>
            <w:u w:val="single"/>
          </w:rPr>
          <w:t>https://www.researchgate.net/publication/3411052</w:t>
        </w:r>
        <w:r>
          <w:rPr>
            <w:color w:val="0000FF"/>
            <w:u w:val="single"/>
          </w:rPr>
          <w:t>76_FACTORES_QUE_INFLUYEN_EN_LA_ELECCION_DE_CARRERA_DE_ESTUDIANTES_EN_BACHILLERATO_Factors_influencing_the_career_choice_of_students_in_high_school</w:t>
        </w:r>
      </w:hyperlink>
      <w:r>
        <w:rPr>
          <w:color w:val="222222"/>
        </w:rPr>
        <w:t xml:space="preserve"> </w:t>
      </w:r>
    </w:p>
    <w:p w14:paraId="000001C8" w14:textId="77777777" w:rsidR="002E78B5" w:rsidRDefault="003F478A">
      <w:pPr>
        <w:ind w:left="720" w:hanging="720"/>
        <w:jc w:val="both"/>
        <w:rPr>
          <w:color w:val="222222"/>
          <w:highlight w:val="white"/>
        </w:rPr>
      </w:pPr>
      <w:r>
        <w:rPr>
          <w:color w:val="222222"/>
          <w:highlight w:val="white"/>
        </w:rPr>
        <w:t xml:space="preserve">Pardo, H. y Cobo, C. (2020). Expandir la universidad más allá de la enseñanza remota de emergencia. </w:t>
      </w:r>
      <w:r>
        <w:rPr>
          <w:i/>
          <w:color w:val="222222"/>
          <w:highlight w:val="white"/>
        </w:rPr>
        <w:t xml:space="preserve">Ideas hacia un modelo híbrido </w:t>
      </w:r>
      <w:proofErr w:type="gramStart"/>
      <w:r>
        <w:rPr>
          <w:i/>
          <w:color w:val="222222"/>
          <w:highlight w:val="white"/>
        </w:rPr>
        <w:t>post-pandemia</w:t>
      </w:r>
      <w:proofErr w:type="gramEnd"/>
      <w:r>
        <w:rPr>
          <w:i/>
          <w:color w:val="222222"/>
          <w:highlight w:val="white"/>
        </w:rPr>
        <w:t xml:space="preserve">. Barcelona: </w:t>
      </w:r>
      <w:proofErr w:type="spellStart"/>
      <w:r>
        <w:rPr>
          <w:i/>
          <w:color w:val="222222"/>
          <w:highlight w:val="white"/>
        </w:rPr>
        <w:t>Outliers</w:t>
      </w:r>
      <w:proofErr w:type="spellEnd"/>
      <w:r>
        <w:rPr>
          <w:i/>
          <w:color w:val="222222"/>
          <w:highlight w:val="white"/>
        </w:rPr>
        <w:t xml:space="preserve"> </w:t>
      </w:r>
      <w:proofErr w:type="spellStart"/>
      <w:r>
        <w:rPr>
          <w:i/>
          <w:color w:val="222222"/>
          <w:highlight w:val="white"/>
        </w:rPr>
        <w:t>School</w:t>
      </w:r>
      <w:proofErr w:type="spellEnd"/>
      <w:r>
        <w:rPr>
          <w:color w:val="222222"/>
          <w:highlight w:val="white"/>
        </w:rPr>
        <w:t>.</w:t>
      </w:r>
    </w:p>
    <w:p w14:paraId="000001C9" w14:textId="77777777" w:rsidR="002E78B5" w:rsidRDefault="003F478A">
      <w:pPr>
        <w:ind w:left="720" w:hanging="720"/>
        <w:jc w:val="both"/>
        <w:rPr>
          <w:color w:val="0563C1"/>
          <w:highlight w:val="white"/>
          <w:u w:val="single"/>
        </w:rPr>
      </w:pPr>
      <w:r>
        <w:rPr>
          <w:color w:val="222222"/>
          <w:highlight w:val="white"/>
        </w:rPr>
        <w:t xml:space="preserve">Peñuelas, S., Castellanos, L, Reynoso, </w:t>
      </w:r>
      <w:proofErr w:type="spellStart"/>
      <w:r>
        <w:rPr>
          <w:color w:val="222222"/>
          <w:highlight w:val="white"/>
        </w:rPr>
        <w:t>Ó</w:t>
      </w:r>
      <w:proofErr w:type="spellEnd"/>
      <w:r>
        <w:rPr>
          <w:color w:val="222222"/>
          <w:highlight w:val="white"/>
        </w:rPr>
        <w:t xml:space="preserve">., y </w:t>
      </w:r>
      <w:proofErr w:type="spellStart"/>
      <w:r>
        <w:rPr>
          <w:color w:val="222222"/>
          <w:highlight w:val="white"/>
        </w:rPr>
        <w:t>Gavotto</w:t>
      </w:r>
      <w:proofErr w:type="spellEnd"/>
      <w:r>
        <w:rPr>
          <w:color w:val="222222"/>
          <w:highlight w:val="white"/>
        </w:rPr>
        <w:t>, O. (2020). Enseñanza remota d</w:t>
      </w:r>
      <w:r>
        <w:rPr>
          <w:color w:val="222222"/>
          <w:highlight w:val="white"/>
        </w:rPr>
        <w:t xml:space="preserve">e emergencia ante la pandemia COVID-19 en Educación Media Superior y Educación Superior. </w:t>
      </w:r>
      <w:r>
        <w:rPr>
          <w:i/>
          <w:color w:val="222222"/>
          <w:highlight w:val="white"/>
        </w:rPr>
        <w:t>Propósitos y Representaciones</w:t>
      </w:r>
      <w:r>
        <w:rPr>
          <w:color w:val="222222"/>
          <w:highlight w:val="white"/>
        </w:rPr>
        <w:t xml:space="preserve">, </w:t>
      </w:r>
      <w:r>
        <w:rPr>
          <w:i/>
          <w:color w:val="222222"/>
          <w:highlight w:val="white"/>
        </w:rPr>
        <w:t xml:space="preserve">8, </w:t>
      </w:r>
      <w:proofErr w:type="gramStart"/>
      <w:r>
        <w:rPr>
          <w:color w:val="222222"/>
          <w:highlight w:val="white"/>
        </w:rPr>
        <w:t>SPE(</w:t>
      </w:r>
      <w:proofErr w:type="gramEnd"/>
      <w:r>
        <w:rPr>
          <w:color w:val="222222"/>
          <w:highlight w:val="white"/>
        </w:rPr>
        <w:t>3), e589.</w:t>
      </w:r>
      <w:hyperlink r:id="rId27">
        <w:r>
          <w:rPr>
            <w:color w:val="222222"/>
            <w:highlight w:val="white"/>
          </w:rPr>
          <w:t xml:space="preserve"> </w:t>
        </w:r>
      </w:hyperlink>
      <w:hyperlink r:id="rId28">
        <w:r>
          <w:rPr>
            <w:color w:val="0563C1"/>
            <w:highlight w:val="white"/>
            <w:u w:val="single"/>
          </w:rPr>
          <w:t>http://dx.doi.org/10.20511/pyr2020.v8nSPE3.589</w:t>
        </w:r>
      </w:hyperlink>
    </w:p>
    <w:p w14:paraId="000001CA" w14:textId="77777777" w:rsidR="002E78B5" w:rsidRDefault="003F478A">
      <w:pPr>
        <w:pBdr>
          <w:top w:val="nil"/>
          <w:left w:val="nil"/>
          <w:bottom w:val="nil"/>
          <w:right w:val="nil"/>
          <w:between w:val="nil"/>
        </w:pBdr>
        <w:ind w:left="720" w:hanging="720"/>
        <w:jc w:val="both"/>
        <w:rPr>
          <w:color w:val="222222"/>
          <w:highlight w:val="white"/>
        </w:rPr>
      </w:pPr>
      <w:r>
        <w:rPr>
          <w:color w:val="222222"/>
          <w:highlight w:val="white"/>
        </w:rPr>
        <w:t>Pérez-</w:t>
      </w:r>
      <w:proofErr w:type="spellStart"/>
      <w:r>
        <w:rPr>
          <w:color w:val="222222"/>
          <w:highlight w:val="white"/>
        </w:rPr>
        <w:t>Tyteca</w:t>
      </w:r>
      <w:proofErr w:type="spellEnd"/>
      <w:r>
        <w:rPr>
          <w:color w:val="222222"/>
          <w:highlight w:val="white"/>
        </w:rPr>
        <w:t>, Patricia; Castro, Enrique (2011). La ansiedad Matemática y su red de influencias en la elección de carrera Universitaria. En Marín, Margarita; Fernández, Gabriel; Blanco, Lorenzo J.;</w:t>
      </w:r>
      <w:r>
        <w:rPr>
          <w:color w:val="222222"/>
          <w:highlight w:val="white"/>
        </w:rPr>
        <w:t xml:space="preserve"> </w:t>
      </w:r>
      <w:proofErr w:type="spellStart"/>
      <w:r>
        <w:rPr>
          <w:color w:val="222222"/>
          <w:highlight w:val="white"/>
        </w:rPr>
        <w:t>Palarea</w:t>
      </w:r>
      <w:proofErr w:type="spellEnd"/>
      <w:r>
        <w:rPr>
          <w:color w:val="222222"/>
          <w:highlight w:val="white"/>
        </w:rPr>
        <w:t>, María Mercedes (Eds.), Investigación en Educación Matemática XV (pp. 471-480). Ciudad Real: Sociedad Española de Investigación en Educación Matemática, SEIEM.</w:t>
      </w:r>
    </w:p>
    <w:p w14:paraId="000001CB" w14:textId="77777777" w:rsidR="002E78B5" w:rsidRDefault="003F478A">
      <w:pPr>
        <w:pBdr>
          <w:top w:val="nil"/>
          <w:left w:val="nil"/>
          <w:bottom w:val="nil"/>
          <w:right w:val="nil"/>
          <w:between w:val="nil"/>
        </w:pBdr>
        <w:ind w:left="720" w:hanging="720"/>
        <w:jc w:val="both"/>
        <w:rPr>
          <w:color w:val="222222"/>
          <w:highlight w:val="white"/>
        </w:rPr>
      </w:pPr>
      <w:r>
        <w:rPr>
          <w:color w:val="222222"/>
          <w:highlight w:val="white"/>
        </w:rPr>
        <w:t xml:space="preserve">Postigo </w:t>
      </w:r>
      <w:proofErr w:type="spellStart"/>
      <w:r>
        <w:rPr>
          <w:color w:val="222222"/>
          <w:highlight w:val="white"/>
        </w:rPr>
        <w:t>Vallenas</w:t>
      </w:r>
      <w:proofErr w:type="spellEnd"/>
      <w:r>
        <w:rPr>
          <w:color w:val="222222"/>
          <w:highlight w:val="white"/>
        </w:rPr>
        <w:t>, A. C. Nivel de influencia de los factores emocionales, sociales, econ</w:t>
      </w:r>
      <w:r>
        <w:rPr>
          <w:color w:val="222222"/>
          <w:highlight w:val="white"/>
        </w:rPr>
        <w:t xml:space="preserve">ómicos y académicos sobre la orientación vocacional de los estudiantes del quinto de secundaria de un colegio privado de Miraflores. Tesis para obtener el grado de Licenciatura en Educación. </w:t>
      </w:r>
      <w:hyperlink r:id="rId29">
        <w:r>
          <w:rPr>
            <w:color w:val="0000FF"/>
            <w:highlight w:val="white"/>
            <w:u w:val="single"/>
          </w:rPr>
          <w:t>http://tesis.pucp.edu.pe/repositorio/bitstream/handle/20.500.12404/17321/POSTIGO_VALLENAS_ANDREA_CAROLINA.pdf?sequence=1&amp;isAllowed=y</w:t>
        </w:r>
      </w:hyperlink>
      <w:r>
        <w:rPr>
          <w:color w:val="222222"/>
          <w:highlight w:val="white"/>
        </w:rPr>
        <w:t xml:space="preserve"> </w:t>
      </w:r>
    </w:p>
    <w:p w14:paraId="000001CC" w14:textId="77777777" w:rsidR="002E78B5" w:rsidRDefault="003F478A">
      <w:pPr>
        <w:shd w:val="clear" w:color="auto" w:fill="FFFFFF"/>
        <w:ind w:left="720" w:hanging="720"/>
        <w:jc w:val="both"/>
        <w:rPr>
          <w:color w:val="333333"/>
          <w:highlight w:val="white"/>
        </w:rPr>
      </w:pPr>
      <w:r>
        <w:rPr>
          <w:color w:val="333333"/>
          <w:highlight w:val="white"/>
        </w:rPr>
        <w:t>Ramos, V., Ramos-Galarza, C., &amp; Tej</w:t>
      </w:r>
      <w:r>
        <w:rPr>
          <w:color w:val="333333"/>
          <w:highlight w:val="white"/>
        </w:rPr>
        <w:t xml:space="preserve">era, E. (2020). </w:t>
      </w:r>
      <w:r w:rsidRPr="009F53BF">
        <w:rPr>
          <w:color w:val="333333"/>
          <w:highlight w:val="white"/>
          <w:lang w:val="en-US"/>
        </w:rPr>
        <w:t xml:space="preserve">Teleworking in times of COVID-19. </w:t>
      </w:r>
      <w:r>
        <w:rPr>
          <w:i/>
          <w:color w:val="333333"/>
          <w:highlight w:val="white"/>
        </w:rPr>
        <w:t>Revista Interamericana De Psicología/</w:t>
      </w:r>
      <w:proofErr w:type="spellStart"/>
      <w:r>
        <w:rPr>
          <w:i/>
          <w:color w:val="333333"/>
          <w:highlight w:val="white"/>
        </w:rPr>
        <w:t>Interamerican</w:t>
      </w:r>
      <w:proofErr w:type="spellEnd"/>
      <w:r>
        <w:rPr>
          <w:i/>
          <w:color w:val="333333"/>
          <w:highlight w:val="white"/>
        </w:rPr>
        <w:t xml:space="preserve"> </w:t>
      </w:r>
      <w:proofErr w:type="spellStart"/>
      <w:r>
        <w:rPr>
          <w:i/>
          <w:color w:val="333333"/>
          <w:highlight w:val="white"/>
        </w:rPr>
        <w:t>Journal</w:t>
      </w:r>
      <w:proofErr w:type="spellEnd"/>
      <w:r>
        <w:rPr>
          <w:i/>
          <w:color w:val="333333"/>
          <w:highlight w:val="white"/>
        </w:rPr>
        <w:t xml:space="preserve"> of </w:t>
      </w:r>
      <w:proofErr w:type="spellStart"/>
      <w:r>
        <w:rPr>
          <w:i/>
          <w:color w:val="333333"/>
          <w:highlight w:val="white"/>
        </w:rPr>
        <w:t>Psychology</w:t>
      </w:r>
      <w:proofErr w:type="spellEnd"/>
      <w:r>
        <w:rPr>
          <w:color w:val="333333"/>
          <w:highlight w:val="white"/>
        </w:rPr>
        <w:t xml:space="preserve">, </w:t>
      </w:r>
      <w:r>
        <w:rPr>
          <w:i/>
          <w:color w:val="333333"/>
          <w:highlight w:val="white"/>
        </w:rPr>
        <w:t>54</w:t>
      </w:r>
      <w:r>
        <w:rPr>
          <w:color w:val="333333"/>
          <w:highlight w:val="white"/>
        </w:rPr>
        <w:t xml:space="preserve">(3), e1450. </w:t>
      </w:r>
      <w:hyperlink r:id="rId30">
        <w:r>
          <w:rPr>
            <w:color w:val="1155CC"/>
            <w:highlight w:val="white"/>
            <w:u w:val="single"/>
          </w:rPr>
          <w:t>https://doi.org/10.30849/ripijp.v54i3.1450</w:t>
        </w:r>
      </w:hyperlink>
    </w:p>
    <w:p w14:paraId="000001CD" w14:textId="77777777" w:rsidR="002E78B5" w:rsidRDefault="003F478A">
      <w:pPr>
        <w:ind w:left="720" w:hanging="720"/>
        <w:jc w:val="both"/>
        <w:rPr>
          <w:color w:val="333333"/>
          <w:highlight w:val="white"/>
        </w:rPr>
      </w:pPr>
      <w:proofErr w:type="spellStart"/>
      <w:r>
        <w:rPr>
          <w:color w:val="333333"/>
          <w:highlight w:val="white"/>
        </w:rPr>
        <w:t>Rodríguez</w:t>
      </w:r>
      <w:proofErr w:type="spellEnd"/>
      <w:r>
        <w:rPr>
          <w:color w:val="333333"/>
          <w:highlight w:val="white"/>
        </w:rPr>
        <w:t xml:space="preserve"> M.</w:t>
      </w:r>
      <w:r>
        <w:rPr>
          <w:color w:val="333333"/>
          <w:highlight w:val="white"/>
        </w:rPr>
        <w:t xml:space="preserve">, L. (2006). </w:t>
      </w:r>
      <w:proofErr w:type="spellStart"/>
      <w:r>
        <w:rPr>
          <w:i/>
          <w:color w:val="333333"/>
          <w:highlight w:val="white"/>
        </w:rPr>
        <w:t>Análisis</w:t>
      </w:r>
      <w:proofErr w:type="spellEnd"/>
      <w:r>
        <w:rPr>
          <w:i/>
          <w:color w:val="333333"/>
          <w:highlight w:val="white"/>
        </w:rPr>
        <w:t xml:space="preserve"> contingencial</w:t>
      </w:r>
      <w:r>
        <w:rPr>
          <w:color w:val="333333"/>
          <w:highlight w:val="white"/>
        </w:rPr>
        <w:t xml:space="preserve">. </w:t>
      </w:r>
      <w:proofErr w:type="spellStart"/>
      <w:r>
        <w:rPr>
          <w:color w:val="333333"/>
          <w:highlight w:val="white"/>
        </w:rPr>
        <w:t>México</w:t>
      </w:r>
      <w:proofErr w:type="spellEnd"/>
      <w:r>
        <w:rPr>
          <w:color w:val="333333"/>
          <w:highlight w:val="white"/>
        </w:rPr>
        <w:t>: UNAM.</w:t>
      </w:r>
    </w:p>
    <w:p w14:paraId="000001CE" w14:textId="77777777" w:rsidR="002E78B5" w:rsidRDefault="003F478A">
      <w:pPr>
        <w:ind w:left="720" w:hanging="720"/>
        <w:jc w:val="both"/>
        <w:rPr>
          <w:color w:val="222222"/>
          <w:highlight w:val="white"/>
        </w:rPr>
      </w:pPr>
      <w:r>
        <w:rPr>
          <w:color w:val="222222"/>
          <w:highlight w:val="white"/>
        </w:rPr>
        <w:t xml:space="preserve">Rodríguez-Campuzano, M. L. (2018). Estudio de caso diagnosticado como desorden obsesivo compulsivo desde el análisis contingencial. </w:t>
      </w:r>
      <w:r>
        <w:rPr>
          <w:i/>
          <w:color w:val="222222"/>
          <w:highlight w:val="white"/>
        </w:rPr>
        <w:t>Pensando Psicología</w:t>
      </w:r>
      <w:r>
        <w:rPr>
          <w:color w:val="222222"/>
          <w:highlight w:val="white"/>
        </w:rPr>
        <w:t xml:space="preserve">, </w:t>
      </w:r>
      <w:r>
        <w:rPr>
          <w:i/>
          <w:color w:val="222222"/>
          <w:highlight w:val="white"/>
        </w:rPr>
        <w:t>14</w:t>
      </w:r>
      <w:r>
        <w:rPr>
          <w:color w:val="222222"/>
          <w:highlight w:val="white"/>
        </w:rPr>
        <w:t xml:space="preserve">(23). </w:t>
      </w:r>
      <w:hyperlink r:id="rId31">
        <w:r>
          <w:rPr>
            <w:color w:val="1155CC"/>
            <w:highlight w:val="white"/>
            <w:u w:val="single"/>
          </w:rPr>
          <w:t>https://doi.org/10.16925/pe.v14i23.2268</w:t>
        </w:r>
      </w:hyperlink>
      <w:r>
        <w:rPr>
          <w:color w:val="222222"/>
          <w:highlight w:val="white"/>
        </w:rPr>
        <w:t xml:space="preserve"> </w:t>
      </w:r>
    </w:p>
    <w:p w14:paraId="000001CF" w14:textId="77777777" w:rsidR="002E78B5" w:rsidRDefault="003F478A">
      <w:pPr>
        <w:pBdr>
          <w:top w:val="nil"/>
          <w:left w:val="nil"/>
          <w:bottom w:val="nil"/>
          <w:right w:val="nil"/>
          <w:between w:val="nil"/>
        </w:pBdr>
        <w:ind w:left="720" w:hanging="720"/>
        <w:jc w:val="both"/>
        <w:rPr>
          <w:color w:val="222222"/>
          <w:highlight w:val="white"/>
        </w:rPr>
      </w:pPr>
      <w:r>
        <w:rPr>
          <w:color w:val="222222"/>
          <w:highlight w:val="white"/>
        </w:rPr>
        <w:t xml:space="preserve">Rodríguez-Campuzano, M. L. (2018). Estudio de caso diagnosticado como desorden obsesivo compulsivo desde el análisis contingencial. </w:t>
      </w:r>
      <w:r>
        <w:rPr>
          <w:i/>
          <w:color w:val="222222"/>
          <w:highlight w:val="white"/>
        </w:rPr>
        <w:t>Pensando Psicología</w:t>
      </w:r>
      <w:r>
        <w:rPr>
          <w:color w:val="222222"/>
          <w:highlight w:val="white"/>
        </w:rPr>
        <w:t xml:space="preserve">, </w:t>
      </w:r>
      <w:r>
        <w:rPr>
          <w:i/>
          <w:color w:val="222222"/>
          <w:highlight w:val="white"/>
        </w:rPr>
        <w:t>14</w:t>
      </w:r>
      <w:r>
        <w:rPr>
          <w:color w:val="222222"/>
          <w:highlight w:val="white"/>
        </w:rPr>
        <w:t xml:space="preserve">(23). </w:t>
      </w:r>
      <w:hyperlink r:id="rId32">
        <w:r>
          <w:rPr>
            <w:color w:val="2A6496"/>
            <w:highlight w:val="white"/>
            <w:u w:val="single"/>
          </w:rPr>
          <w:t>http://orcid.org/0000-0003-3610-4621</w:t>
        </w:r>
      </w:hyperlink>
      <w:r>
        <w:rPr>
          <w:color w:val="222222"/>
          <w:highlight w:val="white"/>
        </w:rPr>
        <w:t xml:space="preserve"> </w:t>
      </w:r>
    </w:p>
    <w:p w14:paraId="000001D0" w14:textId="77777777" w:rsidR="002E78B5" w:rsidRDefault="003F478A">
      <w:pPr>
        <w:pBdr>
          <w:top w:val="nil"/>
          <w:left w:val="nil"/>
          <w:bottom w:val="nil"/>
          <w:right w:val="nil"/>
          <w:between w:val="nil"/>
        </w:pBdr>
        <w:ind w:left="720" w:hanging="720"/>
        <w:jc w:val="both"/>
        <w:rPr>
          <w:color w:val="222222"/>
          <w:highlight w:val="white"/>
        </w:rPr>
      </w:pPr>
      <w:r>
        <w:rPr>
          <w:color w:val="222222"/>
          <w:highlight w:val="white"/>
        </w:rPr>
        <w:t>Rodríguez, D. M., Paniagua, B. R., Montijo, S. R., Villegas, R. B., Arroyo, B. F., &amp; Cervantes, M. R. (2008). Características del debut sexual de los adolescentes y</w:t>
      </w:r>
      <w:r>
        <w:rPr>
          <w:color w:val="222222"/>
          <w:highlight w:val="white"/>
        </w:rPr>
        <w:t xml:space="preserve"> determinantes del uso consistente del condón desde el análisis contingencial. </w:t>
      </w:r>
      <w:r>
        <w:rPr>
          <w:i/>
          <w:color w:val="222222"/>
          <w:highlight w:val="white"/>
        </w:rPr>
        <w:t>Psicología y salud</w:t>
      </w:r>
      <w:r>
        <w:rPr>
          <w:color w:val="222222"/>
          <w:highlight w:val="white"/>
        </w:rPr>
        <w:t xml:space="preserve">, </w:t>
      </w:r>
      <w:r>
        <w:rPr>
          <w:i/>
          <w:color w:val="222222"/>
          <w:highlight w:val="white"/>
        </w:rPr>
        <w:t>18</w:t>
      </w:r>
      <w:r>
        <w:rPr>
          <w:color w:val="222222"/>
          <w:highlight w:val="white"/>
        </w:rPr>
        <w:t>(2), 207-225.</w:t>
      </w:r>
    </w:p>
    <w:p w14:paraId="000001D1" w14:textId="77777777" w:rsidR="002E78B5" w:rsidRDefault="003F478A">
      <w:pPr>
        <w:pBdr>
          <w:top w:val="nil"/>
          <w:left w:val="nil"/>
          <w:bottom w:val="nil"/>
          <w:right w:val="nil"/>
          <w:between w:val="nil"/>
        </w:pBdr>
        <w:ind w:left="720" w:hanging="720"/>
        <w:jc w:val="both"/>
        <w:rPr>
          <w:color w:val="333333"/>
          <w:highlight w:val="white"/>
        </w:rPr>
      </w:pPr>
      <w:r>
        <w:rPr>
          <w:color w:val="333333"/>
          <w:highlight w:val="white"/>
        </w:rPr>
        <w:t xml:space="preserve">Samaniego, A., Urzúa, A., </w:t>
      </w:r>
      <w:proofErr w:type="spellStart"/>
      <w:r>
        <w:rPr>
          <w:color w:val="333333"/>
          <w:highlight w:val="white"/>
        </w:rPr>
        <w:t>Buenahora</w:t>
      </w:r>
      <w:proofErr w:type="spellEnd"/>
      <w:r>
        <w:rPr>
          <w:color w:val="333333"/>
          <w:highlight w:val="white"/>
        </w:rPr>
        <w:t xml:space="preserve">, M., &amp; Vera-Villarroel, P. (2020). </w:t>
      </w:r>
      <w:r w:rsidRPr="009F53BF">
        <w:rPr>
          <w:color w:val="333333"/>
          <w:highlight w:val="white"/>
          <w:lang w:val="en-US"/>
        </w:rPr>
        <w:t xml:space="preserve">Symptomatology associated with mental health disorders in health workers in Paraguay: COVID-19 effect. </w:t>
      </w:r>
      <w:r>
        <w:rPr>
          <w:i/>
          <w:color w:val="333333"/>
          <w:highlight w:val="white"/>
        </w:rPr>
        <w:t>Revista Interamericana De Psicología/</w:t>
      </w:r>
      <w:proofErr w:type="spellStart"/>
      <w:r>
        <w:rPr>
          <w:i/>
          <w:color w:val="333333"/>
          <w:highlight w:val="white"/>
        </w:rPr>
        <w:t>Interamerican</w:t>
      </w:r>
      <w:proofErr w:type="spellEnd"/>
      <w:r>
        <w:rPr>
          <w:i/>
          <w:color w:val="333333"/>
          <w:highlight w:val="white"/>
        </w:rPr>
        <w:t xml:space="preserve"> </w:t>
      </w:r>
      <w:proofErr w:type="spellStart"/>
      <w:r>
        <w:rPr>
          <w:i/>
          <w:color w:val="333333"/>
          <w:highlight w:val="white"/>
        </w:rPr>
        <w:t>Journal</w:t>
      </w:r>
      <w:proofErr w:type="spellEnd"/>
      <w:r>
        <w:rPr>
          <w:i/>
          <w:color w:val="333333"/>
          <w:highlight w:val="white"/>
        </w:rPr>
        <w:t xml:space="preserve"> of </w:t>
      </w:r>
      <w:proofErr w:type="spellStart"/>
      <w:r>
        <w:rPr>
          <w:i/>
          <w:color w:val="333333"/>
          <w:highlight w:val="white"/>
        </w:rPr>
        <w:t>Psychology</w:t>
      </w:r>
      <w:proofErr w:type="spellEnd"/>
      <w:r>
        <w:rPr>
          <w:color w:val="333333"/>
          <w:highlight w:val="white"/>
        </w:rPr>
        <w:t xml:space="preserve">, </w:t>
      </w:r>
      <w:r>
        <w:rPr>
          <w:i/>
          <w:color w:val="333333"/>
          <w:highlight w:val="white"/>
        </w:rPr>
        <w:t>54</w:t>
      </w:r>
      <w:r>
        <w:rPr>
          <w:color w:val="333333"/>
          <w:highlight w:val="white"/>
        </w:rPr>
        <w:t>(1), e</w:t>
      </w:r>
      <w:r>
        <w:rPr>
          <w:color w:val="333333"/>
          <w:highlight w:val="white"/>
        </w:rPr>
        <w:t xml:space="preserve">1298. </w:t>
      </w:r>
      <w:hyperlink r:id="rId33">
        <w:r>
          <w:rPr>
            <w:color w:val="1155CC"/>
            <w:highlight w:val="white"/>
            <w:u w:val="single"/>
          </w:rPr>
          <w:t>https://doi.org/10.30849/ripijp.v54i1.1298</w:t>
        </w:r>
      </w:hyperlink>
      <w:r>
        <w:rPr>
          <w:color w:val="333333"/>
          <w:highlight w:val="white"/>
        </w:rPr>
        <w:t xml:space="preserve"> </w:t>
      </w:r>
    </w:p>
    <w:p w14:paraId="000001D2" w14:textId="77777777" w:rsidR="002E78B5" w:rsidRDefault="003F478A">
      <w:pPr>
        <w:pBdr>
          <w:top w:val="nil"/>
          <w:left w:val="nil"/>
          <w:bottom w:val="nil"/>
          <w:right w:val="nil"/>
          <w:between w:val="nil"/>
        </w:pBdr>
        <w:ind w:left="720" w:hanging="720"/>
        <w:jc w:val="both"/>
        <w:rPr>
          <w:color w:val="222222"/>
          <w:highlight w:val="white"/>
        </w:rPr>
      </w:pPr>
      <w:proofErr w:type="spellStart"/>
      <w:r>
        <w:rPr>
          <w:color w:val="222222"/>
          <w:highlight w:val="white"/>
        </w:rPr>
        <w:t>Scalise</w:t>
      </w:r>
      <w:proofErr w:type="spellEnd"/>
      <w:r>
        <w:rPr>
          <w:color w:val="222222"/>
          <w:highlight w:val="white"/>
        </w:rPr>
        <w:t xml:space="preserve">, S. (2020). Que nos devela hoy la orientación vocacional en tiempos de pandemia. Área de Orientación Vocacional ASAPPIA. </w:t>
      </w:r>
      <w:hyperlink r:id="rId34">
        <w:r>
          <w:rPr>
            <w:color w:val="0000FF"/>
            <w:highlight w:val="white"/>
            <w:u w:val="single"/>
          </w:rPr>
          <w:t>http://www.asappia.org/PANDEMIA_Area-OV.pdf</w:t>
        </w:r>
      </w:hyperlink>
      <w:r>
        <w:rPr>
          <w:color w:val="222222"/>
          <w:highlight w:val="white"/>
        </w:rPr>
        <w:t xml:space="preserve"> </w:t>
      </w:r>
    </w:p>
    <w:p w14:paraId="000001D3" w14:textId="77777777" w:rsidR="002E78B5" w:rsidRDefault="003F478A">
      <w:pPr>
        <w:pBdr>
          <w:top w:val="nil"/>
          <w:left w:val="nil"/>
          <w:bottom w:val="nil"/>
          <w:right w:val="nil"/>
          <w:between w:val="nil"/>
        </w:pBdr>
        <w:ind w:left="720" w:hanging="720"/>
        <w:jc w:val="both"/>
        <w:rPr>
          <w:color w:val="333333"/>
          <w:highlight w:val="white"/>
        </w:rPr>
      </w:pPr>
      <w:proofErr w:type="spellStart"/>
      <w:r>
        <w:rPr>
          <w:color w:val="333333"/>
          <w:highlight w:val="white"/>
        </w:rPr>
        <w:t>Scholten</w:t>
      </w:r>
      <w:proofErr w:type="spellEnd"/>
      <w:r>
        <w:rPr>
          <w:color w:val="333333"/>
          <w:highlight w:val="white"/>
        </w:rPr>
        <w:t xml:space="preserve">, </w:t>
      </w:r>
      <w:proofErr w:type="gramStart"/>
      <w:r>
        <w:rPr>
          <w:color w:val="333333"/>
          <w:highlight w:val="white"/>
        </w:rPr>
        <w:t>H. .</w:t>
      </w:r>
      <w:proofErr w:type="gramEnd"/>
      <w:r>
        <w:rPr>
          <w:color w:val="333333"/>
          <w:highlight w:val="white"/>
        </w:rPr>
        <w:t>, Quezada-</w:t>
      </w:r>
      <w:proofErr w:type="spellStart"/>
      <w:r>
        <w:rPr>
          <w:color w:val="333333"/>
          <w:highlight w:val="white"/>
        </w:rPr>
        <w:t>Scholz</w:t>
      </w:r>
      <w:proofErr w:type="spellEnd"/>
      <w:r>
        <w:rPr>
          <w:color w:val="333333"/>
          <w:highlight w:val="white"/>
        </w:rPr>
        <w:t xml:space="preserve">, V. E., Salas, G., </w:t>
      </w:r>
      <w:proofErr w:type="spellStart"/>
      <w:r>
        <w:rPr>
          <w:color w:val="333333"/>
          <w:highlight w:val="white"/>
        </w:rPr>
        <w:t>Barria-Asenjo</w:t>
      </w:r>
      <w:proofErr w:type="spellEnd"/>
      <w:r>
        <w:rPr>
          <w:color w:val="333333"/>
          <w:highlight w:val="white"/>
        </w:rPr>
        <w:t>, N. A. ., Molina, R., García, J. E., Juliá Jorquera, M. T., Marinero Heredia, A., Zambrano, A., Góm</w:t>
      </w:r>
      <w:r>
        <w:rPr>
          <w:color w:val="333333"/>
          <w:highlight w:val="white"/>
        </w:rPr>
        <w:t xml:space="preserve">ez </w:t>
      </w:r>
      <w:proofErr w:type="spellStart"/>
      <w:r>
        <w:rPr>
          <w:color w:val="333333"/>
          <w:highlight w:val="white"/>
        </w:rPr>
        <w:t>Muzzio</w:t>
      </w:r>
      <w:proofErr w:type="spellEnd"/>
      <w:r>
        <w:rPr>
          <w:color w:val="333333"/>
          <w:highlight w:val="white"/>
        </w:rPr>
        <w:t xml:space="preserve">, E., </w:t>
      </w:r>
      <w:proofErr w:type="spellStart"/>
      <w:r>
        <w:rPr>
          <w:color w:val="333333"/>
          <w:highlight w:val="white"/>
        </w:rPr>
        <w:t>Cheroni</w:t>
      </w:r>
      <w:proofErr w:type="spellEnd"/>
      <w:r>
        <w:rPr>
          <w:color w:val="333333"/>
          <w:highlight w:val="white"/>
        </w:rPr>
        <w:t xml:space="preserve"> </w:t>
      </w:r>
      <w:proofErr w:type="spellStart"/>
      <w:r>
        <w:rPr>
          <w:color w:val="333333"/>
          <w:highlight w:val="white"/>
        </w:rPr>
        <w:t>Felitto</w:t>
      </w:r>
      <w:proofErr w:type="spellEnd"/>
      <w:r>
        <w:rPr>
          <w:color w:val="333333"/>
          <w:highlight w:val="white"/>
        </w:rPr>
        <w:t xml:space="preserve">, A., </w:t>
      </w:r>
      <w:proofErr w:type="spellStart"/>
      <w:r>
        <w:rPr>
          <w:color w:val="333333"/>
          <w:highlight w:val="white"/>
        </w:rPr>
        <w:t>Caycho-Rodriguez</w:t>
      </w:r>
      <w:proofErr w:type="spellEnd"/>
      <w:r>
        <w:rPr>
          <w:color w:val="333333"/>
          <w:highlight w:val="white"/>
        </w:rPr>
        <w:t xml:space="preserve">, T., Reyes Gallardo, T., Pinochet Mendoza, N., Binde, P. J., Uribe Muñoz, J. E., Rojas Jara, C., Bernal </w:t>
      </w:r>
      <w:proofErr w:type="spellStart"/>
      <w:r>
        <w:rPr>
          <w:color w:val="333333"/>
          <w:highlight w:val="white"/>
        </w:rPr>
        <w:t>Estupiñan</w:t>
      </w:r>
      <w:proofErr w:type="spellEnd"/>
      <w:r>
        <w:rPr>
          <w:color w:val="333333"/>
          <w:highlight w:val="white"/>
        </w:rPr>
        <w:t xml:space="preserve">, J. A., &amp; </w:t>
      </w:r>
      <w:proofErr w:type="spellStart"/>
      <w:r>
        <w:rPr>
          <w:color w:val="333333"/>
          <w:highlight w:val="white"/>
        </w:rPr>
        <w:t>Somarriva</w:t>
      </w:r>
      <w:proofErr w:type="spellEnd"/>
      <w:r>
        <w:rPr>
          <w:color w:val="333333"/>
          <w:highlight w:val="white"/>
        </w:rPr>
        <w:t xml:space="preserve">, F. (2020). </w:t>
      </w:r>
      <w:r w:rsidRPr="009F53BF">
        <w:rPr>
          <w:color w:val="333333"/>
          <w:highlight w:val="white"/>
          <w:lang w:val="en-US"/>
        </w:rPr>
        <w:t>Psychological Approach to COVID-19: A Narrative Review of</w:t>
      </w:r>
      <w:r w:rsidRPr="009F53BF">
        <w:rPr>
          <w:color w:val="333333"/>
          <w:highlight w:val="white"/>
          <w:lang w:val="en-US"/>
        </w:rPr>
        <w:t xml:space="preserve"> the Latin American </w:t>
      </w:r>
      <w:r w:rsidRPr="009F53BF">
        <w:rPr>
          <w:color w:val="333333"/>
          <w:highlight w:val="white"/>
          <w:lang w:val="en-US"/>
        </w:rPr>
        <w:lastRenderedPageBreak/>
        <w:t xml:space="preserve">Experience. </w:t>
      </w:r>
      <w:r>
        <w:rPr>
          <w:i/>
          <w:color w:val="333333"/>
          <w:highlight w:val="white"/>
        </w:rPr>
        <w:t>Revista Interamericana De Psicología/</w:t>
      </w:r>
      <w:proofErr w:type="spellStart"/>
      <w:r>
        <w:rPr>
          <w:i/>
          <w:color w:val="333333"/>
          <w:highlight w:val="white"/>
        </w:rPr>
        <w:t>Interamerican</w:t>
      </w:r>
      <w:proofErr w:type="spellEnd"/>
      <w:r>
        <w:rPr>
          <w:i/>
          <w:color w:val="333333"/>
          <w:highlight w:val="white"/>
        </w:rPr>
        <w:t xml:space="preserve"> </w:t>
      </w:r>
      <w:proofErr w:type="spellStart"/>
      <w:r>
        <w:rPr>
          <w:i/>
          <w:color w:val="333333"/>
          <w:highlight w:val="white"/>
        </w:rPr>
        <w:t>Journal</w:t>
      </w:r>
      <w:proofErr w:type="spellEnd"/>
      <w:r>
        <w:rPr>
          <w:i/>
          <w:color w:val="333333"/>
          <w:highlight w:val="white"/>
        </w:rPr>
        <w:t xml:space="preserve"> of </w:t>
      </w:r>
      <w:proofErr w:type="spellStart"/>
      <w:r>
        <w:rPr>
          <w:i/>
          <w:color w:val="333333"/>
          <w:highlight w:val="white"/>
        </w:rPr>
        <w:t>Psychology</w:t>
      </w:r>
      <w:proofErr w:type="spellEnd"/>
      <w:r>
        <w:rPr>
          <w:color w:val="333333"/>
          <w:highlight w:val="white"/>
        </w:rPr>
        <w:t xml:space="preserve">, </w:t>
      </w:r>
      <w:r>
        <w:rPr>
          <w:i/>
          <w:color w:val="333333"/>
          <w:highlight w:val="white"/>
        </w:rPr>
        <w:t>54</w:t>
      </w:r>
      <w:r>
        <w:rPr>
          <w:color w:val="333333"/>
          <w:highlight w:val="white"/>
        </w:rPr>
        <w:t xml:space="preserve">(1), e1287. </w:t>
      </w:r>
      <w:hyperlink r:id="rId35">
        <w:r>
          <w:rPr>
            <w:color w:val="1155CC"/>
            <w:highlight w:val="white"/>
            <w:u w:val="single"/>
          </w:rPr>
          <w:t xml:space="preserve">https://doi.org/10.30849/ripijp.v54i1.1287. </w:t>
        </w:r>
      </w:hyperlink>
    </w:p>
    <w:p w14:paraId="000001D4" w14:textId="77777777" w:rsidR="002E78B5" w:rsidRDefault="003F478A">
      <w:pPr>
        <w:pBdr>
          <w:top w:val="nil"/>
          <w:left w:val="nil"/>
          <w:bottom w:val="nil"/>
          <w:right w:val="nil"/>
          <w:between w:val="nil"/>
        </w:pBdr>
        <w:ind w:left="720" w:hanging="720"/>
        <w:jc w:val="both"/>
        <w:rPr>
          <w:color w:val="333333"/>
          <w:highlight w:val="white"/>
        </w:rPr>
      </w:pPr>
      <w:r w:rsidRPr="009F53BF">
        <w:rPr>
          <w:color w:val="333333"/>
          <w:highlight w:val="white"/>
          <w:lang w:val="en-US"/>
        </w:rPr>
        <w:t>Son, Ch., Hegde, S., Smith, A</w:t>
      </w:r>
      <w:r w:rsidRPr="009F53BF">
        <w:rPr>
          <w:color w:val="333333"/>
          <w:highlight w:val="white"/>
          <w:lang w:val="en-US"/>
        </w:rPr>
        <w:t xml:space="preserve">., Wang, X., </w:t>
      </w:r>
      <w:proofErr w:type="spellStart"/>
      <w:r w:rsidRPr="009F53BF">
        <w:rPr>
          <w:color w:val="333333"/>
          <w:highlight w:val="white"/>
          <w:lang w:val="en-US"/>
        </w:rPr>
        <w:t>Sasangohar</w:t>
      </w:r>
      <w:proofErr w:type="spellEnd"/>
      <w:r w:rsidRPr="009F53BF">
        <w:rPr>
          <w:color w:val="333333"/>
          <w:highlight w:val="white"/>
          <w:lang w:val="en-US"/>
        </w:rPr>
        <w:t xml:space="preserve">, F. (2020). Effects of COVID-19 on College Students’ Mental Health in the United States: Interview Survey Study.  </w:t>
      </w:r>
      <w:r>
        <w:rPr>
          <w:color w:val="333333"/>
          <w:highlight w:val="white"/>
        </w:rPr>
        <w:t xml:space="preserve">J </w:t>
      </w:r>
      <w:proofErr w:type="spellStart"/>
      <w:r>
        <w:rPr>
          <w:color w:val="333333"/>
          <w:highlight w:val="white"/>
        </w:rPr>
        <w:t>Med</w:t>
      </w:r>
      <w:proofErr w:type="spellEnd"/>
      <w:r>
        <w:rPr>
          <w:color w:val="333333"/>
          <w:highlight w:val="white"/>
        </w:rPr>
        <w:t xml:space="preserve"> Internet Res. 22(9). </w:t>
      </w:r>
      <w:hyperlink r:id="rId36">
        <w:r>
          <w:rPr>
            <w:color w:val="0000FF"/>
            <w:u w:val="single"/>
          </w:rPr>
          <w:t>https://doi.org/10.2196/21279</w:t>
        </w:r>
      </w:hyperlink>
      <w:r>
        <w:rPr>
          <w:color w:val="333333"/>
        </w:rPr>
        <w:t xml:space="preserve"> </w:t>
      </w:r>
    </w:p>
    <w:p w14:paraId="000001D5" w14:textId="77777777" w:rsidR="002E78B5" w:rsidRDefault="003F478A">
      <w:pPr>
        <w:pBdr>
          <w:top w:val="nil"/>
          <w:left w:val="nil"/>
          <w:bottom w:val="nil"/>
          <w:right w:val="nil"/>
          <w:between w:val="nil"/>
        </w:pBdr>
        <w:ind w:left="720" w:hanging="720"/>
        <w:jc w:val="both"/>
        <w:rPr>
          <w:color w:val="111111"/>
          <w:highlight w:val="white"/>
        </w:rPr>
      </w:pPr>
      <w:r>
        <w:rPr>
          <w:color w:val="222222"/>
          <w:highlight w:val="white"/>
        </w:rPr>
        <w:t>Tavera-</w:t>
      </w:r>
      <w:proofErr w:type="spellStart"/>
      <w:r>
        <w:rPr>
          <w:color w:val="222222"/>
          <w:highlight w:val="white"/>
        </w:rPr>
        <w:t>Feno</w:t>
      </w:r>
      <w:r>
        <w:rPr>
          <w:color w:val="222222"/>
          <w:highlight w:val="white"/>
        </w:rPr>
        <w:t>llosa</w:t>
      </w:r>
      <w:proofErr w:type="spellEnd"/>
      <w:r>
        <w:rPr>
          <w:color w:val="222222"/>
          <w:highlight w:val="white"/>
        </w:rPr>
        <w:t xml:space="preserve">, L. y Martínez, A. (2021). Jóvenes universitarios y la Covid-19: una mirada desde la categoría de acontecimiento. </w:t>
      </w:r>
      <w:r>
        <w:rPr>
          <w:i/>
          <w:color w:val="222222"/>
          <w:highlight w:val="white"/>
        </w:rPr>
        <w:t>Revista Mexicana de Ciencias Políticas y Sociales</w:t>
      </w:r>
      <w:r>
        <w:rPr>
          <w:color w:val="222222"/>
          <w:highlight w:val="white"/>
        </w:rPr>
        <w:t xml:space="preserve">, 66 (242), 313-343. </w:t>
      </w:r>
      <w:hyperlink r:id="rId37">
        <w:r>
          <w:rPr>
            <w:color w:val="0000FF"/>
            <w:highlight w:val="white"/>
            <w:u w:val="single"/>
          </w:rPr>
          <w:t>http://www.revistas.unam.mx/index.php/rmcpys/article/view/78111</w:t>
        </w:r>
      </w:hyperlink>
      <w:r>
        <w:rPr>
          <w:color w:val="111111"/>
          <w:highlight w:val="white"/>
        </w:rPr>
        <w:t xml:space="preserve"> </w:t>
      </w:r>
    </w:p>
    <w:p w14:paraId="000001D6" w14:textId="77777777" w:rsidR="002E78B5" w:rsidRPr="009F53BF" w:rsidRDefault="003F478A">
      <w:pPr>
        <w:pBdr>
          <w:top w:val="nil"/>
          <w:left w:val="nil"/>
          <w:bottom w:val="nil"/>
          <w:right w:val="nil"/>
          <w:between w:val="nil"/>
        </w:pBdr>
        <w:ind w:left="720" w:hanging="720"/>
        <w:jc w:val="both"/>
        <w:rPr>
          <w:color w:val="222222"/>
          <w:highlight w:val="white"/>
          <w:lang w:val="en-US"/>
        </w:rPr>
      </w:pPr>
      <w:r w:rsidRPr="009F53BF">
        <w:rPr>
          <w:color w:val="222222"/>
          <w:highlight w:val="white"/>
          <w:lang w:val="en-US"/>
        </w:rPr>
        <w:t>Tinsley, B. (2020). Coronavirus and the impact on students in higher education in England during the autumn te</w:t>
      </w:r>
      <w:r w:rsidRPr="009F53BF">
        <w:rPr>
          <w:color w:val="222222"/>
          <w:highlight w:val="white"/>
          <w:lang w:val="en-US"/>
        </w:rPr>
        <w:t xml:space="preserve">rm of 2020. Office of National Statics. </w:t>
      </w:r>
    </w:p>
    <w:p w14:paraId="000001D7" w14:textId="77777777" w:rsidR="002E78B5" w:rsidRPr="009F53BF" w:rsidRDefault="003F478A">
      <w:pPr>
        <w:shd w:val="clear" w:color="auto" w:fill="FFFFFF"/>
        <w:ind w:left="720" w:hanging="720"/>
        <w:jc w:val="both"/>
        <w:rPr>
          <w:color w:val="222222"/>
          <w:highlight w:val="white"/>
          <w:lang w:val="en-US"/>
        </w:rPr>
      </w:pPr>
      <w:r w:rsidRPr="009F53BF">
        <w:rPr>
          <w:color w:val="222222"/>
          <w:highlight w:val="white"/>
          <w:lang w:val="en-US"/>
        </w:rPr>
        <w:t xml:space="preserve">Vásquez, G., </w:t>
      </w:r>
      <w:proofErr w:type="spellStart"/>
      <w:r w:rsidRPr="009F53BF">
        <w:rPr>
          <w:color w:val="222222"/>
          <w:highlight w:val="white"/>
          <w:lang w:val="en-US"/>
        </w:rPr>
        <w:t>Urtecho-Osorto</w:t>
      </w:r>
      <w:proofErr w:type="spellEnd"/>
      <w:r w:rsidRPr="009F53BF">
        <w:rPr>
          <w:color w:val="222222"/>
          <w:highlight w:val="white"/>
          <w:lang w:val="en-US"/>
        </w:rPr>
        <w:t xml:space="preserve">, Ó. R., </w:t>
      </w:r>
      <w:proofErr w:type="spellStart"/>
      <w:r w:rsidRPr="009F53BF">
        <w:rPr>
          <w:color w:val="222222"/>
          <w:highlight w:val="white"/>
          <w:lang w:val="en-US"/>
        </w:rPr>
        <w:t>Agüero</w:t>
      </w:r>
      <w:proofErr w:type="spellEnd"/>
      <w:r w:rsidRPr="009F53BF">
        <w:rPr>
          <w:color w:val="222222"/>
          <w:highlight w:val="white"/>
          <w:lang w:val="en-US"/>
        </w:rPr>
        <w:t xml:space="preserve">-Flores, M., Martínez, M. J. D., </w:t>
      </w:r>
      <w:proofErr w:type="spellStart"/>
      <w:r w:rsidRPr="009F53BF">
        <w:rPr>
          <w:color w:val="222222"/>
          <w:highlight w:val="white"/>
          <w:lang w:val="en-US"/>
        </w:rPr>
        <w:t>Paguada</w:t>
      </w:r>
      <w:proofErr w:type="spellEnd"/>
      <w:r w:rsidRPr="009F53BF">
        <w:rPr>
          <w:color w:val="222222"/>
          <w:highlight w:val="white"/>
          <w:lang w:val="en-US"/>
        </w:rPr>
        <w:t xml:space="preserve">, R. M., Varela, M. A., ... </w:t>
      </w:r>
      <w:r>
        <w:rPr>
          <w:color w:val="222222"/>
          <w:highlight w:val="white"/>
        </w:rPr>
        <w:t>&amp; Echenique, Y. (2020). Salud mental, confinamiento y preocupación por el coronavirus: Un estudio cualita</w:t>
      </w:r>
      <w:r>
        <w:rPr>
          <w:color w:val="222222"/>
          <w:highlight w:val="white"/>
        </w:rPr>
        <w:t xml:space="preserve">tivo. </w:t>
      </w:r>
      <w:r>
        <w:rPr>
          <w:i/>
          <w:color w:val="222222"/>
          <w:highlight w:val="white"/>
        </w:rPr>
        <w:t>Revista Interamericana de Psicología/</w:t>
      </w:r>
      <w:proofErr w:type="spellStart"/>
      <w:r>
        <w:rPr>
          <w:i/>
          <w:color w:val="222222"/>
          <w:highlight w:val="white"/>
        </w:rPr>
        <w:t>Interamerican</w:t>
      </w:r>
      <w:proofErr w:type="spellEnd"/>
      <w:r>
        <w:rPr>
          <w:i/>
          <w:color w:val="222222"/>
          <w:highlight w:val="white"/>
        </w:rPr>
        <w:t xml:space="preserve"> </w:t>
      </w:r>
      <w:proofErr w:type="spellStart"/>
      <w:r>
        <w:rPr>
          <w:i/>
          <w:color w:val="222222"/>
          <w:highlight w:val="white"/>
        </w:rPr>
        <w:t>Journal</w:t>
      </w:r>
      <w:proofErr w:type="spellEnd"/>
      <w:r>
        <w:rPr>
          <w:i/>
          <w:color w:val="222222"/>
          <w:highlight w:val="white"/>
        </w:rPr>
        <w:t xml:space="preserve"> of </w:t>
      </w:r>
      <w:proofErr w:type="spellStart"/>
      <w:r>
        <w:rPr>
          <w:i/>
          <w:color w:val="222222"/>
          <w:highlight w:val="white"/>
        </w:rPr>
        <w:t>Psychology</w:t>
      </w:r>
      <w:proofErr w:type="spellEnd"/>
      <w:r>
        <w:rPr>
          <w:color w:val="222222"/>
          <w:highlight w:val="white"/>
        </w:rPr>
        <w:t xml:space="preserve">, </w:t>
      </w:r>
      <w:r>
        <w:rPr>
          <w:i/>
          <w:color w:val="222222"/>
          <w:highlight w:val="white"/>
        </w:rPr>
        <w:t>54</w:t>
      </w:r>
      <w:r>
        <w:rPr>
          <w:color w:val="222222"/>
          <w:highlight w:val="white"/>
        </w:rPr>
        <w:t xml:space="preserve">(2), e1333-e1333. </w:t>
      </w:r>
      <w:hyperlink r:id="rId38">
        <w:r w:rsidRPr="009F53BF">
          <w:rPr>
            <w:color w:val="0E91C3"/>
            <w:highlight w:val="white"/>
            <w:u w:val="single"/>
            <w:lang w:val="en-US"/>
          </w:rPr>
          <w:t>https://doi.org/10.30849/ripijp.v54i2.1333</w:t>
        </w:r>
      </w:hyperlink>
    </w:p>
    <w:p w14:paraId="000001D8" w14:textId="77777777" w:rsidR="002E78B5" w:rsidRDefault="003F478A">
      <w:pPr>
        <w:ind w:left="720" w:hanging="720"/>
        <w:jc w:val="both"/>
        <w:rPr>
          <w:color w:val="333333"/>
          <w:sz w:val="30"/>
          <w:szCs w:val="30"/>
          <w:highlight w:val="white"/>
        </w:rPr>
      </w:pPr>
      <w:r w:rsidRPr="009F53BF">
        <w:rPr>
          <w:color w:val="333333"/>
          <w:highlight w:val="white"/>
          <w:lang w:val="en-US"/>
        </w:rPr>
        <w:t>Wang, X., Hegde, S., Son, Ch., Keller, B., Smith, A</w:t>
      </w:r>
      <w:r w:rsidRPr="009F53BF">
        <w:rPr>
          <w:color w:val="333333"/>
          <w:highlight w:val="white"/>
          <w:lang w:val="en-US"/>
        </w:rPr>
        <w:t xml:space="preserve">., </w:t>
      </w:r>
      <w:proofErr w:type="spellStart"/>
      <w:r w:rsidRPr="009F53BF">
        <w:rPr>
          <w:color w:val="333333"/>
          <w:highlight w:val="white"/>
          <w:lang w:val="en-US"/>
        </w:rPr>
        <w:t>Sasangohar</w:t>
      </w:r>
      <w:proofErr w:type="spellEnd"/>
      <w:r w:rsidRPr="009F53BF">
        <w:rPr>
          <w:color w:val="333333"/>
          <w:highlight w:val="white"/>
          <w:lang w:val="en-US"/>
        </w:rPr>
        <w:t>, F. (2020). Investigating Mental Health of US College Students During the COVID-19 Pandemic: Cross-Sectional Survey Study.</w:t>
      </w:r>
      <w:r w:rsidRPr="009F53BF">
        <w:rPr>
          <w:i/>
          <w:color w:val="333333"/>
          <w:highlight w:val="white"/>
          <w:lang w:val="en-US"/>
        </w:rPr>
        <w:t xml:space="preserve"> </w:t>
      </w:r>
      <w:r>
        <w:rPr>
          <w:i/>
          <w:color w:val="333333"/>
          <w:highlight w:val="white"/>
        </w:rPr>
        <w:t xml:space="preserve">J </w:t>
      </w:r>
      <w:proofErr w:type="spellStart"/>
      <w:r>
        <w:rPr>
          <w:i/>
          <w:color w:val="333333"/>
          <w:highlight w:val="white"/>
        </w:rPr>
        <w:t>Med</w:t>
      </w:r>
      <w:proofErr w:type="spellEnd"/>
      <w:r>
        <w:rPr>
          <w:i/>
          <w:color w:val="333333"/>
          <w:highlight w:val="white"/>
        </w:rPr>
        <w:t xml:space="preserve"> Internet Res. 22</w:t>
      </w:r>
      <w:r>
        <w:rPr>
          <w:color w:val="333333"/>
          <w:highlight w:val="white"/>
        </w:rPr>
        <w:t xml:space="preserve">(9). </w:t>
      </w:r>
      <w:hyperlink r:id="rId39">
        <w:r>
          <w:rPr>
            <w:color w:val="0000FF"/>
            <w:u w:val="single"/>
          </w:rPr>
          <w:t>https://doi.org/10.2196/22817</w:t>
        </w:r>
      </w:hyperlink>
      <w:r>
        <w:rPr>
          <w:color w:val="333333"/>
        </w:rPr>
        <w:t xml:space="preserve"> </w:t>
      </w:r>
    </w:p>
    <w:p w14:paraId="000001D9" w14:textId="77777777" w:rsidR="002E78B5" w:rsidRDefault="002E78B5">
      <w:pPr>
        <w:ind w:left="720" w:hanging="720"/>
        <w:jc w:val="both"/>
      </w:pPr>
    </w:p>
    <w:p w14:paraId="000001DA" w14:textId="77777777" w:rsidR="002E78B5" w:rsidRDefault="003F478A">
      <w:pPr>
        <w:shd w:val="clear" w:color="auto" w:fill="FFFFFF"/>
        <w:jc w:val="right"/>
        <w:rPr>
          <w:i/>
          <w:sz w:val="20"/>
          <w:szCs w:val="20"/>
        </w:rPr>
      </w:pPr>
      <w:proofErr w:type="spellStart"/>
      <w:r>
        <w:rPr>
          <w:i/>
          <w:sz w:val="20"/>
          <w:szCs w:val="20"/>
        </w:rPr>
        <w:t>Received</w:t>
      </w:r>
      <w:proofErr w:type="spellEnd"/>
      <w:r>
        <w:rPr>
          <w:i/>
          <w:sz w:val="20"/>
          <w:szCs w:val="20"/>
        </w:rPr>
        <w:t xml:space="preserve">: </w:t>
      </w:r>
    </w:p>
    <w:p w14:paraId="000001DB" w14:textId="77777777" w:rsidR="002E78B5" w:rsidRDefault="003F478A">
      <w:pPr>
        <w:shd w:val="clear" w:color="auto" w:fill="FFFFFF"/>
        <w:jc w:val="right"/>
        <w:rPr>
          <w:i/>
          <w:sz w:val="20"/>
          <w:szCs w:val="20"/>
        </w:rPr>
      </w:pPr>
      <w:proofErr w:type="spellStart"/>
      <w:r>
        <w:rPr>
          <w:i/>
          <w:sz w:val="20"/>
          <w:szCs w:val="20"/>
        </w:rPr>
        <w:t>Accepted</w:t>
      </w:r>
      <w:proofErr w:type="spellEnd"/>
      <w:r>
        <w:rPr>
          <w:i/>
          <w:sz w:val="20"/>
          <w:szCs w:val="20"/>
        </w:rPr>
        <w:t>:</w:t>
      </w:r>
    </w:p>
    <w:p w14:paraId="000001DC" w14:textId="77777777" w:rsidR="002E78B5" w:rsidRDefault="002E78B5">
      <w:pPr>
        <w:rPr>
          <w:i/>
          <w:sz w:val="28"/>
          <w:szCs w:val="28"/>
        </w:rPr>
      </w:pPr>
    </w:p>
    <w:sectPr w:rsidR="002E78B5">
      <w:headerReference w:type="even" r:id="rId40"/>
      <w:headerReference w:type="default" r:id="rId41"/>
      <w:footerReference w:type="even" r:id="rId42"/>
      <w:footerReference w:type="default" r:id="rId4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FADEE" w14:textId="77777777" w:rsidR="003F478A" w:rsidRDefault="003F478A">
      <w:r>
        <w:separator/>
      </w:r>
    </w:p>
  </w:endnote>
  <w:endnote w:type="continuationSeparator" w:id="0">
    <w:p w14:paraId="3AD2E76F" w14:textId="77777777" w:rsidR="003F478A" w:rsidRDefault="003F4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2" w14:textId="57E7C224" w:rsidR="002E78B5" w:rsidRDefault="003F478A">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9F53BF">
      <w:rPr>
        <w:rFonts w:ascii="Times" w:eastAsia="Times" w:hAnsi="Times" w:cs="Times"/>
        <w:noProof/>
        <w:color w:val="000000"/>
        <w:sz w:val="16"/>
        <w:szCs w:val="16"/>
      </w:rPr>
      <w:t>2</w:t>
    </w:r>
    <w:r>
      <w:rPr>
        <w:rFonts w:ascii="Times" w:eastAsia="Times" w:hAnsi="Times" w:cs="Times"/>
        <w:color w:val="000000"/>
        <w:sz w:val="16"/>
        <w:szCs w:val="16"/>
      </w:rPr>
      <w:fldChar w:fldCharType="end"/>
    </w:r>
  </w:p>
  <w:p w14:paraId="000001E3" w14:textId="77777777" w:rsidR="002E78B5" w:rsidRDefault="002E78B5">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0" w14:textId="14067CA0" w:rsidR="002E78B5" w:rsidRDefault="003F478A">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9F53BF">
      <w:rPr>
        <w:rFonts w:ascii="Times" w:eastAsia="Times" w:hAnsi="Times" w:cs="Times"/>
        <w:noProof/>
        <w:color w:val="000000"/>
        <w:sz w:val="16"/>
        <w:szCs w:val="16"/>
      </w:rPr>
      <w:t>1</w:t>
    </w:r>
    <w:r>
      <w:rPr>
        <w:rFonts w:ascii="Times" w:eastAsia="Times" w:hAnsi="Times" w:cs="Times"/>
        <w:color w:val="000000"/>
        <w:sz w:val="16"/>
        <w:szCs w:val="16"/>
      </w:rPr>
      <w:fldChar w:fldCharType="end"/>
    </w:r>
  </w:p>
  <w:p w14:paraId="000001E1" w14:textId="77777777" w:rsidR="002E78B5" w:rsidRDefault="002E78B5">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73917" w14:textId="77777777" w:rsidR="003F478A" w:rsidRDefault="003F478A">
      <w:r>
        <w:separator/>
      </w:r>
    </w:p>
  </w:footnote>
  <w:footnote w:type="continuationSeparator" w:id="0">
    <w:p w14:paraId="6AD89807" w14:textId="77777777" w:rsidR="003F478A" w:rsidRDefault="003F4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F" w14:textId="77777777" w:rsidR="002E78B5" w:rsidRDefault="003F478A">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r>
      <w:rPr>
        <w:rFonts w:ascii="Times" w:eastAsia="Times" w:hAnsi="Times" w:cs="Times"/>
        <w:smallCaps/>
        <w:color w:val="000000"/>
        <w:sz w:val="20"/>
        <w:szCs w:val="20"/>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D" w14:textId="77777777" w:rsidR="002E78B5" w:rsidRDefault="003F478A">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w:t>
    </w:r>
    <w:proofErr w:type="spellStart"/>
    <w:r>
      <w:rPr>
        <w:rFonts w:ascii="Times" w:eastAsia="Times" w:hAnsi="Times" w:cs="Times"/>
        <w:b/>
        <w:i/>
        <w:color w:val="000000"/>
        <w:sz w:val="18"/>
        <w:szCs w:val="18"/>
      </w:rPr>
      <w:t>Interamerican</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Journal</w:t>
    </w:r>
    <w:proofErr w:type="spellEnd"/>
    <w:r>
      <w:rPr>
        <w:rFonts w:ascii="Times" w:eastAsia="Times" w:hAnsi="Times" w:cs="Times"/>
        <w:b/>
        <w:i/>
        <w:color w:val="000000"/>
        <w:sz w:val="18"/>
        <w:szCs w:val="18"/>
      </w:rPr>
      <w:t xml:space="preserve"> of </w:t>
    </w:r>
    <w:proofErr w:type="spellStart"/>
    <w:r>
      <w:rPr>
        <w:rFonts w:ascii="Times" w:eastAsia="Times" w:hAnsi="Times" w:cs="Times"/>
        <w:b/>
        <w:i/>
        <w:color w:val="000000"/>
        <w:sz w:val="18"/>
        <w:szCs w:val="18"/>
      </w:rPr>
      <w:t>Psychology</w:t>
    </w:r>
    <w:proofErr w:type="spellEnd"/>
    <w:r>
      <w:rPr>
        <w:noProof/>
      </w:rPr>
      <w:drawing>
        <wp:anchor distT="0" distB="0" distL="114300" distR="114300" simplePos="0" relativeHeight="251658240" behindDoc="0" locked="0" layoutInCell="1" hidden="0" allowOverlap="1">
          <wp:simplePos x="0" y="0"/>
          <wp:positionH relativeFrom="column">
            <wp:posOffset>64656</wp:posOffset>
          </wp:positionH>
          <wp:positionV relativeFrom="paragraph">
            <wp:posOffset>-253536</wp:posOffset>
          </wp:positionV>
          <wp:extent cx="681164" cy="628073"/>
          <wp:effectExtent l="0" t="0" r="0" b="0"/>
          <wp:wrapNone/>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14:paraId="000001DE" w14:textId="77777777" w:rsidR="002E78B5" w:rsidRDefault="003F478A">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Times" w:eastAsia="Times" w:hAnsi="Times" w:cs="Times"/>
        <w:i/>
        <w:color w:val="000000"/>
        <w:sz w:val="18"/>
        <w:szCs w:val="18"/>
      </w:rPr>
      <w:t>Modelo de Envío de Manuscrito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8B5"/>
    <w:rsid w:val="002E78B5"/>
    <w:rsid w:val="003F478A"/>
    <w:rsid w:val="009F53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7FCD2A18"/>
  <w15:docId w15:val="{4137EEC4-60E1-D64F-B1E1-28F28ED49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lang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0">
    <w:name w:val="Table Normal"/>
    <w:rsid w:val="00F92F1A"/>
    <w:pPr>
      <w:pBdr>
        <w:top w:val="nil"/>
        <w:left w:val="nil"/>
        <w:bottom w:val="nil"/>
        <w:right w:val="nil"/>
        <w:between w:val="nil"/>
        <w:bar w:val="nil"/>
      </w:pBdr>
    </w:pPr>
    <w:rPr>
      <w:rFonts w:eastAsia="Arial Unicode MS"/>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dx.doi.org/10.2801/414017" TargetMode="External"/><Relationship Id="rId18" Type="http://schemas.openxmlformats.org/officeDocument/2006/relationships/hyperlink" Target="https://revistas.unc.edu.ar/index.php/aifp/article/view/31070" TargetMode="External"/><Relationship Id="rId26" Type="http://schemas.openxmlformats.org/officeDocument/2006/relationships/hyperlink" Target="https://www.researchgate.net/publication/341105276_FACTORES_QUE_INFLUYEN_EN_LA_ELECCION_DE_CARRERA_DE_ESTUDIANTES_EN_BACHILLERATO_Factors_influencing_the_career_choice_of_students_in_high_school" TargetMode="External"/><Relationship Id="rId39" Type="http://schemas.openxmlformats.org/officeDocument/2006/relationships/hyperlink" Target="https://doi.org/10.2196/22817" TargetMode="External"/><Relationship Id="rId21" Type="http://schemas.openxmlformats.org/officeDocument/2006/relationships/hyperlink" Target="https://doi.org/10.35626/casus.1.2016.15" TargetMode="External"/><Relationship Id="rId34" Type="http://schemas.openxmlformats.org/officeDocument/2006/relationships/hyperlink" Target="http://www.asappia.org/PANDEMIA_Area-OV.pdf" TargetMode="External"/><Relationship Id="rId42" Type="http://schemas.openxmlformats.org/officeDocument/2006/relationships/footer" Target="footer1.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doi.org/10.25009/pys.v29i1.2563" TargetMode="External"/><Relationship Id="rId29" Type="http://schemas.openxmlformats.org/officeDocument/2006/relationships/hyperlink" Target="http://tesis.pucp.edu.pe/repositorio/bitstream/handle/20.500.12404/17321/POSTIGO_VALLENAS_ANDREA_CAROLINA.pdf?sequence=1&amp;isAllowed=y"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31206/rmdo342020" TargetMode="External"/><Relationship Id="rId24" Type="http://schemas.openxmlformats.org/officeDocument/2006/relationships/hyperlink" Target="https://www.redalyc.org/pdf/292/29248181002.pdf" TargetMode="External"/><Relationship Id="rId32" Type="http://schemas.openxmlformats.org/officeDocument/2006/relationships/hyperlink" Target="http://orcid.org/0000-0003-3610-4621" TargetMode="External"/><Relationship Id="rId37" Type="http://schemas.openxmlformats.org/officeDocument/2006/relationships/hyperlink" Target="http://www.revistas.unam.mx/index.php/rmcpys/article/view/78111"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0849/ripijp.v54i2.1335" TargetMode="External"/><Relationship Id="rId23" Type="http://schemas.openxmlformats.org/officeDocument/2006/relationships/hyperlink" Target="https://revistas.unlp.edu.ar/OrientacionYSociedad/article/view/10887" TargetMode="External"/><Relationship Id="rId28" Type="http://schemas.openxmlformats.org/officeDocument/2006/relationships/hyperlink" Target="http://dx.doi.org/10.20511/pyr2020.v8nSPE3.589" TargetMode="External"/><Relationship Id="rId36" Type="http://schemas.openxmlformats.org/officeDocument/2006/relationships/hyperlink" Target="https://doi.org/10.2196/21279" TargetMode="External"/><Relationship Id="rId10" Type="http://schemas.openxmlformats.org/officeDocument/2006/relationships/hyperlink" Target="http://dx.doi.org/10.6018/analesps.29.3.178511" TargetMode="External"/><Relationship Id="rId19" Type="http://schemas.openxmlformats.org/officeDocument/2006/relationships/hyperlink" Target="https://doi.org/10.30849/ripijp.v54i1.1304" TargetMode="External"/><Relationship Id="rId31" Type="http://schemas.openxmlformats.org/officeDocument/2006/relationships/hyperlink" Target="https://doi.org/10.16925/pe.v14i23.2268"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dx.doi.org/10.33210/ca.v9i2.322" TargetMode="External"/><Relationship Id="rId22" Type="http://schemas.openxmlformats.org/officeDocument/2006/relationships/hyperlink" Target="https://doi.org/10.36793/psicumex.v8i2.295" TargetMode="External"/><Relationship Id="rId27" Type="http://schemas.openxmlformats.org/officeDocument/2006/relationships/hyperlink" Target="http://dx.doi.org/10.20511/pyr2020.v8nSPE3.589" TargetMode="External"/><Relationship Id="rId30" Type="http://schemas.openxmlformats.org/officeDocument/2006/relationships/hyperlink" Target="https://doi.org/10.30849/ripijp.v54i3.1450" TargetMode="External"/><Relationship Id="rId35" Type="http://schemas.openxmlformats.org/officeDocument/2006/relationships/hyperlink" Target="https://doi.org/10.30849/ripijp.v54i1.1287" TargetMode="External"/><Relationship Id="rId43"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doi.apa.org/doiLanding?doi=10.1037%2F0022-006X.56.6.893" TargetMode="External"/><Relationship Id="rId17" Type="http://schemas.openxmlformats.org/officeDocument/2006/relationships/hyperlink" Target="http://revistas.pucp.edu.pe/index.php/educacion/article/view/4416" TargetMode="External"/><Relationship Id="rId25" Type="http://schemas.openxmlformats.org/officeDocument/2006/relationships/hyperlink" Target="https://www.nimh.nih.gov/health/topics/anxiety-disorders/" TargetMode="External"/><Relationship Id="rId33" Type="http://schemas.openxmlformats.org/officeDocument/2006/relationships/hyperlink" Target="https://doi.org/10.30849/ripijp.v54i1.1298" TargetMode="External"/><Relationship Id="rId38" Type="http://schemas.openxmlformats.org/officeDocument/2006/relationships/hyperlink" Target="https://doi.org/10.30849/ripijp.v54i2.1333" TargetMode="External"/><Relationship Id="rId20" Type="http://schemas.openxmlformats.org/officeDocument/2006/relationships/hyperlink" Target="https://revistas.unlp.edu.ar/OrientacionYSociedad/article/view/10238" TargetMode="External"/><Relationship Id="rId41"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Preparatoria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Mínima</c:v>
                </c:pt>
                <c:pt idx="1">
                  <c:v>Leve</c:v>
                </c:pt>
                <c:pt idx="2">
                  <c:v>Moderada</c:v>
                </c:pt>
                <c:pt idx="3">
                  <c:v>Severa</c:v>
                </c:pt>
              </c:strCache>
            </c:strRef>
          </c:cat>
          <c:val>
            <c:numRef>
              <c:f>Hoja1!$B$2:$B$5</c:f>
              <c:numCache>
                <c:formatCode>General</c:formatCode>
                <c:ptCount val="4"/>
                <c:pt idx="0">
                  <c:v>29.5</c:v>
                </c:pt>
                <c:pt idx="1">
                  <c:v>29.8</c:v>
                </c:pt>
                <c:pt idx="2">
                  <c:v>21.2</c:v>
                </c:pt>
                <c:pt idx="3">
                  <c:v>19.100000000000001</c:v>
                </c:pt>
              </c:numCache>
            </c:numRef>
          </c:val>
          <c:extLst>
            <c:ext xmlns:c16="http://schemas.microsoft.com/office/drawing/2014/chart" uri="{C3380CC4-5D6E-409C-BE32-E72D297353CC}">
              <c16:uniqueId val="{00000000-E618-D048-BA2C-788A3B34E4B4}"/>
            </c:ext>
          </c:extLst>
        </c:ser>
        <c:ser>
          <c:idx val="1"/>
          <c:order val="1"/>
          <c:tx>
            <c:strRef>
              <c:f>Hoja1!$C$1</c:f>
              <c:strCache>
                <c:ptCount val="1"/>
                <c:pt idx="0">
                  <c:v>Universidad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Mínima</c:v>
                </c:pt>
                <c:pt idx="1">
                  <c:v>Leve</c:v>
                </c:pt>
                <c:pt idx="2">
                  <c:v>Moderada</c:v>
                </c:pt>
                <c:pt idx="3">
                  <c:v>Severa</c:v>
                </c:pt>
              </c:strCache>
            </c:strRef>
          </c:cat>
          <c:val>
            <c:numRef>
              <c:f>Hoja1!$C$2:$C$5</c:f>
              <c:numCache>
                <c:formatCode>General</c:formatCode>
                <c:ptCount val="4"/>
                <c:pt idx="0">
                  <c:v>26.5</c:v>
                </c:pt>
                <c:pt idx="1">
                  <c:v>28.3</c:v>
                </c:pt>
                <c:pt idx="2">
                  <c:v>22.9</c:v>
                </c:pt>
                <c:pt idx="3">
                  <c:v>21.1</c:v>
                </c:pt>
              </c:numCache>
            </c:numRef>
          </c:val>
          <c:extLst>
            <c:ext xmlns:c16="http://schemas.microsoft.com/office/drawing/2014/chart" uri="{C3380CC4-5D6E-409C-BE32-E72D297353CC}">
              <c16:uniqueId val="{00000001-E618-D048-BA2C-788A3B34E4B4}"/>
            </c:ext>
          </c:extLst>
        </c:ser>
        <c:dLbls>
          <c:showLegendKey val="0"/>
          <c:showVal val="0"/>
          <c:showCatName val="0"/>
          <c:showSerName val="0"/>
          <c:showPercent val="0"/>
          <c:showBubbleSize val="0"/>
        </c:dLbls>
        <c:gapWidth val="219"/>
        <c:overlap val="-27"/>
        <c:axId val="433958880"/>
        <c:axId val="434976928"/>
      </c:barChart>
      <c:catAx>
        <c:axId val="433958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34976928"/>
        <c:crosses val="autoZero"/>
        <c:auto val="1"/>
        <c:lblAlgn val="ctr"/>
        <c:lblOffset val="100"/>
        <c:noMultiLvlLbl val="0"/>
      </c:catAx>
      <c:valAx>
        <c:axId val="434976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33958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VK70ip2Z6l7UGwFg7DvIfMuTNA==">AMUW2mUBAH00bME09liS/iZ/V8bOFnLcDfBzed7mZEfKXEPYzcf2fpyjG85U008y1XVW++kIlV2DTp+gtJa+pzR0ixB2lbhxAmXMlSKGiRy/bwKENYoW/Ls=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8686</Words>
  <Characters>47773</Characters>
  <Application>Microsoft Office Word</Application>
  <DocSecurity>0</DocSecurity>
  <Lines>398</Lines>
  <Paragraphs>112</Paragraphs>
  <ScaleCrop>false</ScaleCrop>
  <Company/>
  <LinksUpToDate>false</LinksUpToDate>
  <CharactersWithSpaces>56347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Diego Lopez Dorame</cp:lastModifiedBy>
  <cp:revision>2</cp:revision>
  <dcterms:created xsi:type="dcterms:W3CDTF">2021-07-21T17:47:00Z</dcterms:created>
  <dcterms:modified xsi:type="dcterms:W3CDTF">2021-07-28T17:06:00Z</dcterms:modified>
</cp:coreProperties>
</file>