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2DCA" w14:textId="3DF0465A" w:rsidR="00B845A1" w:rsidRPr="007B10C2" w:rsidRDefault="00153DC5" w:rsidP="007B10C2">
      <w:pPr>
        <w:pStyle w:val="Titulodeartculo"/>
        <w:rPr>
          <w:lang w:val="en-US" w:eastAsia="pt-BR"/>
        </w:rPr>
      </w:pPr>
      <w:r w:rsidRPr="002B2297">
        <w:rPr>
          <w:lang w:val="en-US"/>
        </w:rPr>
        <w:t xml:space="preserve"> </w:t>
      </w:r>
      <w:r w:rsidR="007B10C2" w:rsidRPr="007B10C2">
        <w:rPr>
          <w:lang w:val="en-US"/>
        </w:rPr>
        <w:t>Alcohol use in preadolescents and adolescents: effect of personality and neurocognitive functioning</w:t>
      </w:r>
    </w:p>
    <w:p w14:paraId="0BAD9FA3" w14:textId="098C1666" w:rsidR="00C413D4" w:rsidRPr="00107993"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4C1657" w:rsidRDefault="00C413D4" w:rsidP="00C43335">
      <w:pPr>
        <w:pStyle w:val="TtuloResumen"/>
        <w:rPr>
          <w:lang w:val="en-US"/>
        </w:rPr>
      </w:pPr>
      <w:r w:rsidRPr="004C1657">
        <w:rPr>
          <w:lang w:val="en-US"/>
        </w:rPr>
        <w:t>Abstract</w:t>
      </w:r>
    </w:p>
    <w:p w14:paraId="0BF1C075" w14:textId="0DEC0E3B" w:rsidR="00C413D4" w:rsidRPr="003031EB" w:rsidRDefault="003031EB" w:rsidP="005B5614">
      <w:pPr>
        <w:jc w:val="both"/>
        <w:rPr>
          <w:sz w:val="20"/>
          <w:szCs w:val="20"/>
          <w:lang w:val="en-US"/>
        </w:rPr>
      </w:pPr>
      <w:r w:rsidRPr="003031EB">
        <w:rPr>
          <w:sz w:val="20"/>
          <w:szCs w:val="20"/>
          <w:lang w:val="en-US"/>
        </w:rPr>
        <w:t>Underage drinking is associated with a wide range of negative consequences, including alterations in brain development and poor cognitive functioning. Personality traits linked to drinking include impulsivity, sensation seeking and risk taking. The present study examined, separately in preadolescents (11 to 13 years old) and adolescents (14 to 16 years old), the bivariate and multivariate relationship between impulsivity, risk taking, cognitive flexibility and alcohol consumption. Preadolescents and adolescents (</w:t>
      </w:r>
      <w:r w:rsidRPr="004C1657">
        <w:rPr>
          <w:i/>
          <w:iCs/>
          <w:sz w:val="20"/>
          <w:szCs w:val="20"/>
          <w:lang w:val="en-US"/>
        </w:rPr>
        <w:t>n</w:t>
      </w:r>
      <w:r w:rsidRPr="003031EB">
        <w:rPr>
          <w:sz w:val="20"/>
          <w:szCs w:val="20"/>
          <w:lang w:val="en-US"/>
        </w:rPr>
        <w:t xml:space="preserve"> = 974; </w:t>
      </w:r>
      <w:r w:rsidRPr="00F90033">
        <w:rPr>
          <w:i/>
          <w:iCs/>
          <w:sz w:val="20"/>
          <w:szCs w:val="20"/>
          <w:lang w:val="en-US"/>
        </w:rPr>
        <w:t>M</w:t>
      </w:r>
      <w:r w:rsidRPr="003031EB">
        <w:rPr>
          <w:sz w:val="20"/>
          <w:szCs w:val="20"/>
          <w:lang w:val="en-US"/>
        </w:rPr>
        <w:t xml:space="preserve"> age = 13.30 ± 0.955; 54.5% women; 56.5% preadolescents) of Cordoba (Argentina) completed a survey assessing trait-like impulsivity (UPPS-P Scale) and alcohol use. They also underwent the Balloon Analogue Risk Task, the Go/No-Go Task and the Wisconsin Card Sorting Test. Trait-like impulsivity was significantly associated to substance use behaviors in preadolescents and adolescents. In the younger, but not in the older group, higher scores in risk taking and inattention explained higher frequency of alcohol use. In contrast, alcohol use in the adolescents was associated with diminished cognitive flexibility. The present study helps disentangle predictors of underage drinking at two stages of adolescence. Prevention and intervention strategies should attend the noted differences between preadolescents and adolescents.</w:t>
      </w:r>
    </w:p>
    <w:p w14:paraId="547103FF" w14:textId="77777777" w:rsidR="00C413D4" w:rsidRPr="003031EB"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099411BD" w:rsidR="00153DC5" w:rsidRPr="00E25900" w:rsidRDefault="003031EB" w:rsidP="007A7C7C">
      <w:pPr>
        <w:jc w:val="both"/>
        <w:rPr>
          <w:bCs/>
          <w:sz w:val="20"/>
          <w:szCs w:val="20"/>
          <w:lang w:val="en-US"/>
        </w:rPr>
      </w:pPr>
      <w:r>
        <w:rPr>
          <w:bCs/>
          <w:sz w:val="20"/>
          <w:szCs w:val="20"/>
          <w:lang w:val="en-US"/>
        </w:rPr>
        <w:t>A</w:t>
      </w:r>
      <w:r w:rsidRPr="003031EB">
        <w:rPr>
          <w:bCs/>
          <w:sz w:val="20"/>
          <w:szCs w:val="20"/>
          <w:lang w:val="en-US"/>
        </w:rPr>
        <w:t>lcohol use; preadolescents; adolescents; personality; cognitive flexibility</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32D6BA22" w14:textId="441126A6" w:rsidR="00153DC5" w:rsidRDefault="00F90033" w:rsidP="005B5614">
      <w:pPr>
        <w:jc w:val="both"/>
        <w:rPr>
          <w:sz w:val="20"/>
          <w:szCs w:val="20"/>
          <w:lang w:val="es-AR"/>
        </w:rPr>
      </w:pPr>
      <w:r w:rsidRPr="00F90033">
        <w:rPr>
          <w:sz w:val="20"/>
          <w:szCs w:val="20"/>
          <w:lang w:val="es-AR"/>
        </w:rPr>
        <w:t xml:space="preserve">El consumo de alcohol en adolescentes se asocia a diferentes consecuencias negativas, incluyendo alteraciones en el cerebro y funcionamiento cognitivo disminuido. Algunos rasgos de personalidad, como la impulsividad, búsqueda de sensaciones y toma de riesgos, han sido asociados al consumo de alcohol. Este estudio examinó, en preadolescentes (11-13 años) y adolescentes (14-16 años) la relación </w:t>
      </w:r>
      <w:proofErr w:type="spellStart"/>
      <w:r w:rsidRPr="00F90033">
        <w:rPr>
          <w:sz w:val="20"/>
          <w:szCs w:val="20"/>
          <w:lang w:val="es-AR"/>
        </w:rPr>
        <w:t>bi</w:t>
      </w:r>
      <w:proofErr w:type="spellEnd"/>
      <w:r w:rsidRPr="00F90033">
        <w:rPr>
          <w:sz w:val="20"/>
          <w:szCs w:val="20"/>
          <w:lang w:val="es-AR"/>
        </w:rPr>
        <w:t>- y multivariada entre el consumo de alcohol y la impulsividad, toma de riesgos y flexibilidad cognitiva. Participaron 974 preadolescentes y adolescentes (</w:t>
      </w:r>
      <w:r w:rsidRPr="00F90033">
        <w:rPr>
          <w:i/>
          <w:iCs/>
          <w:sz w:val="20"/>
          <w:szCs w:val="20"/>
          <w:lang w:val="es-AR"/>
        </w:rPr>
        <w:t>M</w:t>
      </w:r>
      <w:r w:rsidRPr="00F90033">
        <w:rPr>
          <w:sz w:val="20"/>
          <w:szCs w:val="20"/>
          <w:lang w:val="es-AR"/>
        </w:rPr>
        <w:t xml:space="preserve"> edad= 13.30 ± 0.955; 54.5% mujeres; 56.5% preadolescentes) de Córdoba (Argentina) respondiendo una encuesta sobre impulsividad rasgo (Escala UPPS-P) y consumo de alcohol; además completaron la Prueba de Riesgo Analógico con Globos, Prueba Go/No-Go y Prueba de Ordenamiento de Cartas Wisconsin. La impulsividad rasgo se asoció con el consumo de alcohol en adolescentes y preadolescentes. En los preadolescentes la mayor toma de riesgos y la falta de atención explicaron un mayor consumo de alcohol. En cambio, en los adolescentes el consumo de alcohol se asoció con una menor flexibilidad cognitiva. Los resultados de este estudio suman evidencia sobre diferentes predictores del consumo de alcohol en diferentes etapas de la adolescencia, lo que puede ser de utilidad para programas de prevención e intervención.</w:t>
      </w:r>
    </w:p>
    <w:p w14:paraId="6FAC1C5D" w14:textId="77777777" w:rsidR="0027261B" w:rsidRPr="00E25900" w:rsidRDefault="0027261B" w:rsidP="005B5614">
      <w:pPr>
        <w:jc w:val="both"/>
        <w:rPr>
          <w:i/>
          <w:sz w:val="20"/>
          <w:szCs w:val="20"/>
          <w:lang w:val="es-ES"/>
        </w:rPr>
      </w:pP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3B490AF2" w14:textId="6BAD7A9E" w:rsidR="00153DC5" w:rsidRPr="00E25900" w:rsidRDefault="00A25C68" w:rsidP="007A7C7C">
      <w:pPr>
        <w:jc w:val="both"/>
        <w:rPr>
          <w:bCs/>
          <w:sz w:val="20"/>
          <w:szCs w:val="20"/>
          <w:lang w:val="es-AR"/>
        </w:rPr>
      </w:pPr>
      <w:r>
        <w:rPr>
          <w:bCs/>
          <w:sz w:val="20"/>
          <w:szCs w:val="20"/>
          <w:lang w:val="es-ES"/>
        </w:rPr>
        <w:t>C</w:t>
      </w:r>
      <w:r w:rsidRPr="00A25C68">
        <w:rPr>
          <w:bCs/>
          <w:sz w:val="20"/>
          <w:szCs w:val="20"/>
          <w:lang w:val="es-ES"/>
        </w:rPr>
        <w:t xml:space="preserve">onsumo de alcohol; adolescentes; preadolescentes; personalidad; flexibilidad cognitiva.  </w:t>
      </w:r>
    </w:p>
    <w:p w14:paraId="7189B82D" w14:textId="752BA2A1" w:rsidR="00E55124" w:rsidRPr="00E25900" w:rsidRDefault="00E55124" w:rsidP="007A7C7C">
      <w:pPr>
        <w:jc w:val="both"/>
        <w:rPr>
          <w:bCs/>
          <w:sz w:val="20"/>
          <w:szCs w:val="20"/>
          <w:lang w:val="es-A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2F1B2C00" w:rsidR="00153DC5" w:rsidRPr="00E25900" w:rsidRDefault="0059034C" w:rsidP="007A7CDC">
      <w:pPr>
        <w:pStyle w:val="Ttuloprincipiodeartculo"/>
        <w:rPr>
          <w:lang w:val="es-AR"/>
        </w:rPr>
      </w:pPr>
      <w:r w:rsidRPr="00E25900">
        <w:rPr>
          <w:lang w:val="es-AR"/>
        </w:rPr>
        <w:br w:type="page"/>
      </w:r>
      <w:r w:rsidR="002D6C0F" w:rsidRPr="002D6C0F">
        <w:rPr>
          <w:lang w:val="es-AR"/>
        </w:rPr>
        <w:lastRenderedPageBreak/>
        <w:t>Consumo de alcohol durante la preadolescencia y adolescencia: efecto de personalidad y funcionamiento neurocognitivo</w:t>
      </w:r>
    </w:p>
    <w:p w14:paraId="4FA726CB" w14:textId="2726F646" w:rsidR="006A1BA2" w:rsidRPr="007B10C2" w:rsidRDefault="00153DC5" w:rsidP="00CE7D65">
      <w:pPr>
        <w:pStyle w:val="Ttulosinternos"/>
        <w:rPr>
          <w:bCs/>
          <w:lang w:val="es-AR"/>
        </w:rPr>
      </w:pPr>
      <w:r w:rsidRPr="00107993">
        <w:rPr>
          <w:lang w:val="es-ES_tradnl"/>
        </w:rPr>
        <w:t>Introduc</w:t>
      </w:r>
      <w:r w:rsidR="00107993" w:rsidRPr="00107993">
        <w:rPr>
          <w:lang w:val="es-ES_tradnl"/>
        </w:rPr>
        <w:t>ción</w:t>
      </w:r>
    </w:p>
    <w:p w14:paraId="15F8D728" w14:textId="77777777" w:rsidR="002D6C0F" w:rsidRPr="002D6C0F" w:rsidRDefault="002D6C0F" w:rsidP="002D6C0F">
      <w:pPr>
        <w:pStyle w:val="Prrafocomn"/>
        <w:rPr>
          <w:lang w:val="es-AR"/>
        </w:rPr>
      </w:pPr>
      <w:r w:rsidRPr="002D6C0F">
        <w:rPr>
          <w:lang w:val="es-AR"/>
        </w:rPr>
        <w:t>La preadolescencia (i.e., 11 a 13 años) y la adolescencia (i.e., 14 a 17 años) son etapas del desarrollo que se caracterizan por un incremento en los comportamientos riesgosos (Curtis, 2015) como la experimentación con el consumo de sustancias, particularmente el alcohol (</w:t>
      </w:r>
      <w:proofErr w:type="spellStart"/>
      <w:r w:rsidRPr="002D6C0F">
        <w:rPr>
          <w:lang w:val="es-AR"/>
        </w:rPr>
        <w:t>Spear</w:t>
      </w:r>
      <w:proofErr w:type="spellEnd"/>
      <w:r w:rsidRPr="002D6C0F">
        <w:rPr>
          <w:lang w:val="es-AR"/>
        </w:rPr>
        <w:t>, 2018). Efectivamente, el inicio del consumo de alcohol suele ocurrir en la preadolescencia o incluso antes (i.e., antes de los 11 años; Pilatti et al., 2013; SEDRONAR, 2018); aunque lo más común es observar un aumento progresivo, asociado a la edad (Aiken et al., 2018). Por ejemplo, mientras el 46.4% de los preadolescentes y adolescentes argentinos de hasta 14 años consumió alcohol alguna vez en la vida, el porcentaje se eleva a 79% entre adolescentes de 15 y 16 años (SEDRONAR, 2018). A su vez, entre los preadolescentes y adolescentes que consumieron alcohol, la mitad (52%) presentó al menos un episodio de Consumo Episódico Elevado (CEEA) en los últimos 15 días (SEDRONAR, 2018). El CEEA es una modalidad de consumo que comprende la ingesta de 3 o más unidades estándar de alcohol (UEA; i.e., 14 gramos) en las mujeres y entre 3 a 5 UEA en los varones, dependiendo de la edad y el peso (</w:t>
      </w:r>
      <w:proofErr w:type="spellStart"/>
      <w:r w:rsidRPr="002D6C0F">
        <w:rPr>
          <w:lang w:val="es-AR"/>
        </w:rPr>
        <w:t>National</w:t>
      </w:r>
      <w:proofErr w:type="spellEnd"/>
      <w:r w:rsidRPr="002D6C0F">
        <w:rPr>
          <w:lang w:val="es-AR"/>
        </w:rPr>
        <w:t xml:space="preserve"> </w:t>
      </w:r>
      <w:proofErr w:type="spellStart"/>
      <w:r w:rsidRPr="002D6C0F">
        <w:rPr>
          <w:lang w:val="es-AR"/>
        </w:rPr>
        <w:t>Institute</w:t>
      </w:r>
      <w:proofErr w:type="spellEnd"/>
      <w:r w:rsidRPr="002D6C0F">
        <w:rPr>
          <w:lang w:val="es-AR"/>
        </w:rPr>
        <w:t xml:space="preserve"> </w:t>
      </w:r>
      <w:proofErr w:type="spellStart"/>
      <w:r w:rsidRPr="002D6C0F">
        <w:rPr>
          <w:lang w:val="es-AR"/>
        </w:rPr>
        <w:t>on</w:t>
      </w:r>
      <w:proofErr w:type="spellEnd"/>
      <w:r w:rsidRPr="002D6C0F">
        <w:rPr>
          <w:lang w:val="es-AR"/>
        </w:rPr>
        <w:t xml:space="preserve"> Alcohol Abuse and </w:t>
      </w:r>
      <w:proofErr w:type="spellStart"/>
      <w:r w:rsidRPr="002D6C0F">
        <w:rPr>
          <w:lang w:val="es-AR"/>
        </w:rPr>
        <w:t>Alcoholism</w:t>
      </w:r>
      <w:proofErr w:type="spellEnd"/>
      <w:r w:rsidRPr="002D6C0F">
        <w:rPr>
          <w:lang w:val="es-AR"/>
        </w:rPr>
        <w:t xml:space="preserve"> [NIAAA], 2017).</w:t>
      </w:r>
    </w:p>
    <w:p w14:paraId="0662CBD0" w14:textId="77777777" w:rsidR="002D6C0F" w:rsidRPr="002D6C0F" w:rsidRDefault="002D6C0F" w:rsidP="002D6C0F">
      <w:pPr>
        <w:pStyle w:val="Prrafocomn"/>
        <w:rPr>
          <w:lang w:val="es-AR"/>
        </w:rPr>
      </w:pPr>
      <w:r w:rsidRPr="002D6C0F">
        <w:rPr>
          <w:lang w:val="es-AR"/>
        </w:rPr>
        <w:t xml:space="preserve">El consumo de alcohol en estas etapas, y en particular el CEEA, ejerce efectos a corto (accidentes, peleas físicas, relaciones sexuales no planificadas o sin protección; </w:t>
      </w:r>
      <w:proofErr w:type="spellStart"/>
      <w:r w:rsidRPr="002D6C0F">
        <w:rPr>
          <w:lang w:val="es-AR"/>
        </w:rPr>
        <w:t>Donoghue</w:t>
      </w:r>
      <w:proofErr w:type="spellEnd"/>
      <w:r w:rsidRPr="002D6C0F">
        <w:rPr>
          <w:lang w:val="es-AR"/>
        </w:rPr>
        <w:t xml:space="preserve"> et al., 2017) y a largo plazo, incluyendo alteraciones en el desarrollo del cerebro que se traducen en un pobre funcionamiento cognitivo (Peeters et al., 2013) y mayores probabilidades de presentar, más adelante, un trastorno de uso de alcohol (Waller et al., 2019). Además, el uso de alcohol en la adolescencia puede interferir en el desarrollo de competencias y habilidades sociales y académicas, que son de vital importancia para lograr la independencia que define la vida adulta (Chung et al., 2018; </w:t>
      </w:r>
      <w:proofErr w:type="spellStart"/>
      <w:r w:rsidRPr="002D6C0F">
        <w:rPr>
          <w:lang w:val="es-AR"/>
        </w:rPr>
        <w:t>Spear</w:t>
      </w:r>
      <w:proofErr w:type="spellEnd"/>
      <w:r w:rsidRPr="002D6C0F">
        <w:rPr>
          <w:lang w:val="es-AR"/>
        </w:rPr>
        <w:t>, 2018). Los adolescentes que consumen alcohol de manera intensiva exhiben déficits en el funcionamiento cognitivo (Peeters et al., 2013; Lees et al., 2020) y, como el cerebro adolescente aún está en desarrollo, las alteraciones estructurales y funcionales pueden aparecer rápidamente después de iniciar el consumo (</w:t>
      </w:r>
      <w:proofErr w:type="spellStart"/>
      <w:r w:rsidRPr="002D6C0F">
        <w:rPr>
          <w:lang w:val="es-AR"/>
        </w:rPr>
        <w:t>Spear</w:t>
      </w:r>
      <w:proofErr w:type="spellEnd"/>
      <w:r w:rsidRPr="002D6C0F">
        <w:rPr>
          <w:lang w:val="es-AR"/>
        </w:rPr>
        <w:t xml:space="preserve">, 2018; </w:t>
      </w:r>
      <w:proofErr w:type="spellStart"/>
      <w:r w:rsidRPr="002D6C0F">
        <w:rPr>
          <w:lang w:val="es-AR"/>
        </w:rPr>
        <w:t>Squeglia</w:t>
      </w:r>
      <w:proofErr w:type="spellEnd"/>
      <w:r w:rsidRPr="002D6C0F">
        <w:rPr>
          <w:lang w:val="es-AR"/>
        </w:rPr>
        <w:t xml:space="preserve"> et al., 2017).  </w:t>
      </w:r>
    </w:p>
    <w:p w14:paraId="17319978" w14:textId="77777777" w:rsidR="002D6C0F" w:rsidRPr="002D6C0F" w:rsidRDefault="002D6C0F" w:rsidP="002D6C0F">
      <w:pPr>
        <w:pStyle w:val="Prrafocomn"/>
        <w:rPr>
          <w:lang w:val="es-AR"/>
        </w:rPr>
      </w:pPr>
      <w:r w:rsidRPr="002D6C0F">
        <w:rPr>
          <w:lang w:val="es-AR"/>
        </w:rPr>
        <w:t>La impulsividad promueve el consumo adolescente de alcohol y de otras sustancias (</w:t>
      </w:r>
      <w:proofErr w:type="spellStart"/>
      <w:r w:rsidRPr="002D6C0F">
        <w:rPr>
          <w:lang w:val="es-AR"/>
        </w:rPr>
        <w:t>Fernie</w:t>
      </w:r>
      <w:proofErr w:type="spellEnd"/>
      <w:r w:rsidRPr="002D6C0F">
        <w:rPr>
          <w:lang w:val="es-AR"/>
        </w:rPr>
        <w:t xml:space="preserve"> et al., 2013; Martínez Loredo et al., 2015), y engloba comportamientos como realizar acciones no planificadas, la incapacidad de inhibir una respuesta, la dificultad para considerar las consecuencias de una conducta y la preferencia por recompensas pequeñas e inmediatas por </w:t>
      </w:r>
      <w:r w:rsidRPr="002D6C0F">
        <w:rPr>
          <w:lang w:val="es-AR"/>
        </w:rPr>
        <w:lastRenderedPageBreak/>
        <w:t>sobre aquellas de mayor tamaño, aunque demoradas en el tiempo (</w:t>
      </w:r>
      <w:proofErr w:type="spellStart"/>
      <w:r w:rsidRPr="002D6C0F">
        <w:rPr>
          <w:lang w:val="es-AR"/>
        </w:rPr>
        <w:t>Dom</w:t>
      </w:r>
      <w:proofErr w:type="spellEnd"/>
      <w:r w:rsidRPr="002D6C0F">
        <w:rPr>
          <w:lang w:val="es-AR"/>
        </w:rPr>
        <w:t xml:space="preserve"> et al., 2007). La impulsividad rasgo puede medirse a través de escalas de </w:t>
      </w:r>
      <w:proofErr w:type="spellStart"/>
      <w:r w:rsidRPr="002D6C0F">
        <w:rPr>
          <w:lang w:val="es-AR"/>
        </w:rPr>
        <w:t>auto-reporte</w:t>
      </w:r>
      <w:proofErr w:type="spellEnd"/>
      <w:r w:rsidRPr="002D6C0F">
        <w:rPr>
          <w:lang w:val="es-AR"/>
        </w:rPr>
        <w:t xml:space="preserve"> (que se basan en la percepción que las personas tienen acerca de sus propios comportamientos). Una de ellas es la escala UPPS-P (</w:t>
      </w:r>
      <w:proofErr w:type="spellStart"/>
      <w:r w:rsidRPr="002D6C0F">
        <w:rPr>
          <w:lang w:val="es-AR"/>
        </w:rPr>
        <w:t>Lynam</w:t>
      </w:r>
      <w:proofErr w:type="spellEnd"/>
      <w:r w:rsidRPr="002D6C0F">
        <w:rPr>
          <w:lang w:val="es-AR"/>
        </w:rPr>
        <w:t xml:space="preserve"> et al.,  2006), basada en un modelo teórico que propone cinco facetas de la variable: Falta de Premeditación (i.e., actuar sin considerar las consecuencias de la conducta), Falta de Perseverancia (i.e., no poder permanecer ante tareas largas y/o aburridas), Búsqueda de Sensaciones (i.e., perseguir actividades nuevas y excitantes), Urgencia Negativa y Urgencia Positiva (i.e., la tendencia a actuar impulsivamente ante estados emocionales negativos/positivos, respectivamente). Cada dimensión se asocia de manera diferencial con distintos indicadores de consumo de alcohol (</w:t>
      </w:r>
      <w:proofErr w:type="spellStart"/>
      <w:r w:rsidRPr="002D6C0F">
        <w:rPr>
          <w:lang w:val="es-AR"/>
        </w:rPr>
        <w:t>Fernie</w:t>
      </w:r>
      <w:proofErr w:type="spellEnd"/>
      <w:r w:rsidRPr="002D6C0F">
        <w:rPr>
          <w:lang w:val="es-AR"/>
        </w:rPr>
        <w:t xml:space="preserve"> et al., 2013; Pilatti et al., 2016). Una revisión de investigaciones realizadas en adolescentes indicó que el consumo social, controlado, de alcohol presenta asociaciones más fuertes entre quienes buscan sensaciones novedosas y excitantes, mientras que el consumo problemático se asoció más fuertemente con la tendencia a actuar de manera impulsiva bajo emociones negativas y positivas intensas (</w:t>
      </w:r>
      <w:proofErr w:type="spellStart"/>
      <w:r w:rsidRPr="002D6C0F">
        <w:rPr>
          <w:lang w:val="es-AR"/>
        </w:rPr>
        <w:t>Stautz</w:t>
      </w:r>
      <w:proofErr w:type="spellEnd"/>
      <w:r w:rsidRPr="002D6C0F">
        <w:rPr>
          <w:lang w:val="es-AR"/>
        </w:rPr>
        <w:t xml:space="preserve"> &amp; Cooper, 2013).  </w:t>
      </w:r>
    </w:p>
    <w:p w14:paraId="64D95F31" w14:textId="21140F3E" w:rsidR="002D6C0F" w:rsidRPr="002D6C0F" w:rsidRDefault="002D6C0F" w:rsidP="002D6C0F">
      <w:pPr>
        <w:pStyle w:val="Prrafocomn"/>
        <w:rPr>
          <w:lang w:val="es-AR"/>
        </w:rPr>
      </w:pPr>
      <w:r w:rsidRPr="002D6C0F">
        <w:rPr>
          <w:lang w:val="es-AR"/>
        </w:rPr>
        <w:t>Asimismo, hay pruebas neuropsicológicas que analizan la impulsividad conductualmente, por ejemplo, midiendo la dificultad para inhibir una respuesta (</w:t>
      </w:r>
      <w:proofErr w:type="spellStart"/>
      <w:r w:rsidRPr="002D6C0F">
        <w:rPr>
          <w:lang w:val="es-AR"/>
        </w:rPr>
        <w:t>Cyders</w:t>
      </w:r>
      <w:proofErr w:type="spellEnd"/>
      <w:r w:rsidRPr="002D6C0F">
        <w:rPr>
          <w:lang w:val="es-AR"/>
        </w:rPr>
        <w:t xml:space="preserve"> &amp; </w:t>
      </w:r>
      <w:proofErr w:type="spellStart"/>
      <w:r w:rsidRPr="002D6C0F">
        <w:rPr>
          <w:lang w:val="es-AR"/>
        </w:rPr>
        <w:t>Coskunpinar</w:t>
      </w:r>
      <w:proofErr w:type="spellEnd"/>
      <w:r w:rsidRPr="002D6C0F">
        <w:rPr>
          <w:lang w:val="es-AR"/>
        </w:rPr>
        <w:t>, 2011) o para mantener la atención en tareas repetitivas (</w:t>
      </w:r>
      <w:proofErr w:type="spellStart"/>
      <w:r w:rsidRPr="002D6C0F">
        <w:rPr>
          <w:lang w:val="es-AR"/>
        </w:rPr>
        <w:t>Bezdjian</w:t>
      </w:r>
      <w:proofErr w:type="spellEnd"/>
      <w:r w:rsidRPr="002D6C0F">
        <w:rPr>
          <w:lang w:val="es-AR"/>
        </w:rPr>
        <w:t xml:space="preserve"> et al., 2009) -ambas medidas por la Go/No-Go </w:t>
      </w:r>
      <w:proofErr w:type="spellStart"/>
      <w:r w:rsidRPr="002D6C0F">
        <w:rPr>
          <w:lang w:val="es-AR"/>
        </w:rPr>
        <w:t>Task</w:t>
      </w:r>
      <w:proofErr w:type="spellEnd"/>
      <w:r w:rsidRPr="002D6C0F">
        <w:rPr>
          <w:lang w:val="es-AR"/>
        </w:rPr>
        <w:t xml:space="preserve">-. Otras pruebas miden la preferencia por alternativas riesgosas antes que opciones conservadoras, también conceptualizada como toma de riesgos, que suele evaluarse con la </w:t>
      </w:r>
      <w:proofErr w:type="spellStart"/>
      <w:r w:rsidRPr="002D6C0F">
        <w:rPr>
          <w:lang w:val="es-AR"/>
        </w:rPr>
        <w:t>Balloon</w:t>
      </w:r>
      <w:proofErr w:type="spellEnd"/>
      <w:r w:rsidRPr="002D6C0F">
        <w:rPr>
          <w:lang w:val="es-AR"/>
        </w:rPr>
        <w:t xml:space="preserve"> </w:t>
      </w:r>
      <w:proofErr w:type="spellStart"/>
      <w:r w:rsidRPr="002D6C0F">
        <w:rPr>
          <w:lang w:val="es-AR"/>
        </w:rPr>
        <w:t>Analogue</w:t>
      </w:r>
      <w:proofErr w:type="spellEnd"/>
      <w:r w:rsidRPr="002D6C0F">
        <w:rPr>
          <w:lang w:val="es-AR"/>
        </w:rPr>
        <w:t xml:space="preserve"> </w:t>
      </w:r>
      <w:proofErr w:type="spellStart"/>
      <w:r w:rsidRPr="002D6C0F">
        <w:rPr>
          <w:lang w:val="es-AR"/>
        </w:rPr>
        <w:t>Risk</w:t>
      </w:r>
      <w:proofErr w:type="spellEnd"/>
      <w:r w:rsidRPr="002D6C0F">
        <w:rPr>
          <w:lang w:val="es-AR"/>
        </w:rPr>
        <w:t xml:space="preserve"> </w:t>
      </w:r>
      <w:proofErr w:type="spellStart"/>
      <w:r w:rsidRPr="002D6C0F">
        <w:rPr>
          <w:lang w:val="es-AR"/>
        </w:rPr>
        <w:t>Task</w:t>
      </w:r>
      <w:proofErr w:type="spellEnd"/>
      <w:r w:rsidRPr="002D6C0F">
        <w:rPr>
          <w:lang w:val="es-AR"/>
        </w:rPr>
        <w:t xml:space="preserve"> (</w:t>
      </w:r>
      <w:proofErr w:type="spellStart"/>
      <w:r w:rsidRPr="002D6C0F">
        <w:rPr>
          <w:lang w:val="es-AR"/>
        </w:rPr>
        <w:t>Lejuez</w:t>
      </w:r>
      <w:proofErr w:type="spellEnd"/>
      <w:r w:rsidRPr="002D6C0F">
        <w:rPr>
          <w:lang w:val="es-AR"/>
        </w:rPr>
        <w:t xml:space="preserve"> et al., 2003). Estas pruebas conductuales poseen la ventaja de que no dependen de las habilidades de lectura de los participantes (</w:t>
      </w:r>
      <w:proofErr w:type="spellStart"/>
      <w:r w:rsidR="004665B3">
        <w:rPr>
          <w:lang w:val="es-AR"/>
        </w:rPr>
        <w:t>Xu</w:t>
      </w:r>
      <w:proofErr w:type="spellEnd"/>
      <w:r w:rsidRPr="002D6C0F">
        <w:rPr>
          <w:lang w:val="es-AR"/>
        </w:rPr>
        <w:t xml:space="preserve"> et al., 2013) ni de su capacidad para valorar correctamente rasgos de su personalidad (de </w:t>
      </w:r>
      <w:proofErr w:type="spellStart"/>
      <w:r w:rsidRPr="002D6C0F">
        <w:rPr>
          <w:lang w:val="es-AR"/>
        </w:rPr>
        <w:t>Wit</w:t>
      </w:r>
      <w:proofErr w:type="spellEnd"/>
      <w:r w:rsidRPr="002D6C0F">
        <w:rPr>
          <w:lang w:val="es-AR"/>
        </w:rPr>
        <w:t xml:space="preserve">, 2008). </w:t>
      </w:r>
    </w:p>
    <w:p w14:paraId="0225C966" w14:textId="77777777" w:rsidR="002D6C0F" w:rsidRPr="002D6C0F" w:rsidRDefault="002D6C0F" w:rsidP="002D6C0F">
      <w:pPr>
        <w:pStyle w:val="Prrafocomn"/>
        <w:rPr>
          <w:lang w:val="es-AR"/>
        </w:rPr>
      </w:pPr>
      <w:r w:rsidRPr="002D6C0F">
        <w:rPr>
          <w:lang w:val="es-AR"/>
        </w:rPr>
        <w:t>Estudios realizados con preadolescentes y adolescentes (de 12 a 14 años) han mostrado que un peor desempeño en pruebas que medían funcionamiento cognitivo, atención sostenida (</w:t>
      </w:r>
      <w:proofErr w:type="spellStart"/>
      <w:r w:rsidRPr="002D6C0F">
        <w:rPr>
          <w:lang w:val="es-AR"/>
        </w:rPr>
        <w:t>Squeglia</w:t>
      </w:r>
      <w:proofErr w:type="spellEnd"/>
      <w:r w:rsidRPr="002D6C0F">
        <w:rPr>
          <w:lang w:val="es-AR"/>
        </w:rPr>
        <w:t xml:space="preserve"> et al., 2017) e inhibición de respuesta (</w:t>
      </w:r>
      <w:proofErr w:type="spellStart"/>
      <w:r w:rsidRPr="002D6C0F">
        <w:rPr>
          <w:lang w:val="es-AR"/>
        </w:rPr>
        <w:t>Squeglia</w:t>
      </w:r>
      <w:proofErr w:type="spellEnd"/>
      <w:r w:rsidRPr="002D6C0F">
        <w:rPr>
          <w:lang w:val="es-AR"/>
        </w:rPr>
        <w:t xml:space="preserve"> et al., 2014) predijeron el inicio en el consumo de alcohol, así como una mayor cantidad y frecuencia de consumo durante los años posteriores de la adolescencia (17 a 18 años). Otro estudio longitudinal mostró que una menor capacidad inhibitoria predice el involucramiento en CEEA 3 años después (</w:t>
      </w:r>
      <w:proofErr w:type="spellStart"/>
      <w:r w:rsidRPr="002D6C0F">
        <w:rPr>
          <w:lang w:val="es-AR"/>
        </w:rPr>
        <w:t>Wetherill</w:t>
      </w:r>
      <w:proofErr w:type="spellEnd"/>
      <w:r w:rsidRPr="002D6C0F">
        <w:rPr>
          <w:lang w:val="es-AR"/>
        </w:rPr>
        <w:t xml:space="preserve"> et al., 2013). Finalmente, elevados niveles de búsqueda de sensaciones y toma de riesgos (medida a través de la prueba BART) en preadolescentes de entre 9 y 13 años, predijeron una mayor probabilidad de consumo de alcohol en los dos años posteriores (</w:t>
      </w:r>
      <w:proofErr w:type="spellStart"/>
      <w:r w:rsidRPr="002D6C0F">
        <w:rPr>
          <w:lang w:val="es-AR"/>
        </w:rPr>
        <w:t>MacPherson</w:t>
      </w:r>
      <w:proofErr w:type="spellEnd"/>
      <w:r w:rsidRPr="002D6C0F">
        <w:rPr>
          <w:lang w:val="es-AR"/>
        </w:rPr>
        <w:t xml:space="preserve"> et al., 2010). </w:t>
      </w:r>
    </w:p>
    <w:p w14:paraId="7EAC056C" w14:textId="77777777" w:rsidR="002D6C0F" w:rsidRPr="002D6C0F" w:rsidRDefault="002D6C0F" w:rsidP="002D6C0F">
      <w:pPr>
        <w:pStyle w:val="Prrafocomn"/>
        <w:rPr>
          <w:lang w:val="es-AR"/>
        </w:rPr>
      </w:pPr>
      <w:r w:rsidRPr="002D6C0F">
        <w:rPr>
          <w:lang w:val="es-AR"/>
        </w:rPr>
        <w:lastRenderedPageBreak/>
        <w:t>Si bien los rasgos de personalidad suelen conceptualizarse como relativamente estables, la evidencia ha mostrado la naturaleza dinámica de la impulsividad, la búsqueda de sensaciones y la toma de riesgos durante el período adolescente (Collado et al., 2014; Harden &amp; Tucker-</w:t>
      </w:r>
      <w:proofErr w:type="spellStart"/>
      <w:r w:rsidRPr="002D6C0F">
        <w:rPr>
          <w:lang w:val="es-AR"/>
        </w:rPr>
        <w:t>Drob</w:t>
      </w:r>
      <w:proofErr w:type="spellEnd"/>
      <w:r w:rsidRPr="002D6C0F">
        <w:rPr>
          <w:lang w:val="es-AR"/>
        </w:rPr>
        <w:t>, 2011). Los resultados de un estudio longitudinal muestran que, mientras la búsqueda de sensaciones se incrementa desde la preadolescencia (i.e., 13 años) hasta la adolescencia media (i.e., 15 años), la impulsividad y la toma de riesgos muestran su mayor incremento en la preadolescencia y luego se estabilizan durante la adolescencia media, mostrando incluso una leve caída en su expresión (Collado et al., 2014). Estos cambios podrían deberse a la maduración de la corteza prefrontal, que hace más eficiente la inhibición de respuestas y el control de impulsos (López-</w:t>
      </w:r>
      <w:proofErr w:type="spellStart"/>
      <w:r w:rsidRPr="002D6C0F">
        <w:rPr>
          <w:lang w:val="es-AR"/>
        </w:rPr>
        <w:t>Caneda</w:t>
      </w:r>
      <w:proofErr w:type="spellEnd"/>
      <w:r w:rsidRPr="002D6C0F">
        <w:rPr>
          <w:lang w:val="es-AR"/>
        </w:rPr>
        <w:t xml:space="preserve"> et al., 2014).  </w:t>
      </w:r>
    </w:p>
    <w:p w14:paraId="1DD31437" w14:textId="0699FE92" w:rsidR="00107993" w:rsidRPr="00107993" w:rsidRDefault="002D6C0F" w:rsidP="002D6C0F">
      <w:pPr>
        <w:pStyle w:val="Prrafocomn"/>
        <w:rPr>
          <w:lang w:val="es-AR"/>
        </w:rPr>
      </w:pPr>
      <w:r w:rsidRPr="002D6C0F">
        <w:rPr>
          <w:lang w:val="es-AR"/>
        </w:rPr>
        <w:t>Los estudios que evalúan el rol predictivo de estos factores de personalidad sobre el consumo adolescente de alcohol provienen mayormente de países anglosajones, y son escasas las investigaciones en poblaciones de otras sociedades o culturas, como aquellas del cono sur de América Latina. Es importante, por lo tanto, examinar predictores del consumo a edades tempranas que favorezca el desarrollo de estrategias de intervención culturalmente sensibles y destinadas a subpoblaciones específicas (</w:t>
      </w:r>
      <w:proofErr w:type="spellStart"/>
      <w:r w:rsidRPr="002D6C0F">
        <w:rPr>
          <w:lang w:val="es-AR"/>
        </w:rPr>
        <w:t>Henrich</w:t>
      </w:r>
      <w:proofErr w:type="spellEnd"/>
      <w:r w:rsidRPr="002D6C0F">
        <w:rPr>
          <w:lang w:val="es-AR"/>
        </w:rPr>
        <w:t xml:space="preserve"> et al., 2010). Asimismo, resulta de particular interés estudiar posibles factores de riesgo en edades tempranas, cuando empiezan a generarse cambios normativos, tanto en la personalidad (como el incremento de impulsividad y búsqueda de sensaciones) como madurativos a nivel cerebral, que pueden contribuir al incremento de conductas riesgosas, tales como el uso de sustancias. Este estudio tiene como objetivos describir el consumo de alcohol e indicadores de impulsividad (rasgo y conductual), toma de riesgos y flexibilidad cognitiva en preadolescentes (11 a 13 años) y adolescentes (14 a 16 años) argentinos, examinando posibles diferencias en función de los grupos de edades. Se analizará también, en preadolescentes y adolescentes, si existen asociaciones entre el consumo de alcohol y factores de riesgo (impulsividad, toma de riesgos y flexibilidad cognitiva). Por último, se examinará la utilidad de estos factores para explicar el consumo de alcohol en ambos grupos de edades. </w:t>
      </w:r>
      <w:r w:rsidR="004C1657">
        <w:rPr>
          <w:lang w:val="es-AR"/>
        </w:rPr>
        <w:t>Analiza</w:t>
      </w:r>
      <w:r w:rsidRPr="002D6C0F">
        <w:rPr>
          <w:lang w:val="es-AR"/>
        </w:rPr>
        <w:t>r que factores de personalidad se asocian con el consumo de alcohol en la adolescencia permitirá determinar que individuos presentan una mayor vulnerabilidad a iniciarse y escalar en el consumo de sustancias, generando información para el desarrollo de estrategias preventivas.</w:t>
      </w:r>
    </w:p>
    <w:p w14:paraId="7CA36542" w14:textId="77777777" w:rsidR="004C1657" w:rsidRDefault="004C1657" w:rsidP="001516ED">
      <w:pPr>
        <w:pStyle w:val="Ttulosinternos"/>
        <w:rPr>
          <w:lang w:val="es-AR"/>
        </w:rPr>
      </w:pPr>
    </w:p>
    <w:p w14:paraId="30E9D987" w14:textId="77777777" w:rsidR="004C1657" w:rsidRDefault="004C1657" w:rsidP="001516ED">
      <w:pPr>
        <w:pStyle w:val="Ttulosinternos"/>
        <w:rPr>
          <w:lang w:val="es-AR"/>
        </w:rPr>
      </w:pPr>
    </w:p>
    <w:p w14:paraId="2254AC27" w14:textId="237093FB" w:rsidR="006F7E7E" w:rsidRPr="00107993" w:rsidRDefault="001516ED" w:rsidP="001516ED">
      <w:pPr>
        <w:pStyle w:val="Ttulosinternos"/>
        <w:rPr>
          <w:lang w:val="es-AR"/>
        </w:rPr>
      </w:pPr>
      <w:r w:rsidRPr="00107993">
        <w:rPr>
          <w:lang w:val="es-AR"/>
        </w:rPr>
        <w:lastRenderedPageBreak/>
        <w:t>M</w:t>
      </w:r>
      <w:r w:rsidR="00107993" w:rsidRPr="00107993">
        <w:rPr>
          <w:lang w:val="es-AR"/>
        </w:rPr>
        <w:t>étodo</w:t>
      </w:r>
    </w:p>
    <w:p w14:paraId="2F19162A" w14:textId="324531C5" w:rsidR="006F7E7E" w:rsidRPr="005B24FF" w:rsidRDefault="005B24FF" w:rsidP="007E3B8D">
      <w:pPr>
        <w:pStyle w:val="SubtituloInterno"/>
        <w:rPr>
          <w:rFonts w:eastAsia="Calibri"/>
          <w:lang w:val="es-AR"/>
        </w:rPr>
      </w:pPr>
      <w:r w:rsidRPr="005B24FF">
        <w:rPr>
          <w:rFonts w:eastAsia="Calibri"/>
          <w:lang w:val="es-ES_tradnl"/>
        </w:rPr>
        <w:t>Participa</w:t>
      </w:r>
      <w:r>
        <w:rPr>
          <w:rFonts w:eastAsia="Calibri"/>
          <w:lang w:val="es-ES_tradnl"/>
        </w:rPr>
        <w:t>ntes</w:t>
      </w:r>
    </w:p>
    <w:p w14:paraId="04705CD0" w14:textId="0B15C136" w:rsidR="002D6C0F" w:rsidRPr="002D6C0F" w:rsidRDefault="002D6C0F" w:rsidP="002D6C0F">
      <w:pPr>
        <w:pStyle w:val="Prrafocomn"/>
        <w:rPr>
          <w:lang w:val="es-AR" w:eastAsia="en-US"/>
        </w:rPr>
      </w:pPr>
      <w:r w:rsidRPr="002D6C0F">
        <w:rPr>
          <w:lang w:val="es-AR" w:eastAsia="en-US"/>
        </w:rPr>
        <w:t xml:space="preserve">Se contactó, a partir del listado oficial de escuelas secundarias de la ciudad de Córdoba (Argentina, capital de la provincia homónima), a las 46 instituciones, públicas y privadas, ubicadas en un radio de 10 km2 desde el centro de la ciudad. La invitación explicaba los objetivos y procedimiento del estudio. Se controló que las instituciones dispusieran de una sala de computación (criterio de inclusión) donde aplicar las pruebas conductuales a varios participantes a la vez. Del total de instituciones contactadas, 13 escuelas públicas no cumplían con el criterio de inclusión y 23 escuelas privadas decidieron no colaborar con el estudio (principalmente por falta de tiempo en el calendario escolar para destinar a la investigación). Por lo tanto, participaron 10 instituciones educativas privadas. Los directores y representantes legales de cada institución firmaron una autorización para trabajar en la institución. A su vez, se envió una nota (proporcionando datos de contacto de los investigadores a cargo) a los padres/madres/tutores para que brindaran su consentimiento para que los menores a su cargo participen del estudio. Asimismo, los </w:t>
      </w:r>
      <w:r w:rsidR="00FB1FFA">
        <w:rPr>
          <w:lang w:val="es-AR" w:eastAsia="en-US"/>
        </w:rPr>
        <w:t>estudiante</w:t>
      </w:r>
      <w:r w:rsidRPr="002D6C0F">
        <w:rPr>
          <w:lang w:val="es-AR" w:eastAsia="en-US"/>
        </w:rPr>
        <w:t xml:space="preserve">s brindaron, de manera verbal, su consentimiento voluntario a participar del estudio. Se enfatizó la naturaleza voluntaria de la participación y el manejo confidencial de los datos.  </w:t>
      </w:r>
    </w:p>
    <w:p w14:paraId="2ECD28CA" w14:textId="1ECF67CB" w:rsidR="006F7E7E" w:rsidRPr="005B24FF" w:rsidRDefault="002D6C0F" w:rsidP="002D6C0F">
      <w:pPr>
        <w:pStyle w:val="Prrafocomn"/>
        <w:rPr>
          <w:rFonts w:eastAsia="Calibri"/>
          <w:lang w:val="es-AR" w:eastAsia="en-US"/>
        </w:rPr>
      </w:pPr>
      <w:r w:rsidRPr="002D6C0F">
        <w:rPr>
          <w:lang w:val="es-AR" w:eastAsia="en-US"/>
        </w:rPr>
        <w:t>Este estudio forma parte del proyecto MATE (Estudio sobre Marihuana, Alcohol y Tabaco en Escuelas) que estudia el consumo de sustancias en preadolescentes y adolescentes de Córdoba, Argentina. La muestra final quedó conformada por 974 participantes de entre 11 a 16 años (</w:t>
      </w:r>
      <w:r w:rsidRPr="002D6C0F">
        <w:rPr>
          <w:i/>
          <w:iCs/>
          <w:lang w:val="es-AR" w:eastAsia="en-US"/>
        </w:rPr>
        <w:t>M</w:t>
      </w:r>
      <w:r w:rsidRPr="002D6C0F">
        <w:rPr>
          <w:lang w:val="es-AR" w:eastAsia="en-US"/>
        </w:rPr>
        <w:t xml:space="preserve"> edad = 13.30 ± 0.955; 54.5% mujeres; 56.5% preadolescentes).  </w:t>
      </w:r>
    </w:p>
    <w:p w14:paraId="42256443" w14:textId="58F839EC" w:rsidR="005B24FF" w:rsidRPr="007B10C2" w:rsidRDefault="005B24FF" w:rsidP="005B24FF">
      <w:pPr>
        <w:pStyle w:val="SubtituloInterno"/>
        <w:rPr>
          <w:lang w:val="es-AR"/>
        </w:rPr>
      </w:pPr>
      <w:r w:rsidRPr="007B10C2">
        <w:rPr>
          <w:lang w:val="es-AR"/>
        </w:rPr>
        <w:t>Materiales</w:t>
      </w:r>
    </w:p>
    <w:p w14:paraId="35A65F0C" w14:textId="77B8EA5C" w:rsidR="002D6C0F" w:rsidRPr="000320FE" w:rsidRDefault="002D6C0F" w:rsidP="000320FE">
      <w:pPr>
        <w:pStyle w:val="Prrafocomn"/>
        <w:ind w:firstLine="0"/>
        <w:rPr>
          <w:i/>
          <w:iCs/>
          <w:lang w:val="es-AR" w:eastAsia="en-US"/>
        </w:rPr>
      </w:pPr>
      <w:r w:rsidRPr="000320FE">
        <w:rPr>
          <w:i/>
          <w:iCs/>
          <w:lang w:val="es-AR" w:eastAsia="en-US"/>
        </w:rPr>
        <w:t xml:space="preserve">Escalas de </w:t>
      </w:r>
      <w:proofErr w:type="spellStart"/>
      <w:r w:rsidRPr="000320FE">
        <w:rPr>
          <w:i/>
          <w:iCs/>
          <w:lang w:val="es-AR" w:eastAsia="en-US"/>
        </w:rPr>
        <w:t>auto-reporte</w:t>
      </w:r>
      <w:proofErr w:type="spellEnd"/>
    </w:p>
    <w:p w14:paraId="4A99180A" w14:textId="77777777" w:rsidR="002D6C0F" w:rsidRPr="002D6C0F" w:rsidRDefault="002D6C0F" w:rsidP="002D6C0F">
      <w:pPr>
        <w:pStyle w:val="Prrafocomn"/>
        <w:rPr>
          <w:lang w:val="es-AR" w:eastAsia="en-US"/>
        </w:rPr>
      </w:pPr>
      <w:r w:rsidRPr="002D6C0F">
        <w:rPr>
          <w:i/>
          <w:iCs/>
          <w:lang w:val="es-AR" w:eastAsia="en-US"/>
        </w:rPr>
        <w:t>Cuestionario de Uso de Alcohol.</w:t>
      </w:r>
      <w:r w:rsidRPr="002D6C0F">
        <w:rPr>
          <w:lang w:val="es-AR" w:eastAsia="en-US"/>
        </w:rPr>
        <w:t xml:space="preserve"> Se utilizaron preguntas similares a las utilizadas por Pilatti et al. (2013). Los participantes reportaron la ocurrencia (0= no; 1= sí) de consumo de alcohol alguna vez en la vida y durante el último año. Se utilizaron tres preguntas para indagar las dos bebidas alcohólicas de mayor consumo: 1- tipo (por ej. cerveza, vino, ron), 2- frecuencia de consumo de alcohol durante el último año (desde 0= no consumí en el último año hasta 12= cuatro veces por semana o más) y 3- cantidad de vasos de bebidas con alcohol consumidos en una misma ocasión. A partir de la graduación alcohólica de cada bebida, se determinaron los gramos de alcohol puro consumidos por ocasión de consumo. Asimismo, se midió la ocurrencia </w:t>
      </w:r>
      <w:r w:rsidRPr="002D6C0F">
        <w:rPr>
          <w:lang w:val="es-AR" w:eastAsia="en-US"/>
        </w:rPr>
        <w:lastRenderedPageBreak/>
        <w:t xml:space="preserve">(0= no; 1= sí) y frecuencia (desde 0= no consumí en el último año hasta 12= cuatro veces por semana o más) del CEEA. Se tomaron como referencia los valores establecidos por la NIAAA (2017): para mujeres de entre 9-17 años: ≥ 3 UEA (i.e., 14 gramos); para hombres: 9-13 años: ≥ 3 UEA, 14-15 años: ≥ 4 UEA y 16-17 años: ≥ 5 UEA. La frecuencia de consumo de alcohol y de CEEA, variables ordinales, fueron transformadas en variables continuas (e.g., 1= una vez al mes se recodificó en 12 días).     </w:t>
      </w:r>
    </w:p>
    <w:p w14:paraId="6E3C18D0" w14:textId="77777777" w:rsidR="002D6C0F" w:rsidRPr="002D6C0F" w:rsidRDefault="002D6C0F" w:rsidP="002D6C0F">
      <w:pPr>
        <w:pStyle w:val="Prrafocomn"/>
        <w:rPr>
          <w:lang w:val="es-AR" w:eastAsia="en-US"/>
        </w:rPr>
      </w:pPr>
      <w:r w:rsidRPr="002D6C0F">
        <w:rPr>
          <w:i/>
          <w:iCs/>
          <w:lang w:val="es-AR" w:eastAsia="en-US"/>
        </w:rPr>
        <w:t>Escala de Impulsividad UPPS-P para niños y adolescentes.</w:t>
      </w:r>
      <w:r w:rsidRPr="002D6C0F">
        <w:rPr>
          <w:lang w:val="es-AR" w:eastAsia="en-US"/>
        </w:rPr>
        <w:t xml:space="preserve"> Se utilizó la versión adaptada al español (</w:t>
      </w:r>
      <w:proofErr w:type="spellStart"/>
      <w:r w:rsidRPr="002D6C0F">
        <w:rPr>
          <w:lang w:val="es-AR" w:eastAsia="en-US"/>
        </w:rPr>
        <w:t>Caneto</w:t>
      </w:r>
      <w:proofErr w:type="spellEnd"/>
      <w:r w:rsidRPr="002D6C0F">
        <w:rPr>
          <w:lang w:val="es-AR" w:eastAsia="en-US"/>
        </w:rPr>
        <w:t xml:space="preserve"> et al., 2015) de la UPPS-P-Child (Gunn y Smith, 2010). Este instrumento está compuesto por 40 ítems diseñados para medir cinco dimensiones diferenciales de la impulsividad (Urgencia positiva, Urgencia negativa, Perseverancia, Premeditación y Búsqueda de Sensaciones). Los participantes indicaron, en una escala de cuatro puntos (desde 1= nada parecido a mi hasta 4= muy parecido a mi), en qué medida cada uno de los ítems describía su comportamiento. Las cinco dimensiones cuentan con aceptables valores de confiabilidad tanto en la adaptación al español (desde α = .73 hasta α = .89; </w:t>
      </w:r>
      <w:proofErr w:type="spellStart"/>
      <w:r w:rsidRPr="002D6C0F">
        <w:rPr>
          <w:lang w:val="es-AR" w:eastAsia="en-US"/>
        </w:rPr>
        <w:t>Caneto</w:t>
      </w:r>
      <w:proofErr w:type="spellEnd"/>
      <w:r w:rsidRPr="002D6C0F">
        <w:rPr>
          <w:lang w:val="es-AR" w:eastAsia="en-US"/>
        </w:rPr>
        <w:t xml:space="preserve"> et al., 2020) como en presente estudio (preadolescentes: desde α = .79 hasta α = .90; adolescentes: desde α = .78 hasta α = .91).</w:t>
      </w:r>
    </w:p>
    <w:p w14:paraId="1290D3F5" w14:textId="77777777" w:rsidR="002D6C0F" w:rsidRPr="002D6C0F" w:rsidRDefault="002D6C0F" w:rsidP="002D6C0F">
      <w:pPr>
        <w:pStyle w:val="Prrafocomn"/>
        <w:rPr>
          <w:lang w:val="es-AR" w:eastAsia="en-US"/>
        </w:rPr>
      </w:pPr>
    </w:p>
    <w:p w14:paraId="59202329" w14:textId="77777777" w:rsidR="002D6C0F" w:rsidRPr="000320FE" w:rsidRDefault="002D6C0F" w:rsidP="000320FE">
      <w:pPr>
        <w:pStyle w:val="Prrafocomn"/>
        <w:ind w:firstLine="0"/>
        <w:rPr>
          <w:i/>
          <w:iCs/>
          <w:lang w:val="es-AR" w:eastAsia="en-US"/>
        </w:rPr>
      </w:pPr>
      <w:r w:rsidRPr="000320FE">
        <w:rPr>
          <w:i/>
          <w:iCs/>
          <w:lang w:val="es-AR" w:eastAsia="en-US"/>
        </w:rPr>
        <w:t xml:space="preserve">Pruebas informatizadas </w:t>
      </w:r>
    </w:p>
    <w:p w14:paraId="40F1CED6" w14:textId="77777777" w:rsidR="002D6C0F" w:rsidRPr="002D6C0F" w:rsidRDefault="002D6C0F" w:rsidP="002D6C0F">
      <w:pPr>
        <w:pStyle w:val="Prrafocomn"/>
        <w:rPr>
          <w:lang w:val="es-AR" w:eastAsia="en-US"/>
        </w:rPr>
      </w:pPr>
      <w:r w:rsidRPr="002D6C0F">
        <w:rPr>
          <w:i/>
          <w:iCs/>
          <w:lang w:val="es-AR" w:eastAsia="en-US"/>
        </w:rPr>
        <w:t>Prueba de Riesgo Analógico con Globos para Jóvenes.</w:t>
      </w:r>
      <w:r w:rsidRPr="002D6C0F">
        <w:rPr>
          <w:lang w:val="es-AR" w:eastAsia="en-US"/>
        </w:rPr>
        <w:t xml:space="preserve"> Esta prueba computarizada evalúa la conducta de riesgo en la toma de decisiones (</w:t>
      </w:r>
      <w:proofErr w:type="spellStart"/>
      <w:r w:rsidRPr="002D6C0F">
        <w:rPr>
          <w:lang w:val="es-AR" w:eastAsia="en-US"/>
        </w:rPr>
        <w:t>Lejuez</w:t>
      </w:r>
      <w:proofErr w:type="spellEnd"/>
      <w:r w:rsidRPr="002D6C0F">
        <w:rPr>
          <w:lang w:val="es-AR" w:eastAsia="en-US"/>
        </w:rPr>
        <w:t xml:space="preserve"> et al., 2003). La tarea consiste en 30 ensayos en los cuales se debe “inflar” un globo haciendo clic con el ratón. Existe la posibilidad, a una tasa desconocida para el participante, de que el globo explote. Cada ensayo termina cuando el participante elige guardar los puntos acumulados (i.e. en cada inflada se ganan 5 puntos), o cuando el globo explota, lo que conlleva la pérdida de los puntos acumulados. Consideramos como variable dependiente el promedio ajustado de infladas (i.e., el promedio de infladas realizadas en los globos que no explotaron; </w:t>
      </w:r>
      <w:proofErr w:type="spellStart"/>
      <w:r w:rsidRPr="002D6C0F">
        <w:rPr>
          <w:lang w:val="es-AR" w:eastAsia="en-US"/>
        </w:rPr>
        <w:t>Lejuez</w:t>
      </w:r>
      <w:proofErr w:type="spellEnd"/>
      <w:r w:rsidRPr="002D6C0F">
        <w:rPr>
          <w:lang w:val="es-AR" w:eastAsia="en-US"/>
        </w:rPr>
        <w:t xml:space="preserve"> et al., 2003). </w:t>
      </w:r>
    </w:p>
    <w:p w14:paraId="1798B3A6" w14:textId="77777777" w:rsidR="002D6C0F" w:rsidRPr="002D6C0F" w:rsidRDefault="002D6C0F" w:rsidP="002D6C0F">
      <w:pPr>
        <w:pStyle w:val="Prrafocomn"/>
        <w:rPr>
          <w:lang w:val="es-AR" w:eastAsia="en-US"/>
        </w:rPr>
      </w:pPr>
      <w:r w:rsidRPr="002D6C0F">
        <w:rPr>
          <w:i/>
          <w:iCs/>
          <w:lang w:val="es-AR" w:eastAsia="en-US"/>
        </w:rPr>
        <w:t xml:space="preserve">Prueba Go/No-Go. </w:t>
      </w:r>
      <w:r w:rsidRPr="002D6C0F">
        <w:rPr>
          <w:lang w:val="es-AR" w:eastAsia="en-US"/>
        </w:rPr>
        <w:t xml:space="preserve">Se utilizó la versión desarrollada por </w:t>
      </w:r>
      <w:proofErr w:type="spellStart"/>
      <w:r w:rsidRPr="002D6C0F">
        <w:rPr>
          <w:lang w:val="es-AR" w:eastAsia="en-US"/>
        </w:rPr>
        <w:t>Bezdjian</w:t>
      </w:r>
      <w:proofErr w:type="spellEnd"/>
      <w:r w:rsidRPr="002D6C0F">
        <w:rPr>
          <w:lang w:val="es-AR" w:eastAsia="en-US"/>
        </w:rPr>
        <w:t xml:space="preserve"> et al. (2009) de la Go/No-Go </w:t>
      </w:r>
      <w:proofErr w:type="spellStart"/>
      <w:r w:rsidRPr="002D6C0F">
        <w:rPr>
          <w:lang w:val="es-AR" w:eastAsia="en-US"/>
        </w:rPr>
        <w:t>Task</w:t>
      </w:r>
      <w:proofErr w:type="spellEnd"/>
      <w:r w:rsidRPr="002D6C0F">
        <w:rPr>
          <w:lang w:val="es-AR" w:eastAsia="en-US"/>
        </w:rPr>
        <w:t xml:space="preserve">. Esta prueba informa sobre la capacidad de inhibición de respuesta y la falta de atención, dos aspectos de la impulsividad. La tarea consiste en hacer clic con el ratón cuando aparece un estímulo “Go”, el cual se presenta un 80% de las veces, y no hacer clic, cuando se presenta un estímulo “No-Go”. El experimento consta de dos fases, en la fase 1 el estímulo Go es la letra P y el estímulo No-Go es la letra R y la presentación de ambos durante todo el experimento es aleatoria. En la segunda fase del experimento se invierten los estímulos, siendo la letra R el estímulo Go y la letra P el estímulo No-Go. La relativa frecuencia de los ensayos </w:t>
      </w:r>
      <w:r w:rsidRPr="002D6C0F">
        <w:rPr>
          <w:lang w:val="es-AR" w:eastAsia="en-US"/>
        </w:rPr>
        <w:lastRenderedPageBreak/>
        <w:t>go en comparación con los No-Go, crea una tendencia a responder sobre todos los ensayos, la cual debe ser inhibida en los ensayos No-Go. Las medidas dependientes fueron: 1- el número de errores por comisión (a partir de respuestas erróneas ante el estímulo No-Go donde el participante debía inhibir su respuesta) y 2- los errores por omisión (indica falta de atención, cuando el participante no responde ante un estímulo Go).</w:t>
      </w:r>
    </w:p>
    <w:p w14:paraId="7BEB0B38" w14:textId="58309ADB" w:rsidR="005B24FF" w:rsidRPr="005B24FF" w:rsidRDefault="002D6C0F" w:rsidP="002D6C0F">
      <w:pPr>
        <w:pStyle w:val="Prrafocomn"/>
        <w:rPr>
          <w:lang w:val="es-AR" w:eastAsia="en-US"/>
        </w:rPr>
      </w:pPr>
      <w:r w:rsidRPr="002D6C0F">
        <w:rPr>
          <w:i/>
          <w:iCs/>
          <w:lang w:val="es-AR" w:eastAsia="en-US"/>
        </w:rPr>
        <w:t>Prueba de Ordenamiento de Cartas de Wisconsin.</w:t>
      </w:r>
      <w:r w:rsidRPr="002D6C0F">
        <w:rPr>
          <w:lang w:val="es-AR" w:eastAsia="en-US"/>
        </w:rPr>
        <w:t xml:space="preserve"> Se utilizó la versión computarizada de la Wisconsin </w:t>
      </w:r>
      <w:proofErr w:type="spellStart"/>
      <w:r w:rsidRPr="002D6C0F">
        <w:rPr>
          <w:lang w:val="es-AR" w:eastAsia="en-US"/>
        </w:rPr>
        <w:t>Card</w:t>
      </w:r>
      <w:proofErr w:type="spellEnd"/>
      <w:r w:rsidRPr="002D6C0F">
        <w:rPr>
          <w:lang w:val="es-AR" w:eastAsia="en-US"/>
        </w:rPr>
        <w:t xml:space="preserve"> </w:t>
      </w:r>
      <w:proofErr w:type="spellStart"/>
      <w:r w:rsidRPr="002D6C0F">
        <w:rPr>
          <w:lang w:val="es-AR" w:eastAsia="en-US"/>
        </w:rPr>
        <w:t>Sorting</w:t>
      </w:r>
      <w:proofErr w:type="spellEnd"/>
      <w:r w:rsidRPr="002D6C0F">
        <w:rPr>
          <w:lang w:val="es-AR" w:eastAsia="en-US"/>
        </w:rPr>
        <w:t xml:space="preserve"> Test (Grant &amp; </w:t>
      </w:r>
      <w:proofErr w:type="spellStart"/>
      <w:r w:rsidRPr="002D6C0F">
        <w:rPr>
          <w:lang w:val="es-AR" w:eastAsia="en-US"/>
        </w:rPr>
        <w:t>Berg</w:t>
      </w:r>
      <w:proofErr w:type="spellEnd"/>
      <w:r w:rsidRPr="002D6C0F">
        <w:rPr>
          <w:lang w:val="es-AR" w:eastAsia="en-US"/>
        </w:rPr>
        <w:t>, 1948). Esta prueba mide funciones ejecutivas, como resolución de problemas, planeamiento, probar hipótesis, memoria de trabajo, identificación visual y respuesta a retroalimentación externa (Heaton et al., 1993). La versión electrónica de esta prueba cuenta con 128 cartas. Se le pide al participante que las emparejen en función de cuatro mazos de referencia. Luego de diez clasificaciones correctas consecutivas se cambia el criterio de clasificación (i.e., color, forma o número), sin previa advertencia. El procedimiento continúa hasta que se han completado 6 categorías correctas o hasta que se han colocado las 128 cartas. La variable dependiente fue la cantidad de errores perseverativos (i.e., cuando el participante continúa clasificando las cartas con el criterio de la categoría anterior a pesar de recibir retroalimentación sobre el error; Heaton et al., 1993).</w:t>
      </w:r>
    </w:p>
    <w:p w14:paraId="7F1F03A6" w14:textId="70FDDF68" w:rsidR="005B24FF" w:rsidRPr="005B24FF" w:rsidRDefault="005B24FF" w:rsidP="007E3B8D">
      <w:pPr>
        <w:pStyle w:val="SubtituloInterno"/>
        <w:rPr>
          <w:lang w:val="es-AR"/>
        </w:rPr>
      </w:pPr>
      <w:r w:rsidRPr="005B24FF">
        <w:rPr>
          <w:lang w:val="es-AR"/>
        </w:rPr>
        <w:t>Procedimientos</w:t>
      </w:r>
    </w:p>
    <w:p w14:paraId="0706BB52" w14:textId="0142758E" w:rsidR="005B24FF" w:rsidRDefault="002D6C0F" w:rsidP="005B24FF">
      <w:pPr>
        <w:pStyle w:val="Prrafocomn"/>
        <w:rPr>
          <w:lang w:val="es-AR"/>
        </w:rPr>
      </w:pPr>
      <w:r w:rsidRPr="002D6C0F">
        <w:rPr>
          <w:lang w:val="es-AR"/>
        </w:rPr>
        <w:t xml:space="preserve">La recolección de datos se llevó a cabo en la sala de computación de cada colegio. Los datos fueron recolectados en grupos de, aproximadamente, 15 alumnos donde cada participante completó los cuestionarios y pruebas de manera individual, en computadoras con divisorios adecuadamente preparados para resguardar la privacidad de cada participante. En primer lugar, los participantes completaron tres pruebas computarizadas que miden inhibición de respuesta, toma de riesgos y flexibilidad cognitiva utilizando el software gratuito </w:t>
      </w:r>
      <w:proofErr w:type="spellStart"/>
      <w:r w:rsidRPr="004C1657">
        <w:rPr>
          <w:i/>
          <w:iCs/>
          <w:lang w:val="es-AR"/>
        </w:rPr>
        <w:t>The</w:t>
      </w:r>
      <w:proofErr w:type="spellEnd"/>
      <w:r w:rsidRPr="004C1657">
        <w:rPr>
          <w:i/>
          <w:iCs/>
          <w:lang w:val="es-AR"/>
        </w:rPr>
        <w:t xml:space="preserve"> </w:t>
      </w:r>
      <w:proofErr w:type="spellStart"/>
      <w:r w:rsidRPr="004C1657">
        <w:rPr>
          <w:i/>
          <w:iCs/>
          <w:lang w:val="es-AR"/>
        </w:rPr>
        <w:t>Psychology</w:t>
      </w:r>
      <w:proofErr w:type="spellEnd"/>
      <w:r w:rsidRPr="004C1657">
        <w:rPr>
          <w:i/>
          <w:iCs/>
          <w:lang w:val="es-AR"/>
        </w:rPr>
        <w:t xml:space="preserve"> </w:t>
      </w:r>
      <w:proofErr w:type="spellStart"/>
      <w:r w:rsidRPr="004C1657">
        <w:rPr>
          <w:i/>
          <w:iCs/>
          <w:lang w:val="es-AR"/>
        </w:rPr>
        <w:t>Experiment</w:t>
      </w:r>
      <w:proofErr w:type="spellEnd"/>
      <w:r w:rsidRPr="004C1657">
        <w:rPr>
          <w:i/>
          <w:iCs/>
          <w:lang w:val="es-AR"/>
        </w:rPr>
        <w:t xml:space="preserve"> </w:t>
      </w:r>
      <w:proofErr w:type="spellStart"/>
      <w:r w:rsidRPr="004C1657">
        <w:rPr>
          <w:i/>
          <w:iCs/>
          <w:lang w:val="es-AR"/>
        </w:rPr>
        <w:t>Building</w:t>
      </w:r>
      <w:proofErr w:type="spellEnd"/>
      <w:r w:rsidRPr="004C1657">
        <w:rPr>
          <w:i/>
          <w:iCs/>
          <w:lang w:val="es-AR"/>
        </w:rPr>
        <w:t xml:space="preserve"> </w:t>
      </w:r>
      <w:proofErr w:type="spellStart"/>
      <w:r w:rsidRPr="004C1657">
        <w:rPr>
          <w:i/>
          <w:iCs/>
          <w:lang w:val="es-AR"/>
        </w:rPr>
        <w:t>Language</w:t>
      </w:r>
      <w:proofErr w:type="spellEnd"/>
      <w:r w:rsidRPr="004C1657">
        <w:rPr>
          <w:i/>
          <w:iCs/>
          <w:lang w:val="es-AR"/>
        </w:rPr>
        <w:t xml:space="preserve"> Test </w:t>
      </w:r>
      <w:proofErr w:type="spellStart"/>
      <w:r w:rsidRPr="004C1657">
        <w:rPr>
          <w:i/>
          <w:iCs/>
          <w:lang w:val="es-AR"/>
        </w:rPr>
        <w:t>Battery</w:t>
      </w:r>
      <w:proofErr w:type="spellEnd"/>
      <w:r w:rsidRPr="002D6C0F">
        <w:rPr>
          <w:lang w:val="es-AR"/>
        </w:rPr>
        <w:t xml:space="preserve"> (Mueller &amp; Piper, 2014). Posteriormente, y luego de un breve descanso, completaron una encuesta online (</w:t>
      </w:r>
      <w:proofErr w:type="spellStart"/>
      <w:r w:rsidRPr="004C1657">
        <w:rPr>
          <w:i/>
          <w:iCs/>
          <w:lang w:val="es-AR"/>
        </w:rPr>
        <w:t>LimeSurvey</w:t>
      </w:r>
      <w:proofErr w:type="spellEnd"/>
      <w:r w:rsidRPr="002D6C0F">
        <w:rPr>
          <w:lang w:val="es-AR"/>
        </w:rPr>
        <w:t>) sobre consumo de alcohol e impulsividad rasgo. Para poder unificar los datos de la encuesta y de las pruebas, resguardando la confidencialidad, a cada participante se le asignó un código alfanumérico. La administración total (encuesta y pruebas computarizadas) tomó 80 minutos aproximadamente y los datos se recogieron en un período de cuatro meses (agosto a noviembre de 2018).</w:t>
      </w:r>
    </w:p>
    <w:p w14:paraId="6DA48174" w14:textId="5B073A2C" w:rsidR="004C1657" w:rsidRDefault="004C1657" w:rsidP="005B24FF">
      <w:pPr>
        <w:pStyle w:val="Prrafocomn"/>
        <w:rPr>
          <w:lang w:val="es-AR"/>
        </w:rPr>
      </w:pPr>
    </w:p>
    <w:p w14:paraId="3F4F991A" w14:textId="6BB16298" w:rsidR="004C1657" w:rsidRDefault="004C1657" w:rsidP="005B24FF">
      <w:pPr>
        <w:pStyle w:val="Prrafocomn"/>
        <w:rPr>
          <w:lang w:val="es-AR"/>
        </w:rPr>
      </w:pPr>
    </w:p>
    <w:p w14:paraId="0F204D7E" w14:textId="77777777" w:rsidR="004C1657" w:rsidRPr="005B24FF" w:rsidRDefault="004C1657" w:rsidP="005B24FF">
      <w:pPr>
        <w:pStyle w:val="Prrafocomn"/>
        <w:rPr>
          <w:lang w:val="es-AR"/>
        </w:rPr>
      </w:pPr>
    </w:p>
    <w:p w14:paraId="0F4ED851" w14:textId="4BC03188" w:rsidR="007C3C14" w:rsidRPr="005B24FF" w:rsidRDefault="005B24FF" w:rsidP="007C3C14">
      <w:pPr>
        <w:pStyle w:val="SubtituloInterno"/>
        <w:rPr>
          <w:lang w:val="es-AR"/>
        </w:rPr>
      </w:pPr>
      <w:r>
        <w:rPr>
          <w:lang w:val="es-AR"/>
        </w:rPr>
        <w:lastRenderedPageBreak/>
        <w:t>Análisis de los datos</w:t>
      </w:r>
    </w:p>
    <w:p w14:paraId="7627EC2D" w14:textId="489CB503" w:rsidR="00076F0A" w:rsidRPr="005B24FF" w:rsidRDefault="002D6C0F" w:rsidP="002D6C0F">
      <w:pPr>
        <w:pStyle w:val="Prrafocomn"/>
        <w:rPr>
          <w:lang w:val="es-AR"/>
        </w:rPr>
      </w:pPr>
      <w:r w:rsidRPr="002D6C0F">
        <w:rPr>
          <w:lang w:val="es-AR"/>
        </w:rPr>
        <w:t xml:space="preserve">Se calcularon porcentajes, medias y desviación estándar (según nivel de medición de las variables) para describir los indicadores de consumo de alcohol, impulsividad, toma de riesgos, control inhibitorio, falta de atención y flexibilidad cognitiva en función de los grupos de edad (i.e., preadolescentes [11-13 años] y adolescentes [14-16 años]). Para analizar potenciales diferencias significativas en dichos indicadores (de consumo de alcohol y factores de riesgo) entre preadolescentes y adolescentes se utilizó el estadístico Chi Cuadrado (en variables nominales) y la prueba </w:t>
      </w:r>
      <w:r w:rsidRPr="004C1657">
        <w:rPr>
          <w:i/>
          <w:iCs/>
          <w:lang w:val="es-AR"/>
        </w:rPr>
        <w:t>t</w:t>
      </w:r>
      <w:r w:rsidRPr="002D6C0F">
        <w:rPr>
          <w:lang w:val="es-AR"/>
        </w:rPr>
        <w:t xml:space="preserve"> de </w:t>
      </w:r>
      <w:proofErr w:type="spellStart"/>
      <w:r w:rsidRPr="002D6C0F">
        <w:rPr>
          <w:lang w:val="es-AR"/>
        </w:rPr>
        <w:t>Student</w:t>
      </w:r>
      <w:proofErr w:type="spellEnd"/>
      <w:r w:rsidRPr="002D6C0F">
        <w:rPr>
          <w:lang w:val="es-AR"/>
        </w:rPr>
        <w:t xml:space="preserve"> (en variables continuas).</w:t>
      </w:r>
      <w:r w:rsidR="00EA63BE">
        <w:rPr>
          <w:lang w:val="es-AR"/>
        </w:rPr>
        <w:t xml:space="preserve"> P</w:t>
      </w:r>
      <w:r w:rsidRPr="002D6C0F">
        <w:rPr>
          <w:lang w:val="es-AR"/>
        </w:rPr>
        <w:t>ara examinar la relación entre el consumo de alcohol y factores de riesgo (impulsividad, toma de riesgos, control inhibitorio, falta de atención y flexibilidad cognitiva) se utilizó el coeficiente de correlación de Pearson. Los análisis se realizaron separadamente para cada grupo de edad. Finalmente, mediante un análisis de regresión múltiple, realizados separadamente en preadolescentes y adolescentes, se examinó la utilidad de las variables independientes (i.e., impulsividad, toma de riesgos, control inhibitorio, falta de atención y flexibilidad cognitiva) para explicar la frecuencia de la bebida alcohólica de mayor consumo. Todos los análisis se realizaron con el programa estadístico SPSS 23.0. Se empleó un alfa de .05.</w:t>
      </w:r>
    </w:p>
    <w:p w14:paraId="4E1AE28B" w14:textId="77777777" w:rsidR="005B24FF" w:rsidRPr="005B24FF" w:rsidRDefault="005B24FF" w:rsidP="005B24FF">
      <w:pPr>
        <w:pStyle w:val="SubtituloInterno"/>
        <w:rPr>
          <w:lang w:val="es-ES_tradnl"/>
        </w:rPr>
      </w:pPr>
      <w:r w:rsidRPr="005B24FF">
        <w:rPr>
          <w:lang w:val="es-ES_tradnl"/>
        </w:rPr>
        <w:t>Consideraciones éticas</w:t>
      </w:r>
    </w:p>
    <w:p w14:paraId="336975B6" w14:textId="6AE28191" w:rsidR="00076F0A" w:rsidRPr="005B24FF" w:rsidRDefault="002D6C0F" w:rsidP="00CE0EB6">
      <w:pPr>
        <w:pStyle w:val="Prrafocomn"/>
        <w:rPr>
          <w:lang w:val="es-AR"/>
        </w:rPr>
      </w:pPr>
      <w:r w:rsidRPr="002D6C0F">
        <w:rPr>
          <w:lang w:val="es-ES_tradnl"/>
        </w:rPr>
        <w:t>A lo largo de todo el estudio se respetaron los lineamientos éticos para la investigación con seres humanos establecidos por la Asociación Psicológica Americana (2016), la declaración de Helsinki de la Asociación Médica Mundial (2017) y la Ley Nacional Argentina 25.326 de Protección de los Datos Personales (2000</w:t>
      </w:r>
      <w:r w:rsidR="00FB1FFA">
        <w:rPr>
          <w:lang w:val="es-ES_tradnl"/>
        </w:rPr>
        <w:t>),</w:t>
      </w:r>
      <w:r w:rsidR="00CE0EB6">
        <w:rPr>
          <w:lang w:val="es-ES_tradnl"/>
        </w:rPr>
        <w:t xml:space="preserve"> </w:t>
      </w:r>
      <w:r w:rsidR="00CE0EB6" w:rsidRPr="00CE0EB6">
        <w:rPr>
          <w:lang w:val="es-ES_tradnl"/>
        </w:rPr>
        <w:t>a</w:t>
      </w:r>
      <w:r w:rsidR="005B24FF" w:rsidRPr="00CE0EB6">
        <w:rPr>
          <w:lang w:val="es-ES_tradnl"/>
        </w:rPr>
        <w:t xml:space="preserve">sí como por lo establecido en la Declaración Universal de Principios Éticos para Psicólogas y Psicólogos (IAAP &amp; </w:t>
      </w:r>
      <w:proofErr w:type="spellStart"/>
      <w:r w:rsidR="005B24FF" w:rsidRPr="00CE0EB6">
        <w:rPr>
          <w:lang w:val="es-ES_tradnl"/>
        </w:rPr>
        <w:t>IUPsyS</w:t>
      </w:r>
      <w:proofErr w:type="spellEnd"/>
      <w:r w:rsidR="005B24FF" w:rsidRPr="00CE0EB6">
        <w:rPr>
          <w:lang w:val="es-ES_tradnl"/>
        </w:rPr>
        <w:t>, 2008), las Pautas Éticas Internacionales para la Investigación Biomédica en seres humanos (CIOMS, OMS &amp; OPS, 2016) y las declaraciones de la S</w:t>
      </w:r>
      <w:r w:rsidR="00CE0EB6">
        <w:rPr>
          <w:lang w:val="es-ES_tradnl"/>
        </w:rPr>
        <w:t xml:space="preserve">ociedad </w:t>
      </w:r>
      <w:r w:rsidR="005B24FF" w:rsidRPr="00CE0EB6">
        <w:rPr>
          <w:lang w:val="es-ES_tradnl"/>
        </w:rPr>
        <w:t>I</w:t>
      </w:r>
      <w:r w:rsidR="00CE0EB6">
        <w:rPr>
          <w:lang w:val="es-ES_tradnl"/>
        </w:rPr>
        <w:t xml:space="preserve">nteramericana de </w:t>
      </w:r>
      <w:r w:rsidR="005B24FF" w:rsidRPr="00CE0EB6">
        <w:rPr>
          <w:lang w:val="es-ES_tradnl"/>
        </w:rPr>
        <w:t>P</w:t>
      </w:r>
      <w:r w:rsidR="00CE0EB6">
        <w:rPr>
          <w:lang w:val="es-ES_tradnl"/>
        </w:rPr>
        <w:t>sicología</w:t>
      </w:r>
      <w:r w:rsidR="005B24FF" w:rsidRPr="00CE0EB6">
        <w:rPr>
          <w:lang w:val="es-ES_tradnl"/>
        </w:rPr>
        <w:t xml:space="preserve"> vigentes</w:t>
      </w:r>
      <w:r w:rsidR="005B24FF" w:rsidRPr="00CE0EB6">
        <w:rPr>
          <w:lang w:val="es-AR"/>
        </w:rPr>
        <w:t xml:space="preserve"> al respecto del accionar ético (SIP, 1978, 2008).</w:t>
      </w:r>
    </w:p>
    <w:p w14:paraId="61754C2A" w14:textId="04F11712"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7B3D04E9" w14:textId="77777777" w:rsidR="007B64B7" w:rsidRPr="007B64B7" w:rsidRDefault="007B64B7" w:rsidP="007B64B7">
      <w:pPr>
        <w:pStyle w:val="Prrafocomn"/>
        <w:ind w:firstLine="0"/>
        <w:rPr>
          <w:b/>
          <w:bCs/>
          <w:i/>
          <w:iCs/>
          <w:lang w:val="es-AR"/>
        </w:rPr>
      </w:pPr>
      <w:r w:rsidRPr="007B64B7">
        <w:rPr>
          <w:b/>
          <w:bCs/>
          <w:i/>
          <w:iCs/>
          <w:lang w:val="es-AR"/>
        </w:rPr>
        <w:t>Descriptivos</w:t>
      </w:r>
    </w:p>
    <w:p w14:paraId="6EF267D6" w14:textId="540D2135" w:rsidR="007B64B7" w:rsidRPr="000320FE" w:rsidRDefault="007B64B7" w:rsidP="000320FE">
      <w:pPr>
        <w:pStyle w:val="Prrafocomn"/>
        <w:ind w:firstLine="0"/>
        <w:rPr>
          <w:i/>
          <w:iCs/>
          <w:lang w:val="es-AR"/>
        </w:rPr>
      </w:pPr>
      <w:r w:rsidRPr="000320FE">
        <w:rPr>
          <w:i/>
          <w:iCs/>
          <w:lang w:val="es-AR"/>
        </w:rPr>
        <w:t>Consumo de alcohol.</w:t>
      </w:r>
    </w:p>
    <w:p w14:paraId="483F1CE7" w14:textId="036FB4C8" w:rsidR="007B64B7" w:rsidRDefault="007B64B7" w:rsidP="00AE20AC">
      <w:pPr>
        <w:pStyle w:val="Prrafocomn"/>
        <w:rPr>
          <w:lang w:val="es-AR"/>
        </w:rPr>
      </w:pPr>
      <w:r w:rsidRPr="007B64B7">
        <w:rPr>
          <w:lang w:val="es-AR"/>
        </w:rPr>
        <w:tab/>
        <w:t xml:space="preserve">La Tabla 1 presenta indicadores de consumo de alcohol para la muestra total y en función de los grupos de edad (preadolescentes y adolescentes). Se observa que más de dos tercios de los preadolescentes consumieron alcohol alguna vez en la vida y que este porcentaje </w:t>
      </w:r>
      <w:r w:rsidRPr="007B64B7">
        <w:rPr>
          <w:lang w:val="es-AR"/>
        </w:rPr>
        <w:lastRenderedPageBreak/>
        <w:t>asciende a un 85% en el caso de los adolescentes. Asimismo, se observa que, entre los bebedores, los adolescentes consumieron casi el doble en cantidad y frecuencia que los preadolescentes (para ambas bebidas). Por ejemplo, considerando la bebida de mayor consumo, los más jóvenes consumieron, en promedio, unos 27.7 gramos de alcohol por ocasión de consumo con una frecuencia de 13 días en el último año. Es decir, consumen aproximadamente una vez por mes, unas dos medidas estándar de alcohol cada vez. En el caso de los más grandes estos valores ascienden a un consumo promedio de 53.8 gramos por ocasión (i.e., casi 4 medidas estándar) y una frecuencia de 23 días en los últimos 12 meses. El 13% de los preadolescentes y el 34% de los adolescentes presentó CEEA en el último año. En todos los casos, los adolescentes presentaron ocurrencia, frecuencia y cantidad de alcohol consumido significativamente más altas que los preadolescentes.</w:t>
      </w:r>
    </w:p>
    <w:p w14:paraId="6F770BA0" w14:textId="77777777" w:rsidR="00F26837" w:rsidRDefault="00F26837" w:rsidP="00AE20AC">
      <w:pPr>
        <w:pStyle w:val="Prrafocomn"/>
        <w:rPr>
          <w:lang w:val="es-AR"/>
        </w:rPr>
      </w:pPr>
    </w:p>
    <w:p w14:paraId="0C0E08A2" w14:textId="77777777" w:rsidR="007B64B7" w:rsidRPr="007B64B7" w:rsidRDefault="007B64B7" w:rsidP="007B64B7">
      <w:pPr>
        <w:spacing w:line="276" w:lineRule="auto"/>
        <w:ind w:right="707"/>
        <w:jc w:val="both"/>
        <w:rPr>
          <w:rFonts w:eastAsia="Calibri"/>
          <w:sz w:val="20"/>
          <w:szCs w:val="20"/>
          <w:lang w:val="es-AR" w:eastAsia="en-US"/>
        </w:rPr>
      </w:pPr>
      <w:r w:rsidRPr="007B64B7">
        <w:rPr>
          <w:rFonts w:eastAsia="Calibri"/>
          <w:sz w:val="20"/>
          <w:szCs w:val="20"/>
          <w:lang w:val="es-AR" w:eastAsia="en-US"/>
        </w:rPr>
        <w:t>Tabla 1.</w:t>
      </w:r>
    </w:p>
    <w:p w14:paraId="3DA4F84D" w14:textId="263972FD" w:rsidR="007B64B7" w:rsidRPr="007B64B7" w:rsidRDefault="007B64B7" w:rsidP="007B64B7">
      <w:pPr>
        <w:spacing w:line="276" w:lineRule="auto"/>
        <w:ind w:right="707"/>
        <w:jc w:val="both"/>
        <w:rPr>
          <w:rFonts w:eastAsia="Calibri"/>
          <w:i/>
          <w:sz w:val="20"/>
          <w:szCs w:val="20"/>
          <w:lang w:val="es-AR" w:eastAsia="en-US"/>
        </w:rPr>
      </w:pPr>
      <w:r w:rsidRPr="007B64B7">
        <w:rPr>
          <w:rFonts w:eastAsia="Calibri"/>
          <w:i/>
          <w:sz w:val="20"/>
          <w:szCs w:val="20"/>
          <w:lang w:val="es-AR" w:eastAsia="en-US"/>
        </w:rPr>
        <w:t>Indicadores de consumo de alcohol en preadolescentes y adolescentes.</w:t>
      </w:r>
    </w:p>
    <w:tbl>
      <w:tblPr>
        <w:tblStyle w:val="Tablaconcuadrcula1"/>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59"/>
        <w:gridCol w:w="2410"/>
        <w:gridCol w:w="2126"/>
        <w:gridCol w:w="851"/>
      </w:tblGrid>
      <w:tr w:rsidR="007B64B7" w:rsidRPr="007B64B7" w14:paraId="2E9F78BA" w14:textId="77777777" w:rsidTr="007B64B7">
        <w:trPr>
          <w:trHeight w:hRule="exact" w:val="472"/>
        </w:trPr>
        <w:tc>
          <w:tcPr>
            <w:tcW w:w="1843" w:type="dxa"/>
            <w:tcBorders>
              <w:top w:val="single" w:sz="4" w:space="0" w:color="auto"/>
              <w:bottom w:val="single" w:sz="4" w:space="0" w:color="auto"/>
            </w:tcBorders>
            <w:vAlign w:val="center"/>
          </w:tcPr>
          <w:p w14:paraId="7CD68985"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p>
        </w:tc>
        <w:tc>
          <w:tcPr>
            <w:tcW w:w="1559" w:type="dxa"/>
            <w:tcBorders>
              <w:top w:val="single" w:sz="4" w:space="0" w:color="auto"/>
              <w:bottom w:val="single" w:sz="4" w:space="0" w:color="auto"/>
            </w:tcBorders>
            <w:vAlign w:val="center"/>
          </w:tcPr>
          <w:p w14:paraId="4D66B491" w14:textId="77777777" w:rsidR="007B64B7" w:rsidRPr="007B64B7" w:rsidRDefault="007B64B7" w:rsidP="007B64B7">
            <w:pPr>
              <w:autoSpaceDE w:val="0"/>
              <w:autoSpaceDN w:val="0"/>
              <w:adjustRightInd w:val="0"/>
              <w:snapToGrid w:val="0"/>
              <w:spacing w:line="276" w:lineRule="auto"/>
              <w:jc w:val="center"/>
              <w:rPr>
                <w:rFonts w:eastAsia="Calibri"/>
                <w:bCs/>
                <w:color w:val="000000"/>
                <w:sz w:val="20"/>
                <w:szCs w:val="20"/>
                <w:lang w:val="es-AR" w:eastAsia="en-US"/>
              </w:rPr>
            </w:pPr>
            <w:r w:rsidRPr="007B64B7">
              <w:rPr>
                <w:rFonts w:eastAsia="Calibri"/>
                <w:bCs/>
                <w:color w:val="000000"/>
                <w:sz w:val="20"/>
                <w:szCs w:val="20"/>
                <w:lang w:val="es-AR" w:eastAsia="en-US"/>
              </w:rPr>
              <w:t>Total</w:t>
            </w:r>
          </w:p>
        </w:tc>
        <w:tc>
          <w:tcPr>
            <w:tcW w:w="2410" w:type="dxa"/>
            <w:tcBorders>
              <w:top w:val="single" w:sz="4" w:space="0" w:color="auto"/>
              <w:bottom w:val="single" w:sz="4" w:space="0" w:color="auto"/>
            </w:tcBorders>
            <w:vAlign w:val="center"/>
          </w:tcPr>
          <w:p w14:paraId="782A0540" w14:textId="77777777" w:rsidR="007B64B7" w:rsidRPr="007B64B7" w:rsidRDefault="007B64B7" w:rsidP="007B64B7">
            <w:pPr>
              <w:autoSpaceDE w:val="0"/>
              <w:autoSpaceDN w:val="0"/>
              <w:adjustRightInd w:val="0"/>
              <w:snapToGrid w:val="0"/>
              <w:spacing w:line="276" w:lineRule="auto"/>
              <w:jc w:val="center"/>
              <w:rPr>
                <w:rFonts w:eastAsia="Calibri"/>
                <w:bCs/>
                <w:color w:val="000000"/>
                <w:sz w:val="20"/>
                <w:szCs w:val="20"/>
                <w:lang w:val="es-AR" w:eastAsia="en-US"/>
              </w:rPr>
            </w:pPr>
            <w:r w:rsidRPr="007B64B7">
              <w:rPr>
                <w:rFonts w:eastAsia="Calibri"/>
                <w:bCs/>
                <w:color w:val="000000"/>
                <w:sz w:val="20"/>
                <w:szCs w:val="20"/>
                <w:lang w:val="es-AR" w:eastAsia="en-US"/>
              </w:rPr>
              <w:t>Preadolescentes (</w:t>
            </w:r>
            <w:r w:rsidRPr="007B64B7">
              <w:rPr>
                <w:rFonts w:eastAsia="Calibri"/>
                <w:bCs/>
                <w:i/>
                <w:iCs/>
                <w:color w:val="000000"/>
                <w:sz w:val="20"/>
                <w:szCs w:val="20"/>
                <w:lang w:val="es-AR" w:eastAsia="en-US"/>
              </w:rPr>
              <w:t>n</w:t>
            </w:r>
            <w:r w:rsidRPr="007B64B7">
              <w:rPr>
                <w:rFonts w:eastAsia="Calibri"/>
                <w:bCs/>
                <w:color w:val="000000"/>
                <w:sz w:val="20"/>
                <w:szCs w:val="20"/>
                <w:lang w:val="es-AR" w:eastAsia="en-US"/>
              </w:rPr>
              <w:t xml:space="preserve"> = 550)</w:t>
            </w:r>
          </w:p>
        </w:tc>
        <w:tc>
          <w:tcPr>
            <w:tcW w:w="2126" w:type="dxa"/>
            <w:tcBorders>
              <w:top w:val="single" w:sz="4" w:space="0" w:color="auto"/>
              <w:bottom w:val="single" w:sz="4" w:space="0" w:color="auto"/>
            </w:tcBorders>
            <w:vAlign w:val="center"/>
          </w:tcPr>
          <w:p w14:paraId="7F185BA3" w14:textId="77777777" w:rsidR="007B64B7" w:rsidRPr="007B64B7" w:rsidRDefault="007B64B7" w:rsidP="007B64B7">
            <w:pPr>
              <w:autoSpaceDE w:val="0"/>
              <w:autoSpaceDN w:val="0"/>
              <w:adjustRightInd w:val="0"/>
              <w:snapToGrid w:val="0"/>
              <w:spacing w:line="276" w:lineRule="auto"/>
              <w:jc w:val="center"/>
              <w:rPr>
                <w:rFonts w:eastAsia="Calibri"/>
                <w:bCs/>
                <w:color w:val="000000"/>
                <w:sz w:val="20"/>
                <w:szCs w:val="20"/>
                <w:lang w:val="es-AR" w:eastAsia="en-US"/>
              </w:rPr>
            </w:pPr>
            <w:r w:rsidRPr="007B64B7">
              <w:rPr>
                <w:rFonts w:eastAsia="Calibri"/>
                <w:bCs/>
                <w:color w:val="000000"/>
                <w:sz w:val="20"/>
                <w:szCs w:val="20"/>
                <w:lang w:val="es-AR" w:eastAsia="en-US"/>
              </w:rPr>
              <w:t>Adolescentes (</w:t>
            </w:r>
            <w:r w:rsidRPr="007B64B7">
              <w:rPr>
                <w:rFonts w:eastAsia="Calibri"/>
                <w:bCs/>
                <w:i/>
                <w:iCs/>
                <w:color w:val="000000"/>
                <w:sz w:val="20"/>
                <w:szCs w:val="20"/>
                <w:lang w:val="es-AR" w:eastAsia="en-US"/>
              </w:rPr>
              <w:t>n</w:t>
            </w:r>
            <w:r w:rsidRPr="007B64B7">
              <w:rPr>
                <w:rFonts w:eastAsia="Calibri"/>
                <w:bCs/>
                <w:color w:val="000000"/>
                <w:sz w:val="20"/>
                <w:szCs w:val="20"/>
                <w:lang w:val="es-AR" w:eastAsia="en-US"/>
              </w:rPr>
              <w:t xml:space="preserve"> = 424)</w:t>
            </w:r>
          </w:p>
        </w:tc>
        <w:tc>
          <w:tcPr>
            <w:tcW w:w="851" w:type="dxa"/>
            <w:tcBorders>
              <w:top w:val="single" w:sz="4" w:space="0" w:color="auto"/>
              <w:bottom w:val="single" w:sz="4" w:space="0" w:color="auto"/>
            </w:tcBorders>
            <w:vAlign w:val="center"/>
          </w:tcPr>
          <w:p w14:paraId="648071ED" w14:textId="77777777" w:rsidR="007B64B7" w:rsidRPr="007B64B7" w:rsidRDefault="007B64B7" w:rsidP="007B64B7">
            <w:pPr>
              <w:autoSpaceDE w:val="0"/>
              <w:autoSpaceDN w:val="0"/>
              <w:adjustRightInd w:val="0"/>
              <w:snapToGrid w:val="0"/>
              <w:spacing w:line="276" w:lineRule="auto"/>
              <w:jc w:val="center"/>
              <w:rPr>
                <w:rFonts w:eastAsia="Calibri"/>
                <w:bCs/>
                <w:color w:val="000000"/>
                <w:sz w:val="20"/>
                <w:szCs w:val="20"/>
                <w:lang w:val="es-AR" w:eastAsia="en-US"/>
              </w:rPr>
            </w:pPr>
            <w:r w:rsidRPr="007B64B7">
              <w:rPr>
                <w:rFonts w:eastAsia="Calibri"/>
                <w:bCs/>
                <w:color w:val="000000"/>
                <w:sz w:val="20"/>
                <w:szCs w:val="20"/>
                <w:lang w:val="es-AR" w:eastAsia="en-US"/>
              </w:rPr>
              <w:t>χ</w:t>
            </w:r>
            <w:r w:rsidRPr="007B64B7">
              <w:rPr>
                <w:rFonts w:eastAsia="Calibri"/>
                <w:bCs/>
                <w:color w:val="000000"/>
                <w:sz w:val="20"/>
                <w:szCs w:val="20"/>
                <w:vertAlign w:val="superscript"/>
                <w:lang w:val="es-AR" w:eastAsia="en-US"/>
              </w:rPr>
              <w:t>2</w:t>
            </w:r>
            <w:r w:rsidRPr="007B64B7">
              <w:rPr>
                <w:rFonts w:eastAsia="Calibri"/>
                <w:bCs/>
                <w:color w:val="000000"/>
                <w:sz w:val="20"/>
                <w:szCs w:val="20"/>
                <w:lang w:val="es-AR" w:eastAsia="en-US"/>
              </w:rPr>
              <w:t>/t</w:t>
            </w:r>
          </w:p>
        </w:tc>
      </w:tr>
      <w:tr w:rsidR="007B64B7" w:rsidRPr="007B64B7" w14:paraId="05E19642" w14:textId="77777777" w:rsidTr="007B64B7">
        <w:trPr>
          <w:trHeight w:hRule="exact" w:val="432"/>
        </w:trPr>
        <w:tc>
          <w:tcPr>
            <w:tcW w:w="1843" w:type="dxa"/>
            <w:vAlign w:val="center"/>
          </w:tcPr>
          <w:p w14:paraId="36E73310"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Alcohol vez</w:t>
            </w:r>
          </w:p>
        </w:tc>
        <w:tc>
          <w:tcPr>
            <w:tcW w:w="1559" w:type="dxa"/>
          </w:tcPr>
          <w:p w14:paraId="5E9ECF31"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73.2</w:t>
            </w:r>
          </w:p>
        </w:tc>
        <w:tc>
          <w:tcPr>
            <w:tcW w:w="2410" w:type="dxa"/>
            <w:vAlign w:val="center"/>
          </w:tcPr>
          <w:p w14:paraId="0D7F779A"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63.8</w:t>
            </w:r>
          </w:p>
        </w:tc>
        <w:tc>
          <w:tcPr>
            <w:tcW w:w="2126" w:type="dxa"/>
            <w:vAlign w:val="center"/>
          </w:tcPr>
          <w:p w14:paraId="6E1BF887"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85.4</w:t>
            </w:r>
          </w:p>
        </w:tc>
        <w:tc>
          <w:tcPr>
            <w:tcW w:w="851" w:type="dxa"/>
            <w:vAlign w:val="center"/>
          </w:tcPr>
          <w:p w14:paraId="421A4BFA"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56.9</w:t>
            </w:r>
          </w:p>
        </w:tc>
      </w:tr>
      <w:tr w:rsidR="007B64B7" w:rsidRPr="007B64B7" w14:paraId="21826D58" w14:textId="77777777" w:rsidTr="007B64B7">
        <w:trPr>
          <w:trHeight w:hRule="exact" w:val="432"/>
        </w:trPr>
        <w:tc>
          <w:tcPr>
            <w:tcW w:w="1843" w:type="dxa"/>
            <w:vAlign w:val="center"/>
          </w:tcPr>
          <w:p w14:paraId="3A4E0CB0"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Último año</w:t>
            </w:r>
          </w:p>
        </w:tc>
        <w:tc>
          <w:tcPr>
            <w:tcW w:w="1559" w:type="dxa"/>
          </w:tcPr>
          <w:p w14:paraId="5F4983F1"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55.8</w:t>
            </w:r>
          </w:p>
        </w:tc>
        <w:tc>
          <w:tcPr>
            <w:tcW w:w="2410" w:type="dxa"/>
            <w:vAlign w:val="center"/>
          </w:tcPr>
          <w:p w14:paraId="2257A3BF"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45.0</w:t>
            </w:r>
          </w:p>
        </w:tc>
        <w:tc>
          <w:tcPr>
            <w:tcW w:w="2126" w:type="dxa"/>
            <w:vAlign w:val="center"/>
          </w:tcPr>
          <w:p w14:paraId="17319F25"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69.8</w:t>
            </w:r>
          </w:p>
        </w:tc>
        <w:tc>
          <w:tcPr>
            <w:tcW w:w="851" w:type="dxa"/>
            <w:vAlign w:val="center"/>
          </w:tcPr>
          <w:p w14:paraId="65B3103A"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59.8</w:t>
            </w:r>
          </w:p>
        </w:tc>
      </w:tr>
      <w:tr w:rsidR="007B64B7" w:rsidRPr="007B64B7" w14:paraId="0868DF00" w14:textId="77777777" w:rsidTr="007B64B7">
        <w:trPr>
          <w:trHeight w:hRule="exact" w:val="432"/>
        </w:trPr>
        <w:tc>
          <w:tcPr>
            <w:tcW w:w="1843" w:type="dxa"/>
            <w:vAlign w:val="center"/>
          </w:tcPr>
          <w:p w14:paraId="23A98E81"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Último mes</w:t>
            </w:r>
          </w:p>
        </w:tc>
        <w:tc>
          <w:tcPr>
            <w:tcW w:w="1559" w:type="dxa"/>
          </w:tcPr>
          <w:p w14:paraId="3ACCB3EB"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23.3</w:t>
            </w:r>
          </w:p>
        </w:tc>
        <w:tc>
          <w:tcPr>
            <w:tcW w:w="2410" w:type="dxa"/>
            <w:vAlign w:val="center"/>
          </w:tcPr>
          <w:p w14:paraId="5A1F1C08"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11.8</w:t>
            </w:r>
          </w:p>
        </w:tc>
        <w:tc>
          <w:tcPr>
            <w:tcW w:w="2126" w:type="dxa"/>
            <w:vAlign w:val="center"/>
          </w:tcPr>
          <w:p w14:paraId="76833AB1"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38.2</w:t>
            </w:r>
          </w:p>
        </w:tc>
        <w:tc>
          <w:tcPr>
            <w:tcW w:w="851" w:type="dxa"/>
            <w:vAlign w:val="center"/>
          </w:tcPr>
          <w:p w14:paraId="236F85B3"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92.9</w:t>
            </w:r>
          </w:p>
        </w:tc>
      </w:tr>
      <w:tr w:rsidR="007B64B7" w:rsidRPr="007B64B7" w14:paraId="0348F34B" w14:textId="77777777" w:rsidTr="007B64B7">
        <w:trPr>
          <w:trHeight w:hRule="exact" w:val="432"/>
        </w:trPr>
        <w:tc>
          <w:tcPr>
            <w:tcW w:w="1843" w:type="dxa"/>
            <w:vAlign w:val="center"/>
          </w:tcPr>
          <w:p w14:paraId="3A3FB49A"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Frecuencia B1</w:t>
            </w:r>
            <w:r w:rsidRPr="007B64B7">
              <w:rPr>
                <w:rFonts w:eastAsia="Calibri"/>
                <w:color w:val="000000"/>
                <w:sz w:val="20"/>
                <w:szCs w:val="20"/>
                <w:vertAlign w:val="superscript"/>
                <w:lang w:val="es-AR" w:eastAsia="en-US"/>
              </w:rPr>
              <w:t>1</w:t>
            </w:r>
          </w:p>
        </w:tc>
        <w:tc>
          <w:tcPr>
            <w:tcW w:w="1559" w:type="dxa"/>
          </w:tcPr>
          <w:p w14:paraId="39005B3A"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18.59 (30.27)</w:t>
            </w:r>
          </w:p>
        </w:tc>
        <w:tc>
          <w:tcPr>
            <w:tcW w:w="2410" w:type="dxa"/>
            <w:vAlign w:val="center"/>
          </w:tcPr>
          <w:p w14:paraId="5DB88D65"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12.78 (25.86)</w:t>
            </w:r>
          </w:p>
        </w:tc>
        <w:tc>
          <w:tcPr>
            <w:tcW w:w="2126" w:type="dxa"/>
            <w:vAlign w:val="center"/>
          </w:tcPr>
          <w:p w14:paraId="0C1546EB"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23.44 (32.77)</w:t>
            </w:r>
          </w:p>
        </w:tc>
        <w:tc>
          <w:tcPr>
            <w:tcW w:w="851" w:type="dxa"/>
            <w:vAlign w:val="center"/>
          </w:tcPr>
          <w:p w14:paraId="274E5614"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4.15</w:t>
            </w:r>
          </w:p>
        </w:tc>
      </w:tr>
      <w:tr w:rsidR="007B64B7" w:rsidRPr="007B64B7" w14:paraId="09889E4E" w14:textId="77777777" w:rsidTr="007B64B7">
        <w:trPr>
          <w:trHeight w:hRule="exact" w:val="432"/>
        </w:trPr>
        <w:tc>
          <w:tcPr>
            <w:tcW w:w="1843" w:type="dxa"/>
            <w:vAlign w:val="center"/>
          </w:tcPr>
          <w:p w14:paraId="20AA364D"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Gramos B1</w:t>
            </w:r>
            <w:r w:rsidRPr="007B64B7">
              <w:rPr>
                <w:rFonts w:eastAsia="Calibri"/>
                <w:color w:val="000000"/>
                <w:sz w:val="20"/>
                <w:szCs w:val="20"/>
                <w:vertAlign w:val="superscript"/>
                <w:lang w:val="es-AR" w:eastAsia="en-US"/>
              </w:rPr>
              <w:t>1</w:t>
            </w:r>
          </w:p>
        </w:tc>
        <w:tc>
          <w:tcPr>
            <w:tcW w:w="1559" w:type="dxa"/>
          </w:tcPr>
          <w:p w14:paraId="3CF1E857"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41.89 (49.32)</w:t>
            </w:r>
          </w:p>
        </w:tc>
        <w:tc>
          <w:tcPr>
            <w:tcW w:w="2410" w:type="dxa"/>
            <w:vAlign w:val="center"/>
          </w:tcPr>
          <w:p w14:paraId="276B1D36"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27.66 (35.75)</w:t>
            </w:r>
          </w:p>
        </w:tc>
        <w:tc>
          <w:tcPr>
            <w:tcW w:w="2126" w:type="dxa"/>
            <w:vAlign w:val="center"/>
          </w:tcPr>
          <w:p w14:paraId="534C5EA8"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53.76 (55.60)</w:t>
            </w:r>
          </w:p>
        </w:tc>
        <w:tc>
          <w:tcPr>
            <w:tcW w:w="851" w:type="dxa"/>
            <w:vAlign w:val="center"/>
          </w:tcPr>
          <w:p w14:paraId="33D83C28"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6.36</w:t>
            </w:r>
          </w:p>
        </w:tc>
      </w:tr>
      <w:tr w:rsidR="007B64B7" w:rsidRPr="007B64B7" w14:paraId="47827916" w14:textId="77777777" w:rsidTr="007B64B7">
        <w:trPr>
          <w:trHeight w:hRule="exact" w:val="432"/>
        </w:trPr>
        <w:tc>
          <w:tcPr>
            <w:tcW w:w="1843" w:type="dxa"/>
            <w:vAlign w:val="center"/>
          </w:tcPr>
          <w:p w14:paraId="592DCCA8"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Frecuencia B2</w:t>
            </w:r>
            <w:r w:rsidRPr="007B64B7">
              <w:rPr>
                <w:rFonts w:eastAsia="Calibri"/>
                <w:color w:val="000000"/>
                <w:sz w:val="20"/>
                <w:szCs w:val="20"/>
                <w:vertAlign w:val="superscript"/>
                <w:lang w:val="es-AR" w:eastAsia="en-US"/>
              </w:rPr>
              <w:t>1</w:t>
            </w:r>
          </w:p>
        </w:tc>
        <w:tc>
          <w:tcPr>
            <w:tcW w:w="1559" w:type="dxa"/>
          </w:tcPr>
          <w:p w14:paraId="4D113D52"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10.87 (23.60)</w:t>
            </w:r>
          </w:p>
        </w:tc>
        <w:tc>
          <w:tcPr>
            <w:tcW w:w="2410" w:type="dxa"/>
            <w:vAlign w:val="center"/>
          </w:tcPr>
          <w:p w14:paraId="296A4909"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7.42 (22.11)</w:t>
            </w:r>
          </w:p>
        </w:tc>
        <w:tc>
          <w:tcPr>
            <w:tcW w:w="2126" w:type="dxa"/>
            <w:vAlign w:val="center"/>
          </w:tcPr>
          <w:p w14:paraId="6D80945E"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13.75 (24.44)</w:t>
            </w:r>
          </w:p>
        </w:tc>
        <w:tc>
          <w:tcPr>
            <w:tcW w:w="851" w:type="dxa"/>
            <w:vAlign w:val="center"/>
          </w:tcPr>
          <w:p w14:paraId="78C8B987"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3.14</w:t>
            </w:r>
          </w:p>
        </w:tc>
      </w:tr>
      <w:tr w:rsidR="007B64B7" w:rsidRPr="007B64B7" w14:paraId="2B750388" w14:textId="77777777" w:rsidTr="007B64B7">
        <w:trPr>
          <w:trHeight w:hRule="exact" w:val="432"/>
        </w:trPr>
        <w:tc>
          <w:tcPr>
            <w:tcW w:w="1843" w:type="dxa"/>
            <w:vAlign w:val="center"/>
          </w:tcPr>
          <w:p w14:paraId="736C235F"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Gramos B2</w:t>
            </w:r>
            <w:r w:rsidRPr="007B64B7">
              <w:rPr>
                <w:rFonts w:eastAsia="Calibri"/>
                <w:color w:val="000000"/>
                <w:sz w:val="20"/>
                <w:szCs w:val="20"/>
                <w:vertAlign w:val="superscript"/>
                <w:lang w:val="es-AR" w:eastAsia="en-US"/>
              </w:rPr>
              <w:t>1</w:t>
            </w:r>
          </w:p>
        </w:tc>
        <w:tc>
          <w:tcPr>
            <w:tcW w:w="1559" w:type="dxa"/>
          </w:tcPr>
          <w:p w14:paraId="1695E04F"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26.84 (38.31)</w:t>
            </w:r>
          </w:p>
        </w:tc>
        <w:tc>
          <w:tcPr>
            <w:tcW w:w="2410" w:type="dxa"/>
            <w:vAlign w:val="center"/>
          </w:tcPr>
          <w:p w14:paraId="0ECB06A7"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17.93 (29.52)</w:t>
            </w:r>
          </w:p>
        </w:tc>
        <w:tc>
          <w:tcPr>
            <w:tcW w:w="2126" w:type="dxa"/>
            <w:vAlign w:val="center"/>
          </w:tcPr>
          <w:p w14:paraId="1DCAE0E1"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34.27 (42.98)</w:t>
            </w:r>
          </w:p>
        </w:tc>
        <w:tc>
          <w:tcPr>
            <w:tcW w:w="851" w:type="dxa"/>
            <w:vAlign w:val="center"/>
          </w:tcPr>
          <w:p w14:paraId="0B21D1A9"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5.06</w:t>
            </w:r>
          </w:p>
        </w:tc>
      </w:tr>
      <w:tr w:rsidR="007B64B7" w:rsidRPr="007B64B7" w14:paraId="532FE94E" w14:textId="77777777" w:rsidTr="007B64B7">
        <w:trPr>
          <w:trHeight w:hRule="exact" w:val="432"/>
        </w:trPr>
        <w:tc>
          <w:tcPr>
            <w:tcW w:w="1843" w:type="dxa"/>
            <w:vAlign w:val="center"/>
          </w:tcPr>
          <w:p w14:paraId="431548A8"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CEEA vez</w:t>
            </w:r>
          </w:p>
        </w:tc>
        <w:tc>
          <w:tcPr>
            <w:tcW w:w="1559" w:type="dxa"/>
          </w:tcPr>
          <w:p w14:paraId="22911D1D"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26.7</w:t>
            </w:r>
          </w:p>
        </w:tc>
        <w:tc>
          <w:tcPr>
            <w:tcW w:w="2410" w:type="dxa"/>
            <w:vAlign w:val="center"/>
          </w:tcPr>
          <w:p w14:paraId="3416B156"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16.6</w:t>
            </w:r>
          </w:p>
        </w:tc>
        <w:tc>
          <w:tcPr>
            <w:tcW w:w="2126" w:type="dxa"/>
            <w:vAlign w:val="center"/>
          </w:tcPr>
          <w:p w14:paraId="659DF4E0"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39.9</w:t>
            </w:r>
          </w:p>
        </w:tc>
        <w:tc>
          <w:tcPr>
            <w:tcW w:w="851" w:type="dxa"/>
            <w:vAlign w:val="center"/>
          </w:tcPr>
          <w:p w14:paraId="77C81DE6"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66.2</w:t>
            </w:r>
          </w:p>
        </w:tc>
      </w:tr>
      <w:tr w:rsidR="007B64B7" w:rsidRPr="007B64B7" w14:paraId="63F10811" w14:textId="77777777" w:rsidTr="007B64B7">
        <w:trPr>
          <w:trHeight w:hRule="exact" w:val="432"/>
        </w:trPr>
        <w:tc>
          <w:tcPr>
            <w:tcW w:w="1843" w:type="dxa"/>
            <w:vAlign w:val="center"/>
          </w:tcPr>
          <w:p w14:paraId="70162CC6"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CEEA último año</w:t>
            </w:r>
          </w:p>
        </w:tc>
        <w:tc>
          <w:tcPr>
            <w:tcW w:w="1559" w:type="dxa"/>
          </w:tcPr>
          <w:p w14:paraId="1DC0A729"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22.5</w:t>
            </w:r>
          </w:p>
        </w:tc>
        <w:tc>
          <w:tcPr>
            <w:tcW w:w="2410" w:type="dxa"/>
            <w:vAlign w:val="center"/>
          </w:tcPr>
          <w:p w14:paraId="02D993DC"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13.3</w:t>
            </w:r>
          </w:p>
        </w:tc>
        <w:tc>
          <w:tcPr>
            <w:tcW w:w="2126" w:type="dxa"/>
            <w:vAlign w:val="center"/>
          </w:tcPr>
          <w:p w14:paraId="700A08BB"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34.4</w:t>
            </w:r>
          </w:p>
        </w:tc>
        <w:tc>
          <w:tcPr>
            <w:tcW w:w="851" w:type="dxa"/>
            <w:vAlign w:val="center"/>
          </w:tcPr>
          <w:p w14:paraId="4BFDD569"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61.3</w:t>
            </w:r>
          </w:p>
        </w:tc>
      </w:tr>
      <w:tr w:rsidR="007B64B7" w:rsidRPr="007B64B7" w14:paraId="766F0A11" w14:textId="77777777" w:rsidTr="007B64B7">
        <w:trPr>
          <w:trHeight w:hRule="exact" w:val="432"/>
        </w:trPr>
        <w:tc>
          <w:tcPr>
            <w:tcW w:w="1843" w:type="dxa"/>
            <w:tcBorders>
              <w:bottom w:val="single" w:sz="4" w:space="0" w:color="auto"/>
            </w:tcBorders>
            <w:vAlign w:val="center"/>
          </w:tcPr>
          <w:p w14:paraId="30CF55BC" w14:textId="77777777" w:rsidR="007B64B7" w:rsidRPr="007B64B7" w:rsidRDefault="007B64B7" w:rsidP="007B64B7">
            <w:pPr>
              <w:autoSpaceDE w:val="0"/>
              <w:autoSpaceDN w:val="0"/>
              <w:adjustRightInd w:val="0"/>
              <w:snapToGrid w:val="0"/>
              <w:spacing w:line="276" w:lineRule="auto"/>
              <w:rPr>
                <w:rFonts w:eastAsia="Calibri"/>
                <w:color w:val="000000"/>
                <w:sz w:val="20"/>
                <w:szCs w:val="20"/>
                <w:lang w:val="es-AR" w:eastAsia="en-US"/>
              </w:rPr>
            </w:pPr>
            <w:r w:rsidRPr="007B64B7">
              <w:rPr>
                <w:rFonts w:eastAsia="Calibri"/>
                <w:color w:val="000000"/>
                <w:sz w:val="20"/>
                <w:szCs w:val="20"/>
                <w:lang w:val="es-AR" w:eastAsia="en-US"/>
              </w:rPr>
              <w:t>Frecuencia CEEA</w:t>
            </w:r>
            <w:r w:rsidRPr="007B64B7">
              <w:rPr>
                <w:rFonts w:eastAsia="Calibri"/>
                <w:color w:val="000000"/>
                <w:sz w:val="20"/>
                <w:szCs w:val="20"/>
                <w:vertAlign w:val="superscript"/>
                <w:lang w:val="es-AR" w:eastAsia="en-US"/>
              </w:rPr>
              <w:t>1</w:t>
            </w:r>
          </w:p>
        </w:tc>
        <w:tc>
          <w:tcPr>
            <w:tcW w:w="1559" w:type="dxa"/>
            <w:tcBorders>
              <w:bottom w:val="single" w:sz="4" w:space="0" w:color="auto"/>
            </w:tcBorders>
          </w:tcPr>
          <w:p w14:paraId="1D18D3CF"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12.04 (26.37)</w:t>
            </w:r>
          </w:p>
        </w:tc>
        <w:tc>
          <w:tcPr>
            <w:tcW w:w="2410" w:type="dxa"/>
            <w:tcBorders>
              <w:bottom w:val="single" w:sz="4" w:space="0" w:color="auto"/>
            </w:tcBorders>
            <w:vAlign w:val="center"/>
          </w:tcPr>
          <w:p w14:paraId="5C825CC0"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7.32 (24.17)</w:t>
            </w:r>
          </w:p>
        </w:tc>
        <w:tc>
          <w:tcPr>
            <w:tcW w:w="2126" w:type="dxa"/>
            <w:tcBorders>
              <w:bottom w:val="single" w:sz="4" w:space="0" w:color="auto"/>
            </w:tcBorders>
            <w:vAlign w:val="center"/>
          </w:tcPr>
          <w:p w14:paraId="102D2691" w14:textId="77777777" w:rsidR="007B64B7" w:rsidRPr="007B64B7" w:rsidRDefault="007B64B7" w:rsidP="007B64B7">
            <w:pPr>
              <w:autoSpaceDE w:val="0"/>
              <w:autoSpaceDN w:val="0"/>
              <w:adjustRightInd w:val="0"/>
              <w:snapToGrid w:val="0"/>
              <w:spacing w:line="276" w:lineRule="auto"/>
              <w:jc w:val="center"/>
              <w:rPr>
                <w:rFonts w:eastAsia="Calibri"/>
                <w:color w:val="000000"/>
                <w:sz w:val="20"/>
                <w:szCs w:val="20"/>
                <w:lang w:val="es-AR" w:eastAsia="en-US"/>
              </w:rPr>
            </w:pPr>
            <w:r w:rsidRPr="007B64B7">
              <w:rPr>
                <w:rFonts w:eastAsia="Calibri"/>
                <w:color w:val="000000"/>
                <w:sz w:val="20"/>
                <w:szCs w:val="20"/>
                <w:lang w:val="es-AR" w:eastAsia="en-US"/>
              </w:rPr>
              <w:t>15.98 (27.49)</w:t>
            </w:r>
          </w:p>
        </w:tc>
        <w:tc>
          <w:tcPr>
            <w:tcW w:w="851" w:type="dxa"/>
            <w:tcBorders>
              <w:bottom w:val="single" w:sz="4" w:space="0" w:color="auto"/>
            </w:tcBorders>
            <w:vAlign w:val="center"/>
          </w:tcPr>
          <w:p w14:paraId="2F2D42F9" w14:textId="77777777" w:rsidR="007B64B7" w:rsidRPr="007B64B7" w:rsidRDefault="007B64B7" w:rsidP="007B64B7">
            <w:pPr>
              <w:autoSpaceDE w:val="0"/>
              <w:autoSpaceDN w:val="0"/>
              <w:adjustRightInd w:val="0"/>
              <w:snapToGrid w:val="0"/>
              <w:spacing w:line="276" w:lineRule="auto"/>
              <w:jc w:val="center"/>
              <w:rPr>
                <w:rFonts w:eastAsia="Calibri"/>
                <w:b/>
                <w:bCs/>
                <w:color w:val="000000"/>
                <w:sz w:val="20"/>
                <w:szCs w:val="20"/>
                <w:lang w:val="es-AR" w:eastAsia="en-US"/>
              </w:rPr>
            </w:pPr>
            <w:r w:rsidRPr="007B64B7">
              <w:rPr>
                <w:rFonts w:eastAsia="Calibri"/>
                <w:b/>
                <w:bCs/>
                <w:color w:val="000000"/>
                <w:sz w:val="20"/>
                <w:szCs w:val="20"/>
                <w:lang w:val="es-AR" w:eastAsia="en-US"/>
              </w:rPr>
              <w:t>3.86</w:t>
            </w:r>
          </w:p>
        </w:tc>
      </w:tr>
    </w:tbl>
    <w:p w14:paraId="1CE2368C" w14:textId="77777777" w:rsidR="007B64B7" w:rsidRPr="007B64B7" w:rsidRDefault="007B64B7" w:rsidP="007B64B7">
      <w:pPr>
        <w:spacing w:line="276" w:lineRule="auto"/>
        <w:ind w:left="90" w:right="571"/>
        <w:jc w:val="both"/>
        <w:rPr>
          <w:rFonts w:eastAsia="Calibri"/>
          <w:color w:val="000000"/>
          <w:sz w:val="20"/>
          <w:szCs w:val="20"/>
          <w:lang w:val="es-AR" w:eastAsia="en-US"/>
        </w:rPr>
      </w:pPr>
      <w:r w:rsidRPr="007B64B7">
        <w:rPr>
          <w:rFonts w:eastAsia="Calibri"/>
          <w:i/>
          <w:color w:val="000000"/>
          <w:sz w:val="20"/>
          <w:szCs w:val="20"/>
          <w:lang w:val="es-AR" w:eastAsia="en-US"/>
        </w:rPr>
        <w:t>Nota.</w:t>
      </w:r>
      <w:r w:rsidRPr="007B64B7">
        <w:rPr>
          <w:rFonts w:eastAsia="Calibri"/>
          <w:color w:val="000000"/>
          <w:sz w:val="20"/>
          <w:szCs w:val="20"/>
          <w:lang w:val="es-AR" w:eastAsia="en-US"/>
        </w:rPr>
        <w:t xml:space="preserve"> Los resultados se presentan como porcentajes de casos que caen dentro de cada categoría. Para las variables continuas, los datos se presentan como medias y desviación estándar en cada categoría. Preadolescentes = 11 a 13 años; Adolescentes = 14 a 16 años; Alcohol vez = Consumo alguna vez en la vida; B1 = bebida de mayor consumo; B2 = segunda bebida de mayor consumo; Gramos = cantidad de gramos de alcohol consumidos por ocasión de consumo; CEEA = Consumo Episódico Elevado. </w:t>
      </w:r>
      <w:r w:rsidRPr="007B64B7">
        <w:rPr>
          <w:rFonts w:eastAsia="Calibri"/>
          <w:color w:val="000000"/>
          <w:sz w:val="20"/>
          <w:szCs w:val="20"/>
          <w:vertAlign w:val="superscript"/>
          <w:lang w:val="es-AR" w:eastAsia="en-US"/>
        </w:rPr>
        <w:t>1</w:t>
      </w:r>
      <w:r w:rsidRPr="007B64B7">
        <w:rPr>
          <w:rFonts w:eastAsia="Calibri"/>
          <w:color w:val="000000"/>
          <w:sz w:val="20"/>
          <w:szCs w:val="20"/>
          <w:lang w:val="es-AR" w:eastAsia="en-US"/>
        </w:rPr>
        <w:t xml:space="preserve">Calculado entre quienes consumieron durante el último año. En negrita se destacan los resultados estadísticamente significativos a </w:t>
      </w:r>
      <w:r w:rsidRPr="007B64B7">
        <w:rPr>
          <w:rFonts w:eastAsia="Calibri"/>
          <w:i/>
          <w:color w:val="000000"/>
          <w:sz w:val="20"/>
          <w:szCs w:val="20"/>
          <w:lang w:val="es-AR" w:eastAsia="en-US"/>
        </w:rPr>
        <w:t>p</w:t>
      </w:r>
      <w:r w:rsidRPr="007B64B7">
        <w:rPr>
          <w:rFonts w:eastAsia="Calibri"/>
          <w:color w:val="000000"/>
          <w:sz w:val="20"/>
          <w:szCs w:val="20"/>
          <w:lang w:val="es-AR" w:eastAsia="en-US"/>
        </w:rPr>
        <w:t xml:space="preserve"> ≤ .05</w:t>
      </w:r>
    </w:p>
    <w:p w14:paraId="22902661" w14:textId="4EF3C6BF" w:rsidR="007B64B7" w:rsidRDefault="007B64B7" w:rsidP="007B64B7">
      <w:pPr>
        <w:pStyle w:val="Prrafocomn"/>
        <w:ind w:firstLine="0"/>
        <w:rPr>
          <w:lang w:val="es-AR"/>
        </w:rPr>
      </w:pPr>
    </w:p>
    <w:p w14:paraId="36846A0D" w14:textId="77777777" w:rsidR="00561CA1" w:rsidRPr="000320FE" w:rsidRDefault="00561CA1" w:rsidP="000320FE">
      <w:pPr>
        <w:pStyle w:val="Prrafocomn"/>
        <w:ind w:firstLine="0"/>
        <w:rPr>
          <w:i/>
          <w:iCs/>
          <w:lang w:val="es-AR"/>
        </w:rPr>
      </w:pPr>
      <w:r w:rsidRPr="000320FE">
        <w:rPr>
          <w:i/>
          <w:iCs/>
          <w:lang w:val="es-AR"/>
        </w:rPr>
        <w:t>Impulsividad rasgo y pruebas conductuales.</w:t>
      </w:r>
    </w:p>
    <w:p w14:paraId="791C6FEA" w14:textId="4505E5CD" w:rsidR="00561CA1" w:rsidRDefault="00561CA1" w:rsidP="00561CA1">
      <w:pPr>
        <w:pStyle w:val="Prrafocomn"/>
        <w:ind w:firstLine="0"/>
        <w:rPr>
          <w:lang w:val="es-AR"/>
        </w:rPr>
      </w:pPr>
      <w:r w:rsidRPr="00561CA1">
        <w:rPr>
          <w:lang w:val="es-AR"/>
        </w:rPr>
        <w:tab/>
        <w:t xml:space="preserve">La Tabla 2 muestra que los adolescentes presentaron puntuaciones significativamente más altas en Urgencia Negativa y Búsqueda de Sensaciones que los preadolescentes. El resto </w:t>
      </w:r>
      <w:r w:rsidRPr="00561CA1">
        <w:rPr>
          <w:lang w:val="es-AR"/>
        </w:rPr>
        <w:lastRenderedPageBreak/>
        <w:t xml:space="preserve">de las dimensiones de impulsividad rasgo no presentó diferencias significativas en función de los grupos de edad. Asimismo, los adolescentes puntuaron significativamente más alto en toma de riesgos (promedio ajustado) y los preadolescentes presentaron mayor cantidad de errores por comisión (inhibición de respuesta) y perseverativos (flexibilidad cognitiva).  </w:t>
      </w:r>
    </w:p>
    <w:p w14:paraId="0E4DB2FB" w14:textId="77777777" w:rsidR="00F26837" w:rsidRPr="007B64B7" w:rsidRDefault="00F26837" w:rsidP="00561CA1">
      <w:pPr>
        <w:pStyle w:val="Prrafocomn"/>
        <w:ind w:firstLine="0"/>
        <w:rPr>
          <w:lang w:val="es-AR"/>
        </w:rPr>
      </w:pPr>
    </w:p>
    <w:p w14:paraId="7F57154E" w14:textId="77777777" w:rsidR="00561CA1" w:rsidRPr="00561CA1" w:rsidRDefault="00561CA1" w:rsidP="00561CA1">
      <w:pPr>
        <w:ind w:right="707"/>
        <w:jc w:val="both"/>
        <w:rPr>
          <w:rFonts w:eastAsia="Calibri"/>
          <w:sz w:val="20"/>
          <w:szCs w:val="20"/>
          <w:lang w:val="pt-BR" w:eastAsia="en-US"/>
        </w:rPr>
      </w:pPr>
      <w:r w:rsidRPr="00561CA1">
        <w:rPr>
          <w:rFonts w:eastAsia="Calibri"/>
          <w:sz w:val="20"/>
          <w:szCs w:val="20"/>
          <w:lang w:val="pt-BR" w:eastAsia="en-US"/>
        </w:rPr>
        <w:t>Tabla 2.</w:t>
      </w:r>
    </w:p>
    <w:p w14:paraId="4AD94CD1" w14:textId="77777777" w:rsidR="00561CA1" w:rsidRPr="00561CA1" w:rsidRDefault="00561CA1" w:rsidP="00561CA1">
      <w:pPr>
        <w:ind w:right="1138"/>
        <w:jc w:val="both"/>
        <w:rPr>
          <w:rFonts w:eastAsia="Calibri"/>
          <w:i/>
          <w:sz w:val="20"/>
          <w:szCs w:val="20"/>
          <w:lang w:val="pt-BR" w:eastAsia="en-US"/>
        </w:rPr>
      </w:pPr>
      <w:r w:rsidRPr="00561CA1">
        <w:rPr>
          <w:rFonts w:eastAsia="Calibri"/>
          <w:i/>
          <w:sz w:val="20"/>
          <w:szCs w:val="20"/>
          <w:lang w:val="pt-BR" w:eastAsia="en-US"/>
        </w:rPr>
        <w:t xml:space="preserve">Indicadores de </w:t>
      </w:r>
      <w:proofErr w:type="spellStart"/>
      <w:r w:rsidRPr="00561CA1">
        <w:rPr>
          <w:rFonts w:eastAsia="Calibri"/>
          <w:i/>
          <w:sz w:val="20"/>
          <w:szCs w:val="20"/>
          <w:lang w:val="pt-BR" w:eastAsia="en-US"/>
        </w:rPr>
        <w:t>impulsividad</w:t>
      </w:r>
      <w:proofErr w:type="spellEnd"/>
      <w:r w:rsidRPr="00561CA1">
        <w:rPr>
          <w:rFonts w:eastAsia="Calibri"/>
          <w:i/>
          <w:sz w:val="20"/>
          <w:szCs w:val="20"/>
          <w:lang w:val="pt-BR" w:eastAsia="en-US"/>
        </w:rPr>
        <w:t xml:space="preserve"> rasgo y </w:t>
      </w:r>
      <w:proofErr w:type="spellStart"/>
      <w:r w:rsidRPr="00561CA1">
        <w:rPr>
          <w:rFonts w:eastAsia="Calibri"/>
          <w:i/>
          <w:sz w:val="20"/>
          <w:szCs w:val="20"/>
          <w:lang w:val="pt-BR" w:eastAsia="en-US"/>
        </w:rPr>
        <w:t>conductual</w:t>
      </w:r>
      <w:proofErr w:type="spellEnd"/>
      <w:r w:rsidRPr="00561CA1">
        <w:rPr>
          <w:rFonts w:eastAsia="Calibri"/>
          <w:i/>
          <w:sz w:val="20"/>
          <w:szCs w:val="20"/>
          <w:lang w:val="pt-BR" w:eastAsia="en-US"/>
        </w:rPr>
        <w:t xml:space="preserve">, toma de </w:t>
      </w:r>
      <w:proofErr w:type="spellStart"/>
      <w:r w:rsidRPr="00561CA1">
        <w:rPr>
          <w:rFonts w:eastAsia="Calibri"/>
          <w:i/>
          <w:sz w:val="20"/>
          <w:szCs w:val="20"/>
          <w:lang w:val="pt-BR" w:eastAsia="en-US"/>
        </w:rPr>
        <w:t>riesgos</w:t>
      </w:r>
      <w:proofErr w:type="spellEnd"/>
      <w:r w:rsidRPr="00561CA1">
        <w:rPr>
          <w:rFonts w:eastAsia="Calibri"/>
          <w:i/>
          <w:sz w:val="20"/>
          <w:szCs w:val="20"/>
          <w:lang w:val="pt-BR" w:eastAsia="en-US"/>
        </w:rPr>
        <w:t xml:space="preserve"> y </w:t>
      </w:r>
      <w:proofErr w:type="spellStart"/>
      <w:r w:rsidRPr="00561CA1">
        <w:rPr>
          <w:rFonts w:eastAsia="Calibri"/>
          <w:i/>
          <w:sz w:val="20"/>
          <w:szCs w:val="20"/>
          <w:lang w:val="pt-BR" w:eastAsia="en-US"/>
        </w:rPr>
        <w:t>flexibilidad</w:t>
      </w:r>
      <w:proofErr w:type="spellEnd"/>
      <w:r w:rsidRPr="00561CA1">
        <w:rPr>
          <w:rFonts w:eastAsia="Calibri"/>
          <w:i/>
          <w:sz w:val="20"/>
          <w:szCs w:val="20"/>
          <w:lang w:val="pt-BR" w:eastAsia="en-US"/>
        </w:rPr>
        <w:t xml:space="preserve"> cognitiva </w:t>
      </w:r>
      <w:proofErr w:type="spellStart"/>
      <w:r w:rsidRPr="00561CA1">
        <w:rPr>
          <w:rFonts w:eastAsia="Calibri"/>
          <w:i/>
          <w:sz w:val="20"/>
          <w:szCs w:val="20"/>
          <w:lang w:val="pt-BR" w:eastAsia="en-US"/>
        </w:rPr>
        <w:t>en</w:t>
      </w:r>
      <w:proofErr w:type="spellEnd"/>
      <w:r w:rsidRPr="00561CA1">
        <w:rPr>
          <w:rFonts w:eastAsia="Calibri"/>
          <w:i/>
          <w:sz w:val="20"/>
          <w:szCs w:val="20"/>
          <w:lang w:val="pt-BR" w:eastAsia="en-US"/>
        </w:rPr>
        <w:t xml:space="preserve"> </w:t>
      </w:r>
      <w:proofErr w:type="spellStart"/>
      <w:r w:rsidRPr="00561CA1">
        <w:rPr>
          <w:rFonts w:eastAsia="Calibri"/>
          <w:i/>
          <w:sz w:val="20"/>
          <w:szCs w:val="20"/>
          <w:lang w:val="pt-BR" w:eastAsia="en-US"/>
        </w:rPr>
        <w:t>preadolescentes</w:t>
      </w:r>
      <w:proofErr w:type="spellEnd"/>
      <w:r w:rsidRPr="00561CA1">
        <w:rPr>
          <w:rFonts w:eastAsia="Calibri"/>
          <w:i/>
          <w:sz w:val="20"/>
          <w:szCs w:val="20"/>
          <w:lang w:val="pt-BR" w:eastAsia="en-US"/>
        </w:rPr>
        <w:t xml:space="preserve"> y adolescentes.</w:t>
      </w:r>
    </w:p>
    <w:tbl>
      <w:tblPr>
        <w:tblStyle w:val="Tablaconcuadrcula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410"/>
        <w:gridCol w:w="2126"/>
        <w:gridCol w:w="993"/>
      </w:tblGrid>
      <w:tr w:rsidR="00561CA1" w:rsidRPr="00561CA1" w14:paraId="6512329A" w14:textId="77777777" w:rsidTr="00561CA1">
        <w:trPr>
          <w:trHeight w:hRule="exact" w:val="766"/>
        </w:trPr>
        <w:tc>
          <w:tcPr>
            <w:tcW w:w="2835" w:type="dxa"/>
            <w:tcBorders>
              <w:top w:val="single" w:sz="4" w:space="0" w:color="auto"/>
              <w:bottom w:val="single" w:sz="4" w:space="0" w:color="auto"/>
            </w:tcBorders>
            <w:vAlign w:val="center"/>
          </w:tcPr>
          <w:p w14:paraId="0D64D4F5"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p>
        </w:tc>
        <w:tc>
          <w:tcPr>
            <w:tcW w:w="2410" w:type="dxa"/>
            <w:tcBorders>
              <w:top w:val="single" w:sz="4" w:space="0" w:color="auto"/>
              <w:bottom w:val="single" w:sz="4" w:space="0" w:color="auto"/>
            </w:tcBorders>
            <w:vAlign w:val="center"/>
          </w:tcPr>
          <w:p w14:paraId="704A651C"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proofErr w:type="spellStart"/>
            <w:r w:rsidRPr="00561CA1">
              <w:rPr>
                <w:rFonts w:eastAsia="Calibri"/>
                <w:b/>
                <w:color w:val="000000"/>
                <w:sz w:val="20"/>
                <w:szCs w:val="20"/>
                <w:lang w:val="pt-BR" w:eastAsia="en-US"/>
              </w:rPr>
              <w:t>Preadolescentes</w:t>
            </w:r>
            <w:proofErr w:type="spellEnd"/>
            <w:r w:rsidRPr="00561CA1">
              <w:rPr>
                <w:rFonts w:eastAsia="Calibri"/>
                <w:b/>
                <w:color w:val="000000"/>
                <w:sz w:val="20"/>
                <w:szCs w:val="20"/>
                <w:lang w:val="pt-BR" w:eastAsia="en-US"/>
              </w:rPr>
              <w:t xml:space="preserve"> (</w:t>
            </w:r>
            <w:r w:rsidRPr="00561CA1">
              <w:rPr>
                <w:rFonts w:eastAsia="Calibri"/>
                <w:b/>
                <w:i/>
                <w:iCs/>
                <w:color w:val="000000"/>
                <w:sz w:val="20"/>
                <w:szCs w:val="20"/>
                <w:lang w:val="pt-BR" w:eastAsia="en-US"/>
              </w:rPr>
              <w:t>n</w:t>
            </w:r>
            <w:r w:rsidRPr="00561CA1">
              <w:rPr>
                <w:rFonts w:eastAsia="Calibri"/>
                <w:b/>
                <w:color w:val="000000"/>
                <w:sz w:val="20"/>
                <w:szCs w:val="20"/>
                <w:lang w:val="pt-BR" w:eastAsia="en-US"/>
              </w:rPr>
              <w:t xml:space="preserve"> = 550)</w:t>
            </w:r>
          </w:p>
        </w:tc>
        <w:tc>
          <w:tcPr>
            <w:tcW w:w="2126" w:type="dxa"/>
            <w:tcBorders>
              <w:top w:val="single" w:sz="4" w:space="0" w:color="auto"/>
              <w:bottom w:val="single" w:sz="4" w:space="0" w:color="auto"/>
            </w:tcBorders>
            <w:vAlign w:val="center"/>
          </w:tcPr>
          <w:p w14:paraId="7115E685" w14:textId="77777777" w:rsidR="00561CA1" w:rsidRPr="00561CA1" w:rsidRDefault="00561CA1" w:rsidP="00561CA1">
            <w:pPr>
              <w:autoSpaceDE w:val="0"/>
              <w:autoSpaceDN w:val="0"/>
              <w:adjustRightInd w:val="0"/>
              <w:snapToGrid w:val="0"/>
              <w:jc w:val="center"/>
              <w:rPr>
                <w:rFonts w:eastAsia="Calibri"/>
                <w:b/>
                <w:color w:val="000000"/>
                <w:sz w:val="20"/>
                <w:szCs w:val="20"/>
                <w:lang w:val="pt-BR" w:eastAsia="en-US"/>
              </w:rPr>
            </w:pPr>
            <w:r w:rsidRPr="00561CA1">
              <w:rPr>
                <w:rFonts w:eastAsia="Calibri"/>
                <w:b/>
                <w:color w:val="000000"/>
                <w:sz w:val="20"/>
                <w:szCs w:val="20"/>
                <w:lang w:val="pt-BR" w:eastAsia="en-US"/>
              </w:rPr>
              <w:t>Adolescentes (</w:t>
            </w:r>
            <w:r w:rsidRPr="00561CA1">
              <w:rPr>
                <w:rFonts w:eastAsia="Calibri"/>
                <w:b/>
                <w:i/>
                <w:iCs/>
                <w:color w:val="000000"/>
                <w:sz w:val="20"/>
                <w:szCs w:val="20"/>
                <w:lang w:val="pt-BR" w:eastAsia="en-US"/>
              </w:rPr>
              <w:t>n</w:t>
            </w:r>
            <w:r w:rsidRPr="00561CA1">
              <w:rPr>
                <w:rFonts w:eastAsia="Calibri"/>
                <w:b/>
                <w:color w:val="000000"/>
                <w:sz w:val="20"/>
                <w:szCs w:val="20"/>
                <w:lang w:val="pt-BR" w:eastAsia="en-US"/>
              </w:rPr>
              <w:t xml:space="preserve"> = 424)</w:t>
            </w:r>
          </w:p>
        </w:tc>
        <w:tc>
          <w:tcPr>
            <w:tcW w:w="993" w:type="dxa"/>
            <w:tcBorders>
              <w:top w:val="single" w:sz="4" w:space="0" w:color="auto"/>
              <w:bottom w:val="single" w:sz="4" w:space="0" w:color="auto"/>
            </w:tcBorders>
            <w:vAlign w:val="center"/>
          </w:tcPr>
          <w:p w14:paraId="70396630"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b/>
                <w:i/>
                <w:iCs/>
                <w:color w:val="000000"/>
                <w:sz w:val="20"/>
                <w:szCs w:val="20"/>
                <w:lang w:val="pt-BR" w:eastAsia="en-US"/>
              </w:rPr>
              <w:t xml:space="preserve">t </w:t>
            </w:r>
            <w:proofErr w:type="spellStart"/>
            <w:r w:rsidRPr="00561CA1">
              <w:rPr>
                <w:rFonts w:eastAsia="Calibri"/>
                <w:b/>
                <w:color w:val="000000"/>
                <w:sz w:val="20"/>
                <w:szCs w:val="20"/>
                <w:lang w:val="pt-BR" w:eastAsia="en-US"/>
              </w:rPr>
              <w:t>Student</w:t>
            </w:r>
            <w:proofErr w:type="spellEnd"/>
          </w:p>
        </w:tc>
      </w:tr>
      <w:tr w:rsidR="00561CA1" w:rsidRPr="00561CA1" w14:paraId="0C94AD7C" w14:textId="77777777" w:rsidTr="00561CA1">
        <w:trPr>
          <w:trHeight w:hRule="exact" w:val="432"/>
        </w:trPr>
        <w:tc>
          <w:tcPr>
            <w:tcW w:w="2835" w:type="dxa"/>
            <w:vAlign w:val="center"/>
          </w:tcPr>
          <w:p w14:paraId="062C1ED5" w14:textId="77777777" w:rsidR="00561CA1" w:rsidRPr="00561CA1" w:rsidRDefault="00561CA1" w:rsidP="00561CA1">
            <w:pPr>
              <w:autoSpaceDE w:val="0"/>
              <w:autoSpaceDN w:val="0"/>
              <w:adjustRightInd w:val="0"/>
              <w:snapToGrid w:val="0"/>
              <w:rPr>
                <w:rFonts w:eastAsia="Calibri"/>
                <w:b/>
                <w:bCs/>
                <w:color w:val="000000"/>
                <w:sz w:val="20"/>
                <w:szCs w:val="20"/>
                <w:lang w:val="pt-BR" w:eastAsia="en-US"/>
              </w:rPr>
            </w:pPr>
            <w:proofErr w:type="spellStart"/>
            <w:r w:rsidRPr="00561CA1">
              <w:rPr>
                <w:rFonts w:eastAsia="Calibri"/>
                <w:b/>
                <w:bCs/>
                <w:color w:val="000000"/>
                <w:sz w:val="20"/>
                <w:szCs w:val="20"/>
                <w:lang w:val="pt-BR" w:eastAsia="en-US"/>
              </w:rPr>
              <w:t>Impulsividad</w:t>
            </w:r>
            <w:proofErr w:type="spellEnd"/>
            <w:r w:rsidRPr="00561CA1">
              <w:rPr>
                <w:rFonts w:eastAsia="Calibri"/>
                <w:b/>
                <w:bCs/>
                <w:color w:val="000000"/>
                <w:sz w:val="20"/>
                <w:szCs w:val="20"/>
                <w:lang w:val="pt-BR" w:eastAsia="en-US"/>
              </w:rPr>
              <w:t xml:space="preserve"> rasgo</w:t>
            </w:r>
          </w:p>
        </w:tc>
        <w:tc>
          <w:tcPr>
            <w:tcW w:w="2410" w:type="dxa"/>
            <w:vAlign w:val="center"/>
          </w:tcPr>
          <w:p w14:paraId="65A77F88"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p>
        </w:tc>
        <w:tc>
          <w:tcPr>
            <w:tcW w:w="2126" w:type="dxa"/>
            <w:vAlign w:val="center"/>
          </w:tcPr>
          <w:p w14:paraId="65D48069"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p>
        </w:tc>
        <w:tc>
          <w:tcPr>
            <w:tcW w:w="993" w:type="dxa"/>
            <w:vAlign w:val="center"/>
          </w:tcPr>
          <w:p w14:paraId="244F2D97"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p>
        </w:tc>
      </w:tr>
      <w:tr w:rsidR="00561CA1" w:rsidRPr="00561CA1" w14:paraId="27DD5E83" w14:textId="77777777" w:rsidTr="00561CA1">
        <w:trPr>
          <w:trHeight w:hRule="exact" w:val="432"/>
        </w:trPr>
        <w:tc>
          <w:tcPr>
            <w:tcW w:w="2835" w:type="dxa"/>
            <w:vAlign w:val="center"/>
          </w:tcPr>
          <w:p w14:paraId="3ED0274B"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proofErr w:type="spellStart"/>
            <w:r w:rsidRPr="00561CA1">
              <w:rPr>
                <w:rFonts w:eastAsia="Calibri"/>
                <w:color w:val="000000"/>
                <w:sz w:val="20"/>
                <w:szCs w:val="20"/>
                <w:lang w:val="pt-BR" w:eastAsia="en-US"/>
              </w:rPr>
              <w:t>Urgencia</w:t>
            </w:r>
            <w:proofErr w:type="spellEnd"/>
            <w:r w:rsidRPr="00561CA1">
              <w:rPr>
                <w:rFonts w:eastAsia="Calibri"/>
                <w:color w:val="000000"/>
                <w:sz w:val="20"/>
                <w:szCs w:val="20"/>
                <w:lang w:val="pt-BR" w:eastAsia="en-US"/>
              </w:rPr>
              <w:t xml:space="preserve"> Negativa </w:t>
            </w:r>
          </w:p>
        </w:tc>
        <w:tc>
          <w:tcPr>
            <w:tcW w:w="2410" w:type="dxa"/>
            <w:vAlign w:val="center"/>
          </w:tcPr>
          <w:p w14:paraId="52803965"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 xml:space="preserve">16.98 (5.29) </w:t>
            </w:r>
          </w:p>
        </w:tc>
        <w:tc>
          <w:tcPr>
            <w:tcW w:w="2126" w:type="dxa"/>
            <w:vAlign w:val="center"/>
          </w:tcPr>
          <w:p w14:paraId="1C26A6AB"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18.10 (5.43)</w:t>
            </w:r>
          </w:p>
        </w:tc>
        <w:tc>
          <w:tcPr>
            <w:tcW w:w="993" w:type="dxa"/>
            <w:vAlign w:val="center"/>
          </w:tcPr>
          <w:p w14:paraId="11D4B2D5"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r w:rsidRPr="00561CA1">
              <w:rPr>
                <w:rFonts w:eastAsia="Calibri"/>
                <w:b/>
                <w:bCs/>
                <w:color w:val="000000"/>
                <w:sz w:val="20"/>
                <w:szCs w:val="20"/>
                <w:lang w:val="pt-BR" w:eastAsia="en-US"/>
              </w:rPr>
              <w:t>3.23</w:t>
            </w:r>
          </w:p>
        </w:tc>
      </w:tr>
      <w:tr w:rsidR="00561CA1" w:rsidRPr="00561CA1" w14:paraId="7E91977D" w14:textId="77777777" w:rsidTr="00561CA1">
        <w:trPr>
          <w:trHeight w:hRule="exact" w:val="432"/>
        </w:trPr>
        <w:tc>
          <w:tcPr>
            <w:tcW w:w="2835" w:type="dxa"/>
            <w:vAlign w:val="center"/>
          </w:tcPr>
          <w:p w14:paraId="727F85DA"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proofErr w:type="spellStart"/>
            <w:r w:rsidRPr="00561CA1">
              <w:rPr>
                <w:rFonts w:eastAsia="Calibri"/>
                <w:color w:val="000000"/>
                <w:sz w:val="20"/>
                <w:szCs w:val="20"/>
                <w:lang w:val="pt-BR" w:eastAsia="en-US"/>
              </w:rPr>
              <w:t>Urgencia</w:t>
            </w:r>
            <w:proofErr w:type="spellEnd"/>
            <w:r w:rsidRPr="00561CA1">
              <w:rPr>
                <w:rFonts w:eastAsia="Calibri"/>
                <w:color w:val="000000"/>
                <w:sz w:val="20"/>
                <w:szCs w:val="20"/>
                <w:lang w:val="pt-BR" w:eastAsia="en-US"/>
              </w:rPr>
              <w:t xml:space="preserve"> Positiva</w:t>
            </w:r>
          </w:p>
        </w:tc>
        <w:tc>
          <w:tcPr>
            <w:tcW w:w="2410" w:type="dxa"/>
            <w:vAlign w:val="center"/>
          </w:tcPr>
          <w:p w14:paraId="213EFA3A"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16.96 (6.05)</w:t>
            </w:r>
          </w:p>
        </w:tc>
        <w:tc>
          <w:tcPr>
            <w:tcW w:w="2126" w:type="dxa"/>
            <w:vAlign w:val="center"/>
          </w:tcPr>
          <w:p w14:paraId="08124AA1"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17.69 (6.14)</w:t>
            </w:r>
          </w:p>
        </w:tc>
        <w:tc>
          <w:tcPr>
            <w:tcW w:w="993" w:type="dxa"/>
            <w:vAlign w:val="center"/>
          </w:tcPr>
          <w:p w14:paraId="40C5C7DF"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1.85</w:t>
            </w:r>
          </w:p>
        </w:tc>
      </w:tr>
      <w:tr w:rsidR="00561CA1" w:rsidRPr="00561CA1" w14:paraId="68ACE248" w14:textId="77777777" w:rsidTr="00561CA1">
        <w:trPr>
          <w:trHeight w:hRule="exact" w:val="432"/>
        </w:trPr>
        <w:tc>
          <w:tcPr>
            <w:tcW w:w="2835" w:type="dxa"/>
            <w:vAlign w:val="center"/>
          </w:tcPr>
          <w:p w14:paraId="326DA2AD"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r w:rsidRPr="00561CA1">
              <w:rPr>
                <w:rFonts w:eastAsia="Calibri"/>
                <w:color w:val="000000"/>
                <w:sz w:val="20"/>
                <w:szCs w:val="20"/>
                <w:lang w:val="pt-BR" w:eastAsia="en-US"/>
              </w:rPr>
              <w:t xml:space="preserve">Falta de </w:t>
            </w:r>
            <w:proofErr w:type="spellStart"/>
            <w:r w:rsidRPr="00561CA1">
              <w:rPr>
                <w:rFonts w:eastAsia="Calibri"/>
                <w:color w:val="000000"/>
                <w:sz w:val="20"/>
                <w:szCs w:val="20"/>
                <w:lang w:val="pt-BR" w:eastAsia="en-US"/>
              </w:rPr>
              <w:t>Premeditación</w:t>
            </w:r>
            <w:proofErr w:type="spellEnd"/>
          </w:p>
        </w:tc>
        <w:tc>
          <w:tcPr>
            <w:tcW w:w="2410" w:type="dxa"/>
            <w:vAlign w:val="center"/>
          </w:tcPr>
          <w:p w14:paraId="3306A1E3"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17.42 (4.54)</w:t>
            </w:r>
          </w:p>
        </w:tc>
        <w:tc>
          <w:tcPr>
            <w:tcW w:w="2126" w:type="dxa"/>
            <w:vAlign w:val="center"/>
          </w:tcPr>
          <w:p w14:paraId="207D4F8B"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17.67 (4.55)</w:t>
            </w:r>
          </w:p>
        </w:tc>
        <w:tc>
          <w:tcPr>
            <w:tcW w:w="993" w:type="dxa"/>
            <w:vAlign w:val="center"/>
          </w:tcPr>
          <w:p w14:paraId="02614551"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0.87</w:t>
            </w:r>
          </w:p>
        </w:tc>
      </w:tr>
      <w:tr w:rsidR="00561CA1" w:rsidRPr="00561CA1" w14:paraId="444CDE34" w14:textId="77777777" w:rsidTr="00561CA1">
        <w:trPr>
          <w:trHeight w:hRule="exact" w:val="432"/>
        </w:trPr>
        <w:tc>
          <w:tcPr>
            <w:tcW w:w="2835" w:type="dxa"/>
            <w:vAlign w:val="center"/>
          </w:tcPr>
          <w:p w14:paraId="4B71C44B"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r w:rsidRPr="00561CA1">
              <w:rPr>
                <w:rFonts w:eastAsia="Calibri"/>
                <w:color w:val="000000"/>
                <w:sz w:val="20"/>
                <w:szCs w:val="20"/>
                <w:lang w:val="pt-BR" w:eastAsia="en-US"/>
              </w:rPr>
              <w:t xml:space="preserve">Falta de </w:t>
            </w:r>
            <w:proofErr w:type="spellStart"/>
            <w:r w:rsidRPr="00561CA1">
              <w:rPr>
                <w:rFonts w:eastAsia="Calibri"/>
                <w:color w:val="000000"/>
                <w:sz w:val="20"/>
                <w:szCs w:val="20"/>
                <w:lang w:val="pt-BR" w:eastAsia="en-US"/>
              </w:rPr>
              <w:t>Perseverancia</w:t>
            </w:r>
            <w:proofErr w:type="spellEnd"/>
          </w:p>
        </w:tc>
        <w:tc>
          <w:tcPr>
            <w:tcW w:w="2410" w:type="dxa"/>
            <w:vAlign w:val="center"/>
          </w:tcPr>
          <w:p w14:paraId="66843D72"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17.29 (4.43)</w:t>
            </w:r>
          </w:p>
        </w:tc>
        <w:tc>
          <w:tcPr>
            <w:tcW w:w="2126" w:type="dxa"/>
            <w:vAlign w:val="center"/>
          </w:tcPr>
          <w:p w14:paraId="7A363433"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17.59 (4.29)</w:t>
            </w:r>
          </w:p>
        </w:tc>
        <w:tc>
          <w:tcPr>
            <w:tcW w:w="993" w:type="dxa"/>
            <w:vAlign w:val="center"/>
          </w:tcPr>
          <w:p w14:paraId="0C7D770D"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1.07</w:t>
            </w:r>
          </w:p>
        </w:tc>
      </w:tr>
      <w:tr w:rsidR="00561CA1" w:rsidRPr="00561CA1" w14:paraId="41997C6D" w14:textId="77777777" w:rsidTr="00561CA1">
        <w:trPr>
          <w:trHeight w:hRule="exact" w:val="432"/>
        </w:trPr>
        <w:tc>
          <w:tcPr>
            <w:tcW w:w="2835" w:type="dxa"/>
            <w:vAlign w:val="center"/>
          </w:tcPr>
          <w:p w14:paraId="53F5385F"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proofErr w:type="spellStart"/>
            <w:r w:rsidRPr="00561CA1">
              <w:rPr>
                <w:rFonts w:eastAsia="Calibri"/>
                <w:color w:val="000000"/>
                <w:sz w:val="20"/>
                <w:szCs w:val="20"/>
                <w:lang w:val="pt-BR" w:eastAsia="en-US"/>
              </w:rPr>
              <w:t>Búsqueda</w:t>
            </w:r>
            <w:proofErr w:type="spellEnd"/>
            <w:r w:rsidRPr="00561CA1">
              <w:rPr>
                <w:rFonts w:eastAsia="Calibri"/>
                <w:color w:val="000000"/>
                <w:sz w:val="20"/>
                <w:szCs w:val="20"/>
                <w:lang w:val="pt-BR" w:eastAsia="en-US"/>
              </w:rPr>
              <w:t xml:space="preserve"> de </w:t>
            </w:r>
            <w:proofErr w:type="spellStart"/>
            <w:r w:rsidRPr="00561CA1">
              <w:rPr>
                <w:rFonts w:eastAsia="Calibri"/>
                <w:color w:val="000000"/>
                <w:sz w:val="20"/>
                <w:szCs w:val="20"/>
                <w:lang w:val="pt-BR" w:eastAsia="en-US"/>
              </w:rPr>
              <w:t>Sensaciones</w:t>
            </w:r>
            <w:proofErr w:type="spellEnd"/>
          </w:p>
        </w:tc>
        <w:tc>
          <w:tcPr>
            <w:tcW w:w="2410" w:type="dxa"/>
            <w:vAlign w:val="center"/>
          </w:tcPr>
          <w:p w14:paraId="0180794B"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20.95 (5.47)</w:t>
            </w:r>
          </w:p>
        </w:tc>
        <w:tc>
          <w:tcPr>
            <w:tcW w:w="2126" w:type="dxa"/>
            <w:vAlign w:val="center"/>
          </w:tcPr>
          <w:p w14:paraId="38B9F17D"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22.38 (5.43)</w:t>
            </w:r>
          </w:p>
        </w:tc>
        <w:tc>
          <w:tcPr>
            <w:tcW w:w="993" w:type="dxa"/>
            <w:vAlign w:val="center"/>
          </w:tcPr>
          <w:p w14:paraId="50720793"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r w:rsidRPr="00561CA1">
              <w:rPr>
                <w:rFonts w:eastAsia="Calibri"/>
                <w:b/>
                <w:bCs/>
                <w:color w:val="000000"/>
                <w:sz w:val="20"/>
                <w:szCs w:val="20"/>
                <w:lang w:val="pt-BR" w:eastAsia="en-US"/>
              </w:rPr>
              <w:t>4.07</w:t>
            </w:r>
          </w:p>
        </w:tc>
      </w:tr>
      <w:tr w:rsidR="00561CA1" w:rsidRPr="00561CA1" w14:paraId="2A4F2632" w14:textId="77777777" w:rsidTr="00561CA1">
        <w:trPr>
          <w:trHeight w:hRule="exact" w:val="432"/>
        </w:trPr>
        <w:tc>
          <w:tcPr>
            <w:tcW w:w="2835" w:type="dxa"/>
            <w:vAlign w:val="center"/>
          </w:tcPr>
          <w:p w14:paraId="38473C43" w14:textId="77777777" w:rsidR="00561CA1" w:rsidRPr="00561CA1" w:rsidRDefault="00561CA1" w:rsidP="00561CA1">
            <w:pPr>
              <w:autoSpaceDE w:val="0"/>
              <w:autoSpaceDN w:val="0"/>
              <w:adjustRightInd w:val="0"/>
              <w:snapToGrid w:val="0"/>
              <w:rPr>
                <w:rFonts w:eastAsia="Calibri"/>
                <w:b/>
                <w:bCs/>
                <w:color w:val="000000"/>
                <w:sz w:val="20"/>
                <w:szCs w:val="20"/>
                <w:lang w:val="pt-BR" w:eastAsia="en-US"/>
              </w:rPr>
            </w:pPr>
            <w:proofErr w:type="spellStart"/>
            <w:r w:rsidRPr="00561CA1">
              <w:rPr>
                <w:rFonts w:eastAsia="Calibri"/>
                <w:b/>
                <w:bCs/>
                <w:color w:val="000000"/>
                <w:sz w:val="20"/>
                <w:szCs w:val="20"/>
                <w:lang w:val="pt-BR" w:eastAsia="en-US"/>
              </w:rPr>
              <w:t>Pruebas</w:t>
            </w:r>
            <w:proofErr w:type="spellEnd"/>
            <w:r w:rsidRPr="00561CA1">
              <w:rPr>
                <w:rFonts w:eastAsia="Calibri"/>
                <w:b/>
                <w:bCs/>
                <w:color w:val="000000"/>
                <w:sz w:val="20"/>
                <w:szCs w:val="20"/>
                <w:lang w:val="pt-BR" w:eastAsia="en-US"/>
              </w:rPr>
              <w:t xml:space="preserve"> </w:t>
            </w:r>
            <w:proofErr w:type="spellStart"/>
            <w:r w:rsidRPr="00561CA1">
              <w:rPr>
                <w:rFonts w:eastAsia="Calibri"/>
                <w:b/>
                <w:bCs/>
                <w:color w:val="000000"/>
                <w:sz w:val="20"/>
                <w:szCs w:val="20"/>
                <w:lang w:val="pt-BR" w:eastAsia="en-US"/>
              </w:rPr>
              <w:t>conductuales</w:t>
            </w:r>
            <w:proofErr w:type="spellEnd"/>
            <w:r w:rsidRPr="00561CA1">
              <w:rPr>
                <w:rFonts w:eastAsia="Calibri"/>
                <w:b/>
                <w:bCs/>
                <w:color w:val="000000"/>
                <w:sz w:val="20"/>
                <w:szCs w:val="20"/>
                <w:lang w:val="pt-BR" w:eastAsia="en-US"/>
              </w:rPr>
              <w:t xml:space="preserve"> </w:t>
            </w:r>
          </w:p>
        </w:tc>
        <w:tc>
          <w:tcPr>
            <w:tcW w:w="2410" w:type="dxa"/>
            <w:vAlign w:val="center"/>
          </w:tcPr>
          <w:p w14:paraId="1FDFA7F0"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p>
        </w:tc>
        <w:tc>
          <w:tcPr>
            <w:tcW w:w="2126" w:type="dxa"/>
            <w:vAlign w:val="center"/>
          </w:tcPr>
          <w:p w14:paraId="623A749B"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p>
        </w:tc>
        <w:tc>
          <w:tcPr>
            <w:tcW w:w="993" w:type="dxa"/>
            <w:vAlign w:val="center"/>
          </w:tcPr>
          <w:p w14:paraId="77985704"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p>
        </w:tc>
      </w:tr>
      <w:tr w:rsidR="00561CA1" w:rsidRPr="00561CA1" w14:paraId="1DB73234" w14:textId="77777777" w:rsidTr="00561CA1">
        <w:trPr>
          <w:trHeight w:hRule="exact" w:val="432"/>
        </w:trPr>
        <w:tc>
          <w:tcPr>
            <w:tcW w:w="2835" w:type="dxa"/>
            <w:vAlign w:val="center"/>
          </w:tcPr>
          <w:p w14:paraId="39791BD0"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proofErr w:type="spellStart"/>
            <w:r w:rsidRPr="00561CA1">
              <w:rPr>
                <w:rFonts w:eastAsia="Calibri"/>
                <w:color w:val="000000"/>
                <w:sz w:val="20"/>
                <w:szCs w:val="20"/>
                <w:lang w:val="pt-BR" w:eastAsia="en-US"/>
              </w:rPr>
              <w:t>Prom</w:t>
            </w:r>
            <w:proofErr w:type="spellEnd"/>
            <w:r w:rsidRPr="00561CA1">
              <w:rPr>
                <w:rFonts w:eastAsia="Calibri"/>
                <w:color w:val="000000"/>
                <w:sz w:val="20"/>
                <w:szCs w:val="20"/>
                <w:lang w:val="pt-BR" w:eastAsia="en-US"/>
              </w:rPr>
              <w:t xml:space="preserve"> Ajustado (BART)</w:t>
            </w:r>
          </w:p>
        </w:tc>
        <w:tc>
          <w:tcPr>
            <w:tcW w:w="2410" w:type="dxa"/>
            <w:vAlign w:val="center"/>
          </w:tcPr>
          <w:p w14:paraId="762CD79F"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30.77 (13.05)</w:t>
            </w:r>
          </w:p>
        </w:tc>
        <w:tc>
          <w:tcPr>
            <w:tcW w:w="2126" w:type="dxa"/>
            <w:vAlign w:val="center"/>
          </w:tcPr>
          <w:p w14:paraId="3158DF88"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33.18 (13.76)</w:t>
            </w:r>
          </w:p>
        </w:tc>
        <w:tc>
          <w:tcPr>
            <w:tcW w:w="993" w:type="dxa"/>
            <w:vAlign w:val="center"/>
          </w:tcPr>
          <w:p w14:paraId="3984261E"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r w:rsidRPr="00561CA1">
              <w:rPr>
                <w:rFonts w:eastAsia="Calibri"/>
                <w:b/>
                <w:bCs/>
                <w:color w:val="000000"/>
                <w:sz w:val="20"/>
                <w:szCs w:val="20"/>
                <w:lang w:val="pt-BR" w:eastAsia="en-US"/>
              </w:rPr>
              <w:t>2.79</w:t>
            </w:r>
          </w:p>
        </w:tc>
      </w:tr>
      <w:tr w:rsidR="00561CA1" w:rsidRPr="00561CA1" w14:paraId="76F19AA9" w14:textId="77777777" w:rsidTr="00561CA1">
        <w:trPr>
          <w:trHeight w:hRule="exact" w:val="432"/>
        </w:trPr>
        <w:tc>
          <w:tcPr>
            <w:tcW w:w="2835" w:type="dxa"/>
            <w:vAlign w:val="center"/>
          </w:tcPr>
          <w:p w14:paraId="180DBE8C"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proofErr w:type="spellStart"/>
            <w:r w:rsidRPr="00561CA1">
              <w:rPr>
                <w:rFonts w:eastAsia="Calibri"/>
                <w:color w:val="000000"/>
                <w:sz w:val="20"/>
                <w:szCs w:val="20"/>
                <w:lang w:val="pt-BR" w:eastAsia="en-US"/>
              </w:rPr>
              <w:t>Errores</w:t>
            </w:r>
            <w:proofErr w:type="spellEnd"/>
            <w:r w:rsidRPr="00561CA1">
              <w:rPr>
                <w:rFonts w:eastAsia="Calibri"/>
                <w:color w:val="000000"/>
                <w:sz w:val="20"/>
                <w:szCs w:val="20"/>
                <w:lang w:val="pt-BR" w:eastAsia="en-US"/>
              </w:rPr>
              <w:t xml:space="preserve"> </w:t>
            </w:r>
            <w:proofErr w:type="spellStart"/>
            <w:r w:rsidRPr="00561CA1">
              <w:rPr>
                <w:rFonts w:eastAsia="Calibri"/>
                <w:color w:val="000000"/>
                <w:sz w:val="20"/>
                <w:szCs w:val="20"/>
                <w:lang w:val="pt-BR" w:eastAsia="en-US"/>
              </w:rPr>
              <w:t>comisión</w:t>
            </w:r>
            <w:proofErr w:type="spellEnd"/>
            <w:r w:rsidRPr="00561CA1">
              <w:rPr>
                <w:rFonts w:eastAsia="Calibri"/>
                <w:color w:val="000000"/>
                <w:sz w:val="20"/>
                <w:szCs w:val="20"/>
                <w:lang w:val="pt-BR" w:eastAsia="en-US"/>
              </w:rPr>
              <w:t xml:space="preserve"> (GO NO-GO)</w:t>
            </w:r>
          </w:p>
        </w:tc>
        <w:tc>
          <w:tcPr>
            <w:tcW w:w="2410" w:type="dxa"/>
            <w:vAlign w:val="center"/>
          </w:tcPr>
          <w:p w14:paraId="6253C98A"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15.88 (6.43)</w:t>
            </w:r>
          </w:p>
        </w:tc>
        <w:tc>
          <w:tcPr>
            <w:tcW w:w="2126" w:type="dxa"/>
            <w:vAlign w:val="center"/>
          </w:tcPr>
          <w:p w14:paraId="43679451"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14.07 (6.12)</w:t>
            </w:r>
          </w:p>
        </w:tc>
        <w:tc>
          <w:tcPr>
            <w:tcW w:w="993" w:type="dxa"/>
            <w:vAlign w:val="center"/>
          </w:tcPr>
          <w:p w14:paraId="77B1B174"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r w:rsidRPr="00561CA1">
              <w:rPr>
                <w:rFonts w:eastAsia="Calibri"/>
                <w:b/>
                <w:bCs/>
                <w:color w:val="000000"/>
                <w:sz w:val="20"/>
                <w:szCs w:val="20"/>
                <w:lang w:val="pt-BR" w:eastAsia="en-US"/>
              </w:rPr>
              <w:t>4.46</w:t>
            </w:r>
          </w:p>
        </w:tc>
      </w:tr>
      <w:tr w:rsidR="00561CA1" w:rsidRPr="00561CA1" w14:paraId="795CEEF0" w14:textId="77777777" w:rsidTr="00561CA1">
        <w:trPr>
          <w:trHeight w:hRule="exact" w:val="432"/>
        </w:trPr>
        <w:tc>
          <w:tcPr>
            <w:tcW w:w="2835" w:type="dxa"/>
            <w:vAlign w:val="center"/>
          </w:tcPr>
          <w:p w14:paraId="2DC73869"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proofErr w:type="spellStart"/>
            <w:r w:rsidRPr="00561CA1">
              <w:rPr>
                <w:rFonts w:eastAsia="Calibri"/>
                <w:color w:val="000000"/>
                <w:sz w:val="20"/>
                <w:szCs w:val="20"/>
                <w:lang w:val="pt-BR" w:eastAsia="en-US"/>
              </w:rPr>
              <w:t>Errores</w:t>
            </w:r>
            <w:proofErr w:type="spellEnd"/>
            <w:r w:rsidRPr="00561CA1">
              <w:rPr>
                <w:rFonts w:eastAsia="Calibri"/>
                <w:color w:val="000000"/>
                <w:sz w:val="20"/>
                <w:szCs w:val="20"/>
                <w:lang w:val="pt-BR" w:eastAsia="en-US"/>
              </w:rPr>
              <w:t xml:space="preserve"> </w:t>
            </w:r>
            <w:proofErr w:type="spellStart"/>
            <w:r w:rsidRPr="00561CA1">
              <w:rPr>
                <w:rFonts w:eastAsia="Calibri"/>
                <w:color w:val="000000"/>
                <w:sz w:val="20"/>
                <w:szCs w:val="20"/>
                <w:lang w:val="pt-BR" w:eastAsia="en-US"/>
              </w:rPr>
              <w:t>omisión</w:t>
            </w:r>
            <w:proofErr w:type="spellEnd"/>
            <w:r w:rsidRPr="00561CA1">
              <w:rPr>
                <w:rFonts w:eastAsia="Calibri"/>
                <w:color w:val="000000"/>
                <w:sz w:val="20"/>
                <w:szCs w:val="20"/>
                <w:lang w:val="pt-BR" w:eastAsia="en-US"/>
              </w:rPr>
              <w:t xml:space="preserve"> (GO NO-GO)</w:t>
            </w:r>
          </w:p>
        </w:tc>
        <w:tc>
          <w:tcPr>
            <w:tcW w:w="2410" w:type="dxa"/>
            <w:vAlign w:val="center"/>
          </w:tcPr>
          <w:p w14:paraId="4ECBE717"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6.90 (12.67)</w:t>
            </w:r>
          </w:p>
        </w:tc>
        <w:tc>
          <w:tcPr>
            <w:tcW w:w="2126" w:type="dxa"/>
            <w:vAlign w:val="center"/>
          </w:tcPr>
          <w:p w14:paraId="7F6D3A1D"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6.49 (13.29)</w:t>
            </w:r>
          </w:p>
        </w:tc>
        <w:tc>
          <w:tcPr>
            <w:tcW w:w="993" w:type="dxa"/>
            <w:vAlign w:val="center"/>
          </w:tcPr>
          <w:p w14:paraId="1C5B65CB"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0.49</w:t>
            </w:r>
          </w:p>
        </w:tc>
      </w:tr>
      <w:tr w:rsidR="00561CA1" w:rsidRPr="00561CA1" w14:paraId="42FE274E" w14:textId="77777777" w:rsidTr="00561CA1">
        <w:trPr>
          <w:trHeight w:hRule="exact" w:val="432"/>
        </w:trPr>
        <w:tc>
          <w:tcPr>
            <w:tcW w:w="2835" w:type="dxa"/>
            <w:tcBorders>
              <w:bottom w:val="single" w:sz="4" w:space="0" w:color="auto"/>
            </w:tcBorders>
            <w:vAlign w:val="center"/>
          </w:tcPr>
          <w:p w14:paraId="7D47775A" w14:textId="77777777" w:rsidR="00561CA1" w:rsidRPr="00561CA1" w:rsidRDefault="00561CA1" w:rsidP="00561CA1">
            <w:pPr>
              <w:autoSpaceDE w:val="0"/>
              <w:autoSpaceDN w:val="0"/>
              <w:adjustRightInd w:val="0"/>
              <w:snapToGrid w:val="0"/>
              <w:rPr>
                <w:rFonts w:eastAsia="Calibri"/>
                <w:color w:val="000000"/>
                <w:sz w:val="20"/>
                <w:szCs w:val="20"/>
                <w:lang w:val="pt-BR" w:eastAsia="en-US"/>
              </w:rPr>
            </w:pPr>
            <w:proofErr w:type="spellStart"/>
            <w:r w:rsidRPr="00561CA1">
              <w:rPr>
                <w:rFonts w:eastAsia="Calibri"/>
                <w:color w:val="000000"/>
                <w:sz w:val="20"/>
                <w:szCs w:val="20"/>
                <w:lang w:val="pt-BR" w:eastAsia="en-US"/>
              </w:rPr>
              <w:t>Errores</w:t>
            </w:r>
            <w:proofErr w:type="spellEnd"/>
            <w:r w:rsidRPr="00561CA1">
              <w:rPr>
                <w:rFonts w:eastAsia="Calibri"/>
                <w:color w:val="000000"/>
                <w:sz w:val="20"/>
                <w:szCs w:val="20"/>
                <w:lang w:val="pt-BR" w:eastAsia="en-US"/>
              </w:rPr>
              <w:t xml:space="preserve"> </w:t>
            </w:r>
            <w:proofErr w:type="spellStart"/>
            <w:r w:rsidRPr="00561CA1">
              <w:rPr>
                <w:rFonts w:eastAsia="Calibri"/>
                <w:color w:val="000000"/>
                <w:sz w:val="20"/>
                <w:szCs w:val="20"/>
                <w:lang w:val="pt-BR" w:eastAsia="en-US"/>
              </w:rPr>
              <w:t>perseverativos</w:t>
            </w:r>
            <w:proofErr w:type="spellEnd"/>
            <w:r w:rsidRPr="00561CA1">
              <w:rPr>
                <w:rFonts w:eastAsia="Calibri"/>
                <w:color w:val="000000"/>
                <w:sz w:val="20"/>
                <w:szCs w:val="20"/>
                <w:lang w:val="pt-BR" w:eastAsia="en-US"/>
              </w:rPr>
              <w:t xml:space="preserve"> (WISC)</w:t>
            </w:r>
          </w:p>
        </w:tc>
        <w:tc>
          <w:tcPr>
            <w:tcW w:w="2410" w:type="dxa"/>
            <w:tcBorders>
              <w:bottom w:val="single" w:sz="4" w:space="0" w:color="auto"/>
            </w:tcBorders>
            <w:vAlign w:val="center"/>
          </w:tcPr>
          <w:p w14:paraId="39BAB5CD"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21.16 (8.73)</w:t>
            </w:r>
          </w:p>
        </w:tc>
        <w:tc>
          <w:tcPr>
            <w:tcW w:w="2126" w:type="dxa"/>
            <w:tcBorders>
              <w:bottom w:val="single" w:sz="4" w:space="0" w:color="auto"/>
            </w:tcBorders>
            <w:vAlign w:val="center"/>
          </w:tcPr>
          <w:p w14:paraId="4ADD47EC" w14:textId="77777777" w:rsidR="00561CA1" w:rsidRPr="00561CA1" w:rsidRDefault="00561CA1" w:rsidP="00561CA1">
            <w:pPr>
              <w:autoSpaceDE w:val="0"/>
              <w:autoSpaceDN w:val="0"/>
              <w:adjustRightInd w:val="0"/>
              <w:snapToGrid w:val="0"/>
              <w:jc w:val="center"/>
              <w:rPr>
                <w:rFonts w:eastAsia="Calibri"/>
                <w:color w:val="000000"/>
                <w:sz w:val="20"/>
                <w:szCs w:val="20"/>
                <w:lang w:val="pt-BR" w:eastAsia="en-US"/>
              </w:rPr>
            </w:pPr>
            <w:r w:rsidRPr="00561CA1">
              <w:rPr>
                <w:rFonts w:eastAsia="Calibri"/>
                <w:color w:val="000000"/>
                <w:sz w:val="20"/>
                <w:szCs w:val="20"/>
                <w:lang w:val="pt-BR" w:eastAsia="en-US"/>
              </w:rPr>
              <w:t>19.70 (7.77)</w:t>
            </w:r>
          </w:p>
        </w:tc>
        <w:tc>
          <w:tcPr>
            <w:tcW w:w="993" w:type="dxa"/>
            <w:tcBorders>
              <w:bottom w:val="single" w:sz="4" w:space="0" w:color="auto"/>
            </w:tcBorders>
            <w:vAlign w:val="center"/>
          </w:tcPr>
          <w:p w14:paraId="261D0965" w14:textId="77777777" w:rsidR="00561CA1" w:rsidRPr="00561CA1" w:rsidRDefault="00561CA1" w:rsidP="00561CA1">
            <w:pPr>
              <w:autoSpaceDE w:val="0"/>
              <w:autoSpaceDN w:val="0"/>
              <w:adjustRightInd w:val="0"/>
              <w:snapToGrid w:val="0"/>
              <w:jc w:val="center"/>
              <w:rPr>
                <w:rFonts w:eastAsia="Calibri"/>
                <w:b/>
                <w:bCs/>
                <w:color w:val="000000"/>
                <w:sz w:val="20"/>
                <w:szCs w:val="20"/>
                <w:lang w:val="pt-BR" w:eastAsia="en-US"/>
              </w:rPr>
            </w:pPr>
            <w:r w:rsidRPr="00561CA1">
              <w:rPr>
                <w:rFonts w:eastAsia="Calibri"/>
                <w:b/>
                <w:bCs/>
                <w:color w:val="000000"/>
                <w:sz w:val="20"/>
                <w:szCs w:val="20"/>
                <w:lang w:val="pt-BR" w:eastAsia="en-US"/>
              </w:rPr>
              <w:t>2.72</w:t>
            </w:r>
          </w:p>
        </w:tc>
      </w:tr>
    </w:tbl>
    <w:p w14:paraId="2B36BD58" w14:textId="68EDC3E0" w:rsidR="00561CA1" w:rsidRDefault="00561CA1" w:rsidP="00561CA1">
      <w:pPr>
        <w:ind w:left="90" w:right="996"/>
        <w:jc w:val="both"/>
        <w:rPr>
          <w:rFonts w:eastAsia="Calibri"/>
          <w:color w:val="000000"/>
          <w:sz w:val="20"/>
          <w:szCs w:val="20"/>
          <w:lang w:val="pt-BR" w:eastAsia="en-US"/>
        </w:rPr>
      </w:pPr>
      <w:r w:rsidRPr="00561CA1">
        <w:rPr>
          <w:rFonts w:eastAsia="Calibri"/>
          <w:i/>
          <w:color w:val="000000"/>
          <w:sz w:val="20"/>
          <w:szCs w:val="20"/>
          <w:lang w:val="pt-BR" w:eastAsia="en-US"/>
        </w:rPr>
        <w:t>Nota.</w:t>
      </w:r>
      <w:r w:rsidRPr="00561CA1">
        <w:rPr>
          <w:rFonts w:eastAsia="Calibri"/>
          <w:color w:val="000000"/>
          <w:sz w:val="20"/>
          <w:szCs w:val="20"/>
          <w:lang w:val="pt-BR" w:eastAsia="en-US"/>
        </w:rPr>
        <w:t xml:space="preserve"> Los resultados se </w:t>
      </w:r>
      <w:proofErr w:type="spellStart"/>
      <w:r w:rsidRPr="00561CA1">
        <w:rPr>
          <w:rFonts w:eastAsia="Calibri"/>
          <w:color w:val="000000"/>
          <w:sz w:val="20"/>
          <w:szCs w:val="20"/>
          <w:lang w:val="pt-BR" w:eastAsia="en-US"/>
        </w:rPr>
        <w:t>presentan</w:t>
      </w:r>
      <w:proofErr w:type="spellEnd"/>
      <w:r w:rsidRPr="00561CA1">
        <w:rPr>
          <w:rFonts w:eastAsia="Calibri"/>
          <w:color w:val="000000"/>
          <w:sz w:val="20"/>
          <w:szCs w:val="20"/>
          <w:lang w:val="pt-BR" w:eastAsia="en-US"/>
        </w:rPr>
        <w:t xml:space="preserve"> como medias y </w:t>
      </w:r>
      <w:proofErr w:type="spellStart"/>
      <w:r w:rsidRPr="00561CA1">
        <w:rPr>
          <w:rFonts w:eastAsia="Calibri"/>
          <w:color w:val="000000"/>
          <w:sz w:val="20"/>
          <w:szCs w:val="20"/>
          <w:lang w:val="pt-BR" w:eastAsia="en-US"/>
        </w:rPr>
        <w:t>desviación</w:t>
      </w:r>
      <w:proofErr w:type="spellEnd"/>
      <w:r w:rsidRPr="00561CA1">
        <w:rPr>
          <w:rFonts w:eastAsia="Calibri"/>
          <w:color w:val="000000"/>
          <w:sz w:val="20"/>
          <w:szCs w:val="20"/>
          <w:lang w:val="pt-BR" w:eastAsia="en-US"/>
        </w:rPr>
        <w:t xml:space="preserve"> </w:t>
      </w:r>
      <w:proofErr w:type="spellStart"/>
      <w:r w:rsidRPr="00561CA1">
        <w:rPr>
          <w:rFonts w:eastAsia="Calibri"/>
          <w:color w:val="000000"/>
          <w:sz w:val="20"/>
          <w:szCs w:val="20"/>
          <w:lang w:val="pt-BR" w:eastAsia="en-US"/>
        </w:rPr>
        <w:t>estándar</w:t>
      </w:r>
      <w:proofErr w:type="spellEnd"/>
      <w:r w:rsidRPr="00561CA1">
        <w:rPr>
          <w:rFonts w:eastAsia="Calibri"/>
          <w:color w:val="000000"/>
          <w:sz w:val="20"/>
          <w:szCs w:val="20"/>
          <w:lang w:val="pt-BR" w:eastAsia="en-US"/>
        </w:rPr>
        <w:t xml:space="preserve"> </w:t>
      </w:r>
      <w:proofErr w:type="spellStart"/>
      <w:r w:rsidRPr="00561CA1">
        <w:rPr>
          <w:rFonts w:eastAsia="Calibri"/>
          <w:color w:val="000000"/>
          <w:sz w:val="20"/>
          <w:szCs w:val="20"/>
          <w:lang w:val="pt-BR" w:eastAsia="en-US"/>
        </w:rPr>
        <w:t>en</w:t>
      </w:r>
      <w:proofErr w:type="spellEnd"/>
      <w:r w:rsidRPr="00561CA1">
        <w:rPr>
          <w:rFonts w:eastAsia="Calibri"/>
          <w:color w:val="000000"/>
          <w:sz w:val="20"/>
          <w:szCs w:val="20"/>
          <w:lang w:val="pt-BR" w:eastAsia="en-US"/>
        </w:rPr>
        <w:t xml:space="preserve"> cada </w:t>
      </w:r>
      <w:proofErr w:type="spellStart"/>
      <w:r w:rsidRPr="00561CA1">
        <w:rPr>
          <w:rFonts w:eastAsia="Calibri"/>
          <w:color w:val="000000"/>
          <w:sz w:val="20"/>
          <w:szCs w:val="20"/>
          <w:lang w:val="pt-BR" w:eastAsia="en-US"/>
        </w:rPr>
        <w:t>categoría</w:t>
      </w:r>
      <w:proofErr w:type="spellEnd"/>
      <w:r w:rsidRPr="00561CA1">
        <w:rPr>
          <w:rFonts w:eastAsia="Calibri"/>
          <w:color w:val="000000"/>
          <w:sz w:val="20"/>
          <w:szCs w:val="20"/>
          <w:lang w:val="pt-BR" w:eastAsia="en-US"/>
        </w:rPr>
        <w:t xml:space="preserve">. </w:t>
      </w:r>
      <w:proofErr w:type="spellStart"/>
      <w:r w:rsidRPr="00561CA1">
        <w:rPr>
          <w:rFonts w:eastAsia="Calibri"/>
          <w:color w:val="000000"/>
          <w:sz w:val="20"/>
          <w:szCs w:val="20"/>
          <w:lang w:val="pt-BR" w:eastAsia="en-US"/>
        </w:rPr>
        <w:t>Preadolescentes</w:t>
      </w:r>
      <w:proofErr w:type="spellEnd"/>
      <w:r w:rsidRPr="00561CA1">
        <w:rPr>
          <w:rFonts w:eastAsia="Calibri"/>
          <w:color w:val="000000"/>
          <w:sz w:val="20"/>
          <w:szCs w:val="20"/>
          <w:lang w:val="pt-BR" w:eastAsia="en-US"/>
        </w:rPr>
        <w:t xml:space="preserve"> = 11 a 13 </w:t>
      </w:r>
      <w:proofErr w:type="spellStart"/>
      <w:r w:rsidRPr="00561CA1">
        <w:rPr>
          <w:rFonts w:eastAsia="Calibri"/>
          <w:color w:val="000000"/>
          <w:sz w:val="20"/>
          <w:szCs w:val="20"/>
          <w:lang w:val="pt-BR" w:eastAsia="en-US"/>
        </w:rPr>
        <w:t>años</w:t>
      </w:r>
      <w:proofErr w:type="spellEnd"/>
      <w:r w:rsidRPr="00561CA1">
        <w:rPr>
          <w:rFonts w:eastAsia="Calibri"/>
          <w:color w:val="000000"/>
          <w:sz w:val="20"/>
          <w:szCs w:val="20"/>
          <w:lang w:val="pt-BR" w:eastAsia="en-US"/>
        </w:rPr>
        <w:t xml:space="preserve">; Adolescentes = 14 a 16 </w:t>
      </w:r>
      <w:proofErr w:type="spellStart"/>
      <w:r w:rsidRPr="00561CA1">
        <w:rPr>
          <w:rFonts w:eastAsia="Calibri"/>
          <w:color w:val="000000"/>
          <w:sz w:val="20"/>
          <w:szCs w:val="20"/>
          <w:lang w:val="pt-BR" w:eastAsia="en-US"/>
        </w:rPr>
        <w:t>años</w:t>
      </w:r>
      <w:proofErr w:type="spellEnd"/>
      <w:r w:rsidRPr="00561CA1">
        <w:rPr>
          <w:rFonts w:eastAsia="Calibri"/>
          <w:color w:val="000000"/>
          <w:sz w:val="20"/>
          <w:szCs w:val="20"/>
          <w:lang w:val="pt-BR" w:eastAsia="en-US"/>
        </w:rPr>
        <w:t xml:space="preserve">. </w:t>
      </w:r>
      <w:proofErr w:type="spellStart"/>
      <w:r w:rsidRPr="00561CA1">
        <w:rPr>
          <w:rFonts w:eastAsia="Calibri"/>
          <w:color w:val="000000"/>
          <w:sz w:val="20"/>
          <w:szCs w:val="20"/>
          <w:lang w:val="pt-BR" w:eastAsia="en-US"/>
        </w:rPr>
        <w:t>En</w:t>
      </w:r>
      <w:proofErr w:type="spellEnd"/>
      <w:r w:rsidRPr="00561CA1">
        <w:rPr>
          <w:rFonts w:eastAsia="Calibri"/>
          <w:color w:val="000000"/>
          <w:sz w:val="20"/>
          <w:szCs w:val="20"/>
          <w:lang w:val="pt-BR" w:eastAsia="en-US"/>
        </w:rPr>
        <w:t xml:space="preserve"> negrita se </w:t>
      </w:r>
      <w:proofErr w:type="spellStart"/>
      <w:r w:rsidRPr="00561CA1">
        <w:rPr>
          <w:rFonts w:eastAsia="Calibri"/>
          <w:color w:val="000000"/>
          <w:sz w:val="20"/>
          <w:szCs w:val="20"/>
          <w:lang w:val="pt-BR" w:eastAsia="en-US"/>
        </w:rPr>
        <w:t>destacan</w:t>
      </w:r>
      <w:proofErr w:type="spellEnd"/>
      <w:r w:rsidRPr="00561CA1">
        <w:rPr>
          <w:rFonts w:eastAsia="Calibri"/>
          <w:color w:val="000000"/>
          <w:sz w:val="20"/>
          <w:szCs w:val="20"/>
          <w:lang w:val="pt-BR" w:eastAsia="en-US"/>
        </w:rPr>
        <w:t xml:space="preserve"> </w:t>
      </w:r>
      <w:proofErr w:type="spellStart"/>
      <w:r w:rsidRPr="00561CA1">
        <w:rPr>
          <w:rFonts w:eastAsia="Calibri"/>
          <w:color w:val="000000"/>
          <w:sz w:val="20"/>
          <w:szCs w:val="20"/>
          <w:lang w:val="pt-BR" w:eastAsia="en-US"/>
        </w:rPr>
        <w:t>las</w:t>
      </w:r>
      <w:proofErr w:type="spellEnd"/>
      <w:r w:rsidRPr="00561CA1">
        <w:rPr>
          <w:rFonts w:eastAsia="Calibri"/>
          <w:color w:val="000000"/>
          <w:sz w:val="20"/>
          <w:szCs w:val="20"/>
          <w:lang w:val="pt-BR" w:eastAsia="en-US"/>
        </w:rPr>
        <w:t xml:space="preserve"> diferencias </w:t>
      </w:r>
      <w:proofErr w:type="spellStart"/>
      <w:r w:rsidRPr="00561CA1">
        <w:rPr>
          <w:rFonts w:eastAsia="Calibri"/>
          <w:color w:val="000000"/>
          <w:sz w:val="20"/>
          <w:szCs w:val="20"/>
          <w:lang w:val="pt-BR" w:eastAsia="en-US"/>
        </w:rPr>
        <w:t>estadísticamente</w:t>
      </w:r>
      <w:proofErr w:type="spellEnd"/>
      <w:r w:rsidRPr="00561CA1">
        <w:rPr>
          <w:rFonts w:eastAsia="Calibri"/>
          <w:color w:val="000000"/>
          <w:sz w:val="20"/>
          <w:szCs w:val="20"/>
          <w:lang w:val="pt-BR" w:eastAsia="en-US"/>
        </w:rPr>
        <w:t xml:space="preserve"> significativas a </w:t>
      </w:r>
      <w:r w:rsidRPr="00561CA1">
        <w:rPr>
          <w:rFonts w:eastAsia="Calibri"/>
          <w:i/>
          <w:color w:val="000000"/>
          <w:sz w:val="20"/>
          <w:szCs w:val="20"/>
          <w:lang w:val="pt-BR" w:eastAsia="en-US"/>
        </w:rPr>
        <w:t>p</w:t>
      </w:r>
      <w:r w:rsidRPr="00561CA1">
        <w:rPr>
          <w:rFonts w:eastAsia="Calibri"/>
          <w:color w:val="000000"/>
          <w:sz w:val="20"/>
          <w:szCs w:val="20"/>
          <w:lang w:val="pt-BR" w:eastAsia="en-US"/>
        </w:rPr>
        <w:t xml:space="preserve"> ≤ .05</w:t>
      </w:r>
    </w:p>
    <w:p w14:paraId="048045F7" w14:textId="6549A061" w:rsidR="000320FE" w:rsidRDefault="000320FE" w:rsidP="00561CA1">
      <w:pPr>
        <w:ind w:left="90" w:right="996"/>
        <w:jc w:val="both"/>
        <w:rPr>
          <w:rFonts w:eastAsia="Calibri"/>
          <w:color w:val="000000"/>
          <w:sz w:val="20"/>
          <w:szCs w:val="20"/>
          <w:lang w:val="pt-BR" w:eastAsia="en-US"/>
        </w:rPr>
      </w:pPr>
    </w:p>
    <w:p w14:paraId="549A9FA0" w14:textId="77777777" w:rsidR="004C1657" w:rsidRDefault="004C1657" w:rsidP="00561CA1">
      <w:pPr>
        <w:ind w:left="90" w:right="996"/>
        <w:jc w:val="both"/>
        <w:rPr>
          <w:rFonts w:eastAsia="Calibri"/>
          <w:color w:val="000000"/>
          <w:sz w:val="20"/>
          <w:szCs w:val="20"/>
          <w:lang w:val="pt-BR" w:eastAsia="en-US"/>
        </w:rPr>
      </w:pPr>
    </w:p>
    <w:p w14:paraId="2E1FEAA7" w14:textId="77777777" w:rsidR="000320FE" w:rsidRPr="000320FE" w:rsidRDefault="000320FE" w:rsidP="000320FE">
      <w:pPr>
        <w:widowControl w:val="0"/>
        <w:autoSpaceDE w:val="0"/>
        <w:autoSpaceDN w:val="0"/>
        <w:adjustRightInd w:val="0"/>
        <w:spacing w:line="360" w:lineRule="auto"/>
        <w:rPr>
          <w:b/>
          <w:bCs/>
          <w:i/>
          <w:iCs/>
          <w:lang w:val="es-AR" w:eastAsia="en-US"/>
        </w:rPr>
      </w:pPr>
      <w:r w:rsidRPr="000320FE">
        <w:rPr>
          <w:b/>
          <w:bCs/>
          <w:i/>
          <w:iCs/>
          <w:lang w:val="es-AR" w:eastAsia="en-US"/>
        </w:rPr>
        <w:t xml:space="preserve">Análisis de correlación </w:t>
      </w:r>
    </w:p>
    <w:p w14:paraId="1979C823" w14:textId="77777777" w:rsidR="000320FE" w:rsidRPr="000320FE" w:rsidRDefault="000320FE" w:rsidP="000320FE">
      <w:pPr>
        <w:widowControl w:val="0"/>
        <w:autoSpaceDE w:val="0"/>
        <w:autoSpaceDN w:val="0"/>
        <w:adjustRightInd w:val="0"/>
        <w:spacing w:line="360" w:lineRule="auto"/>
        <w:rPr>
          <w:i/>
          <w:iCs/>
          <w:lang w:val="es-AR" w:eastAsia="en-US"/>
        </w:rPr>
      </w:pPr>
      <w:r w:rsidRPr="000320FE">
        <w:rPr>
          <w:i/>
          <w:iCs/>
          <w:lang w:val="es-AR" w:eastAsia="en-US"/>
        </w:rPr>
        <w:t>Preadolescentes.</w:t>
      </w:r>
    </w:p>
    <w:p w14:paraId="6FFF946B" w14:textId="2438DEEB" w:rsidR="000320FE" w:rsidRDefault="000320FE" w:rsidP="000320FE">
      <w:pPr>
        <w:widowControl w:val="0"/>
        <w:autoSpaceDE w:val="0"/>
        <w:autoSpaceDN w:val="0"/>
        <w:adjustRightInd w:val="0"/>
        <w:spacing w:line="360" w:lineRule="auto"/>
        <w:ind w:firstLine="708"/>
        <w:jc w:val="both"/>
        <w:rPr>
          <w:lang w:val="es-AR" w:eastAsia="en-US"/>
        </w:rPr>
      </w:pPr>
      <w:r w:rsidRPr="000320FE">
        <w:rPr>
          <w:lang w:val="es-AR" w:eastAsia="en-US"/>
        </w:rPr>
        <w:t>En líneas generales, el consumo de alcohol se asoció positiva y significativamente con todas las dimensiones de impulsividad rasgo (a excepción de la Falta de Perseverancia) y con la toma de riesgos. Asimismo, una mayor frecuencia de consumo de las dos bebidas de preferencia se relacionó significativamente con una mayor cantidad de errores de omisión. La frecuencia de CEEA se asoció positiva y significativamente con la impulsividad rasgo (ambas Urgencias y Falta de Premeditación), la falta de atención (errores de omisión) y la toma de riesgos.  La flexibilidad cognitiva no se asoció con el consumo de alcohol y CEEA. Los resultados se presentan en la Tabla 3.</w:t>
      </w:r>
    </w:p>
    <w:p w14:paraId="4F2600DB" w14:textId="204297BD" w:rsidR="00AE20AC" w:rsidRDefault="00AE20AC" w:rsidP="00AE20AC">
      <w:pPr>
        <w:widowControl w:val="0"/>
        <w:autoSpaceDE w:val="0"/>
        <w:autoSpaceDN w:val="0"/>
        <w:adjustRightInd w:val="0"/>
        <w:spacing w:line="360" w:lineRule="auto"/>
        <w:jc w:val="both"/>
        <w:rPr>
          <w:sz w:val="20"/>
          <w:szCs w:val="20"/>
          <w:lang w:val="es-AR" w:eastAsia="en-US"/>
        </w:rPr>
      </w:pPr>
    </w:p>
    <w:p w14:paraId="7304F376" w14:textId="77777777" w:rsidR="00AE20AC" w:rsidRPr="00AE20AC" w:rsidRDefault="00AE20AC" w:rsidP="00AE20AC">
      <w:pPr>
        <w:ind w:right="8"/>
        <w:jc w:val="both"/>
        <w:rPr>
          <w:rFonts w:eastAsia="Calibri"/>
          <w:sz w:val="20"/>
          <w:szCs w:val="20"/>
          <w:lang w:val="es-AR" w:eastAsia="en-US"/>
        </w:rPr>
      </w:pPr>
      <w:r w:rsidRPr="00AE20AC">
        <w:rPr>
          <w:rFonts w:eastAsia="Calibri"/>
          <w:sz w:val="20"/>
          <w:szCs w:val="20"/>
          <w:lang w:val="es-AR" w:eastAsia="en-US"/>
        </w:rPr>
        <w:lastRenderedPageBreak/>
        <w:t>Tabla 3.</w:t>
      </w:r>
    </w:p>
    <w:p w14:paraId="1FFCFAE6" w14:textId="77777777" w:rsidR="00AE20AC" w:rsidRPr="00AE20AC" w:rsidRDefault="00AE20AC" w:rsidP="00F26837">
      <w:pPr>
        <w:ind w:right="95"/>
        <w:jc w:val="both"/>
        <w:rPr>
          <w:rFonts w:eastAsia="Calibri"/>
          <w:i/>
          <w:sz w:val="20"/>
          <w:szCs w:val="20"/>
          <w:lang w:val="es-AR" w:eastAsia="en-US"/>
        </w:rPr>
      </w:pPr>
      <w:r w:rsidRPr="00AE20AC">
        <w:rPr>
          <w:rFonts w:eastAsia="Calibri"/>
          <w:i/>
          <w:sz w:val="20"/>
          <w:szCs w:val="20"/>
          <w:lang w:val="es-AR" w:eastAsia="en-US"/>
        </w:rPr>
        <w:t>Correlaciones entre indicadores de consumo de alcohol, impulsividad (rasgo y conductual), toma de riesgos y flexibilidad cognitiva en preadolescentes y adolescentes.</w:t>
      </w:r>
    </w:p>
    <w:p w14:paraId="47321BE7" w14:textId="77777777" w:rsidR="00AE20AC" w:rsidRPr="00AE20AC" w:rsidRDefault="00AE20AC" w:rsidP="00AE20AC">
      <w:pPr>
        <w:ind w:right="707"/>
        <w:jc w:val="both"/>
        <w:rPr>
          <w:rFonts w:eastAsia="Calibri"/>
          <w:i/>
          <w:sz w:val="20"/>
          <w:szCs w:val="20"/>
          <w:lang w:val="es-AR" w:eastAsia="en-US"/>
        </w:rPr>
      </w:pPr>
    </w:p>
    <w:tbl>
      <w:tblPr>
        <w:tblStyle w:val="Tablaconcuadrcula3"/>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70"/>
        <w:gridCol w:w="567"/>
        <w:gridCol w:w="567"/>
        <w:gridCol w:w="567"/>
        <w:gridCol w:w="567"/>
        <w:gridCol w:w="567"/>
        <w:gridCol w:w="567"/>
        <w:gridCol w:w="567"/>
        <w:gridCol w:w="567"/>
        <w:gridCol w:w="567"/>
        <w:gridCol w:w="567"/>
        <w:gridCol w:w="567"/>
        <w:gridCol w:w="567"/>
        <w:gridCol w:w="567"/>
      </w:tblGrid>
      <w:tr w:rsidR="00F26837" w:rsidRPr="00AE20AC" w14:paraId="2F08B6EC" w14:textId="77777777" w:rsidTr="00F26837">
        <w:trPr>
          <w:trHeight w:hRule="exact" w:val="496"/>
        </w:trPr>
        <w:tc>
          <w:tcPr>
            <w:tcW w:w="1276" w:type="dxa"/>
            <w:tcBorders>
              <w:top w:val="single" w:sz="4" w:space="0" w:color="auto"/>
              <w:bottom w:val="single" w:sz="4" w:space="0" w:color="auto"/>
            </w:tcBorders>
            <w:vAlign w:val="center"/>
          </w:tcPr>
          <w:p w14:paraId="6865384B" w14:textId="77777777" w:rsidR="00AE20AC" w:rsidRPr="00AE20AC" w:rsidRDefault="00AE20AC" w:rsidP="00F26837">
            <w:pPr>
              <w:autoSpaceDE w:val="0"/>
              <w:autoSpaceDN w:val="0"/>
              <w:adjustRightInd w:val="0"/>
              <w:snapToGrid w:val="0"/>
              <w:ind w:right="-106"/>
              <w:jc w:val="center"/>
              <w:rPr>
                <w:rFonts w:eastAsia="Calibri"/>
                <w:color w:val="000000"/>
                <w:sz w:val="20"/>
                <w:szCs w:val="20"/>
                <w:lang w:val="es-AR" w:eastAsia="en-US"/>
              </w:rPr>
            </w:pPr>
          </w:p>
        </w:tc>
        <w:tc>
          <w:tcPr>
            <w:tcW w:w="470" w:type="dxa"/>
            <w:tcBorders>
              <w:top w:val="single" w:sz="4" w:space="0" w:color="auto"/>
              <w:bottom w:val="single" w:sz="4" w:space="0" w:color="auto"/>
            </w:tcBorders>
            <w:vAlign w:val="center"/>
          </w:tcPr>
          <w:p w14:paraId="0E2D8B1D"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1</w:t>
            </w:r>
          </w:p>
        </w:tc>
        <w:tc>
          <w:tcPr>
            <w:tcW w:w="567" w:type="dxa"/>
            <w:tcBorders>
              <w:top w:val="single" w:sz="4" w:space="0" w:color="auto"/>
              <w:bottom w:val="single" w:sz="4" w:space="0" w:color="auto"/>
            </w:tcBorders>
            <w:vAlign w:val="center"/>
          </w:tcPr>
          <w:p w14:paraId="043E804D"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2</w:t>
            </w:r>
          </w:p>
        </w:tc>
        <w:tc>
          <w:tcPr>
            <w:tcW w:w="567" w:type="dxa"/>
            <w:tcBorders>
              <w:top w:val="single" w:sz="4" w:space="0" w:color="auto"/>
              <w:bottom w:val="single" w:sz="4" w:space="0" w:color="auto"/>
            </w:tcBorders>
            <w:vAlign w:val="center"/>
          </w:tcPr>
          <w:p w14:paraId="6CCCB641"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3</w:t>
            </w:r>
          </w:p>
        </w:tc>
        <w:tc>
          <w:tcPr>
            <w:tcW w:w="567" w:type="dxa"/>
            <w:tcBorders>
              <w:top w:val="single" w:sz="4" w:space="0" w:color="auto"/>
              <w:bottom w:val="single" w:sz="4" w:space="0" w:color="auto"/>
            </w:tcBorders>
            <w:vAlign w:val="center"/>
          </w:tcPr>
          <w:p w14:paraId="0478C2DE"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4</w:t>
            </w:r>
          </w:p>
        </w:tc>
        <w:tc>
          <w:tcPr>
            <w:tcW w:w="567" w:type="dxa"/>
            <w:tcBorders>
              <w:top w:val="single" w:sz="4" w:space="0" w:color="auto"/>
              <w:bottom w:val="single" w:sz="4" w:space="0" w:color="auto"/>
            </w:tcBorders>
            <w:vAlign w:val="center"/>
          </w:tcPr>
          <w:p w14:paraId="27D87DD1"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5</w:t>
            </w:r>
          </w:p>
        </w:tc>
        <w:tc>
          <w:tcPr>
            <w:tcW w:w="567" w:type="dxa"/>
            <w:tcBorders>
              <w:top w:val="single" w:sz="4" w:space="0" w:color="auto"/>
              <w:bottom w:val="single" w:sz="4" w:space="0" w:color="auto"/>
            </w:tcBorders>
            <w:vAlign w:val="center"/>
          </w:tcPr>
          <w:p w14:paraId="375F731F"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6</w:t>
            </w:r>
          </w:p>
        </w:tc>
        <w:tc>
          <w:tcPr>
            <w:tcW w:w="567" w:type="dxa"/>
            <w:tcBorders>
              <w:top w:val="single" w:sz="4" w:space="0" w:color="auto"/>
              <w:bottom w:val="single" w:sz="4" w:space="0" w:color="auto"/>
            </w:tcBorders>
            <w:vAlign w:val="center"/>
          </w:tcPr>
          <w:p w14:paraId="63D04EF1"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7</w:t>
            </w:r>
          </w:p>
        </w:tc>
        <w:tc>
          <w:tcPr>
            <w:tcW w:w="567" w:type="dxa"/>
            <w:tcBorders>
              <w:top w:val="single" w:sz="4" w:space="0" w:color="auto"/>
              <w:bottom w:val="single" w:sz="4" w:space="0" w:color="auto"/>
            </w:tcBorders>
            <w:vAlign w:val="center"/>
          </w:tcPr>
          <w:p w14:paraId="497155DB"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8</w:t>
            </w:r>
          </w:p>
        </w:tc>
        <w:tc>
          <w:tcPr>
            <w:tcW w:w="567" w:type="dxa"/>
            <w:tcBorders>
              <w:top w:val="single" w:sz="4" w:space="0" w:color="auto"/>
              <w:bottom w:val="single" w:sz="4" w:space="0" w:color="auto"/>
            </w:tcBorders>
            <w:vAlign w:val="center"/>
          </w:tcPr>
          <w:p w14:paraId="1BF79863"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9</w:t>
            </w:r>
          </w:p>
        </w:tc>
        <w:tc>
          <w:tcPr>
            <w:tcW w:w="567" w:type="dxa"/>
            <w:tcBorders>
              <w:top w:val="single" w:sz="4" w:space="0" w:color="auto"/>
              <w:bottom w:val="single" w:sz="4" w:space="0" w:color="auto"/>
            </w:tcBorders>
            <w:vAlign w:val="center"/>
          </w:tcPr>
          <w:p w14:paraId="049DE20A"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10</w:t>
            </w:r>
          </w:p>
        </w:tc>
        <w:tc>
          <w:tcPr>
            <w:tcW w:w="567" w:type="dxa"/>
            <w:tcBorders>
              <w:top w:val="single" w:sz="4" w:space="0" w:color="auto"/>
              <w:bottom w:val="single" w:sz="4" w:space="0" w:color="auto"/>
            </w:tcBorders>
            <w:vAlign w:val="center"/>
          </w:tcPr>
          <w:p w14:paraId="37F54577"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11</w:t>
            </w:r>
          </w:p>
        </w:tc>
        <w:tc>
          <w:tcPr>
            <w:tcW w:w="567" w:type="dxa"/>
            <w:tcBorders>
              <w:top w:val="single" w:sz="4" w:space="0" w:color="auto"/>
              <w:bottom w:val="single" w:sz="4" w:space="0" w:color="auto"/>
            </w:tcBorders>
            <w:vAlign w:val="center"/>
          </w:tcPr>
          <w:p w14:paraId="5776CA09"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12</w:t>
            </w:r>
          </w:p>
        </w:tc>
        <w:tc>
          <w:tcPr>
            <w:tcW w:w="567" w:type="dxa"/>
            <w:tcBorders>
              <w:top w:val="single" w:sz="4" w:space="0" w:color="auto"/>
              <w:bottom w:val="single" w:sz="4" w:space="0" w:color="auto"/>
            </w:tcBorders>
            <w:vAlign w:val="center"/>
          </w:tcPr>
          <w:p w14:paraId="03319304"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13</w:t>
            </w:r>
          </w:p>
        </w:tc>
        <w:tc>
          <w:tcPr>
            <w:tcW w:w="567" w:type="dxa"/>
            <w:tcBorders>
              <w:top w:val="single" w:sz="4" w:space="0" w:color="auto"/>
              <w:bottom w:val="single" w:sz="4" w:space="0" w:color="auto"/>
            </w:tcBorders>
            <w:vAlign w:val="center"/>
          </w:tcPr>
          <w:p w14:paraId="1FE1A878"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color w:val="000000"/>
                <w:sz w:val="20"/>
                <w:szCs w:val="20"/>
                <w:lang w:val="es-AR" w:eastAsia="en-US"/>
              </w:rPr>
              <w:t>14</w:t>
            </w:r>
          </w:p>
        </w:tc>
      </w:tr>
      <w:tr w:rsidR="00F26837" w:rsidRPr="00AE20AC" w14:paraId="12AB2DA8" w14:textId="77777777" w:rsidTr="00F26837">
        <w:trPr>
          <w:trHeight w:hRule="exact" w:val="432"/>
        </w:trPr>
        <w:tc>
          <w:tcPr>
            <w:tcW w:w="1276" w:type="dxa"/>
            <w:tcBorders>
              <w:top w:val="single" w:sz="4" w:space="0" w:color="auto"/>
            </w:tcBorders>
            <w:vAlign w:val="center"/>
          </w:tcPr>
          <w:p w14:paraId="7C5E5678" w14:textId="77777777" w:rsidR="00AE20AC" w:rsidRPr="00AE20AC" w:rsidRDefault="00AE20AC" w:rsidP="00F26837">
            <w:pPr>
              <w:autoSpaceDE w:val="0"/>
              <w:autoSpaceDN w:val="0"/>
              <w:adjustRightInd w:val="0"/>
              <w:snapToGrid w:val="0"/>
              <w:ind w:right="-108"/>
              <w:rPr>
                <w:rFonts w:eastAsia="Calibri"/>
                <w:color w:val="000000"/>
                <w:sz w:val="20"/>
                <w:szCs w:val="20"/>
                <w:lang w:val="es-AR" w:eastAsia="en-US"/>
              </w:rPr>
            </w:pPr>
            <w:r w:rsidRPr="00AE20AC">
              <w:rPr>
                <w:rFonts w:eastAsia="Calibri"/>
                <w:color w:val="000000"/>
                <w:sz w:val="20"/>
                <w:szCs w:val="20"/>
                <w:lang w:val="es-AR" w:eastAsia="en-US"/>
              </w:rPr>
              <w:t>1. F B1</w:t>
            </w:r>
          </w:p>
        </w:tc>
        <w:tc>
          <w:tcPr>
            <w:tcW w:w="470" w:type="dxa"/>
            <w:tcBorders>
              <w:top w:val="single" w:sz="4" w:space="0" w:color="auto"/>
            </w:tcBorders>
            <w:vAlign w:val="center"/>
          </w:tcPr>
          <w:p w14:paraId="4A283886"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p>
        </w:tc>
        <w:tc>
          <w:tcPr>
            <w:tcW w:w="567" w:type="dxa"/>
            <w:tcBorders>
              <w:top w:val="single" w:sz="4" w:space="0" w:color="auto"/>
            </w:tcBorders>
          </w:tcPr>
          <w:p w14:paraId="040D3B2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.63</w:t>
            </w:r>
          </w:p>
        </w:tc>
        <w:tc>
          <w:tcPr>
            <w:tcW w:w="567" w:type="dxa"/>
            <w:tcBorders>
              <w:top w:val="single" w:sz="4" w:space="0" w:color="auto"/>
            </w:tcBorders>
          </w:tcPr>
          <w:p w14:paraId="0AA241A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.78</w:t>
            </w:r>
          </w:p>
        </w:tc>
        <w:tc>
          <w:tcPr>
            <w:tcW w:w="567" w:type="dxa"/>
            <w:tcBorders>
              <w:top w:val="single" w:sz="4" w:space="0" w:color="auto"/>
            </w:tcBorders>
          </w:tcPr>
          <w:p w14:paraId="0DBD3CE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.60</w:t>
            </w:r>
          </w:p>
        </w:tc>
        <w:tc>
          <w:tcPr>
            <w:tcW w:w="567" w:type="dxa"/>
            <w:tcBorders>
              <w:top w:val="single" w:sz="4" w:space="0" w:color="auto"/>
            </w:tcBorders>
          </w:tcPr>
          <w:p w14:paraId="2FD6E56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.85</w:t>
            </w:r>
          </w:p>
        </w:tc>
        <w:tc>
          <w:tcPr>
            <w:tcW w:w="567" w:type="dxa"/>
            <w:tcBorders>
              <w:top w:val="single" w:sz="4" w:space="0" w:color="auto"/>
            </w:tcBorders>
          </w:tcPr>
          <w:p w14:paraId="622A843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.26</w:t>
            </w:r>
          </w:p>
        </w:tc>
        <w:tc>
          <w:tcPr>
            <w:tcW w:w="567" w:type="dxa"/>
            <w:tcBorders>
              <w:top w:val="single" w:sz="4" w:space="0" w:color="auto"/>
            </w:tcBorders>
          </w:tcPr>
          <w:p w14:paraId="141E305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.23</w:t>
            </w:r>
          </w:p>
        </w:tc>
        <w:tc>
          <w:tcPr>
            <w:tcW w:w="567" w:type="dxa"/>
            <w:tcBorders>
              <w:top w:val="single" w:sz="4" w:space="0" w:color="auto"/>
            </w:tcBorders>
          </w:tcPr>
          <w:p w14:paraId="6531E3C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.25</w:t>
            </w:r>
          </w:p>
        </w:tc>
        <w:tc>
          <w:tcPr>
            <w:tcW w:w="567" w:type="dxa"/>
            <w:tcBorders>
              <w:top w:val="single" w:sz="4" w:space="0" w:color="auto"/>
            </w:tcBorders>
          </w:tcPr>
          <w:p w14:paraId="45FB550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.19</w:t>
            </w:r>
          </w:p>
        </w:tc>
        <w:tc>
          <w:tcPr>
            <w:tcW w:w="567" w:type="dxa"/>
            <w:tcBorders>
              <w:top w:val="single" w:sz="4" w:space="0" w:color="auto"/>
            </w:tcBorders>
          </w:tcPr>
          <w:p w14:paraId="55F8E4C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.23</w:t>
            </w:r>
          </w:p>
        </w:tc>
        <w:tc>
          <w:tcPr>
            <w:tcW w:w="567" w:type="dxa"/>
            <w:tcBorders>
              <w:top w:val="single" w:sz="4" w:space="0" w:color="auto"/>
            </w:tcBorders>
          </w:tcPr>
          <w:p w14:paraId="486E535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-.02</w:t>
            </w:r>
          </w:p>
        </w:tc>
        <w:tc>
          <w:tcPr>
            <w:tcW w:w="567" w:type="dxa"/>
            <w:tcBorders>
              <w:top w:val="single" w:sz="4" w:space="0" w:color="auto"/>
            </w:tcBorders>
          </w:tcPr>
          <w:p w14:paraId="4B809D7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c>
          <w:tcPr>
            <w:tcW w:w="567" w:type="dxa"/>
            <w:tcBorders>
              <w:top w:val="single" w:sz="4" w:space="0" w:color="auto"/>
            </w:tcBorders>
          </w:tcPr>
          <w:p w14:paraId="20254B5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-.04</w:t>
            </w:r>
          </w:p>
        </w:tc>
        <w:tc>
          <w:tcPr>
            <w:tcW w:w="567" w:type="dxa"/>
            <w:tcBorders>
              <w:top w:val="single" w:sz="4" w:space="0" w:color="auto"/>
            </w:tcBorders>
          </w:tcPr>
          <w:p w14:paraId="51C877D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r>
      <w:tr w:rsidR="00F26837" w:rsidRPr="00AE20AC" w14:paraId="520CE2CC" w14:textId="77777777" w:rsidTr="00F26837">
        <w:trPr>
          <w:trHeight w:hRule="exact" w:val="432"/>
        </w:trPr>
        <w:tc>
          <w:tcPr>
            <w:tcW w:w="1276" w:type="dxa"/>
            <w:vAlign w:val="center"/>
          </w:tcPr>
          <w:p w14:paraId="4C034DBD" w14:textId="77777777" w:rsidR="00AE20AC" w:rsidRPr="00AE20AC" w:rsidRDefault="00AE20AC" w:rsidP="00F26837">
            <w:pPr>
              <w:autoSpaceDE w:val="0"/>
              <w:autoSpaceDN w:val="0"/>
              <w:adjustRightInd w:val="0"/>
              <w:snapToGrid w:val="0"/>
              <w:ind w:right="-108"/>
              <w:rPr>
                <w:rFonts w:eastAsia="Calibri"/>
                <w:color w:val="000000"/>
                <w:sz w:val="20"/>
                <w:szCs w:val="20"/>
                <w:lang w:val="es-AR" w:eastAsia="en-US"/>
              </w:rPr>
            </w:pPr>
            <w:r w:rsidRPr="00AE20AC">
              <w:rPr>
                <w:rFonts w:eastAsia="Calibri"/>
                <w:color w:val="000000"/>
                <w:sz w:val="20"/>
                <w:szCs w:val="20"/>
                <w:lang w:val="es-AR" w:eastAsia="en-US"/>
              </w:rPr>
              <w:t>2. Gr B1</w:t>
            </w:r>
          </w:p>
        </w:tc>
        <w:tc>
          <w:tcPr>
            <w:tcW w:w="470" w:type="dxa"/>
          </w:tcPr>
          <w:p w14:paraId="35CA1EF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.53</w:t>
            </w:r>
          </w:p>
        </w:tc>
        <w:tc>
          <w:tcPr>
            <w:tcW w:w="567" w:type="dxa"/>
            <w:vAlign w:val="center"/>
          </w:tcPr>
          <w:p w14:paraId="26135C6D"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p>
        </w:tc>
        <w:tc>
          <w:tcPr>
            <w:tcW w:w="567" w:type="dxa"/>
          </w:tcPr>
          <w:p w14:paraId="4FCD81E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.56</w:t>
            </w:r>
          </w:p>
        </w:tc>
        <w:tc>
          <w:tcPr>
            <w:tcW w:w="567" w:type="dxa"/>
          </w:tcPr>
          <w:p w14:paraId="19FCB57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.64</w:t>
            </w:r>
          </w:p>
        </w:tc>
        <w:tc>
          <w:tcPr>
            <w:tcW w:w="567" w:type="dxa"/>
          </w:tcPr>
          <w:p w14:paraId="0ECA3B1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.62</w:t>
            </w:r>
          </w:p>
        </w:tc>
        <w:tc>
          <w:tcPr>
            <w:tcW w:w="567" w:type="dxa"/>
          </w:tcPr>
          <w:p w14:paraId="7F49EFA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.29</w:t>
            </w:r>
          </w:p>
        </w:tc>
        <w:tc>
          <w:tcPr>
            <w:tcW w:w="567" w:type="dxa"/>
          </w:tcPr>
          <w:p w14:paraId="527B644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.28</w:t>
            </w:r>
          </w:p>
        </w:tc>
        <w:tc>
          <w:tcPr>
            <w:tcW w:w="567" w:type="dxa"/>
          </w:tcPr>
          <w:p w14:paraId="62C3FCB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.24</w:t>
            </w:r>
          </w:p>
        </w:tc>
        <w:tc>
          <w:tcPr>
            <w:tcW w:w="567" w:type="dxa"/>
          </w:tcPr>
          <w:p w14:paraId="13C4014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.17</w:t>
            </w:r>
          </w:p>
        </w:tc>
        <w:tc>
          <w:tcPr>
            <w:tcW w:w="567" w:type="dxa"/>
          </w:tcPr>
          <w:p w14:paraId="6170FA9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.23</w:t>
            </w:r>
          </w:p>
        </w:tc>
        <w:tc>
          <w:tcPr>
            <w:tcW w:w="567" w:type="dxa"/>
          </w:tcPr>
          <w:p w14:paraId="464A8D3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-.04</w:t>
            </w:r>
          </w:p>
        </w:tc>
        <w:tc>
          <w:tcPr>
            <w:tcW w:w="567" w:type="dxa"/>
          </w:tcPr>
          <w:p w14:paraId="35180AF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tcPr>
          <w:p w14:paraId="766A527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-.05</w:t>
            </w:r>
          </w:p>
        </w:tc>
        <w:tc>
          <w:tcPr>
            <w:tcW w:w="567" w:type="dxa"/>
          </w:tcPr>
          <w:p w14:paraId="67EB89A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.05</w:t>
            </w:r>
          </w:p>
        </w:tc>
      </w:tr>
      <w:tr w:rsidR="00F26837" w:rsidRPr="00AE20AC" w14:paraId="4E6BD9ED" w14:textId="77777777" w:rsidTr="00F26837">
        <w:trPr>
          <w:trHeight w:hRule="exact" w:val="432"/>
        </w:trPr>
        <w:tc>
          <w:tcPr>
            <w:tcW w:w="1276" w:type="dxa"/>
            <w:vAlign w:val="center"/>
          </w:tcPr>
          <w:p w14:paraId="5365941C" w14:textId="77777777" w:rsidR="00AE20AC" w:rsidRPr="00AE20AC" w:rsidRDefault="00AE20AC" w:rsidP="00AE20AC">
            <w:pPr>
              <w:autoSpaceDE w:val="0"/>
              <w:autoSpaceDN w:val="0"/>
              <w:adjustRightInd w:val="0"/>
              <w:snapToGrid w:val="0"/>
              <w:ind w:right="-130"/>
              <w:rPr>
                <w:rFonts w:eastAsia="Calibri"/>
                <w:color w:val="000000"/>
                <w:sz w:val="20"/>
                <w:szCs w:val="20"/>
                <w:lang w:val="es-AR" w:eastAsia="en-US"/>
              </w:rPr>
            </w:pPr>
            <w:r w:rsidRPr="00AE20AC">
              <w:rPr>
                <w:rFonts w:eastAsia="Calibri"/>
                <w:color w:val="000000"/>
                <w:sz w:val="20"/>
                <w:szCs w:val="20"/>
                <w:lang w:val="es-AR" w:eastAsia="en-US"/>
              </w:rPr>
              <w:t>3. F B2</w:t>
            </w:r>
          </w:p>
        </w:tc>
        <w:tc>
          <w:tcPr>
            <w:tcW w:w="470" w:type="dxa"/>
          </w:tcPr>
          <w:p w14:paraId="7AEFD48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.71</w:t>
            </w:r>
          </w:p>
        </w:tc>
        <w:tc>
          <w:tcPr>
            <w:tcW w:w="567" w:type="dxa"/>
          </w:tcPr>
          <w:p w14:paraId="5DB84D0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.59</w:t>
            </w:r>
          </w:p>
        </w:tc>
        <w:tc>
          <w:tcPr>
            <w:tcW w:w="567" w:type="dxa"/>
            <w:vAlign w:val="center"/>
          </w:tcPr>
          <w:p w14:paraId="026EE7D3"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p>
        </w:tc>
        <w:tc>
          <w:tcPr>
            <w:tcW w:w="567" w:type="dxa"/>
            <w:vAlign w:val="center"/>
          </w:tcPr>
          <w:p w14:paraId="73C02F9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.60</w:t>
            </w:r>
          </w:p>
        </w:tc>
        <w:tc>
          <w:tcPr>
            <w:tcW w:w="567" w:type="dxa"/>
            <w:vAlign w:val="center"/>
          </w:tcPr>
          <w:p w14:paraId="2EEDA41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.71</w:t>
            </w:r>
          </w:p>
        </w:tc>
        <w:tc>
          <w:tcPr>
            <w:tcW w:w="567" w:type="dxa"/>
            <w:vAlign w:val="center"/>
          </w:tcPr>
          <w:p w14:paraId="6DBC219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.26</w:t>
            </w:r>
          </w:p>
        </w:tc>
        <w:tc>
          <w:tcPr>
            <w:tcW w:w="567" w:type="dxa"/>
            <w:vAlign w:val="center"/>
          </w:tcPr>
          <w:p w14:paraId="6560F8D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.22</w:t>
            </w:r>
          </w:p>
        </w:tc>
        <w:tc>
          <w:tcPr>
            <w:tcW w:w="567" w:type="dxa"/>
            <w:vAlign w:val="center"/>
          </w:tcPr>
          <w:p w14:paraId="5437346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.25</w:t>
            </w:r>
          </w:p>
        </w:tc>
        <w:tc>
          <w:tcPr>
            <w:tcW w:w="567" w:type="dxa"/>
            <w:vAlign w:val="center"/>
          </w:tcPr>
          <w:p w14:paraId="64E3687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.15</w:t>
            </w:r>
          </w:p>
        </w:tc>
        <w:tc>
          <w:tcPr>
            <w:tcW w:w="567" w:type="dxa"/>
            <w:vAlign w:val="center"/>
          </w:tcPr>
          <w:p w14:paraId="032C0E9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.20</w:t>
            </w:r>
          </w:p>
        </w:tc>
        <w:tc>
          <w:tcPr>
            <w:tcW w:w="567" w:type="dxa"/>
            <w:vAlign w:val="center"/>
          </w:tcPr>
          <w:p w14:paraId="4C37F9B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.04</w:t>
            </w:r>
          </w:p>
        </w:tc>
        <w:tc>
          <w:tcPr>
            <w:tcW w:w="567" w:type="dxa"/>
            <w:vAlign w:val="center"/>
          </w:tcPr>
          <w:p w14:paraId="1A73B2E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c>
          <w:tcPr>
            <w:tcW w:w="567" w:type="dxa"/>
            <w:vAlign w:val="center"/>
          </w:tcPr>
          <w:p w14:paraId="63A42FF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c>
          <w:tcPr>
            <w:tcW w:w="567" w:type="dxa"/>
            <w:vAlign w:val="center"/>
          </w:tcPr>
          <w:p w14:paraId="2CD04EC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.12</w:t>
            </w:r>
          </w:p>
        </w:tc>
      </w:tr>
      <w:tr w:rsidR="00F26837" w:rsidRPr="00AE20AC" w14:paraId="5A46DCC8" w14:textId="77777777" w:rsidTr="00F26837">
        <w:trPr>
          <w:trHeight w:hRule="exact" w:val="432"/>
        </w:trPr>
        <w:tc>
          <w:tcPr>
            <w:tcW w:w="1276" w:type="dxa"/>
            <w:vAlign w:val="center"/>
          </w:tcPr>
          <w:p w14:paraId="1A942F91"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4. Gr B2</w:t>
            </w:r>
          </w:p>
        </w:tc>
        <w:tc>
          <w:tcPr>
            <w:tcW w:w="470" w:type="dxa"/>
          </w:tcPr>
          <w:p w14:paraId="41F198A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.47</w:t>
            </w:r>
          </w:p>
        </w:tc>
        <w:tc>
          <w:tcPr>
            <w:tcW w:w="567" w:type="dxa"/>
          </w:tcPr>
          <w:p w14:paraId="6C7B1E3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.76</w:t>
            </w:r>
          </w:p>
        </w:tc>
        <w:tc>
          <w:tcPr>
            <w:tcW w:w="567" w:type="dxa"/>
          </w:tcPr>
          <w:p w14:paraId="4A43A12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.60</w:t>
            </w:r>
          </w:p>
        </w:tc>
        <w:tc>
          <w:tcPr>
            <w:tcW w:w="567" w:type="dxa"/>
            <w:vAlign w:val="center"/>
          </w:tcPr>
          <w:p w14:paraId="1F8A991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tcPr>
          <w:p w14:paraId="23207A4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.56</w:t>
            </w:r>
          </w:p>
        </w:tc>
        <w:tc>
          <w:tcPr>
            <w:tcW w:w="567" w:type="dxa"/>
          </w:tcPr>
          <w:p w14:paraId="2FFFA4A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.25</w:t>
            </w:r>
          </w:p>
        </w:tc>
        <w:tc>
          <w:tcPr>
            <w:tcW w:w="567" w:type="dxa"/>
          </w:tcPr>
          <w:p w14:paraId="7D5B55C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.24</w:t>
            </w:r>
          </w:p>
        </w:tc>
        <w:tc>
          <w:tcPr>
            <w:tcW w:w="567" w:type="dxa"/>
          </w:tcPr>
          <w:p w14:paraId="33F5BFD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.25</w:t>
            </w:r>
          </w:p>
        </w:tc>
        <w:tc>
          <w:tcPr>
            <w:tcW w:w="567" w:type="dxa"/>
          </w:tcPr>
          <w:p w14:paraId="75CD057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.19</w:t>
            </w:r>
          </w:p>
        </w:tc>
        <w:tc>
          <w:tcPr>
            <w:tcW w:w="567" w:type="dxa"/>
          </w:tcPr>
          <w:p w14:paraId="5556FA0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.21</w:t>
            </w:r>
          </w:p>
        </w:tc>
        <w:tc>
          <w:tcPr>
            <w:tcW w:w="567" w:type="dxa"/>
          </w:tcPr>
          <w:p w14:paraId="04C28BB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Pr>
          <w:p w14:paraId="3677265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c>
          <w:tcPr>
            <w:tcW w:w="567" w:type="dxa"/>
          </w:tcPr>
          <w:p w14:paraId="140724F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Pr>
          <w:p w14:paraId="7122ACA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r>
      <w:tr w:rsidR="00F26837" w:rsidRPr="00AE20AC" w14:paraId="6F189712" w14:textId="77777777" w:rsidTr="00F26837">
        <w:trPr>
          <w:trHeight w:hRule="exact" w:val="432"/>
        </w:trPr>
        <w:tc>
          <w:tcPr>
            <w:tcW w:w="1276" w:type="dxa"/>
            <w:vAlign w:val="center"/>
          </w:tcPr>
          <w:p w14:paraId="6B90DB91"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5. F CEEA</w:t>
            </w:r>
          </w:p>
        </w:tc>
        <w:tc>
          <w:tcPr>
            <w:tcW w:w="470" w:type="dxa"/>
          </w:tcPr>
          <w:p w14:paraId="2F442DA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.87</w:t>
            </w:r>
          </w:p>
        </w:tc>
        <w:tc>
          <w:tcPr>
            <w:tcW w:w="567" w:type="dxa"/>
          </w:tcPr>
          <w:p w14:paraId="65975F5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.46</w:t>
            </w:r>
          </w:p>
        </w:tc>
        <w:tc>
          <w:tcPr>
            <w:tcW w:w="567" w:type="dxa"/>
          </w:tcPr>
          <w:p w14:paraId="7B307A7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.65</w:t>
            </w:r>
          </w:p>
        </w:tc>
        <w:tc>
          <w:tcPr>
            <w:tcW w:w="567" w:type="dxa"/>
          </w:tcPr>
          <w:p w14:paraId="0DD82C5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.40</w:t>
            </w:r>
          </w:p>
        </w:tc>
        <w:tc>
          <w:tcPr>
            <w:tcW w:w="567" w:type="dxa"/>
            <w:vAlign w:val="center"/>
          </w:tcPr>
          <w:p w14:paraId="39299CC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tcPr>
          <w:p w14:paraId="0C6F9D3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.23</w:t>
            </w:r>
          </w:p>
        </w:tc>
        <w:tc>
          <w:tcPr>
            <w:tcW w:w="567" w:type="dxa"/>
          </w:tcPr>
          <w:p w14:paraId="30EE04B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.19</w:t>
            </w:r>
          </w:p>
        </w:tc>
        <w:tc>
          <w:tcPr>
            <w:tcW w:w="567" w:type="dxa"/>
          </w:tcPr>
          <w:p w14:paraId="3636D45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.24</w:t>
            </w:r>
          </w:p>
        </w:tc>
        <w:tc>
          <w:tcPr>
            <w:tcW w:w="567" w:type="dxa"/>
          </w:tcPr>
          <w:p w14:paraId="707DDA5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.16</w:t>
            </w:r>
          </w:p>
        </w:tc>
        <w:tc>
          <w:tcPr>
            <w:tcW w:w="567" w:type="dxa"/>
          </w:tcPr>
          <w:p w14:paraId="272EEED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.21</w:t>
            </w:r>
          </w:p>
        </w:tc>
        <w:tc>
          <w:tcPr>
            <w:tcW w:w="567" w:type="dxa"/>
          </w:tcPr>
          <w:p w14:paraId="4E8C70E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-.02</w:t>
            </w:r>
          </w:p>
        </w:tc>
        <w:tc>
          <w:tcPr>
            <w:tcW w:w="567" w:type="dxa"/>
          </w:tcPr>
          <w:p w14:paraId="7CD4823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c>
          <w:tcPr>
            <w:tcW w:w="567" w:type="dxa"/>
          </w:tcPr>
          <w:p w14:paraId="7F93930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-.01</w:t>
            </w:r>
          </w:p>
        </w:tc>
        <w:tc>
          <w:tcPr>
            <w:tcW w:w="567" w:type="dxa"/>
          </w:tcPr>
          <w:p w14:paraId="5B7D404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.14</w:t>
            </w:r>
          </w:p>
        </w:tc>
      </w:tr>
      <w:tr w:rsidR="00F26837" w:rsidRPr="00AE20AC" w14:paraId="6DF96C23" w14:textId="77777777" w:rsidTr="00F26837">
        <w:trPr>
          <w:trHeight w:hRule="exact" w:val="432"/>
        </w:trPr>
        <w:tc>
          <w:tcPr>
            <w:tcW w:w="1276" w:type="dxa"/>
            <w:vAlign w:val="center"/>
          </w:tcPr>
          <w:p w14:paraId="1D688A39" w14:textId="55228A80" w:rsidR="00AE20AC" w:rsidRPr="00AE20AC" w:rsidRDefault="00AE20AC" w:rsidP="00F26837">
            <w:pPr>
              <w:autoSpaceDE w:val="0"/>
              <w:autoSpaceDN w:val="0"/>
              <w:adjustRightInd w:val="0"/>
              <w:snapToGrid w:val="0"/>
              <w:ind w:right="-106"/>
              <w:rPr>
                <w:rFonts w:eastAsia="Calibri"/>
                <w:color w:val="000000"/>
                <w:sz w:val="20"/>
                <w:szCs w:val="20"/>
                <w:lang w:val="es-AR" w:eastAsia="en-US"/>
              </w:rPr>
            </w:pPr>
            <w:r w:rsidRPr="00AE20AC">
              <w:rPr>
                <w:rFonts w:eastAsia="Calibri"/>
                <w:color w:val="000000"/>
                <w:sz w:val="20"/>
                <w:szCs w:val="20"/>
                <w:lang w:val="es-AR" w:eastAsia="en-US"/>
              </w:rPr>
              <w:t>6. URG</w:t>
            </w:r>
            <w:r w:rsidR="00F26837">
              <w:rPr>
                <w:rFonts w:eastAsia="Calibri"/>
                <w:color w:val="000000"/>
                <w:sz w:val="20"/>
                <w:szCs w:val="20"/>
                <w:lang w:val="es-AR" w:eastAsia="en-US"/>
              </w:rPr>
              <w:t xml:space="preserve"> </w:t>
            </w:r>
            <w:r w:rsidRPr="00AE20AC">
              <w:rPr>
                <w:rFonts w:eastAsia="Calibri"/>
                <w:color w:val="000000"/>
                <w:sz w:val="20"/>
                <w:szCs w:val="20"/>
                <w:lang w:val="es-AR" w:eastAsia="en-US"/>
              </w:rPr>
              <w:t>NEG</w:t>
            </w:r>
          </w:p>
        </w:tc>
        <w:tc>
          <w:tcPr>
            <w:tcW w:w="470" w:type="dxa"/>
          </w:tcPr>
          <w:p w14:paraId="4E8B69C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.22</w:t>
            </w:r>
          </w:p>
        </w:tc>
        <w:tc>
          <w:tcPr>
            <w:tcW w:w="567" w:type="dxa"/>
          </w:tcPr>
          <w:p w14:paraId="5565AC3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.23</w:t>
            </w:r>
          </w:p>
        </w:tc>
        <w:tc>
          <w:tcPr>
            <w:tcW w:w="567" w:type="dxa"/>
          </w:tcPr>
          <w:p w14:paraId="388BB6C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.16</w:t>
            </w:r>
          </w:p>
        </w:tc>
        <w:tc>
          <w:tcPr>
            <w:tcW w:w="567" w:type="dxa"/>
          </w:tcPr>
          <w:p w14:paraId="62EFEE7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26</w:t>
            </w:r>
          </w:p>
        </w:tc>
        <w:tc>
          <w:tcPr>
            <w:tcW w:w="567" w:type="dxa"/>
          </w:tcPr>
          <w:p w14:paraId="299C6D4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.16</w:t>
            </w:r>
          </w:p>
        </w:tc>
        <w:tc>
          <w:tcPr>
            <w:tcW w:w="567" w:type="dxa"/>
            <w:vAlign w:val="center"/>
          </w:tcPr>
          <w:p w14:paraId="7119F88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tcPr>
          <w:p w14:paraId="0C60B09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.63</w:t>
            </w:r>
          </w:p>
        </w:tc>
        <w:tc>
          <w:tcPr>
            <w:tcW w:w="567" w:type="dxa"/>
          </w:tcPr>
          <w:p w14:paraId="7464087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.41</w:t>
            </w:r>
          </w:p>
        </w:tc>
        <w:tc>
          <w:tcPr>
            <w:tcW w:w="567" w:type="dxa"/>
          </w:tcPr>
          <w:p w14:paraId="3CA6AFF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.17</w:t>
            </w:r>
          </w:p>
        </w:tc>
        <w:tc>
          <w:tcPr>
            <w:tcW w:w="567" w:type="dxa"/>
          </w:tcPr>
          <w:p w14:paraId="61B9DA5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.22</w:t>
            </w:r>
          </w:p>
        </w:tc>
        <w:tc>
          <w:tcPr>
            <w:tcW w:w="567" w:type="dxa"/>
          </w:tcPr>
          <w:p w14:paraId="31FB2C1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-.00</w:t>
            </w:r>
          </w:p>
        </w:tc>
        <w:tc>
          <w:tcPr>
            <w:tcW w:w="567" w:type="dxa"/>
          </w:tcPr>
          <w:p w14:paraId="0BD7C72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.10</w:t>
            </w:r>
          </w:p>
        </w:tc>
        <w:tc>
          <w:tcPr>
            <w:tcW w:w="567" w:type="dxa"/>
          </w:tcPr>
          <w:p w14:paraId="6FFEDCC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.02</w:t>
            </w:r>
          </w:p>
        </w:tc>
        <w:tc>
          <w:tcPr>
            <w:tcW w:w="567" w:type="dxa"/>
          </w:tcPr>
          <w:p w14:paraId="1F67D8E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r>
      <w:tr w:rsidR="00F26837" w:rsidRPr="00AE20AC" w14:paraId="412BAFE2" w14:textId="77777777" w:rsidTr="00F26837">
        <w:trPr>
          <w:trHeight w:hRule="exact" w:val="432"/>
        </w:trPr>
        <w:tc>
          <w:tcPr>
            <w:tcW w:w="1276" w:type="dxa"/>
            <w:vAlign w:val="center"/>
          </w:tcPr>
          <w:p w14:paraId="14B66078"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7. URG POS</w:t>
            </w:r>
          </w:p>
        </w:tc>
        <w:tc>
          <w:tcPr>
            <w:tcW w:w="470" w:type="dxa"/>
          </w:tcPr>
          <w:p w14:paraId="339FA8D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.21</w:t>
            </w:r>
          </w:p>
        </w:tc>
        <w:tc>
          <w:tcPr>
            <w:tcW w:w="567" w:type="dxa"/>
          </w:tcPr>
          <w:p w14:paraId="0F1D4AB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.20</w:t>
            </w:r>
          </w:p>
        </w:tc>
        <w:tc>
          <w:tcPr>
            <w:tcW w:w="567" w:type="dxa"/>
          </w:tcPr>
          <w:p w14:paraId="71C8766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tcPr>
          <w:p w14:paraId="3272DCB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.20</w:t>
            </w:r>
          </w:p>
        </w:tc>
        <w:tc>
          <w:tcPr>
            <w:tcW w:w="567" w:type="dxa"/>
          </w:tcPr>
          <w:p w14:paraId="7B89C15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.15</w:t>
            </w:r>
          </w:p>
        </w:tc>
        <w:tc>
          <w:tcPr>
            <w:tcW w:w="567" w:type="dxa"/>
          </w:tcPr>
          <w:p w14:paraId="6ECA887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68</w:t>
            </w:r>
          </w:p>
        </w:tc>
        <w:tc>
          <w:tcPr>
            <w:tcW w:w="567" w:type="dxa"/>
            <w:vAlign w:val="center"/>
          </w:tcPr>
          <w:p w14:paraId="6AE2D64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tcPr>
          <w:p w14:paraId="1B43954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.53</w:t>
            </w:r>
          </w:p>
        </w:tc>
        <w:tc>
          <w:tcPr>
            <w:tcW w:w="567" w:type="dxa"/>
          </w:tcPr>
          <w:p w14:paraId="0AC16CE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.18</w:t>
            </w:r>
          </w:p>
        </w:tc>
        <w:tc>
          <w:tcPr>
            <w:tcW w:w="567" w:type="dxa"/>
          </w:tcPr>
          <w:p w14:paraId="397C8E2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.32</w:t>
            </w:r>
          </w:p>
        </w:tc>
        <w:tc>
          <w:tcPr>
            <w:tcW w:w="567" w:type="dxa"/>
          </w:tcPr>
          <w:p w14:paraId="7A67122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Pr>
          <w:p w14:paraId="5F30A97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.16</w:t>
            </w:r>
          </w:p>
        </w:tc>
        <w:tc>
          <w:tcPr>
            <w:tcW w:w="567" w:type="dxa"/>
          </w:tcPr>
          <w:p w14:paraId="68E28D7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tcPr>
          <w:p w14:paraId="565976B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.08</w:t>
            </w:r>
          </w:p>
        </w:tc>
      </w:tr>
      <w:tr w:rsidR="00F26837" w:rsidRPr="00AE20AC" w14:paraId="3D1B0715" w14:textId="77777777" w:rsidTr="00F26837">
        <w:trPr>
          <w:trHeight w:hRule="exact" w:val="432"/>
        </w:trPr>
        <w:tc>
          <w:tcPr>
            <w:tcW w:w="1276" w:type="dxa"/>
            <w:vAlign w:val="center"/>
          </w:tcPr>
          <w:p w14:paraId="4407386F"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8. PREM</w:t>
            </w:r>
          </w:p>
        </w:tc>
        <w:tc>
          <w:tcPr>
            <w:tcW w:w="470" w:type="dxa"/>
          </w:tcPr>
          <w:p w14:paraId="640CD12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.13</w:t>
            </w:r>
          </w:p>
        </w:tc>
        <w:tc>
          <w:tcPr>
            <w:tcW w:w="567" w:type="dxa"/>
          </w:tcPr>
          <w:p w14:paraId="5AC1261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.19</w:t>
            </w:r>
          </w:p>
        </w:tc>
        <w:tc>
          <w:tcPr>
            <w:tcW w:w="567" w:type="dxa"/>
          </w:tcPr>
          <w:p w14:paraId="3EDF9839"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.08</w:t>
            </w:r>
          </w:p>
        </w:tc>
        <w:tc>
          <w:tcPr>
            <w:tcW w:w="567" w:type="dxa"/>
          </w:tcPr>
          <w:p w14:paraId="22DFA85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.20</w:t>
            </w:r>
          </w:p>
        </w:tc>
        <w:tc>
          <w:tcPr>
            <w:tcW w:w="567" w:type="dxa"/>
          </w:tcPr>
          <w:p w14:paraId="7948C43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.13</w:t>
            </w:r>
          </w:p>
        </w:tc>
        <w:tc>
          <w:tcPr>
            <w:tcW w:w="567" w:type="dxa"/>
          </w:tcPr>
          <w:p w14:paraId="779CC3A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.37</w:t>
            </w:r>
          </w:p>
        </w:tc>
        <w:tc>
          <w:tcPr>
            <w:tcW w:w="567" w:type="dxa"/>
          </w:tcPr>
          <w:p w14:paraId="5409DA5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.47</w:t>
            </w:r>
          </w:p>
        </w:tc>
        <w:tc>
          <w:tcPr>
            <w:tcW w:w="567" w:type="dxa"/>
            <w:vAlign w:val="center"/>
          </w:tcPr>
          <w:p w14:paraId="190945B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vAlign w:val="center"/>
          </w:tcPr>
          <w:p w14:paraId="13C56E9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.49</w:t>
            </w:r>
          </w:p>
        </w:tc>
        <w:tc>
          <w:tcPr>
            <w:tcW w:w="567" w:type="dxa"/>
            <w:vAlign w:val="center"/>
          </w:tcPr>
          <w:p w14:paraId="182FF47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.19</w:t>
            </w:r>
          </w:p>
        </w:tc>
        <w:tc>
          <w:tcPr>
            <w:tcW w:w="567" w:type="dxa"/>
            <w:vAlign w:val="center"/>
          </w:tcPr>
          <w:p w14:paraId="02C244C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.05</w:t>
            </w:r>
          </w:p>
        </w:tc>
        <w:tc>
          <w:tcPr>
            <w:tcW w:w="567" w:type="dxa"/>
            <w:vAlign w:val="center"/>
          </w:tcPr>
          <w:p w14:paraId="71D4A3E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.17</w:t>
            </w:r>
          </w:p>
        </w:tc>
        <w:tc>
          <w:tcPr>
            <w:tcW w:w="567" w:type="dxa"/>
            <w:vAlign w:val="center"/>
          </w:tcPr>
          <w:p w14:paraId="05A10EE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.00</w:t>
            </w:r>
          </w:p>
        </w:tc>
        <w:tc>
          <w:tcPr>
            <w:tcW w:w="567" w:type="dxa"/>
            <w:vAlign w:val="center"/>
          </w:tcPr>
          <w:p w14:paraId="0EC52B4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.02</w:t>
            </w:r>
          </w:p>
        </w:tc>
      </w:tr>
      <w:tr w:rsidR="00F26837" w:rsidRPr="00AE20AC" w14:paraId="05134035" w14:textId="77777777" w:rsidTr="00F26837">
        <w:trPr>
          <w:trHeight w:hRule="exact" w:val="432"/>
        </w:trPr>
        <w:tc>
          <w:tcPr>
            <w:tcW w:w="1276" w:type="dxa"/>
            <w:vAlign w:val="center"/>
          </w:tcPr>
          <w:p w14:paraId="50EB8FDD"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9. PERS</w:t>
            </w:r>
          </w:p>
        </w:tc>
        <w:tc>
          <w:tcPr>
            <w:tcW w:w="470" w:type="dxa"/>
          </w:tcPr>
          <w:p w14:paraId="77FAE5F3"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.02</w:t>
            </w:r>
          </w:p>
        </w:tc>
        <w:tc>
          <w:tcPr>
            <w:tcW w:w="567" w:type="dxa"/>
          </w:tcPr>
          <w:p w14:paraId="6F54A538"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.08</w:t>
            </w:r>
          </w:p>
        </w:tc>
        <w:tc>
          <w:tcPr>
            <w:tcW w:w="567" w:type="dxa"/>
          </w:tcPr>
          <w:p w14:paraId="1D533E9F"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.00</w:t>
            </w:r>
          </w:p>
        </w:tc>
        <w:tc>
          <w:tcPr>
            <w:tcW w:w="567" w:type="dxa"/>
          </w:tcPr>
          <w:p w14:paraId="1D96152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tcPr>
          <w:p w14:paraId="21B7612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Pr>
          <w:p w14:paraId="1315D32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.21</w:t>
            </w:r>
          </w:p>
        </w:tc>
        <w:tc>
          <w:tcPr>
            <w:tcW w:w="567" w:type="dxa"/>
          </w:tcPr>
          <w:p w14:paraId="47535B4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.18</w:t>
            </w:r>
          </w:p>
        </w:tc>
        <w:tc>
          <w:tcPr>
            <w:tcW w:w="567" w:type="dxa"/>
          </w:tcPr>
          <w:p w14:paraId="63E1D59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.48</w:t>
            </w:r>
          </w:p>
        </w:tc>
        <w:tc>
          <w:tcPr>
            <w:tcW w:w="567" w:type="dxa"/>
            <w:vAlign w:val="center"/>
          </w:tcPr>
          <w:p w14:paraId="69CCB68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vAlign w:val="center"/>
          </w:tcPr>
          <w:p w14:paraId="6D84739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c>
          <w:tcPr>
            <w:tcW w:w="567" w:type="dxa"/>
            <w:vAlign w:val="center"/>
          </w:tcPr>
          <w:p w14:paraId="0D52B04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.02</w:t>
            </w:r>
          </w:p>
        </w:tc>
        <w:tc>
          <w:tcPr>
            <w:tcW w:w="567" w:type="dxa"/>
            <w:vAlign w:val="center"/>
          </w:tcPr>
          <w:p w14:paraId="3840B68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.15</w:t>
            </w:r>
          </w:p>
        </w:tc>
        <w:tc>
          <w:tcPr>
            <w:tcW w:w="567" w:type="dxa"/>
            <w:vAlign w:val="center"/>
          </w:tcPr>
          <w:p w14:paraId="25A66D9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c>
          <w:tcPr>
            <w:tcW w:w="567" w:type="dxa"/>
            <w:vAlign w:val="center"/>
          </w:tcPr>
          <w:p w14:paraId="7CC74E4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r>
      <w:tr w:rsidR="00F26837" w:rsidRPr="00AE20AC" w14:paraId="4C6509F0" w14:textId="77777777" w:rsidTr="00F26837">
        <w:trPr>
          <w:trHeight w:hRule="exact" w:val="432"/>
        </w:trPr>
        <w:tc>
          <w:tcPr>
            <w:tcW w:w="1276" w:type="dxa"/>
            <w:vAlign w:val="center"/>
          </w:tcPr>
          <w:p w14:paraId="4E92E421"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10. SENS</w:t>
            </w:r>
          </w:p>
        </w:tc>
        <w:tc>
          <w:tcPr>
            <w:tcW w:w="470" w:type="dxa"/>
          </w:tcPr>
          <w:p w14:paraId="7446ACA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.09</w:t>
            </w:r>
          </w:p>
        </w:tc>
        <w:tc>
          <w:tcPr>
            <w:tcW w:w="567" w:type="dxa"/>
          </w:tcPr>
          <w:p w14:paraId="5659E39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.16</w:t>
            </w:r>
          </w:p>
        </w:tc>
        <w:tc>
          <w:tcPr>
            <w:tcW w:w="567" w:type="dxa"/>
          </w:tcPr>
          <w:p w14:paraId="517C49B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.09</w:t>
            </w:r>
          </w:p>
        </w:tc>
        <w:tc>
          <w:tcPr>
            <w:tcW w:w="567" w:type="dxa"/>
          </w:tcPr>
          <w:p w14:paraId="28246D4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.14</w:t>
            </w:r>
          </w:p>
        </w:tc>
        <w:tc>
          <w:tcPr>
            <w:tcW w:w="567" w:type="dxa"/>
          </w:tcPr>
          <w:p w14:paraId="18815CC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.05</w:t>
            </w:r>
          </w:p>
        </w:tc>
        <w:tc>
          <w:tcPr>
            <w:tcW w:w="567" w:type="dxa"/>
          </w:tcPr>
          <w:p w14:paraId="35D09D7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.26</w:t>
            </w:r>
          </w:p>
        </w:tc>
        <w:tc>
          <w:tcPr>
            <w:tcW w:w="567" w:type="dxa"/>
          </w:tcPr>
          <w:p w14:paraId="1F3615B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.43</w:t>
            </w:r>
          </w:p>
        </w:tc>
        <w:tc>
          <w:tcPr>
            <w:tcW w:w="567" w:type="dxa"/>
          </w:tcPr>
          <w:p w14:paraId="78EC7A8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.20</w:t>
            </w:r>
          </w:p>
        </w:tc>
        <w:tc>
          <w:tcPr>
            <w:tcW w:w="567" w:type="dxa"/>
          </w:tcPr>
          <w:p w14:paraId="2326685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vAlign w:val="center"/>
          </w:tcPr>
          <w:p w14:paraId="137D817D"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vAlign w:val="center"/>
          </w:tcPr>
          <w:p w14:paraId="50DD4E8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.09</w:t>
            </w:r>
          </w:p>
        </w:tc>
        <w:tc>
          <w:tcPr>
            <w:tcW w:w="567" w:type="dxa"/>
            <w:vAlign w:val="center"/>
          </w:tcPr>
          <w:p w14:paraId="5519B09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.07</w:t>
            </w:r>
          </w:p>
        </w:tc>
        <w:tc>
          <w:tcPr>
            <w:tcW w:w="567" w:type="dxa"/>
            <w:vAlign w:val="center"/>
          </w:tcPr>
          <w:p w14:paraId="5599334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c>
          <w:tcPr>
            <w:tcW w:w="567" w:type="dxa"/>
            <w:vAlign w:val="center"/>
          </w:tcPr>
          <w:p w14:paraId="7151062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-.00</w:t>
            </w:r>
          </w:p>
        </w:tc>
      </w:tr>
      <w:tr w:rsidR="00F26837" w:rsidRPr="00AE20AC" w14:paraId="7A00B1C5" w14:textId="77777777" w:rsidTr="00F26837">
        <w:trPr>
          <w:trHeight w:hRule="exact" w:val="432"/>
        </w:trPr>
        <w:tc>
          <w:tcPr>
            <w:tcW w:w="1276" w:type="dxa"/>
            <w:vAlign w:val="center"/>
          </w:tcPr>
          <w:p w14:paraId="5B3B1008"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11. PA</w:t>
            </w:r>
          </w:p>
        </w:tc>
        <w:tc>
          <w:tcPr>
            <w:tcW w:w="470" w:type="dxa"/>
          </w:tcPr>
          <w:p w14:paraId="03E2E69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tcPr>
          <w:p w14:paraId="32B3EC1E"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.07</w:t>
            </w:r>
          </w:p>
        </w:tc>
        <w:tc>
          <w:tcPr>
            <w:tcW w:w="567" w:type="dxa"/>
          </w:tcPr>
          <w:p w14:paraId="3B76118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.13</w:t>
            </w:r>
          </w:p>
        </w:tc>
        <w:tc>
          <w:tcPr>
            <w:tcW w:w="567" w:type="dxa"/>
          </w:tcPr>
          <w:p w14:paraId="3B8ACDE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.12</w:t>
            </w:r>
          </w:p>
        </w:tc>
        <w:tc>
          <w:tcPr>
            <w:tcW w:w="567" w:type="dxa"/>
          </w:tcPr>
          <w:p w14:paraId="570994F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.13</w:t>
            </w:r>
          </w:p>
        </w:tc>
        <w:tc>
          <w:tcPr>
            <w:tcW w:w="567" w:type="dxa"/>
          </w:tcPr>
          <w:p w14:paraId="25A4D29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Pr>
          <w:p w14:paraId="3F2F1B2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Pr>
          <w:p w14:paraId="0D30B70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tcPr>
          <w:p w14:paraId="20E95810"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.08</w:t>
            </w:r>
          </w:p>
        </w:tc>
        <w:tc>
          <w:tcPr>
            <w:tcW w:w="567" w:type="dxa"/>
          </w:tcPr>
          <w:p w14:paraId="32E4283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.00</w:t>
            </w:r>
          </w:p>
        </w:tc>
        <w:tc>
          <w:tcPr>
            <w:tcW w:w="567" w:type="dxa"/>
            <w:vAlign w:val="center"/>
          </w:tcPr>
          <w:p w14:paraId="75E7ADF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vAlign w:val="center"/>
          </w:tcPr>
          <w:p w14:paraId="540A548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-.04</w:t>
            </w:r>
          </w:p>
        </w:tc>
        <w:tc>
          <w:tcPr>
            <w:tcW w:w="567" w:type="dxa"/>
            <w:vAlign w:val="center"/>
          </w:tcPr>
          <w:p w14:paraId="2B59402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-.06</w:t>
            </w:r>
          </w:p>
        </w:tc>
        <w:tc>
          <w:tcPr>
            <w:tcW w:w="567" w:type="dxa"/>
            <w:vAlign w:val="center"/>
          </w:tcPr>
          <w:p w14:paraId="19FF80E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color w:val="000000"/>
                <w:sz w:val="20"/>
                <w:szCs w:val="20"/>
                <w:lang w:val="es-AR" w:eastAsia="en-US"/>
              </w:rPr>
              <w:t>-.09</w:t>
            </w:r>
          </w:p>
        </w:tc>
      </w:tr>
      <w:tr w:rsidR="00F26837" w:rsidRPr="00AE20AC" w14:paraId="14830E47" w14:textId="77777777" w:rsidTr="00F26837">
        <w:trPr>
          <w:trHeight w:hRule="exact" w:val="432"/>
        </w:trPr>
        <w:tc>
          <w:tcPr>
            <w:tcW w:w="1276" w:type="dxa"/>
            <w:vAlign w:val="center"/>
          </w:tcPr>
          <w:p w14:paraId="07B0D7F1"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12. E COM</w:t>
            </w:r>
          </w:p>
        </w:tc>
        <w:tc>
          <w:tcPr>
            <w:tcW w:w="470" w:type="dxa"/>
          </w:tcPr>
          <w:p w14:paraId="2658F851"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.05</w:t>
            </w:r>
          </w:p>
        </w:tc>
        <w:tc>
          <w:tcPr>
            <w:tcW w:w="567" w:type="dxa"/>
          </w:tcPr>
          <w:p w14:paraId="3E3B050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.09</w:t>
            </w:r>
          </w:p>
        </w:tc>
        <w:tc>
          <w:tcPr>
            <w:tcW w:w="567" w:type="dxa"/>
          </w:tcPr>
          <w:p w14:paraId="793BDF6F"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.05</w:t>
            </w:r>
          </w:p>
        </w:tc>
        <w:tc>
          <w:tcPr>
            <w:tcW w:w="567" w:type="dxa"/>
          </w:tcPr>
          <w:p w14:paraId="08F7B0F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tcPr>
          <w:p w14:paraId="214DC9EE"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.04</w:t>
            </w:r>
          </w:p>
        </w:tc>
        <w:tc>
          <w:tcPr>
            <w:tcW w:w="567" w:type="dxa"/>
          </w:tcPr>
          <w:p w14:paraId="4048782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c>
          <w:tcPr>
            <w:tcW w:w="567" w:type="dxa"/>
          </w:tcPr>
          <w:p w14:paraId="3735DE4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tcPr>
          <w:p w14:paraId="289C7A5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.15</w:t>
            </w:r>
          </w:p>
        </w:tc>
        <w:tc>
          <w:tcPr>
            <w:tcW w:w="567" w:type="dxa"/>
          </w:tcPr>
          <w:p w14:paraId="160F53A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tcPr>
          <w:p w14:paraId="6509BA0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c>
          <w:tcPr>
            <w:tcW w:w="567" w:type="dxa"/>
          </w:tcPr>
          <w:p w14:paraId="4133C3B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vAlign w:val="center"/>
          </w:tcPr>
          <w:p w14:paraId="79E81D6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vAlign w:val="center"/>
          </w:tcPr>
          <w:p w14:paraId="58BC845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.18</w:t>
            </w:r>
          </w:p>
        </w:tc>
        <w:tc>
          <w:tcPr>
            <w:tcW w:w="567" w:type="dxa"/>
            <w:vAlign w:val="center"/>
          </w:tcPr>
          <w:p w14:paraId="532D8639"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.11</w:t>
            </w:r>
          </w:p>
        </w:tc>
      </w:tr>
      <w:tr w:rsidR="00F26837" w:rsidRPr="00AE20AC" w14:paraId="401A3BAD" w14:textId="77777777" w:rsidTr="00F26837">
        <w:trPr>
          <w:trHeight w:hRule="exact" w:val="432"/>
        </w:trPr>
        <w:tc>
          <w:tcPr>
            <w:tcW w:w="1276" w:type="dxa"/>
            <w:vAlign w:val="center"/>
          </w:tcPr>
          <w:p w14:paraId="02C77DE8"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13. E OM</w:t>
            </w:r>
          </w:p>
        </w:tc>
        <w:tc>
          <w:tcPr>
            <w:tcW w:w="470" w:type="dxa"/>
          </w:tcPr>
          <w:p w14:paraId="3A35E50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.16</w:t>
            </w:r>
          </w:p>
        </w:tc>
        <w:tc>
          <w:tcPr>
            <w:tcW w:w="567" w:type="dxa"/>
          </w:tcPr>
          <w:p w14:paraId="40A01CC8"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.08</w:t>
            </w:r>
          </w:p>
        </w:tc>
        <w:tc>
          <w:tcPr>
            <w:tcW w:w="567" w:type="dxa"/>
          </w:tcPr>
          <w:p w14:paraId="597CE9F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.13</w:t>
            </w:r>
          </w:p>
        </w:tc>
        <w:tc>
          <w:tcPr>
            <w:tcW w:w="567" w:type="dxa"/>
          </w:tcPr>
          <w:p w14:paraId="2828833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.06</w:t>
            </w:r>
          </w:p>
        </w:tc>
        <w:tc>
          <w:tcPr>
            <w:tcW w:w="567" w:type="dxa"/>
          </w:tcPr>
          <w:p w14:paraId="353FCB8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.18</w:t>
            </w:r>
          </w:p>
        </w:tc>
        <w:tc>
          <w:tcPr>
            <w:tcW w:w="567" w:type="dxa"/>
          </w:tcPr>
          <w:p w14:paraId="6B70948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.12</w:t>
            </w:r>
          </w:p>
        </w:tc>
        <w:tc>
          <w:tcPr>
            <w:tcW w:w="567" w:type="dxa"/>
          </w:tcPr>
          <w:p w14:paraId="58FEAA4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tcPr>
          <w:p w14:paraId="3CD7384A"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.11</w:t>
            </w:r>
          </w:p>
        </w:tc>
        <w:tc>
          <w:tcPr>
            <w:tcW w:w="567" w:type="dxa"/>
          </w:tcPr>
          <w:p w14:paraId="27974833"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.04</w:t>
            </w:r>
          </w:p>
        </w:tc>
        <w:tc>
          <w:tcPr>
            <w:tcW w:w="567" w:type="dxa"/>
          </w:tcPr>
          <w:p w14:paraId="71B993C8"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-.02</w:t>
            </w:r>
          </w:p>
        </w:tc>
        <w:tc>
          <w:tcPr>
            <w:tcW w:w="567" w:type="dxa"/>
          </w:tcPr>
          <w:p w14:paraId="776755E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.01</w:t>
            </w:r>
          </w:p>
        </w:tc>
        <w:tc>
          <w:tcPr>
            <w:tcW w:w="567" w:type="dxa"/>
          </w:tcPr>
          <w:p w14:paraId="5256FDF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sz w:val="20"/>
                <w:szCs w:val="20"/>
                <w:lang w:val="es-AR" w:eastAsia="en-US"/>
              </w:rPr>
              <w:t>.18</w:t>
            </w:r>
          </w:p>
        </w:tc>
        <w:tc>
          <w:tcPr>
            <w:tcW w:w="567" w:type="dxa"/>
            <w:vAlign w:val="center"/>
          </w:tcPr>
          <w:p w14:paraId="6E58F8F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c>
          <w:tcPr>
            <w:tcW w:w="567" w:type="dxa"/>
            <w:vAlign w:val="center"/>
          </w:tcPr>
          <w:p w14:paraId="6654039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.12</w:t>
            </w:r>
          </w:p>
        </w:tc>
      </w:tr>
      <w:tr w:rsidR="00F26837" w:rsidRPr="00AE20AC" w14:paraId="2CB53B31" w14:textId="77777777" w:rsidTr="00F26837">
        <w:trPr>
          <w:trHeight w:hRule="exact" w:val="432"/>
        </w:trPr>
        <w:tc>
          <w:tcPr>
            <w:tcW w:w="1276" w:type="dxa"/>
            <w:tcBorders>
              <w:bottom w:val="single" w:sz="4" w:space="0" w:color="auto"/>
            </w:tcBorders>
            <w:vAlign w:val="center"/>
          </w:tcPr>
          <w:p w14:paraId="49703FCD" w14:textId="77777777" w:rsidR="00AE20AC" w:rsidRPr="00AE20AC" w:rsidRDefault="00AE20AC" w:rsidP="00AE20AC">
            <w:pPr>
              <w:autoSpaceDE w:val="0"/>
              <w:autoSpaceDN w:val="0"/>
              <w:adjustRightInd w:val="0"/>
              <w:snapToGrid w:val="0"/>
              <w:rPr>
                <w:rFonts w:eastAsia="Calibri"/>
                <w:color w:val="000000"/>
                <w:sz w:val="20"/>
                <w:szCs w:val="20"/>
                <w:lang w:val="es-AR" w:eastAsia="en-US"/>
              </w:rPr>
            </w:pPr>
            <w:r w:rsidRPr="00AE20AC">
              <w:rPr>
                <w:rFonts w:eastAsia="Calibri"/>
                <w:color w:val="000000"/>
                <w:sz w:val="20"/>
                <w:szCs w:val="20"/>
                <w:lang w:val="es-AR" w:eastAsia="en-US"/>
              </w:rPr>
              <w:t>14. E PERS</w:t>
            </w:r>
          </w:p>
        </w:tc>
        <w:tc>
          <w:tcPr>
            <w:tcW w:w="470" w:type="dxa"/>
            <w:tcBorders>
              <w:bottom w:val="single" w:sz="4" w:space="0" w:color="auto"/>
            </w:tcBorders>
          </w:tcPr>
          <w:p w14:paraId="724C8126"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.04</w:t>
            </w:r>
          </w:p>
        </w:tc>
        <w:tc>
          <w:tcPr>
            <w:tcW w:w="567" w:type="dxa"/>
            <w:tcBorders>
              <w:bottom w:val="single" w:sz="4" w:space="0" w:color="auto"/>
            </w:tcBorders>
          </w:tcPr>
          <w:p w14:paraId="7C037B4C"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.01</w:t>
            </w:r>
          </w:p>
        </w:tc>
        <w:tc>
          <w:tcPr>
            <w:tcW w:w="567" w:type="dxa"/>
            <w:tcBorders>
              <w:bottom w:val="single" w:sz="4" w:space="0" w:color="auto"/>
            </w:tcBorders>
          </w:tcPr>
          <w:p w14:paraId="2C9E136A" w14:textId="77777777" w:rsidR="00AE20AC" w:rsidRPr="00AE20AC" w:rsidRDefault="00AE20AC" w:rsidP="00AE20AC">
            <w:pPr>
              <w:autoSpaceDE w:val="0"/>
              <w:autoSpaceDN w:val="0"/>
              <w:adjustRightInd w:val="0"/>
              <w:snapToGrid w:val="0"/>
              <w:jc w:val="center"/>
              <w:rPr>
                <w:rFonts w:eastAsia="Calibri"/>
                <w:color w:val="000000"/>
                <w:sz w:val="20"/>
                <w:szCs w:val="20"/>
                <w:lang w:val="es-AR" w:eastAsia="en-US"/>
              </w:rPr>
            </w:pPr>
            <w:r w:rsidRPr="00AE20AC">
              <w:rPr>
                <w:rFonts w:eastAsia="Calibri"/>
                <w:sz w:val="20"/>
                <w:szCs w:val="20"/>
                <w:lang w:val="es-AR" w:eastAsia="en-US"/>
              </w:rPr>
              <w:t>.03</w:t>
            </w:r>
          </w:p>
        </w:tc>
        <w:tc>
          <w:tcPr>
            <w:tcW w:w="567" w:type="dxa"/>
            <w:tcBorders>
              <w:bottom w:val="single" w:sz="4" w:space="0" w:color="auto"/>
            </w:tcBorders>
          </w:tcPr>
          <w:p w14:paraId="475B8646"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.03</w:t>
            </w:r>
          </w:p>
        </w:tc>
        <w:tc>
          <w:tcPr>
            <w:tcW w:w="567" w:type="dxa"/>
            <w:tcBorders>
              <w:bottom w:val="single" w:sz="4" w:space="0" w:color="auto"/>
            </w:tcBorders>
          </w:tcPr>
          <w:p w14:paraId="1D3B112F"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.07</w:t>
            </w:r>
          </w:p>
        </w:tc>
        <w:tc>
          <w:tcPr>
            <w:tcW w:w="567" w:type="dxa"/>
            <w:tcBorders>
              <w:bottom w:val="single" w:sz="4" w:space="0" w:color="auto"/>
            </w:tcBorders>
          </w:tcPr>
          <w:p w14:paraId="7E0F052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-.04</w:t>
            </w:r>
          </w:p>
        </w:tc>
        <w:tc>
          <w:tcPr>
            <w:tcW w:w="567" w:type="dxa"/>
            <w:tcBorders>
              <w:bottom w:val="single" w:sz="4" w:space="0" w:color="auto"/>
            </w:tcBorders>
          </w:tcPr>
          <w:p w14:paraId="214665A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-.02</w:t>
            </w:r>
          </w:p>
        </w:tc>
        <w:tc>
          <w:tcPr>
            <w:tcW w:w="567" w:type="dxa"/>
            <w:tcBorders>
              <w:bottom w:val="single" w:sz="4" w:space="0" w:color="auto"/>
            </w:tcBorders>
          </w:tcPr>
          <w:p w14:paraId="24B70E31"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-.04</w:t>
            </w:r>
          </w:p>
        </w:tc>
        <w:tc>
          <w:tcPr>
            <w:tcW w:w="567" w:type="dxa"/>
            <w:tcBorders>
              <w:bottom w:val="single" w:sz="4" w:space="0" w:color="auto"/>
            </w:tcBorders>
          </w:tcPr>
          <w:p w14:paraId="1DA822B4"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.00</w:t>
            </w:r>
          </w:p>
        </w:tc>
        <w:tc>
          <w:tcPr>
            <w:tcW w:w="567" w:type="dxa"/>
            <w:tcBorders>
              <w:bottom w:val="single" w:sz="4" w:space="0" w:color="auto"/>
            </w:tcBorders>
          </w:tcPr>
          <w:p w14:paraId="56481002"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.01</w:t>
            </w:r>
          </w:p>
        </w:tc>
        <w:tc>
          <w:tcPr>
            <w:tcW w:w="567" w:type="dxa"/>
            <w:tcBorders>
              <w:bottom w:val="single" w:sz="4" w:space="0" w:color="auto"/>
            </w:tcBorders>
          </w:tcPr>
          <w:p w14:paraId="259AF48B"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.02</w:t>
            </w:r>
          </w:p>
        </w:tc>
        <w:tc>
          <w:tcPr>
            <w:tcW w:w="567" w:type="dxa"/>
            <w:tcBorders>
              <w:bottom w:val="single" w:sz="4" w:space="0" w:color="auto"/>
            </w:tcBorders>
          </w:tcPr>
          <w:p w14:paraId="44A44DD7"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sz w:val="20"/>
                <w:szCs w:val="20"/>
                <w:lang w:val="es-AR" w:eastAsia="en-US"/>
              </w:rPr>
              <w:t>.00</w:t>
            </w:r>
          </w:p>
        </w:tc>
        <w:tc>
          <w:tcPr>
            <w:tcW w:w="567" w:type="dxa"/>
            <w:tcBorders>
              <w:bottom w:val="single" w:sz="4" w:space="0" w:color="auto"/>
            </w:tcBorders>
            <w:vAlign w:val="center"/>
          </w:tcPr>
          <w:p w14:paraId="6E4B06AC"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r w:rsidRPr="00AE20AC">
              <w:rPr>
                <w:rFonts w:eastAsia="Calibri"/>
                <w:b/>
                <w:bCs/>
                <w:color w:val="000000"/>
                <w:sz w:val="20"/>
                <w:szCs w:val="20"/>
                <w:lang w:val="es-AR" w:eastAsia="en-US"/>
              </w:rPr>
              <w:t>.15</w:t>
            </w:r>
          </w:p>
        </w:tc>
        <w:tc>
          <w:tcPr>
            <w:tcW w:w="567" w:type="dxa"/>
            <w:tcBorders>
              <w:bottom w:val="single" w:sz="4" w:space="0" w:color="auto"/>
            </w:tcBorders>
            <w:vAlign w:val="center"/>
          </w:tcPr>
          <w:p w14:paraId="4F4BDEF5" w14:textId="77777777" w:rsidR="00AE20AC" w:rsidRPr="00AE20AC" w:rsidRDefault="00AE20AC" w:rsidP="00AE20AC">
            <w:pPr>
              <w:autoSpaceDE w:val="0"/>
              <w:autoSpaceDN w:val="0"/>
              <w:adjustRightInd w:val="0"/>
              <w:snapToGrid w:val="0"/>
              <w:jc w:val="center"/>
              <w:rPr>
                <w:rFonts w:eastAsia="Calibri"/>
                <w:b/>
                <w:bCs/>
                <w:color w:val="000000"/>
                <w:sz w:val="20"/>
                <w:szCs w:val="20"/>
                <w:lang w:val="es-AR" w:eastAsia="en-US"/>
              </w:rPr>
            </w:pPr>
          </w:p>
        </w:tc>
      </w:tr>
    </w:tbl>
    <w:p w14:paraId="3FAC86A4" w14:textId="22945A49" w:rsidR="00AE20AC" w:rsidRPr="00AE20AC" w:rsidRDefault="001C3E27" w:rsidP="00F26837">
      <w:pPr>
        <w:spacing w:after="200"/>
        <w:ind w:right="-46"/>
        <w:jc w:val="both"/>
        <w:rPr>
          <w:rFonts w:eastAsia="Calibri"/>
          <w:color w:val="000000"/>
          <w:sz w:val="20"/>
          <w:szCs w:val="20"/>
          <w:lang w:val="es-AR" w:eastAsia="en-US"/>
        </w:rPr>
      </w:pPr>
      <w:r w:rsidRPr="00AE20AC">
        <w:rPr>
          <w:rFonts w:eastAsia="Calibri"/>
          <w:color w:val="000000"/>
          <w:sz w:val="20"/>
          <w:szCs w:val="20"/>
          <w:lang w:val="es-AR" w:eastAsia="en-US"/>
        </w:rPr>
        <w:t xml:space="preserve">Triángulo Inferior: correlaciones entre preadolescentes; Triángulo Superior: correlaciones entre adolescentes. </w:t>
      </w:r>
      <w:r w:rsidR="00AE20AC" w:rsidRPr="00AE20AC">
        <w:rPr>
          <w:rFonts w:eastAsia="Calibri"/>
          <w:color w:val="000000"/>
          <w:sz w:val="20"/>
          <w:szCs w:val="20"/>
          <w:lang w:val="es-AR" w:eastAsia="en-US"/>
        </w:rPr>
        <w:t xml:space="preserve">F= frecuencia; Gr: </w:t>
      </w:r>
      <w:r w:rsidRPr="00F26837">
        <w:rPr>
          <w:rFonts w:eastAsia="Calibri"/>
          <w:color w:val="000000"/>
          <w:sz w:val="20"/>
          <w:szCs w:val="20"/>
          <w:lang w:val="es-AR" w:eastAsia="en-US"/>
        </w:rPr>
        <w:t>G</w:t>
      </w:r>
      <w:r w:rsidR="00AE20AC" w:rsidRPr="00AE20AC">
        <w:rPr>
          <w:rFonts w:eastAsia="Calibri"/>
          <w:color w:val="000000"/>
          <w:sz w:val="20"/>
          <w:szCs w:val="20"/>
          <w:lang w:val="es-AR" w:eastAsia="en-US"/>
        </w:rPr>
        <w:t>ramos de alcohol consumidos por ocasión; B1 = bebida de mayor consumo; B2 = segunda bebida de mayor consumo; CEEA = Consumo Episódico Elevado;</w:t>
      </w:r>
      <w:r w:rsidR="00AE20AC" w:rsidRPr="00AE20AC">
        <w:rPr>
          <w:rFonts w:eastAsia="Calibri"/>
          <w:sz w:val="20"/>
          <w:szCs w:val="20"/>
          <w:lang w:val="es-ES" w:eastAsia="en-US"/>
        </w:rPr>
        <w:t xml:space="preserve"> URG NEG= Urgencia Negativa; URG POS= Urgencia Positiva; PREM= Falta de Premeditación; PERS= Falta de Perseverancia; </w:t>
      </w:r>
      <w:r w:rsidR="00AE20AC" w:rsidRPr="00AE20AC">
        <w:rPr>
          <w:rFonts w:eastAsia="Calibri"/>
          <w:sz w:val="20"/>
          <w:szCs w:val="20"/>
          <w:lang w:val="es-AR" w:eastAsia="en-US"/>
        </w:rPr>
        <w:t xml:space="preserve">SENS= Búsqueda de Sensaciones; PA= Promedio Ajustado; E COM = Errores de Comisión; E OM= Errores por Omisión; E PERS= Errores Perseverativos. </w:t>
      </w:r>
      <w:r w:rsidR="00AE20AC" w:rsidRPr="00AE20AC">
        <w:rPr>
          <w:rFonts w:eastAsia="Calibri"/>
          <w:color w:val="000000"/>
          <w:sz w:val="20"/>
          <w:szCs w:val="20"/>
          <w:lang w:val="es-AR" w:eastAsia="en-US"/>
        </w:rPr>
        <w:t xml:space="preserve">En negrita se destacan los resultados estadísticamente significativos a </w:t>
      </w:r>
      <w:r w:rsidR="00AE20AC" w:rsidRPr="00AE20AC">
        <w:rPr>
          <w:rFonts w:eastAsia="Calibri"/>
          <w:i/>
          <w:color w:val="000000"/>
          <w:sz w:val="20"/>
          <w:szCs w:val="20"/>
          <w:lang w:val="es-AR" w:eastAsia="en-US"/>
        </w:rPr>
        <w:t>p</w:t>
      </w:r>
      <w:r w:rsidR="00AE20AC" w:rsidRPr="00AE20AC">
        <w:rPr>
          <w:rFonts w:eastAsia="Calibri"/>
          <w:color w:val="000000"/>
          <w:sz w:val="20"/>
          <w:szCs w:val="20"/>
          <w:lang w:val="es-AR" w:eastAsia="en-US"/>
        </w:rPr>
        <w:t xml:space="preserve"> ≤ .05</w:t>
      </w:r>
    </w:p>
    <w:p w14:paraId="5ACECA85" w14:textId="77777777" w:rsidR="00F26837" w:rsidRDefault="00F26837" w:rsidP="000320FE">
      <w:pPr>
        <w:widowControl w:val="0"/>
        <w:autoSpaceDE w:val="0"/>
        <w:autoSpaceDN w:val="0"/>
        <w:adjustRightInd w:val="0"/>
        <w:spacing w:line="360" w:lineRule="auto"/>
        <w:jc w:val="both"/>
        <w:rPr>
          <w:i/>
          <w:iCs/>
          <w:lang w:val="es-AR" w:eastAsia="en-US"/>
        </w:rPr>
      </w:pPr>
    </w:p>
    <w:p w14:paraId="4EBBF0D7" w14:textId="55D801ED" w:rsidR="000320FE" w:rsidRPr="000320FE" w:rsidRDefault="000320FE" w:rsidP="000320FE">
      <w:pPr>
        <w:widowControl w:val="0"/>
        <w:autoSpaceDE w:val="0"/>
        <w:autoSpaceDN w:val="0"/>
        <w:adjustRightInd w:val="0"/>
        <w:spacing w:line="360" w:lineRule="auto"/>
        <w:jc w:val="both"/>
        <w:rPr>
          <w:i/>
          <w:iCs/>
          <w:lang w:val="es-AR" w:eastAsia="en-US"/>
        </w:rPr>
      </w:pPr>
      <w:r w:rsidRPr="000320FE">
        <w:rPr>
          <w:i/>
          <w:iCs/>
          <w:lang w:val="es-AR" w:eastAsia="en-US"/>
        </w:rPr>
        <w:t>Adolescentes.</w:t>
      </w:r>
    </w:p>
    <w:p w14:paraId="1B1346D1" w14:textId="77777777" w:rsidR="000320FE" w:rsidRPr="000320FE" w:rsidRDefault="000320FE" w:rsidP="000320FE">
      <w:pPr>
        <w:widowControl w:val="0"/>
        <w:autoSpaceDE w:val="0"/>
        <w:autoSpaceDN w:val="0"/>
        <w:adjustRightInd w:val="0"/>
        <w:spacing w:line="360" w:lineRule="auto"/>
        <w:ind w:firstLine="708"/>
        <w:jc w:val="both"/>
        <w:rPr>
          <w:lang w:val="es-AR" w:eastAsia="en-US"/>
        </w:rPr>
      </w:pPr>
      <w:r w:rsidRPr="000320FE">
        <w:rPr>
          <w:lang w:val="es-AR" w:eastAsia="en-US"/>
        </w:rPr>
        <w:t xml:space="preserve">La Tabla 3 muestra que el consumo de alcohol y de CEEA se asoció positiva y significativamente con todas las dimensiones de impulsividad rasgo. A su vez, la mayor frecuencia de consumo de las dos bebidas más elegidas y de CEEA se relacionó con una mayor cantidad de errores perseverativos. Por otro lado, el consumo de alcohol no se asoció con la toma de riesgos, inhibición de respuesta y falta de atención en este grupo etario. </w:t>
      </w:r>
    </w:p>
    <w:p w14:paraId="4D908A2E" w14:textId="77777777" w:rsidR="000320FE" w:rsidRPr="000320FE" w:rsidRDefault="000320FE" w:rsidP="000320FE">
      <w:pPr>
        <w:widowControl w:val="0"/>
        <w:autoSpaceDE w:val="0"/>
        <w:autoSpaceDN w:val="0"/>
        <w:adjustRightInd w:val="0"/>
        <w:spacing w:line="360" w:lineRule="auto"/>
        <w:rPr>
          <w:lang w:val="es-AR" w:eastAsia="en-US"/>
        </w:rPr>
      </w:pPr>
    </w:p>
    <w:p w14:paraId="3D11E0C6" w14:textId="77777777" w:rsidR="000320FE" w:rsidRPr="000320FE" w:rsidRDefault="000320FE" w:rsidP="000320FE">
      <w:pPr>
        <w:widowControl w:val="0"/>
        <w:autoSpaceDE w:val="0"/>
        <w:autoSpaceDN w:val="0"/>
        <w:adjustRightInd w:val="0"/>
        <w:spacing w:line="360" w:lineRule="auto"/>
        <w:rPr>
          <w:b/>
          <w:bCs/>
          <w:i/>
          <w:iCs/>
          <w:lang w:val="es-AR" w:eastAsia="en-US"/>
        </w:rPr>
      </w:pPr>
      <w:r w:rsidRPr="000320FE">
        <w:rPr>
          <w:b/>
          <w:bCs/>
          <w:i/>
          <w:iCs/>
          <w:lang w:val="es-AR" w:eastAsia="en-US"/>
        </w:rPr>
        <w:t>Análisis de regresión múltiple</w:t>
      </w:r>
    </w:p>
    <w:p w14:paraId="71E8F281" w14:textId="77777777" w:rsidR="000320FE" w:rsidRPr="000320FE" w:rsidRDefault="000320FE" w:rsidP="000320FE">
      <w:pPr>
        <w:widowControl w:val="0"/>
        <w:autoSpaceDE w:val="0"/>
        <w:autoSpaceDN w:val="0"/>
        <w:adjustRightInd w:val="0"/>
        <w:spacing w:line="360" w:lineRule="auto"/>
        <w:rPr>
          <w:i/>
          <w:iCs/>
          <w:lang w:val="es-AR" w:eastAsia="en-US"/>
        </w:rPr>
      </w:pPr>
      <w:r w:rsidRPr="000320FE">
        <w:rPr>
          <w:i/>
          <w:iCs/>
          <w:lang w:val="es-AR" w:eastAsia="en-US"/>
        </w:rPr>
        <w:t>Preadolescentes.</w:t>
      </w:r>
    </w:p>
    <w:p w14:paraId="10AC3242" w14:textId="77777777" w:rsidR="000320FE" w:rsidRPr="000320FE" w:rsidRDefault="000320FE" w:rsidP="000320FE">
      <w:pPr>
        <w:widowControl w:val="0"/>
        <w:autoSpaceDE w:val="0"/>
        <w:autoSpaceDN w:val="0"/>
        <w:adjustRightInd w:val="0"/>
        <w:spacing w:line="360" w:lineRule="auto"/>
        <w:ind w:firstLine="708"/>
        <w:jc w:val="both"/>
        <w:rPr>
          <w:lang w:val="es-AR" w:eastAsia="en-US"/>
        </w:rPr>
      </w:pPr>
      <w:r w:rsidRPr="000320FE">
        <w:rPr>
          <w:lang w:val="es-AR" w:eastAsia="en-US"/>
        </w:rPr>
        <w:t>Las variables incluidas en el modelo explicaron el 13% de la varianza de la frecuencia de consumo de alcohol en preadolescentes (</w:t>
      </w:r>
      <w:proofErr w:type="spellStart"/>
      <w:r w:rsidRPr="000320FE">
        <w:rPr>
          <w:lang w:val="es-AR" w:eastAsia="en-US"/>
        </w:rPr>
        <w:t>F</w:t>
      </w:r>
      <w:r w:rsidRPr="000320FE">
        <w:rPr>
          <w:vertAlign w:val="subscript"/>
          <w:lang w:val="es-AR" w:eastAsia="en-US"/>
        </w:rPr>
        <w:t>cambio</w:t>
      </w:r>
      <w:proofErr w:type="spellEnd"/>
      <w:r w:rsidRPr="000320FE">
        <w:rPr>
          <w:lang w:val="es-AR" w:eastAsia="en-US"/>
        </w:rPr>
        <w:t xml:space="preserve">= 9.13, </w:t>
      </w:r>
      <w:r w:rsidRPr="000320FE">
        <w:rPr>
          <w:i/>
          <w:iCs/>
          <w:lang w:val="es-AR" w:eastAsia="en-US"/>
        </w:rPr>
        <w:t>p</w:t>
      </w:r>
      <w:r w:rsidRPr="000320FE">
        <w:rPr>
          <w:lang w:val="es-AR" w:eastAsia="en-US"/>
        </w:rPr>
        <w:t xml:space="preserve"> ≤ .001). La Urgencia Negativa (β= </w:t>
      </w:r>
      <w:r w:rsidRPr="000320FE">
        <w:rPr>
          <w:lang w:val="es-AR" w:eastAsia="en-US"/>
        </w:rPr>
        <w:lastRenderedPageBreak/>
        <w:t xml:space="preserve">.13, </w:t>
      </w:r>
      <w:r w:rsidRPr="000320FE">
        <w:rPr>
          <w:i/>
          <w:iCs/>
          <w:lang w:val="es-AR" w:eastAsia="en-US"/>
        </w:rPr>
        <w:t>t</w:t>
      </w:r>
      <w:r w:rsidRPr="000320FE">
        <w:rPr>
          <w:lang w:val="es-AR" w:eastAsia="en-US"/>
        </w:rPr>
        <w:t xml:space="preserve">= 2.38, </w:t>
      </w:r>
      <w:r w:rsidRPr="000320FE">
        <w:rPr>
          <w:i/>
          <w:iCs/>
          <w:lang w:val="es-AR" w:eastAsia="en-US"/>
        </w:rPr>
        <w:t>p</w:t>
      </w:r>
      <w:r w:rsidRPr="000320FE">
        <w:rPr>
          <w:lang w:val="es-AR" w:eastAsia="en-US"/>
        </w:rPr>
        <w:t xml:space="preserve"> ≤ .05), Búsqueda de Sensaciones (β= .10, </w:t>
      </w:r>
      <w:r w:rsidRPr="000320FE">
        <w:rPr>
          <w:i/>
          <w:iCs/>
          <w:lang w:val="es-AR" w:eastAsia="en-US"/>
        </w:rPr>
        <w:t>t</w:t>
      </w:r>
      <w:r w:rsidRPr="000320FE">
        <w:rPr>
          <w:lang w:val="es-AR" w:eastAsia="en-US"/>
        </w:rPr>
        <w:t xml:space="preserve">= 2.28, </w:t>
      </w:r>
      <w:r w:rsidRPr="000320FE">
        <w:rPr>
          <w:i/>
          <w:iCs/>
          <w:lang w:val="es-AR" w:eastAsia="en-US"/>
        </w:rPr>
        <w:t>p</w:t>
      </w:r>
      <w:r w:rsidRPr="000320FE">
        <w:rPr>
          <w:lang w:val="es-AR" w:eastAsia="en-US"/>
        </w:rPr>
        <w:t xml:space="preserve"> ≤ .05), Urgencia Positiva (β= .12, </w:t>
      </w:r>
      <w:r w:rsidRPr="000320FE">
        <w:rPr>
          <w:i/>
          <w:iCs/>
          <w:lang w:val="es-AR" w:eastAsia="en-US"/>
        </w:rPr>
        <w:t>t</w:t>
      </w:r>
      <w:r w:rsidRPr="000320FE">
        <w:rPr>
          <w:lang w:val="es-AR" w:eastAsia="en-US"/>
        </w:rPr>
        <w:t xml:space="preserve">= 2.01, </w:t>
      </w:r>
      <w:r w:rsidRPr="000320FE">
        <w:rPr>
          <w:i/>
          <w:iCs/>
          <w:lang w:val="es-AR" w:eastAsia="en-US"/>
        </w:rPr>
        <w:t xml:space="preserve">p </w:t>
      </w:r>
      <w:r w:rsidRPr="000320FE">
        <w:rPr>
          <w:lang w:val="es-AR" w:eastAsia="en-US"/>
        </w:rPr>
        <w:t xml:space="preserve">≤ .05), el Promedio Ajustado (β= .14, </w:t>
      </w:r>
      <w:r w:rsidRPr="000320FE">
        <w:rPr>
          <w:i/>
          <w:iCs/>
          <w:lang w:val="es-AR" w:eastAsia="en-US"/>
        </w:rPr>
        <w:t>t</w:t>
      </w:r>
      <w:r w:rsidRPr="000320FE">
        <w:rPr>
          <w:lang w:val="es-AR" w:eastAsia="en-US"/>
        </w:rPr>
        <w:t xml:space="preserve">= 3.52, </w:t>
      </w:r>
      <w:r w:rsidRPr="000320FE">
        <w:rPr>
          <w:i/>
          <w:iCs/>
          <w:lang w:val="es-AR" w:eastAsia="en-US"/>
        </w:rPr>
        <w:t>p</w:t>
      </w:r>
      <w:r w:rsidRPr="000320FE">
        <w:rPr>
          <w:lang w:val="es-AR" w:eastAsia="en-US"/>
        </w:rPr>
        <w:t xml:space="preserve"> ≤ .05) y los Errores de Omisión (β= .09, </w:t>
      </w:r>
      <w:r w:rsidRPr="000320FE">
        <w:rPr>
          <w:i/>
          <w:iCs/>
          <w:lang w:val="es-AR" w:eastAsia="en-US"/>
        </w:rPr>
        <w:t>t</w:t>
      </w:r>
      <w:r w:rsidRPr="000320FE">
        <w:rPr>
          <w:lang w:val="es-AR" w:eastAsia="en-US"/>
        </w:rPr>
        <w:t xml:space="preserve">= 2.06, </w:t>
      </w:r>
      <w:r w:rsidRPr="000320FE">
        <w:rPr>
          <w:i/>
          <w:iCs/>
          <w:lang w:val="es-AR" w:eastAsia="en-US"/>
        </w:rPr>
        <w:t xml:space="preserve">p </w:t>
      </w:r>
      <w:r w:rsidRPr="000320FE">
        <w:rPr>
          <w:lang w:val="es-AR" w:eastAsia="en-US"/>
        </w:rPr>
        <w:t xml:space="preserve">≤ .05) se asociaron de manera significativa con una mayor frecuencia de consumo de alcohol. Las variables Falta de Premeditación, Falta de Perseverancia, errores de comisión y errores perseverativos no tuvieron un efecto significativo. </w:t>
      </w:r>
    </w:p>
    <w:p w14:paraId="3910B6F7" w14:textId="77777777" w:rsidR="000320FE" w:rsidRPr="000320FE" w:rsidRDefault="000320FE" w:rsidP="000320FE">
      <w:pPr>
        <w:widowControl w:val="0"/>
        <w:autoSpaceDE w:val="0"/>
        <w:autoSpaceDN w:val="0"/>
        <w:adjustRightInd w:val="0"/>
        <w:spacing w:line="360" w:lineRule="auto"/>
        <w:ind w:firstLine="708"/>
        <w:jc w:val="both"/>
        <w:rPr>
          <w:lang w:val="es-AR" w:eastAsia="en-US"/>
        </w:rPr>
      </w:pPr>
    </w:p>
    <w:p w14:paraId="5147E2EB" w14:textId="77777777" w:rsidR="000320FE" w:rsidRPr="000320FE" w:rsidRDefault="000320FE" w:rsidP="000320FE">
      <w:pPr>
        <w:widowControl w:val="0"/>
        <w:autoSpaceDE w:val="0"/>
        <w:autoSpaceDN w:val="0"/>
        <w:adjustRightInd w:val="0"/>
        <w:spacing w:line="360" w:lineRule="auto"/>
        <w:jc w:val="both"/>
        <w:rPr>
          <w:i/>
          <w:iCs/>
          <w:lang w:val="es-AR" w:eastAsia="en-US"/>
        </w:rPr>
      </w:pPr>
      <w:r w:rsidRPr="000320FE">
        <w:rPr>
          <w:i/>
          <w:iCs/>
          <w:lang w:val="es-AR" w:eastAsia="en-US"/>
        </w:rPr>
        <w:t>Adolescentes.</w:t>
      </w:r>
    </w:p>
    <w:p w14:paraId="4DD92C42" w14:textId="77777777" w:rsidR="000320FE" w:rsidRPr="000320FE" w:rsidRDefault="000320FE" w:rsidP="000320FE">
      <w:pPr>
        <w:widowControl w:val="0"/>
        <w:autoSpaceDE w:val="0"/>
        <w:autoSpaceDN w:val="0"/>
        <w:adjustRightInd w:val="0"/>
        <w:spacing w:line="360" w:lineRule="auto"/>
        <w:ind w:firstLine="708"/>
        <w:jc w:val="both"/>
        <w:rPr>
          <w:lang w:val="es-AR" w:eastAsia="en-US"/>
        </w:rPr>
      </w:pPr>
      <w:r w:rsidRPr="000320FE">
        <w:rPr>
          <w:lang w:val="es-AR" w:eastAsia="en-US"/>
        </w:rPr>
        <w:t>Entre los adolescentes, tres dimensiones de impulsividad rasgo y el funcionamiento cognitivo explicaron el 18% de la varianza de la frecuencia de consumo de alcohol (</w:t>
      </w:r>
      <w:proofErr w:type="spellStart"/>
      <w:r w:rsidRPr="000320FE">
        <w:rPr>
          <w:lang w:val="es-AR" w:eastAsia="en-US"/>
        </w:rPr>
        <w:t>F</w:t>
      </w:r>
      <w:r w:rsidRPr="000320FE">
        <w:rPr>
          <w:vertAlign w:val="subscript"/>
          <w:lang w:val="es-AR" w:eastAsia="en-US"/>
        </w:rPr>
        <w:t>cambio</w:t>
      </w:r>
      <w:proofErr w:type="spellEnd"/>
      <w:r w:rsidRPr="000320FE">
        <w:rPr>
          <w:lang w:val="es-AR" w:eastAsia="en-US"/>
        </w:rPr>
        <w:t xml:space="preserve">= 10.28, </w:t>
      </w:r>
      <w:r w:rsidRPr="000320FE">
        <w:rPr>
          <w:i/>
          <w:iCs/>
          <w:lang w:val="es-AR" w:eastAsia="en-US"/>
        </w:rPr>
        <w:t>p</w:t>
      </w:r>
      <w:r w:rsidRPr="000320FE">
        <w:rPr>
          <w:lang w:val="es-AR" w:eastAsia="en-US"/>
        </w:rPr>
        <w:t xml:space="preserve"> ≤ .001). Específicamente, Urgencia Negativa (β= .15, </w:t>
      </w:r>
      <w:r w:rsidRPr="000320FE">
        <w:rPr>
          <w:i/>
          <w:iCs/>
          <w:lang w:val="es-AR" w:eastAsia="en-US"/>
        </w:rPr>
        <w:t>t</w:t>
      </w:r>
      <w:r w:rsidRPr="000320FE">
        <w:rPr>
          <w:lang w:val="es-AR" w:eastAsia="en-US"/>
        </w:rPr>
        <w:t xml:space="preserve">= 2.64, </w:t>
      </w:r>
      <w:r w:rsidRPr="000320FE">
        <w:rPr>
          <w:i/>
          <w:iCs/>
          <w:lang w:val="es-AR" w:eastAsia="en-US"/>
        </w:rPr>
        <w:t xml:space="preserve">p </w:t>
      </w:r>
      <w:r w:rsidRPr="000320FE">
        <w:rPr>
          <w:lang w:val="es-AR" w:eastAsia="en-US"/>
        </w:rPr>
        <w:t xml:space="preserve">≤ .01), Falta de Perseverancia (β= .16, </w:t>
      </w:r>
      <w:r w:rsidRPr="000320FE">
        <w:rPr>
          <w:i/>
          <w:iCs/>
          <w:lang w:val="es-AR" w:eastAsia="en-US"/>
        </w:rPr>
        <w:t>t</w:t>
      </w:r>
      <w:r w:rsidRPr="000320FE">
        <w:rPr>
          <w:lang w:val="es-AR" w:eastAsia="en-US"/>
        </w:rPr>
        <w:t xml:space="preserve">= 3.06, </w:t>
      </w:r>
      <w:r w:rsidRPr="000320FE">
        <w:rPr>
          <w:i/>
          <w:iCs/>
          <w:lang w:val="es-AR" w:eastAsia="en-US"/>
        </w:rPr>
        <w:t xml:space="preserve">p </w:t>
      </w:r>
      <w:r w:rsidRPr="000320FE">
        <w:rPr>
          <w:lang w:val="es-AR" w:eastAsia="en-US"/>
        </w:rPr>
        <w:t xml:space="preserve">≤ .01), Búsqueda de Sensaciones (β= .23, </w:t>
      </w:r>
      <w:r w:rsidRPr="000320FE">
        <w:rPr>
          <w:i/>
          <w:iCs/>
          <w:lang w:val="es-AR" w:eastAsia="en-US"/>
        </w:rPr>
        <w:t>t</w:t>
      </w:r>
      <w:r w:rsidRPr="000320FE">
        <w:rPr>
          <w:lang w:val="es-AR" w:eastAsia="en-US"/>
        </w:rPr>
        <w:t xml:space="preserve">= 4.81, </w:t>
      </w:r>
      <w:r w:rsidRPr="000320FE">
        <w:rPr>
          <w:i/>
          <w:iCs/>
          <w:lang w:val="es-AR" w:eastAsia="en-US"/>
        </w:rPr>
        <w:t xml:space="preserve">p </w:t>
      </w:r>
      <w:r w:rsidRPr="000320FE">
        <w:rPr>
          <w:lang w:val="es-AR" w:eastAsia="en-US"/>
        </w:rPr>
        <w:t xml:space="preserve">≤ .001) y los Errores Perseverativos (β= .11, </w:t>
      </w:r>
      <w:r w:rsidRPr="000320FE">
        <w:rPr>
          <w:i/>
          <w:iCs/>
          <w:lang w:val="es-AR" w:eastAsia="en-US"/>
        </w:rPr>
        <w:t>t</w:t>
      </w:r>
      <w:r w:rsidRPr="000320FE">
        <w:rPr>
          <w:lang w:val="es-AR" w:eastAsia="en-US"/>
        </w:rPr>
        <w:t xml:space="preserve">= 2.35, </w:t>
      </w:r>
      <w:r w:rsidRPr="000320FE">
        <w:rPr>
          <w:i/>
          <w:iCs/>
          <w:lang w:val="es-AR" w:eastAsia="en-US"/>
        </w:rPr>
        <w:t xml:space="preserve">p </w:t>
      </w:r>
      <w:r w:rsidRPr="000320FE">
        <w:rPr>
          <w:lang w:val="es-AR" w:eastAsia="en-US"/>
        </w:rPr>
        <w:t xml:space="preserve">≤ .05) se asociaron positiva y significativamente con una mayor frecuencia de consumo de alcohol. La Urgencia Positiva, Falta de Premeditación y los Errores de Comisión y Omisión no tuvieron efectos significativos en el modelo.  </w:t>
      </w:r>
    </w:p>
    <w:p w14:paraId="220C813D" w14:textId="1FFB5965" w:rsidR="00CE7D65" w:rsidRPr="00E23C9E" w:rsidRDefault="00CE7D65" w:rsidP="00CE7D65">
      <w:pPr>
        <w:pStyle w:val="Ttulosinternos"/>
        <w:rPr>
          <w:lang w:val="es-ES_tradnl"/>
        </w:rPr>
      </w:pPr>
      <w:r w:rsidRPr="00E23C9E">
        <w:rPr>
          <w:lang w:val="es-ES_tradnl"/>
        </w:rPr>
        <w:t>Discusi</w:t>
      </w:r>
      <w:r w:rsidR="00E23C9E" w:rsidRPr="00E23C9E">
        <w:rPr>
          <w:lang w:val="es-ES_tradnl"/>
        </w:rPr>
        <w:t>ó</w:t>
      </w:r>
      <w:r w:rsidRPr="00E23C9E">
        <w:rPr>
          <w:lang w:val="es-ES_tradnl"/>
        </w:rPr>
        <w:t>n</w:t>
      </w:r>
    </w:p>
    <w:p w14:paraId="1735DEF1" w14:textId="1B3B7FEB" w:rsidR="000320FE" w:rsidRPr="000320FE" w:rsidRDefault="000320FE" w:rsidP="000320FE">
      <w:pPr>
        <w:pStyle w:val="Prrafocomn"/>
        <w:rPr>
          <w:lang w:val="es-ES_tradnl"/>
        </w:rPr>
      </w:pPr>
      <w:r w:rsidRPr="000320FE">
        <w:rPr>
          <w:lang w:val="es-ES_tradnl"/>
        </w:rPr>
        <w:t>Este trabajo examinó diferencias en indicadores de consumo de alcohol, así como en distintos factores de riesgo (impulsividad [rasgo y conductual], toma de riesgos y flexibilidad cognitiva) en función de la edad (preadolescentes y adolescentes). A su vez, se analizó si estos factores de riesgo se asocian con el consumo de alcohol en ambos grupos de edades. Además, se examinó si la impulsividad (rasgo y conductual), toma de riesgos y flexibilidad cognitiva predecían la frecuencia de consumo de alcohol de la bebida de mayor preferencia en preadolescentes y adolescentes. Un aporte novedoso de este trabajo es la combinación de pruebas psicométricas y conductuales para la medición de variables de personalidad.</w:t>
      </w:r>
    </w:p>
    <w:p w14:paraId="08B67EE6" w14:textId="77777777" w:rsidR="000320FE" w:rsidRPr="000320FE" w:rsidRDefault="000320FE" w:rsidP="000320FE">
      <w:pPr>
        <w:pStyle w:val="Prrafocomn"/>
        <w:rPr>
          <w:lang w:val="es-ES_tradnl"/>
        </w:rPr>
      </w:pPr>
      <w:r w:rsidRPr="000320FE">
        <w:rPr>
          <w:lang w:val="es-ES_tradnl"/>
        </w:rPr>
        <w:t xml:space="preserve">Los resultados muestran una alta prevalencia de consumo de alcohol alguna vez en la vida, tanto en preadolescentes (64%) como en adolescentes (85%), cuyos valores son más elevados que los reportados a nivel nacional (46% y 79% respectivamente; SEDRONAR, 2018). A su vez, se observa un incremento marcado, asociado a la edad, en todos los indicadores de consumo de alcohol. Puntualmente, los adolescentes reportaron consumir significativamente más cantidad alcohol y con mayor frecuencia que los preadolescentes. Mas preocupante aun, el 14% y el 40% de los preadolescentes y adolescentes, respectivamente, reportó al menos un episodio de CEEA en su vida. Asimismo, los adolescentes reportaron esta modalidad de consumo más de una vez por mes, e incluso se observa que la cantidad usual de </w:t>
      </w:r>
      <w:r w:rsidRPr="000320FE">
        <w:rPr>
          <w:lang w:val="es-ES_tradnl"/>
        </w:rPr>
        <w:lastRenderedPageBreak/>
        <w:t xml:space="preserve">alcohol consumida por ocasión (53.8 gramos = 3.8 UEA) constituye CEEA en las mujeres y bordea el límite en los varones. Estas cifras son alarmantes ya que, como se mencionó previamente, el consumo de alcohol en estas edades se asocia a una gran variedad de consecuencias negativas (comportamentales, neurofisiológicas y neurocognitivas; </w:t>
      </w:r>
      <w:proofErr w:type="spellStart"/>
      <w:r w:rsidRPr="000320FE">
        <w:rPr>
          <w:lang w:val="es-ES_tradnl"/>
        </w:rPr>
        <w:t>Spear</w:t>
      </w:r>
      <w:proofErr w:type="spellEnd"/>
      <w:r w:rsidRPr="000320FE">
        <w:rPr>
          <w:lang w:val="es-ES_tradnl"/>
        </w:rPr>
        <w:t xml:space="preserve"> 2018; </w:t>
      </w:r>
      <w:proofErr w:type="spellStart"/>
      <w:r w:rsidRPr="000320FE">
        <w:rPr>
          <w:lang w:val="es-ES_tradnl"/>
        </w:rPr>
        <w:t>Squeglia</w:t>
      </w:r>
      <w:proofErr w:type="spellEnd"/>
      <w:r w:rsidRPr="000320FE">
        <w:rPr>
          <w:lang w:val="es-ES_tradnl"/>
        </w:rPr>
        <w:t xml:space="preserve"> et al., 2012; Van </w:t>
      </w:r>
      <w:proofErr w:type="spellStart"/>
      <w:r w:rsidRPr="000320FE">
        <w:rPr>
          <w:lang w:val="es-ES_tradnl"/>
        </w:rPr>
        <w:t>Reen</w:t>
      </w:r>
      <w:proofErr w:type="spellEnd"/>
      <w:r w:rsidRPr="000320FE">
        <w:rPr>
          <w:lang w:val="es-ES_tradnl"/>
        </w:rPr>
        <w:t xml:space="preserve"> et al., 2016), así como con mayores probabilidades de desarrollar trastornos por consumo de alcohol (Waller et al., 2019).   </w:t>
      </w:r>
    </w:p>
    <w:p w14:paraId="5C2EEBA2" w14:textId="77777777" w:rsidR="000320FE" w:rsidRPr="000320FE" w:rsidRDefault="000320FE" w:rsidP="000320FE">
      <w:pPr>
        <w:pStyle w:val="Prrafocomn"/>
        <w:rPr>
          <w:lang w:val="es-ES_tradnl"/>
        </w:rPr>
      </w:pPr>
      <w:r w:rsidRPr="000320FE">
        <w:rPr>
          <w:lang w:val="es-ES_tradnl"/>
        </w:rPr>
        <w:t xml:space="preserve">A nivel multivariado, y reflejando los resultados encontrados a nivel bivariado, entre los preadolescentes las dimensiones de impulsividad Urgencia Positiva, Urgencia Negativa y Búsqueda de Sensaciones influyeron de manera significativa en la frecuencia de consumo de alcohol. Otras investigaciones, realizadas en edades similares (Gunn &amp; Smith, 2010; Riley, 2015; </w:t>
      </w:r>
      <w:proofErr w:type="spellStart"/>
      <w:r w:rsidRPr="000320FE">
        <w:rPr>
          <w:lang w:val="es-ES_tradnl"/>
        </w:rPr>
        <w:t>Settles</w:t>
      </w:r>
      <w:proofErr w:type="spellEnd"/>
      <w:r w:rsidRPr="000320FE">
        <w:rPr>
          <w:lang w:val="es-ES_tradnl"/>
        </w:rPr>
        <w:t xml:space="preserve"> et al., 2014), han encontrado asociaciones entre estas dimensiones y el consumo de alcohol. Asimismo, en los adolescentes, las dimensiones Urgencia Negativa, Búsqueda de Sensaciones y Falta de Perseverancia explicaron la frecuencia de consumo de alcohol, coincidiendo con estudios previos realizados en adolescentes (</w:t>
      </w:r>
      <w:proofErr w:type="spellStart"/>
      <w:r w:rsidRPr="000320FE">
        <w:rPr>
          <w:lang w:val="es-ES_tradnl"/>
        </w:rPr>
        <w:t>Doumas</w:t>
      </w:r>
      <w:proofErr w:type="spellEnd"/>
      <w:r w:rsidRPr="000320FE">
        <w:rPr>
          <w:lang w:val="es-ES_tradnl"/>
        </w:rPr>
        <w:t xml:space="preserve"> et al., 2017; Pilatti et al., 2017). Como ya se ha mencionado, la impulsividad en general y la Búsqueda de Sensaciones en particular, durante estos años de desarrollo (11 a 15 años) muestran su mayor incremento (Collado et al., 2014), por lo que nuestros resultados suman evidencia que esto puede ser particularmente riesgoso para quienes se inician o ya exhiben conductas de consumo de alcohol. </w:t>
      </w:r>
    </w:p>
    <w:p w14:paraId="0F129AE5" w14:textId="77777777" w:rsidR="000320FE" w:rsidRPr="000320FE" w:rsidRDefault="000320FE" w:rsidP="000320FE">
      <w:pPr>
        <w:pStyle w:val="Prrafocomn"/>
        <w:rPr>
          <w:lang w:val="es-ES_tradnl"/>
        </w:rPr>
      </w:pPr>
      <w:r w:rsidRPr="000320FE">
        <w:rPr>
          <w:lang w:val="es-ES_tradnl"/>
        </w:rPr>
        <w:t>A su vez, entre los preadolescentes, la mayor toma de riesgos y la falta de atención se asoció a una mayor frecuencia de consumo de alcohol. La preferencia por alternativas riesgosas ha sido asociada con el consumo de alcohol en el último año en preadolescentes (</w:t>
      </w:r>
      <w:proofErr w:type="spellStart"/>
      <w:r w:rsidRPr="000320FE">
        <w:rPr>
          <w:lang w:val="es-ES_tradnl"/>
        </w:rPr>
        <w:t>MacPherson</w:t>
      </w:r>
      <w:proofErr w:type="spellEnd"/>
      <w:r w:rsidRPr="000320FE">
        <w:rPr>
          <w:lang w:val="es-ES_tradnl"/>
        </w:rPr>
        <w:t xml:space="preserve"> et al., 2010) y a su vez predijo una mayor probabilidad de consumo de alcohol en intervalos de 6 (</w:t>
      </w:r>
      <w:proofErr w:type="spellStart"/>
      <w:r w:rsidRPr="000320FE">
        <w:rPr>
          <w:lang w:val="es-ES_tradnl"/>
        </w:rPr>
        <w:t>Fernie</w:t>
      </w:r>
      <w:proofErr w:type="spellEnd"/>
      <w:r w:rsidRPr="000320FE">
        <w:rPr>
          <w:lang w:val="es-ES_tradnl"/>
        </w:rPr>
        <w:t xml:space="preserve"> et al., 2013) o 12 meses (</w:t>
      </w:r>
      <w:proofErr w:type="spellStart"/>
      <w:r w:rsidRPr="000320FE">
        <w:rPr>
          <w:lang w:val="es-ES_tradnl"/>
        </w:rPr>
        <w:t>MacPherson</w:t>
      </w:r>
      <w:proofErr w:type="spellEnd"/>
      <w:r w:rsidRPr="000320FE">
        <w:rPr>
          <w:lang w:val="es-ES_tradnl"/>
        </w:rPr>
        <w:t xml:space="preserve"> et al., 2010) a lo largo de dos años. Por otro lado, una menor capacidad atencional ha sido relacionada con una mayor cantidad de alcohol consumido y permitió distinguir entre adolescentes con problemas de dependencia al alcohol (Thoma et al., 2011). Paralelamente, la falta de atención se asoció a otras conductas de consumo en adolescentes, entre ellas, el consumo de marihuana (</w:t>
      </w:r>
      <w:proofErr w:type="spellStart"/>
      <w:r w:rsidRPr="000320FE">
        <w:rPr>
          <w:lang w:val="es-ES_tradnl"/>
        </w:rPr>
        <w:t>Elkins</w:t>
      </w:r>
      <w:proofErr w:type="spellEnd"/>
      <w:r w:rsidRPr="000320FE">
        <w:rPr>
          <w:lang w:val="es-ES_tradnl"/>
        </w:rPr>
        <w:t xml:space="preserve"> et al., 2018) y la dependencia a la nicotina (</w:t>
      </w:r>
      <w:proofErr w:type="spellStart"/>
      <w:r w:rsidRPr="000320FE">
        <w:rPr>
          <w:lang w:val="es-ES_tradnl"/>
        </w:rPr>
        <w:t>Pingault</w:t>
      </w:r>
      <w:proofErr w:type="spellEnd"/>
      <w:r w:rsidRPr="000320FE">
        <w:rPr>
          <w:lang w:val="es-ES_tradnl"/>
        </w:rPr>
        <w:t xml:space="preserve"> et al., 2013). La relativa inmadurez del cerebro a estas edades, en particular el tardío desarrollo de la corteza prefrontal, podría explicar las dificultades atencionales y la propensión a involucrarse en conductas riesgosas in considerar las consecuencias negativas de estos comportamientos (</w:t>
      </w:r>
      <w:proofErr w:type="spellStart"/>
      <w:r w:rsidRPr="000320FE">
        <w:rPr>
          <w:lang w:val="es-ES_tradnl"/>
        </w:rPr>
        <w:t>Bava</w:t>
      </w:r>
      <w:proofErr w:type="spellEnd"/>
      <w:r w:rsidRPr="000320FE">
        <w:rPr>
          <w:lang w:val="es-ES_tradnl"/>
        </w:rPr>
        <w:t xml:space="preserve"> &amp; </w:t>
      </w:r>
      <w:proofErr w:type="spellStart"/>
      <w:r w:rsidRPr="000320FE">
        <w:rPr>
          <w:lang w:val="es-ES_tradnl"/>
        </w:rPr>
        <w:t>Tapert</w:t>
      </w:r>
      <w:proofErr w:type="spellEnd"/>
      <w:r w:rsidRPr="000320FE">
        <w:rPr>
          <w:lang w:val="es-ES_tradnl"/>
        </w:rPr>
        <w:t xml:space="preserve">, 2010). Finalmente, en este rango etario, la flexibilidad cognitiva no se asoció con el consumo de alcohol (ni a nivel bivariado ni multivariado), posiblemente debido a la naturaleza incipiente del consumo. </w:t>
      </w:r>
    </w:p>
    <w:p w14:paraId="57CCEC07" w14:textId="77777777" w:rsidR="000320FE" w:rsidRPr="000320FE" w:rsidRDefault="000320FE" w:rsidP="000320FE">
      <w:pPr>
        <w:pStyle w:val="Prrafocomn"/>
        <w:rPr>
          <w:lang w:val="es-ES_tradnl"/>
        </w:rPr>
      </w:pPr>
      <w:r w:rsidRPr="000320FE">
        <w:rPr>
          <w:lang w:val="es-ES_tradnl"/>
        </w:rPr>
        <w:lastRenderedPageBreak/>
        <w:t xml:space="preserve">Por su parte, a nivel bivariado y multivariado, los adolescentes que tuvieron un peor desempeño en la tarea de flexibilidad cognitiva (i.e., mayor cantidad de errores perseverativos) consumieron alcohol con mayor frecuencia. Este resultado, similar a otras investigaciones (Thoma et al., 2011; </w:t>
      </w:r>
      <w:proofErr w:type="spellStart"/>
      <w:r w:rsidRPr="000320FE">
        <w:rPr>
          <w:lang w:val="es-ES_tradnl"/>
        </w:rPr>
        <w:t>Squeglia</w:t>
      </w:r>
      <w:proofErr w:type="spellEnd"/>
      <w:r w:rsidRPr="000320FE">
        <w:rPr>
          <w:lang w:val="es-ES_tradnl"/>
        </w:rPr>
        <w:t xml:space="preserve"> et al., 2017), puede interpretarse de dos maneras: que los adolescentes cuyo funcionamiento cognitivo está menos desarrollado tienden a consumir más alcohol o, que el consumo de alcohol deriva en déficits cognitivos. En relación a esto último, estudios longitudinales han mostrado que el consumo de alcohol durante la adolescencia, y en especial el CEEA, se asocian con déficits ejecutivos (ver revisión de Lees et al., 2020). A su vez, contrariamente a lo esperado (</w:t>
      </w:r>
      <w:proofErr w:type="spellStart"/>
      <w:r w:rsidRPr="000320FE">
        <w:rPr>
          <w:lang w:val="es-ES_tradnl"/>
        </w:rPr>
        <w:t>Jacobus</w:t>
      </w:r>
      <w:proofErr w:type="spellEnd"/>
      <w:r w:rsidRPr="000320FE">
        <w:rPr>
          <w:lang w:val="es-ES_tradnl"/>
        </w:rPr>
        <w:t xml:space="preserve"> et al., 2013; Patrick &amp; </w:t>
      </w:r>
      <w:proofErr w:type="spellStart"/>
      <w:r w:rsidRPr="000320FE">
        <w:rPr>
          <w:lang w:val="es-ES_tradnl"/>
        </w:rPr>
        <w:t>Schulenberg</w:t>
      </w:r>
      <w:proofErr w:type="spellEnd"/>
      <w:r w:rsidRPr="000320FE">
        <w:rPr>
          <w:lang w:val="es-ES_tradnl"/>
        </w:rPr>
        <w:t xml:space="preserve">, 2013), la toma de riesgos no influyó en la frecuencia de consumo de alcohol. Al respecto, </w:t>
      </w:r>
      <w:proofErr w:type="spellStart"/>
      <w:r w:rsidRPr="000320FE">
        <w:rPr>
          <w:lang w:val="es-ES_tradnl"/>
        </w:rPr>
        <w:t>Willoughby</w:t>
      </w:r>
      <w:proofErr w:type="spellEnd"/>
      <w:r w:rsidRPr="000320FE">
        <w:rPr>
          <w:lang w:val="es-ES_tradnl"/>
        </w:rPr>
        <w:t xml:space="preserve"> et al., (2014) han postulado que, si bien algunos adolescentes consumen alcohol debido a la falta de control de impulsos y a una mayor propensión a tomar riesgos, las conductas de consumo también podrían ser el resultado de un acción deliberada y planeada por los beneficios sociales que genera (e.g., facilitar la desinhibición social, aceptación social entre pares, entre otros). Además, otros estudios (de </w:t>
      </w:r>
      <w:proofErr w:type="spellStart"/>
      <w:r w:rsidRPr="000320FE">
        <w:rPr>
          <w:lang w:val="es-ES_tradnl"/>
        </w:rPr>
        <w:t>Boer</w:t>
      </w:r>
      <w:proofErr w:type="spellEnd"/>
      <w:r w:rsidRPr="000320FE">
        <w:rPr>
          <w:lang w:val="es-ES_tradnl"/>
        </w:rPr>
        <w:t xml:space="preserve"> et al., 2017; Smith et al., 2014) han encontrado que la toma de riesgos podría estar modulada por la presencia de pares, influenciando en la valoración de costo-beneficio a la hora de tomar una alternativa riesgosa (e.g., consumir o no una sustancia de abuso). </w:t>
      </w:r>
    </w:p>
    <w:p w14:paraId="6B87A228" w14:textId="77777777" w:rsidR="000320FE" w:rsidRPr="000320FE" w:rsidRDefault="000320FE" w:rsidP="000320FE">
      <w:pPr>
        <w:pStyle w:val="Prrafocomn"/>
        <w:rPr>
          <w:lang w:val="es-ES_tradnl"/>
        </w:rPr>
      </w:pPr>
      <w:r w:rsidRPr="000320FE">
        <w:rPr>
          <w:lang w:val="es-ES_tradnl"/>
        </w:rPr>
        <w:t>A diferencia de otras investigaciones (</w:t>
      </w:r>
      <w:proofErr w:type="spellStart"/>
      <w:r w:rsidRPr="000320FE">
        <w:rPr>
          <w:lang w:val="es-ES_tradnl"/>
        </w:rPr>
        <w:t>Squeglia</w:t>
      </w:r>
      <w:proofErr w:type="spellEnd"/>
      <w:r w:rsidRPr="000320FE">
        <w:rPr>
          <w:lang w:val="es-ES_tradnl"/>
        </w:rPr>
        <w:t xml:space="preserve"> et al., 2014; </w:t>
      </w:r>
      <w:proofErr w:type="spellStart"/>
      <w:r w:rsidRPr="000320FE">
        <w:rPr>
          <w:lang w:val="es-ES_tradnl"/>
        </w:rPr>
        <w:t>Wetherill</w:t>
      </w:r>
      <w:proofErr w:type="spellEnd"/>
      <w:r w:rsidRPr="000320FE">
        <w:rPr>
          <w:lang w:val="es-ES_tradnl"/>
        </w:rPr>
        <w:t xml:space="preserve"> et al., 2013) la inhibición de respuestas (i.e., impulsividad motora) no se asoció con las conductas de consumo de alcohol en ninguno de los dos grupos. El control inhibitorio es una función compleja en pleno desarrollo durante la adolescencia (López </w:t>
      </w:r>
      <w:proofErr w:type="spellStart"/>
      <w:r w:rsidRPr="000320FE">
        <w:rPr>
          <w:lang w:val="es-ES_tradnl"/>
        </w:rPr>
        <w:t>Caneda</w:t>
      </w:r>
      <w:proofErr w:type="spellEnd"/>
      <w:r w:rsidRPr="000320FE">
        <w:rPr>
          <w:lang w:val="es-ES_tradnl"/>
        </w:rPr>
        <w:t xml:space="preserve"> et al., 2014). Por la edad de los participantes (M edad = 13.30 ± 0.955), es posible que la relativa inmadurez del control inhibitorio haya sido similar en toda la muestra, sin poder expresar diferencias en función del consumo. De igual manera, un estudio longitudinal en Holanda con preadolescentes y adolescentes de entre 11 a 19 años no encontró asociaciones significativas entre diferentes grupos de consumidores (abstemios, moderados y con diferentes tipos de consumo problemático) y la maduración del control inhibitorio (</w:t>
      </w:r>
      <w:proofErr w:type="spellStart"/>
      <w:r w:rsidRPr="000320FE">
        <w:rPr>
          <w:lang w:val="es-ES_tradnl"/>
        </w:rPr>
        <w:t>Boelema</w:t>
      </w:r>
      <w:proofErr w:type="spellEnd"/>
      <w:r w:rsidRPr="000320FE">
        <w:rPr>
          <w:lang w:val="es-ES_tradnl"/>
        </w:rPr>
        <w:t xml:space="preserve"> et al., 2015). Otra posible explicación remite a la relativa simpleza de la versión utilizada de la prueba Go/No-Go, en la cual los participantes tenían que responder (o inhibir su respuesta) ante la aparición de una determinada letra del abecedario. Quizás una versión más compleja (con mayor cantidad de estímulos visuales) hubiera arrojado otros resultados.   </w:t>
      </w:r>
    </w:p>
    <w:p w14:paraId="4D64BBA9" w14:textId="77777777" w:rsidR="000320FE" w:rsidRPr="000320FE" w:rsidRDefault="000320FE" w:rsidP="000320FE">
      <w:pPr>
        <w:pStyle w:val="Prrafocomn"/>
        <w:rPr>
          <w:lang w:val="es-ES_tradnl"/>
        </w:rPr>
      </w:pPr>
      <w:r w:rsidRPr="000320FE">
        <w:rPr>
          <w:lang w:val="es-ES_tradnl"/>
        </w:rPr>
        <w:t xml:space="preserve">Esta investigación debe contemplarse en el marco de ciertas limitaciones. Si bien se contactó a todos los colegios dentro del área establecida, la selección no fue aleatoria sino </w:t>
      </w:r>
      <w:proofErr w:type="spellStart"/>
      <w:r w:rsidRPr="000320FE">
        <w:rPr>
          <w:lang w:val="es-ES_tradnl"/>
        </w:rPr>
        <w:t>auto-</w:t>
      </w:r>
      <w:r w:rsidRPr="000320FE">
        <w:rPr>
          <w:lang w:val="es-ES_tradnl"/>
        </w:rPr>
        <w:lastRenderedPageBreak/>
        <w:t>elegida</w:t>
      </w:r>
      <w:proofErr w:type="spellEnd"/>
      <w:r w:rsidRPr="000320FE">
        <w:rPr>
          <w:lang w:val="es-ES_tradnl"/>
        </w:rPr>
        <w:t xml:space="preserve"> (formaron parte de la muestra todas las escuelas que aceptaron participar) y no se pudo contar con colegios públicos debido a que no poseían sala de computación, por lo que ambos factores limitan la representatividad de la muestra. A su vez, la naturaleza transversal del estudio impide realizar conclusiones de causa-efecto. Es necesario avanzar en estudios longitudinales, que permitan examinar las relaciones bidireccionales entre las variables, no solo analizando el efecto de variables de personalidad sobre el consumo de alcohol, sino también examinando si cambios (y en particular, incrementos) en el consumo de alcohol, durante la adolescencia, podrían generar modificaciones en la impulsividad, funciones cognitivas y toma de riesgos. </w:t>
      </w:r>
    </w:p>
    <w:p w14:paraId="0580FB8B" w14:textId="2C802839" w:rsidR="000320FE" w:rsidRPr="007B10C2" w:rsidRDefault="000320FE" w:rsidP="000320FE">
      <w:pPr>
        <w:pStyle w:val="Prrafocomn"/>
        <w:rPr>
          <w:lang w:val="es-AR"/>
        </w:rPr>
      </w:pPr>
      <w:r w:rsidRPr="000320FE">
        <w:rPr>
          <w:lang w:val="es-ES_tradnl"/>
        </w:rPr>
        <w:t>A pesar de las limitaciones, los resultados muestran que la impulsividad rasgo se asoció de manera consistente con las conductas de consumo de alcohol en preadolescentes y adolescentes. Además, en los preadolescentes (pero no en los adolescentes) una mayor toma de riesgos y falta de atención explicaron la mayor frecuencia de consumo de alcohol. A diferencia de esto, en los adolescentes el consumo de alcohol se asoció con una menor flexibilidad cognitiva. De esta manera, los resultados de este estudio suman evidencia sobre diferentes predictores del consumo de alcohol en edades tempranas a través del uso combinado de instrumentos psicométricos estandarizados y pruebas conductuales. Los programas preventivos centrados en la autorregulación emocional y mindfulness han sido eficaces para reducir los niveles de impulsividad (Martínez-Loredo &amp; Fernández-Hermida, 2019) y podrían ser de utilidad para el entrenamiento en la toma de decisiones. Asimismo, una reciente revisión de estrategias preventivas destinadas a adolescentes concluyó que las entrevistas motivacionales breves (destinadas a reducir el consumo de alcohol o mantenerse en la abstinencia) han probado su efectividad tanto para reducir el consumo problemático de alcohol, así como los problemas asociados (Steele et al., 2020).</w:t>
      </w:r>
    </w:p>
    <w:p w14:paraId="13FA8237" w14:textId="11B47063" w:rsidR="007E3B8D" w:rsidRPr="007B10C2" w:rsidRDefault="007E3B8D" w:rsidP="00E23C9E">
      <w:pPr>
        <w:pStyle w:val="Prrafocomn"/>
        <w:rPr>
          <w:lang w:val="es-AR"/>
        </w:rPr>
      </w:pPr>
      <w:r w:rsidRPr="007B10C2">
        <w:rPr>
          <w:lang w:val="es-AR"/>
        </w:rPr>
        <w:br w:type="page"/>
      </w:r>
    </w:p>
    <w:p w14:paraId="6CD8B4A8" w14:textId="3D7FF6F6" w:rsidR="006F7E7E" w:rsidRPr="00E25900" w:rsidRDefault="00CE7D65" w:rsidP="00D4751A">
      <w:pPr>
        <w:pStyle w:val="Ttulosinternos"/>
      </w:pPr>
      <w:r w:rsidRPr="007B10C2">
        <w:lastRenderedPageBreak/>
        <w:t>Referenc</w:t>
      </w:r>
      <w:r w:rsidR="00E23C9E" w:rsidRPr="007B10C2">
        <w:t>ias</w:t>
      </w:r>
    </w:p>
    <w:p w14:paraId="0D4CEA67" w14:textId="0EA64B57" w:rsidR="00D4751A" w:rsidRPr="004C1657" w:rsidRDefault="00D4751A" w:rsidP="00FC4499">
      <w:pPr>
        <w:widowControl w:val="0"/>
        <w:autoSpaceDE w:val="0"/>
        <w:autoSpaceDN w:val="0"/>
        <w:adjustRightInd w:val="0"/>
        <w:ind w:left="709" w:hanging="709"/>
        <w:rPr>
          <w:lang w:val="es-AR" w:eastAsia="en-US"/>
        </w:rPr>
      </w:pPr>
      <w:r w:rsidRPr="00D4751A">
        <w:rPr>
          <w:lang w:val="en-US" w:eastAsia="en-US"/>
        </w:rPr>
        <w:t xml:space="preserve">Aiken, A., Clare, P. J., </w:t>
      </w:r>
      <w:proofErr w:type="spellStart"/>
      <w:r w:rsidRPr="00D4751A">
        <w:rPr>
          <w:lang w:val="en-US" w:eastAsia="en-US"/>
        </w:rPr>
        <w:t>Wadolowski</w:t>
      </w:r>
      <w:proofErr w:type="spellEnd"/>
      <w:r w:rsidRPr="00D4751A">
        <w:rPr>
          <w:lang w:val="en-US" w:eastAsia="en-US"/>
        </w:rPr>
        <w:t xml:space="preserve">, M., Hutchinson, D., </w:t>
      </w:r>
      <w:proofErr w:type="spellStart"/>
      <w:r w:rsidRPr="00D4751A">
        <w:rPr>
          <w:lang w:val="en-US" w:eastAsia="en-US"/>
        </w:rPr>
        <w:t>Najman</w:t>
      </w:r>
      <w:proofErr w:type="spellEnd"/>
      <w:r w:rsidRPr="00D4751A">
        <w:rPr>
          <w:lang w:val="en-US" w:eastAsia="en-US"/>
        </w:rPr>
        <w:t xml:space="preserve">, J. M., Slade, T., Bruno, R., McBride, N., </w:t>
      </w:r>
      <w:proofErr w:type="spellStart"/>
      <w:r w:rsidRPr="00D4751A">
        <w:rPr>
          <w:lang w:val="en-US" w:eastAsia="en-US"/>
        </w:rPr>
        <w:t>Kypri</w:t>
      </w:r>
      <w:proofErr w:type="spellEnd"/>
      <w:r w:rsidRPr="00D4751A">
        <w:rPr>
          <w:lang w:val="en-US" w:eastAsia="en-US"/>
        </w:rPr>
        <w:t xml:space="preserve">, K., &amp; </w:t>
      </w:r>
      <w:proofErr w:type="spellStart"/>
      <w:r w:rsidRPr="00D4751A">
        <w:rPr>
          <w:lang w:val="en-US" w:eastAsia="en-US"/>
        </w:rPr>
        <w:t>Mattick</w:t>
      </w:r>
      <w:proofErr w:type="spellEnd"/>
      <w:r w:rsidRPr="00D4751A">
        <w:rPr>
          <w:lang w:val="en-US" w:eastAsia="en-US"/>
        </w:rPr>
        <w:t>, R. P. (2018). Age of alcohol initiation and progression to binge drinking in adolescence: a prospective cohort study. </w:t>
      </w:r>
      <w:proofErr w:type="spellStart"/>
      <w:r w:rsidRPr="004C1657">
        <w:rPr>
          <w:i/>
          <w:iCs/>
          <w:lang w:val="es-AR" w:eastAsia="en-US"/>
        </w:rPr>
        <w:t>Alcoholism</w:t>
      </w:r>
      <w:proofErr w:type="spellEnd"/>
      <w:r w:rsidRPr="004C1657">
        <w:rPr>
          <w:i/>
          <w:iCs/>
          <w:lang w:val="es-AR" w:eastAsia="en-US"/>
        </w:rPr>
        <w:t xml:space="preserve">: </w:t>
      </w:r>
      <w:proofErr w:type="spellStart"/>
      <w:r w:rsidRPr="004C1657">
        <w:rPr>
          <w:i/>
          <w:iCs/>
          <w:lang w:val="es-AR" w:eastAsia="en-US"/>
        </w:rPr>
        <w:t>Clinical</w:t>
      </w:r>
      <w:proofErr w:type="spellEnd"/>
      <w:r w:rsidRPr="004C1657">
        <w:rPr>
          <w:i/>
          <w:iCs/>
          <w:lang w:val="es-AR" w:eastAsia="en-US"/>
        </w:rPr>
        <w:t xml:space="preserve"> and Experimental </w:t>
      </w:r>
      <w:proofErr w:type="spellStart"/>
      <w:r w:rsidRPr="004C1657">
        <w:rPr>
          <w:i/>
          <w:iCs/>
          <w:lang w:val="es-AR" w:eastAsia="en-US"/>
        </w:rPr>
        <w:t>Research</w:t>
      </w:r>
      <w:proofErr w:type="spellEnd"/>
      <w:r w:rsidRPr="004C1657">
        <w:rPr>
          <w:lang w:val="es-AR" w:eastAsia="en-US"/>
        </w:rPr>
        <w:t>, </w:t>
      </w:r>
      <w:r w:rsidRPr="004C1657">
        <w:rPr>
          <w:i/>
          <w:iCs/>
          <w:lang w:val="es-AR" w:eastAsia="en-US"/>
        </w:rPr>
        <w:t>42</w:t>
      </w:r>
      <w:r w:rsidRPr="004C1657">
        <w:rPr>
          <w:lang w:val="es-AR" w:eastAsia="en-US"/>
        </w:rPr>
        <w:t xml:space="preserve">(1), 100-110. </w:t>
      </w:r>
      <w:hyperlink r:id="rId11" w:history="1">
        <w:r w:rsidR="00FB0521" w:rsidRPr="004C1657">
          <w:rPr>
            <w:rStyle w:val="Hipervnculo"/>
            <w:lang w:val="es-AR" w:eastAsia="en-US"/>
          </w:rPr>
          <w:t>https://doi.org/10.1111/acer.13525</w:t>
        </w:r>
      </w:hyperlink>
      <w:r w:rsidR="00FB0521" w:rsidRPr="004C1657">
        <w:rPr>
          <w:lang w:val="es-AR" w:eastAsia="en-US"/>
        </w:rPr>
        <w:t xml:space="preserve"> </w:t>
      </w:r>
    </w:p>
    <w:p w14:paraId="5AC93B12" w14:textId="77777777" w:rsidR="00D4751A" w:rsidRPr="00D4751A" w:rsidRDefault="00D4751A" w:rsidP="00FC4499">
      <w:pPr>
        <w:widowControl w:val="0"/>
        <w:autoSpaceDE w:val="0"/>
        <w:autoSpaceDN w:val="0"/>
        <w:adjustRightInd w:val="0"/>
        <w:ind w:left="709" w:hanging="709"/>
        <w:rPr>
          <w:lang w:val="es-AR" w:eastAsia="en-US"/>
        </w:rPr>
      </w:pPr>
      <w:r w:rsidRPr="004C1657">
        <w:rPr>
          <w:lang w:val="es-AR" w:eastAsia="en-US"/>
        </w:rPr>
        <w:t xml:space="preserve">Asociación Psicológica Americana, APA (2016). </w:t>
      </w:r>
      <w:r w:rsidRPr="00D4751A">
        <w:rPr>
          <w:i/>
          <w:iCs/>
          <w:lang w:val="en-US" w:eastAsia="en-US"/>
        </w:rPr>
        <w:t>Publication Manual of the American Psychological Association</w:t>
      </w:r>
      <w:r w:rsidRPr="00D4751A">
        <w:rPr>
          <w:lang w:val="en-US" w:eastAsia="en-US"/>
        </w:rPr>
        <w:t xml:space="preserve"> (6th Ed.). </w:t>
      </w:r>
      <w:r w:rsidRPr="00D4751A">
        <w:rPr>
          <w:lang w:val="es-AR" w:eastAsia="en-US"/>
        </w:rPr>
        <w:t xml:space="preserve">Washington: American </w:t>
      </w:r>
      <w:proofErr w:type="spellStart"/>
      <w:r w:rsidRPr="00D4751A">
        <w:rPr>
          <w:lang w:val="es-AR" w:eastAsia="en-US"/>
        </w:rPr>
        <w:t>Psychological</w:t>
      </w:r>
      <w:proofErr w:type="spellEnd"/>
      <w:r w:rsidRPr="00D4751A">
        <w:rPr>
          <w:lang w:val="es-AR" w:eastAsia="en-US"/>
        </w:rPr>
        <w:t xml:space="preserve"> </w:t>
      </w:r>
      <w:proofErr w:type="spellStart"/>
      <w:r w:rsidRPr="00D4751A">
        <w:rPr>
          <w:lang w:val="es-AR" w:eastAsia="en-US"/>
        </w:rPr>
        <w:t>Association</w:t>
      </w:r>
      <w:proofErr w:type="spellEnd"/>
      <w:r w:rsidRPr="00D4751A">
        <w:rPr>
          <w:lang w:val="es-AR" w:eastAsia="en-US"/>
        </w:rPr>
        <w:t>.</w:t>
      </w:r>
    </w:p>
    <w:p w14:paraId="74EC1094" w14:textId="1DA14D2F" w:rsidR="00D4751A" w:rsidRPr="00D4751A" w:rsidRDefault="00D4751A" w:rsidP="00FC4499">
      <w:pPr>
        <w:widowControl w:val="0"/>
        <w:autoSpaceDE w:val="0"/>
        <w:autoSpaceDN w:val="0"/>
        <w:adjustRightInd w:val="0"/>
        <w:ind w:left="709" w:hanging="709"/>
        <w:rPr>
          <w:lang w:val="es-AR" w:eastAsia="en-US"/>
        </w:rPr>
      </w:pPr>
      <w:r w:rsidRPr="00D4751A">
        <w:rPr>
          <w:lang w:val="es-AR" w:eastAsia="en-US"/>
        </w:rPr>
        <w:t xml:space="preserve">Asociación Médica Mundial (2017). Declaración de Helsinki – Principios éticos para las investigaciones médicas en seres humanos. Recuperado de: </w:t>
      </w:r>
      <w:hyperlink r:id="rId12" w:history="1">
        <w:r w:rsidR="00FB0521" w:rsidRPr="00D4751A">
          <w:rPr>
            <w:rStyle w:val="Hipervnculo"/>
            <w:lang w:val="es-AR" w:eastAsia="en-US"/>
          </w:rPr>
          <w:t>https://www.wma.net/es/policies-post/declaracion-de-helsinki-de-la-amm-principios-eticos-para-las-investigaciones-medicas-en-seres-humanos</w:t>
        </w:r>
      </w:hyperlink>
      <w:r w:rsidR="00FB0521">
        <w:rPr>
          <w:lang w:val="es-AR" w:eastAsia="en-US"/>
        </w:rPr>
        <w:t xml:space="preserve"> </w:t>
      </w:r>
    </w:p>
    <w:p w14:paraId="1F450550" w14:textId="29E39243" w:rsidR="00D4751A" w:rsidRPr="00D4751A" w:rsidRDefault="00D4751A" w:rsidP="00FC4499">
      <w:pPr>
        <w:widowControl w:val="0"/>
        <w:autoSpaceDE w:val="0"/>
        <w:autoSpaceDN w:val="0"/>
        <w:adjustRightInd w:val="0"/>
        <w:ind w:left="709" w:hanging="709"/>
        <w:rPr>
          <w:lang w:val="en-US" w:eastAsia="en-US"/>
        </w:rPr>
      </w:pPr>
      <w:proofErr w:type="spellStart"/>
      <w:r w:rsidRPr="00D4751A">
        <w:rPr>
          <w:lang w:val="en-US" w:eastAsia="en-US"/>
        </w:rPr>
        <w:t>Bava</w:t>
      </w:r>
      <w:proofErr w:type="spellEnd"/>
      <w:r w:rsidRPr="00D4751A">
        <w:rPr>
          <w:lang w:val="en-US" w:eastAsia="en-US"/>
        </w:rPr>
        <w:t xml:space="preserve">, S., &amp; Tapert, S. F. (2010). Adolescent brain development and the risk for alcohol and other drug problems. </w:t>
      </w:r>
      <w:r w:rsidRPr="00D4751A">
        <w:rPr>
          <w:i/>
          <w:iCs/>
          <w:lang w:val="en-US" w:eastAsia="en-US"/>
        </w:rPr>
        <w:t>Neuropsychology Review, 20</w:t>
      </w:r>
      <w:r w:rsidRPr="00D4751A">
        <w:rPr>
          <w:lang w:val="en-US" w:eastAsia="en-US"/>
        </w:rPr>
        <w:t xml:space="preserve">(4), 398-413. </w:t>
      </w:r>
      <w:hyperlink r:id="rId13" w:history="1">
        <w:r w:rsidR="00FB0521" w:rsidRPr="00D4751A">
          <w:rPr>
            <w:rStyle w:val="Hipervnculo"/>
            <w:lang w:val="en-US" w:eastAsia="en-US"/>
          </w:rPr>
          <w:t>https://doi.org/10.1007/s11065-010-9146-6</w:t>
        </w:r>
      </w:hyperlink>
      <w:r w:rsidR="00FB0521">
        <w:rPr>
          <w:lang w:val="en-US" w:eastAsia="en-US"/>
        </w:rPr>
        <w:t xml:space="preserve"> </w:t>
      </w:r>
    </w:p>
    <w:p w14:paraId="35E9982B" w14:textId="2432CAB6" w:rsidR="00D4751A" w:rsidRPr="00D4751A" w:rsidRDefault="00D4751A" w:rsidP="00FC4499">
      <w:pPr>
        <w:widowControl w:val="0"/>
        <w:autoSpaceDE w:val="0"/>
        <w:autoSpaceDN w:val="0"/>
        <w:adjustRightInd w:val="0"/>
        <w:ind w:left="709" w:hanging="709"/>
        <w:rPr>
          <w:lang w:val="en-US" w:eastAsia="en-US"/>
        </w:rPr>
      </w:pPr>
      <w:proofErr w:type="spellStart"/>
      <w:r w:rsidRPr="00D4751A">
        <w:rPr>
          <w:lang w:val="en-US" w:eastAsia="en-US"/>
        </w:rPr>
        <w:t>Bezdjian</w:t>
      </w:r>
      <w:proofErr w:type="spellEnd"/>
      <w:r w:rsidRPr="00D4751A">
        <w:rPr>
          <w:lang w:val="en-US" w:eastAsia="en-US"/>
        </w:rPr>
        <w:t>, S., Baker, L. A., Lozano, D. I., &amp; Raine, A. (2009). Assessing inattention and impulsivity in children during the Go/</w:t>
      </w:r>
      <w:proofErr w:type="spellStart"/>
      <w:r w:rsidRPr="00D4751A">
        <w:rPr>
          <w:lang w:val="en-US" w:eastAsia="en-US"/>
        </w:rPr>
        <w:t>NoGo</w:t>
      </w:r>
      <w:proofErr w:type="spellEnd"/>
      <w:r w:rsidRPr="00D4751A">
        <w:rPr>
          <w:lang w:val="en-US" w:eastAsia="en-US"/>
        </w:rPr>
        <w:t xml:space="preserve"> task. </w:t>
      </w:r>
      <w:r w:rsidRPr="00D4751A">
        <w:rPr>
          <w:i/>
          <w:iCs/>
          <w:lang w:val="en-US" w:eastAsia="en-US"/>
        </w:rPr>
        <w:t>British Journal of Developmental Psychology</w:t>
      </w:r>
      <w:r w:rsidRPr="00D4751A">
        <w:rPr>
          <w:lang w:val="en-US" w:eastAsia="en-US"/>
        </w:rPr>
        <w:t>, </w:t>
      </w:r>
      <w:r w:rsidRPr="00D4751A">
        <w:rPr>
          <w:i/>
          <w:iCs/>
          <w:lang w:val="en-US" w:eastAsia="en-US"/>
        </w:rPr>
        <w:t>27</w:t>
      </w:r>
      <w:r w:rsidRPr="00D4751A">
        <w:rPr>
          <w:lang w:val="en-US" w:eastAsia="en-US"/>
        </w:rPr>
        <w:t>(2), 365-383.</w:t>
      </w:r>
      <w:r w:rsidRPr="00D4751A">
        <w:rPr>
          <w:rFonts w:eastAsia="Calibri"/>
          <w:sz w:val="22"/>
          <w:szCs w:val="22"/>
          <w:lang w:val="en-US" w:eastAsia="en-US"/>
        </w:rPr>
        <w:t xml:space="preserve"> </w:t>
      </w:r>
      <w:hyperlink r:id="rId14" w:history="1">
        <w:r w:rsidR="00FB0521" w:rsidRPr="00D4751A">
          <w:rPr>
            <w:rStyle w:val="Hipervnculo"/>
            <w:lang w:val="en-US" w:eastAsia="en-US"/>
          </w:rPr>
          <w:t>https://doi.org/10.1348/026151008X314919</w:t>
        </w:r>
      </w:hyperlink>
      <w:r w:rsidR="00FB0521">
        <w:rPr>
          <w:lang w:val="en-US" w:eastAsia="en-US"/>
        </w:rPr>
        <w:t xml:space="preserve"> </w:t>
      </w:r>
    </w:p>
    <w:p w14:paraId="5D7F75BF" w14:textId="297C474D" w:rsidR="00D4751A" w:rsidRPr="00D4751A" w:rsidRDefault="00D4751A" w:rsidP="00FC4499">
      <w:pPr>
        <w:widowControl w:val="0"/>
        <w:autoSpaceDE w:val="0"/>
        <w:autoSpaceDN w:val="0"/>
        <w:adjustRightInd w:val="0"/>
        <w:ind w:left="709" w:hanging="709"/>
        <w:rPr>
          <w:lang w:val="es-AR" w:eastAsia="en-US"/>
        </w:rPr>
      </w:pPr>
      <w:proofErr w:type="spellStart"/>
      <w:r w:rsidRPr="00D4751A">
        <w:rPr>
          <w:lang w:val="pt-BR" w:eastAsia="en-US"/>
        </w:rPr>
        <w:t>Boelema</w:t>
      </w:r>
      <w:proofErr w:type="spellEnd"/>
      <w:r w:rsidRPr="00D4751A">
        <w:rPr>
          <w:lang w:val="pt-BR" w:eastAsia="en-US"/>
        </w:rPr>
        <w:t xml:space="preserve">, S. R., </w:t>
      </w:r>
      <w:proofErr w:type="spellStart"/>
      <w:r w:rsidRPr="00D4751A">
        <w:rPr>
          <w:lang w:val="pt-BR" w:eastAsia="en-US"/>
        </w:rPr>
        <w:t>Harakeh</w:t>
      </w:r>
      <w:proofErr w:type="spellEnd"/>
      <w:r w:rsidRPr="00D4751A">
        <w:rPr>
          <w:lang w:val="pt-BR" w:eastAsia="en-US"/>
        </w:rPr>
        <w:t xml:space="preserve">, Z., Van Zandvoort, M. J., </w:t>
      </w:r>
      <w:proofErr w:type="spellStart"/>
      <w:r w:rsidRPr="00D4751A">
        <w:rPr>
          <w:lang w:val="pt-BR" w:eastAsia="en-US"/>
        </w:rPr>
        <w:t>Reijneveld</w:t>
      </w:r>
      <w:proofErr w:type="spellEnd"/>
      <w:r w:rsidRPr="00D4751A">
        <w:rPr>
          <w:lang w:val="pt-BR" w:eastAsia="en-US"/>
        </w:rPr>
        <w:t xml:space="preserve">, S. A., </w:t>
      </w:r>
      <w:proofErr w:type="spellStart"/>
      <w:r w:rsidRPr="00D4751A">
        <w:rPr>
          <w:lang w:val="pt-BR" w:eastAsia="en-US"/>
        </w:rPr>
        <w:t>Verhulst</w:t>
      </w:r>
      <w:proofErr w:type="spellEnd"/>
      <w:r w:rsidRPr="00D4751A">
        <w:rPr>
          <w:lang w:val="pt-BR" w:eastAsia="en-US"/>
        </w:rPr>
        <w:t xml:space="preserve">, F. C., </w:t>
      </w:r>
      <w:proofErr w:type="spellStart"/>
      <w:r w:rsidRPr="00D4751A">
        <w:rPr>
          <w:lang w:val="pt-BR" w:eastAsia="en-US"/>
        </w:rPr>
        <w:t>Ormel</w:t>
      </w:r>
      <w:proofErr w:type="spellEnd"/>
      <w:r w:rsidRPr="00D4751A">
        <w:rPr>
          <w:lang w:val="pt-BR" w:eastAsia="en-US"/>
        </w:rPr>
        <w:t xml:space="preserve">, J., &amp; </w:t>
      </w:r>
      <w:proofErr w:type="spellStart"/>
      <w:r w:rsidRPr="00D4751A">
        <w:rPr>
          <w:lang w:val="pt-BR" w:eastAsia="en-US"/>
        </w:rPr>
        <w:t>Vollebergh</w:t>
      </w:r>
      <w:proofErr w:type="spellEnd"/>
      <w:r w:rsidRPr="00D4751A">
        <w:rPr>
          <w:lang w:val="pt-BR" w:eastAsia="en-US"/>
        </w:rPr>
        <w:t xml:space="preserve">, W. A. (2015). </w:t>
      </w:r>
      <w:proofErr w:type="spellStart"/>
      <w:r w:rsidRPr="00D4751A">
        <w:rPr>
          <w:lang w:val="pt-BR" w:eastAsia="en-US"/>
        </w:rPr>
        <w:t>Adolescent</w:t>
      </w:r>
      <w:proofErr w:type="spellEnd"/>
      <w:r w:rsidRPr="00D4751A">
        <w:rPr>
          <w:lang w:val="pt-BR" w:eastAsia="en-US"/>
        </w:rPr>
        <w:t xml:space="preserve"> heavy drinking does </w:t>
      </w:r>
      <w:proofErr w:type="spellStart"/>
      <w:r w:rsidRPr="00D4751A">
        <w:rPr>
          <w:lang w:val="pt-BR" w:eastAsia="en-US"/>
        </w:rPr>
        <w:t>not</w:t>
      </w:r>
      <w:proofErr w:type="spellEnd"/>
      <w:r w:rsidRPr="00D4751A">
        <w:rPr>
          <w:lang w:val="pt-BR" w:eastAsia="en-US"/>
        </w:rPr>
        <w:t xml:space="preserve"> </w:t>
      </w:r>
      <w:proofErr w:type="spellStart"/>
      <w:r w:rsidRPr="00D4751A">
        <w:rPr>
          <w:lang w:val="pt-BR" w:eastAsia="en-US"/>
        </w:rPr>
        <w:t>affect</w:t>
      </w:r>
      <w:proofErr w:type="spellEnd"/>
      <w:r w:rsidRPr="00D4751A">
        <w:rPr>
          <w:lang w:val="pt-BR" w:eastAsia="en-US"/>
        </w:rPr>
        <w:t xml:space="preserve"> </w:t>
      </w:r>
      <w:proofErr w:type="spellStart"/>
      <w:r w:rsidRPr="00D4751A">
        <w:rPr>
          <w:lang w:val="pt-BR" w:eastAsia="en-US"/>
        </w:rPr>
        <w:t>maturation</w:t>
      </w:r>
      <w:proofErr w:type="spellEnd"/>
      <w:r w:rsidRPr="00D4751A">
        <w:rPr>
          <w:lang w:val="pt-BR" w:eastAsia="en-US"/>
        </w:rPr>
        <w:t xml:space="preserve"> </w:t>
      </w:r>
      <w:proofErr w:type="spellStart"/>
      <w:r w:rsidRPr="00D4751A">
        <w:rPr>
          <w:lang w:val="pt-BR" w:eastAsia="en-US"/>
        </w:rPr>
        <w:t>of</w:t>
      </w:r>
      <w:proofErr w:type="spellEnd"/>
      <w:r w:rsidRPr="00D4751A">
        <w:rPr>
          <w:lang w:val="pt-BR" w:eastAsia="en-US"/>
        </w:rPr>
        <w:t xml:space="preserve"> </w:t>
      </w:r>
      <w:proofErr w:type="spellStart"/>
      <w:r w:rsidRPr="00D4751A">
        <w:rPr>
          <w:lang w:val="pt-BR" w:eastAsia="en-US"/>
        </w:rPr>
        <w:t>basic</w:t>
      </w:r>
      <w:proofErr w:type="spellEnd"/>
      <w:r w:rsidRPr="00D4751A">
        <w:rPr>
          <w:lang w:val="pt-BR" w:eastAsia="en-US"/>
        </w:rPr>
        <w:t xml:space="preserve"> </w:t>
      </w:r>
      <w:proofErr w:type="spellStart"/>
      <w:r w:rsidRPr="00D4751A">
        <w:rPr>
          <w:lang w:val="pt-BR" w:eastAsia="en-US"/>
        </w:rPr>
        <w:t>executive</w:t>
      </w:r>
      <w:proofErr w:type="spellEnd"/>
      <w:r w:rsidRPr="00D4751A">
        <w:rPr>
          <w:lang w:val="pt-BR" w:eastAsia="en-US"/>
        </w:rPr>
        <w:t xml:space="preserve"> </w:t>
      </w:r>
      <w:proofErr w:type="spellStart"/>
      <w:r w:rsidRPr="00D4751A">
        <w:rPr>
          <w:lang w:val="pt-BR" w:eastAsia="en-US"/>
        </w:rPr>
        <w:t>functioning</w:t>
      </w:r>
      <w:proofErr w:type="spellEnd"/>
      <w:r w:rsidRPr="00D4751A">
        <w:rPr>
          <w:lang w:val="pt-BR" w:eastAsia="en-US"/>
        </w:rPr>
        <w:t xml:space="preserve">: longitudinal </w:t>
      </w:r>
      <w:proofErr w:type="spellStart"/>
      <w:r w:rsidRPr="00D4751A">
        <w:rPr>
          <w:lang w:val="pt-BR" w:eastAsia="en-US"/>
        </w:rPr>
        <w:t>findings</w:t>
      </w:r>
      <w:proofErr w:type="spellEnd"/>
      <w:r w:rsidRPr="00D4751A">
        <w:rPr>
          <w:lang w:val="pt-BR" w:eastAsia="en-US"/>
        </w:rPr>
        <w:t xml:space="preserve"> </w:t>
      </w:r>
      <w:proofErr w:type="spellStart"/>
      <w:r w:rsidRPr="00D4751A">
        <w:rPr>
          <w:lang w:val="pt-BR" w:eastAsia="en-US"/>
        </w:rPr>
        <w:t>from</w:t>
      </w:r>
      <w:proofErr w:type="spellEnd"/>
      <w:r w:rsidRPr="00D4751A">
        <w:rPr>
          <w:lang w:val="pt-BR" w:eastAsia="en-US"/>
        </w:rPr>
        <w:t xml:space="preserve"> </w:t>
      </w:r>
      <w:proofErr w:type="spellStart"/>
      <w:r w:rsidRPr="00D4751A">
        <w:rPr>
          <w:lang w:val="pt-BR" w:eastAsia="en-US"/>
        </w:rPr>
        <w:t>the</w:t>
      </w:r>
      <w:proofErr w:type="spellEnd"/>
      <w:r w:rsidRPr="00D4751A">
        <w:rPr>
          <w:lang w:val="pt-BR" w:eastAsia="en-US"/>
        </w:rPr>
        <w:t xml:space="preserve"> TRAILS </w:t>
      </w:r>
      <w:proofErr w:type="spellStart"/>
      <w:r w:rsidRPr="00D4751A">
        <w:rPr>
          <w:lang w:val="pt-BR" w:eastAsia="en-US"/>
        </w:rPr>
        <w:t>study</w:t>
      </w:r>
      <w:proofErr w:type="spellEnd"/>
      <w:r w:rsidRPr="00D4751A">
        <w:rPr>
          <w:lang w:val="pt-BR" w:eastAsia="en-US"/>
        </w:rPr>
        <w:t>. </w:t>
      </w:r>
      <w:proofErr w:type="spellStart"/>
      <w:r w:rsidRPr="00D4751A">
        <w:rPr>
          <w:i/>
          <w:iCs/>
          <w:lang w:val="pt-BR" w:eastAsia="en-US"/>
        </w:rPr>
        <w:t>PLoS</w:t>
      </w:r>
      <w:proofErr w:type="spellEnd"/>
      <w:r w:rsidRPr="00D4751A">
        <w:rPr>
          <w:i/>
          <w:iCs/>
          <w:lang w:val="pt-BR" w:eastAsia="en-US"/>
        </w:rPr>
        <w:t xml:space="preserve"> </w:t>
      </w:r>
      <w:proofErr w:type="spellStart"/>
      <w:r w:rsidRPr="00D4751A">
        <w:rPr>
          <w:i/>
          <w:iCs/>
          <w:lang w:val="pt-BR" w:eastAsia="en-US"/>
        </w:rPr>
        <w:t>One</w:t>
      </w:r>
      <w:proofErr w:type="spellEnd"/>
      <w:r w:rsidRPr="00D4751A">
        <w:rPr>
          <w:lang w:val="pt-BR" w:eastAsia="en-US"/>
        </w:rPr>
        <w:t>, </w:t>
      </w:r>
      <w:r w:rsidRPr="00D4751A">
        <w:rPr>
          <w:i/>
          <w:iCs/>
          <w:lang w:val="pt-BR" w:eastAsia="en-US"/>
        </w:rPr>
        <w:t>10</w:t>
      </w:r>
      <w:r w:rsidRPr="00D4751A">
        <w:rPr>
          <w:lang w:val="pt-BR" w:eastAsia="en-US"/>
        </w:rPr>
        <w:t xml:space="preserve">(10), e0139186. </w:t>
      </w:r>
      <w:hyperlink r:id="rId15" w:history="1">
        <w:r w:rsidR="00FB0521" w:rsidRPr="00D4751A">
          <w:rPr>
            <w:rStyle w:val="Hipervnculo"/>
            <w:lang w:val="es-AR" w:eastAsia="en-US"/>
          </w:rPr>
          <w:t>https://doi.org/</w:t>
        </w:r>
        <w:r w:rsidR="00FB0521" w:rsidRPr="00D4751A">
          <w:rPr>
            <w:rStyle w:val="Hipervnculo"/>
            <w:lang w:val="pt-BR" w:eastAsia="en-US"/>
          </w:rPr>
          <w:t>10.1371/journal.pone.0139186</w:t>
        </w:r>
      </w:hyperlink>
      <w:r w:rsidR="00FB0521">
        <w:rPr>
          <w:lang w:val="pt-BR" w:eastAsia="en-US"/>
        </w:rPr>
        <w:t xml:space="preserve"> </w:t>
      </w:r>
    </w:p>
    <w:p w14:paraId="7DD50F34" w14:textId="2423A9F7" w:rsidR="00D4751A" w:rsidRPr="00D4751A" w:rsidRDefault="00D4751A" w:rsidP="00FC4499">
      <w:pPr>
        <w:widowControl w:val="0"/>
        <w:autoSpaceDE w:val="0"/>
        <w:autoSpaceDN w:val="0"/>
        <w:adjustRightInd w:val="0"/>
        <w:ind w:left="706" w:hanging="706"/>
        <w:rPr>
          <w:lang w:val="en-US" w:eastAsia="en-US"/>
        </w:rPr>
      </w:pPr>
      <w:proofErr w:type="spellStart"/>
      <w:r w:rsidRPr="00D4751A">
        <w:rPr>
          <w:lang w:val="es-AR" w:eastAsia="en-US"/>
        </w:rPr>
        <w:t>Caneto</w:t>
      </w:r>
      <w:proofErr w:type="spellEnd"/>
      <w:r w:rsidRPr="00D4751A">
        <w:rPr>
          <w:lang w:val="es-AR" w:eastAsia="en-US"/>
        </w:rPr>
        <w:t xml:space="preserve">, F., Pilatti, A., Cupani, M., &amp; Pautassi, R. M. (2020). Validación de la versión breve en español de la escala UPPS-P de impulsividad para niños y adolescentes (BUPPS-P NA). </w:t>
      </w:r>
      <w:r w:rsidRPr="00D4751A">
        <w:rPr>
          <w:i/>
          <w:iCs/>
          <w:lang w:val="en-US" w:eastAsia="en-US"/>
        </w:rPr>
        <w:t xml:space="preserve">Journal of Psychopathology and Clinical Psychology/ </w:t>
      </w:r>
      <w:proofErr w:type="spellStart"/>
      <w:r w:rsidRPr="00D4751A">
        <w:rPr>
          <w:i/>
          <w:iCs/>
          <w:lang w:val="en-US" w:eastAsia="en-US"/>
        </w:rPr>
        <w:t>Revista</w:t>
      </w:r>
      <w:proofErr w:type="spellEnd"/>
      <w:r w:rsidRPr="00D4751A">
        <w:rPr>
          <w:i/>
          <w:iCs/>
          <w:lang w:val="en-US" w:eastAsia="en-US"/>
        </w:rPr>
        <w:t xml:space="preserve"> de </w:t>
      </w:r>
      <w:proofErr w:type="spellStart"/>
      <w:r w:rsidRPr="00D4751A">
        <w:rPr>
          <w:i/>
          <w:iCs/>
          <w:lang w:val="en-US" w:eastAsia="en-US"/>
        </w:rPr>
        <w:t>Psicopatología</w:t>
      </w:r>
      <w:proofErr w:type="spellEnd"/>
      <w:r w:rsidRPr="00D4751A">
        <w:rPr>
          <w:i/>
          <w:iCs/>
          <w:lang w:val="en-US" w:eastAsia="en-US"/>
        </w:rPr>
        <w:t xml:space="preserve"> y Psicología </w:t>
      </w:r>
      <w:proofErr w:type="spellStart"/>
      <w:r w:rsidRPr="00D4751A">
        <w:rPr>
          <w:i/>
          <w:iCs/>
          <w:lang w:val="en-US" w:eastAsia="en-US"/>
        </w:rPr>
        <w:t>Clínica</w:t>
      </w:r>
      <w:proofErr w:type="spellEnd"/>
      <w:r w:rsidRPr="00D4751A">
        <w:rPr>
          <w:i/>
          <w:iCs/>
          <w:lang w:val="en-US" w:eastAsia="en-US"/>
        </w:rPr>
        <w:t>, 25</w:t>
      </w:r>
      <w:r w:rsidRPr="00D4751A">
        <w:rPr>
          <w:lang w:val="en-US" w:eastAsia="en-US"/>
        </w:rPr>
        <w:t xml:space="preserve">(3), 175-185. </w:t>
      </w:r>
      <w:hyperlink r:id="rId16" w:history="1">
        <w:r w:rsidR="00FB0521" w:rsidRPr="00FC382E">
          <w:rPr>
            <w:rStyle w:val="Hipervnculo"/>
            <w:lang w:val="en-US" w:eastAsia="en-US"/>
          </w:rPr>
          <w:t>https://doi.org/10.5944/rppc.26249</w:t>
        </w:r>
      </w:hyperlink>
      <w:r w:rsidR="00FB0521">
        <w:rPr>
          <w:lang w:val="en-US" w:eastAsia="en-US"/>
        </w:rPr>
        <w:t xml:space="preserve"> </w:t>
      </w:r>
    </w:p>
    <w:p w14:paraId="71B53087" w14:textId="77777777" w:rsidR="00D4751A" w:rsidRPr="00D4751A" w:rsidRDefault="00D4751A" w:rsidP="00FC4499">
      <w:pPr>
        <w:widowControl w:val="0"/>
        <w:autoSpaceDE w:val="0"/>
        <w:autoSpaceDN w:val="0"/>
        <w:adjustRightInd w:val="0"/>
        <w:ind w:left="706" w:hanging="706"/>
        <w:rPr>
          <w:lang w:val="en-US" w:eastAsia="en-US"/>
        </w:rPr>
      </w:pPr>
      <w:r w:rsidRPr="00D4751A">
        <w:rPr>
          <w:lang w:val="en-US" w:eastAsia="en-US"/>
        </w:rPr>
        <w:t>Chung, T., Creswell, K. G., Bachrach, R., Clark, D. B., &amp; Martin, C. S. (2018). Adolescent binge drinking: Developmental context and opportunities for prevention. </w:t>
      </w:r>
      <w:r w:rsidRPr="00D4751A">
        <w:rPr>
          <w:i/>
          <w:iCs/>
          <w:lang w:val="en-US" w:eastAsia="en-US"/>
        </w:rPr>
        <w:t>Alcohol Research: Current Reviews, 39</w:t>
      </w:r>
      <w:r w:rsidRPr="00D4751A">
        <w:rPr>
          <w:lang w:val="en-US" w:eastAsia="en-US"/>
        </w:rPr>
        <w:t>(1), 5–15.</w:t>
      </w:r>
    </w:p>
    <w:p w14:paraId="14E1CD87" w14:textId="3596777B" w:rsidR="00D4751A" w:rsidRDefault="00D4751A" w:rsidP="00FC4499">
      <w:pPr>
        <w:widowControl w:val="0"/>
        <w:autoSpaceDE w:val="0"/>
        <w:autoSpaceDN w:val="0"/>
        <w:adjustRightInd w:val="0"/>
        <w:ind w:left="706" w:hanging="706"/>
        <w:rPr>
          <w:lang w:val="es-AR" w:eastAsia="en-US"/>
        </w:rPr>
      </w:pPr>
      <w:r w:rsidRPr="00DE7EB8">
        <w:rPr>
          <w:lang w:val="es-AR"/>
        </w:rPr>
        <w:t xml:space="preserve">CIOMS, OMS &amp; OPS (2016). Pautas éticas internacionales para la investigación relacionada con la salud con seres humanos. </w:t>
      </w:r>
      <w:r w:rsidRPr="009B4F42">
        <w:rPr>
          <w:lang w:val="es-AR"/>
        </w:rPr>
        <w:t xml:space="preserve">Recuperado de </w:t>
      </w:r>
      <w:hyperlink r:id="rId17" w:history="1">
        <w:r w:rsidRPr="009B4F42">
          <w:rPr>
            <w:rStyle w:val="Hipervnculo"/>
            <w:lang w:val="es-AR"/>
          </w:rPr>
          <w:t>https://cioms.ch/wp-content/uploads/2017/12/CIOMS-EthicalGuideline_SP_INTERIOR-FINAL.pdf</w:t>
        </w:r>
      </w:hyperlink>
    </w:p>
    <w:p w14:paraId="4F13A7F3" w14:textId="020A9E26" w:rsidR="00D4751A" w:rsidRPr="00D4751A" w:rsidRDefault="00D4751A" w:rsidP="00FC4499">
      <w:pPr>
        <w:widowControl w:val="0"/>
        <w:autoSpaceDE w:val="0"/>
        <w:autoSpaceDN w:val="0"/>
        <w:adjustRightInd w:val="0"/>
        <w:ind w:left="706" w:hanging="706"/>
        <w:rPr>
          <w:lang w:val="en-US" w:eastAsia="en-US"/>
        </w:rPr>
      </w:pPr>
      <w:r w:rsidRPr="00D4751A">
        <w:rPr>
          <w:lang w:val="es-AR" w:eastAsia="en-US"/>
        </w:rPr>
        <w:t xml:space="preserve">Collado, A., Felton, J. W., </w:t>
      </w:r>
      <w:proofErr w:type="spellStart"/>
      <w:r w:rsidRPr="00D4751A">
        <w:rPr>
          <w:lang w:val="es-AR" w:eastAsia="en-US"/>
        </w:rPr>
        <w:t>MacPherson</w:t>
      </w:r>
      <w:proofErr w:type="spellEnd"/>
      <w:r w:rsidRPr="00D4751A">
        <w:rPr>
          <w:lang w:val="es-AR" w:eastAsia="en-US"/>
        </w:rPr>
        <w:t xml:space="preserve">, L., &amp; </w:t>
      </w:r>
      <w:proofErr w:type="spellStart"/>
      <w:r w:rsidRPr="00D4751A">
        <w:rPr>
          <w:lang w:val="es-AR" w:eastAsia="en-US"/>
        </w:rPr>
        <w:t>Lejuez</w:t>
      </w:r>
      <w:proofErr w:type="spellEnd"/>
      <w:r w:rsidRPr="00D4751A">
        <w:rPr>
          <w:lang w:val="es-AR" w:eastAsia="en-US"/>
        </w:rPr>
        <w:t xml:space="preserve">, C. W. (2014). </w:t>
      </w:r>
      <w:r w:rsidRPr="00D4751A">
        <w:rPr>
          <w:lang w:val="en-US" w:eastAsia="en-US"/>
        </w:rPr>
        <w:t>Longitudinal trajectories of sensation seeking, risk taking propensity, and impulsivity across early to middle adolescence. </w:t>
      </w:r>
      <w:r w:rsidRPr="00D4751A">
        <w:rPr>
          <w:i/>
          <w:iCs/>
          <w:lang w:val="en-US" w:eastAsia="en-US"/>
        </w:rPr>
        <w:t>Addictive Behaviors</w:t>
      </w:r>
      <w:r w:rsidRPr="00D4751A">
        <w:rPr>
          <w:lang w:val="en-US" w:eastAsia="en-US"/>
        </w:rPr>
        <w:t>, </w:t>
      </w:r>
      <w:r w:rsidRPr="00D4751A">
        <w:rPr>
          <w:i/>
          <w:iCs/>
          <w:lang w:val="en-US" w:eastAsia="en-US"/>
        </w:rPr>
        <w:t>39</w:t>
      </w:r>
      <w:r w:rsidRPr="00D4751A">
        <w:rPr>
          <w:lang w:val="en-US" w:eastAsia="en-US"/>
        </w:rPr>
        <w:t xml:space="preserve">(11), 1580-1588. </w:t>
      </w:r>
      <w:hyperlink r:id="rId18" w:history="1">
        <w:r w:rsidR="00FB0521" w:rsidRPr="00D4751A">
          <w:rPr>
            <w:rStyle w:val="Hipervnculo"/>
            <w:lang w:val="en-US" w:eastAsia="en-US"/>
          </w:rPr>
          <w:t>https://doi.org/10.1016/j.addbeh.2014.01.024</w:t>
        </w:r>
      </w:hyperlink>
      <w:r w:rsidR="00FB0521">
        <w:rPr>
          <w:lang w:val="en-US" w:eastAsia="en-US"/>
        </w:rPr>
        <w:t xml:space="preserve"> </w:t>
      </w:r>
    </w:p>
    <w:p w14:paraId="401EE753" w14:textId="25A0A308" w:rsidR="00D4751A" w:rsidRPr="00D4751A" w:rsidRDefault="00D4751A" w:rsidP="00FC4499">
      <w:pPr>
        <w:widowControl w:val="0"/>
        <w:autoSpaceDE w:val="0"/>
        <w:autoSpaceDN w:val="0"/>
        <w:adjustRightInd w:val="0"/>
        <w:ind w:left="706" w:hanging="706"/>
        <w:rPr>
          <w:lang w:val="en-US" w:eastAsia="en-US"/>
        </w:rPr>
      </w:pPr>
      <w:bookmarkStart w:id="0" w:name="_Hlk56160800"/>
      <w:r w:rsidRPr="00D4751A">
        <w:rPr>
          <w:lang w:val="pt-BR" w:eastAsia="en-US"/>
        </w:rPr>
        <w:t xml:space="preserve">Curtis, A. C. (2015). </w:t>
      </w:r>
      <w:proofErr w:type="spellStart"/>
      <w:r w:rsidRPr="00D4751A">
        <w:rPr>
          <w:lang w:val="pt-BR" w:eastAsia="en-US"/>
        </w:rPr>
        <w:t>Defining</w:t>
      </w:r>
      <w:proofErr w:type="spellEnd"/>
      <w:r w:rsidRPr="00D4751A">
        <w:rPr>
          <w:lang w:val="pt-BR" w:eastAsia="en-US"/>
        </w:rPr>
        <w:t xml:space="preserve"> </w:t>
      </w:r>
      <w:proofErr w:type="spellStart"/>
      <w:r w:rsidRPr="00D4751A">
        <w:rPr>
          <w:lang w:val="pt-BR" w:eastAsia="en-US"/>
        </w:rPr>
        <w:t>adolescence</w:t>
      </w:r>
      <w:proofErr w:type="spellEnd"/>
      <w:r w:rsidRPr="00D4751A">
        <w:rPr>
          <w:lang w:val="pt-BR" w:eastAsia="en-US"/>
        </w:rPr>
        <w:t>. </w:t>
      </w:r>
      <w:proofErr w:type="spellStart"/>
      <w:r w:rsidRPr="00D4751A">
        <w:rPr>
          <w:i/>
          <w:iCs/>
          <w:lang w:val="pt-BR" w:eastAsia="en-US"/>
        </w:rPr>
        <w:t>Journal</w:t>
      </w:r>
      <w:proofErr w:type="spellEnd"/>
      <w:r w:rsidRPr="00D4751A">
        <w:rPr>
          <w:i/>
          <w:iCs/>
          <w:lang w:val="pt-BR" w:eastAsia="en-US"/>
        </w:rPr>
        <w:t xml:space="preserve"> </w:t>
      </w:r>
      <w:proofErr w:type="spellStart"/>
      <w:r w:rsidRPr="00D4751A">
        <w:rPr>
          <w:i/>
          <w:iCs/>
          <w:lang w:val="pt-BR" w:eastAsia="en-US"/>
        </w:rPr>
        <w:t>of</w:t>
      </w:r>
      <w:proofErr w:type="spellEnd"/>
      <w:r w:rsidRPr="00D4751A">
        <w:rPr>
          <w:i/>
          <w:iCs/>
          <w:lang w:val="pt-BR" w:eastAsia="en-US"/>
        </w:rPr>
        <w:t xml:space="preserve"> </w:t>
      </w:r>
      <w:proofErr w:type="spellStart"/>
      <w:r w:rsidR="00FB0521">
        <w:rPr>
          <w:i/>
          <w:iCs/>
          <w:lang w:val="pt-BR" w:eastAsia="en-US"/>
        </w:rPr>
        <w:t>A</w:t>
      </w:r>
      <w:r w:rsidRPr="00D4751A">
        <w:rPr>
          <w:i/>
          <w:iCs/>
          <w:lang w:val="pt-BR" w:eastAsia="en-US"/>
        </w:rPr>
        <w:t>dolescent</w:t>
      </w:r>
      <w:proofErr w:type="spellEnd"/>
      <w:r w:rsidRPr="00D4751A">
        <w:rPr>
          <w:i/>
          <w:iCs/>
          <w:lang w:val="pt-BR" w:eastAsia="en-US"/>
        </w:rPr>
        <w:t xml:space="preserve"> </w:t>
      </w:r>
      <w:proofErr w:type="spellStart"/>
      <w:r w:rsidRPr="00D4751A">
        <w:rPr>
          <w:i/>
          <w:iCs/>
          <w:lang w:val="pt-BR" w:eastAsia="en-US"/>
        </w:rPr>
        <w:t>and</w:t>
      </w:r>
      <w:proofErr w:type="spellEnd"/>
      <w:r w:rsidRPr="00D4751A">
        <w:rPr>
          <w:i/>
          <w:iCs/>
          <w:lang w:val="pt-BR" w:eastAsia="en-US"/>
        </w:rPr>
        <w:t xml:space="preserve"> </w:t>
      </w:r>
      <w:r w:rsidR="00FB0521">
        <w:rPr>
          <w:i/>
          <w:iCs/>
          <w:lang w:val="pt-BR" w:eastAsia="en-US"/>
        </w:rPr>
        <w:t>F</w:t>
      </w:r>
      <w:r w:rsidRPr="00D4751A">
        <w:rPr>
          <w:i/>
          <w:iCs/>
          <w:lang w:val="pt-BR" w:eastAsia="en-US"/>
        </w:rPr>
        <w:t xml:space="preserve">amily </w:t>
      </w:r>
      <w:r w:rsidR="00FB0521">
        <w:rPr>
          <w:i/>
          <w:iCs/>
          <w:lang w:val="pt-BR" w:eastAsia="en-US"/>
        </w:rPr>
        <w:t>H</w:t>
      </w:r>
      <w:r w:rsidRPr="00D4751A">
        <w:rPr>
          <w:i/>
          <w:iCs/>
          <w:lang w:val="pt-BR" w:eastAsia="en-US"/>
        </w:rPr>
        <w:t>ealth</w:t>
      </w:r>
      <w:r w:rsidRPr="00D4751A">
        <w:rPr>
          <w:lang w:val="pt-BR" w:eastAsia="en-US"/>
        </w:rPr>
        <w:t>, </w:t>
      </w:r>
      <w:r w:rsidRPr="00D4751A">
        <w:rPr>
          <w:i/>
          <w:iCs/>
          <w:lang w:val="pt-BR" w:eastAsia="en-US"/>
        </w:rPr>
        <w:t>7</w:t>
      </w:r>
      <w:r w:rsidRPr="00D4751A">
        <w:rPr>
          <w:lang w:val="pt-BR" w:eastAsia="en-US"/>
        </w:rPr>
        <w:t>(2), 1-39.</w:t>
      </w:r>
    </w:p>
    <w:p w14:paraId="7C9D3104" w14:textId="34381452" w:rsidR="00D4751A" w:rsidRPr="00D4751A" w:rsidRDefault="00D4751A" w:rsidP="00FC4499">
      <w:pPr>
        <w:widowControl w:val="0"/>
        <w:autoSpaceDE w:val="0"/>
        <w:autoSpaceDN w:val="0"/>
        <w:adjustRightInd w:val="0"/>
        <w:ind w:left="706" w:hanging="706"/>
        <w:rPr>
          <w:lang w:val="en-US" w:eastAsia="en-US"/>
        </w:rPr>
      </w:pPr>
      <w:r w:rsidRPr="00D4751A">
        <w:rPr>
          <w:lang w:val="en-US" w:eastAsia="en-US"/>
        </w:rPr>
        <w:t xml:space="preserve">Cyders, M. A., &amp; </w:t>
      </w:r>
      <w:proofErr w:type="spellStart"/>
      <w:r w:rsidRPr="00D4751A">
        <w:rPr>
          <w:lang w:val="en-US" w:eastAsia="en-US"/>
        </w:rPr>
        <w:t>Coskunpinar</w:t>
      </w:r>
      <w:proofErr w:type="spellEnd"/>
      <w:r w:rsidRPr="00D4751A">
        <w:rPr>
          <w:lang w:val="en-US" w:eastAsia="en-US"/>
        </w:rPr>
        <w:t xml:space="preserve">, A. (2011). Measurement of constructs using self-report and behavioral lab tasks: is there overlap in nomothetic span and construct representation for </w:t>
      </w:r>
      <w:proofErr w:type="gramStart"/>
      <w:r w:rsidRPr="00D4751A">
        <w:rPr>
          <w:lang w:val="en-US" w:eastAsia="en-US"/>
        </w:rPr>
        <w:t>impulsivity?.</w:t>
      </w:r>
      <w:proofErr w:type="gramEnd"/>
      <w:r w:rsidRPr="00D4751A">
        <w:rPr>
          <w:lang w:val="en-US" w:eastAsia="en-US"/>
        </w:rPr>
        <w:t> </w:t>
      </w:r>
      <w:r w:rsidRPr="00D4751A">
        <w:rPr>
          <w:i/>
          <w:iCs/>
          <w:lang w:val="en-US" w:eastAsia="en-US"/>
        </w:rPr>
        <w:t>Clinical Psychology Review</w:t>
      </w:r>
      <w:r w:rsidRPr="00D4751A">
        <w:rPr>
          <w:lang w:val="en-US" w:eastAsia="en-US"/>
        </w:rPr>
        <w:t>, </w:t>
      </w:r>
      <w:r w:rsidRPr="00D4751A">
        <w:rPr>
          <w:i/>
          <w:iCs/>
          <w:lang w:val="en-US" w:eastAsia="en-US"/>
        </w:rPr>
        <w:t>31</w:t>
      </w:r>
      <w:r w:rsidRPr="00D4751A">
        <w:rPr>
          <w:lang w:val="en-US" w:eastAsia="en-US"/>
        </w:rPr>
        <w:t xml:space="preserve">(6), 965–982. </w:t>
      </w:r>
      <w:hyperlink r:id="rId19" w:history="1">
        <w:r w:rsidR="00FB0521" w:rsidRPr="00D4751A">
          <w:rPr>
            <w:rStyle w:val="Hipervnculo"/>
            <w:lang w:val="en-US" w:eastAsia="en-US"/>
          </w:rPr>
          <w:t>https://doi.org/10.1016/j.cpr.2011.06.001</w:t>
        </w:r>
      </w:hyperlink>
      <w:r w:rsidR="00FB0521">
        <w:rPr>
          <w:lang w:val="en-US" w:eastAsia="en-US"/>
        </w:rPr>
        <w:t xml:space="preserve"> </w:t>
      </w:r>
    </w:p>
    <w:bookmarkEnd w:id="0"/>
    <w:p w14:paraId="356E6CCD" w14:textId="10392631" w:rsidR="00D4751A" w:rsidRPr="00D4751A" w:rsidRDefault="00D4751A" w:rsidP="00FC4499">
      <w:pPr>
        <w:widowControl w:val="0"/>
        <w:autoSpaceDE w:val="0"/>
        <w:autoSpaceDN w:val="0"/>
        <w:adjustRightInd w:val="0"/>
        <w:ind w:left="706" w:hanging="706"/>
        <w:rPr>
          <w:lang w:val="en-US" w:eastAsia="en-US"/>
        </w:rPr>
      </w:pPr>
      <w:r w:rsidRPr="00D4751A">
        <w:rPr>
          <w:lang w:val="pt-BR" w:eastAsia="en-US"/>
        </w:rPr>
        <w:t xml:space="preserve">De Boer, A., Peeters, M., </w:t>
      </w:r>
      <w:r w:rsidRPr="00D4751A">
        <w:rPr>
          <w:lang w:val="en-US" w:eastAsia="en-US"/>
        </w:rPr>
        <w:t>&amp;</w:t>
      </w:r>
      <w:r w:rsidRPr="00D4751A">
        <w:rPr>
          <w:lang w:val="pt-BR" w:eastAsia="en-US"/>
        </w:rPr>
        <w:t xml:space="preserve"> </w:t>
      </w:r>
      <w:proofErr w:type="spellStart"/>
      <w:r w:rsidRPr="00D4751A">
        <w:rPr>
          <w:lang w:val="pt-BR" w:eastAsia="en-US"/>
        </w:rPr>
        <w:t>Koning</w:t>
      </w:r>
      <w:proofErr w:type="spellEnd"/>
      <w:r w:rsidRPr="00D4751A">
        <w:rPr>
          <w:lang w:val="pt-BR" w:eastAsia="en-US"/>
        </w:rPr>
        <w:t xml:space="preserve">, I. (2017). </w:t>
      </w:r>
      <w:proofErr w:type="spellStart"/>
      <w:r w:rsidRPr="00D4751A">
        <w:rPr>
          <w:lang w:val="pt-BR" w:eastAsia="en-US"/>
        </w:rPr>
        <w:t>An</w:t>
      </w:r>
      <w:proofErr w:type="spellEnd"/>
      <w:r w:rsidRPr="00D4751A">
        <w:rPr>
          <w:lang w:val="pt-BR" w:eastAsia="en-US"/>
        </w:rPr>
        <w:t xml:space="preserve"> experimental </w:t>
      </w:r>
      <w:proofErr w:type="spellStart"/>
      <w:r w:rsidRPr="00D4751A">
        <w:rPr>
          <w:lang w:val="pt-BR" w:eastAsia="en-US"/>
        </w:rPr>
        <w:t>study</w:t>
      </w:r>
      <w:proofErr w:type="spellEnd"/>
      <w:r w:rsidRPr="00D4751A">
        <w:rPr>
          <w:lang w:val="pt-BR" w:eastAsia="en-US"/>
        </w:rPr>
        <w:t xml:space="preserve"> </w:t>
      </w:r>
      <w:proofErr w:type="spellStart"/>
      <w:r w:rsidRPr="00D4751A">
        <w:rPr>
          <w:lang w:val="pt-BR" w:eastAsia="en-US"/>
        </w:rPr>
        <w:t>of</w:t>
      </w:r>
      <w:proofErr w:type="spellEnd"/>
      <w:r w:rsidRPr="00D4751A">
        <w:rPr>
          <w:lang w:val="pt-BR" w:eastAsia="en-US"/>
        </w:rPr>
        <w:t xml:space="preserve"> </w:t>
      </w:r>
      <w:proofErr w:type="spellStart"/>
      <w:r w:rsidRPr="00D4751A">
        <w:rPr>
          <w:lang w:val="pt-BR" w:eastAsia="en-US"/>
        </w:rPr>
        <w:t>risk</w:t>
      </w:r>
      <w:proofErr w:type="spellEnd"/>
      <w:r w:rsidRPr="00D4751A">
        <w:rPr>
          <w:lang w:val="pt-BR" w:eastAsia="en-US"/>
        </w:rPr>
        <w:t xml:space="preserve"> </w:t>
      </w:r>
      <w:proofErr w:type="spellStart"/>
      <w:r w:rsidRPr="00D4751A">
        <w:rPr>
          <w:lang w:val="pt-BR" w:eastAsia="en-US"/>
        </w:rPr>
        <w:t>taking</w:t>
      </w:r>
      <w:proofErr w:type="spellEnd"/>
      <w:r w:rsidRPr="00D4751A">
        <w:rPr>
          <w:lang w:val="pt-BR" w:eastAsia="en-US"/>
        </w:rPr>
        <w:t xml:space="preserve"> </w:t>
      </w:r>
      <w:proofErr w:type="spellStart"/>
      <w:r w:rsidRPr="00D4751A">
        <w:rPr>
          <w:lang w:val="pt-BR" w:eastAsia="en-US"/>
        </w:rPr>
        <w:t>behavior</w:t>
      </w:r>
      <w:proofErr w:type="spellEnd"/>
      <w:r w:rsidRPr="00D4751A">
        <w:rPr>
          <w:lang w:val="pt-BR" w:eastAsia="en-US"/>
        </w:rPr>
        <w:t xml:space="preserve"> </w:t>
      </w:r>
      <w:proofErr w:type="spellStart"/>
      <w:r w:rsidRPr="00D4751A">
        <w:rPr>
          <w:lang w:val="pt-BR" w:eastAsia="en-US"/>
        </w:rPr>
        <w:t>among</w:t>
      </w:r>
      <w:proofErr w:type="spellEnd"/>
      <w:r w:rsidRPr="00D4751A">
        <w:rPr>
          <w:lang w:val="pt-BR" w:eastAsia="en-US"/>
        </w:rPr>
        <w:t xml:space="preserve"> </w:t>
      </w:r>
      <w:proofErr w:type="spellStart"/>
      <w:r w:rsidRPr="00D4751A">
        <w:rPr>
          <w:lang w:val="pt-BR" w:eastAsia="en-US"/>
        </w:rPr>
        <w:t>adolescents</w:t>
      </w:r>
      <w:proofErr w:type="spellEnd"/>
      <w:r w:rsidRPr="00D4751A">
        <w:rPr>
          <w:lang w:val="pt-BR" w:eastAsia="en-US"/>
        </w:rPr>
        <w:t xml:space="preserve">: A </w:t>
      </w:r>
      <w:proofErr w:type="spellStart"/>
      <w:r w:rsidRPr="00D4751A">
        <w:rPr>
          <w:lang w:val="pt-BR" w:eastAsia="en-US"/>
        </w:rPr>
        <w:t>closer</w:t>
      </w:r>
      <w:proofErr w:type="spellEnd"/>
      <w:r w:rsidRPr="00D4751A">
        <w:rPr>
          <w:lang w:val="pt-BR" w:eastAsia="en-US"/>
        </w:rPr>
        <w:t xml:space="preserve"> look </w:t>
      </w:r>
      <w:proofErr w:type="spellStart"/>
      <w:r w:rsidRPr="00D4751A">
        <w:rPr>
          <w:lang w:val="pt-BR" w:eastAsia="en-US"/>
        </w:rPr>
        <w:t>at</w:t>
      </w:r>
      <w:proofErr w:type="spellEnd"/>
      <w:r w:rsidRPr="00D4751A">
        <w:rPr>
          <w:lang w:val="pt-BR" w:eastAsia="en-US"/>
        </w:rPr>
        <w:t xml:space="preserve"> </w:t>
      </w:r>
      <w:proofErr w:type="spellStart"/>
      <w:r w:rsidRPr="00D4751A">
        <w:rPr>
          <w:lang w:val="pt-BR" w:eastAsia="en-US"/>
        </w:rPr>
        <w:t>peer</w:t>
      </w:r>
      <w:proofErr w:type="spellEnd"/>
      <w:r w:rsidRPr="00D4751A">
        <w:rPr>
          <w:lang w:val="pt-BR" w:eastAsia="en-US"/>
        </w:rPr>
        <w:t xml:space="preserve"> </w:t>
      </w:r>
      <w:proofErr w:type="spellStart"/>
      <w:r w:rsidRPr="00D4751A">
        <w:rPr>
          <w:lang w:val="pt-BR" w:eastAsia="en-US"/>
        </w:rPr>
        <w:t>and</w:t>
      </w:r>
      <w:proofErr w:type="spellEnd"/>
      <w:r w:rsidRPr="00D4751A">
        <w:rPr>
          <w:lang w:val="pt-BR" w:eastAsia="en-US"/>
        </w:rPr>
        <w:t xml:space="preserve"> sex </w:t>
      </w:r>
      <w:proofErr w:type="spellStart"/>
      <w:r w:rsidRPr="00D4751A">
        <w:rPr>
          <w:lang w:val="pt-BR" w:eastAsia="en-US"/>
        </w:rPr>
        <w:t>influences</w:t>
      </w:r>
      <w:proofErr w:type="spellEnd"/>
      <w:r w:rsidRPr="00D4751A">
        <w:rPr>
          <w:lang w:val="pt-BR" w:eastAsia="en-US"/>
        </w:rPr>
        <w:t>. </w:t>
      </w:r>
      <w:r w:rsidRPr="00D4751A">
        <w:rPr>
          <w:i/>
          <w:iCs/>
          <w:lang w:val="pt-BR" w:eastAsia="en-US"/>
        </w:rPr>
        <w:t xml:space="preserve">The </w:t>
      </w:r>
      <w:proofErr w:type="spellStart"/>
      <w:r w:rsidRPr="00D4751A">
        <w:rPr>
          <w:i/>
          <w:iCs/>
          <w:lang w:val="pt-BR" w:eastAsia="en-US"/>
        </w:rPr>
        <w:t>Journal</w:t>
      </w:r>
      <w:proofErr w:type="spellEnd"/>
      <w:r w:rsidRPr="00D4751A">
        <w:rPr>
          <w:i/>
          <w:iCs/>
          <w:lang w:val="pt-BR" w:eastAsia="en-US"/>
        </w:rPr>
        <w:t xml:space="preserve"> </w:t>
      </w:r>
      <w:proofErr w:type="spellStart"/>
      <w:r w:rsidRPr="00D4751A">
        <w:rPr>
          <w:i/>
          <w:iCs/>
          <w:lang w:val="pt-BR" w:eastAsia="en-US"/>
        </w:rPr>
        <w:t>of</w:t>
      </w:r>
      <w:proofErr w:type="spellEnd"/>
      <w:r w:rsidRPr="00D4751A">
        <w:rPr>
          <w:i/>
          <w:iCs/>
          <w:lang w:val="pt-BR" w:eastAsia="en-US"/>
        </w:rPr>
        <w:t xml:space="preserve"> Early </w:t>
      </w:r>
      <w:proofErr w:type="spellStart"/>
      <w:r w:rsidRPr="00D4751A">
        <w:rPr>
          <w:i/>
          <w:iCs/>
          <w:lang w:val="pt-BR" w:eastAsia="en-US"/>
        </w:rPr>
        <w:t>Adolescence</w:t>
      </w:r>
      <w:proofErr w:type="spellEnd"/>
      <w:r w:rsidRPr="00D4751A">
        <w:rPr>
          <w:lang w:val="pt-BR" w:eastAsia="en-US"/>
        </w:rPr>
        <w:t>, </w:t>
      </w:r>
      <w:r w:rsidRPr="00D4751A">
        <w:rPr>
          <w:i/>
          <w:iCs/>
          <w:lang w:val="pt-BR" w:eastAsia="en-US"/>
        </w:rPr>
        <w:t>37</w:t>
      </w:r>
      <w:r w:rsidRPr="00D4751A">
        <w:rPr>
          <w:lang w:val="pt-BR" w:eastAsia="en-US"/>
        </w:rPr>
        <w:t>(8), 1125-1141.</w:t>
      </w:r>
      <w:r w:rsidR="00FB0521">
        <w:rPr>
          <w:lang w:val="pt-BR" w:eastAsia="en-US"/>
        </w:rPr>
        <w:t xml:space="preserve"> </w:t>
      </w:r>
      <w:hyperlink r:id="rId20" w:history="1">
        <w:r w:rsidR="00FB0521" w:rsidRPr="00FC382E">
          <w:rPr>
            <w:rStyle w:val="Hipervnculo"/>
            <w:lang w:val="pt-BR" w:eastAsia="en-US"/>
          </w:rPr>
          <w:t>https://doi.org/10.1177/0272431616648453</w:t>
        </w:r>
      </w:hyperlink>
      <w:r w:rsidR="00FB0521">
        <w:rPr>
          <w:lang w:val="pt-BR" w:eastAsia="en-US"/>
        </w:rPr>
        <w:t xml:space="preserve"> </w:t>
      </w:r>
    </w:p>
    <w:p w14:paraId="6850C22C" w14:textId="61EB3518" w:rsidR="00D4751A" w:rsidRPr="00D4751A" w:rsidRDefault="00D4751A" w:rsidP="00FC4499">
      <w:pPr>
        <w:widowControl w:val="0"/>
        <w:autoSpaceDE w:val="0"/>
        <w:autoSpaceDN w:val="0"/>
        <w:adjustRightInd w:val="0"/>
        <w:ind w:left="706" w:hanging="706"/>
        <w:rPr>
          <w:lang w:val="en-US" w:eastAsia="en-US"/>
        </w:rPr>
      </w:pPr>
      <w:r w:rsidRPr="00D4751A">
        <w:rPr>
          <w:lang w:val="en-US" w:eastAsia="en-US"/>
        </w:rPr>
        <w:t xml:space="preserve">De Wit, H. (2008). Impulsivity as a determinant and consequence of drug use: a review of underlying processes. </w:t>
      </w:r>
      <w:r w:rsidRPr="00D4751A">
        <w:rPr>
          <w:i/>
          <w:lang w:val="en-US" w:eastAsia="en-US"/>
        </w:rPr>
        <w:t>Addiction Biology, 14</w:t>
      </w:r>
      <w:r w:rsidRPr="00D4751A">
        <w:rPr>
          <w:lang w:val="en-US" w:eastAsia="en-US"/>
        </w:rPr>
        <w:t>, 22-31.</w:t>
      </w:r>
      <w:r w:rsidR="00997AEF" w:rsidRPr="004C1657">
        <w:rPr>
          <w:lang w:val="en-US"/>
        </w:rPr>
        <w:t xml:space="preserve"> </w:t>
      </w:r>
      <w:hyperlink r:id="rId21" w:history="1">
        <w:r w:rsidR="00997AEF" w:rsidRPr="004C1657">
          <w:rPr>
            <w:rStyle w:val="Hipervnculo"/>
            <w:lang w:val="en-US"/>
          </w:rPr>
          <w:t>https://doi.org/</w:t>
        </w:r>
        <w:r w:rsidR="00997AEF" w:rsidRPr="00FC382E">
          <w:rPr>
            <w:rStyle w:val="Hipervnculo"/>
            <w:lang w:val="en-US" w:eastAsia="en-US"/>
          </w:rPr>
          <w:t>10.1111/j.1369-1600.2008.00129.x</w:t>
        </w:r>
      </w:hyperlink>
      <w:r w:rsidR="00997AEF">
        <w:rPr>
          <w:lang w:val="en-US" w:eastAsia="en-US"/>
        </w:rPr>
        <w:t xml:space="preserve"> </w:t>
      </w:r>
    </w:p>
    <w:p w14:paraId="7D35F9AF" w14:textId="31EB40E8" w:rsidR="00D4751A" w:rsidRPr="00D4751A" w:rsidRDefault="00D4751A" w:rsidP="00FC4499">
      <w:pPr>
        <w:widowControl w:val="0"/>
        <w:autoSpaceDE w:val="0"/>
        <w:autoSpaceDN w:val="0"/>
        <w:adjustRightInd w:val="0"/>
        <w:ind w:left="706" w:hanging="706"/>
        <w:rPr>
          <w:lang w:val="en-US" w:eastAsia="en-US"/>
        </w:rPr>
      </w:pPr>
      <w:r w:rsidRPr="00D4751A">
        <w:rPr>
          <w:lang w:val="en-US" w:eastAsia="en-US"/>
        </w:rPr>
        <w:lastRenderedPageBreak/>
        <w:t xml:space="preserve">Dom, G., De Wilde, B., </w:t>
      </w:r>
      <w:proofErr w:type="spellStart"/>
      <w:r w:rsidRPr="00D4751A">
        <w:rPr>
          <w:lang w:val="en-US" w:eastAsia="en-US"/>
        </w:rPr>
        <w:t>Hulstijn</w:t>
      </w:r>
      <w:proofErr w:type="spellEnd"/>
      <w:r w:rsidRPr="00D4751A">
        <w:rPr>
          <w:lang w:val="en-US" w:eastAsia="en-US"/>
        </w:rPr>
        <w:t xml:space="preserve">, W., &amp; </w:t>
      </w:r>
      <w:proofErr w:type="spellStart"/>
      <w:r w:rsidRPr="00D4751A">
        <w:rPr>
          <w:lang w:val="en-US" w:eastAsia="en-US"/>
        </w:rPr>
        <w:t>Sabbe</w:t>
      </w:r>
      <w:proofErr w:type="spellEnd"/>
      <w:r w:rsidRPr="00D4751A">
        <w:rPr>
          <w:lang w:val="en-US" w:eastAsia="en-US"/>
        </w:rPr>
        <w:t xml:space="preserve">, B. (2007). Dimensions of impulsive </w:t>
      </w:r>
      <w:proofErr w:type="spellStart"/>
      <w:r w:rsidRPr="00D4751A">
        <w:rPr>
          <w:lang w:val="en-US" w:eastAsia="en-US"/>
        </w:rPr>
        <w:t>behaviour</w:t>
      </w:r>
      <w:proofErr w:type="spellEnd"/>
      <w:r w:rsidRPr="00D4751A">
        <w:rPr>
          <w:lang w:val="en-US" w:eastAsia="en-US"/>
        </w:rPr>
        <w:t xml:space="preserve"> in abstinent alcoholics. </w:t>
      </w:r>
      <w:r w:rsidRPr="00D4751A">
        <w:rPr>
          <w:i/>
          <w:iCs/>
          <w:lang w:val="en-US" w:eastAsia="en-US"/>
        </w:rPr>
        <w:t xml:space="preserve">Personality and Individual </w:t>
      </w:r>
      <w:r w:rsidR="001602E4">
        <w:rPr>
          <w:i/>
          <w:iCs/>
          <w:lang w:val="en-US" w:eastAsia="en-US"/>
        </w:rPr>
        <w:t>D</w:t>
      </w:r>
      <w:r w:rsidRPr="00D4751A">
        <w:rPr>
          <w:i/>
          <w:iCs/>
          <w:lang w:val="en-US" w:eastAsia="en-US"/>
        </w:rPr>
        <w:t>ifferences</w:t>
      </w:r>
      <w:r w:rsidRPr="00D4751A">
        <w:rPr>
          <w:lang w:val="en-US" w:eastAsia="en-US"/>
        </w:rPr>
        <w:t>, </w:t>
      </w:r>
      <w:r w:rsidRPr="00D4751A">
        <w:rPr>
          <w:i/>
          <w:iCs/>
          <w:lang w:val="en-US" w:eastAsia="en-US"/>
        </w:rPr>
        <w:t>42</w:t>
      </w:r>
      <w:r w:rsidRPr="00D4751A">
        <w:rPr>
          <w:lang w:val="en-US" w:eastAsia="en-US"/>
        </w:rPr>
        <w:t>(3), 465-476.</w:t>
      </w:r>
      <w:r w:rsidR="001602E4">
        <w:rPr>
          <w:lang w:val="en-US" w:eastAsia="en-US"/>
        </w:rPr>
        <w:t xml:space="preserve"> </w:t>
      </w:r>
      <w:hyperlink r:id="rId22" w:history="1">
        <w:r w:rsidR="001602E4" w:rsidRPr="00FC382E">
          <w:rPr>
            <w:rStyle w:val="Hipervnculo"/>
            <w:lang w:val="en-US" w:eastAsia="en-US"/>
          </w:rPr>
          <w:t>https://doi.org/10.1016/j.paid.2006.08.007</w:t>
        </w:r>
      </w:hyperlink>
      <w:r w:rsidR="001602E4">
        <w:rPr>
          <w:lang w:val="en-US" w:eastAsia="en-US"/>
        </w:rPr>
        <w:t xml:space="preserve"> </w:t>
      </w:r>
    </w:p>
    <w:p w14:paraId="1AB89767" w14:textId="12C84699" w:rsidR="00D4751A" w:rsidRPr="00D4751A" w:rsidRDefault="00D4751A" w:rsidP="00FC4499">
      <w:pPr>
        <w:widowControl w:val="0"/>
        <w:autoSpaceDE w:val="0"/>
        <w:autoSpaceDN w:val="0"/>
        <w:adjustRightInd w:val="0"/>
        <w:ind w:left="706" w:hanging="706"/>
        <w:rPr>
          <w:lang w:val="pt-BR" w:eastAsia="en-US"/>
        </w:rPr>
      </w:pPr>
      <w:proofErr w:type="spellStart"/>
      <w:r w:rsidRPr="00D4751A">
        <w:rPr>
          <w:lang w:val="pt-BR" w:eastAsia="en-US"/>
        </w:rPr>
        <w:t>Donoghue</w:t>
      </w:r>
      <w:proofErr w:type="spellEnd"/>
      <w:r w:rsidRPr="00D4751A">
        <w:rPr>
          <w:lang w:val="pt-BR" w:eastAsia="en-US"/>
        </w:rPr>
        <w:t xml:space="preserve">, K., Rose, H., </w:t>
      </w:r>
      <w:proofErr w:type="spellStart"/>
      <w:r w:rsidRPr="00D4751A">
        <w:rPr>
          <w:lang w:val="pt-BR" w:eastAsia="en-US"/>
        </w:rPr>
        <w:t>Boniface</w:t>
      </w:r>
      <w:proofErr w:type="spellEnd"/>
      <w:r w:rsidRPr="00D4751A">
        <w:rPr>
          <w:lang w:val="pt-BR" w:eastAsia="en-US"/>
        </w:rPr>
        <w:t xml:space="preserve">, S., </w:t>
      </w:r>
      <w:proofErr w:type="spellStart"/>
      <w:r w:rsidRPr="00D4751A">
        <w:rPr>
          <w:lang w:val="pt-BR" w:eastAsia="en-US"/>
        </w:rPr>
        <w:t>Deluca</w:t>
      </w:r>
      <w:proofErr w:type="spellEnd"/>
      <w:r w:rsidRPr="00D4751A">
        <w:rPr>
          <w:lang w:val="pt-BR" w:eastAsia="en-US"/>
        </w:rPr>
        <w:t xml:space="preserve">, P., </w:t>
      </w:r>
      <w:proofErr w:type="spellStart"/>
      <w:r w:rsidRPr="00D4751A">
        <w:rPr>
          <w:lang w:val="pt-BR" w:eastAsia="en-US"/>
        </w:rPr>
        <w:t>Coulton</w:t>
      </w:r>
      <w:proofErr w:type="spellEnd"/>
      <w:r w:rsidRPr="00D4751A">
        <w:rPr>
          <w:lang w:val="pt-BR" w:eastAsia="en-US"/>
        </w:rPr>
        <w:t xml:space="preserve">, S., Alam, M. F. </w:t>
      </w:r>
      <w:proofErr w:type="spellStart"/>
      <w:r w:rsidRPr="00D4751A">
        <w:rPr>
          <w:lang w:val="pt-BR" w:eastAsia="en-US"/>
        </w:rPr>
        <w:t>Gilvarry</w:t>
      </w:r>
      <w:proofErr w:type="spellEnd"/>
      <w:r w:rsidRPr="00D4751A">
        <w:rPr>
          <w:lang w:val="pt-BR" w:eastAsia="en-US"/>
        </w:rPr>
        <w:t xml:space="preserve">, E., Kaner, E., Lynch, E., </w:t>
      </w:r>
      <w:proofErr w:type="spellStart"/>
      <w:r w:rsidRPr="00D4751A">
        <w:rPr>
          <w:lang w:val="pt-BR" w:eastAsia="en-US"/>
        </w:rPr>
        <w:t>Maconochie</w:t>
      </w:r>
      <w:proofErr w:type="spellEnd"/>
      <w:r w:rsidRPr="00D4751A">
        <w:rPr>
          <w:lang w:val="pt-BR" w:eastAsia="en-US"/>
        </w:rPr>
        <w:t xml:space="preserve">, I., </w:t>
      </w:r>
      <w:proofErr w:type="spellStart"/>
      <w:r w:rsidRPr="00D4751A">
        <w:rPr>
          <w:lang w:val="pt-BR" w:eastAsia="en-US"/>
        </w:rPr>
        <w:t>McArdle</w:t>
      </w:r>
      <w:proofErr w:type="spellEnd"/>
      <w:r w:rsidRPr="00D4751A">
        <w:rPr>
          <w:lang w:val="pt-BR" w:eastAsia="en-US"/>
        </w:rPr>
        <w:t xml:space="preserve">, P., </w:t>
      </w:r>
      <w:proofErr w:type="spellStart"/>
      <w:r w:rsidRPr="00D4751A">
        <w:rPr>
          <w:lang w:val="pt-BR" w:eastAsia="en-US"/>
        </w:rPr>
        <w:t>McGovern</w:t>
      </w:r>
      <w:proofErr w:type="spellEnd"/>
      <w:r w:rsidRPr="00D4751A">
        <w:rPr>
          <w:lang w:val="pt-BR" w:eastAsia="en-US"/>
        </w:rPr>
        <w:t xml:space="preserve">, R., </w:t>
      </w:r>
      <w:proofErr w:type="spellStart"/>
      <w:r w:rsidRPr="00D4751A">
        <w:rPr>
          <w:lang w:val="pt-BR" w:eastAsia="en-US"/>
        </w:rPr>
        <w:t>Newbury-Birch</w:t>
      </w:r>
      <w:proofErr w:type="spellEnd"/>
      <w:r w:rsidRPr="00D4751A">
        <w:rPr>
          <w:lang w:val="pt-BR" w:eastAsia="en-US"/>
        </w:rPr>
        <w:t xml:space="preserve">, D., Patton, R., Phillips, C. J., Phillips, T., Russell, I., </w:t>
      </w:r>
      <w:proofErr w:type="spellStart"/>
      <w:r w:rsidRPr="00D4751A">
        <w:rPr>
          <w:lang w:val="pt-BR" w:eastAsia="en-US"/>
        </w:rPr>
        <w:t>Strang</w:t>
      </w:r>
      <w:proofErr w:type="spellEnd"/>
      <w:r w:rsidRPr="00D4751A">
        <w:rPr>
          <w:lang w:val="pt-BR" w:eastAsia="en-US"/>
        </w:rPr>
        <w:t xml:space="preserve">, J., &amp; Drummond, C. (2017). </w:t>
      </w:r>
      <w:proofErr w:type="spellStart"/>
      <w:r w:rsidRPr="00D4751A">
        <w:rPr>
          <w:lang w:val="pt-BR" w:eastAsia="en-US"/>
        </w:rPr>
        <w:t>Alcohol</w:t>
      </w:r>
      <w:proofErr w:type="spellEnd"/>
      <w:r w:rsidRPr="00D4751A">
        <w:rPr>
          <w:lang w:val="pt-BR" w:eastAsia="en-US"/>
        </w:rPr>
        <w:t xml:space="preserve"> </w:t>
      </w:r>
      <w:proofErr w:type="spellStart"/>
      <w:r w:rsidRPr="00D4751A">
        <w:rPr>
          <w:lang w:val="pt-BR" w:eastAsia="en-US"/>
        </w:rPr>
        <w:t>consumption</w:t>
      </w:r>
      <w:proofErr w:type="spellEnd"/>
      <w:r w:rsidRPr="00D4751A">
        <w:rPr>
          <w:lang w:val="pt-BR" w:eastAsia="en-US"/>
        </w:rPr>
        <w:t xml:space="preserve">, </w:t>
      </w:r>
      <w:proofErr w:type="spellStart"/>
      <w:r w:rsidRPr="00D4751A">
        <w:rPr>
          <w:lang w:val="pt-BR" w:eastAsia="en-US"/>
        </w:rPr>
        <w:t>early-onset</w:t>
      </w:r>
      <w:proofErr w:type="spellEnd"/>
      <w:r w:rsidRPr="00D4751A">
        <w:rPr>
          <w:lang w:val="pt-BR" w:eastAsia="en-US"/>
        </w:rPr>
        <w:t xml:space="preserve"> drinking, </w:t>
      </w:r>
      <w:proofErr w:type="spellStart"/>
      <w:r w:rsidRPr="00D4751A">
        <w:rPr>
          <w:lang w:val="pt-BR" w:eastAsia="en-US"/>
        </w:rPr>
        <w:t>and</w:t>
      </w:r>
      <w:proofErr w:type="spellEnd"/>
      <w:r w:rsidRPr="00D4751A">
        <w:rPr>
          <w:lang w:val="pt-BR" w:eastAsia="en-US"/>
        </w:rPr>
        <w:t xml:space="preserve"> </w:t>
      </w:r>
      <w:proofErr w:type="spellStart"/>
      <w:r w:rsidRPr="00D4751A">
        <w:rPr>
          <w:lang w:val="pt-BR" w:eastAsia="en-US"/>
        </w:rPr>
        <w:t>health-related</w:t>
      </w:r>
      <w:proofErr w:type="spellEnd"/>
      <w:r w:rsidRPr="00D4751A">
        <w:rPr>
          <w:lang w:val="pt-BR" w:eastAsia="en-US"/>
        </w:rPr>
        <w:t xml:space="preserve"> </w:t>
      </w:r>
      <w:proofErr w:type="spellStart"/>
      <w:r w:rsidRPr="00D4751A">
        <w:rPr>
          <w:lang w:val="pt-BR" w:eastAsia="en-US"/>
        </w:rPr>
        <w:t>consequences</w:t>
      </w:r>
      <w:proofErr w:type="spellEnd"/>
      <w:r w:rsidRPr="00D4751A">
        <w:rPr>
          <w:lang w:val="pt-BR" w:eastAsia="en-US"/>
        </w:rPr>
        <w:t xml:space="preserve"> in </w:t>
      </w:r>
      <w:proofErr w:type="spellStart"/>
      <w:r w:rsidRPr="00D4751A">
        <w:rPr>
          <w:lang w:val="pt-BR" w:eastAsia="en-US"/>
        </w:rPr>
        <w:t>adolescents</w:t>
      </w:r>
      <w:proofErr w:type="spellEnd"/>
      <w:r w:rsidRPr="00D4751A">
        <w:rPr>
          <w:lang w:val="pt-BR" w:eastAsia="en-US"/>
        </w:rPr>
        <w:t xml:space="preserve"> </w:t>
      </w:r>
      <w:proofErr w:type="spellStart"/>
      <w:r w:rsidRPr="00D4751A">
        <w:rPr>
          <w:lang w:val="pt-BR" w:eastAsia="en-US"/>
        </w:rPr>
        <w:t>presenting</w:t>
      </w:r>
      <w:proofErr w:type="spellEnd"/>
      <w:r w:rsidRPr="00D4751A">
        <w:rPr>
          <w:lang w:val="pt-BR" w:eastAsia="en-US"/>
        </w:rPr>
        <w:t xml:space="preserve"> </w:t>
      </w:r>
      <w:proofErr w:type="spellStart"/>
      <w:r w:rsidRPr="00D4751A">
        <w:rPr>
          <w:lang w:val="pt-BR" w:eastAsia="en-US"/>
        </w:rPr>
        <w:t>at</w:t>
      </w:r>
      <w:proofErr w:type="spellEnd"/>
      <w:r w:rsidRPr="00D4751A">
        <w:rPr>
          <w:lang w:val="pt-BR" w:eastAsia="en-US"/>
        </w:rPr>
        <w:t xml:space="preserve"> </w:t>
      </w:r>
      <w:proofErr w:type="spellStart"/>
      <w:r w:rsidRPr="00D4751A">
        <w:rPr>
          <w:lang w:val="pt-BR" w:eastAsia="en-US"/>
        </w:rPr>
        <w:t>emergency</w:t>
      </w:r>
      <w:proofErr w:type="spellEnd"/>
      <w:r w:rsidRPr="00D4751A">
        <w:rPr>
          <w:lang w:val="pt-BR" w:eastAsia="en-US"/>
        </w:rPr>
        <w:t xml:space="preserve"> </w:t>
      </w:r>
      <w:proofErr w:type="spellStart"/>
      <w:r w:rsidRPr="00D4751A">
        <w:rPr>
          <w:lang w:val="pt-BR" w:eastAsia="en-US"/>
        </w:rPr>
        <w:t>departments</w:t>
      </w:r>
      <w:proofErr w:type="spellEnd"/>
      <w:r w:rsidRPr="00D4751A">
        <w:rPr>
          <w:lang w:val="pt-BR" w:eastAsia="en-US"/>
        </w:rPr>
        <w:t xml:space="preserve"> in </w:t>
      </w:r>
      <w:proofErr w:type="spellStart"/>
      <w:r w:rsidRPr="00D4751A">
        <w:rPr>
          <w:lang w:val="pt-BR" w:eastAsia="en-US"/>
        </w:rPr>
        <w:t>England</w:t>
      </w:r>
      <w:proofErr w:type="spellEnd"/>
      <w:r w:rsidRPr="00D4751A">
        <w:rPr>
          <w:lang w:val="pt-BR" w:eastAsia="en-US"/>
        </w:rPr>
        <w:t>. </w:t>
      </w:r>
      <w:proofErr w:type="spellStart"/>
      <w:r w:rsidRPr="00D4751A">
        <w:rPr>
          <w:i/>
          <w:iCs/>
          <w:lang w:val="pt-BR" w:eastAsia="en-US"/>
        </w:rPr>
        <w:t>Journal</w:t>
      </w:r>
      <w:proofErr w:type="spellEnd"/>
      <w:r w:rsidRPr="00D4751A">
        <w:rPr>
          <w:i/>
          <w:iCs/>
          <w:lang w:val="pt-BR" w:eastAsia="en-US"/>
        </w:rPr>
        <w:t xml:space="preserve"> </w:t>
      </w:r>
      <w:proofErr w:type="spellStart"/>
      <w:r w:rsidRPr="00D4751A">
        <w:rPr>
          <w:i/>
          <w:iCs/>
          <w:lang w:val="pt-BR" w:eastAsia="en-US"/>
        </w:rPr>
        <w:t>of</w:t>
      </w:r>
      <w:proofErr w:type="spellEnd"/>
      <w:r w:rsidRPr="00D4751A">
        <w:rPr>
          <w:i/>
          <w:iCs/>
          <w:lang w:val="pt-BR" w:eastAsia="en-US"/>
        </w:rPr>
        <w:t xml:space="preserve"> </w:t>
      </w:r>
      <w:proofErr w:type="spellStart"/>
      <w:r w:rsidRPr="00D4751A">
        <w:rPr>
          <w:i/>
          <w:iCs/>
          <w:lang w:val="pt-BR" w:eastAsia="en-US"/>
        </w:rPr>
        <w:t>Adolescent</w:t>
      </w:r>
      <w:proofErr w:type="spellEnd"/>
      <w:r w:rsidRPr="00D4751A">
        <w:rPr>
          <w:i/>
          <w:iCs/>
          <w:lang w:val="pt-BR" w:eastAsia="en-US"/>
        </w:rPr>
        <w:t xml:space="preserve"> Health</w:t>
      </w:r>
      <w:r w:rsidRPr="00D4751A">
        <w:rPr>
          <w:lang w:val="pt-BR" w:eastAsia="en-US"/>
        </w:rPr>
        <w:t>, </w:t>
      </w:r>
      <w:r w:rsidRPr="00D4751A">
        <w:rPr>
          <w:i/>
          <w:iCs/>
          <w:lang w:val="pt-BR" w:eastAsia="en-US"/>
        </w:rPr>
        <w:t>60</w:t>
      </w:r>
      <w:r w:rsidRPr="00D4751A">
        <w:rPr>
          <w:lang w:val="pt-BR" w:eastAsia="en-US"/>
        </w:rPr>
        <w:t>(4), 438-446.</w:t>
      </w:r>
      <w:r w:rsidRPr="00D4751A">
        <w:rPr>
          <w:rFonts w:ascii="Calibri" w:eastAsia="Calibri" w:hAnsi="Calibri"/>
          <w:sz w:val="22"/>
          <w:szCs w:val="22"/>
          <w:lang w:val="pt-BR" w:eastAsia="en-US"/>
        </w:rPr>
        <w:t xml:space="preserve"> </w:t>
      </w:r>
      <w:hyperlink r:id="rId23" w:history="1">
        <w:r w:rsidR="00FB0521" w:rsidRPr="00D4751A">
          <w:rPr>
            <w:rStyle w:val="Hipervnculo"/>
            <w:lang w:val="en-US" w:eastAsia="en-US"/>
          </w:rPr>
          <w:t>https://doi.org/</w:t>
        </w:r>
        <w:r w:rsidR="00FB0521" w:rsidRPr="00D4751A">
          <w:rPr>
            <w:rStyle w:val="Hipervnculo"/>
            <w:lang w:val="pt-BR" w:eastAsia="en-US"/>
          </w:rPr>
          <w:t>10.1016/j.jadohealth.2016.11.017</w:t>
        </w:r>
      </w:hyperlink>
      <w:r w:rsidR="00FB0521">
        <w:rPr>
          <w:lang w:val="pt-BR" w:eastAsia="en-US"/>
        </w:rPr>
        <w:t xml:space="preserve"> </w:t>
      </w:r>
    </w:p>
    <w:p w14:paraId="36950264" w14:textId="4262BF3F" w:rsidR="00D4751A" w:rsidRPr="00D4751A" w:rsidRDefault="00D4751A" w:rsidP="00FC4499">
      <w:pPr>
        <w:widowControl w:val="0"/>
        <w:autoSpaceDE w:val="0"/>
        <w:autoSpaceDN w:val="0"/>
        <w:adjustRightInd w:val="0"/>
        <w:ind w:left="706" w:hanging="706"/>
        <w:rPr>
          <w:lang w:val="en-US" w:eastAsia="en-US"/>
        </w:rPr>
      </w:pPr>
      <w:proofErr w:type="spellStart"/>
      <w:r w:rsidRPr="00D4751A">
        <w:rPr>
          <w:lang w:val="pt-BR" w:eastAsia="en-US"/>
        </w:rPr>
        <w:t>Doumas</w:t>
      </w:r>
      <w:proofErr w:type="spellEnd"/>
      <w:r w:rsidRPr="00D4751A">
        <w:rPr>
          <w:lang w:val="pt-BR" w:eastAsia="en-US"/>
        </w:rPr>
        <w:t xml:space="preserve">, D. M., Miller, R., </w:t>
      </w:r>
      <w:r w:rsidRPr="004C1657">
        <w:rPr>
          <w:lang w:val="es-AR" w:eastAsia="en-US"/>
        </w:rPr>
        <w:t>&amp;</w:t>
      </w:r>
      <w:r w:rsidRPr="00D4751A">
        <w:rPr>
          <w:lang w:val="pt-BR" w:eastAsia="en-US"/>
        </w:rPr>
        <w:t xml:space="preserve"> </w:t>
      </w:r>
      <w:proofErr w:type="spellStart"/>
      <w:r w:rsidRPr="00D4751A">
        <w:rPr>
          <w:lang w:val="pt-BR" w:eastAsia="en-US"/>
        </w:rPr>
        <w:t>Esp</w:t>
      </w:r>
      <w:proofErr w:type="spellEnd"/>
      <w:r w:rsidRPr="00D4751A">
        <w:rPr>
          <w:lang w:val="pt-BR" w:eastAsia="en-US"/>
        </w:rPr>
        <w:t xml:space="preserve">, S. (2017). </w:t>
      </w:r>
      <w:proofErr w:type="spellStart"/>
      <w:r w:rsidRPr="00D4751A">
        <w:rPr>
          <w:lang w:val="pt-BR" w:eastAsia="en-US"/>
        </w:rPr>
        <w:t>Impulsive</w:t>
      </w:r>
      <w:proofErr w:type="spellEnd"/>
      <w:r w:rsidRPr="00D4751A">
        <w:rPr>
          <w:lang w:val="pt-BR" w:eastAsia="en-US"/>
        </w:rPr>
        <w:t xml:space="preserve"> </w:t>
      </w:r>
      <w:proofErr w:type="spellStart"/>
      <w:r w:rsidRPr="00D4751A">
        <w:rPr>
          <w:lang w:val="pt-BR" w:eastAsia="en-US"/>
        </w:rPr>
        <w:t>sensation</w:t>
      </w:r>
      <w:proofErr w:type="spellEnd"/>
      <w:r w:rsidRPr="00D4751A">
        <w:rPr>
          <w:lang w:val="pt-BR" w:eastAsia="en-US"/>
        </w:rPr>
        <w:t xml:space="preserve"> </w:t>
      </w:r>
      <w:proofErr w:type="spellStart"/>
      <w:r w:rsidRPr="00D4751A">
        <w:rPr>
          <w:lang w:val="pt-BR" w:eastAsia="en-US"/>
        </w:rPr>
        <w:t>seeking</w:t>
      </w:r>
      <w:proofErr w:type="spellEnd"/>
      <w:r w:rsidRPr="00D4751A">
        <w:rPr>
          <w:lang w:val="pt-BR" w:eastAsia="en-US"/>
        </w:rPr>
        <w:t xml:space="preserve">, binge drinking, </w:t>
      </w:r>
      <w:proofErr w:type="spellStart"/>
      <w:r w:rsidRPr="00D4751A">
        <w:rPr>
          <w:lang w:val="pt-BR" w:eastAsia="en-US"/>
        </w:rPr>
        <w:t>and</w:t>
      </w:r>
      <w:proofErr w:type="spellEnd"/>
      <w:r w:rsidRPr="00D4751A">
        <w:rPr>
          <w:lang w:val="pt-BR" w:eastAsia="en-US"/>
        </w:rPr>
        <w:t xml:space="preserve"> </w:t>
      </w:r>
      <w:proofErr w:type="spellStart"/>
      <w:r w:rsidRPr="00D4751A">
        <w:rPr>
          <w:lang w:val="pt-BR" w:eastAsia="en-US"/>
        </w:rPr>
        <w:t>alcohol-related</w:t>
      </w:r>
      <w:proofErr w:type="spellEnd"/>
      <w:r w:rsidRPr="00D4751A">
        <w:rPr>
          <w:lang w:val="pt-BR" w:eastAsia="en-US"/>
        </w:rPr>
        <w:t xml:space="preserve"> </w:t>
      </w:r>
      <w:proofErr w:type="spellStart"/>
      <w:r w:rsidRPr="00D4751A">
        <w:rPr>
          <w:lang w:val="pt-BR" w:eastAsia="en-US"/>
        </w:rPr>
        <w:t>consequences</w:t>
      </w:r>
      <w:proofErr w:type="spellEnd"/>
      <w:r w:rsidRPr="00D4751A">
        <w:rPr>
          <w:lang w:val="pt-BR" w:eastAsia="en-US"/>
        </w:rPr>
        <w:t xml:space="preserve">: Do </w:t>
      </w:r>
      <w:proofErr w:type="spellStart"/>
      <w:r w:rsidRPr="00D4751A">
        <w:rPr>
          <w:lang w:val="pt-BR" w:eastAsia="en-US"/>
        </w:rPr>
        <w:t>protective</w:t>
      </w:r>
      <w:proofErr w:type="spellEnd"/>
      <w:r w:rsidRPr="00D4751A">
        <w:rPr>
          <w:lang w:val="pt-BR" w:eastAsia="en-US"/>
        </w:rPr>
        <w:t xml:space="preserve"> </w:t>
      </w:r>
      <w:proofErr w:type="spellStart"/>
      <w:r w:rsidRPr="00D4751A">
        <w:rPr>
          <w:lang w:val="pt-BR" w:eastAsia="en-US"/>
        </w:rPr>
        <w:t>behavioral</w:t>
      </w:r>
      <w:proofErr w:type="spellEnd"/>
      <w:r w:rsidRPr="00D4751A">
        <w:rPr>
          <w:lang w:val="pt-BR" w:eastAsia="en-US"/>
        </w:rPr>
        <w:t xml:space="preserve"> </w:t>
      </w:r>
      <w:proofErr w:type="spellStart"/>
      <w:r w:rsidRPr="00D4751A">
        <w:rPr>
          <w:lang w:val="pt-BR" w:eastAsia="en-US"/>
        </w:rPr>
        <w:t>strategies</w:t>
      </w:r>
      <w:proofErr w:type="spellEnd"/>
      <w:r w:rsidRPr="00D4751A">
        <w:rPr>
          <w:lang w:val="pt-BR" w:eastAsia="en-US"/>
        </w:rPr>
        <w:t xml:space="preserve"> help high </w:t>
      </w:r>
      <w:proofErr w:type="spellStart"/>
      <w:r w:rsidRPr="00D4751A">
        <w:rPr>
          <w:lang w:val="pt-BR" w:eastAsia="en-US"/>
        </w:rPr>
        <w:t>risk</w:t>
      </w:r>
      <w:proofErr w:type="spellEnd"/>
      <w:r w:rsidRPr="00D4751A">
        <w:rPr>
          <w:lang w:val="pt-BR" w:eastAsia="en-US"/>
        </w:rPr>
        <w:t xml:space="preserve"> </w:t>
      </w:r>
      <w:proofErr w:type="spellStart"/>
      <w:proofErr w:type="gramStart"/>
      <w:r w:rsidRPr="00D4751A">
        <w:rPr>
          <w:lang w:val="pt-BR" w:eastAsia="en-US"/>
        </w:rPr>
        <w:t>adolescents</w:t>
      </w:r>
      <w:proofErr w:type="spellEnd"/>
      <w:r w:rsidRPr="00D4751A">
        <w:rPr>
          <w:lang w:val="pt-BR" w:eastAsia="en-US"/>
        </w:rPr>
        <w:t>?.</w:t>
      </w:r>
      <w:proofErr w:type="gramEnd"/>
      <w:r w:rsidRPr="00D4751A">
        <w:rPr>
          <w:lang w:val="pt-BR" w:eastAsia="en-US"/>
        </w:rPr>
        <w:t> </w:t>
      </w:r>
      <w:proofErr w:type="spellStart"/>
      <w:r w:rsidRPr="00D4751A">
        <w:rPr>
          <w:i/>
          <w:iCs/>
          <w:lang w:val="pt-BR" w:eastAsia="en-US"/>
        </w:rPr>
        <w:t>Addictive</w:t>
      </w:r>
      <w:proofErr w:type="spellEnd"/>
      <w:r w:rsidRPr="00D4751A">
        <w:rPr>
          <w:i/>
          <w:iCs/>
          <w:lang w:val="pt-BR" w:eastAsia="en-US"/>
        </w:rPr>
        <w:t xml:space="preserve"> </w:t>
      </w:r>
      <w:proofErr w:type="spellStart"/>
      <w:r w:rsidRPr="00D4751A">
        <w:rPr>
          <w:i/>
          <w:iCs/>
          <w:lang w:val="pt-BR" w:eastAsia="en-US"/>
        </w:rPr>
        <w:t>Behaviors</w:t>
      </w:r>
      <w:proofErr w:type="spellEnd"/>
      <w:r w:rsidRPr="00D4751A">
        <w:rPr>
          <w:lang w:val="pt-BR" w:eastAsia="en-US"/>
        </w:rPr>
        <w:t>, </w:t>
      </w:r>
      <w:r w:rsidRPr="00D4751A">
        <w:rPr>
          <w:i/>
          <w:iCs/>
          <w:lang w:val="pt-BR" w:eastAsia="en-US"/>
        </w:rPr>
        <w:t>64</w:t>
      </w:r>
      <w:r w:rsidRPr="00D4751A">
        <w:rPr>
          <w:lang w:val="pt-BR" w:eastAsia="en-US"/>
        </w:rPr>
        <w:t xml:space="preserve">, 6-12. </w:t>
      </w:r>
      <w:hyperlink r:id="rId24" w:history="1">
        <w:r w:rsidR="00FB0521" w:rsidRPr="00D4751A">
          <w:rPr>
            <w:rStyle w:val="Hipervnculo"/>
            <w:lang w:val="en-US" w:eastAsia="en-US"/>
          </w:rPr>
          <w:t>https://doi.org/</w:t>
        </w:r>
        <w:r w:rsidR="00FB0521" w:rsidRPr="00D4751A">
          <w:rPr>
            <w:rStyle w:val="Hipervnculo"/>
            <w:lang w:val="pt-BR" w:eastAsia="en-US"/>
          </w:rPr>
          <w:t>10.1016/j.addbeh.2016.08.003</w:t>
        </w:r>
      </w:hyperlink>
      <w:r w:rsidR="00FB0521">
        <w:rPr>
          <w:lang w:val="pt-BR" w:eastAsia="en-US"/>
        </w:rPr>
        <w:t xml:space="preserve"> </w:t>
      </w:r>
    </w:p>
    <w:p w14:paraId="0D89841B" w14:textId="2EFFB998" w:rsidR="00D4751A" w:rsidRPr="00D4751A" w:rsidRDefault="00D4751A" w:rsidP="00FC4499">
      <w:pPr>
        <w:widowControl w:val="0"/>
        <w:autoSpaceDE w:val="0"/>
        <w:autoSpaceDN w:val="0"/>
        <w:adjustRightInd w:val="0"/>
        <w:ind w:left="706" w:hanging="706"/>
        <w:rPr>
          <w:lang w:val="en-US" w:eastAsia="en-US"/>
        </w:rPr>
      </w:pPr>
      <w:proofErr w:type="spellStart"/>
      <w:r w:rsidRPr="00D4751A">
        <w:rPr>
          <w:lang w:val="pt-BR" w:eastAsia="en-US"/>
        </w:rPr>
        <w:t>Elkins</w:t>
      </w:r>
      <w:proofErr w:type="spellEnd"/>
      <w:r w:rsidRPr="00D4751A">
        <w:rPr>
          <w:lang w:val="pt-BR" w:eastAsia="en-US"/>
        </w:rPr>
        <w:t xml:space="preserve">, I. J., Saunders, G. R., Malone, S. M., </w:t>
      </w:r>
      <w:proofErr w:type="spellStart"/>
      <w:r w:rsidRPr="00D4751A">
        <w:rPr>
          <w:lang w:val="pt-BR" w:eastAsia="en-US"/>
        </w:rPr>
        <w:t>Keyes</w:t>
      </w:r>
      <w:proofErr w:type="spellEnd"/>
      <w:r w:rsidRPr="00D4751A">
        <w:rPr>
          <w:lang w:val="pt-BR" w:eastAsia="en-US"/>
        </w:rPr>
        <w:t xml:space="preserve">, M. A., </w:t>
      </w:r>
      <w:proofErr w:type="spellStart"/>
      <w:r w:rsidRPr="00D4751A">
        <w:rPr>
          <w:lang w:val="pt-BR" w:eastAsia="en-US"/>
        </w:rPr>
        <w:t>McGue</w:t>
      </w:r>
      <w:proofErr w:type="spellEnd"/>
      <w:r w:rsidRPr="00D4751A">
        <w:rPr>
          <w:lang w:val="pt-BR" w:eastAsia="en-US"/>
        </w:rPr>
        <w:t xml:space="preserve">, M., </w:t>
      </w:r>
      <w:r w:rsidRPr="00D4751A">
        <w:rPr>
          <w:lang w:val="en-US" w:eastAsia="en-US"/>
        </w:rPr>
        <w:t>&amp;</w:t>
      </w:r>
      <w:r w:rsidRPr="00D4751A">
        <w:rPr>
          <w:lang w:val="pt-BR" w:eastAsia="en-US"/>
        </w:rPr>
        <w:t xml:space="preserve"> </w:t>
      </w:r>
      <w:proofErr w:type="spellStart"/>
      <w:r w:rsidRPr="00D4751A">
        <w:rPr>
          <w:lang w:val="pt-BR" w:eastAsia="en-US"/>
        </w:rPr>
        <w:t>Iacono</w:t>
      </w:r>
      <w:proofErr w:type="spellEnd"/>
      <w:r w:rsidRPr="00D4751A">
        <w:rPr>
          <w:lang w:val="pt-BR" w:eastAsia="en-US"/>
        </w:rPr>
        <w:t xml:space="preserve">, W. G. (2018). </w:t>
      </w:r>
      <w:proofErr w:type="spellStart"/>
      <w:r w:rsidRPr="00D4751A">
        <w:rPr>
          <w:lang w:val="pt-BR" w:eastAsia="en-US"/>
        </w:rPr>
        <w:t>Associations</w:t>
      </w:r>
      <w:proofErr w:type="spellEnd"/>
      <w:r w:rsidRPr="00D4751A">
        <w:rPr>
          <w:lang w:val="pt-BR" w:eastAsia="en-US"/>
        </w:rPr>
        <w:t xml:space="preserve"> </w:t>
      </w:r>
      <w:proofErr w:type="spellStart"/>
      <w:r w:rsidRPr="00D4751A">
        <w:rPr>
          <w:lang w:val="pt-BR" w:eastAsia="en-US"/>
        </w:rPr>
        <w:t>between</w:t>
      </w:r>
      <w:proofErr w:type="spellEnd"/>
      <w:r w:rsidRPr="00D4751A">
        <w:rPr>
          <w:lang w:val="pt-BR" w:eastAsia="en-US"/>
        </w:rPr>
        <w:t xml:space="preserve"> </w:t>
      </w:r>
      <w:proofErr w:type="spellStart"/>
      <w:r w:rsidRPr="00D4751A">
        <w:rPr>
          <w:lang w:val="pt-BR" w:eastAsia="en-US"/>
        </w:rPr>
        <w:t>childhood</w:t>
      </w:r>
      <w:proofErr w:type="spellEnd"/>
      <w:r w:rsidRPr="00D4751A">
        <w:rPr>
          <w:lang w:val="pt-BR" w:eastAsia="en-US"/>
        </w:rPr>
        <w:t xml:space="preserve"> ADHD, </w:t>
      </w:r>
      <w:proofErr w:type="spellStart"/>
      <w:r w:rsidRPr="00D4751A">
        <w:rPr>
          <w:lang w:val="pt-BR" w:eastAsia="en-US"/>
        </w:rPr>
        <w:t>gender</w:t>
      </w:r>
      <w:proofErr w:type="spellEnd"/>
      <w:r w:rsidRPr="00D4751A">
        <w:rPr>
          <w:lang w:val="pt-BR" w:eastAsia="en-US"/>
        </w:rPr>
        <w:t xml:space="preserve">, </w:t>
      </w:r>
      <w:proofErr w:type="spellStart"/>
      <w:r w:rsidRPr="00D4751A">
        <w:rPr>
          <w:lang w:val="pt-BR" w:eastAsia="en-US"/>
        </w:rPr>
        <w:t>and</w:t>
      </w:r>
      <w:proofErr w:type="spellEnd"/>
      <w:r w:rsidRPr="00D4751A">
        <w:rPr>
          <w:lang w:val="pt-BR" w:eastAsia="en-US"/>
        </w:rPr>
        <w:t xml:space="preserve"> </w:t>
      </w:r>
      <w:proofErr w:type="spellStart"/>
      <w:r w:rsidRPr="00D4751A">
        <w:rPr>
          <w:lang w:val="pt-BR" w:eastAsia="en-US"/>
        </w:rPr>
        <w:t>adolescent</w:t>
      </w:r>
      <w:proofErr w:type="spellEnd"/>
      <w:r w:rsidRPr="00D4751A">
        <w:rPr>
          <w:lang w:val="pt-BR" w:eastAsia="en-US"/>
        </w:rPr>
        <w:t xml:space="preserve"> </w:t>
      </w:r>
      <w:proofErr w:type="spellStart"/>
      <w:r w:rsidRPr="00D4751A">
        <w:rPr>
          <w:lang w:val="pt-BR" w:eastAsia="en-US"/>
        </w:rPr>
        <w:t>alcohol</w:t>
      </w:r>
      <w:proofErr w:type="spellEnd"/>
      <w:r w:rsidRPr="00D4751A">
        <w:rPr>
          <w:lang w:val="pt-BR" w:eastAsia="en-US"/>
        </w:rPr>
        <w:t xml:space="preserve"> </w:t>
      </w:r>
      <w:proofErr w:type="spellStart"/>
      <w:r w:rsidRPr="00D4751A">
        <w:rPr>
          <w:lang w:val="pt-BR" w:eastAsia="en-US"/>
        </w:rPr>
        <w:t>and</w:t>
      </w:r>
      <w:proofErr w:type="spellEnd"/>
      <w:r w:rsidRPr="00D4751A">
        <w:rPr>
          <w:lang w:val="pt-BR" w:eastAsia="en-US"/>
        </w:rPr>
        <w:t xml:space="preserve"> marijuana </w:t>
      </w:r>
      <w:proofErr w:type="spellStart"/>
      <w:r w:rsidRPr="00D4751A">
        <w:rPr>
          <w:lang w:val="pt-BR" w:eastAsia="en-US"/>
        </w:rPr>
        <w:t>involvement</w:t>
      </w:r>
      <w:proofErr w:type="spellEnd"/>
      <w:r w:rsidRPr="00D4751A">
        <w:rPr>
          <w:lang w:val="pt-BR" w:eastAsia="en-US"/>
        </w:rPr>
        <w:t xml:space="preserve">: A </w:t>
      </w:r>
      <w:proofErr w:type="spellStart"/>
      <w:r w:rsidRPr="00D4751A">
        <w:rPr>
          <w:lang w:val="pt-BR" w:eastAsia="en-US"/>
        </w:rPr>
        <w:t>causally</w:t>
      </w:r>
      <w:proofErr w:type="spellEnd"/>
      <w:r w:rsidRPr="00D4751A">
        <w:rPr>
          <w:lang w:val="pt-BR" w:eastAsia="en-US"/>
        </w:rPr>
        <w:t xml:space="preserve"> </w:t>
      </w:r>
      <w:proofErr w:type="spellStart"/>
      <w:r w:rsidRPr="00D4751A">
        <w:rPr>
          <w:lang w:val="pt-BR" w:eastAsia="en-US"/>
        </w:rPr>
        <w:t>informative</w:t>
      </w:r>
      <w:proofErr w:type="spellEnd"/>
      <w:r w:rsidRPr="00D4751A">
        <w:rPr>
          <w:lang w:val="pt-BR" w:eastAsia="en-US"/>
        </w:rPr>
        <w:t xml:space="preserve"> design. </w:t>
      </w:r>
      <w:proofErr w:type="spellStart"/>
      <w:r w:rsidRPr="00D4751A">
        <w:rPr>
          <w:i/>
          <w:iCs/>
          <w:lang w:val="pt-BR" w:eastAsia="en-US"/>
        </w:rPr>
        <w:t>Drug</w:t>
      </w:r>
      <w:proofErr w:type="spellEnd"/>
      <w:r w:rsidRPr="00D4751A">
        <w:rPr>
          <w:i/>
          <w:iCs/>
          <w:lang w:val="pt-BR" w:eastAsia="en-US"/>
        </w:rPr>
        <w:t xml:space="preserve"> </w:t>
      </w:r>
      <w:proofErr w:type="spellStart"/>
      <w:r w:rsidRPr="00D4751A">
        <w:rPr>
          <w:i/>
          <w:iCs/>
          <w:lang w:val="pt-BR" w:eastAsia="en-US"/>
        </w:rPr>
        <w:t>and</w:t>
      </w:r>
      <w:proofErr w:type="spellEnd"/>
      <w:r w:rsidRPr="00D4751A">
        <w:rPr>
          <w:i/>
          <w:iCs/>
          <w:lang w:val="pt-BR" w:eastAsia="en-US"/>
        </w:rPr>
        <w:t xml:space="preserve"> </w:t>
      </w:r>
      <w:proofErr w:type="spellStart"/>
      <w:r w:rsidRPr="00D4751A">
        <w:rPr>
          <w:i/>
          <w:iCs/>
          <w:lang w:val="pt-BR" w:eastAsia="en-US"/>
        </w:rPr>
        <w:t>Alcohol</w:t>
      </w:r>
      <w:proofErr w:type="spellEnd"/>
      <w:r w:rsidRPr="00D4751A">
        <w:rPr>
          <w:i/>
          <w:iCs/>
          <w:lang w:val="pt-BR" w:eastAsia="en-US"/>
        </w:rPr>
        <w:t xml:space="preserve"> </w:t>
      </w:r>
      <w:proofErr w:type="spellStart"/>
      <w:r w:rsidRPr="00D4751A">
        <w:rPr>
          <w:i/>
          <w:iCs/>
          <w:lang w:val="pt-BR" w:eastAsia="en-US"/>
        </w:rPr>
        <w:t>Dependence</w:t>
      </w:r>
      <w:proofErr w:type="spellEnd"/>
      <w:r w:rsidRPr="00D4751A">
        <w:rPr>
          <w:lang w:val="pt-BR" w:eastAsia="en-US"/>
        </w:rPr>
        <w:t>, </w:t>
      </w:r>
      <w:r w:rsidRPr="00D4751A">
        <w:rPr>
          <w:i/>
          <w:iCs/>
          <w:lang w:val="pt-BR" w:eastAsia="en-US"/>
        </w:rPr>
        <w:t>184</w:t>
      </w:r>
      <w:r w:rsidRPr="00D4751A">
        <w:rPr>
          <w:lang w:val="pt-BR" w:eastAsia="en-US"/>
        </w:rPr>
        <w:t>, 33-41.</w:t>
      </w:r>
      <w:r w:rsidR="008F76E3">
        <w:rPr>
          <w:lang w:val="pt-BR" w:eastAsia="en-US"/>
        </w:rPr>
        <w:t xml:space="preserve"> </w:t>
      </w:r>
      <w:hyperlink r:id="rId25" w:history="1">
        <w:r w:rsidR="008F76E3" w:rsidRPr="00FC382E">
          <w:rPr>
            <w:rStyle w:val="Hipervnculo"/>
            <w:lang w:val="pt-BR" w:eastAsia="en-US"/>
          </w:rPr>
          <w:t>https://doi.org/10.1016/j.drugalcdep.2017.11.011</w:t>
        </w:r>
      </w:hyperlink>
      <w:r w:rsidR="008F76E3">
        <w:rPr>
          <w:lang w:val="pt-BR" w:eastAsia="en-US"/>
        </w:rPr>
        <w:t xml:space="preserve"> </w:t>
      </w:r>
    </w:p>
    <w:p w14:paraId="6F9DC81D" w14:textId="123125EC" w:rsidR="00D4751A" w:rsidRPr="00D4751A" w:rsidRDefault="00D4751A" w:rsidP="00FC4499">
      <w:pPr>
        <w:widowControl w:val="0"/>
        <w:autoSpaceDE w:val="0"/>
        <w:autoSpaceDN w:val="0"/>
        <w:adjustRightInd w:val="0"/>
        <w:ind w:left="706" w:hanging="706"/>
        <w:rPr>
          <w:lang w:val="en-US" w:eastAsia="en-US"/>
        </w:rPr>
      </w:pPr>
      <w:proofErr w:type="spellStart"/>
      <w:r w:rsidRPr="00D4751A">
        <w:rPr>
          <w:lang w:val="en-US" w:eastAsia="en-US"/>
        </w:rPr>
        <w:t>Fernie</w:t>
      </w:r>
      <w:proofErr w:type="spellEnd"/>
      <w:r w:rsidRPr="00D4751A">
        <w:rPr>
          <w:lang w:val="en-US" w:eastAsia="en-US"/>
        </w:rPr>
        <w:t xml:space="preserve">, G., </w:t>
      </w:r>
      <w:proofErr w:type="spellStart"/>
      <w:r w:rsidRPr="00D4751A">
        <w:rPr>
          <w:lang w:val="en-US" w:eastAsia="en-US"/>
        </w:rPr>
        <w:t>Peeters</w:t>
      </w:r>
      <w:proofErr w:type="spellEnd"/>
      <w:r w:rsidRPr="00D4751A">
        <w:rPr>
          <w:lang w:val="en-US" w:eastAsia="en-US"/>
        </w:rPr>
        <w:t xml:space="preserve">, M., </w:t>
      </w:r>
      <w:proofErr w:type="spellStart"/>
      <w:r w:rsidRPr="00D4751A">
        <w:rPr>
          <w:lang w:val="en-US" w:eastAsia="en-US"/>
        </w:rPr>
        <w:t>Gullo</w:t>
      </w:r>
      <w:proofErr w:type="spellEnd"/>
      <w:r w:rsidRPr="00D4751A">
        <w:rPr>
          <w:lang w:val="en-US" w:eastAsia="en-US"/>
        </w:rPr>
        <w:t xml:space="preserve">, M., Christiansen, P., Cole, J., </w:t>
      </w:r>
      <w:proofErr w:type="spellStart"/>
      <w:r w:rsidRPr="00D4751A">
        <w:rPr>
          <w:lang w:val="en-US" w:eastAsia="en-US"/>
        </w:rPr>
        <w:t>Sumnall</w:t>
      </w:r>
      <w:proofErr w:type="spellEnd"/>
      <w:r w:rsidRPr="00D4751A">
        <w:rPr>
          <w:lang w:val="en-US" w:eastAsia="en-US"/>
        </w:rPr>
        <w:t xml:space="preserve">, H., &amp; Field, M. (2013). Multiple </w:t>
      </w:r>
      <w:proofErr w:type="spellStart"/>
      <w:r w:rsidRPr="00D4751A">
        <w:rPr>
          <w:lang w:val="en-US" w:eastAsia="en-US"/>
        </w:rPr>
        <w:t>behavioural</w:t>
      </w:r>
      <w:proofErr w:type="spellEnd"/>
      <w:r w:rsidRPr="00D4751A">
        <w:rPr>
          <w:lang w:val="en-US" w:eastAsia="en-US"/>
        </w:rPr>
        <w:t xml:space="preserve"> impulsivity tasks predict prospective alcohol involvement in adolescents. </w:t>
      </w:r>
      <w:r w:rsidRPr="00D4751A">
        <w:rPr>
          <w:i/>
          <w:lang w:val="en-US" w:eastAsia="en-US"/>
        </w:rPr>
        <w:t>Addiction, 108</w:t>
      </w:r>
      <w:r w:rsidRPr="00D4751A">
        <w:rPr>
          <w:lang w:val="en-US" w:eastAsia="en-US"/>
        </w:rPr>
        <w:t>, 1916–1923.</w:t>
      </w:r>
      <w:r w:rsidR="008F76E3">
        <w:rPr>
          <w:lang w:val="en-US" w:eastAsia="en-US"/>
        </w:rPr>
        <w:t xml:space="preserve"> </w:t>
      </w:r>
      <w:hyperlink r:id="rId26" w:history="1">
        <w:r w:rsidR="008F76E3" w:rsidRPr="00FC382E">
          <w:rPr>
            <w:rStyle w:val="Hipervnculo"/>
            <w:lang w:val="en-US" w:eastAsia="en-US"/>
          </w:rPr>
          <w:t>https://doi.org/10.1111/add.12283</w:t>
        </w:r>
      </w:hyperlink>
      <w:r w:rsidR="008F76E3">
        <w:rPr>
          <w:lang w:val="en-US" w:eastAsia="en-US"/>
        </w:rPr>
        <w:t xml:space="preserve"> </w:t>
      </w:r>
    </w:p>
    <w:p w14:paraId="1312E53E" w14:textId="00A03764" w:rsidR="00D4751A" w:rsidRPr="00D4751A" w:rsidRDefault="00D4751A" w:rsidP="00FC4499">
      <w:pPr>
        <w:widowControl w:val="0"/>
        <w:autoSpaceDE w:val="0"/>
        <w:autoSpaceDN w:val="0"/>
        <w:adjustRightInd w:val="0"/>
        <w:ind w:left="706" w:hanging="706"/>
        <w:rPr>
          <w:lang w:val="en-US" w:eastAsia="en-US"/>
        </w:rPr>
      </w:pPr>
      <w:r w:rsidRPr="00D4751A">
        <w:rPr>
          <w:lang w:val="en-US" w:eastAsia="en-US"/>
        </w:rPr>
        <w:t xml:space="preserve">Grant, D., &amp; Berg, E. (1948). A behavioral analysis of degree of reinforcement and ease of shifting to new responses in a </w:t>
      </w:r>
      <w:proofErr w:type="spellStart"/>
      <w:r w:rsidRPr="00D4751A">
        <w:rPr>
          <w:lang w:val="en-US" w:eastAsia="en-US"/>
        </w:rPr>
        <w:t>Weigl</w:t>
      </w:r>
      <w:proofErr w:type="spellEnd"/>
      <w:r w:rsidRPr="00D4751A">
        <w:rPr>
          <w:lang w:val="en-US" w:eastAsia="en-US"/>
        </w:rPr>
        <w:t xml:space="preserve">-type card-sorting problem. </w:t>
      </w:r>
      <w:r w:rsidRPr="00D4751A">
        <w:rPr>
          <w:i/>
          <w:lang w:val="en-US" w:eastAsia="en-US"/>
        </w:rPr>
        <w:t>Journal of Experimental Psychology, 38</w:t>
      </w:r>
      <w:r w:rsidRPr="00D4751A">
        <w:rPr>
          <w:iCs/>
          <w:lang w:val="en-US" w:eastAsia="en-US"/>
        </w:rPr>
        <w:t>(4)</w:t>
      </w:r>
      <w:r w:rsidRPr="00D4751A">
        <w:rPr>
          <w:lang w:val="en-US" w:eastAsia="en-US"/>
        </w:rPr>
        <w:t>, 404-411.</w:t>
      </w:r>
      <w:r w:rsidR="008F76E3">
        <w:rPr>
          <w:lang w:val="en-US" w:eastAsia="en-US"/>
        </w:rPr>
        <w:t xml:space="preserve"> </w:t>
      </w:r>
      <w:hyperlink r:id="rId27" w:history="1">
        <w:r w:rsidR="008F76E3" w:rsidRPr="00FC382E">
          <w:rPr>
            <w:rStyle w:val="Hipervnculo"/>
            <w:lang w:val="en-US" w:eastAsia="en-US"/>
          </w:rPr>
          <w:t>https://doi.org/10.1037/h0059831</w:t>
        </w:r>
      </w:hyperlink>
      <w:r w:rsidR="008F76E3">
        <w:rPr>
          <w:lang w:val="en-US" w:eastAsia="en-US"/>
        </w:rPr>
        <w:t xml:space="preserve"> </w:t>
      </w:r>
    </w:p>
    <w:p w14:paraId="56F133CB" w14:textId="5CB2B0DD" w:rsidR="00D4751A" w:rsidRPr="00D4751A" w:rsidRDefault="00D4751A" w:rsidP="00FC4499">
      <w:pPr>
        <w:widowControl w:val="0"/>
        <w:autoSpaceDE w:val="0"/>
        <w:autoSpaceDN w:val="0"/>
        <w:adjustRightInd w:val="0"/>
        <w:ind w:left="706" w:hanging="706"/>
        <w:rPr>
          <w:lang w:val="en-US" w:eastAsia="en-US"/>
        </w:rPr>
      </w:pPr>
      <w:r w:rsidRPr="00D4751A">
        <w:rPr>
          <w:lang w:val="en-US" w:eastAsia="en-US"/>
        </w:rPr>
        <w:t xml:space="preserve">Gunn, R., &amp; Smith, G. (2010). Risk factors for elementary school drinking: Pubertal status, personality, and alcohol expectancies concurrently predict fifth grade alcohol consumption. </w:t>
      </w:r>
      <w:r w:rsidRPr="00D4751A">
        <w:rPr>
          <w:i/>
          <w:iCs/>
          <w:lang w:val="en-US" w:eastAsia="en-US"/>
        </w:rPr>
        <w:t>Psychology of Addictive Behaviors, 24</w:t>
      </w:r>
      <w:r w:rsidRPr="00D4751A">
        <w:rPr>
          <w:lang w:val="en-US" w:eastAsia="en-US"/>
        </w:rPr>
        <w:t xml:space="preserve">(4), 617-627. </w:t>
      </w:r>
      <w:hyperlink r:id="rId28" w:history="1">
        <w:r w:rsidR="00FB0521" w:rsidRPr="00D4751A">
          <w:rPr>
            <w:rStyle w:val="Hipervnculo"/>
            <w:lang w:val="en-US" w:eastAsia="en-US"/>
          </w:rPr>
          <w:t>https://doi.org/10.1037/a0020334</w:t>
        </w:r>
      </w:hyperlink>
      <w:r w:rsidR="00FB0521">
        <w:rPr>
          <w:lang w:val="en-US" w:eastAsia="en-US"/>
        </w:rPr>
        <w:t xml:space="preserve"> </w:t>
      </w:r>
    </w:p>
    <w:p w14:paraId="7E5CDC64" w14:textId="3567AB13" w:rsidR="00D4751A" w:rsidRPr="00D4751A" w:rsidRDefault="00D4751A" w:rsidP="00FC4499">
      <w:pPr>
        <w:widowControl w:val="0"/>
        <w:autoSpaceDE w:val="0"/>
        <w:autoSpaceDN w:val="0"/>
        <w:adjustRightInd w:val="0"/>
        <w:ind w:left="709" w:hanging="709"/>
        <w:rPr>
          <w:lang w:val="en-US" w:eastAsia="en-US"/>
        </w:rPr>
      </w:pPr>
      <w:r w:rsidRPr="00D4751A">
        <w:rPr>
          <w:lang w:val="en-US" w:eastAsia="en-US"/>
        </w:rPr>
        <w:t>Harden, K. P., &amp; Tucker-</w:t>
      </w:r>
      <w:proofErr w:type="spellStart"/>
      <w:r w:rsidRPr="00D4751A">
        <w:rPr>
          <w:lang w:val="en-US" w:eastAsia="en-US"/>
        </w:rPr>
        <w:t>Drob</w:t>
      </w:r>
      <w:proofErr w:type="spellEnd"/>
      <w:r w:rsidRPr="00D4751A">
        <w:rPr>
          <w:lang w:val="en-US" w:eastAsia="en-US"/>
        </w:rPr>
        <w:t>, E. M. (2011). Individual differences in the development of sensation seeking and impulsivity during adolescence: further evidence for a dual systems model. </w:t>
      </w:r>
      <w:r w:rsidRPr="00D4751A">
        <w:rPr>
          <w:i/>
          <w:iCs/>
          <w:lang w:val="en-US" w:eastAsia="en-US"/>
        </w:rPr>
        <w:t>Developmental Psychology</w:t>
      </w:r>
      <w:r w:rsidRPr="00D4751A">
        <w:rPr>
          <w:lang w:val="en-US" w:eastAsia="en-US"/>
        </w:rPr>
        <w:t>, </w:t>
      </w:r>
      <w:r w:rsidRPr="00D4751A">
        <w:rPr>
          <w:i/>
          <w:iCs/>
          <w:lang w:val="en-US" w:eastAsia="en-US"/>
        </w:rPr>
        <w:t>47</w:t>
      </w:r>
      <w:r w:rsidRPr="00D4751A">
        <w:rPr>
          <w:lang w:val="en-US" w:eastAsia="en-US"/>
        </w:rPr>
        <w:t xml:space="preserve">(3), 739-746. </w:t>
      </w:r>
      <w:hyperlink r:id="rId29" w:history="1">
        <w:r w:rsidR="00FB0521" w:rsidRPr="00D4751A">
          <w:rPr>
            <w:rStyle w:val="Hipervnculo"/>
            <w:lang w:val="en-US" w:eastAsia="en-US"/>
          </w:rPr>
          <w:t>https://doi.org/10.1037/a0023279</w:t>
        </w:r>
      </w:hyperlink>
      <w:r w:rsidR="00FB0521">
        <w:rPr>
          <w:lang w:val="en-US" w:eastAsia="en-US"/>
        </w:rPr>
        <w:t xml:space="preserve"> </w:t>
      </w:r>
      <w:r w:rsidRPr="00D4751A">
        <w:rPr>
          <w:lang w:val="en-US" w:eastAsia="en-US"/>
        </w:rPr>
        <w:t xml:space="preserve"> </w:t>
      </w:r>
      <w:r w:rsidR="00FB0521">
        <w:rPr>
          <w:lang w:val="en-US" w:eastAsia="en-US"/>
        </w:rPr>
        <w:t xml:space="preserve"> </w:t>
      </w:r>
    </w:p>
    <w:p w14:paraId="4B7FECE0" w14:textId="77777777" w:rsidR="00D4751A" w:rsidRPr="00D4751A" w:rsidRDefault="00D4751A" w:rsidP="00FC4499">
      <w:pPr>
        <w:widowControl w:val="0"/>
        <w:autoSpaceDE w:val="0"/>
        <w:autoSpaceDN w:val="0"/>
        <w:adjustRightInd w:val="0"/>
        <w:ind w:left="709" w:hanging="709"/>
        <w:rPr>
          <w:lang w:val="en-US" w:eastAsia="en-US"/>
        </w:rPr>
      </w:pPr>
      <w:r w:rsidRPr="00D4751A">
        <w:rPr>
          <w:lang w:val="en-US" w:eastAsia="en-US"/>
        </w:rPr>
        <w:t xml:space="preserve">Heaton, R., </w:t>
      </w:r>
      <w:proofErr w:type="spellStart"/>
      <w:r w:rsidRPr="00D4751A">
        <w:rPr>
          <w:lang w:val="en-US" w:eastAsia="en-US"/>
        </w:rPr>
        <w:t>Chelune</w:t>
      </w:r>
      <w:proofErr w:type="spellEnd"/>
      <w:r w:rsidRPr="00D4751A">
        <w:rPr>
          <w:lang w:val="en-US" w:eastAsia="en-US"/>
        </w:rPr>
        <w:t xml:space="preserve">, G., Talley, J., Kay, G., &amp; Curtiss, G. (1993). </w:t>
      </w:r>
      <w:r w:rsidRPr="00D4751A">
        <w:rPr>
          <w:i/>
          <w:lang w:val="en-US" w:eastAsia="en-US"/>
        </w:rPr>
        <w:t>Wisconsin Card Sorting Test Manual: Revised and expanded</w:t>
      </w:r>
      <w:r w:rsidRPr="00D4751A">
        <w:rPr>
          <w:lang w:val="en-US" w:eastAsia="en-US"/>
        </w:rPr>
        <w:t>. Odessa: Psychological Assessment Resources Inc.</w:t>
      </w:r>
    </w:p>
    <w:p w14:paraId="05AF33A8" w14:textId="1B43CC64" w:rsidR="00D4751A" w:rsidRPr="00D4751A" w:rsidRDefault="00D4751A" w:rsidP="00FC4499">
      <w:pPr>
        <w:widowControl w:val="0"/>
        <w:autoSpaceDE w:val="0"/>
        <w:autoSpaceDN w:val="0"/>
        <w:adjustRightInd w:val="0"/>
        <w:ind w:left="709" w:hanging="709"/>
        <w:rPr>
          <w:lang w:val="es-AR" w:eastAsia="en-US"/>
        </w:rPr>
      </w:pPr>
      <w:r w:rsidRPr="00D4751A">
        <w:rPr>
          <w:lang w:val="en-US" w:eastAsia="en-US"/>
        </w:rPr>
        <w:t xml:space="preserve">Henrich, J., Heine, S., &amp; </w:t>
      </w:r>
      <w:proofErr w:type="spellStart"/>
      <w:r w:rsidRPr="00D4751A">
        <w:rPr>
          <w:lang w:val="en-US" w:eastAsia="en-US"/>
        </w:rPr>
        <w:t>Norenzayan</w:t>
      </w:r>
      <w:proofErr w:type="spellEnd"/>
      <w:r w:rsidRPr="00D4751A">
        <w:rPr>
          <w:lang w:val="en-US" w:eastAsia="en-US"/>
        </w:rPr>
        <w:t xml:space="preserve">, A. (2010). Most people are not WEIRD. </w:t>
      </w:r>
      <w:proofErr w:type="spellStart"/>
      <w:r w:rsidRPr="00D4751A">
        <w:rPr>
          <w:i/>
          <w:lang w:val="es-AR" w:eastAsia="en-US"/>
        </w:rPr>
        <w:t>Nature</w:t>
      </w:r>
      <w:proofErr w:type="spellEnd"/>
      <w:r w:rsidRPr="00D4751A">
        <w:rPr>
          <w:i/>
          <w:lang w:val="es-AR" w:eastAsia="en-US"/>
        </w:rPr>
        <w:t>, 466</w:t>
      </w:r>
      <w:r w:rsidRPr="00D4751A">
        <w:rPr>
          <w:lang w:val="es-AR" w:eastAsia="en-US"/>
        </w:rPr>
        <w:t>, 29.</w:t>
      </w:r>
      <w:r w:rsidR="008F76E3">
        <w:rPr>
          <w:lang w:val="es-AR" w:eastAsia="en-US"/>
        </w:rPr>
        <w:t xml:space="preserve"> </w:t>
      </w:r>
      <w:hyperlink r:id="rId30" w:history="1">
        <w:r w:rsidR="008F76E3" w:rsidRPr="00FC382E">
          <w:rPr>
            <w:rStyle w:val="Hipervnculo"/>
            <w:lang w:val="es-AR" w:eastAsia="en-US"/>
          </w:rPr>
          <w:t>https://doi.org/10.1038/466029a</w:t>
        </w:r>
      </w:hyperlink>
      <w:r w:rsidR="008F76E3">
        <w:rPr>
          <w:lang w:val="es-AR" w:eastAsia="en-US"/>
        </w:rPr>
        <w:t xml:space="preserve"> </w:t>
      </w:r>
    </w:p>
    <w:p w14:paraId="2D5D6530" w14:textId="6C34A58D" w:rsidR="00D4751A" w:rsidRPr="00D4751A" w:rsidRDefault="00D4751A" w:rsidP="00FC4499">
      <w:pPr>
        <w:autoSpaceDE w:val="0"/>
        <w:autoSpaceDN w:val="0"/>
        <w:adjustRightInd w:val="0"/>
        <w:ind w:left="742" w:hangingChars="309" w:hanging="742"/>
        <w:rPr>
          <w:rFonts w:eastAsia="Calibri"/>
          <w:shd w:val="clear" w:color="auto" w:fill="FFFFFF"/>
          <w:lang w:val="pt-BR" w:eastAsia="en-US"/>
        </w:rPr>
      </w:pPr>
      <w:proofErr w:type="spellStart"/>
      <w:r w:rsidRPr="00D4751A">
        <w:rPr>
          <w:rFonts w:eastAsia="Calibri"/>
          <w:shd w:val="clear" w:color="auto" w:fill="FFFFFF"/>
          <w:lang w:val="pt-BR" w:eastAsia="en-US"/>
        </w:rPr>
        <w:t>Honorable</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Congreso</w:t>
      </w:r>
      <w:proofErr w:type="spellEnd"/>
      <w:r w:rsidRPr="00D4751A">
        <w:rPr>
          <w:rFonts w:eastAsia="Calibri"/>
          <w:shd w:val="clear" w:color="auto" w:fill="FFFFFF"/>
          <w:lang w:val="pt-BR" w:eastAsia="en-US"/>
        </w:rPr>
        <w:t xml:space="preserve"> de </w:t>
      </w:r>
      <w:proofErr w:type="spellStart"/>
      <w:r w:rsidRPr="00D4751A">
        <w:rPr>
          <w:rFonts w:eastAsia="Calibri"/>
          <w:shd w:val="clear" w:color="auto" w:fill="FFFFFF"/>
          <w:lang w:val="pt-BR" w:eastAsia="en-US"/>
        </w:rPr>
        <w:t>la</w:t>
      </w:r>
      <w:proofErr w:type="spellEnd"/>
      <w:r w:rsidRPr="00D4751A">
        <w:rPr>
          <w:rFonts w:eastAsia="Calibri"/>
          <w:shd w:val="clear" w:color="auto" w:fill="FFFFFF"/>
          <w:lang w:val="pt-BR" w:eastAsia="en-US"/>
        </w:rPr>
        <w:t xml:space="preserve"> Nación Argentina (2000). </w:t>
      </w:r>
      <w:proofErr w:type="spellStart"/>
      <w:r w:rsidRPr="00D4751A">
        <w:rPr>
          <w:rFonts w:eastAsia="Calibri"/>
          <w:i/>
          <w:iCs/>
          <w:shd w:val="clear" w:color="auto" w:fill="FFFFFF"/>
          <w:lang w:val="pt-BR" w:eastAsia="en-US"/>
        </w:rPr>
        <w:t>Ley</w:t>
      </w:r>
      <w:proofErr w:type="spellEnd"/>
      <w:r w:rsidRPr="00D4751A">
        <w:rPr>
          <w:rFonts w:eastAsia="Calibri"/>
          <w:i/>
          <w:iCs/>
          <w:shd w:val="clear" w:color="auto" w:fill="FFFFFF"/>
          <w:lang w:val="pt-BR" w:eastAsia="en-US"/>
        </w:rPr>
        <w:t xml:space="preserve"> 25326: </w:t>
      </w:r>
      <w:proofErr w:type="spellStart"/>
      <w:r w:rsidRPr="00D4751A">
        <w:rPr>
          <w:rFonts w:eastAsia="Calibri"/>
          <w:i/>
          <w:iCs/>
          <w:shd w:val="clear" w:color="auto" w:fill="FFFFFF"/>
          <w:lang w:val="pt-BR" w:eastAsia="en-US"/>
        </w:rPr>
        <w:t>Protección</w:t>
      </w:r>
      <w:proofErr w:type="spellEnd"/>
      <w:r w:rsidRPr="00D4751A">
        <w:rPr>
          <w:rFonts w:eastAsia="Calibri"/>
          <w:i/>
          <w:iCs/>
          <w:shd w:val="clear" w:color="auto" w:fill="FFFFFF"/>
          <w:lang w:val="pt-BR" w:eastAsia="en-US"/>
        </w:rPr>
        <w:t xml:space="preserve"> de </w:t>
      </w:r>
      <w:proofErr w:type="spellStart"/>
      <w:r w:rsidRPr="00D4751A">
        <w:rPr>
          <w:rFonts w:eastAsia="Calibri"/>
          <w:i/>
          <w:iCs/>
          <w:shd w:val="clear" w:color="auto" w:fill="FFFFFF"/>
          <w:lang w:val="pt-BR" w:eastAsia="en-US"/>
        </w:rPr>
        <w:t>datos</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personales</w:t>
      </w:r>
      <w:proofErr w:type="spellEnd"/>
      <w:r w:rsidRPr="00D4751A">
        <w:rPr>
          <w:rFonts w:eastAsia="Calibri"/>
          <w:shd w:val="clear" w:color="auto" w:fill="FFFFFF"/>
          <w:lang w:val="pt-BR" w:eastAsia="en-US"/>
        </w:rPr>
        <w:t xml:space="preserve">. Recuperado de: </w:t>
      </w:r>
      <w:hyperlink r:id="rId31" w:history="1">
        <w:r w:rsidR="00FB0521" w:rsidRPr="00D4751A">
          <w:rPr>
            <w:rStyle w:val="Hipervnculo"/>
            <w:rFonts w:eastAsia="Calibri"/>
            <w:shd w:val="clear" w:color="auto" w:fill="FFFFFF"/>
            <w:lang w:val="pt-BR" w:eastAsia="en-US"/>
          </w:rPr>
          <w:t>https://www.argentina.gob.ar/normativa/nacional/ley-25326-64790</w:t>
        </w:r>
      </w:hyperlink>
      <w:r w:rsidR="00FB0521">
        <w:rPr>
          <w:rFonts w:eastAsia="Calibri"/>
          <w:shd w:val="clear" w:color="auto" w:fill="FFFFFF"/>
          <w:lang w:val="pt-BR" w:eastAsia="en-US"/>
        </w:rPr>
        <w:t xml:space="preserve"> </w:t>
      </w:r>
    </w:p>
    <w:p w14:paraId="5EF295D2" w14:textId="77777777" w:rsidR="00D4751A" w:rsidRPr="00DE7EB8" w:rsidRDefault="00D4751A" w:rsidP="00FC4499">
      <w:pPr>
        <w:ind w:left="720" w:hanging="720"/>
        <w:rPr>
          <w:lang w:val="en-US"/>
        </w:rPr>
      </w:pPr>
      <w:r w:rsidRPr="00DE7EB8">
        <w:rPr>
          <w:lang w:val="en-US"/>
        </w:rPr>
        <w:t xml:space="preserve">IAAP &amp; </w:t>
      </w:r>
      <w:proofErr w:type="spellStart"/>
      <w:r w:rsidRPr="00DE7EB8">
        <w:rPr>
          <w:lang w:val="en-US"/>
        </w:rPr>
        <w:t>IUPsyS</w:t>
      </w:r>
      <w:proofErr w:type="spellEnd"/>
      <w:r w:rsidRPr="00DE7EB8">
        <w:rPr>
          <w:lang w:val="en-US"/>
        </w:rPr>
        <w:t xml:space="preserve"> (2008). Universal Declaration of Ethical Principles for Psychologists. </w:t>
      </w:r>
      <w:r>
        <w:rPr>
          <w:lang w:val="en-US"/>
        </w:rPr>
        <w:t xml:space="preserve">Disponible </w:t>
      </w:r>
      <w:proofErr w:type="spellStart"/>
      <w:r>
        <w:rPr>
          <w:lang w:val="en-US"/>
        </w:rPr>
        <w:t>en</w:t>
      </w:r>
      <w:proofErr w:type="spellEnd"/>
      <w:r>
        <w:rPr>
          <w:lang w:val="en-US"/>
        </w:rPr>
        <w:t xml:space="preserve"> </w:t>
      </w:r>
      <w:r w:rsidRPr="00DE7EB8">
        <w:rPr>
          <w:lang w:val="en-US"/>
        </w:rPr>
        <w:t xml:space="preserve">the International Union of Psychological Science Web site: </w:t>
      </w:r>
      <w:hyperlink r:id="rId32" w:history="1">
        <w:r w:rsidRPr="00DE7EB8">
          <w:rPr>
            <w:rStyle w:val="Hipervnculo"/>
            <w:lang w:val="en-US"/>
          </w:rPr>
          <w:t>https://www.iupsys.net/about/governance/universal-declaration-of-ethical-principles-for-psychologists.html</w:t>
        </w:r>
      </w:hyperlink>
      <w:r w:rsidRPr="00DE7EB8">
        <w:rPr>
          <w:lang w:val="en-US"/>
        </w:rPr>
        <w:t xml:space="preserve"> </w:t>
      </w:r>
    </w:p>
    <w:p w14:paraId="72FF9BE8" w14:textId="71A016A9" w:rsidR="00D4751A" w:rsidRPr="00D4751A" w:rsidRDefault="00D4751A" w:rsidP="00FC4499">
      <w:pPr>
        <w:autoSpaceDE w:val="0"/>
        <w:autoSpaceDN w:val="0"/>
        <w:adjustRightInd w:val="0"/>
        <w:ind w:left="742" w:hangingChars="309" w:hanging="742"/>
        <w:rPr>
          <w:rFonts w:eastAsia="Calibri"/>
          <w:shd w:val="clear" w:color="auto" w:fill="FFFFFF"/>
          <w:lang w:val="pt-BR" w:eastAsia="en-US"/>
        </w:rPr>
      </w:pPr>
      <w:proofErr w:type="spellStart"/>
      <w:r w:rsidRPr="00D4751A">
        <w:rPr>
          <w:rFonts w:eastAsia="Calibri"/>
          <w:shd w:val="clear" w:color="auto" w:fill="FFFFFF"/>
          <w:lang w:val="pt-BR" w:eastAsia="en-US"/>
        </w:rPr>
        <w:t>Jacobus</w:t>
      </w:r>
      <w:proofErr w:type="spellEnd"/>
      <w:r w:rsidRPr="00D4751A">
        <w:rPr>
          <w:rFonts w:eastAsia="Calibri"/>
          <w:shd w:val="clear" w:color="auto" w:fill="FFFFFF"/>
          <w:lang w:val="pt-BR" w:eastAsia="en-US"/>
        </w:rPr>
        <w:t xml:space="preserve">, J., </w:t>
      </w:r>
      <w:proofErr w:type="spellStart"/>
      <w:r w:rsidRPr="00D4751A">
        <w:rPr>
          <w:rFonts w:eastAsia="Calibri"/>
          <w:shd w:val="clear" w:color="auto" w:fill="FFFFFF"/>
          <w:lang w:val="pt-BR" w:eastAsia="en-US"/>
        </w:rPr>
        <w:t>Thayer</w:t>
      </w:r>
      <w:proofErr w:type="spellEnd"/>
      <w:r w:rsidRPr="00D4751A">
        <w:rPr>
          <w:rFonts w:eastAsia="Calibri"/>
          <w:shd w:val="clear" w:color="auto" w:fill="FFFFFF"/>
          <w:lang w:val="pt-BR" w:eastAsia="en-US"/>
        </w:rPr>
        <w:t xml:space="preserve">, R. E., </w:t>
      </w:r>
      <w:proofErr w:type="spellStart"/>
      <w:r w:rsidRPr="00D4751A">
        <w:rPr>
          <w:rFonts w:eastAsia="Calibri"/>
          <w:shd w:val="clear" w:color="auto" w:fill="FFFFFF"/>
          <w:lang w:val="pt-BR" w:eastAsia="en-US"/>
        </w:rPr>
        <w:t>Trim</w:t>
      </w:r>
      <w:proofErr w:type="spellEnd"/>
      <w:r w:rsidRPr="00D4751A">
        <w:rPr>
          <w:rFonts w:eastAsia="Calibri"/>
          <w:shd w:val="clear" w:color="auto" w:fill="FFFFFF"/>
          <w:lang w:val="pt-BR" w:eastAsia="en-US"/>
        </w:rPr>
        <w:t xml:space="preserve">, R. S., Bava, S., Frank, L. R., </w:t>
      </w:r>
      <w:r w:rsidRPr="00D4751A">
        <w:rPr>
          <w:lang w:val="en-US" w:eastAsia="en-US"/>
        </w:rPr>
        <w:t>&amp;</w:t>
      </w:r>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Tapert</w:t>
      </w:r>
      <w:proofErr w:type="spellEnd"/>
      <w:r w:rsidRPr="00D4751A">
        <w:rPr>
          <w:rFonts w:eastAsia="Calibri"/>
          <w:shd w:val="clear" w:color="auto" w:fill="FFFFFF"/>
          <w:lang w:val="pt-BR" w:eastAsia="en-US"/>
        </w:rPr>
        <w:t xml:space="preserve">, S. F. (2013). White </w:t>
      </w:r>
      <w:proofErr w:type="spellStart"/>
      <w:r w:rsidRPr="00D4751A">
        <w:rPr>
          <w:rFonts w:eastAsia="Calibri"/>
          <w:shd w:val="clear" w:color="auto" w:fill="FFFFFF"/>
          <w:lang w:val="pt-BR" w:eastAsia="en-US"/>
        </w:rPr>
        <w:t>matter</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integrity</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substance</w:t>
      </w:r>
      <w:proofErr w:type="spellEnd"/>
      <w:r w:rsidRPr="00D4751A">
        <w:rPr>
          <w:rFonts w:eastAsia="Calibri"/>
          <w:shd w:val="clear" w:color="auto" w:fill="FFFFFF"/>
          <w:lang w:val="pt-BR" w:eastAsia="en-US"/>
        </w:rPr>
        <w:t xml:space="preserve"> use, </w:t>
      </w:r>
      <w:proofErr w:type="spellStart"/>
      <w:r w:rsidRPr="00D4751A">
        <w:rPr>
          <w:rFonts w:eastAsia="Calibri"/>
          <w:shd w:val="clear" w:color="auto" w:fill="FFFFFF"/>
          <w:lang w:val="pt-BR" w:eastAsia="en-US"/>
        </w:rPr>
        <w:t>and</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risk</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taking</w:t>
      </w:r>
      <w:proofErr w:type="spellEnd"/>
      <w:r w:rsidRPr="00D4751A">
        <w:rPr>
          <w:rFonts w:eastAsia="Calibri"/>
          <w:shd w:val="clear" w:color="auto" w:fill="FFFFFF"/>
          <w:lang w:val="pt-BR" w:eastAsia="en-US"/>
        </w:rPr>
        <w:t xml:space="preserve"> in </w:t>
      </w:r>
      <w:proofErr w:type="spellStart"/>
      <w:r w:rsidRPr="00D4751A">
        <w:rPr>
          <w:rFonts w:eastAsia="Calibri"/>
          <w:shd w:val="clear" w:color="auto" w:fill="FFFFFF"/>
          <w:lang w:val="pt-BR" w:eastAsia="en-US"/>
        </w:rPr>
        <w:t>adolescence</w:t>
      </w:r>
      <w:proofErr w:type="spellEnd"/>
      <w:r w:rsidRPr="00D4751A">
        <w:rPr>
          <w:rFonts w:eastAsia="Calibri"/>
          <w:shd w:val="clear" w:color="auto" w:fill="FFFFFF"/>
          <w:lang w:val="pt-BR" w:eastAsia="en-US"/>
        </w:rPr>
        <w:t>. </w:t>
      </w:r>
      <w:proofErr w:type="spellStart"/>
      <w:r w:rsidRPr="00D4751A">
        <w:rPr>
          <w:rFonts w:eastAsia="Calibri"/>
          <w:i/>
          <w:iCs/>
          <w:shd w:val="clear" w:color="auto" w:fill="FFFFFF"/>
          <w:lang w:val="pt-BR" w:eastAsia="en-US"/>
        </w:rPr>
        <w:t>Psychology</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of</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Addictive</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Behaviors</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Journal</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of</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the</w:t>
      </w:r>
      <w:proofErr w:type="spellEnd"/>
      <w:r w:rsidRPr="00D4751A">
        <w:rPr>
          <w:rFonts w:eastAsia="Calibri"/>
          <w:i/>
          <w:iCs/>
          <w:shd w:val="clear" w:color="auto" w:fill="FFFFFF"/>
          <w:lang w:val="pt-BR" w:eastAsia="en-US"/>
        </w:rPr>
        <w:t xml:space="preserve"> Society </w:t>
      </w:r>
      <w:proofErr w:type="spellStart"/>
      <w:r w:rsidRPr="00D4751A">
        <w:rPr>
          <w:rFonts w:eastAsia="Calibri"/>
          <w:i/>
          <w:iCs/>
          <w:shd w:val="clear" w:color="auto" w:fill="FFFFFF"/>
          <w:lang w:val="pt-BR" w:eastAsia="en-US"/>
        </w:rPr>
        <w:t>of</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Psychologists</w:t>
      </w:r>
      <w:proofErr w:type="spellEnd"/>
      <w:r w:rsidRPr="00D4751A">
        <w:rPr>
          <w:rFonts w:eastAsia="Calibri"/>
          <w:i/>
          <w:iCs/>
          <w:shd w:val="clear" w:color="auto" w:fill="FFFFFF"/>
          <w:lang w:val="pt-BR" w:eastAsia="en-US"/>
        </w:rPr>
        <w:t xml:space="preserve"> in </w:t>
      </w:r>
      <w:proofErr w:type="spellStart"/>
      <w:r w:rsidRPr="00D4751A">
        <w:rPr>
          <w:rFonts w:eastAsia="Calibri"/>
          <w:i/>
          <w:iCs/>
          <w:shd w:val="clear" w:color="auto" w:fill="FFFFFF"/>
          <w:lang w:val="pt-BR" w:eastAsia="en-US"/>
        </w:rPr>
        <w:t>Addictive</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Behaviors</w:t>
      </w:r>
      <w:proofErr w:type="spellEnd"/>
      <w:r w:rsidRPr="00D4751A">
        <w:rPr>
          <w:rFonts w:eastAsia="Calibri"/>
          <w:shd w:val="clear" w:color="auto" w:fill="FFFFFF"/>
          <w:lang w:val="pt-BR" w:eastAsia="en-US"/>
        </w:rPr>
        <w:t>, </w:t>
      </w:r>
      <w:r w:rsidRPr="00D4751A">
        <w:rPr>
          <w:rFonts w:eastAsia="Calibri"/>
          <w:i/>
          <w:iCs/>
          <w:shd w:val="clear" w:color="auto" w:fill="FFFFFF"/>
          <w:lang w:val="pt-BR" w:eastAsia="en-US"/>
        </w:rPr>
        <w:t>27</w:t>
      </w:r>
      <w:r w:rsidRPr="00D4751A">
        <w:rPr>
          <w:rFonts w:eastAsia="Calibri"/>
          <w:shd w:val="clear" w:color="auto" w:fill="FFFFFF"/>
          <w:lang w:val="pt-BR" w:eastAsia="en-US"/>
        </w:rPr>
        <w:t xml:space="preserve">(2), 431–442. </w:t>
      </w:r>
      <w:hyperlink r:id="rId33" w:history="1">
        <w:r w:rsidR="00FB0521" w:rsidRPr="00D4751A">
          <w:rPr>
            <w:rStyle w:val="Hipervnculo"/>
            <w:lang w:val="en-US" w:eastAsia="en-US"/>
          </w:rPr>
          <w:t>https://doi.org/</w:t>
        </w:r>
        <w:r w:rsidR="00FB0521" w:rsidRPr="00D4751A">
          <w:rPr>
            <w:rStyle w:val="Hipervnculo"/>
            <w:rFonts w:eastAsia="Calibri"/>
            <w:shd w:val="clear" w:color="auto" w:fill="FFFFFF"/>
            <w:lang w:val="pt-BR" w:eastAsia="en-US"/>
          </w:rPr>
          <w:t>10.1037/a0028235</w:t>
        </w:r>
      </w:hyperlink>
      <w:r w:rsidR="00FB0521">
        <w:rPr>
          <w:rFonts w:eastAsia="Calibri"/>
          <w:shd w:val="clear" w:color="auto" w:fill="FFFFFF"/>
          <w:lang w:val="pt-BR" w:eastAsia="en-US"/>
        </w:rPr>
        <w:t xml:space="preserve"> </w:t>
      </w:r>
    </w:p>
    <w:p w14:paraId="530CF955" w14:textId="05D3BD05"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proofErr w:type="spellStart"/>
      <w:r w:rsidRPr="00D4751A">
        <w:rPr>
          <w:rFonts w:eastAsia="Calibri"/>
          <w:shd w:val="clear" w:color="auto" w:fill="FFFFFF"/>
          <w:lang w:val="pt-BR" w:eastAsia="en-US"/>
        </w:rPr>
        <w:t>Lees</w:t>
      </w:r>
      <w:proofErr w:type="spellEnd"/>
      <w:r w:rsidRPr="00D4751A">
        <w:rPr>
          <w:rFonts w:eastAsia="Calibri"/>
          <w:shd w:val="clear" w:color="auto" w:fill="FFFFFF"/>
          <w:lang w:val="pt-BR" w:eastAsia="en-US"/>
        </w:rPr>
        <w:t xml:space="preserve">, B., Meredith, L. R., </w:t>
      </w:r>
      <w:proofErr w:type="spellStart"/>
      <w:r w:rsidRPr="00D4751A">
        <w:rPr>
          <w:rFonts w:eastAsia="Calibri"/>
          <w:shd w:val="clear" w:color="auto" w:fill="FFFFFF"/>
          <w:lang w:val="pt-BR" w:eastAsia="en-US"/>
        </w:rPr>
        <w:t>Kirkland</w:t>
      </w:r>
      <w:proofErr w:type="spellEnd"/>
      <w:r w:rsidRPr="00D4751A">
        <w:rPr>
          <w:rFonts w:eastAsia="Calibri"/>
          <w:shd w:val="clear" w:color="auto" w:fill="FFFFFF"/>
          <w:lang w:val="pt-BR" w:eastAsia="en-US"/>
        </w:rPr>
        <w:t xml:space="preserve">, A. E., Bryant, B. E., </w:t>
      </w:r>
      <w:r w:rsidRPr="00D4751A">
        <w:rPr>
          <w:lang w:val="en-US" w:eastAsia="en-US"/>
        </w:rPr>
        <w:t>&amp;</w:t>
      </w:r>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Squeglia</w:t>
      </w:r>
      <w:proofErr w:type="spellEnd"/>
      <w:r w:rsidRPr="00D4751A">
        <w:rPr>
          <w:rFonts w:eastAsia="Calibri"/>
          <w:shd w:val="clear" w:color="auto" w:fill="FFFFFF"/>
          <w:lang w:val="pt-BR" w:eastAsia="en-US"/>
        </w:rPr>
        <w:t xml:space="preserve">, L. M. (2020). </w:t>
      </w:r>
      <w:proofErr w:type="spellStart"/>
      <w:r w:rsidRPr="00D4751A">
        <w:rPr>
          <w:rFonts w:eastAsia="Calibri"/>
          <w:shd w:val="clear" w:color="auto" w:fill="FFFFFF"/>
          <w:lang w:val="pt-BR" w:eastAsia="en-US"/>
        </w:rPr>
        <w:t>Effect</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of</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alcohol</w:t>
      </w:r>
      <w:proofErr w:type="spellEnd"/>
      <w:r w:rsidRPr="00D4751A">
        <w:rPr>
          <w:rFonts w:eastAsia="Calibri"/>
          <w:shd w:val="clear" w:color="auto" w:fill="FFFFFF"/>
          <w:lang w:val="pt-BR" w:eastAsia="en-US"/>
        </w:rPr>
        <w:t xml:space="preserve"> use </w:t>
      </w:r>
      <w:proofErr w:type="spellStart"/>
      <w:r w:rsidRPr="00D4751A">
        <w:rPr>
          <w:rFonts w:eastAsia="Calibri"/>
          <w:shd w:val="clear" w:color="auto" w:fill="FFFFFF"/>
          <w:lang w:val="pt-BR" w:eastAsia="en-US"/>
        </w:rPr>
        <w:t>on</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the</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adolescent</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brain</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and</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behavior</w:t>
      </w:r>
      <w:proofErr w:type="spellEnd"/>
      <w:r w:rsidRPr="00D4751A">
        <w:rPr>
          <w:rFonts w:eastAsia="Calibri"/>
          <w:shd w:val="clear" w:color="auto" w:fill="FFFFFF"/>
          <w:lang w:val="pt-BR" w:eastAsia="en-US"/>
        </w:rPr>
        <w:t>. </w:t>
      </w:r>
      <w:proofErr w:type="spellStart"/>
      <w:r w:rsidRPr="00D4751A">
        <w:rPr>
          <w:rFonts w:eastAsia="Calibri"/>
          <w:i/>
          <w:iCs/>
          <w:shd w:val="clear" w:color="auto" w:fill="FFFFFF"/>
          <w:lang w:val="pt-BR" w:eastAsia="en-US"/>
        </w:rPr>
        <w:t>Pharmacology</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Biochemistry</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and</w:t>
      </w:r>
      <w:proofErr w:type="spellEnd"/>
      <w:r w:rsidRPr="00D4751A">
        <w:rPr>
          <w:rFonts w:eastAsia="Calibri"/>
          <w:i/>
          <w:iCs/>
          <w:shd w:val="clear" w:color="auto" w:fill="FFFFFF"/>
          <w:lang w:val="pt-BR" w:eastAsia="en-US"/>
        </w:rPr>
        <w:t xml:space="preserve"> Behavior</w:t>
      </w:r>
      <w:r w:rsidRPr="00D4751A">
        <w:rPr>
          <w:rFonts w:eastAsia="Calibri"/>
          <w:shd w:val="clear" w:color="auto" w:fill="FFFFFF"/>
          <w:lang w:val="pt-BR" w:eastAsia="en-US"/>
        </w:rPr>
        <w:t>,192, 172906.</w:t>
      </w:r>
      <w:r w:rsidR="008F76E3">
        <w:rPr>
          <w:rFonts w:eastAsia="Calibri"/>
          <w:shd w:val="clear" w:color="auto" w:fill="FFFFFF"/>
          <w:lang w:val="pt-BR" w:eastAsia="en-US"/>
        </w:rPr>
        <w:t xml:space="preserve"> </w:t>
      </w:r>
      <w:hyperlink r:id="rId34" w:history="1">
        <w:r w:rsidR="008F76E3" w:rsidRPr="00FC382E">
          <w:rPr>
            <w:rStyle w:val="Hipervnculo"/>
            <w:rFonts w:eastAsia="Calibri"/>
            <w:shd w:val="clear" w:color="auto" w:fill="FFFFFF"/>
            <w:lang w:val="pt-BR" w:eastAsia="en-US"/>
          </w:rPr>
          <w:t>https://doi.org/10.1016/j.pbb.2020.172906</w:t>
        </w:r>
      </w:hyperlink>
      <w:r w:rsidR="008F76E3">
        <w:rPr>
          <w:rFonts w:eastAsia="Calibri"/>
          <w:shd w:val="clear" w:color="auto" w:fill="FFFFFF"/>
          <w:lang w:val="pt-BR" w:eastAsia="en-US"/>
        </w:rPr>
        <w:t xml:space="preserve"> </w:t>
      </w:r>
    </w:p>
    <w:p w14:paraId="33C61B01" w14:textId="1A43A7DE" w:rsidR="00D4751A" w:rsidRPr="00D4751A" w:rsidRDefault="00D4751A" w:rsidP="00FC4499">
      <w:pPr>
        <w:autoSpaceDE w:val="0"/>
        <w:autoSpaceDN w:val="0"/>
        <w:adjustRightInd w:val="0"/>
        <w:ind w:left="742" w:hangingChars="309" w:hanging="742"/>
        <w:rPr>
          <w:rFonts w:eastAsia="Calibri"/>
          <w:shd w:val="clear" w:color="auto" w:fill="FFFFFF"/>
          <w:lang w:val="es-AR" w:eastAsia="en-US"/>
        </w:rPr>
      </w:pPr>
      <w:proofErr w:type="spellStart"/>
      <w:r w:rsidRPr="00D4751A">
        <w:rPr>
          <w:rFonts w:eastAsia="Calibri"/>
          <w:shd w:val="clear" w:color="auto" w:fill="FFFFFF"/>
          <w:lang w:val="en-US" w:eastAsia="en-US"/>
        </w:rPr>
        <w:lastRenderedPageBreak/>
        <w:t>Lejuez</w:t>
      </w:r>
      <w:proofErr w:type="spellEnd"/>
      <w:r w:rsidRPr="00D4751A">
        <w:rPr>
          <w:rFonts w:eastAsia="Calibri"/>
          <w:shd w:val="clear" w:color="auto" w:fill="FFFFFF"/>
          <w:lang w:val="en-US" w:eastAsia="en-US"/>
        </w:rPr>
        <w:t xml:space="preserve">, C., </w:t>
      </w:r>
      <w:proofErr w:type="spellStart"/>
      <w:r w:rsidRPr="00D4751A">
        <w:rPr>
          <w:rFonts w:eastAsia="Calibri"/>
          <w:shd w:val="clear" w:color="auto" w:fill="FFFFFF"/>
          <w:lang w:val="en-US" w:eastAsia="en-US"/>
        </w:rPr>
        <w:t>Aklin</w:t>
      </w:r>
      <w:proofErr w:type="spellEnd"/>
      <w:r w:rsidRPr="00D4751A">
        <w:rPr>
          <w:rFonts w:eastAsia="Calibri"/>
          <w:shd w:val="clear" w:color="auto" w:fill="FFFFFF"/>
          <w:lang w:val="en-US" w:eastAsia="en-US"/>
        </w:rPr>
        <w:t xml:space="preserve">, W., </w:t>
      </w:r>
      <w:proofErr w:type="spellStart"/>
      <w:r w:rsidRPr="00D4751A">
        <w:rPr>
          <w:rFonts w:eastAsia="Calibri"/>
          <w:shd w:val="clear" w:color="auto" w:fill="FFFFFF"/>
          <w:lang w:val="en-US" w:eastAsia="en-US"/>
        </w:rPr>
        <w:t>Zvolensky</w:t>
      </w:r>
      <w:proofErr w:type="spellEnd"/>
      <w:r w:rsidRPr="00D4751A">
        <w:rPr>
          <w:rFonts w:eastAsia="Calibri"/>
          <w:shd w:val="clear" w:color="auto" w:fill="FFFFFF"/>
          <w:lang w:val="en-US" w:eastAsia="en-US"/>
        </w:rPr>
        <w:t xml:space="preserve">, M., </w:t>
      </w:r>
      <w:r w:rsidRPr="00D4751A">
        <w:rPr>
          <w:lang w:val="en-US" w:eastAsia="en-US"/>
        </w:rPr>
        <w:t>&amp;</w:t>
      </w:r>
      <w:r w:rsidRPr="00D4751A">
        <w:rPr>
          <w:rFonts w:eastAsia="Calibri"/>
          <w:shd w:val="clear" w:color="auto" w:fill="FFFFFF"/>
          <w:lang w:val="en-US" w:eastAsia="en-US"/>
        </w:rPr>
        <w:t xml:space="preserve"> </w:t>
      </w:r>
      <w:proofErr w:type="spellStart"/>
      <w:r w:rsidRPr="00D4751A">
        <w:rPr>
          <w:rFonts w:eastAsia="Calibri"/>
          <w:shd w:val="clear" w:color="auto" w:fill="FFFFFF"/>
          <w:lang w:val="en-US" w:eastAsia="en-US"/>
        </w:rPr>
        <w:t>Pedulla</w:t>
      </w:r>
      <w:proofErr w:type="spellEnd"/>
      <w:r w:rsidRPr="00D4751A">
        <w:rPr>
          <w:rFonts w:eastAsia="Calibri"/>
          <w:shd w:val="clear" w:color="auto" w:fill="FFFFFF"/>
          <w:lang w:val="en-US" w:eastAsia="en-US"/>
        </w:rPr>
        <w:t xml:space="preserve">, C. (2003). Evaluation of the Balloon Analogue Risk Task (BART) as a predictor of adolescent real-world risk-taking </w:t>
      </w:r>
      <w:proofErr w:type="spellStart"/>
      <w:r w:rsidRPr="00D4751A">
        <w:rPr>
          <w:rFonts w:eastAsia="Calibri"/>
          <w:shd w:val="clear" w:color="auto" w:fill="FFFFFF"/>
          <w:lang w:val="en-US" w:eastAsia="en-US"/>
        </w:rPr>
        <w:t>behaviours</w:t>
      </w:r>
      <w:proofErr w:type="spellEnd"/>
      <w:r w:rsidRPr="00D4751A">
        <w:rPr>
          <w:rFonts w:eastAsia="Calibri"/>
          <w:shd w:val="clear" w:color="auto" w:fill="FFFFFF"/>
          <w:lang w:val="en-US" w:eastAsia="en-US"/>
        </w:rPr>
        <w:t>. </w:t>
      </w:r>
      <w:proofErr w:type="spellStart"/>
      <w:r w:rsidRPr="00D4751A">
        <w:rPr>
          <w:rFonts w:eastAsia="Calibri"/>
          <w:i/>
          <w:shd w:val="clear" w:color="auto" w:fill="FFFFFF"/>
          <w:lang w:val="es-AR" w:eastAsia="en-US"/>
        </w:rPr>
        <w:t>Journal</w:t>
      </w:r>
      <w:proofErr w:type="spellEnd"/>
      <w:r w:rsidRPr="00D4751A">
        <w:rPr>
          <w:rFonts w:eastAsia="Calibri"/>
          <w:i/>
          <w:shd w:val="clear" w:color="auto" w:fill="FFFFFF"/>
          <w:lang w:val="es-AR" w:eastAsia="en-US"/>
        </w:rPr>
        <w:t xml:space="preserve"> </w:t>
      </w:r>
      <w:proofErr w:type="spellStart"/>
      <w:r w:rsidRPr="00D4751A">
        <w:rPr>
          <w:rFonts w:eastAsia="Calibri"/>
          <w:i/>
          <w:shd w:val="clear" w:color="auto" w:fill="FFFFFF"/>
          <w:lang w:val="es-AR" w:eastAsia="en-US"/>
        </w:rPr>
        <w:t>of</w:t>
      </w:r>
      <w:proofErr w:type="spellEnd"/>
      <w:r w:rsidRPr="00D4751A">
        <w:rPr>
          <w:rFonts w:eastAsia="Calibri"/>
          <w:i/>
          <w:shd w:val="clear" w:color="auto" w:fill="FFFFFF"/>
          <w:lang w:val="es-AR" w:eastAsia="en-US"/>
        </w:rPr>
        <w:t xml:space="preserve"> </w:t>
      </w:r>
      <w:proofErr w:type="spellStart"/>
      <w:r w:rsidRPr="00D4751A">
        <w:rPr>
          <w:rFonts w:eastAsia="Calibri"/>
          <w:i/>
          <w:shd w:val="clear" w:color="auto" w:fill="FFFFFF"/>
          <w:lang w:val="es-AR" w:eastAsia="en-US"/>
        </w:rPr>
        <w:t>Adolescence</w:t>
      </w:r>
      <w:proofErr w:type="spellEnd"/>
      <w:r w:rsidRPr="00D4751A">
        <w:rPr>
          <w:rFonts w:eastAsia="Calibri"/>
          <w:shd w:val="clear" w:color="auto" w:fill="FFFFFF"/>
          <w:lang w:val="es-AR" w:eastAsia="en-US"/>
        </w:rPr>
        <w:t>, </w:t>
      </w:r>
      <w:r w:rsidRPr="00D4751A">
        <w:rPr>
          <w:rFonts w:eastAsia="Calibri"/>
          <w:i/>
          <w:shd w:val="clear" w:color="auto" w:fill="FFFFFF"/>
          <w:lang w:val="es-AR" w:eastAsia="en-US"/>
        </w:rPr>
        <w:t>26</w:t>
      </w:r>
      <w:r w:rsidRPr="00D4751A">
        <w:rPr>
          <w:rFonts w:eastAsia="Calibri"/>
          <w:shd w:val="clear" w:color="auto" w:fill="FFFFFF"/>
          <w:lang w:val="es-AR" w:eastAsia="en-US"/>
        </w:rPr>
        <w:t xml:space="preserve">(4), 475-479. </w:t>
      </w:r>
      <w:hyperlink r:id="rId35" w:history="1">
        <w:r w:rsidR="00FB0521" w:rsidRPr="00D4751A">
          <w:rPr>
            <w:rStyle w:val="Hipervnculo"/>
            <w:lang w:val="es-AR" w:eastAsia="en-US"/>
          </w:rPr>
          <w:t>https://doi.org/</w:t>
        </w:r>
        <w:r w:rsidR="00FB0521" w:rsidRPr="00D4751A">
          <w:rPr>
            <w:rStyle w:val="Hipervnculo"/>
            <w:rFonts w:eastAsia="Calibri"/>
            <w:shd w:val="clear" w:color="auto" w:fill="FFFFFF"/>
            <w:lang w:val="es-AR" w:eastAsia="en-US"/>
          </w:rPr>
          <w:t>10.1016/S0140-1971(03)00036-8</w:t>
        </w:r>
      </w:hyperlink>
      <w:r w:rsidR="00FB0521">
        <w:rPr>
          <w:rFonts w:eastAsia="Calibri"/>
          <w:shd w:val="clear" w:color="auto" w:fill="FFFFFF"/>
          <w:lang w:val="es-AR" w:eastAsia="en-US"/>
        </w:rPr>
        <w:t xml:space="preserve"> </w:t>
      </w:r>
    </w:p>
    <w:p w14:paraId="5206C922" w14:textId="410CB9A8" w:rsidR="00D4751A" w:rsidRPr="00D4751A" w:rsidRDefault="00D4751A" w:rsidP="00FC4499">
      <w:pPr>
        <w:autoSpaceDE w:val="0"/>
        <w:autoSpaceDN w:val="0"/>
        <w:adjustRightInd w:val="0"/>
        <w:ind w:left="742" w:hangingChars="309" w:hanging="742"/>
        <w:rPr>
          <w:lang w:val="en-US" w:eastAsia="en-US"/>
        </w:rPr>
      </w:pPr>
      <w:r w:rsidRPr="00D4751A">
        <w:rPr>
          <w:lang w:val="es-AR" w:eastAsia="en-US"/>
        </w:rPr>
        <w:t>López-</w:t>
      </w:r>
      <w:proofErr w:type="spellStart"/>
      <w:r w:rsidRPr="00D4751A">
        <w:rPr>
          <w:lang w:val="es-AR" w:eastAsia="en-US"/>
        </w:rPr>
        <w:t>Caneda</w:t>
      </w:r>
      <w:proofErr w:type="spellEnd"/>
      <w:r w:rsidRPr="00D4751A">
        <w:rPr>
          <w:lang w:val="es-AR" w:eastAsia="en-US"/>
        </w:rPr>
        <w:t xml:space="preserve">, E., Rodríguez Holguín, S., Cadaveira, F., Corral, M., &amp; </w:t>
      </w:r>
      <w:proofErr w:type="spellStart"/>
      <w:r w:rsidRPr="00D4751A">
        <w:rPr>
          <w:lang w:val="es-AR" w:eastAsia="en-US"/>
        </w:rPr>
        <w:t>Doallo</w:t>
      </w:r>
      <w:proofErr w:type="spellEnd"/>
      <w:r w:rsidRPr="00D4751A">
        <w:rPr>
          <w:lang w:val="es-AR" w:eastAsia="en-US"/>
        </w:rPr>
        <w:t xml:space="preserve">, S. (2014). </w:t>
      </w:r>
      <w:r w:rsidRPr="00D4751A">
        <w:rPr>
          <w:lang w:val="en-US" w:eastAsia="en-US"/>
        </w:rPr>
        <w:t>Impact of Alcohol Use on Inhibitory Control (and Vice Versa) During Adolescence and Young Adulthood: A Review. </w:t>
      </w:r>
      <w:r w:rsidRPr="00D4751A">
        <w:rPr>
          <w:i/>
          <w:iCs/>
          <w:lang w:val="en-US" w:eastAsia="en-US"/>
        </w:rPr>
        <w:t>Alcohol and Alcoholism</w:t>
      </w:r>
      <w:r w:rsidRPr="00D4751A">
        <w:rPr>
          <w:lang w:val="en-US" w:eastAsia="en-US"/>
        </w:rPr>
        <w:t xml:space="preserve">, </w:t>
      </w:r>
      <w:r w:rsidRPr="00D4751A">
        <w:rPr>
          <w:i/>
          <w:iCs/>
          <w:lang w:val="en-US" w:eastAsia="en-US"/>
        </w:rPr>
        <w:t>49</w:t>
      </w:r>
      <w:r w:rsidRPr="00D4751A">
        <w:rPr>
          <w:lang w:val="en-US" w:eastAsia="en-US"/>
        </w:rPr>
        <w:t xml:space="preserve">(2), 173-181. </w:t>
      </w:r>
      <w:hyperlink r:id="rId36" w:history="1">
        <w:r w:rsidR="00FB0521" w:rsidRPr="00D4751A">
          <w:rPr>
            <w:rStyle w:val="Hipervnculo"/>
            <w:lang w:val="en-US" w:eastAsia="en-US"/>
          </w:rPr>
          <w:t>https://doi.org/10.1093/alcalc/agt168</w:t>
        </w:r>
      </w:hyperlink>
      <w:r w:rsidR="00FB0521">
        <w:rPr>
          <w:lang w:val="en-US" w:eastAsia="en-US"/>
        </w:rPr>
        <w:t xml:space="preserve"> </w:t>
      </w:r>
    </w:p>
    <w:p w14:paraId="695EFA09" w14:textId="77777777" w:rsidR="00D4751A" w:rsidRPr="00D4751A" w:rsidRDefault="00D4751A" w:rsidP="00FC4499">
      <w:pPr>
        <w:autoSpaceDE w:val="0"/>
        <w:autoSpaceDN w:val="0"/>
        <w:adjustRightInd w:val="0"/>
        <w:ind w:left="742" w:hangingChars="309" w:hanging="742"/>
        <w:rPr>
          <w:bCs/>
          <w:lang w:val="en-US" w:eastAsia="en-US"/>
        </w:rPr>
      </w:pPr>
      <w:proofErr w:type="spellStart"/>
      <w:r w:rsidRPr="00D4751A">
        <w:rPr>
          <w:bCs/>
          <w:lang w:val="en-US" w:eastAsia="en-US"/>
        </w:rPr>
        <w:t>Lynam</w:t>
      </w:r>
      <w:proofErr w:type="spellEnd"/>
      <w:r w:rsidRPr="00D4751A">
        <w:rPr>
          <w:bCs/>
          <w:lang w:val="en-US" w:eastAsia="en-US"/>
        </w:rPr>
        <w:t xml:space="preserve">, D. R., Smith, G. T., Whiteside, S. P., </w:t>
      </w:r>
      <w:r w:rsidRPr="00D4751A">
        <w:rPr>
          <w:lang w:val="en-US" w:eastAsia="en-US"/>
        </w:rPr>
        <w:t>&amp;</w:t>
      </w:r>
      <w:r w:rsidRPr="00D4751A">
        <w:rPr>
          <w:bCs/>
          <w:lang w:val="en-US" w:eastAsia="en-US"/>
        </w:rPr>
        <w:t xml:space="preserve"> Cyders, M. A. (2006). </w:t>
      </w:r>
      <w:r w:rsidRPr="00D4751A">
        <w:rPr>
          <w:bCs/>
          <w:i/>
          <w:iCs/>
          <w:lang w:val="en-US" w:eastAsia="en-US"/>
        </w:rPr>
        <w:t>The UPPS–P: Assessing five personality pathways to impulsive behavior (Tech. Rep.)</w:t>
      </w:r>
      <w:r w:rsidRPr="00D4751A">
        <w:rPr>
          <w:bCs/>
          <w:lang w:val="en-US" w:eastAsia="en-US"/>
        </w:rPr>
        <w:t>. West Lafayette, IN: Purdue University.</w:t>
      </w:r>
    </w:p>
    <w:p w14:paraId="7BAB1F8E" w14:textId="2B90D849" w:rsidR="00D4751A" w:rsidRPr="00D4751A" w:rsidRDefault="00D4751A" w:rsidP="00FC4499">
      <w:pPr>
        <w:autoSpaceDE w:val="0"/>
        <w:autoSpaceDN w:val="0"/>
        <w:adjustRightInd w:val="0"/>
        <w:ind w:left="742" w:hangingChars="309" w:hanging="742"/>
        <w:rPr>
          <w:lang w:val="en-US" w:eastAsia="en-US"/>
        </w:rPr>
      </w:pPr>
      <w:r w:rsidRPr="00D4751A">
        <w:rPr>
          <w:lang w:val="en-US" w:eastAsia="en-US"/>
        </w:rPr>
        <w:t xml:space="preserve">MacPherson, L., Magidson, J. F., Reynolds, E. K., Kahler, C. W., &amp; </w:t>
      </w:r>
      <w:proofErr w:type="spellStart"/>
      <w:r w:rsidRPr="00D4751A">
        <w:rPr>
          <w:lang w:val="en-US" w:eastAsia="en-US"/>
        </w:rPr>
        <w:t>Lejuez</w:t>
      </w:r>
      <w:proofErr w:type="spellEnd"/>
      <w:r w:rsidRPr="00D4751A">
        <w:rPr>
          <w:lang w:val="en-US" w:eastAsia="en-US"/>
        </w:rPr>
        <w:t>, C. W. (2010). Changes in sensation seeking and risk-taking propensity predict increases in alcohol use among early adolescents. </w:t>
      </w:r>
      <w:r w:rsidRPr="00D4751A">
        <w:rPr>
          <w:i/>
          <w:iCs/>
          <w:lang w:val="en-US" w:eastAsia="en-US"/>
        </w:rPr>
        <w:t>Alcoholism, Clinical and Experimental Research</w:t>
      </w:r>
      <w:r w:rsidRPr="00D4751A">
        <w:rPr>
          <w:lang w:val="en-US" w:eastAsia="en-US"/>
        </w:rPr>
        <w:t>, </w:t>
      </w:r>
      <w:r w:rsidRPr="00D4751A">
        <w:rPr>
          <w:i/>
          <w:iCs/>
          <w:lang w:val="en-US" w:eastAsia="en-US"/>
        </w:rPr>
        <w:t>34</w:t>
      </w:r>
      <w:r w:rsidRPr="00D4751A">
        <w:rPr>
          <w:lang w:val="en-US" w:eastAsia="en-US"/>
        </w:rPr>
        <w:t xml:space="preserve">(8), 1400–1408. </w:t>
      </w:r>
      <w:hyperlink r:id="rId37" w:history="1">
        <w:r w:rsidR="00FB0521" w:rsidRPr="00D4751A">
          <w:rPr>
            <w:rStyle w:val="Hipervnculo"/>
            <w:lang w:val="en-US" w:eastAsia="en-US"/>
          </w:rPr>
          <w:t>https://doi.org/10.1111/j.1530-0277.2010.01223.x</w:t>
        </w:r>
      </w:hyperlink>
      <w:r w:rsidR="00FB0521">
        <w:rPr>
          <w:lang w:val="en-US" w:eastAsia="en-US"/>
        </w:rPr>
        <w:t xml:space="preserve"> </w:t>
      </w:r>
    </w:p>
    <w:p w14:paraId="6EE68730" w14:textId="2F79E3A9" w:rsidR="00D4751A" w:rsidRPr="00D4751A" w:rsidRDefault="00D4751A" w:rsidP="00FC4499">
      <w:pPr>
        <w:autoSpaceDE w:val="0"/>
        <w:autoSpaceDN w:val="0"/>
        <w:adjustRightInd w:val="0"/>
        <w:ind w:left="742" w:hangingChars="309" w:hanging="742"/>
        <w:rPr>
          <w:lang w:val="es-AR" w:eastAsia="en-US"/>
        </w:rPr>
      </w:pPr>
      <w:r w:rsidRPr="00D4751A">
        <w:rPr>
          <w:lang w:val="en-US" w:eastAsia="en-US"/>
        </w:rPr>
        <w:t xml:space="preserve">Martínez </w:t>
      </w:r>
      <w:proofErr w:type="spellStart"/>
      <w:r w:rsidRPr="00D4751A">
        <w:rPr>
          <w:lang w:val="en-US" w:eastAsia="en-US"/>
        </w:rPr>
        <w:t>Loredo</w:t>
      </w:r>
      <w:proofErr w:type="spellEnd"/>
      <w:r w:rsidRPr="00D4751A">
        <w:rPr>
          <w:lang w:val="en-US" w:eastAsia="en-US"/>
        </w:rPr>
        <w:t xml:space="preserve">, V., &amp; Fernández </w:t>
      </w:r>
      <w:proofErr w:type="spellStart"/>
      <w:r w:rsidRPr="00D4751A">
        <w:rPr>
          <w:lang w:val="en-US" w:eastAsia="en-US"/>
        </w:rPr>
        <w:t>Hermida</w:t>
      </w:r>
      <w:proofErr w:type="spellEnd"/>
      <w:r w:rsidRPr="00D4751A">
        <w:rPr>
          <w:lang w:val="en-US" w:eastAsia="en-US"/>
        </w:rPr>
        <w:t>, J. R. (2019). Impulsivity-targeted selective preventive interventions and treatments in addictive behaviors. </w:t>
      </w:r>
      <w:r w:rsidRPr="00D4751A">
        <w:rPr>
          <w:i/>
          <w:iCs/>
          <w:lang w:val="es-AR" w:eastAsia="en-US"/>
        </w:rPr>
        <w:t>Revista de Psicología Clínica con Niños y Adolescentes, 6</w:t>
      </w:r>
      <w:r w:rsidRPr="00D4751A">
        <w:rPr>
          <w:lang w:val="es-AR" w:eastAsia="en-US"/>
        </w:rPr>
        <w:t xml:space="preserve">(3), 1-7. </w:t>
      </w:r>
      <w:hyperlink r:id="rId38" w:history="1">
        <w:r w:rsidR="00FB0521" w:rsidRPr="00D4751A">
          <w:rPr>
            <w:rStyle w:val="Hipervnculo"/>
            <w:lang w:val="es-AR" w:eastAsia="en-US"/>
          </w:rPr>
          <w:t>https://doi.org/10.21134/rpcna.2019.06.2.4</w:t>
        </w:r>
      </w:hyperlink>
      <w:r w:rsidR="00FB0521">
        <w:rPr>
          <w:lang w:val="es-AR" w:eastAsia="en-US"/>
        </w:rPr>
        <w:t xml:space="preserve"> </w:t>
      </w:r>
    </w:p>
    <w:p w14:paraId="1CDD3F57" w14:textId="4C54E39D" w:rsidR="00D4751A" w:rsidRPr="00D4751A" w:rsidRDefault="00D4751A" w:rsidP="00FC4499">
      <w:pPr>
        <w:autoSpaceDE w:val="0"/>
        <w:autoSpaceDN w:val="0"/>
        <w:adjustRightInd w:val="0"/>
        <w:ind w:left="742" w:hangingChars="309" w:hanging="742"/>
        <w:rPr>
          <w:lang w:val="en-US" w:eastAsia="en-US"/>
        </w:rPr>
      </w:pPr>
      <w:r w:rsidRPr="00D4751A">
        <w:rPr>
          <w:lang w:val="es-AR" w:eastAsia="en-US"/>
        </w:rPr>
        <w:t xml:space="preserve">Martínez-Loredo, V., Fernández-Hermida, J., Fernández-Artamendi, S., Carballo, J., García-Cueto, E., &amp; García-Rodríguez, O. (2015). </w:t>
      </w:r>
      <w:r w:rsidRPr="00D4751A">
        <w:rPr>
          <w:lang w:val="en-US" w:eastAsia="en-US"/>
        </w:rPr>
        <w:t xml:space="preserve">The association of both self-reported and behavioral impulsivity with the annual prevalence of substance use among early adolescents. </w:t>
      </w:r>
      <w:r w:rsidRPr="00D4751A">
        <w:rPr>
          <w:i/>
          <w:lang w:val="en-US" w:eastAsia="en-US"/>
        </w:rPr>
        <w:t>Substance Abuse Treatment, Prevention, and Policy, 10</w:t>
      </w:r>
      <w:r w:rsidRPr="00D4751A">
        <w:rPr>
          <w:lang w:val="en-US" w:eastAsia="en-US"/>
        </w:rPr>
        <w:t xml:space="preserve">, </w:t>
      </w:r>
      <w:r w:rsidR="008F76E3">
        <w:rPr>
          <w:lang w:val="en-US" w:eastAsia="en-US"/>
        </w:rPr>
        <w:t>23</w:t>
      </w:r>
      <w:r w:rsidRPr="00D4751A">
        <w:rPr>
          <w:lang w:val="en-US" w:eastAsia="en-US"/>
        </w:rPr>
        <w:t xml:space="preserve">.  </w:t>
      </w:r>
      <w:hyperlink r:id="rId39" w:history="1">
        <w:r w:rsidR="008F76E3" w:rsidRPr="00FC382E">
          <w:rPr>
            <w:rStyle w:val="Hipervnculo"/>
            <w:lang w:val="en-US" w:eastAsia="en-US"/>
          </w:rPr>
          <w:t>https://doi.org/10.1186/s13011-015-0019-0</w:t>
        </w:r>
      </w:hyperlink>
      <w:r w:rsidR="008F76E3">
        <w:rPr>
          <w:lang w:val="en-US" w:eastAsia="en-US"/>
        </w:rPr>
        <w:t xml:space="preserve"> </w:t>
      </w:r>
    </w:p>
    <w:p w14:paraId="6ED3ACAB" w14:textId="6596D3D1" w:rsidR="00D4751A" w:rsidRPr="00D4751A" w:rsidRDefault="00D4751A" w:rsidP="00FC4499">
      <w:pPr>
        <w:autoSpaceDE w:val="0"/>
        <w:autoSpaceDN w:val="0"/>
        <w:adjustRightInd w:val="0"/>
        <w:ind w:left="742" w:hangingChars="309" w:hanging="742"/>
        <w:rPr>
          <w:lang w:val="en-US" w:eastAsia="en-US"/>
        </w:rPr>
      </w:pPr>
      <w:r w:rsidRPr="00D4751A">
        <w:rPr>
          <w:lang w:val="pt-BR" w:eastAsia="en-US"/>
        </w:rPr>
        <w:t xml:space="preserve">Mueller, S. T., &amp; Piper, B. J. (2014). The </w:t>
      </w:r>
      <w:proofErr w:type="spellStart"/>
      <w:r w:rsidRPr="00D4751A">
        <w:rPr>
          <w:lang w:val="pt-BR" w:eastAsia="en-US"/>
        </w:rPr>
        <w:t>Psychology</w:t>
      </w:r>
      <w:proofErr w:type="spellEnd"/>
      <w:r w:rsidRPr="00D4751A">
        <w:rPr>
          <w:lang w:val="pt-BR" w:eastAsia="en-US"/>
        </w:rPr>
        <w:t xml:space="preserve"> </w:t>
      </w:r>
      <w:proofErr w:type="spellStart"/>
      <w:r w:rsidRPr="00D4751A">
        <w:rPr>
          <w:lang w:val="pt-BR" w:eastAsia="en-US"/>
        </w:rPr>
        <w:t>Experiment</w:t>
      </w:r>
      <w:proofErr w:type="spellEnd"/>
      <w:r w:rsidRPr="00D4751A">
        <w:rPr>
          <w:lang w:val="pt-BR" w:eastAsia="en-US"/>
        </w:rPr>
        <w:t xml:space="preserve"> Building </w:t>
      </w:r>
      <w:proofErr w:type="spellStart"/>
      <w:r w:rsidRPr="00D4751A">
        <w:rPr>
          <w:lang w:val="pt-BR" w:eastAsia="en-US"/>
        </w:rPr>
        <w:t>Language</w:t>
      </w:r>
      <w:proofErr w:type="spellEnd"/>
      <w:r w:rsidRPr="00D4751A">
        <w:rPr>
          <w:lang w:val="pt-BR" w:eastAsia="en-US"/>
        </w:rPr>
        <w:t xml:space="preserve"> (PEBL) </w:t>
      </w:r>
      <w:proofErr w:type="spellStart"/>
      <w:r w:rsidRPr="00D4751A">
        <w:rPr>
          <w:lang w:val="pt-BR" w:eastAsia="en-US"/>
        </w:rPr>
        <w:t>and</w:t>
      </w:r>
      <w:proofErr w:type="spellEnd"/>
      <w:r w:rsidRPr="00D4751A">
        <w:rPr>
          <w:lang w:val="pt-BR" w:eastAsia="en-US"/>
        </w:rPr>
        <w:t xml:space="preserve"> PEBL </w:t>
      </w:r>
      <w:proofErr w:type="spellStart"/>
      <w:r w:rsidRPr="00D4751A">
        <w:rPr>
          <w:lang w:val="pt-BR" w:eastAsia="en-US"/>
        </w:rPr>
        <w:t>test</w:t>
      </w:r>
      <w:proofErr w:type="spellEnd"/>
      <w:r w:rsidRPr="00D4751A">
        <w:rPr>
          <w:lang w:val="pt-BR" w:eastAsia="en-US"/>
        </w:rPr>
        <w:t xml:space="preserve"> </w:t>
      </w:r>
      <w:proofErr w:type="spellStart"/>
      <w:r w:rsidRPr="00D4751A">
        <w:rPr>
          <w:lang w:val="pt-BR" w:eastAsia="en-US"/>
        </w:rPr>
        <w:t>battery</w:t>
      </w:r>
      <w:proofErr w:type="spellEnd"/>
      <w:r w:rsidRPr="00D4751A">
        <w:rPr>
          <w:lang w:val="pt-BR" w:eastAsia="en-US"/>
        </w:rPr>
        <w:t>. </w:t>
      </w:r>
      <w:proofErr w:type="spellStart"/>
      <w:r w:rsidRPr="00D4751A">
        <w:rPr>
          <w:i/>
          <w:iCs/>
          <w:lang w:val="pt-BR" w:eastAsia="en-US"/>
        </w:rPr>
        <w:t>Journal</w:t>
      </w:r>
      <w:proofErr w:type="spellEnd"/>
      <w:r w:rsidRPr="00D4751A">
        <w:rPr>
          <w:i/>
          <w:iCs/>
          <w:lang w:val="pt-BR" w:eastAsia="en-US"/>
        </w:rPr>
        <w:t xml:space="preserve"> </w:t>
      </w:r>
      <w:proofErr w:type="spellStart"/>
      <w:r w:rsidRPr="00D4751A">
        <w:rPr>
          <w:i/>
          <w:iCs/>
          <w:lang w:val="pt-BR" w:eastAsia="en-US"/>
        </w:rPr>
        <w:t>of</w:t>
      </w:r>
      <w:proofErr w:type="spellEnd"/>
      <w:r w:rsidRPr="00D4751A">
        <w:rPr>
          <w:i/>
          <w:iCs/>
          <w:lang w:val="pt-BR" w:eastAsia="en-US"/>
        </w:rPr>
        <w:t xml:space="preserve"> </w:t>
      </w:r>
      <w:proofErr w:type="spellStart"/>
      <w:r w:rsidRPr="00D4751A">
        <w:rPr>
          <w:i/>
          <w:iCs/>
          <w:lang w:val="pt-BR" w:eastAsia="en-US"/>
        </w:rPr>
        <w:t>Neuroscience</w:t>
      </w:r>
      <w:proofErr w:type="spellEnd"/>
      <w:r w:rsidRPr="00D4751A">
        <w:rPr>
          <w:i/>
          <w:iCs/>
          <w:lang w:val="pt-BR" w:eastAsia="en-US"/>
        </w:rPr>
        <w:t xml:space="preserve"> </w:t>
      </w:r>
      <w:proofErr w:type="spellStart"/>
      <w:r w:rsidRPr="00D4751A">
        <w:rPr>
          <w:i/>
          <w:iCs/>
          <w:lang w:val="pt-BR" w:eastAsia="en-US"/>
        </w:rPr>
        <w:t>Methods</w:t>
      </w:r>
      <w:proofErr w:type="spellEnd"/>
      <w:r w:rsidRPr="00D4751A">
        <w:rPr>
          <w:lang w:val="pt-BR" w:eastAsia="en-US"/>
        </w:rPr>
        <w:t>, </w:t>
      </w:r>
      <w:r w:rsidRPr="00D4751A">
        <w:rPr>
          <w:i/>
          <w:iCs/>
          <w:lang w:val="pt-BR" w:eastAsia="en-US"/>
        </w:rPr>
        <w:t>222</w:t>
      </w:r>
      <w:r w:rsidRPr="00D4751A">
        <w:rPr>
          <w:lang w:val="pt-BR" w:eastAsia="en-US"/>
        </w:rPr>
        <w:t xml:space="preserve">, 250-259. </w:t>
      </w:r>
      <w:hyperlink r:id="rId40" w:history="1">
        <w:r w:rsidR="00FB0521" w:rsidRPr="00D4751A">
          <w:rPr>
            <w:rStyle w:val="Hipervnculo"/>
            <w:lang w:val="pt-BR" w:eastAsia="en-US"/>
          </w:rPr>
          <w:t>https://doi.org/10.1016/j.jneumeth.2013.10.024</w:t>
        </w:r>
      </w:hyperlink>
      <w:r w:rsidR="00FB0521">
        <w:rPr>
          <w:lang w:val="pt-BR" w:eastAsia="en-US"/>
        </w:rPr>
        <w:t xml:space="preserve"> </w:t>
      </w:r>
    </w:p>
    <w:p w14:paraId="49940193" w14:textId="1C95C474" w:rsidR="00D4751A" w:rsidRPr="004C1657" w:rsidRDefault="00D4751A" w:rsidP="00FC4499">
      <w:pPr>
        <w:autoSpaceDE w:val="0"/>
        <w:autoSpaceDN w:val="0"/>
        <w:adjustRightInd w:val="0"/>
        <w:ind w:left="742" w:hangingChars="309" w:hanging="742"/>
        <w:rPr>
          <w:lang w:val="en-US" w:eastAsia="en-US"/>
        </w:rPr>
      </w:pPr>
      <w:r w:rsidRPr="00D4751A">
        <w:rPr>
          <w:lang w:val="en-US" w:eastAsia="en-US"/>
        </w:rPr>
        <w:t xml:space="preserve">National Institute on Alcohol Abuse and Alcoholism (2017). Underage drinking. </w:t>
      </w:r>
      <w:proofErr w:type="spellStart"/>
      <w:r w:rsidRPr="004C1657">
        <w:rPr>
          <w:lang w:val="en-US" w:eastAsia="en-US"/>
        </w:rPr>
        <w:t>Recuperado</w:t>
      </w:r>
      <w:proofErr w:type="spellEnd"/>
      <w:r w:rsidRPr="004C1657">
        <w:rPr>
          <w:lang w:val="en-US" w:eastAsia="en-US"/>
        </w:rPr>
        <w:t xml:space="preserve"> de: </w:t>
      </w:r>
      <w:hyperlink r:id="rId41" w:history="1">
        <w:r w:rsidR="00FB0521" w:rsidRPr="004C1657">
          <w:rPr>
            <w:rStyle w:val="Hipervnculo"/>
            <w:lang w:val="en-US" w:eastAsia="en-US"/>
          </w:rPr>
          <w:t>https://pubs.niaaa.nih.gov/publications/underagedrinking/Underage_Fact.pdf</w:t>
        </w:r>
      </w:hyperlink>
      <w:r w:rsidR="00FB0521" w:rsidRPr="004C1657">
        <w:rPr>
          <w:lang w:val="en-US" w:eastAsia="en-US"/>
        </w:rPr>
        <w:t xml:space="preserve"> </w:t>
      </w:r>
    </w:p>
    <w:p w14:paraId="4E0D3C25" w14:textId="77777777" w:rsidR="00D4751A" w:rsidRPr="00D4751A" w:rsidRDefault="00D4751A" w:rsidP="00FC4499">
      <w:pPr>
        <w:autoSpaceDE w:val="0"/>
        <w:autoSpaceDN w:val="0"/>
        <w:adjustRightInd w:val="0"/>
        <w:ind w:left="742" w:hangingChars="309" w:hanging="742"/>
        <w:rPr>
          <w:lang w:val="en-US" w:eastAsia="en-US"/>
        </w:rPr>
      </w:pPr>
      <w:r w:rsidRPr="00D4751A">
        <w:rPr>
          <w:lang w:val="pt-BR" w:eastAsia="en-US"/>
        </w:rPr>
        <w:t xml:space="preserve">Patrick, M. E., </w:t>
      </w:r>
      <w:r w:rsidRPr="00D4751A">
        <w:rPr>
          <w:lang w:val="en-US" w:eastAsia="en-US"/>
        </w:rPr>
        <w:t>&amp;</w:t>
      </w:r>
      <w:r w:rsidRPr="00D4751A">
        <w:rPr>
          <w:lang w:val="pt-BR" w:eastAsia="en-US"/>
        </w:rPr>
        <w:t xml:space="preserve"> </w:t>
      </w:r>
      <w:proofErr w:type="spellStart"/>
      <w:r w:rsidRPr="00D4751A">
        <w:rPr>
          <w:lang w:val="pt-BR" w:eastAsia="en-US"/>
        </w:rPr>
        <w:t>Schulenberg</w:t>
      </w:r>
      <w:proofErr w:type="spellEnd"/>
      <w:r w:rsidRPr="00D4751A">
        <w:rPr>
          <w:lang w:val="pt-BR" w:eastAsia="en-US"/>
        </w:rPr>
        <w:t xml:space="preserve">, J. E. (2013). </w:t>
      </w:r>
      <w:proofErr w:type="spellStart"/>
      <w:r w:rsidRPr="00D4751A">
        <w:rPr>
          <w:lang w:val="pt-BR" w:eastAsia="en-US"/>
        </w:rPr>
        <w:t>Prevalence</w:t>
      </w:r>
      <w:proofErr w:type="spellEnd"/>
      <w:r w:rsidRPr="00D4751A">
        <w:rPr>
          <w:lang w:val="pt-BR" w:eastAsia="en-US"/>
        </w:rPr>
        <w:t xml:space="preserve"> </w:t>
      </w:r>
      <w:proofErr w:type="spellStart"/>
      <w:r w:rsidRPr="00D4751A">
        <w:rPr>
          <w:lang w:val="pt-BR" w:eastAsia="en-US"/>
        </w:rPr>
        <w:t>and</w:t>
      </w:r>
      <w:proofErr w:type="spellEnd"/>
      <w:r w:rsidRPr="00D4751A">
        <w:rPr>
          <w:lang w:val="pt-BR" w:eastAsia="en-US"/>
        </w:rPr>
        <w:t xml:space="preserve"> </w:t>
      </w:r>
      <w:proofErr w:type="spellStart"/>
      <w:r w:rsidRPr="00D4751A">
        <w:rPr>
          <w:lang w:val="pt-BR" w:eastAsia="en-US"/>
        </w:rPr>
        <w:t>predictors</w:t>
      </w:r>
      <w:proofErr w:type="spellEnd"/>
      <w:r w:rsidRPr="00D4751A">
        <w:rPr>
          <w:lang w:val="pt-BR" w:eastAsia="en-US"/>
        </w:rPr>
        <w:t xml:space="preserve"> </w:t>
      </w:r>
      <w:proofErr w:type="spellStart"/>
      <w:r w:rsidRPr="00D4751A">
        <w:rPr>
          <w:lang w:val="pt-BR" w:eastAsia="en-US"/>
        </w:rPr>
        <w:t>of</w:t>
      </w:r>
      <w:proofErr w:type="spellEnd"/>
      <w:r w:rsidRPr="00D4751A">
        <w:rPr>
          <w:lang w:val="pt-BR" w:eastAsia="en-US"/>
        </w:rPr>
        <w:t xml:space="preserve"> </w:t>
      </w:r>
      <w:proofErr w:type="spellStart"/>
      <w:r w:rsidRPr="00D4751A">
        <w:rPr>
          <w:lang w:val="pt-BR" w:eastAsia="en-US"/>
        </w:rPr>
        <w:t>adolescent</w:t>
      </w:r>
      <w:proofErr w:type="spellEnd"/>
      <w:r w:rsidRPr="00D4751A">
        <w:rPr>
          <w:lang w:val="pt-BR" w:eastAsia="en-US"/>
        </w:rPr>
        <w:t xml:space="preserve"> </w:t>
      </w:r>
      <w:proofErr w:type="spellStart"/>
      <w:r w:rsidRPr="00D4751A">
        <w:rPr>
          <w:lang w:val="pt-BR" w:eastAsia="en-US"/>
        </w:rPr>
        <w:t>alcohol</w:t>
      </w:r>
      <w:proofErr w:type="spellEnd"/>
      <w:r w:rsidRPr="00D4751A">
        <w:rPr>
          <w:lang w:val="pt-BR" w:eastAsia="en-US"/>
        </w:rPr>
        <w:t xml:space="preserve"> use </w:t>
      </w:r>
      <w:proofErr w:type="spellStart"/>
      <w:r w:rsidRPr="00D4751A">
        <w:rPr>
          <w:lang w:val="pt-BR" w:eastAsia="en-US"/>
        </w:rPr>
        <w:t>and</w:t>
      </w:r>
      <w:proofErr w:type="spellEnd"/>
      <w:r w:rsidRPr="00D4751A">
        <w:rPr>
          <w:lang w:val="pt-BR" w:eastAsia="en-US"/>
        </w:rPr>
        <w:t xml:space="preserve"> binge drinking in </w:t>
      </w:r>
      <w:proofErr w:type="spellStart"/>
      <w:r w:rsidRPr="00D4751A">
        <w:rPr>
          <w:lang w:val="pt-BR" w:eastAsia="en-US"/>
        </w:rPr>
        <w:t>the</w:t>
      </w:r>
      <w:proofErr w:type="spellEnd"/>
      <w:r w:rsidRPr="00D4751A">
        <w:rPr>
          <w:lang w:val="pt-BR" w:eastAsia="en-US"/>
        </w:rPr>
        <w:t xml:space="preserve"> United States. </w:t>
      </w:r>
      <w:proofErr w:type="spellStart"/>
      <w:r w:rsidRPr="00D4751A">
        <w:rPr>
          <w:i/>
          <w:iCs/>
          <w:lang w:val="pt-BR" w:eastAsia="en-US"/>
        </w:rPr>
        <w:t>Alcohol</w:t>
      </w:r>
      <w:proofErr w:type="spellEnd"/>
      <w:r w:rsidRPr="00D4751A">
        <w:rPr>
          <w:i/>
          <w:iCs/>
          <w:lang w:val="pt-BR" w:eastAsia="en-US"/>
        </w:rPr>
        <w:t xml:space="preserve"> </w:t>
      </w:r>
      <w:proofErr w:type="spellStart"/>
      <w:r w:rsidRPr="00D4751A">
        <w:rPr>
          <w:i/>
          <w:iCs/>
          <w:lang w:val="pt-BR" w:eastAsia="en-US"/>
        </w:rPr>
        <w:t>Research</w:t>
      </w:r>
      <w:proofErr w:type="spellEnd"/>
      <w:r w:rsidRPr="00D4751A">
        <w:rPr>
          <w:i/>
          <w:iCs/>
          <w:lang w:val="pt-BR" w:eastAsia="en-US"/>
        </w:rPr>
        <w:t xml:space="preserve">: </w:t>
      </w:r>
      <w:proofErr w:type="spellStart"/>
      <w:r w:rsidRPr="00D4751A">
        <w:rPr>
          <w:i/>
          <w:iCs/>
          <w:lang w:val="pt-BR" w:eastAsia="en-US"/>
        </w:rPr>
        <w:t>Current</w:t>
      </w:r>
      <w:proofErr w:type="spellEnd"/>
      <w:r w:rsidRPr="00D4751A">
        <w:rPr>
          <w:i/>
          <w:iCs/>
          <w:lang w:val="pt-BR" w:eastAsia="en-US"/>
        </w:rPr>
        <w:t xml:space="preserve"> Reviews</w:t>
      </w:r>
      <w:r w:rsidRPr="00D4751A">
        <w:rPr>
          <w:lang w:val="pt-BR" w:eastAsia="en-US"/>
        </w:rPr>
        <w:t>, </w:t>
      </w:r>
      <w:r w:rsidRPr="00D4751A">
        <w:rPr>
          <w:i/>
          <w:iCs/>
          <w:lang w:val="pt-BR" w:eastAsia="en-US"/>
        </w:rPr>
        <w:t>35</w:t>
      </w:r>
      <w:r w:rsidRPr="00D4751A">
        <w:rPr>
          <w:lang w:val="pt-BR" w:eastAsia="en-US"/>
        </w:rPr>
        <w:t>(2), 193–200.</w:t>
      </w:r>
    </w:p>
    <w:p w14:paraId="6CC925D0" w14:textId="42E98F7C" w:rsidR="00D4751A" w:rsidRPr="00D4751A" w:rsidRDefault="00D4751A" w:rsidP="00FC4499">
      <w:pPr>
        <w:autoSpaceDE w:val="0"/>
        <w:autoSpaceDN w:val="0"/>
        <w:adjustRightInd w:val="0"/>
        <w:ind w:left="742" w:hangingChars="309" w:hanging="742"/>
        <w:rPr>
          <w:lang w:val="en-US" w:eastAsia="en-US"/>
        </w:rPr>
      </w:pPr>
      <w:proofErr w:type="spellStart"/>
      <w:r w:rsidRPr="00D4751A">
        <w:rPr>
          <w:lang w:val="en-US" w:eastAsia="en-US"/>
        </w:rPr>
        <w:t>Peeters</w:t>
      </w:r>
      <w:proofErr w:type="spellEnd"/>
      <w:r w:rsidRPr="00D4751A">
        <w:rPr>
          <w:lang w:val="en-US" w:eastAsia="en-US"/>
        </w:rPr>
        <w:t xml:space="preserve">, M., </w:t>
      </w:r>
      <w:proofErr w:type="spellStart"/>
      <w:r w:rsidRPr="00D4751A">
        <w:rPr>
          <w:lang w:val="en-US" w:eastAsia="en-US"/>
        </w:rPr>
        <w:t>Vollebergh</w:t>
      </w:r>
      <w:proofErr w:type="spellEnd"/>
      <w:r w:rsidRPr="00D4751A">
        <w:rPr>
          <w:lang w:val="en-US" w:eastAsia="en-US"/>
        </w:rPr>
        <w:t xml:space="preserve">, W., </w:t>
      </w:r>
      <w:proofErr w:type="spellStart"/>
      <w:r w:rsidRPr="00D4751A">
        <w:rPr>
          <w:lang w:val="en-US" w:eastAsia="en-US"/>
        </w:rPr>
        <w:t>Wiers</w:t>
      </w:r>
      <w:proofErr w:type="spellEnd"/>
      <w:r w:rsidRPr="00D4751A">
        <w:rPr>
          <w:lang w:val="en-US" w:eastAsia="en-US"/>
        </w:rPr>
        <w:t xml:space="preserve">, R., &amp; Field, M. (2013). Psychological Changes and Cognitive Impairments in Adolescent Heavy Drinkers. </w:t>
      </w:r>
      <w:r w:rsidRPr="00D4751A">
        <w:rPr>
          <w:i/>
          <w:lang w:val="en-US" w:eastAsia="en-US"/>
        </w:rPr>
        <w:t>Alcohol and Alcoholism, 49</w:t>
      </w:r>
      <w:r w:rsidRPr="00D4751A">
        <w:rPr>
          <w:lang w:val="en-US" w:eastAsia="en-US"/>
        </w:rPr>
        <w:t xml:space="preserve">, 182-186. </w:t>
      </w:r>
      <w:hyperlink r:id="rId42" w:history="1">
        <w:r w:rsidR="00FB0521" w:rsidRPr="00D4751A">
          <w:rPr>
            <w:rStyle w:val="Hipervnculo"/>
            <w:lang w:val="en-US" w:eastAsia="en-US"/>
          </w:rPr>
          <w:t>https://doi.org/10.1093/alcalc/agt162</w:t>
        </w:r>
      </w:hyperlink>
      <w:r w:rsidR="00FB0521">
        <w:rPr>
          <w:lang w:val="en-US" w:eastAsia="en-US"/>
        </w:rPr>
        <w:t xml:space="preserve"> </w:t>
      </w:r>
    </w:p>
    <w:p w14:paraId="7BBC9C9D" w14:textId="77777777" w:rsidR="00D4751A" w:rsidRPr="00D4751A" w:rsidRDefault="00D4751A" w:rsidP="00FC4499">
      <w:pPr>
        <w:autoSpaceDE w:val="0"/>
        <w:autoSpaceDN w:val="0"/>
        <w:adjustRightInd w:val="0"/>
        <w:ind w:left="742" w:hangingChars="309" w:hanging="742"/>
        <w:rPr>
          <w:rFonts w:eastAsia="Calibri"/>
          <w:bCs/>
          <w:lang w:val="es-AR" w:eastAsia="en-US"/>
        </w:rPr>
      </w:pPr>
      <w:r w:rsidRPr="00D4751A">
        <w:rPr>
          <w:rFonts w:eastAsia="Calibri"/>
          <w:bCs/>
          <w:lang w:val="pt-BR" w:eastAsia="en-US"/>
        </w:rPr>
        <w:t xml:space="preserve">Pilatti, A., Fernández, C., Viola, A., García, J. S., </w:t>
      </w:r>
      <w:r w:rsidRPr="00D4751A">
        <w:rPr>
          <w:lang w:val="en-US" w:eastAsia="en-US"/>
        </w:rPr>
        <w:t>&amp;</w:t>
      </w:r>
      <w:r w:rsidRPr="00D4751A">
        <w:rPr>
          <w:rFonts w:eastAsia="Calibri"/>
          <w:bCs/>
          <w:lang w:val="pt-BR" w:eastAsia="en-US"/>
        </w:rPr>
        <w:t xml:space="preserve"> Pautassi, R. M. (2017). </w:t>
      </w:r>
      <w:proofErr w:type="spellStart"/>
      <w:r w:rsidRPr="00D4751A">
        <w:rPr>
          <w:rFonts w:eastAsia="Calibri"/>
          <w:bCs/>
          <w:lang w:val="pt-BR" w:eastAsia="en-US"/>
        </w:rPr>
        <w:t>Efecto</w:t>
      </w:r>
      <w:proofErr w:type="spellEnd"/>
      <w:r w:rsidRPr="00D4751A">
        <w:rPr>
          <w:rFonts w:eastAsia="Calibri"/>
          <w:bCs/>
          <w:lang w:val="pt-BR" w:eastAsia="en-US"/>
        </w:rPr>
        <w:t xml:space="preserve"> recíproco de </w:t>
      </w:r>
      <w:proofErr w:type="spellStart"/>
      <w:r w:rsidRPr="00D4751A">
        <w:rPr>
          <w:rFonts w:eastAsia="Calibri"/>
          <w:bCs/>
          <w:lang w:val="pt-BR" w:eastAsia="en-US"/>
        </w:rPr>
        <w:t>impulsividad</w:t>
      </w:r>
      <w:proofErr w:type="spellEnd"/>
      <w:r w:rsidRPr="00D4751A">
        <w:rPr>
          <w:rFonts w:eastAsia="Calibri"/>
          <w:bCs/>
          <w:lang w:val="pt-BR" w:eastAsia="en-US"/>
        </w:rPr>
        <w:t xml:space="preserve"> y consumo de </w:t>
      </w:r>
      <w:proofErr w:type="spellStart"/>
      <w:r w:rsidRPr="00D4751A">
        <w:rPr>
          <w:rFonts w:eastAsia="Calibri"/>
          <w:bCs/>
          <w:lang w:val="pt-BR" w:eastAsia="en-US"/>
        </w:rPr>
        <w:t>alcohol</w:t>
      </w:r>
      <w:proofErr w:type="spellEnd"/>
      <w:r w:rsidRPr="00D4751A">
        <w:rPr>
          <w:rFonts w:eastAsia="Calibri"/>
          <w:bCs/>
          <w:lang w:val="pt-BR" w:eastAsia="en-US"/>
        </w:rPr>
        <w:t xml:space="preserve"> </w:t>
      </w:r>
      <w:proofErr w:type="spellStart"/>
      <w:r w:rsidRPr="00D4751A">
        <w:rPr>
          <w:rFonts w:eastAsia="Calibri"/>
          <w:bCs/>
          <w:lang w:val="pt-BR" w:eastAsia="en-US"/>
        </w:rPr>
        <w:t>en</w:t>
      </w:r>
      <w:proofErr w:type="spellEnd"/>
      <w:r w:rsidRPr="00D4751A">
        <w:rPr>
          <w:rFonts w:eastAsia="Calibri"/>
          <w:bCs/>
          <w:lang w:val="pt-BR" w:eastAsia="en-US"/>
        </w:rPr>
        <w:t xml:space="preserve"> adolescentes argentinos. </w:t>
      </w:r>
      <w:proofErr w:type="spellStart"/>
      <w:r w:rsidRPr="00D4751A">
        <w:rPr>
          <w:rFonts w:eastAsia="Calibri"/>
          <w:bCs/>
          <w:i/>
          <w:iCs/>
          <w:lang w:val="pt-BR" w:eastAsia="en-US"/>
        </w:rPr>
        <w:t>Salud</w:t>
      </w:r>
      <w:proofErr w:type="spellEnd"/>
      <w:r w:rsidRPr="00D4751A">
        <w:rPr>
          <w:rFonts w:eastAsia="Calibri"/>
          <w:bCs/>
          <w:i/>
          <w:iCs/>
          <w:lang w:val="pt-BR" w:eastAsia="en-US"/>
        </w:rPr>
        <w:t xml:space="preserve"> y Drogas</w:t>
      </w:r>
      <w:r w:rsidRPr="00D4751A">
        <w:rPr>
          <w:rFonts w:eastAsia="Calibri"/>
          <w:bCs/>
          <w:lang w:val="pt-BR" w:eastAsia="en-US"/>
        </w:rPr>
        <w:t>, </w:t>
      </w:r>
      <w:r w:rsidRPr="00D4751A">
        <w:rPr>
          <w:rFonts w:eastAsia="Calibri"/>
          <w:bCs/>
          <w:i/>
          <w:iCs/>
          <w:lang w:val="pt-BR" w:eastAsia="en-US"/>
        </w:rPr>
        <w:t>17</w:t>
      </w:r>
      <w:r w:rsidRPr="00D4751A">
        <w:rPr>
          <w:rFonts w:eastAsia="Calibri"/>
          <w:bCs/>
          <w:lang w:val="pt-BR" w:eastAsia="en-US"/>
        </w:rPr>
        <w:t>(1), 107-120.</w:t>
      </w:r>
    </w:p>
    <w:p w14:paraId="0DD11D36" w14:textId="776D9CFA" w:rsidR="00D4751A" w:rsidRPr="00D4751A" w:rsidRDefault="00D4751A" w:rsidP="00FC4499">
      <w:pPr>
        <w:autoSpaceDE w:val="0"/>
        <w:autoSpaceDN w:val="0"/>
        <w:adjustRightInd w:val="0"/>
        <w:ind w:left="742" w:hangingChars="309" w:hanging="742"/>
        <w:rPr>
          <w:rFonts w:eastAsia="Calibri"/>
          <w:bCs/>
          <w:lang w:val="es-AR" w:eastAsia="en-US"/>
        </w:rPr>
      </w:pPr>
      <w:r w:rsidRPr="00D4751A">
        <w:rPr>
          <w:rFonts w:eastAsia="Calibri"/>
          <w:bCs/>
          <w:lang w:val="es-AR" w:eastAsia="en-US"/>
        </w:rPr>
        <w:t xml:space="preserve">Pilatti, A., Godoy, J. C., Brussino, S., </w:t>
      </w:r>
      <w:r w:rsidRPr="00D4751A">
        <w:rPr>
          <w:lang w:val="es-AR" w:eastAsia="en-US"/>
        </w:rPr>
        <w:t>&amp;</w:t>
      </w:r>
      <w:r w:rsidRPr="00D4751A">
        <w:rPr>
          <w:rFonts w:eastAsia="Calibri"/>
          <w:bCs/>
          <w:lang w:val="es-AR" w:eastAsia="en-US"/>
        </w:rPr>
        <w:t xml:space="preserve"> Pautassi, R. M. (2013). </w:t>
      </w:r>
      <w:r w:rsidRPr="00D4751A">
        <w:rPr>
          <w:rFonts w:eastAsia="Calibri"/>
          <w:bCs/>
          <w:lang w:val="en-US" w:eastAsia="en-US"/>
        </w:rPr>
        <w:t xml:space="preserve">Underage drinking: prevalence and risk factors associated with drinking experiences among Argentinean children. </w:t>
      </w:r>
      <w:r w:rsidRPr="00D4751A">
        <w:rPr>
          <w:rFonts w:eastAsia="Calibri"/>
          <w:bCs/>
          <w:i/>
          <w:iCs/>
          <w:lang w:val="es-AR" w:eastAsia="en-US"/>
        </w:rPr>
        <w:t>Alcohol, 47</w:t>
      </w:r>
      <w:r w:rsidRPr="00D4751A">
        <w:rPr>
          <w:rFonts w:eastAsia="Calibri"/>
          <w:bCs/>
          <w:lang w:val="es-AR" w:eastAsia="en-US"/>
        </w:rPr>
        <w:t>(4), 323-331.</w:t>
      </w:r>
      <w:r w:rsidR="000E650E">
        <w:rPr>
          <w:rFonts w:eastAsia="Calibri"/>
          <w:bCs/>
          <w:lang w:val="es-AR" w:eastAsia="en-US"/>
        </w:rPr>
        <w:t xml:space="preserve"> </w:t>
      </w:r>
      <w:hyperlink r:id="rId43" w:history="1">
        <w:r w:rsidR="000E650E" w:rsidRPr="00FC382E">
          <w:rPr>
            <w:rStyle w:val="Hipervnculo"/>
            <w:rFonts w:eastAsia="Calibri"/>
            <w:bCs/>
            <w:lang w:val="es-AR" w:eastAsia="en-US"/>
          </w:rPr>
          <w:t>https://doi.org/10.1016/j.alcohol.2013.02.001</w:t>
        </w:r>
      </w:hyperlink>
      <w:r w:rsidR="000E650E">
        <w:rPr>
          <w:rFonts w:eastAsia="Calibri"/>
          <w:bCs/>
          <w:lang w:val="es-AR" w:eastAsia="en-US"/>
        </w:rPr>
        <w:t xml:space="preserve"> </w:t>
      </w:r>
    </w:p>
    <w:p w14:paraId="2A5A62EE" w14:textId="561E9583" w:rsidR="00D4751A" w:rsidRPr="00D4751A" w:rsidRDefault="00D4751A" w:rsidP="00FC4499">
      <w:pPr>
        <w:autoSpaceDE w:val="0"/>
        <w:autoSpaceDN w:val="0"/>
        <w:adjustRightInd w:val="0"/>
        <w:ind w:left="742" w:hangingChars="309" w:hanging="742"/>
        <w:rPr>
          <w:rFonts w:eastAsia="Calibri"/>
          <w:bCs/>
          <w:lang w:val="es-AR" w:eastAsia="en-US"/>
        </w:rPr>
      </w:pPr>
      <w:r w:rsidRPr="00D4751A">
        <w:rPr>
          <w:rFonts w:eastAsia="Calibri"/>
          <w:bCs/>
          <w:lang w:val="es-AR" w:eastAsia="en-US"/>
        </w:rPr>
        <w:t xml:space="preserve">Pilatti, A., Rivarola Montejano, G., Lozano, O., </w:t>
      </w:r>
      <w:r w:rsidRPr="00D4751A">
        <w:rPr>
          <w:lang w:val="es-AR" w:eastAsia="en-US"/>
        </w:rPr>
        <w:t>&amp;</w:t>
      </w:r>
      <w:r w:rsidRPr="00D4751A">
        <w:rPr>
          <w:rFonts w:eastAsia="Calibri"/>
          <w:bCs/>
          <w:lang w:val="es-AR" w:eastAsia="en-US"/>
        </w:rPr>
        <w:t xml:space="preserve"> Pautassi, R. (2016). Relación entre impulsividad y consumo de alcohol en hombres y mujeres argentinos. </w:t>
      </w:r>
      <w:proofErr w:type="spellStart"/>
      <w:r w:rsidRPr="00D4751A">
        <w:rPr>
          <w:rFonts w:eastAsia="Calibri"/>
          <w:bCs/>
          <w:i/>
          <w:lang w:val="es-AR" w:eastAsia="en-US"/>
        </w:rPr>
        <w:t>Quaderns</w:t>
      </w:r>
      <w:proofErr w:type="spellEnd"/>
      <w:r w:rsidRPr="00D4751A">
        <w:rPr>
          <w:rFonts w:eastAsia="Calibri"/>
          <w:bCs/>
          <w:i/>
          <w:lang w:val="es-AR" w:eastAsia="en-US"/>
        </w:rPr>
        <w:t xml:space="preserve"> de Psicología, 18</w:t>
      </w:r>
      <w:r w:rsidRPr="00D4751A">
        <w:rPr>
          <w:rFonts w:eastAsia="Calibri"/>
          <w:bCs/>
          <w:lang w:val="es-AR" w:eastAsia="en-US"/>
        </w:rPr>
        <w:t xml:space="preserve">, 75-91. </w:t>
      </w:r>
      <w:hyperlink r:id="rId44" w:history="1">
        <w:r w:rsidR="000E650E" w:rsidRPr="00FC382E">
          <w:rPr>
            <w:rStyle w:val="Hipervnculo"/>
            <w:rFonts w:eastAsia="Calibri"/>
            <w:bCs/>
            <w:lang w:val="es-AR" w:eastAsia="en-US"/>
          </w:rPr>
          <w:t>https://doi.org/10.5565/rev/qpsicologia.1329</w:t>
        </w:r>
      </w:hyperlink>
      <w:r w:rsidR="000E650E">
        <w:rPr>
          <w:rFonts w:eastAsia="Calibri"/>
          <w:bCs/>
          <w:lang w:val="es-AR" w:eastAsia="en-US"/>
        </w:rPr>
        <w:t xml:space="preserve"> </w:t>
      </w:r>
    </w:p>
    <w:p w14:paraId="689214C8" w14:textId="5FB4F778" w:rsidR="00D4751A" w:rsidRPr="00D4751A" w:rsidRDefault="00D4751A" w:rsidP="00FC4499">
      <w:pPr>
        <w:autoSpaceDE w:val="0"/>
        <w:autoSpaceDN w:val="0"/>
        <w:adjustRightInd w:val="0"/>
        <w:ind w:left="742" w:hangingChars="309" w:hanging="742"/>
        <w:rPr>
          <w:rFonts w:eastAsia="Calibri"/>
          <w:bCs/>
          <w:lang w:val="en-US" w:eastAsia="en-US"/>
        </w:rPr>
      </w:pPr>
      <w:proofErr w:type="spellStart"/>
      <w:r w:rsidRPr="00D4751A">
        <w:rPr>
          <w:rFonts w:eastAsia="Calibri"/>
          <w:bCs/>
          <w:lang w:val="pt-BR" w:eastAsia="en-US"/>
        </w:rPr>
        <w:t>Pingault</w:t>
      </w:r>
      <w:proofErr w:type="spellEnd"/>
      <w:r w:rsidRPr="00D4751A">
        <w:rPr>
          <w:rFonts w:eastAsia="Calibri"/>
          <w:bCs/>
          <w:lang w:val="pt-BR" w:eastAsia="en-US"/>
        </w:rPr>
        <w:t xml:space="preserve">, J. B., Côté, S. M., </w:t>
      </w:r>
      <w:proofErr w:type="spellStart"/>
      <w:r w:rsidRPr="00D4751A">
        <w:rPr>
          <w:rFonts w:eastAsia="Calibri"/>
          <w:bCs/>
          <w:lang w:val="pt-BR" w:eastAsia="en-US"/>
        </w:rPr>
        <w:t>Galéra</w:t>
      </w:r>
      <w:proofErr w:type="spellEnd"/>
      <w:r w:rsidRPr="00D4751A">
        <w:rPr>
          <w:rFonts w:eastAsia="Calibri"/>
          <w:bCs/>
          <w:lang w:val="pt-BR" w:eastAsia="en-US"/>
        </w:rPr>
        <w:t xml:space="preserve">, C., </w:t>
      </w:r>
      <w:proofErr w:type="spellStart"/>
      <w:r w:rsidRPr="00D4751A">
        <w:rPr>
          <w:rFonts w:eastAsia="Calibri"/>
          <w:bCs/>
          <w:lang w:val="pt-BR" w:eastAsia="en-US"/>
        </w:rPr>
        <w:t>Genolini</w:t>
      </w:r>
      <w:proofErr w:type="spellEnd"/>
      <w:r w:rsidRPr="00D4751A">
        <w:rPr>
          <w:rFonts w:eastAsia="Calibri"/>
          <w:bCs/>
          <w:lang w:val="pt-BR" w:eastAsia="en-US"/>
        </w:rPr>
        <w:t xml:space="preserve">, C., </w:t>
      </w:r>
      <w:proofErr w:type="spellStart"/>
      <w:r w:rsidRPr="00D4751A">
        <w:rPr>
          <w:rFonts w:eastAsia="Calibri"/>
          <w:bCs/>
          <w:lang w:val="pt-BR" w:eastAsia="en-US"/>
        </w:rPr>
        <w:t>Falissard</w:t>
      </w:r>
      <w:proofErr w:type="spellEnd"/>
      <w:r w:rsidRPr="00D4751A">
        <w:rPr>
          <w:rFonts w:eastAsia="Calibri"/>
          <w:bCs/>
          <w:lang w:val="pt-BR" w:eastAsia="en-US"/>
        </w:rPr>
        <w:t xml:space="preserve">, B., </w:t>
      </w:r>
      <w:proofErr w:type="spellStart"/>
      <w:r w:rsidRPr="00D4751A">
        <w:rPr>
          <w:rFonts w:eastAsia="Calibri"/>
          <w:bCs/>
          <w:lang w:val="pt-BR" w:eastAsia="en-US"/>
        </w:rPr>
        <w:t>Vitaro</w:t>
      </w:r>
      <w:proofErr w:type="spellEnd"/>
      <w:r w:rsidRPr="00D4751A">
        <w:rPr>
          <w:rFonts w:eastAsia="Calibri"/>
          <w:bCs/>
          <w:lang w:val="pt-BR" w:eastAsia="en-US"/>
        </w:rPr>
        <w:t xml:space="preserve">, F., </w:t>
      </w:r>
      <w:r w:rsidRPr="00D4751A">
        <w:rPr>
          <w:lang w:val="es-AR" w:eastAsia="en-US"/>
        </w:rPr>
        <w:t>&amp;</w:t>
      </w:r>
      <w:r w:rsidRPr="00D4751A">
        <w:rPr>
          <w:rFonts w:eastAsia="Calibri"/>
          <w:bCs/>
          <w:lang w:val="pt-BR" w:eastAsia="en-US"/>
        </w:rPr>
        <w:t xml:space="preserve"> </w:t>
      </w:r>
      <w:proofErr w:type="spellStart"/>
      <w:r w:rsidRPr="00D4751A">
        <w:rPr>
          <w:rFonts w:eastAsia="Calibri"/>
          <w:bCs/>
          <w:lang w:val="pt-BR" w:eastAsia="en-US"/>
        </w:rPr>
        <w:t>Tremblay</w:t>
      </w:r>
      <w:proofErr w:type="spellEnd"/>
      <w:r w:rsidRPr="00D4751A">
        <w:rPr>
          <w:rFonts w:eastAsia="Calibri"/>
          <w:bCs/>
          <w:lang w:val="pt-BR" w:eastAsia="en-US"/>
        </w:rPr>
        <w:t xml:space="preserve">, R. E. (2013). </w:t>
      </w:r>
      <w:proofErr w:type="spellStart"/>
      <w:r w:rsidRPr="00D4751A">
        <w:rPr>
          <w:rFonts w:eastAsia="Calibri"/>
          <w:bCs/>
          <w:lang w:val="pt-BR" w:eastAsia="en-US"/>
        </w:rPr>
        <w:t>Childhood</w:t>
      </w:r>
      <w:proofErr w:type="spellEnd"/>
      <w:r w:rsidRPr="00D4751A">
        <w:rPr>
          <w:rFonts w:eastAsia="Calibri"/>
          <w:bCs/>
          <w:lang w:val="pt-BR" w:eastAsia="en-US"/>
        </w:rPr>
        <w:t xml:space="preserve"> </w:t>
      </w:r>
      <w:proofErr w:type="spellStart"/>
      <w:r w:rsidRPr="00D4751A">
        <w:rPr>
          <w:rFonts w:eastAsia="Calibri"/>
          <w:bCs/>
          <w:lang w:val="pt-BR" w:eastAsia="en-US"/>
        </w:rPr>
        <w:t>trajectories</w:t>
      </w:r>
      <w:proofErr w:type="spellEnd"/>
      <w:r w:rsidRPr="00D4751A">
        <w:rPr>
          <w:rFonts w:eastAsia="Calibri"/>
          <w:bCs/>
          <w:lang w:val="pt-BR" w:eastAsia="en-US"/>
        </w:rPr>
        <w:t xml:space="preserve"> </w:t>
      </w:r>
      <w:proofErr w:type="spellStart"/>
      <w:r w:rsidRPr="00D4751A">
        <w:rPr>
          <w:rFonts w:eastAsia="Calibri"/>
          <w:bCs/>
          <w:lang w:val="pt-BR" w:eastAsia="en-US"/>
        </w:rPr>
        <w:t>of</w:t>
      </w:r>
      <w:proofErr w:type="spellEnd"/>
      <w:r w:rsidRPr="00D4751A">
        <w:rPr>
          <w:rFonts w:eastAsia="Calibri"/>
          <w:bCs/>
          <w:lang w:val="pt-BR" w:eastAsia="en-US"/>
        </w:rPr>
        <w:t xml:space="preserve"> </w:t>
      </w:r>
      <w:proofErr w:type="spellStart"/>
      <w:r w:rsidRPr="00D4751A">
        <w:rPr>
          <w:rFonts w:eastAsia="Calibri"/>
          <w:bCs/>
          <w:lang w:val="pt-BR" w:eastAsia="en-US"/>
        </w:rPr>
        <w:t>inattention</w:t>
      </w:r>
      <w:proofErr w:type="spellEnd"/>
      <w:r w:rsidRPr="00D4751A">
        <w:rPr>
          <w:rFonts w:eastAsia="Calibri"/>
          <w:bCs/>
          <w:lang w:val="pt-BR" w:eastAsia="en-US"/>
        </w:rPr>
        <w:t xml:space="preserve">, </w:t>
      </w:r>
      <w:proofErr w:type="spellStart"/>
      <w:r w:rsidRPr="00D4751A">
        <w:rPr>
          <w:rFonts w:eastAsia="Calibri"/>
          <w:bCs/>
          <w:lang w:val="pt-BR" w:eastAsia="en-US"/>
        </w:rPr>
        <w:t>hyperactivity</w:t>
      </w:r>
      <w:proofErr w:type="spellEnd"/>
      <w:r w:rsidRPr="00D4751A">
        <w:rPr>
          <w:rFonts w:eastAsia="Calibri"/>
          <w:bCs/>
          <w:lang w:val="pt-BR" w:eastAsia="en-US"/>
        </w:rPr>
        <w:t xml:space="preserve"> </w:t>
      </w:r>
      <w:proofErr w:type="spellStart"/>
      <w:r w:rsidRPr="00D4751A">
        <w:rPr>
          <w:rFonts w:eastAsia="Calibri"/>
          <w:bCs/>
          <w:lang w:val="pt-BR" w:eastAsia="en-US"/>
        </w:rPr>
        <w:t>and</w:t>
      </w:r>
      <w:proofErr w:type="spellEnd"/>
      <w:r w:rsidRPr="00D4751A">
        <w:rPr>
          <w:rFonts w:eastAsia="Calibri"/>
          <w:bCs/>
          <w:lang w:val="pt-BR" w:eastAsia="en-US"/>
        </w:rPr>
        <w:t xml:space="preserve"> </w:t>
      </w:r>
      <w:proofErr w:type="spellStart"/>
      <w:r w:rsidRPr="00D4751A">
        <w:rPr>
          <w:rFonts w:eastAsia="Calibri"/>
          <w:bCs/>
          <w:lang w:val="pt-BR" w:eastAsia="en-US"/>
        </w:rPr>
        <w:t>oppositional</w:t>
      </w:r>
      <w:proofErr w:type="spellEnd"/>
      <w:r w:rsidRPr="00D4751A">
        <w:rPr>
          <w:rFonts w:eastAsia="Calibri"/>
          <w:bCs/>
          <w:lang w:val="pt-BR" w:eastAsia="en-US"/>
        </w:rPr>
        <w:t xml:space="preserve"> </w:t>
      </w:r>
      <w:proofErr w:type="spellStart"/>
      <w:r w:rsidRPr="00D4751A">
        <w:rPr>
          <w:rFonts w:eastAsia="Calibri"/>
          <w:bCs/>
          <w:lang w:val="pt-BR" w:eastAsia="en-US"/>
        </w:rPr>
        <w:t>behaviors</w:t>
      </w:r>
      <w:proofErr w:type="spellEnd"/>
      <w:r w:rsidRPr="00D4751A">
        <w:rPr>
          <w:rFonts w:eastAsia="Calibri"/>
          <w:bCs/>
          <w:lang w:val="pt-BR" w:eastAsia="en-US"/>
        </w:rPr>
        <w:t xml:space="preserve"> </w:t>
      </w:r>
      <w:proofErr w:type="spellStart"/>
      <w:r w:rsidRPr="00D4751A">
        <w:rPr>
          <w:rFonts w:eastAsia="Calibri"/>
          <w:bCs/>
          <w:lang w:val="pt-BR" w:eastAsia="en-US"/>
        </w:rPr>
        <w:t>and</w:t>
      </w:r>
      <w:proofErr w:type="spellEnd"/>
      <w:r w:rsidRPr="00D4751A">
        <w:rPr>
          <w:rFonts w:eastAsia="Calibri"/>
          <w:bCs/>
          <w:lang w:val="pt-BR" w:eastAsia="en-US"/>
        </w:rPr>
        <w:t xml:space="preserve"> </w:t>
      </w:r>
      <w:proofErr w:type="spellStart"/>
      <w:r w:rsidRPr="00D4751A">
        <w:rPr>
          <w:rFonts w:eastAsia="Calibri"/>
          <w:bCs/>
          <w:lang w:val="pt-BR" w:eastAsia="en-US"/>
        </w:rPr>
        <w:t>prediction</w:t>
      </w:r>
      <w:proofErr w:type="spellEnd"/>
      <w:r w:rsidRPr="00D4751A">
        <w:rPr>
          <w:rFonts w:eastAsia="Calibri"/>
          <w:bCs/>
          <w:lang w:val="pt-BR" w:eastAsia="en-US"/>
        </w:rPr>
        <w:t xml:space="preserve"> </w:t>
      </w:r>
      <w:proofErr w:type="spellStart"/>
      <w:r w:rsidRPr="00D4751A">
        <w:rPr>
          <w:rFonts w:eastAsia="Calibri"/>
          <w:bCs/>
          <w:lang w:val="pt-BR" w:eastAsia="en-US"/>
        </w:rPr>
        <w:t>of</w:t>
      </w:r>
      <w:proofErr w:type="spellEnd"/>
      <w:r w:rsidRPr="00D4751A">
        <w:rPr>
          <w:rFonts w:eastAsia="Calibri"/>
          <w:bCs/>
          <w:lang w:val="pt-BR" w:eastAsia="en-US"/>
        </w:rPr>
        <w:t xml:space="preserve"> </w:t>
      </w:r>
      <w:proofErr w:type="spellStart"/>
      <w:r w:rsidRPr="00D4751A">
        <w:rPr>
          <w:rFonts w:eastAsia="Calibri"/>
          <w:bCs/>
          <w:lang w:val="pt-BR" w:eastAsia="en-US"/>
        </w:rPr>
        <w:t>substance</w:t>
      </w:r>
      <w:proofErr w:type="spellEnd"/>
      <w:r w:rsidRPr="00D4751A">
        <w:rPr>
          <w:rFonts w:eastAsia="Calibri"/>
          <w:bCs/>
          <w:lang w:val="pt-BR" w:eastAsia="en-US"/>
        </w:rPr>
        <w:t xml:space="preserve"> abuse/</w:t>
      </w:r>
      <w:proofErr w:type="spellStart"/>
      <w:r w:rsidRPr="00D4751A">
        <w:rPr>
          <w:rFonts w:eastAsia="Calibri"/>
          <w:bCs/>
          <w:lang w:val="pt-BR" w:eastAsia="en-US"/>
        </w:rPr>
        <w:t>dependence</w:t>
      </w:r>
      <w:proofErr w:type="spellEnd"/>
      <w:r w:rsidRPr="00D4751A">
        <w:rPr>
          <w:rFonts w:eastAsia="Calibri"/>
          <w:bCs/>
          <w:lang w:val="pt-BR" w:eastAsia="en-US"/>
        </w:rPr>
        <w:t xml:space="preserve">: a 15-year longitudinal </w:t>
      </w:r>
      <w:proofErr w:type="spellStart"/>
      <w:r w:rsidRPr="00D4751A">
        <w:rPr>
          <w:rFonts w:eastAsia="Calibri"/>
          <w:bCs/>
          <w:lang w:val="pt-BR" w:eastAsia="en-US"/>
        </w:rPr>
        <w:t>population-based</w:t>
      </w:r>
      <w:proofErr w:type="spellEnd"/>
      <w:r w:rsidRPr="00D4751A">
        <w:rPr>
          <w:rFonts w:eastAsia="Calibri"/>
          <w:bCs/>
          <w:lang w:val="pt-BR" w:eastAsia="en-US"/>
        </w:rPr>
        <w:t xml:space="preserve"> </w:t>
      </w:r>
      <w:proofErr w:type="spellStart"/>
      <w:r w:rsidRPr="00D4751A">
        <w:rPr>
          <w:rFonts w:eastAsia="Calibri"/>
          <w:bCs/>
          <w:lang w:val="pt-BR" w:eastAsia="en-US"/>
        </w:rPr>
        <w:t>study</w:t>
      </w:r>
      <w:proofErr w:type="spellEnd"/>
      <w:r w:rsidRPr="00D4751A">
        <w:rPr>
          <w:rFonts w:eastAsia="Calibri"/>
          <w:bCs/>
          <w:lang w:val="pt-BR" w:eastAsia="en-US"/>
        </w:rPr>
        <w:t>. </w:t>
      </w:r>
      <w:r w:rsidRPr="00D4751A">
        <w:rPr>
          <w:rFonts w:eastAsia="Calibri"/>
          <w:bCs/>
          <w:i/>
          <w:iCs/>
          <w:lang w:val="pt-BR" w:eastAsia="en-US"/>
        </w:rPr>
        <w:t xml:space="preserve">Molecular </w:t>
      </w:r>
      <w:proofErr w:type="spellStart"/>
      <w:r w:rsidRPr="00D4751A">
        <w:rPr>
          <w:rFonts w:eastAsia="Calibri"/>
          <w:bCs/>
          <w:i/>
          <w:iCs/>
          <w:lang w:val="pt-BR" w:eastAsia="en-US"/>
        </w:rPr>
        <w:t>Psychiatry</w:t>
      </w:r>
      <w:proofErr w:type="spellEnd"/>
      <w:r w:rsidRPr="00D4751A">
        <w:rPr>
          <w:rFonts w:eastAsia="Calibri"/>
          <w:bCs/>
          <w:lang w:val="pt-BR" w:eastAsia="en-US"/>
        </w:rPr>
        <w:t>, </w:t>
      </w:r>
      <w:r w:rsidRPr="00D4751A">
        <w:rPr>
          <w:rFonts w:eastAsia="Calibri"/>
          <w:bCs/>
          <w:i/>
          <w:iCs/>
          <w:lang w:val="pt-BR" w:eastAsia="en-US"/>
        </w:rPr>
        <w:t>18</w:t>
      </w:r>
      <w:r w:rsidRPr="00D4751A">
        <w:rPr>
          <w:rFonts w:eastAsia="Calibri"/>
          <w:bCs/>
          <w:lang w:val="pt-BR" w:eastAsia="en-US"/>
        </w:rPr>
        <w:t>(7), 806-812.</w:t>
      </w:r>
      <w:r w:rsidR="004665B3">
        <w:rPr>
          <w:rFonts w:eastAsia="Calibri"/>
          <w:bCs/>
          <w:lang w:val="pt-BR" w:eastAsia="en-US"/>
        </w:rPr>
        <w:t xml:space="preserve"> </w:t>
      </w:r>
      <w:hyperlink r:id="rId45" w:history="1">
        <w:r w:rsidR="004665B3" w:rsidRPr="00FC382E">
          <w:rPr>
            <w:rStyle w:val="Hipervnculo"/>
            <w:rFonts w:eastAsia="Calibri"/>
            <w:bCs/>
            <w:lang w:val="pt-BR" w:eastAsia="en-US"/>
          </w:rPr>
          <w:t>https://doi.org/10.1038/mp.2012.87</w:t>
        </w:r>
      </w:hyperlink>
      <w:r w:rsidR="004665B3">
        <w:rPr>
          <w:rFonts w:eastAsia="Calibri"/>
          <w:bCs/>
          <w:lang w:val="pt-BR" w:eastAsia="en-US"/>
        </w:rPr>
        <w:t xml:space="preserve"> </w:t>
      </w:r>
    </w:p>
    <w:p w14:paraId="47343212" w14:textId="56111AD1" w:rsidR="00D4751A" w:rsidRPr="00D4751A" w:rsidRDefault="00D4751A" w:rsidP="00FC4499">
      <w:pPr>
        <w:autoSpaceDE w:val="0"/>
        <w:autoSpaceDN w:val="0"/>
        <w:adjustRightInd w:val="0"/>
        <w:ind w:left="742" w:hangingChars="309" w:hanging="742"/>
        <w:rPr>
          <w:rFonts w:eastAsia="Calibri"/>
          <w:bCs/>
          <w:lang w:val="es-AR" w:eastAsia="en-US"/>
        </w:rPr>
      </w:pPr>
      <w:r w:rsidRPr="00D4751A">
        <w:rPr>
          <w:rFonts w:eastAsia="Calibri"/>
          <w:bCs/>
          <w:lang w:val="pt-BR" w:eastAsia="en-US"/>
        </w:rPr>
        <w:lastRenderedPageBreak/>
        <w:t xml:space="preserve">Riley, E. N. (2015) The </w:t>
      </w:r>
      <w:proofErr w:type="spellStart"/>
      <w:r w:rsidRPr="00D4751A">
        <w:rPr>
          <w:rFonts w:eastAsia="Calibri"/>
          <w:bCs/>
          <w:lang w:val="pt-BR" w:eastAsia="en-US"/>
        </w:rPr>
        <w:t>reciprocal</w:t>
      </w:r>
      <w:proofErr w:type="spellEnd"/>
      <w:r w:rsidRPr="00D4751A">
        <w:rPr>
          <w:rFonts w:eastAsia="Calibri"/>
          <w:bCs/>
          <w:lang w:val="pt-BR" w:eastAsia="en-US"/>
        </w:rPr>
        <w:t xml:space="preserve"> </w:t>
      </w:r>
      <w:proofErr w:type="spellStart"/>
      <w:r w:rsidRPr="00D4751A">
        <w:rPr>
          <w:rFonts w:eastAsia="Calibri"/>
          <w:bCs/>
          <w:lang w:val="pt-BR" w:eastAsia="en-US"/>
        </w:rPr>
        <w:t>predictive</w:t>
      </w:r>
      <w:proofErr w:type="spellEnd"/>
      <w:r w:rsidRPr="00D4751A">
        <w:rPr>
          <w:rFonts w:eastAsia="Calibri"/>
          <w:bCs/>
          <w:lang w:val="pt-BR" w:eastAsia="en-US"/>
        </w:rPr>
        <w:t xml:space="preserve"> </w:t>
      </w:r>
      <w:proofErr w:type="spellStart"/>
      <w:r w:rsidRPr="00D4751A">
        <w:rPr>
          <w:rFonts w:eastAsia="Calibri"/>
          <w:bCs/>
          <w:lang w:val="pt-BR" w:eastAsia="en-US"/>
        </w:rPr>
        <w:t>relationship</w:t>
      </w:r>
      <w:proofErr w:type="spellEnd"/>
      <w:r w:rsidRPr="00D4751A">
        <w:rPr>
          <w:rFonts w:eastAsia="Calibri"/>
          <w:bCs/>
          <w:lang w:val="pt-BR" w:eastAsia="en-US"/>
        </w:rPr>
        <w:t xml:space="preserve"> </w:t>
      </w:r>
      <w:proofErr w:type="spellStart"/>
      <w:r w:rsidRPr="00D4751A">
        <w:rPr>
          <w:rFonts w:eastAsia="Calibri"/>
          <w:bCs/>
          <w:lang w:val="pt-BR" w:eastAsia="en-US"/>
        </w:rPr>
        <w:t>between</w:t>
      </w:r>
      <w:proofErr w:type="spellEnd"/>
      <w:r w:rsidRPr="00D4751A">
        <w:rPr>
          <w:rFonts w:eastAsia="Calibri"/>
          <w:bCs/>
          <w:lang w:val="pt-BR" w:eastAsia="en-US"/>
        </w:rPr>
        <w:t xml:space="preserve"> </w:t>
      </w:r>
      <w:proofErr w:type="spellStart"/>
      <w:r w:rsidRPr="00D4751A">
        <w:rPr>
          <w:rFonts w:eastAsia="Calibri"/>
          <w:bCs/>
          <w:lang w:val="pt-BR" w:eastAsia="en-US"/>
        </w:rPr>
        <w:t>personality</w:t>
      </w:r>
      <w:proofErr w:type="spellEnd"/>
      <w:r w:rsidRPr="00D4751A">
        <w:rPr>
          <w:rFonts w:eastAsia="Calibri"/>
          <w:bCs/>
          <w:lang w:val="pt-BR" w:eastAsia="en-US"/>
        </w:rPr>
        <w:t xml:space="preserve"> </w:t>
      </w:r>
      <w:proofErr w:type="spellStart"/>
      <w:r w:rsidRPr="00D4751A">
        <w:rPr>
          <w:rFonts w:eastAsia="Calibri"/>
          <w:bCs/>
          <w:lang w:val="pt-BR" w:eastAsia="en-US"/>
        </w:rPr>
        <w:t>and</w:t>
      </w:r>
      <w:proofErr w:type="spellEnd"/>
      <w:r w:rsidRPr="00D4751A">
        <w:rPr>
          <w:rFonts w:eastAsia="Calibri"/>
          <w:bCs/>
          <w:lang w:val="pt-BR" w:eastAsia="en-US"/>
        </w:rPr>
        <w:t xml:space="preserve"> </w:t>
      </w:r>
      <w:proofErr w:type="spellStart"/>
      <w:r w:rsidRPr="00D4751A">
        <w:rPr>
          <w:rFonts w:eastAsia="Calibri"/>
          <w:bCs/>
          <w:lang w:val="pt-BR" w:eastAsia="en-US"/>
        </w:rPr>
        <w:t>risky</w:t>
      </w:r>
      <w:proofErr w:type="spellEnd"/>
      <w:r w:rsidRPr="00D4751A">
        <w:rPr>
          <w:rFonts w:eastAsia="Calibri"/>
          <w:bCs/>
          <w:lang w:val="pt-BR" w:eastAsia="en-US"/>
        </w:rPr>
        <w:t xml:space="preserve"> </w:t>
      </w:r>
      <w:proofErr w:type="spellStart"/>
      <w:r w:rsidRPr="00D4751A">
        <w:rPr>
          <w:rFonts w:eastAsia="Calibri"/>
          <w:bCs/>
          <w:lang w:val="pt-BR" w:eastAsia="en-US"/>
        </w:rPr>
        <w:t>behaviors</w:t>
      </w:r>
      <w:proofErr w:type="spellEnd"/>
      <w:r w:rsidRPr="00D4751A">
        <w:rPr>
          <w:rFonts w:eastAsia="Calibri"/>
          <w:bCs/>
          <w:lang w:val="pt-BR" w:eastAsia="en-US"/>
        </w:rPr>
        <w:t xml:space="preserve">: </w:t>
      </w:r>
      <w:proofErr w:type="spellStart"/>
      <w:r w:rsidRPr="00D4751A">
        <w:rPr>
          <w:rFonts w:eastAsia="Calibri"/>
          <w:bCs/>
          <w:lang w:val="pt-BR" w:eastAsia="en-US"/>
        </w:rPr>
        <w:t>an</w:t>
      </w:r>
      <w:proofErr w:type="spellEnd"/>
      <w:r w:rsidRPr="00D4751A">
        <w:rPr>
          <w:rFonts w:eastAsia="Calibri"/>
          <w:bCs/>
          <w:lang w:val="pt-BR" w:eastAsia="en-US"/>
        </w:rPr>
        <w:t xml:space="preserve"> 8-wave longitudinal </w:t>
      </w:r>
      <w:proofErr w:type="spellStart"/>
      <w:r w:rsidRPr="00D4751A">
        <w:rPr>
          <w:rFonts w:eastAsia="Calibri"/>
          <w:bCs/>
          <w:lang w:val="pt-BR" w:eastAsia="en-US"/>
        </w:rPr>
        <w:t>study</w:t>
      </w:r>
      <w:proofErr w:type="spellEnd"/>
      <w:r w:rsidRPr="00D4751A">
        <w:rPr>
          <w:rFonts w:eastAsia="Calibri"/>
          <w:bCs/>
          <w:lang w:val="pt-BR" w:eastAsia="en-US"/>
        </w:rPr>
        <w:t xml:space="preserve"> in </w:t>
      </w:r>
      <w:proofErr w:type="spellStart"/>
      <w:r w:rsidRPr="00D4751A">
        <w:rPr>
          <w:rFonts w:eastAsia="Calibri"/>
          <w:bCs/>
          <w:lang w:val="pt-BR" w:eastAsia="en-US"/>
        </w:rPr>
        <w:t>early</w:t>
      </w:r>
      <w:proofErr w:type="spellEnd"/>
      <w:r w:rsidRPr="00D4751A">
        <w:rPr>
          <w:rFonts w:eastAsia="Calibri"/>
          <w:bCs/>
          <w:lang w:val="pt-BR" w:eastAsia="en-US"/>
        </w:rPr>
        <w:t xml:space="preserve"> </w:t>
      </w:r>
      <w:proofErr w:type="spellStart"/>
      <w:r w:rsidRPr="00D4751A">
        <w:rPr>
          <w:rFonts w:eastAsia="Calibri"/>
          <w:bCs/>
          <w:lang w:val="pt-BR" w:eastAsia="en-US"/>
        </w:rPr>
        <w:t>adolescents</w:t>
      </w:r>
      <w:proofErr w:type="spellEnd"/>
      <w:r w:rsidRPr="00D4751A">
        <w:rPr>
          <w:rFonts w:eastAsia="Calibri"/>
          <w:bCs/>
          <w:lang w:val="pt-BR" w:eastAsia="en-US"/>
        </w:rPr>
        <w:t>. (</w:t>
      </w:r>
      <w:proofErr w:type="spellStart"/>
      <w:r w:rsidRPr="00D4751A">
        <w:rPr>
          <w:rFonts w:eastAsia="Calibri"/>
          <w:bCs/>
          <w:lang w:val="pt-BR" w:eastAsia="en-US"/>
        </w:rPr>
        <w:t>Tesis</w:t>
      </w:r>
      <w:proofErr w:type="spellEnd"/>
      <w:r w:rsidRPr="00D4751A">
        <w:rPr>
          <w:rFonts w:eastAsia="Calibri"/>
          <w:bCs/>
          <w:lang w:val="pt-BR" w:eastAsia="en-US"/>
        </w:rPr>
        <w:t xml:space="preserve"> de </w:t>
      </w:r>
      <w:proofErr w:type="spellStart"/>
      <w:r w:rsidRPr="00D4751A">
        <w:rPr>
          <w:rFonts w:eastAsia="Calibri"/>
          <w:bCs/>
          <w:lang w:val="pt-BR" w:eastAsia="en-US"/>
        </w:rPr>
        <w:t>Maestría</w:t>
      </w:r>
      <w:proofErr w:type="spellEnd"/>
      <w:r w:rsidRPr="00D4751A">
        <w:rPr>
          <w:rFonts w:eastAsia="Calibri"/>
          <w:bCs/>
          <w:lang w:val="pt-BR" w:eastAsia="en-US"/>
        </w:rPr>
        <w:t xml:space="preserve">) Recuperado de: </w:t>
      </w:r>
      <w:hyperlink r:id="rId46" w:history="1">
        <w:r w:rsidR="00FB0521" w:rsidRPr="00D4751A">
          <w:rPr>
            <w:rStyle w:val="Hipervnculo"/>
            <w:rFonts w:eastAsia="Calibri"/>
            <w:bCs/>
            <w:lang w:val="pt-BR" w:eastAsia="en-US"/>
          </w:rPr>
          <w:t>https://uknowledge.uky.edu/psychology_etds/67</w:t>
        </w:r>
      </w:hyperlink>
      <w:r w:rsidR="00FB0521">
        <w:rPr>
          <w:rFonts w:eastAsia="Calibri"/>
          <w:bCs/>
          <w:lang w:val="pt-BR" w:eastAsia="en-US"/>
        </w:rPr>
        <w:t xml:space="preserve"> </w:t>
      </w:r>
    </w:p>
    <w:p w14:paraId="3871A838" w14:textId="6885481E" w:rsidR="00D4751A" w:rsidRPr="00D4751A" w:rsidRDefault="00D4751A" w:rsidP="00FC4499">
      <w:pPr>
        <w:autoSpaceDE w:val="0"/>
        <w:autoSpaceDN w:val="0"/>
        <w:adjustRightInd w:val="0"/>
        <w:ind w:left="742" w:hangingChars="309" w:hanging="742"/>
        <w:rPr>
          <w:lang w:val="es-AR" w:eastAsia="en-US"/>
        </w:rPr>
      </w:pPr>
      <w:r w:rsidRPr="00D4751A">
        <w:rPr>
          <w:rFonts w:eastAsia="Calibri"/>
          <w:bCs/>
          <w:lang w:val="es-AR" w:eastAsia="en-US"/>
        </w:rPr>
        <w:t xml:space="preserve">Secretaría de Políticas Integrales sobre Drogas de la Nación Argentina [SEDRONAR] </w:t>
      </w:r>
      <w:r w:rsidRPr="00D4751A">
        <w:rPr>
          <w:lang w:val="es-AR" w:eastAsia="en-US"/>
        </w:rPr>
        <w:t xml:space="preserve">(2018). Estudio epidemiológico en población de educación secundaria. Recuperado de: </w:t>
      </w:r>
      <w:hyperlink r:id="rId47" w:history="1">
        <w:r w:rsidR="00FB0521" w:rsidRPr="00D4751A">
          <w:rPr>
            <w:rStyle w:val="Hipervnculo"/>
            <w:lang w:val="es-AR" w:eastAsia="en-US"/>
          </w:rPr>
          <w:t>https://observatorio.gov.ar/media/k2/attachments/EstudioZepidemiolgicoZenZpoblacionesZdeZenseanzaZmedia.pdf</w:t>
        </w:r>
      </w:hyperlink>
      <w:r w:rsidR="00FB0521">
        <w:rPr>
          <w:lang w:val="es-AR" w:eastAsia="en-US"/>
        </w:rPr>
        <w:t xml:space="preserve"> </w:t>
      </w:r>
    </w:p>
    <w:p w14:paraId="7B4F3159" w14:textId="731D8C94" w:rsidR="00D4751A" w:rsidRPr="00D4751A" w:rsidRDefault="00D4751A" w:rsidP="00FC4499">
      <w:pPr>
        <w:autoSpaceDE w:val="0"/>
        <w:autoSpaceDN w:val="0"/>
        <w:adjustRightInd w:val="0"/>
        <w:ind w:left="742" w:hangingChars="309" w:hanging="742"/>
        <w:rPr>
          <w:lang w:val="en-US" w:eastAsia="en-US"/>
        </w:rPr>
      </w:pPr>
      <w:proofErr w:type="spellStart"/>
      <w:r w:rsidRPr="00D4751A">
        <w:rPr>
          <w:lang w:val="pt-BR" w:eastAsia="en-US"/>
        </w:rPr>
        <w:t>Settles</w:t>
      </w:r>
      <w:proofErr w:type="spellEnd"/>
      <w:r w:rsidRPr="00D4751A">
        <w:rPr>
          <w:lang w:val="pt-BR" w:eastAsia="en-US"/>
        </w:rPr>
        <w:t xml:space="preserve">, R. E., </w:t>
      </w:r>
      <w:proofErr w:type="spellStart"/>
      <w:r w:rsidRPr="00D4751A">
        <w:rPr>
          <w:lang w:val="pt-BR" w:eastAsia="en-US"/>
        </w:rPr>
        <w:t>Zapolski</w:t>
      </w:r>
      <w:proofErr w:type="spellEnd"/>
      <w:r w:rsidRPr="00D4751A">
        <w:rPr>
          <w:lang w:val="pt-BR" w:eastAsia="en-US"/>
        </w:rPr>
        <w:t xml:space="preserve">, T. C., </w:t>
      </w:r>
      <w:r w:rsidRPr="00D4751A">
        <w:rPr>
          <w:lang w:val="en-US" w:eastAsia="en-US"/>
        </w:rPr>
        <w:t>&amp;</w:t>
      </w:r>
      <w:r w:rsidRPr="00D4751A">
        <w:rPr>
          <w:lang w:val="pt-BR" w:eastAsia="en-US"/>
        </w:rPr>
        <w:t xml:space="preserve"> Smith, G. T. (2014). Longitudinal </w:t>
      </w:r>
      <w:proofErr w:type="spellStart"/>
      <w:r w:rsidRPr="00D4751A">
        <w:rPr>
          <w:lang w:val="pt-BR" w:eastAsia="en-US"/>
        </w:rPr>
        <w:t>test</w:t>
      </w:r>
      <w:proofErr w:type="spellEnd"/>
      <w:r w:rsidRPr="00D4751A">
        <w:rPr>
          <w:lang w:val="pt-BR" w:eastAsia="en-US"/>
        </w:rPr>
        <w:t xml:space="preserve"> </w:t>
      </w:r>
      <w:proofErr w:type="spellStart"/>
      <w:r w:rsidRPr="00D4751A">
        <w:rPr>
          <w:lang w:val="pt-BR" w:eastAsia="en-US"/>
        </w:rPr>
        <w:t>of</w:t>
      </w:r>
      <w:proofErr w:type="spellEnd"/>
      <w:r w:rsidRPr="00D4751A">
        <w:rPr>
          <w:lang w:val="pt-BR" w:eastAsia="en-US"/>
        </w:rPr>
        <w:t xml:space="preserve"> a </w:t>
      </w:r>
      <w:proofErr w:type="spellStart"/>
      <w:r w:rsidRPr="00D4751A">
        <w:rPr>
          <w:lang w:val="pt-BR" w:eastAsia="en-US"/>
        </w:rPr>
        <w:t>developmental</w:t>
      </w:r>
      <w:proofErr w:type="spellEnd"/>
      <w:r w:rsidRPr="00D4751A">
        <w:rPr>
          <w:lang w:val="pt-BR" w:eastAsia="en-US"/>
        </w:rPr>
        <w:t xml:space="preserve"> model </w:t>
      </w:r>
      <w:proofErr w:type="spellStart"/>
      <w:r w:rsidRPr="00D4751A">
        <w:rPr>
          <w:lang w:val="pt-BR" w:eastAsia="en-US"/>
        </w:rPr>
        <w:t>of</w:t>
      </w:r>
      <w:proofErr w:type="spellEnd"/>
      <w:r w:rsidRPr="00D4751A">
        <w:rPr>
          <w:lang w:val="pt-BR" w:eastAsia="en-US"/>
        </w:rPr>
        <w:t xml:space="preserve"> </w:t>
      </w:r>
      <w:proofErr w:type="spellStart"/>
      <w:r w:rsidRPr="00D4751A">
        <w:rPr>
          <w:lang w:val="pt-BR" w:eastAsia="en-US"/>
        </w:rPr>
        <w:t>the</w:t>
      </w:r>
      <w:proofErr w:type="spellEnd"/>
      <w:r w:rsidRPr="00D4751A">
        <w:rPr>
          <w:lang w:val="pt-BR" w:eastAsia="en-US"/>
        </w:rPr>
        <w:t xml:space="preserve"> </w:t>
      </w:r>
      <w:proofErr w:type="spellStart"/>
      <w:r w:rsidRPr="00D4751A">
        <w:rPr>
          <w:lang w:val="pt-BR" w:eastAsia="en-US"/>
        </w:rPr>
        <w:t>transition</w:t>
      </w:r>
      <w:proofErr w:type="spellEnd"/>
      <w:r w:rsidRPr="00D4751A">
        <w:rPr>
          <w:lang w:val="pt-BR" w:eastAsia="en-US"/>
        </w:rPr>
        <w:t xml:space="preserve"> </w:t>
      </w:r>
      <w:proofErr w:type="spellStart"/>
      <w:r w:rsidRPr="00D4751A">
        <w:rPr>
          <w:lang w:val="pt-BR" w:eastAsia="en-US"/>
        </w:rPr>
        <w:t>to</w:t>
      </w:r>
      <w:proofErr w:type="spellEnd"/>
      <w:r w:rsidRPr="00D4751A">
        <w:rPr>
          <w:lang w:val="pt-BR" w:eastAsia="en-US"/>
        </w:rPr>
        <w:t xml:space="preserve"> </w:t>
      </w:r>
      <w:proofErr w:type="spellStart"/>
      <w:r w:rsidRPr="00D4751A">
        <w:rPr>
          <w:lang w:val="pt-BR" w:eastAsia="en-US"/>
        </w:rPr>
        <w:t>early</w:t>
      </w:r>
      <w:proofErr w:type="spellEnd"/>
      <w:r w:rsidRPr="00D4751A">
        <w:rPr>
          <w:lang w:val="pt-BR" w:eastAsia="en-US"/>
        </w:rPr>
        <w:t xml:space="preserve"> drinking. </w:t>
      </w:r>
      <w:proofErr w:type="spellStart"/>
      <w:r w:rsidRPr="00D4751A">
        <w:rPr>
          <w:i/>
          <w:iCs/>
          <w:lang w:val="pt-BR" w:eastAsia="en-US"/>
        </w:rPr>
        <w:t>Journal</w:t>
      </w:r>
      <w:proofErr w:type="spellEnd"/>
      <w:r w:rsidRPr="00D4751A">
        <w:rPr>
          <w:i/>
          <w:iCs/>
          <w:lang w:val="pt-BR" w:eastAsia="en-US"/>
        </w:rPr>
        <w:t xml:space="preserve"> of Abnormal </w:t>
      </w:r>
      <w:proofErr w:type="spellStart"/>
      <w:r w:rsidRPr="00D4751A">
        <w:rPr>
          <w:i/>
          <w:iCs/>
          <w:lang w:val="pt-BR" w:eastAsia="en-US"/>
        </w:rPr>
        <w:t>Psychology</w:t>
      </w:r>
      <w:proofErr w:type="spellEnd"/>
      <w:r w:rsidRPr="00D4751A">
        <w:rPr>
          <w:lang w:val="pt-BR" w:eastAsia="en-US"/>
        </w:rPr>
        <w:t>, </w:t>
      </w:r>
      <w:r w:rsidRPr="00D4751A">
        <w:rPr>
          <w:i/>
          <w:iCs/>
          <w:lang w:val="pt-BR" w:eastAsia="en-US"/>
        </w:rPr>
        <w:t>123</w:t>
      </w:r>
      <w:r w:rsidRPr="00D4751A">
        <w:rPr>
          <w:lang w:val="pt-BR" w:eastAsia="en-US"/>
        </w:rPr>
        <w:t xml:space="preserve">(1), 141–151. </w:t>
      </w:r>
      <w:hyperlink r:id="rId48" w:history="1">
        <w:r w:rsidR="00FB0521" w:rsidRPr="00D4751A">
          <w:rPr>
            <w:rStyle w:val="Hipervnculo"/>
            <w:lang w:val="en-US" w:eastAsia="en-US"/>
          </w:rPr>
          <w:t>https://doi.org/</w:t>
        </w:r>
        <w:r w:rsidR="00FB0521" w:rsidRPr="00D4751A">
          <w:rPr>
            <w:rStyle w:val="Hipervnculo"/>
            <w:lang w:val="pt-BR" w:eastAsia="en-US"/>
          </w:rPr>
          <w:t>10.1037/a0035670</w:t>
        </w:r>
      </w:hyperlink>
      <w:r w:rsidR="00FB0521">
        <w:rPr>
          <w:lang w:val="pt-BR" w:eastAsia="en-US"/>
        </w:rPr>
        <w:t xml:space="preserve"> </w:t>
      </w:r>
    </w:p>
    <w:p w14:paraId="357D5D2C" w14:textId="6449F0A7" w:rsidR="00D4751A" w:rsidRPr="00D4751A" w:rsidRDefault="00D4751A" w:rsidP="00FC4499">
      <w:pPr>
        <w:autoSpaceDE w:val="0"/>
        <w:autoSpaceDN w:val="0"/>
        <w:adjustRightInd w:val="0"/>
        <w:ind w:left="742" w:hangingChars="309" w:hanging="742"/>
        <w:rPr>
          <w:lang w:val="pt-BR" w:eastAsia="en-US"/>
        </w:rPr>
      </w:pPr>
      <w:r w:rsidRPr="00D4751A">
        <w:rPr>
          <w:lang w:val="pt-BR" w:eastAsia="en-US"/>
        </w:rPr>
        <w:t xml:space="preserve">Smith, A. R., </w:t>
      </w:r>
      <w:proofErr w:type="spellStart"/>
      <w:r w:rsidRPr="00D4751A">
        <w:rPr>
          <w:lang w:val="pt-BR" w:eastAsia="en-US"/>
        </w:rPr>
        <w:t>Chein</w:t>
      </w:r>
      <w:proofErr w:type="spellEnd"/>
      <w:r w:rsidRPr="00D4751A">
        <w:rPr>
          <w:lang w:val="pt-BR" w:eastAsia="en-US"/>
        </w:rPr>
        <w:t xml:space="preserve">, J., </w:t>
      </w:r>
      <w:r w:rsidRPr="00D4751A">
        <w:rPr>
          <w:lang w:val="en-US" w:eastAsia="en-US"/>
        </w:rPr>
        <w:t>&amp;</w:t>
      </w:r>
      <w:r w:rsidRPr="00D4751A">
        <w:rPr>
          <w:lang w:val="pt-BR" w:eastAsia="en-US"/>
        </w:rPr>
        <w:t xml:space="preserve"> </w:t>
      </w:r>
      <w:proofErr w:type="spellStart"/>
      <w:r w:rsidRPr="00D4751A">
        <w:rPr>
          <w:lang w:val="pt-BR" w:eastAsia="en-US"/>
        </w:rPr>
        <w:t>Steinberg</w:t>
      </w:r>
      <w:proofErr w:type="spellEnd"/>
      <w:r w:rsidRPr="00D4751A">
        <w:rPr>
          <w:lang w:val="pt-BR" w:eastAsia="en-US"/>
        </w:rPr>
        <w:t xml:space="preserve">, L. (2014). </w:t>
      </w:r>
      <w:proofErr w:type="spellStart"/>
      <w:r w:rsidRPr="00D4751A">
        <w:rPr>
          <w:lang w:val="pt-BR" w:eastAsia="en-US"/>
        </w:rPr>
        <w:t>Peers</w:t>
      </w:r>
      <w:proofErr w:type="spellEnd"/>
      <w:r w:rsidRPr="00D4751A">
        <w:rPr>
          <w:lang w:val="pt-BR" w:eastAsia="en-US"/>
        </w:rPr>
        <w:t xml:space="preserve"> </w:t>
      </w:r>
      <w:proofErr w:type="spellStart"/>
      <w:r w:rsidRPr="00D4751A">
        <w:rPr>
          <w:lang w:val="pt-BR" w:eastAsia="en-US"/>
        </w:rPr>
        <w:t>increase</w:t>
      </w:r>
      <w:proofErr w:type="spellEnd"/>
      <w:r w:rsidRPr="00D4751A">
        <w:rPr>
          <w:lang w:val="pt-BR" w:eastAsia="en-US"/>
        </w:rPr>
        <w:t xml:space="preserve"> </w:t>
      </w:r>
      <w:proofErr w:type="spellStart"/>
      <w:r w:rsidRPr="00D4751A">
        <w:rPr>
          <w:lang w:val="pt-BR" w:eastAsia="en-US"/>
        </w:rPr>
        <w:t>adolescent</w:t>
      </w:r>
      <w:proofErr w:type="spellEnd"/>
      <w:r w:rsidRPr="00D4751A">
        <w:rPr>
          <w:lang w:val="pt-BR" w:eastAsia="en-US"/>
        </w:rPr>
        <w:t xml:space="preserve"> </w:t>
      </w:r>
      <w:proofErr w:type="spellStart"/>
      <w:r w:rsidRPr="00D4751A">
        <w:rPr>
          <w:lang w:val="pt-BR" w:eastAsia="en-US"/>
        </w:rPr>
        <w:t>risk</w:t>
      </w:r>
      <w:proofErr w:type="spellEnd"/>
      <w:r w:rsidRPr="00D4751A">
        <w:rPr>
          <w:lang w:val="pt-BR" w:eastAsia="en-US"/>
        </w:rPr>
        <w:t xml:space="preserve"> </w:t>
      </w:r>
      <w:proofErr w:type="spellStart"/>
      <w:r w:rsidRPr="00D4751A">
        <w:rPr>
          <w:lang w:val="pt-BR" w:eastAsia="en-US"/>
        </w:rPr>
        <w:t>taking</w:t>
      </w:r>
      <w:proofErr w:type="spellEnd"/>
      <w:r w:rsidRPr="00D4751A">
        <w:rPr>
          <w:lang w:val="pt-BR" w:eastAsia="en-US"/>
        </w:rPr>
        <w:t xml:space="preserve"> </w:t>
      </w:r>
      <w:proofErr w:type="spellStart"/>
      <w:r w:rsidRPr="00D4751A">
        <w:rPr>
          <w:lang w:val="pt-BR" w:eastAsia="en-US"/>
        </w:rPr>
        <w:t>even</w:t>
      </w:r>
      <w:proofErr w:type="spellEnd"/>
      <w:r w:rsidRPr="00D4751A">
        <w:rPr>
          <w:lang w:val="pt-BR" w:eastAsia="en-US"/>
        </w:rPr>
        <w:t xml:space="preserve"> </w:t>
      </w:r>
      <w:proofErr w:type="spellStart"/>
      <w:r w:rsidRPr="00D4751A">
        <w:rPr>
          <w:lang w:val="pt-BR" w:eastAsia="en-US"/>
        </w:rPr>
        <w:t>when</w:t>
      </w:r>
      <w:proofErr w:type="spellEnd"/>
      <w:r w:rsidRPr="00D4751A">
        <w:rPr>
          <w:lang w:val="pt-BR" w:eastAsia="en-US"/>
        </w:rPr>
        <w:t xml:space="preserve"> </w:t>
      </w:r>
      <w:proofErr w:type="spellStart"/>
      <w:r w:rsidRPr="00D4751A">
        <w:rPr>
          <w:lang w:val="pt-BR" w:eastAsia="en-US"/>
        </w:rPr>
        <w:t>the</w:t>
      </w:r>
      <w:proofErr w:type="spellEnd"/>
      <w:r w:rsidRPr="00D4751A">
        <w:rPr>
          <w:lang w:val="pt-BR" w:eastAsia="en-US"/>
        </w:rPr>
        <w:t xml:space="preserve"> </w:t>
      </w:r>
      <w:proofErr w:type="spellStart"/>
      <w:r w:rsidRPr="00D4751A">
        <w:rPr>
          <w:lang w:val="pt-BR" w:eastAsia="en-US"/>
        </w:rPr>
        <w:t>probabilities</w:t>
      </w:r>
      <w:proofErr w:type="spellEnd"/>
      <w:r w:rsidRPr="00D4751A">
        <w:rPr>
          <w:lang w:val="pt-BR" w:eastAsia="en-US"/>
        </w:rPr>
        <w:t xml:space="preserve"> </w:t>
      </w:r>
      <w:proofErr w:type="spellStart"/>
      <w:r w:rsidRPr="00D4751A">
        <w:rPr>
          <w:lang w:val="pt-BR" w:eastAsia="en-US"/>
        </w:rPr>
        <w:t>of</w:t>
      </w:r>
      <w:proofErr w:type="spellEnd"/>
      <w:r w:rsidRPr="00D4751A">
        <w:rPr>
          <w:lang w:val="pt-BR" w:eastAsia="en-US"/>
        </w:rPr>
        <w:t xml:space="preserve"> negative </w:t>
      </w:r>
      <w:proofErr w:type="spellStart"/>
      <w:r w:rsidRPr="00D4751A">
        <w:rPr>
          <w:lang w:val="pt-BR" w:eastAsia="en-US"/>
        </w:rPr>
        <w:t>outcomes</w:t>
      </w:r>
      <w:proofErr w:type="spellEnd"/>
      <w:r w:rsidRPr="00D4751A">
        <w:rPr>
          <w:lang w:val="pt-BR" w:eastAsia="en-US"/>
        </w:rPr>
        <w:t xml:space="preserve"> are </w:t>
      </w:r>
      <w:proofErr w:type="spellStart"/>
      <w:r w:rsidRPr="00D4751A">
        <w:rPr>
          <w:lang w:val="pt-BR" w:eastAsia="en-US"/>
        </w:rPr>
        <w:t>known</w:t>
      </w:r>
      <w:proofErr w:type="spellEnd"/>
      <w:r w:rsidRPr="00D4751A">
        <w:rPr>
          <w:lang w:val="pt-BR" w:eastAsia="en-US"/>
        </w:rPr>
        <w:t>. </w:t>
      </w:r>
      <w:proofErr w:type="spellStart"/>
      <w:r w:rsidRPr="00D4751A">
        <w:rPr>
          <w:i/>
          <w:iCs/>
          <w:lang w:val="pt-BR" w:eastAsia="en-US"/>
        </w:rPr>
        <w:t>Developmental</w:t>
      </w:r>
      <w:proofErr w:type="spellEnd"/>
      <w:r w:rsidRPr="00D4751A">
        <w:rPr>
          <w:i/>
          <w:iCs/>
          <w:lang w:val="pt-BR" w:eastAsia="en-US"/>
        </w:rPr>
        <w:t xml:space="preserve"> </w:t>
      </w:r>
      <w:proofErr w:type="spellStart"/>
      <w:r w:rsidRPr="00D4751A">
        <w:rPr>
          <w:i/>
          <w:iCs/>
          <w:lang w:val="pt-BR" w:eastAsia="en-US"/>
        </w:rPr>
        <w:t>Psychology</w:t>
      </w:r>
      <w:proofErr w:type="spellEnd"/>
      <w:r w:rsidRPr="00D4751A">
        <w:rPr>
          <w:lang w:val="pt-BR" w:eastAsia="en-US"/>
        </w:rPr>
        <w:t>, </w:t>
      </w:r>
      <w:r w:rsidRPr="00D4751A">
        <w:rPr>
          <w:i/>
          <w:iCs/>
          <w:lang w:val="pt-BR" w:eastAsia="en-US"/>
        </w:rPr>
        <w:t>50</w:t>
      </w:r>
      <w:r w:rsidRPr="00D4751A">
        <w:rPr>
          <w:lang w:val="pt-BR" w:eastAsia="en-US"/>
        </w:rPr>
        <w:t>(5), 1564.</w:t>
      </w:r>
      <w:r w:rsidR="00CB3189" w:rsidRPr="00CB3189">
        <w:t xml:space="preserve"> </w:t>
      </w:r>
      <w:hyperlink r:id="rId49" w:history="1">
        <w:r w:rsidR="00CB3189" w:rsidRPr="00D4751A">
          <w:rPr>
            <w:rStyle w:val="Hipervnculo"/>
          </w:rPr>
          <w:t>https://doi.org/</w:t>
        </w:r>
        <w:r w:rsidR="00CB3189" w:rsidRPr="00FC382E">
          <w:rPr>
            <w:rStyle w:val="Hipervnculo"/>
            <w:lang w:val="pt-BR" w:eastAsia="en-US"/>
          </w:rPr>
          <w:t>10.1037/a0035696</w:t>
        </w:r>
      </w:hyperlink>
      <w:r w:rsidR="00CB3189">
        <w:rPr>
          <w:lang w:val="pt-BR" w:eastAsia="en-US"/>
        </w:rPr>
        <w:t xml:space="preserve"> </w:t>
      </w:r>
    </w:p>
    <w:p w14:paraId="0BF37C39" w14:textId="77777777" w:rsidR="00D4751A" w:rsidRPr="00DE7EB8" w:rsidRDefault="00D4751A" w:rsidP="00FC4499">
      <w:pPr>
        <w:ind w:left="720" w:hanging="720"/>
        <w:rPr>
          <w:lang w:val="es-AR"/>
        </w:rPr>
      </w:pPr>
      <w:r>
        <w:rPr>
          <w:lang w:val="es-AR"/>
        </w:rPr>
        <w:t>Sociedad Interamericana de Psicología, SIP</w:t>
      </w:r>
      <w:r w:rsidRPr="00DE7EB8">
        <w:rPr>
          <w:lang w:val="es-AR"/>
        </w:rPr>
        <w:t xml:space="preserve"> (1978). Resolución sobre la práctica psicológica y los derechos humanos. </w:t>
      </w:r>
      <w:r w:rsidRPr="009B4F42">
        <w:rPr>
          <w:i/>
          <w:iCs/>
          <w:lang w:val="es-AR"/>
        </w:rPr>
        <w:t>Revista Latinoamericana de Psicología, 10</w:t>
      </w:r>
      <w:r w:rsidRPr="00DE7EB8">
        <w:rPr>
          <w:lang w:val="es-AR"/>
        </w:rPr>
        <w:t xml:space="preserve">(2), 298-299. </w:t>
      </w:r>
    </w:p>
    <w:p w14:paraId="16F15FEA" w14:textId="77777777" w:rsidR="00D4751A" w:rsidRPr="00DE7EB8" w:rsidRDefault="00D4751A" w:rsidP="00FC4499">
      <w:pPr>
        <w:ind w:left="720" w:hanging="720"/>
        <w:rPr>
          <w:lang w:val="en-US"/>
        </w:rPr>
      </w:pPr>
      <w:r>
        <w:rPr>
          <w:lang w:val="es-AR"/>
        </w:rPr>
        <w:t>Sociedad Interamericana de Psicología,</w:t>
      </w:r>
      <w:r w:rsidRPr="00DE7EB8">
        <w:rPr>
          <w:lang w:val="es-AR"/>
        </w:rPr>
        <w:t xml:space="preserve"> S</w:t>
      </w:r>
      <w:r>
        <w:rPr>
          <w:lang w:val="es-AR"/>
        </w:rPr>
        <w:t>I</w:t>
      </w:r>
      <w:r w:rsidRPr="00DE7EB8">
        <w:rPr>
          <w:lang w:val="es-AR"/>
        </w:rPr>
        <w:t xml:space="preserve">P (2008). Consideraciones Éticas de la SIP. </w:t>
      </w:r>
      <w:r w:rsidRPr="00DE7EB8">
        <w:rPr>
          <w:lang w:val="en-US"/>
        </w:rPr>
        <w:t xml:space="preserve">Retrieved from </w:t>
      </w:r>
      <w:hyperlink r:id="rId50" w:history="1">
        <w:r w:rsidRPr="00DE7EB8">
          <w:rPr>
            <w:rStyle w:val="Hipervnculo"/>
            <w:lang w:val="en-US"/>
          </w:rPr>
          <w:t>https://archive.org/details/sip-2008b-declaracion-sobre-principios-eticos</w:t>
        </w:r>
      </w:hyperlink>
      <w:r w:rsidRPr="00DE7EB8">
        <w:rPr>
          <w:lang w:val="en-US"/>
        </w:rPr>
        <w:t xml:space="preserve"> </w:t>
      </w:r>
    </w:p>
    <w:p w14:paraId="256C3A27" w14:textId="61D30C0B"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r w:rsidRPr="00D4751A">
        <w:rPr>
          <w:rFonts w:eastAsia="Calibri"/>
          <w:shd w:val="clear" w:color="auto" w:fill="FFFFFF"/>
          <w:lang w:val="en-US" w:eastAsia="en-US"/>
        </w:rPr>
        <w:t xml:space="preserve">Spear, L. P. (2018). Effects of adolescent alcohol consumption on the brain and </w:t>
      </w:r>
      <w:proofErr w:type="spellStart"/>
      <w:r w:rsidRPr="00D4751A">
        <w:rPr>
          <w:rFonts w:eastAsia="Calibri"/>
          <w:shd w:val="clear" w:color="auto" w:fill="FFFFFF"/>
          <w:lang w:val="en-US" w:eastAsia="en-US"/>
        </w:rPr>
        <w:t>behaviour</w:t>
      </w:r>
      <w:proofErr w:type="spellEnd"/>
      <w:r w:rsidRPr="00D4751A">
        <w:rPr>
          <w:rFonts w:eastAsia="Calibri"/>
          <w:shd w:val="clear" w:color="auto" w:fill="FFFFFF"/>
          <w:lang w:val="en-US" w:eastAsia="en-US"/>
        </w:rPr>
        <w:t>. </w:t>
      </w:r>
      <w:r w:rsidRPr="00D4751A">
        <w:rPr>
          <w:rFonts w:eastAsia="Calibri"/>
          <w:i/>
          <w:iCs/>
          <w:shd w:val="clear" w:color="auto" w:fill="FFFFFF"/>
          <w:lang w:val="en-US" w:eastAsia="en-US"/>
        </w:rPr>
        <w:t>Nature Reviews Neuroscience</w:t>
      </w:r>
      <w:r w:rsidRPr="00D4751A">
        <w:rPr>
          <w:rFonts w:eastAsia="Calibri"/>
          <w:shd w:val="clear" w:color="auto" w:fill="FFFFFF"/>
          <w:lang w:val="en-US" w:eastAsia="en-US"/>
        </w:rPr>
        <w:t>, </w:t>
      </w:r>
      <w:r w:rsidRPr="00D4751A">
        <w:rPr>
          <w:rFonts w:eastAsia="Calibri"/>
          <w:i/>
          <w:iCs/>
          <w:shd w:val="clear" w:color="auto" w:fill="FFFFFF"/>
          <w:lang w:val="en-US" w:eastAsia="en-US"/>
        </w:rPr>
        <w:t>19</w:t>
      </w:r>
      <w:r w:rsidRPr="00D4751A">
        <w:rPr>
          <w:rFonts w:eastAsia="Calibri"/>
          <w:shd w:val="clear" w:color="auto" w:fill="FFFFFF"/>
          <w:lang w:val="en-US" w:eastAsia="en-US"/>
        </w:rPr>
        <w:t xml:space="preserve">(4), 197-214. </w:t>
      </w:r>
      <w:hyperlink r:id="rId51" w:history="1">
        <w:r w:rsidR="00FB0521" w:rsidRPr="00D4751A">
          <w:rPr>
            <w:rStyle w:val="Hipervnculo"/>
            <w:lang w:val="en-US" w:eastAsia="en-US"/>
          </w:rPr>
          <w:t>https://doi.org/</w:t>
        </w:r>
        <w:r w:rsidR="00FB0521" w:rsidRPr="00D4751A">
          <w:rPr>
            <w:rStyle w:val="Hipervnculo"/>
            <w:rFonts w:eastAsia="Calibri"/>
            <w:shd w:val="clear" w:color="auto" w:fill="FFFFFF"/>
            <w:lang w:val="en-US" w:eastAsia="en-US"/>
          </w:rPr>
          <w:t>10.1038/nrn.2018.10</w:t>
        </w:r>
      </w:hyperlink>
      <w:r w:rsidR="00FB0521">
        <w:rPr>
          <w:rFonts w:eastAsia="Calibri"/>
          <w:shd w:val="clear" w:color="auto" w:fill="FFFFFF"/>
          <w:lang w:val="en-US" w:eastAsia="en-US"/>
        </w:rPr>
        <w:t xml:space="preserve"> </w:t>
      </w:r>
    </w:p>
    <w:p w14:paraId="43FFA37D" w14:textId="7C7E51E0"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proofErr w:type="spellStart"/>
      <w:r w:rsidRPr="00D4751A">
        <w:rPr>
          <w:rFonts w:eastAsia="Calibri"/>
          <w:shd w:val="clear" w:color="auto" w:fill="FFFFFF"/>
          <w:lang w:val="en-US" w:eastAsia="en-US"/>
        </w:rPr>
        <w:t>Squeglia</w:t>
      </w:r>
      <w:proofErr w:type="spellEnd"/>
      <w:r w:rsidRPr="00D4751A">
        <w:rPr>
          <w:rFonts w:eastAsia="Calibri"/>
          <w:shd w:val="clear" w:color="auto" w:fill="FFFFFF"/>
          <w:lang w:val="en-US" w:eastAsia="en-US"/>
        </w:rPr>
        <w:t xml:space="preserve">, L. M., Ball, T. M., Jacobus, J., </w:t>
      </w:r>
      <w:proofErr w:type="spellStart"/>
      <w:r w:rsidRPr="00D4751A">
        <w:rPr>
          <w:rFonts w:eastAsia="Calibri"/>
          <w:shd w:val="clear" w:color="auto" w:fill="FFFFFF"/>
          <w:lang w:val="en-US" w:eastAsia="en-US"/>
        </w:rPr>
        <w:t>Brumback</w:t>
      </w:r>
      <w:proofErr w:type="spellEnd"/>
      <w:r w:rsidRPr="00D4751A">
        <w:rPr>
          <w:rFonts w:eastAsia="Calibri"/>
          <w:shd w:val="clear" w:color="auto" w:fill="FFFFFF"/>
          <w:lang w:val="en-US" w:eastAsia="en-US"/>
        </w:rPr>
        <w:t xml:space="preserve">, T., McKenna, B. S., Nguyen-Louie, T. T., </w:t>
      </w:r>
      <w:proofErr w:type="spellStart"/>
      <w:r w:rsidRPr="00D4751A">
        <w:rPr>
          <w:rFonts w:eastAsia="Calibri"/>
          <w:shd w:val="clear" w:color="auto" w:fill="FFFFFF"/>
          <w:lang w:val="en-US" w:eastAsia="en-US"/>
        </w:rPr>
        <w:t>Sorg</w:t>
      </w:r>
      <w:proofErr w:type="spellEnd"/>
      <w:r w:rsidRPr="00D4751A">
        <w:rPr>
          <w:rFonts w:eastAsia="Calibri"/>
          <w:shd w:val="clear" w:color="auto" w:fill="FFFFFF"/>
          <w:lang w:val="en-US" w:eastAsia="en-US"/>
        </w:rPr>
        <w:t>, S. F., Paulus, M. P., &amp; Tapert, S. F. (2017). Neural Predictors of Initiating Alcohol Use During Adolescence. </w:t>
      </w:r>
      <w:r w:rsidRPr="00D4751A">
        <w:rPr>
          <w:rFonts w:eastAsia="Calibri"/>
          <w:i/>
          <w:iCs/>
          <w:shd w:val="clear" w:color="auto" w:fill="FFFFFF"/>
          <w:lang w:val="en-US" w:eastAsia="en-US"/>
        </w:rPr>
        <w:t>The American Journal of Psychiatry</w:t>
      </w:r>
      <w:r w:rsidRPr="00D4751A">
        <w:rPr>
          <w:rFonts w:eastAsia="Calibri"/>
          <w:shd w:val="clear" w:color="auto" w:fill="FFFFFF"/>
          <w:lang w:val="en-US" w:eastAsia="en-US"/>
        </w:rPr>
        <w:t>, </w:t>
      </w:r>
      <w:r w:rsidRPr="00D4751A">
        <w:rPr>
          <w:rFonts w:eastAsia="Calibri"/>
          <w:i/>
          <w:iCs/>
          <w:shd w:val="clear" w:color="auto" w:fill="FFFFFF"/>
          <w:lang w:val="en-US" w:eastAsia="en-US"/>
        </w:rPr>
        <w:t>174</w:t>
      </w:r>
      <w:r w:rsidRPr="00D4751A">
        <w:rPr>
          <w:rFonts w:eastAsia="Calibri"/>
          <w:shd w:val="clear" w:color="auto" w:fill="FFFFFF"/>
          <w:lang w:val="en-US" w:eastAsia="en-US"/>
        </w:rPr>
        <w:t xml:space="preserve">(2), 172–185. </w:t>
      </w:r>
      <w:hyperlink r:id="rId52" w:history="1">
        <w:r w:rsidR="00FB0521" w:rsidRPr="00D4751A">
          <w:rPr>
            <w:rStyle w:val="Hipervnculo"/>
            <w:lang w:val="en-US" w:eastAsia="en-US"/>
          </w:rPr>
          <w:t>https://doi.org/</w:t>
        </w:r>
        <w:r w:rsidR="00FB0521" w:rsidRPr="00D4751A">
          <w:rPr>
            <w:rStyle w:val="Hipervnculo"/>
            <w:rFonts w:eastAsia="Calibri"/>
            <w:shd w:val="clear" w:color="auto" w:fill="FFFFFF"/>
            <w:lang w:val="en-US" w:eastAsia="en-US"/>
          </w:rPr>
          <w:t>10.1176/appi.ajp.2016.15121587</w:t>
        </w:r>
      </w:hyperlink>
      <w:r w:rsidR="00FB0521">
        <w:rPr>
          <w:rFonts w:eastAsia="Calibri"/>
          <w:shd w:val="clear" w:color="auto" w:fill="FFFFFF"/>
          <w:lang w:val="en-US" w:eastAsia="en-US"/>
        </w:rPr>
        <w:t xml:space="preserve"> </w:t>
      </w:r>
    </w:p>
    <w:p w14:paraId="412FCA87" w14:textId="743AC85F"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proofErr w:type="spellStart"/>
      <w:r w:rsidRPr="00D4751A">
        <w:rPr>
          <w:rFonts w:eastAsia="Calibri"/>
          <w:shd w:val="clear" w:color="auto" w:fill="FFFFFF"/>
          <w:lang w:val="en-US" w:eastAsia="en-US"/>
        </w:rPr>
        <w:t>Squeglia</w:t>
      </w:r>
      <w:proofErr w:type="spellEnd"/>
      <w:r w:rsidRPr="00D4751A">
        <w:rPr>
          <w:rFonts w:eastAsia="Calibri"/>
          <w:shd w:val="clear" w:color="auto" w:fill="FFFFFF"/>
          <w:lang w:val="en-US" w:eastAsia="en-US"/>
        </w:rPr>
        <w:t xml:space="preserve">, L. M., Jacobus, J., Nguyen-Louie, T. T., </w:t>
      </w:r>
      <w:r w:rsidRPr="00D4751A">
        <w:rPr>
          <w:lang w:val="en-US" w:eastAsia="en-US"/>
        </w:rPr>
        <w:t>&amp;</w:t>
      </w:r>
      <w:r w:rsidRPr="00D4751A">
        <w:rPr>
          <w:rFonts w:eastAsia="Calibri"/>
          <w:shd w:val="clear" w:color="auto" w:fill="FFFFFF"/>
          <w:lang w:val="en-US" w:eastAsia="en-US"/>
        </w:rPr>
        <w:t xml:space="preserve"> Tapert, S. F. (2014). Inhibition during early adolescence predicts alcohol and marijuana use by late adolescence. </w:t>
      </w:r>
      <w:r w:rsidRPr="00D4751A">
        <w:rPr>
          <w:rFonts w:eastAsia="Calibri"/>
          <w:i/>
          <w:iCs/>
          <w:shd w:val="clear" w:color="auto" w:fill="FFFFFF"/>
          <w:lang w:val="en-US" w:eastAsia="en-US"/>
        </w:rPr>
        <w:t>Neuropsychology, 28</w:t>
      </w:r>
      <w:r w:rsidRPr="00D4751A">
        <w:rPr>
          <w:rFonts w:eastAsia="Calibri"/>
          <w:shd w:val="clear" w:color="auto" w:fill="FFFFFF"/>
          <w:lang w:val="en-US" w:eastAsia="en-US"/>
        </w:rPr>
        <w:t>(5), 782–790. </w:t>
      </w:r>
      <w:hyperlink r:id="rId53" w:history="1">
        <w:r w:rsidR="00FB0521" w:rsidRPr="00D4751A">
          <w:rPr>
            <w:rStyle w:val="Hipervnculo"/>
            <w:lang w:val="en-US" w:eastAsia="en-US"/>
          </w:rPr>
          <w:t>https://doi.org/</w:t>
        </w:r>
        <w:r w:rsidR="00FB0521" w:rsidRPr="00D4751A">
          <w:rPr>
            <w:rStyle w:val="Hipervnculo"/>
            <w:rFonts w:eastAsia="Calibri"/>
            <w:shd w:val="clear" w:color="auto" w:fill="FFFFFF"/>
            <w:lang w:val="en-US" w:eastAsia="en-US"/>
          </w:rPr>
          <w:t>10.1037/neu0000083</w:t>
        </w:r>
      </w:hyperlink>
      <w:r w:rsidR="00FB0521">
        <w:rPr>
          <w:rFonts w:eastAsia="Calibri"/>
          <w:shd w:val="clear" w:color="auto" w:fill="FFFFFF"/>
          <w:lang w:val="en-US" w:eastAsia="en-US"/>
        </w:rPr>
        <w:t xml:space="preserve"> </w:t>
      </w:r>
    </w:p>
    <w:p w14:paraId="617967E5" w14:textId="76A812C5"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proofErr w:type="spellStart"/>
      <w:r w:rsidRPr="00D4751A">
        <w:rPr>
          <w:rFonts w:eastAsia="Calibri"/>
          <w:shd w:val="clear" w:color="auto" w:fill="FFFFFF"/>
          <w:lang w:val="en-US" w:eastAsia="en-US"/>
        </w:rPr>
        <w:t>Stautz</w:t>
      </w:r>
      <w:proofErr w:type="spellEnd"/>
      <w:r w:rsidRPr="00D4751A">
        <w:rPr>
          <w:rFonts w:eastAsia="Calibri"/>
          <w:shd w:val="clear" w:color="auto" w:fill="FFFFFF"/>
          <w:lang w:val="en-US" w:eastAsia="en-US"/>
        </w:rPr>
        <w:t xml:space="preserve">, K., </w:t>
      </w:r>
      <w:r w:rsidRPr="00D4751A">
        <w:rPr>
          <w:lang w:val="en-US" w:eastAsia="en-US"/>
        </w:rPr>
        <w:t>&amp;</w:t>
      </w:r>
      <w:r w:rsidRPr="00D4751A">
        <w:rPr>
          <w:rFonts w:eastAsia="Calibri"/>
          <w:shd w:val="clear" w:color="auto" w:fill="FFFFFF"/>
          <w:lang w:val="en-US" w:eastAsia="en-US"/>
        </w:rPr>
        <w:t xml:space="preserve"> Cooper, A. (2013). Impulsivity-related personality traits and adolescent alcohol use: A meta-analytic review. </w:t>
      </w:r>
      <w:r w:rsidRPr="00D4751A">
        <w:rPr>
          <w:rFonts w:eastAsia="Calibri"/>
          <w:i/>
          <w:iCs/>
          <w:shd w:val="clear" w:color="auto" w:fill="FFFFFF"/>
          <w:lang w:val="en-US" w:eastAsia="en-US"/>
        </w:rPr>
        <w:t>Clinical Psychology Review</w:t>
      </w:r>
      <w:r w:rsidRPr="00D4751A">
        <w:rPr>
          <w:rFonts w:eastAsia="Calibri"/>
          <w:shd w:val="clear" w:color="auto" w:fill="FFFFFF"/>
          <w:lang w:val="en-US" w:eastAsia="en-US"/>
        </w:rPr>
        <w:t>, </w:t>
      </w:r>
      <w:r w:rsidRPr="00D4751A">
        <w:rPr>
          <w:rFonts w:eastAsia="Calibri"/>
          <w:i/>
          <w:iCs/>
          <w:shd w:val="clear" w:color="auto" w:fill="FFFFFF"/>
          <w:lang w:val="en-US" w:eastAsia="en-US"/>
        </w:rPr>
        <w:t>33</w:t>
      </w:r>
      <w:r w:rsidRPr="00D4751A">
        <w:rPr>
          <w:rFonts w:eastAsia="Calibri"/>
          <w:shd w:val="clear" w:color="auto" w:fill="FFFFFF"/>
          <w:lang w:val="en-US" w:eastAsia="en-US"/>
        </w:rPr>
        <w:t xml:space="preserve">(4), 574-592. </w:t>
      </w:r>
      <w:hyperlink r:id="rId54" w:history="1">
        <w:r w:rsidR="00FB0521" w:rsidRPr="00D4751A">
          <w:rPr>
            <w:rStyle w:val="Hipervnculo"/>
            <w:lang w:val="en-US" w:eastAsia="en-US"/>
          </w:rPr>
          <w:t>https://doi.org/</w:t>
        </w:r>
        <w:r w:rsidR="00FB0521" w:rsidRPr="00D4751A">
          <w:rPr>
            <w:rStyle w:val="Hipervnculo"/>
            <w:rFonts w:eastAsia="Calibri"/>
            <w:shd w:val="clear" w:color="auto" w:fill="FFFFFF"/>
            <w:lang w:val="en-US" w:eastAsia="en-US"/>
          </w:rPr>
          <w:t>10.1016/j.cpr.2013.03.003</w:t>
        </w:r>
      </w:hyperlink>
      <w:r w:rsidR="00FB0521">
        <w:rPr>
          <w:rFonts w:eastAsia="Calibri"/>
          <w:shd w:val="clear" w:color="auto" w:fill="FFFFFF"/>
          <w:lang w:val="en-US" w:eastAsia="en-US"/>
        </w:rPr>
        <w:t xml:space="preserve"> </w:t>
      </w:r>
    </w:p>
    <w:p w14:paraId="0993A7A4" w14:textId="4D31B629" w:rsidR="00D4751A" w:rsidRPr="00D4751A" w:rsidRDefault="00D4751A" w:rsidP="00FC4499">
      <w:pPr>
        <w:autoSpaceDE w:val="0"/>
        <w:autoSpaceDN w:val="0"/>
        <w:adjustRightInd w:val="0"/>
        <w:ind w:left="742" w:hangingChars="309" w:hanging="742"/>
        <w:rPr>
          <w:rFonts w:eastAsia="Calibri"/>
          <w:shd w:val="clear" w:color="auto" w:fill="FFFFFF"/>
          <w:lang w:val="pt-BR" w:eastAsia="en-US"/>
        </w:rPr>
      </w:pPr>
      <w:r w:rsidRPr="00D4751A">
        <w:rPr>
          <w:rFonts w:eastAsia="Calibri"/>
          <w:shd w:val="clear" w:color="auto" w:fill="FFFFFF"/>
          <w:lang w:val="pt-BR" w:eastAsia="en-US"/>
        </w:rPr>
        <w:t xml:space="preserve">Steele, D. W., Becker, S. J., </w:t>
      </w:r>
      <w:proofErr w:type="spellStart"/>
      <w:r w:rsidRPr="00D4751A">
        <w:rPr>
          <w:rFonts w:eastAsia="Calibri"/>
          <w:shd w:val="clear" w:color="auto" w:fill="FFFFFF"/>
          <w:lang w:val="pt-BR" w:eastAsia="en-US"/>
        </w:rPr>
        <w:t>Danko</w:t>
      </w:r>
      <w:proofErr w:type="spellEnd"/>
      <w:r w:rsidRPr="00D4751A">
        <w:rPr>
          <w:rFonts w:eastAsia="Calibri"/>
          <w:shd w:val="clear" w:color="auto" w:fill="FFFFFF"/>
          <w:lang w:val="pt-BR" w:eastAsia="en-US"/>
        </w:rPr>
        <w:t xml:space="preserve">, K. J., </w:t>
      </w:r>
      <w:proofErr w:type="spellStart"/>
      <w:r w:rsidRPr="00D4751A">
        <w:rPr>
          <w:rFonts w:eastAsia="Calibri"/>
          <w:shd w:val="clear" w:color="auto" w:fill="FFFFFF"/>
          <w:lang w:val="pt-BR" w:eastAsia="en-US"/>
        </w:rPr>
        <w:t>Balk</w:t>
      </w:r>
      <w:proofErr w:type="spellEnd"/>
      <w:r w:rsidRPr="00D4751A">
        <w:rPr>
          <w:rFonts w:eastAsia="Calibri"/>
          <w:shd w:val="clear" w:color="auto" w:fill="FFFFFF"/>
          <w:lang w:val="pt-BR" w:eastAsia="en-US"/>
        </w:rPr>
        <w:t xml:space="preserve">, E. M., Adam, G. P., Saldanha, I. J., </w:t>
      </w:r>
      <w:r w:rsidRPr="00D4751A">
        <w:rPr>
          <w:lang w:val="en-US" w:eastAsia="en-US"/>
        </w:rPr>
        <w:t>&amp;</w:t>
      </w:r>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Trikalinos</w:t>
      </w:r>
      <w:proofErr w:type="spellEnd"/>
      <w:r w:rsidRPr="00D4751A">
        <w:rPr>
          <w:rFonts w:eastAsia="Calibri"/>
          <w:shd w:val="clear" w:color="auto" w:fill="FFFFFF"/>
          <w:lang w:val="pt-BR" w:eastAsia="en-US"/>
        </w:rPr>
        <w:t xml:space="preserve">, T. A. (2020). </w:t>
      </w:r>
      <w:proofErr w:type="spellStart"/>
      <w:r w:rsidRPr="00D4751A">
        <w:rPr>
          <w:rFonts w:eastAsia="Calibri"/>
          <w:shd w:val="clear" w:color="auto" w:fill="FFFFFF"/>
          <w:lang w:val="pt-BR" w:eastAsia="en-US"/>
        </w:rPr>
        <w:t>Brief</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behavioral</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interventions</w:t>
      </w:r>
      <w:proofErr w:type="spellEnd"/>
      <w:r w:rsidRPr="00D4751A">
        <w:rPr>
          <w:rFonts w:eastAsia="Calibri"/>
          <w:shd w:val="clear" w:color="auto" w:fill="FFFFFF"/>
          <w:lang w:val="pt-BR" w:eastAsia="en-US"/>
        </w:rPr>
        <w:t xml:space="preserve"> for </w:t>
      </w:r>
      <w:proofErr w:type="spellStart"/>
      <w:r w:rsidRPr="00D4751A">
        <w:rPr>
          <w:rFonts w:eastAsia="Calibri"/>
          <w:shd w:val="clear" w:color="auto" w:fill="FFFFFF"/>
          <w:lang w:val="pt-BR" w:eastAsia="en-US"/>
        </w:rPr>
        <w:t>substance</w:t>
      </w:r>
      <w:proofErr w:type="spellEnd"/>
      <w:r w:rsidRPr="00D4751A">
        <w:rPr>
          <w:rFonts w:eastAsia="Calibri"/>
          <w:shd w:val="clear" w:color="auto" w:fill="FFFFFF"/>
          <w:lang w:val="pt-BR" w:eastAsia="en-US"/>
        </w:rPr>
        <w:t xml:space="preserve"> use in </w:t>
      </w:r>
      <w:proofErr w:type="spellStart"/>
      <w:r w:rsidRPr="00D4751A">
        <w:rPr>
          <w:rFonts w:eastAsia="Calibri"/>
          <w:shd w:val="clear" w:color="auto" w:fill="FFFFFF"/>
          <w:lang w:val="pt-BR" w:eastAsia="en-US"/>
        </w:rPr>
        <w:t>adolescents</w:t>
      </w:r>
      <w:proofErr w:type="spellEnd"/>
      <w:r w:rsidRPr="00D4751A">
        <w:rPr>
          <w:rFonts w:eastAsia="Calibri"/>
          <w:shd w:val="clear" w:color="auto" w:fill="FFFFFF"/>
          <w:lang w:val="pt-BR" w:eastAsia="en-US"/>
        </w:rPr>
        <w:t>: a meta-</w:t>
      </w:r>
      <w:proofErr w:type="spellStart"/>
      <w:r w:rsidRPr="00D4751A">
        <w:rPr>
          <w:rFonts w:eastAsia="Calibri"/>
          <w:shd w:val="clear" w:color="auto" w:fill="FFFFFF"/>
          <w:lang w:val="pt-BR" w:eastAsia="en-US"/>
        </w:rPr>
        <w:t>analysis</w:t>
      </w:r>
      <w:proofErr w:type="spellEnd"/>
      <w:r w:rsidRPr="00D4751A">
        <w:rPr>
          <w:rFonts w:eastAsia="Calibri"/>
          <w:shd w:val="clear" w:color="auto" w:fill="FFFFFF"/>
          <w:lang w:val="pt-BR" w:eastAsia="en-US"/>
        </w:rPr>
        <w:t>. </w:t>
      </w:r>
      <w:proofErr w:type="spellStart"/>
      <w:r w:rsidRPr="00D4751A">
        <w:rPr>
          <w:rFonts w:eastAsia="Calibri"/>
          <w:i/>
          <w:iCs/>
          <w:shd w:val="clear" w:color="auto" w:fill="FFFFFF"/>
          <w:lang w:val="pt-BR" w:eastAsia="en-US"/>
        </w:rPr>
        <w:t>Pediatrics</w:t>
      </w:r>
      <w:proofErr w:type="spellEnd"/>
      <w:r w:rsidRPr="00D4751A">
        <w:rPr>
          <w:rFonts w:eastAsia="Calibri"/>
          <w:shd w:val="clear" w:color="auto" w:fill="FFFFFF"/>
          <w:lang w:val="pt-BR" w:eastAsia="en-US"/>
        </w:rPr>
        <w:t>, </w:t>
      </w:r>
      <w:r w:rsidRPr="00D4751A">
        <w:rPr>
          <w:rFonts w:eastAsia="Calibri"/>
          <w:i/>
          <w:iCs/>
          <w:shd w:val="clear" w:color="auto" w:fill="FFFFFF"/>
          <w:lang w:val="pt-BR" w:eastAsia="en-US"/>
        </w:rPr>
        <w:t>146</w:t>
      </w:r>
      <w:r w:rsidRPr="00D4751A">
        <w:rPr>
          <w:rFonts w:eastAsia="Calibri"/>
          <w:shd w:val="clear" w:color="auto" w:fill="FFFFFF"/>
          <w:lang w:val="pt-BR" w:eastAsia="en-US"/>
        </w:rPr>
        <w:t xml:space="preserve">(4), e20200351. </w:t>
      </w:r>
      <w:hyperlink r:id="rId55" w:history="1">
        <w:r w:rsidR="00FB0521" w:rsidRPr="004C1657">
          <w:rPr>
            <w:rStyle w:val="Hipervnculo"/>
            <w:lang w:val="pt-BR" w:eastAsia="en-US"/>
          </w:rPr>
          <w:t>https://doi.org/</w:t>
        </w:r>
        <w:r w:rsidR="00FB0521" w:rsidRPr="00D4751A">
          <w:rPr>
            <w:rStyle w:val="Hipervnculo"/>
            <w:rFonts w:eastAsia="Calibri"/>
            <w:shd w:val="clear" w:color="auto" w:fill="FFFFFF"/>
            <w:lang w:val="pt-BR" w:eastAsia="en-US"/>
          </w:rPr>
          <w:t>10.1542/peds.2020-0351</w:t>
        </w:r>
      </w:hyperlink>
      <w:r w:rsidR="00FB0521">
        <w:rPr>
          <w:rFonts w:eastAsia="Calibri"/>
          <w:shd w:val="clear" w:color="auto" w:fill="FFFFFF"/>
          <w:lang w:val="pt-BR" w:eastAsia="en-US"/>
        </w:rPr>
        <w:t xml:space="preserve"> </w:t>
      </w:r>
    </w:p>
    <w:p w14:paraId="00930431" w14:textId="410630C7"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proofErr w:type="spellStart"/>
      <w:r w:rsidRPr="00D4751A">
        <w:rPr>
          <w:rFonts w:eastAsia="Calibri"/>
          <w:shd w:val="clear" w:color="auto" w:fill="FFFFFF"/>
          <w:lang w:val="pt-BR" w:eastAsia="en-US"/>
        </w:rPr>
        <w:t>Thoma</w:t>
      </w:r>
      <w:proofErr w:type="spellEnd"/>
      <w:r w:rsidRPr="00D4751A">
        <w:rPr>
          <w:rFonts w:eastAsia="Calibri"/>
          <w:shd w:val="clear" w:color="auto" w:fill="FFFFFF"/>
          <w:lang w:val="pt-BR" w:eastAsia="en-US"/>
        </w:rPr>
        <w:t xml:space="preserve">, R. J., </w:t>
      </w:r>
      <w:proofErr w:type="spellStart"/>
      <w:r w:rsidRPr="00D4751A">
        <w:rPr>
          <w:rFonts w:eastAsia="Calibri"/>
          <w:shd w:val="clear" w:color="auto" w:fill="FFFFFF"/>
          <w:lang w:val="pt-BR" w:eastAsia="en-US"/>
        </w:rPr>
        <w:t>Monnig</w:t>
      </w:r>
      <w:proofErr w:type="spellEnd"/>
      <w:r w:rsidRPr="00D4751A">
        <w:rPr>
          <w:rFonts w:eastAsia="Calibri"/>
          <w:shd w:val="clear" w:color="auto" w:fill="FFFFFF"/>
          <w:lang w:val="pt-BR" w:eastAsia="en-US"/>
        </w:rPr>
        <w:t xml:space="preserve">, M. A., </w:t>
      </w:r>
      <w:proofErr w:type="spellStart"/>
      <w:r w:rsidRPr="00D4751A">
        <w:rPr>
          <w:rFonts w:eastAsia="Calibri"/>
          <w:shd w:val="clear" w:color="auto" w:fill="FFFFFF"/>
          <w:lang w:val="pt-BR" w:eastAsia="en-US"/>
        </w:rPr>
        <w:t>Lysne</w:t>
      </w:r>
      <w:proofErr w:type="spellEnd"/>
      <w:r w:rsidRPr="00D4751A">
        <w:rPr>
          <w:rFonts w:eastAsia="Calibri"/>
          <w:shd w:val="clear" w:color="auto" w:fill="FFFFFF"/>
          <w:lang w:val="pt-BR" w:eastAsia="en-US"/>
        </w:rPr>
        <w:t xml:space="preserve">, P. A., </w:t>
      </w:r>
      <w:proofErr w:type="spellStart"/>
      <w:r w:rsidRPr="00D4751A">
        <w:rPr>
          <w:rFonts w:eastAsia="Calibri"/>
          <w:shd w:val="clear" w:color="auto" w:fill="FFFFFF"/>
          <w:lang w:val="pt-BR" w:eastAsia="en-US"/>
        </w:rPr>
        <w:t>Ruhl</w:t>
      </w:r>
      <w:proofErr w:type="spellEnd"/>
      <w:r w:rsidRPr="00D4751A">
        <w:rPr>
          <w:rFonts w:eastAsia="Calibri"/>
          <w:shd w:val="clear" w:color="auto" w:fill="FFFFFF"/>
          <w:lang w:val="pt-BR" w:eastAsia="en-US"/>
        </w:rPr>
        <w:t xml:space="preserve">, D. A., </w:t>
      </w:r>
      <w:proofErr w:type="spellStart"/>
      <w:r w:rsidRPr="00D4751A">
        <w:rPr>
          <w:rFonts w:eastAsia="Calibri"/>
          <w:shd w:val="clear" w:color="auto" w:fill="FFFFFF"/>
          <w:lang w:val="pt-BR" w:eastAsia="en-US"/>
        </w:rPr>
        <w:t>Pommy</w:t>
      </w:r>
      <w:proofErr w:type="spellEnd"/>
      <w:r w:rsidRPr="00D4751A">
        <w:rPr>
          <w:rFonts w:eastAsia="Calibri"/>
          <w:shd w:val="clear" w:color="auto" w:fill="FFFFFF"/>
          <w:lang w:val="pt-BR" w:eastAsia="en-US"/>
        </w:rPr>
        <w:t xml:space="preserve">, J. A., </w:t>
      </w:r>
      <w:proofErr w:type="spellStart"/>
      <w:r w:rsidRPr="00D4751A">
        <w:rPr>
          <w:rFonts w:eastAsia="Calibri"/>
          <w:shd w:val="clear" w:color="auto" w:fill="FFFFFF"/>
          <w:lang w:val="pt-BR" w:eastAsia="en-US"/>
        </w:rPr>
        <w:t>Bogenschutz</w:t>
      </w:r>
      <w:proofErr w:type="spellEnd"/>
      <w:r w:rsidRPr="00D4751A">
        <w:rPr>
          <w:rFonts w:eastAsia="Calibri"/>
          <w:shd w:val="clear" w:color="auto" w:fill="FFFFFF"/>
          <w:lang w:val="pt-BR" w:eastAsia="en-US"/>
        </w:rPr>
        <w:t xml:space="preserve">, M., </w:t>
      </w:r>
      <w:proofErr w:type="spellStart"/>
      <w:r w:rsidRPr="00D4751A">
        <w:rPr>
          <w:rFonts w:eastAsia="Calibri"/>
          <w:shd w:val="clear" w:color="auto" w:fill="FFFFFF"/>
          <w:lang w:val="pt-BR" w:eastAsia="en-US"/>
        </w:rPr>
        <w:t>Tonigan</w:t>
      </w:r>
      <w:proofErr w:type="spellEnd"/>
      <w:r w:rsidRPr="00D4751A">
        <w:rPr>
          <w:rFonts w:eastAsia="Calibri"/>
          <w:shd w:val="clear" w:color="auto" w:fill="FFFFFF"/>
          <w:lang w:val="pt-BR" w:eastAsia="en-US"/>
        </w:rPr>
        <w:t xml:space="preserve">, J. S., &amp; </w:t>
      </w:r>
      <w:proofErr w:type="spellStart"/>
      <w:r w:rsidRPr="00D4751A">
        <w:rPr>
          <w:rFonts w:eastAsia="Calibri"/>
          <w:shd w:val="clear" w:color="auto" w:fill="FFFFFF"/>
          <w:lang w:val="pt-BR" w:eastAsia="en-US"/>
        </w:rPr>
        <w:t>Yeo</w:t>
      </w:r>
      <w:proofErr w:type="spellEnd"/>
      <w:r w:rsidRPr="00D4751A">
        <w:rPr>
          <w:rFonts w:eastAsia="Calibri"/>
          <w:shd w:val="clear" w:color="auto" w:fill="FFFFFF"/>
          <w:lang w:val="pt-BR" w:eastAsia="en-US"/>
        </w:rPr>
        <w:t xml:space="preserve">, R. A. (2011). </w:t>
      </w:r>
      <w:proofErr w:type="spellStart"/>
      <w:r w:rsidRPr="00D4751A">
        <w:rPr>
          <w:rFonts w:eastAsia="Calibri"/>
          <w:shd w:val="clear" w:color="auto" w:fill="FFFFFF"/>
          <w:lang w:val="pt-BR" w:eastAsia="en-US"/>
        </w:rPr>
        <w:t>Adolescent</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substance</w:t>
      </w:r>
      <w:proofErr w:type="spellEnd"/>
      <w:r w:rsidRPr="00D4751A">
        <w:rPr>
          <w:rFonts w:eastAsia="Calibri"/>
          <w:shd w:val="clear" w:color="auto" w:fill="FFFFFF"/>
          <w:lang w:val="pt-BR" w:eastAsia="en-US"/>
        </w:rPr>
        <w:t xml:space="preserve"> abuse: </w:t>
      </w:r>
      <w:proofErr w:type="spellStart"/>
      <w:r w:rsidRPr="00D4751A">
        <w:rPr>
          <w:rFonts w:eastAsia="Calibri"/>
          <w:shd w:val="clear" w:color="auto" w:fill="FFFFFF"/>
          <w:lang w:val="pt-BR" w:eastAsia="en-US"/>
        </w:rPr>
        <w:t>the</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effects</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of</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alcohol</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and</w:t>
      </w:r>
      <w:proofErr w:type="spellEnd"/>
      <w:r w:rsidRPr="00D4751A">
        <w:rPr>
          <w:rFonts w:eastAsia="Calibri"/>
          <w:shd w:val="clear" w:color="auto" w:fill="FFFFFF"/>
          <w:lang w:val="pt-BR" w:eastAsia="en-US"/>
        </w:rPr>
        <w:t xml:space="preserve"> marijuana </w:t>
      </w:r>
      <w:proofErr w:type="spellStart"/>
      <w:r w:rsidRPr="00D4751A">
        <w:rPr>
          <w:rFonts w:eastAsia="Calibri"/>
          <w:shd w:val="clear" w:color="auto" w:fill="FFFFFF"/>
          <w:lang w:val="pt-BR" w:eastAsia="en-US"/>
        </w:rPr>
        <w:t>on</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neuropsychological</w:t>
      </w:r>
      <w:proofErr w:type="spellEnd"/>
      <w:r w:rsidRPr="00D4751A">
        <w:rPr>
          <w:rFonts w:eastAsia="Calibri"/>
          <w:shd w:val="clear" w:color="auto" w:fill="FFFFFF"/>
          <w:lang w:val="pt-BR" w:eastAsia="en-US"/>
        </w:rPr>
        <w:t xml:space="preserve"> performance. </w:t>
      </w:r>
      <w:proofErr w:type="spellStart"/>
      <w:r w:rsidRPr="00D4751A">
        <w:rPr>
          <w:rFonts w:eastAsia="Calibri"/>
          <w:i/>
          <w:iCs/>
          <w:shd w:val="clear" w:color="auto" w:fill="FFFFFF"/>
          <w:lang w:val="pt-BR" w:eastAsia="en-US"/>
        </w:rPr>
        <w:t>Alcoholism</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Clinical</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and</w:t>
      </w:r>
      <w:proofErr w:type="spellEnd"/>
      <w:r w:rsidRPr="00D4751A">
        <w:rPr>
          <w:rFonts w:eastAsia="Calibri"/>
          <w:i/>
          <w:iCs/>
          <w:shd w:val="clear" w:color="auto" w:fill="FFFFFF"/>
          <w:lang w:val="pt-BR" w:eastAsia="en-US"/>
        </w:rPr>
        <w:t xml:space="preserve"> Experimental </w:t>
      </w:r>
      <w:proofErr w:type="spellStart"/>
      <w:r w:rsidRPr="00D4751A">
        <w:rPr>
          <w:rFonts w:eastAsia="Calibri"/>
          <w:i/>
          <w:iCs/>
          <w:shd w:val="clear" w:color="auto" w:fill="FFFFFF"/>
          <w:lang w:val="pt-BR" w:eastAsia="en-US"/>
        </w:rPr>
        <w:t>Research</w:t>
      </w:r>
      <w:proofErr w:type="spellEnd"/>
      <w:r w:rsidRPr="00D4751A">
        <w:rPr>
          <w:rFonts w:eastAsia="Calibri"/>
          <w:shd w:val="clear" w:color="auto" w:fill="FFFFFF"/>
          <w:lang w:val="pt-BR" w:eastAsia="en-US"/>
        </w:rPr>
        <w:t>, </w:t>
      </w:r>
      <w:r w:rsidRPr="00D4751A">
        <w:rPr>
          <w:rFonts w:eastAsia="Calibri"/>
          <w:i/>
          <w:iCs/>
          <w:shd w:val="clear" w:color="auto" w:fill="FFFFFF"/>
          <w:lang w:val="pt-BR" w:eastAsia="en-US"/>
        </w:rPr>
        <w:t>35</w:t>
      </w:r>
      <w:r w:rsidRPr="00D4751A">
        <w:rPr>
          <w:rFonts w:eastAsia="Calibri"/>
          <w:shd w:val="clear" w:color="auto" w:fill="FFFFFF"/>
          <w:lang w:val="pt-BR" w:eastAsia="en-US"/>
        </w:rPr>
        <w:t>(1), 39-46</w:t>
      </w:r>
      <w:r w:rsidR="00FB0521">
        <w:rPr>
          <w:rFonts w:eastAsia="Calibri"/>
          <w:shd w:val="clear" w:color="auto" w:fill="FFFFFF"/>
          <w:lang w:val="pt-BR" w:eastAsia="en-US"/>
        </w:rPr>
        <w:t>.</w:t>
      </w:r>
      <w:r w:rsidR="00CB3189">
        <w:rPr>
          <w:rFonts w:eastAsia="Calibri"/>
          <w:shd w:val="clear" w:color="auto" w:fill="FFFFFF"/>
          <w:lang w:val="pt-BR" w:eastAsia="en-US"/>
        </w:rPr>
        <w:t xml:space="preserve"> </w:t>
      </w:r>
      <w:hyperlink r:id="rId56" w:history="1">
        <w:r w:rsidR="00CB3189" w:rsidRPr="00FC382E">
          <w:rPr>
            <w:rStyle w:val="Hipervnculo"/>
            <w:rFonts w:eastAsia="Calibri"/>
            <w:shd w:val="clear" w:color="auto" w:fill="FFFFFF"/>
            <w:lang w:val="pt-BR" w:eastAsia="en-US"/>
          </w:rPr>
          <w:t>https://doi.org/10.1111/j.1530-0277.2010.01320.x</w:t>
        </w:r>
      </w:hyperlink>
      <w:r w:rsidR="00CB3189">
        <w:rPr>
          <w:rFonts w:eastAsia="Calibri"/>
          <w:shd w:val="clear" w:color="auto" w:fill="FFFFFF"/>
          <w:lang w:val="pt-BR" w:eastAsia="en-US"/>
        </w:rPr>
        <w:t xml:space="preserve"> </w:t>
      </w:r>
    </w:p>
    <w:p w14:paraId="23147577" w14:textId="02354398"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r w:rsidRPr="00D4751A">
        <w:rPr>
          <w:rFonts w:eastAsia="Calibri"/>
          <w:shd w:val="clear" w:color="auto" w:fill="FFFFFF"/>
          <w:lang w:val="en-US" w:eastAsia="en-US"/>
        </w:rPr>
        <w:t xml:space="preserve">Waller, R., Murray, L., Shaw, D. S., Forbes, E. E., </w:t>
      </w:r>
      <w:r w:rsidRPr="00D4751A">
        <w:rPr>
          <w:lang w:val="en-US" w:eastAsia="en-US"/>
        </w:rPr>
        <w:t>&amp;</w:t>
      </w:r>
      <w:r w:rsidRPr="00D4751A">
        <w:rPr>
          <w:rFonts w:eastAsia="Calibri"/>
          <w:shd w:val="clear" w:color="auto" w:fill="FFFFFF"/>
          <w:lang w:val="en-US" w:eastAsia="en-US"/>
        </w:rPr>
        <w:t xml:space="preserve"> Hyde, L. W. (2019). Accelerated alcohol use across adolescence predicts early adult symptoms of alcohol use disorder via reward-related neural function. </w:t>
      </w:r>
      <w:r w:rsidRPr="00D4751A">
        <w:rPr>
          <w:rFonts w:eastAsia="Calibri"/>
          <w:i/>
          <w:iCs/>
          <w:shd w:val="clear" w:color="auto" w:fill="FFFFFF"/>
          <w:lang w:val="en-US" w:eastAsia="en-US"/>
        </w:rPr>
        <w:t>Psychological Medicine</w:t>
      </w:r>
      <w:r w:rsidRPr="00D4751A">
        <w:rPr>
          <w:rFonts w:eastAsia="Calibri"/>
          <w:shd w:val="clear" w:color="auto" w:fill="FFFFFF"/>
          <w:lang w:val="en-US" w:eastAsia="en-US"/>
        </w:rPr>
        <w:t>, </w:t>
      </w:r>
      <w:r w:rsidRPr="00D4751A">
        <w:rPr>
          <w:rFonts w:eastAsia="Calibri"/>
          <w:i/>
          <w:iCs/>
          <w:shd w:val="clear" w:color="auto" w:fill="FFFFFF"/>
          <w:lang w:val="en-US" w:eastAsia="en-US"/>
        </w:rPr>
        <w:t>49</w:t>
      </w:r>
      <w:r w:rsidRPr="00D4751A">
        <w:rPr>
          <w:rFonts w:eastAsia="Calibri"/>
          <w:shd w:val="clear" w:color="auto" w:fill="FFFFFF"/>
          <w:lang w:val="en-US" w:eastAsia="en-US"/>
        </w:rPr>
        <w:t xml:space="preserve">(4), 675-684. </w:t>
      </w:r>
      <w:hyperlink r:id="rId57" w:history="1">
        <w:r w:rsidR="00FB0521" w:rsidRPr="00D4751A">
          <w:rPr>
            <w:rStyle w:val="Hipervnculo"/>
            <w:lang w:val="en-US" w:eastAsia="en-US"/>
          </w:rPr>
          <w:t>https://doi.org/</w:t>
        </w:r>
        <w:r w:rsidR="00FB0521" w:rsidRPr="00D4751A">
          <w:rPr>
            <w:rStyle w:val="Hipervnculo"/>
            <w:rFonts w:eastAsia="Calibri"/>
            <w:shd w:val="clear" w:color="auto" w:fill="FFFFFF"/>
            <w:lang w:val="en-US" w:eastAsia="en-US"/>
          </w:rPr>
          <w:t>10.1017/S003329171800137X</w:t>
        </w:r>
      </w:hyperlink>
      <w:r w:rsidR="00FB0521">
        <w:rPr>
          <w:rFonts w:eastAsia="Calibri"/>
          <w:shd w:val="clear" w:color="auto" w:fill="FFFFFF"/>
          <w:lang w:val="en-US" w:eastAsia="en-US"/>
        </w:rPr>
        <w:t xml:space="preserve"> </w:t>
      </w:r>
    </w:p>
    <w:p w14:paraId="62EB0968" w14:textId="41E99C1C" w:rsidR="00D4751A" w:rsidRPr="00D4751A" w:rsidRDefault="00D4751A" w:rsidP="00FC4499">
      <w:pPr>
        <w:autoSpaceDE w:val="0"/>
        <w:autoSpaceDN w:val="0"/>
        <w:adjustRightInd w:val="0"/>
        <w:ind w:left="742" w:hangingChars="309" w:hanging="742"/>
        <w:rPr>
          <w:rFonts w:eastAsia="Calibri"/>
          <w:shd w:val="clear" w:color="auto" w:fill="FFFFFF"/>
          <w:lang w:val="en-US" w:eastAsia="en-US"/>
        </w:rPr>
      </w:pPr>
      <w:r w:rsidRPr="00D4751A">
        <w:rPr>
          <w:rFonts w:eastAsia="Calibri"/>
          <w:shd w:val="clear" w:color="auto" w:fill="FFFFFF"/>
          <w:lang w:val="en-US" w:eastAsia="en-US"/>
        </w:rPr>
        <w:t xml:space="preserve">Wetherill, R. R., </w:t>
      </w:r>
      <w:proofErr w:type="spellStart"/>
      <w:r w:rsidRPr="00D4751A">
        <w:rPr>
          <w:rFonts w:eastAsia="Calibri"/>
          <w:shd w:val="clear" w:color="auto" w:fill="FFFFFF"/>
          <w:lang w:val="en-US" w:eastAsia="en-US"/>
        </w:rPr>
        <w:t>Squeglia</w:t>
      </w:r>
      <w:proofErr w:type="spellEnd"/>
      <w:r w:rsidRPr="00D4751A">
        <w:rPr>
          <w:rFonts w:eastAsia="Calibri"/>
          <w:shd w:val="clear" w:color="auto" w:fill="FFFFFF"/>
          <w:lang w:val="en-US" w:eastAsia="en-US"/>
        </w:rPr>
        <w:t xml:space="preserve">, L. M., Yang, T. T., </w:t>
      </w:r>
      <w:r w:rsidRPr="00D4751A">
        <w:rPr>
          <w:lang w:val="en-US" w:eastAsia="en-US"/>
        </w:rPr>
        <w:t>&amp;</w:t>
      </w:r>
      <w:r w:rsidRPr="00D4751A">
        <w:rPr>
          <w:rFonts w:eastAsia="Calibri"/>
          <w:shd w:val="clear" w:color="auto" w:fill="FFFFFF"/>
          <w:lang w:val="en-US" w:eastAsia="en-US"/>
        </w:rPr>
        <w:t xml:space="preserve"> Tapert, S. F. (2013). A longitudinal examination of adolescent response inhibition: neural differences before and after the initiation of heavy drinking. </w:t>
      </w:r>
      <w:r w:rsidRPr="00D4751A">
        <w:rPr>
          <w:rFonts w:eastAsia="Calibri"/>
          <w:i/>
          <w:iCs/>
          <w:shd w:val="clear" w:color="auto" w:fill="FFFFFF"/>
          <w:lang w:val="en-US" w:eastAsia="en-US"/>
        </w:rPr>
        <w:t>Psychopharmacology</w:t>
      </w:r>
      <w:r w:rsidRPr="00D4751A">
        <w:rPr>
          <w:rFonts w:eastAsia="Calibri"/>
          <w:shd w:val="clear" w:color="auto" w:fill="FFFFFF"/>
          <w:lang w:val="en-US" w:eastAsia="en-US"/>
        </w:rPr>
        <w:t>, </w:t>
      </w:r>
      <w:r w:rsidRPr="00D4751A">
        <w:rPr>
          <w:rFonts w:eastAsia="Calibri"/>
          <w:i/>
          <w:iCs/>
          <w:shd w:val="clear" w:color="auto" w:fill="FFFFFF"/>
          <w:lang w:val="en-US" w:eastAsia="en-US"/>
        </w:rPr>
        <w:t>230</w:t>
      </w:r>
      <w:r w:rsidRPr="00D4751A">
        <w:rPr>
          <w:rFonts w:eastAsia="Calibri"/>
          <w:shd w:val="clear" w:color="auto" w:fill="FFFFFF"/>
          <w:lang w:val="en-US" w:eastAsia="en-US"/>
        </w:rPr>
        <w:t xml:space="preserve">(4), 663-671. </w:t>
      </w:r>
      <w:hyperlink r:id="rId58" w:history="1">
        <w:r w:rsidR="00FB0521" w:rsidRPr="00D4751A">
          <w:rPr>
            <w:rStyle w:val="Hipervnculo"/>
            <w:lang w:val="en-US" w:eastAsia="en-US"/>
          </w:rPr>
          <w:t>https://doi.org/</w:t>
        </w:r>
        <w:r w:rsidR="00FB0521" w:rsidRPr="00D4751A">
          <w:rPr>
            <w:rStyle w:val="Hipervnculo"/>
            <w:rFonts w:eastAsia="Calibri"/>
            <w:shd w:val="clear" w:color="auto" w:fill="FFFFFF"/>
            <w:lang w:val="en-US" w:eastAsia="en-US"/>
          </w:rPr>
          <w:t>10.1007/s00213-013-3198-2</w:t>
        </w:r>
      </w:hyperlink>
      <w:r w:rsidR="00FB0521">
        <w:rPr>
          <w:rFonts w:eastAsia="Calibri"/>
          <w:shd w:val="clear" w:color="auto" w:fill="FFFFFF"/>
          <w:lang w:val="en-US" w:eastAsia="en-US"/>
        </w:rPr>
        <w:t xml:space="preserve"> </w:t>
      </w:r>
    </w:p>
    <w:p w14:paraId="6DD4C271" w14:textId="1726B83B" w:rsidR="00D4751A" w:rsidRDefault="00D4751A" w:rsidP="00FC4499">
      <w:pPr>
        <w:autoSpaceDE w:val="0"/>
        <w:autoSpaceDN w:val="0"/>
        <w:adjustRightInd w:val="0"/>
        <w:ind w:left="742" w:hangingChars="309" w:hanging="742"/>
        <w:rPr>
          <w:rFonts w:eastAsia="Calibri"/>
          <w:shd w:val="clear" w:color="auto" w:fill="FFFFFF"/>
          <w:lang w:val="pt-BR" w:eastAsia="en-US"/>
        </w:rPr>
      </w:pPr>
      <w:proofErr w:type="spellStart"/>
      <w:r w:rsidRPr="00D4751A">
        <w:rPr>
          <w:rFonts w:eastAsia="Calibri"/>
          <w:shd w:val="clear" w:color="auto" w:fill="FFFFFF"/>
          <w:lang w:val="pt-BR" w:eastAsia="en-US"/>
        </w:rPr>
        <w:lastRenderedPageBreak/>
        <w:t>Willoughby</w:t>
      </w:r>
      <w:proofErr w:type="spellEnd"/>
      <w:r w:rsidRPr="00D4751A">
        <w:rPr>
          <w:rFonts w:eastAsia="Calibri"/>
          <w:shd w:val="clear" w:color="auto" w:fill="FFFFFF"/>
          <w:lang w:val="pt-BR" w:eastAsia="en-US"/>
        </w:rPr>
        <w:t xml:space="preserve">, T., </w:t>
      </w:r>
      <w:proofErr w:type="spellStart"/>
      <w:r w:rsidRPr="00D4751A">
        <w:rPr>
          <w:rFonts w:eastAsia="Calibri"/>
          <w:shd w:val="clear" w:color="auto" w:fill="FFFFFF"/>
          <w:lang w:val="pt-BR" w:eastAsia="en-US"/>
        </w:rPr>
        <w:t>Good</w:t>
      </w:r>
      <w:proofErr w:type="spellEnd"/>
      <w:r w:rsidRPr="00D4751A">
        <w:rPr>
          <w:rFonts w:eastAsia="Calibri"/>
          <w:shd w:val="clear" w:color="auto" w:fill="FFFFFF"/>
          <w:lang w:val="pt-BR" w:eastAsia="en-US"/>
        </w:rPr>
        <w:t xml:space="preserve">, M., </w:t>
      </w:r>
      <w:proofErr w:type="spellStart"/>
      <w:r w:rsidRPr="00D4751A">
        <w:rPr>
          <w:rFonts w:eastAsia="Calibri"/>
          <w:shd w:val="clear" w:color="auto" w:fill="FFFFFF"/>
          <w:lang w:val="pt-BR" w:eastAsia="en-US"/>
        </w:rPr>
        <w:t>Adachi</w:t>
      </w:r>
      <w:proofErr w:type="spellEnd"/>
      <w:r w:rsidRPr="00D4751A">
        <w:rPr>
          <w:rFonts w:eastAsia="Calibri"/>
          <w:shd w:val="clear" w:color="auto" w:fill="FFFFFF"/>
          <w:lang w:val="pt-BR" w:eastAsia="en-US"/>
        </w:rPr>
        <w:t xml:space="preserve">, P. J., </w:t>
      </w:r>
      <w:proofErr w:type="spellStart"/>
      <w:r w:rsidRPr="00D4751A">
        <w:rPr>
          <w:rFonts w:eastAsia="Calibri"/>
          <w:shd w:val="clear" w:color="auto" w:fill="FFFFFF"/>
          <w:lang w:val="pt-BR" w:eastAsia="en-US"/>
        </w:rPr>
        <w:t>Hamza</w:t>
      </w:r>
      <w:proofErr w:type="spellEnd"/>
      <w:r w:rsidRPr="00D4751A">
        <w:rPr>
          <w:rFonts w:eastAsia="Calibri"/>
          <w:shd w:val="clear" w:color="auto" w:fill="FFFFFF"/>
          <w:lang w:val="pt-BR" w:eastAsia="en-US"/>
        </w:rPr>
        <w:t xml:space="preserve">, C., </w:t>
      </w:r>
      <w:r w:rsidRPr="00D4751A">
        <w:rPr>
          <w:lang w:val="en-US" w:eastAsia="en-US"/>
        </w:rPr>
        <w:t>&amp;</w:t>
      </w:r>
      <w:r w:rsidRPr="00D4751A">
        <w:rPr>
          <w:rFonts w:eastAsia="Calibri"/>
          <w:shd w:val="clear" w:color="auto" w:fill="FFFFFF"/>
          <w:lang w:val="pt-BR" w:eastAsia="en-US"/>
        </w:rPr>
        <w:t xml:space="preserve"> Tavernier, R. (2014). </w:t>
      </w:r>
      <w:proofErr w:type="spellStart"/>
      <w:r w:rsidRPr="00D4751A">
        <w:rPr>
          <w:rFonts w:eastAsia="Calibri"/>
          <w:shd w:val="clear" w:color="auto" w:fill="FFFFFF"/>
          <w:lang w:val="pt-BR" w:eastAsia="en-US"/>
        </w:rPr>
        <w:t>Examining</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the</w:t>
      </w:r>
      <w:proofErr w:type="spellEnd"/>
      <w:r w:rsidRPr="00D4751A">
        <w:rPr>
          <w:rFonts w:eastAsia="Calibri"/>
          <w:shd w:val="clear" w:color="auto" w:fill="FFFFFF"/>
          <w:lang w:val="pt-BR" w:eastAsia="en-US"/>
        </w:rPr>
        <w:t xml:space="preserve"> link </w:t>
      </w:r>
      <w:proofErr w:type="spellStart"/>
      <w:r w:rsidRPr="00D4751A">
        <w:rPr>
          <w:rFonts w:eastAsia="Calibri"/>
          <w:shd w:val="clear" w:color="auto" w:fill="FFFFFF"/>
          <w:lang w:val="pt-BR" w:eastAsia="en-US"/>
        </w:rPr>
        <w:t>between</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adolescent</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brain</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development</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and</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risk</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taking</w:t>
      </w:r>
      <w:proofErr w:type="spellEnd"/>
      <w:r w:rsidRPr="00D4751A">
        <w:rPr>
          <w:rFonts w:eastAsia="Calibri"/>
          <w:shd w:val="clear" w:color="auto" w:fill="FFFFFF"/>
          <w:lang w:val="pt-BR" w:eastAsia="en-US"/>
        </w:rPr>
        <w:t xml:space="preserve"> </w:t>
      </w:r>
      <w:proofErr w:type="spellStart"/>
      <w:r w:rsidRPr="00D4751A">
        <w:rPr>
          <w:rFonts w:eastAsia="Calibri"/>
          <w:shd w:val="clear" w:color="auto" w:fill="FFFFFF"/>
          <w:lang w:val="pt-BR" w:eastAsia="en-US"/>
        </w:rPr>
        <w:t>from</w:t>
      </w:r>
      <w:proofErr w:type="spellEnd"/>
      <w:r w:rsidRPr="00D4751A">
        <w:rPr>
          <w:rFonts w:eastAsia="Calibri"/>
          <w:shd w:val="clear" w:color="auto" w:fill="FFFFFF"/>
          <w:lang w:val="pt-BR" w:eastAsia="en-US"/>
        </w:rPr>
        <w:t xml:space="preserve"> a social–</w:t>
      </w:r>
      <w:proofErr w:type="spellStart"/>
      <w:r w:rsidRPr="00D4751A">
        <w:rPr>
          <w:rFonts w:eastAsia="Calibri"/>
          <w:shd w:val="clear" w:color="auto" w:fill="FFFFFF"/>
          <w:lang w:val="pt-BR" w:eastAsia="en-US"/>
        </w:rPr>
        <w:t>developmental</w:t>
      </w:r>
      <w:proofErr w:type="spellEnd"/>
      <w:r w:rsidRPr="00D4751A">
        <w:rPr>
          <w:rFonts w:eastAsia="Calibri"/>
          <w:shd w:val="clear" w:color="auto" w:fill="FFFFFF"/>
          <w:lang w:val="pt-BR" w:eastAsia="en-US"/>
        </w:rPr>
        <w:t xml:space="preserve"> perspective (</w:t>
      </w:r>
      <w:proofErr w:type="spellStart"/>
      <w:r w:rsidRPr="00D4751A">
        <w:rPr>
          <w:rFonts w:eastAsia="Calibri"/>
          <w:shd w:val="clear" w:color="auto" w:fill="FFFFFF"/>
          <w:lang w:val="pt-BR" w:eastAsia="en-US"/>
        </w:rPr>
        <w:t>reprinted</w:t>
      </w:r>
      <w:proofErr w:type="spellEnd"/>
      <w:r w:rsidRPr="00D4751A">
        <w:rPr>
          <w:rFonts w:eastAsia="Calibri"/>
          <w:shd w:val="clear" w:color="auto" w:fill="FFFFFF"/>
          <w:lang w:val="pt-BR" w:eastAsia="en-US"/>
        </w:rPr>
        <w:t>). </w:t>
      </w:r>
      <w:proofErr w:type="spellStart"/>
      <w:r w:rsidRPr="00D4751A">
        <w:rPr>
          <w:rFonts w:eastAsia="Calibri"/>
          <w:i/>
          <w:iCs/>
          <w:shd w:val="clear" w:color="auto" w:fill="FFFFFF"/>
          <w:lang w:val="pt-BR" w:eastAsia="en-US"/>
        </w:rPr>
        <w:t>Brain</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and</w:t>
      </w:r>
      <w:proofErr w:type="spellEnd"/>
      <w:r w:rsidRPr="00D4751A">
        <w:rPr>
          <w:rFonts w:eastAsia="Calibri"/>
          <w:i/>
          <w:iCs/>
          <w:shd w:val="clear" w:color="auto" w:fill="FFFFFF"/>
          <w:lang w:val="pt-BR" w:eastAsia="en-US"/>
        </w:rPr>
        <w:t xml:space="preserve"> </w:t>
      </w:r>
      <w:proofErr w:type="spellStart"/>
      <w:r w:rsidRPr="00D4751A">
        <w:rPr>
          <w:rFonts w:eastAsia="Calibri"/>
          <w:i/>
          <w:iCs/>
          <w:shd w:val="clear" w:color="auto" w:fill="FFFFFF"/>
          <w:lang w:val="pt-BR" w:eastAsia="en-US"/>
        </w:rPr>
        <w:t>Cognition</w:t>
      </w:r>
      <w:proofErr w:type="spellEnd"/>
      <w:r w:rsidRPr="00D4751A">
        <w:rPr>
          <w:rFonts w:eastAsia="Calibri"/>
          <w:shd w:val="clear" w:color="auto" w:fill="FFFFFF"/>
          <w:lang w:val="pt-BR" w:eastAsia="en-US"/>
        </w:rPr>
        <w:t>, </w:t>
      </w:r>
      <w:r w:rsidRPr="00D4751A">
        <w:rPr>
          <w:rFonts w:eastAsia="Calibri"/>
          <w:i/>
          <w:iCs/>
          <w:shd w:val="clear" w:color="auto" w:fill="FFFFFF"/>
          <w:lang w:val="pt-BR" w:eastAsia="en-US"/>
        </w:rPr>
        <w:t>89</w:t>
      </w:r>
      <w:r w:rsidRPr="00D4751A">
        <w:rPr>
          <w:rFonts w:eastAsia="Calibri"/>
          <w:shd w:val="clear" w:color="auto" w:fill="FFFFFF"/>
          <w:lang w:val="pt-BR" w:eastAsia="en-US"/>
        </w:rPr>
        <w:t>, 70-78.</w:t>
      </w:r>
      <w:r w:rsidR="00CB3189">
        <w:rPr>
          <w:rFonts w:eastAsia="Calibri"/>
          <w:shd w:val="clear" w:color="auto" w:fill="FFFFFF"/>
          <w:lang w:val="pt-BR" w:eastAsia="en-US"/>
        </w:rPr>
        <w:t xml:space="preserve"> </w:t>
      </w:r>
      <w:hyperlink r:id="rId59" w:history="1">
        <w:r w:rsidR="00CB3189" w:rsidRPr="00FC382E">
          <w:rPr>
            <w:rStyle w:val="Hipervnculo"/>
            <w:rFonts w:eastAsia="Calibri"/>
            <w:shd w:val="clear" w:color="auto" w:fill="FFFFFF"/>
            <w:lang w:val="pt-BR" w:eastAsia="en-US"/>
          </w:rPr>
          <w:t>https://doi.org/10.1016/j.bandc.2014.07.006</w:t>
        </w:r>
      </w:hyperlink>
      <w:r w:rsidR="00CB3189">
        <w:rPr>
          <w:rFonts w:eastAsia="Calibri"/>
          <w:shd w:val="clear" w:color="auto" w:fill="FFFFFF"/>
          <w:lang w:val="pt-BR" w:eastAsia="en-US"/>
        </w:rPr>
        <w:t xml:space="preserve"> </w:t>
      </w:r>
    </w:p>
    <w:p w14:paraId="715E7F1B" w14:textId="65262E7B" w:rsidR="00D4751A" w:rsidRDefault="004665B3" w:rsidP="00FC4499">
      <w:pPr>
        <w:autoSpaceDE w:val="0"/>
        <w:autoSpaceDN w:val="0"/>
        <w:adjustRightInd w:val="0"/>
        <w:ind w:left="742" w:hangingChars="309" w:hanging="742"/>
        <w:rPr>
          <w:lang w:val="es-AR"/>
        </w:rPr>
      </w:pPr>
      <w:proofErr w:type="spellStart"/>
      <w:r w:rsidRPr="004665B3">
        <w:rPr>
          <w:rFonts w:eastAsia="Calibri"/>
          <w:shd w:val="clear" w:color="auto" w:fill="FFFFFF"/>
          <w:lang w:val="pt-BR" w:eastAsia="en-US"/>
        </w:rPr>
        <w:t>Xu</w:t>
      </w:r>
      <w:proofErr w:type="spellEnd"/>
      <w:r w:rsidRPr="004665B3">
        <w:rPr>
          <w:rFonts w:eastAsia="Calibri"/>
          <w:shd w:val="clear" w:color="auto" w:fill="FFFFFF"/>
          <w:lang w:val="pt-BR" w:eastAsia="en-US"/>
        </w:rPr>
        <w:t xml:space="preserve">, S., </w:t>
      </w:r>
      <w:proofErr w:type="spellStart"/>
      <w:r w:rsidRPr="004665B3">
        <w:rPr>
          <w:rFonts w:eastAsia="Calibri"/>
          <w:shd w:val="clear" w:color="auto" w:fill="FFFFFF"/>
          <w:lang w:val="pt-BR" w:eastAsia="en-US"/>
        </w:rPr>
        <w:t>Korczykowski</w:t>
      </w:r>
      <w:proofErr w:type="spellEnd"/>
      <w:r w:rsidRPr="004665B3">
        <w:rPr>
          <w:rFonts w:eastAsia="Calibri"/>
          <w:shd w:val="clear" w:color="auto" w:fill="FFFFFF"/>
          <w:lang w:val="pt-BR" w:eastAsia="en-US"/>
        </w:rPr>
        <w:t xml:space="preserve">, M., Zhu, S., &amp; Rao, H. (2013). </w:t>
      </w:r>
      <w:r w:rsidRPr="004665B3">
        <w:rPr>
          <w:rFonts w:eastAsia="Calibri"/>
          <w:shd w:val="clear" w:color="auto" w:fill="FFFFFF"/>
          <w:lang w:val="en-US" w:eastAsia="en-US"/>
        </w:rPr>
        <w:t>Assessment of risk-taking and impulsive behaviors: A comparison between three tasks. </w:t>
      </w:r>
      <w:r w:rsidRPr="004665B3">
        <w:rPr>
          <w:rFonts w:eastAsia="Calibri"/>
          <w:i/>
          <w:iCs/>
          <w:shd w:val="clear" w:color="auto" w:fill="FFFFFF"/>
          <w:lang w:eastAsia="en-US"/>
        </w:rPr>
        <w:t xml:space="preserve">Social </w:t>
      </w:r>
      <w:proofErr w:type="spellStart"/>
      <w:r>
        <w:rPr>
          <w:rFonts w:eastAsia="Calibri"/>
          <w:i/>
          <w:iCs/>
          <w:shd w:val="clear" w:color="auto" w:fill="FFFFFF"/>
          <w:lang w:eastAsia="en-US"/>
        </w:rPr>
        <w:t>B</w:t>
      </w:r>
      <w:r w:rsidRPr="004665B3">
        <w:rPr>
          <w:rFonts w:eastAsia="Calibri"/>
          <w:i/>
          <w:iCs/>
          <w:shd w:val="clear" w:color="auto" w:fill="FFFFFF"/>
          <w:lang w:eastAsia="en-US"/>
        </w:rPr>
        <w:t>ehavior</w:t>
      </w:r>
      <w:proofErr w:type="spellEnd"/>
      <w:r w:rsidRPr="004665B3">
        <w:rPr>
          <w:rFonts w:eastAsia="Calibri"/>
          <w:i/>
          <w:iCs/>
          <w:shd w:val="clear" w:color="auto" w:fill="FFFFFF"/>
          <w:lang w:eastAsia="en-US"/>
        </w:rPr>
        <w:t xml:space="preserve"> and </w:t>
      </w:r>
      <w:proofErr w:type="spellStart"/>
      <w:r>
        <w:rPr>
          <w:rFonts w:eastAsia="Calibri"/>
          <w:i/>
          <w:iCs/>
          <w:shd w:val="clear" w:color="auto" w:fill="FFFFFF"/>
          <w:lang w:eastAsia="en-US"/>
        </w:rPr>
        <w:t>P</w:t>
      </w:r>
      <w:r w:rsidRPr="004665B3">
        <w:rPr>
          <w:rFonts w:eastAsia="Calibri"/>
          <w:i/>
          <w:iCs/>
          <w:shd w:val="clear" w:color="auto" w:fill="FFFFFF"/>
          <w:lang w:eastAsia="en-US"/>
        </w:rPr>
        <w:t>ersonality</w:t>
      </w:r>
      <w:proofErr w:type="spellEnd"/>
      <w:r w:rsidRPr="004665B3">
        <w:rPr>
          <w:rFonts w:eastAsia="Calibri"/>
          <w:shd w:val="clear" w:color="auto" w:fill="FFFFFF"/>
          <w:lang w:eastAsia="en-US"/>
        </w:rPr>
        <w:t>, </w:t>
      </w:r>
      <w:r w:rsidRPr="004665B3">
        <w:rPr>
          <w:rFonts w:eastAsia="Calibri"/>
          <w:i/>
          <w:iCs/>
          <w:shd w:val="clear" w:color="auto" w:fill="FFFFFF"/>
          <w:lang w:eastAsia="en-US"/>
        </w:rPr>
        <w:t>41</w:t>
      </w:r>
      <w:r w:rsidRPr="004665B3">
        <w:rPr>
          <w:rFonts w:eastAsia="Calibri"/>
          <w:shd w:val="clear" w:color="auto" w:fill="FFFFFF"/>
          <w:lang w:eastAsia="en-US"/>
        </w:rPr>
        <w:t xml:space="preserve">(3), 477–486. </w:t>
      </w:r>
      <w:hyperlink r:id="rId60" w:history="1">
        <w:r w:rsidRPr="00FC382E">
          <w:rPr>
            <w:rStyle w:val="Hipervnculo"/>
            <w:rFonts w:eastAsia="Calibri"/>
            <w:shd w:val="clear" w:color="auto" w:fill="FFFFFF"/>
            <w:lang w:eastAsia="en-US"/>
          </w:rPr>
          <w:t>https://doi.org/10.2224/sbp.2013.41.3.477</w:t>
        </w:r>
      </w:hyperlink>
      <w:r>
        <w:rPr>
          <w:rFonts w:eastAsia="Calibri"/>
          <w:shd w:val="clear" w:color="auto" w:fill="FFFFFF"/>
          <w:lang w:eastAsia="en-US"/>
        </w:rPr>
        <w:t xml:space="preserve"> </w:t>
      </w:r>
    </w:p>
    <w:p w14:paraId="692850B7" w14:textId="35E6321E" w:rsidR="00DE7EB8" w:rsidRPr="009B4F42" w:rsidRDefault="00DE7EB8" w:rsidP="00DE7EB8">
      <w:pPr>
        <w:ind w:left="720" w:hanging="720"/>
        <w:jc w:val="both"/>
        <w:rPr>
          <w:lang w:val="es-AR"/>
        </w:rPr>
      </w:pPr>
    </w:p>
    <w:p w14:paraId="781863B5" w14:textId="04D209FE" w:rsidR="00594317" w:rsidRPr="001C3E27" w:rsidRDefault="00594317" w:rsidP="001C3E27">
      <w:pPr>
        <w:rPr>
          <w:i/>
          <w:sz w:val="28"/>
          <w:szCs w:val="28"/>
          <w:lang w:val="pt-BR"/>
        </w:rPr>
      </w:pPr>
    </w:p>
    <w:sectPr w:rsidR="00594317" w:rsidRPr="001C3E27" w:rsidSect="001C3E27">
      <w:headerReference w:type="even" r:id="rId61"/>
      <w:headerReference w:type="default" r:id="rId62"/>
      <w:footerReference w:type="even" r:id="rId63"/>
      <w:footerReference w:type="default" r:id="rId6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AC8B" w14:textId="77777777" w:rsidR="00FF170E" w:rsidRDefault="00FF170E" w:rsidP="00C413D4">
      <w:r>
        <w:separator/>
      </w:r>
    </w:p>
  </w:endnote>
  <w:endnote w:type="continuationSeparator" w:id="0">
    <w:p w14:paraId="3D3A7980" w14:textId="77777777" w:rsidR="00FF170E" w:rsidRDefault="00FF170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E00002FF" w:usb1="5000205A"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9E003" w14:textId="77777777" w:rsidR="00FF170E" w:rsidRDefault="00FF170E" w:rsidP="00C413D4">
      <w:r>
        <w:separator/>
      </w:r>
    </w:p>
  </w:footnote>
  <w:footnote w:type="continuationSeparator" w:id="0">
    <w:p w14:paraId="3D01352D" w14:textId="77777777" w:rsidR="00FF170E" w:rsidRDefault="00FF170E"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20FE"/>
    <w:rsid w:val="000365CA"/>
    <w:rsid w:val="00076F0A"/>
    <w:rsid w:val="000D35CD"/>
    <w:rsid w:val="000E3B16"/>
    <w:rsid w:val="000E650E"/>
    <w:rsid w:val="00107993"/>
    <w:rsid w:val="001253E7"/>
    <w:rsid w:val="00127870"/>
    <w:rsid w:val="001516ED"/>
    <w:rsid w:val="00153DC5"/>
    <w:rsid w:val="001566F6"/>
    <w:rsid w:val="001602E4"/>
    <w:rsid w:val="001C3E27"/>
    <w:rsid w:val="001F7509"/>
    <w:rsid w:val="00216AFF"/>
    <w:rsid w:val="00234E5C"/>
    <w:rsid w:val="00246D04"/>
    <w:rsid w:val="002624E0"/>
    <w:rsid w:val="00271502"/>
    <w:rsid w:val="0027261B"/>
    <w:rsid w:val="00294547"/>
    <w:rsid w:val="00297AFB"/>
    <w:rsid w:val="002B2297"/>
    <w:rsid w:val="002C009C"/>
    <w:rsid w:val="002C1EB1"/>
    <w:rsid w:val="002C3A8D"/>
    <w:rsid w:val="002C7C6D"/>
    <w:rsid w:val="002C7DF0"/>
    <w:rsid w:val="002D1053"/>
    <w:rsid w:val="002D6C0F"/>
    <w:rsid w:val="002E0320"/>
    <w:rsid w:val="002F070D"/>
    <w:rsid w:val="002F257B"/>
    <w:rsid w:val="002F38C8"/>
    <w:rsid w:val="00302C5C"/>
    <w:rsid w:val="003031EB"/>
    <w:rsid w:val="003909A7"/>
    <w:rsid w:val="003C4AA4"/>
    <w:rsid w:val="003D21B8"/>
    <w:rsid w:val="003D6171"/>
    <w:rsid w:val="003E438F"/>
    <w:rsid w:val="003E4B06"/>
    <w:rsid w:val="0042142D"/>
    <w:rsid w:val="00430C97"/>
    <w:rsid w:val="00447E89"/>
    <w:rsid w:val="004665B3"/>
    <w:rsid w:val="00475FC0"/>
    <w:rsid w:val="00483D6B"/>
    <w:rsid w:val="0048651A"/>
    <w:rsid w:val="004C0823"/>
    <w:rsid w:val="004C1657"/>
    <w:rsid w:val="004D5719"/>
    <w:rsid w:val="00510E52"/>
    <w:rsid w:val="00542090"/>
    <w:rsid w:val="00561CA1"/>
    <w:rsid w:val="00576894"/>
    <w:rsid w:val="0059034C"/>
    <w:rsid w:val="00594317"/>
    <w:rsid w:val="005B24FF"/>
    <w:rsid w:val="005B5614"/>
    <w:rsid w:val="0061199D"/>
    <w:rsid w:val="00613DC2"/>
    <w:rsid w:val="006937D3"/>
    <w:rsid w:val="006A1BA2"/>
    <w:rsid w:val="006B0812"/>
    <w:rsid w:val="006B088F"/>
    <w:rsid w:val="006B294A"/>
    <w:rsid w:val="006B4F65"/>
    <w:rsid w:val="006C21BC"/>
    <w:rsid w:val="006F6924"/>
    <w:rsid w:val="006F7E7E"/>
    <w:rsid w:val="00700F77"/>
    <w:rsid w:val="00704ECD"/>
    <w:rsid w:val="00724F5C"/>
    <w:rsid w:val="00742E4A"/>
    <w:rsid w:val="00770AE4"/>
    <w:rsid w:val="00795D57"/>
    <w:rsid w:val="007A7C7C"/>
    <w:rsid w:val="007A7CDC"/>
    <w:rsid w:val="007B10C2"/>
    <w:rsid w:val="007B64B7"/>
    <w:rsid w:val="007C3C14"/>
    <w:rsid w:val="007E34D6"/>
    <w:rsid w:val="007E3B8D"/>
    <w:rsid w:val="008114AC"/>
    <w:rsid w:val="008151AB"/>
    <w:rsid w:val="00816268"/>
    <w:rsid w:val="00824D3A"/>
    <w:rsid w:val="0082571B"/>
    <w:rsid w:val="008543BB"/>
    <w:rsid w:val="00863414"/>
    <w:rsid w:val="00872EFD"/>
    <w:rsid w:val="00880120"/>
    <w:rsid w:val="008B0F10"/>
    <w:rsid w:val="008C409A"/>
    <w:rsid w:val="008C775E"/>
    <w:rsid w:val="008D509E"/>
    <w:rsid w:val="008F76E3"/>
    <w:rsid w:val="009032D5"/>
    <w:rsid w:val="00903DEB"/>
    <w:rsid w:val="00977250"/>
    <w:rsid w:val="00993241"/>
    <w:rsid w:val="00997AEF"/>
    <w:rsid w:val="009A583F"/>
    <w:rsid w:val="009B3EF3"/>
    <w:rsid w:val="009B4F42"/>
    <w:rsid w:val="009D2551"/>
    <w:rsid w:val="00A25C68"/>
    <w:rsid w:val="00A30790"/>
    <w:rsid w:val="00A318AC"/>
    <w:rsid w:val="00A457D0"/>
    <w:rsid w:val="00A516C7"/>
    <w:rsid w:val="00A62218"/>
    <w:rsid w:val="00A741BB"/>
    <w:rsid w:val="00A871FB"/>
    <w:rsid w:val="00AC0FD7"/>
    <w:rsid w:val="00AD3238"/>
    <w:rsid w:val="00AE20AC"/>
    <w:rsid w:val="00AE48D4"/>
    <w:rsid w:val="00B02133"/>
    <w:rsid w:val="00B06283"/>
    <w:rsid w:val="00B35B61"/>
    <w:rsid w:val="00B511FB"/>
    <w:rsid w:val="00B60E75"/>
    <w:rsid w:val="00B6522A"/>
    <w:rsid w:val="00B74D71"/>
    <w:rsid w:val="00B83A6E"/>
    <w:rsid w:val="00B845A1"/>
    <w:rsid w:val="00B912A7"/>
    <w:rsid w:val="00B9678D"/>
    <w:rsid w:val="00BC2AFB"/>
    <w:rsid w:val="00BD26F5"/>
    <w:rsid w:val="00BD39C9"/>
    <w:rsid w:val="00BF59E7"/>
    <w:rsid w:val="00C413D4"/>
    <w:rsid w:val="00C43335"/>
    <w:rsid w:val="00C64ECF"/>
    <w:rsid w:val="00C84812"/>
    <w:rsid w:val="00CA3BFF"/>
    <w:rsid w:val="00CA3C92"/>
    <w:rsid w:val="00CB3189"/>
    <w:rsid w:val="00CE0EB6"/>
    <w:rsid w:val="00CE7D65"/>
    <w:rsid w:val="00CF4E1F"/>
    <w:rsid w:val="00CF5D21"/>
    <w:rsid w:val="00D4751A"/>
    <w:rsid w:val="00D609BB"/>
    <w:rsid w:val="00D94A3F"/>
    <w:rsid w:val="00DB4A71"/>
    <w:rsid w:val="00DB6400"/>
    <w:rsid w:val="00DD1EB5"/>
    <w:rsid w:val="00DE1119"/>
    <w:rsid w:val="00DE7EB8"/>
    <w:rsid w:val="00E23C9E"/>
    <w:rsid w:val="00E25900"/>
    <w:rsid w:val="00E26883"/>
    <w:rsid w:val="00E3671F"/>
    <w:rsid w:val="00E416F6"/>
    <w:rsid w:val="00E449A9"/>
    <w:rsid w:val="00E55124"/>
    <w:rsid w:val="00E97D42"/>
    <w:rsid w:val="00EA63BE"/>
    <w:rsid w:val="00EA6646"/>
    <w:rsid w:val="00EB213C"/>
    <w:rsid w:val="00ED2663"/>
    <w:rsid w:val="00F21272"/>
    <w:rsid w:val="00F26837"/>
    <w:rsid w:val="00F90033"/>
    <w:rsid w:val="00F92F1A"/>
    <w:rsid w:val="00FB0419"/>
    <w:rsid w:val="00FB0521"/>
    <w:rsid w:val="00FB1FFA"/>
    <w:rsid w:val="00FC4499"/>
    <w:rsid w:val="00FC5C57"/>
    <w:rsid w:val="00FD2D27"/>
    <w:rsid w:val="00FF1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table" w:customStyle="1" w:styleId="Tablaconcuadrcula1">
    <w:name w:val="Tabla con cuadrícula1"/>
    <w:basedOn w:val="Tablanormal"/>
    <w:next w:val="Tablaconcuadrcula"/>
    <w:uiPriority w:val="59"/>
    <w:rsid w:val="007B64B7"/>
    <w:rPr>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2571B"/>
    <w:rPr>
      <w:sz w:val="16"/>
      <w:szCs w:val="16"/>
    </w:rPr>
  </w:style>
  <w:style w:type="paragraph" w:styleId="Textocomentario">
    <w:name w:val="annotation text"/>
    <w:basedOn w:val="Normal"/>
    <w:link w:val="TextocomentarioCar"/>
    <w:uiPriority w:val="99"/>
    <w:semiHidden/>
    <w:unhideWhenUsed/>
    <w:rsid w:val="0082571B"/>
    <w:rPr>
      <w:sz w:val="20"/>
      <w:szCs w:val="20"/>
    </w:rPr>
  </w:style>
  <w:style w:type="character" w:customStyle="1" w:styleId="TextocomentarioCar">
    <w:name w:val="Texto comentario Car"/>
    <w:basedOn w:val="Fuentedeprrafopredeter"/>
    <w:link w:val="Textocomentario"/>
    <w:uiPriority w:val="99"/>
    <w:semiHidden/>
    <w:rsid w:val="0082571B"/>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82571B"/>
    <w:rPr>
      <w:b/>
      <w:bCs/>
    </w:rPr>
  </w:style>
  <w:style w:type="character" w:customStyle="1" w:styleId="AsuntodelcomentarioCar">
    <w:name w:val="Asunto del comentario Car"/>
    <w:basedOn w:val="TextocomentarioCar"/>
    <w:link w:val="Asuntodelcomentario"/>
    <w:uiPriority w:val="99"/>
    <w:semiHidden/>
    <w:rsid w:val="0082571B"/>
    <w:rPr>
      <w:rFonts w:ascii="Times New Roman" w:eastAsia="Times New Roman" w:hAnsi="Times New Roman" w:cs="Times New Roman"/>
      <w:b/>
      <w:bCs/>
      <w:sz w:val="20"/>
      <w:szCs w:val="20"/>
      <w:lang w:val="es-ES_tradnl" w:eastAsia="es-ES_tradnl"/>
    </w:rPr>
  </w:style>
  <w:style w:type="table" w:customStyle="1" w:styleId="Tablaconcuadrcula2">
    <w:name w:val="Tabla con cuadrícula2"/>
    <w:basedOn w:val="Tablanormal"/>
    <w:next w:val="Tablaconcuadrcula"/>
    <w:uiPriority w:val="59"/>
    <w:rsid w:val="00561CA1"/>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AE20AC"/>
    <w:rPr>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065-010-9146-6" TargetMode="External"/><Relationship Id="rId18" Type="http://schemas.openxmlformats.org/officeDocument/2006/relationships/hyperlink" Target="https://doi.org/10.1016/j.addbeh.2014.01.024" TargetMode="External"/><Relationship Id="rId26" Type="http://schemas.openxmlformats.org/officeDocument/2006/relationships/hyperlink" Target="https://doi.org/10.1111/add.12283" TargetMode="External"/><Relationship Id="rId39" Type="http://schemas.openxmlformats.org/officeDocument/2006/relationships/hyperlink" Target="https://doi.org/10.1186/s13011-015-0019-0" TargetMode="External"/><Relationship Id="rId21" Type="http://schemas.openxmlformats.org/officeDocument/2006/relationships/hyperlink" Target="https://doi.org/10.1111/j.1369-1600.2008.00129.x" TargetMode="External"/><Relationship Id="rId34" Type="http://schemas.openxmlformats.org/officeDocument/2006/relationships/hyperlink" Target="https://doi.org/10.1016/j.pbb.2020.172906" TargetMode="External"/><Relationship Id="rId42" Type="http://schemas.openxmlformats.org/officeDocument/2006/relationships/hyperlink" Target="https://doi.org/10.1093/alcalc/agt162" TargetMode="External"/><Relationship Id="rId47" Type="http://schemas.openxmlformats.org/officeDocument/2006/relationships/hyperlink" Target="https://observatorio.gov.ar/media/k2/attachments/EstudioZepidemiolgicoZenZpoblacionesZdeZenseanzaZmedia.pdf" TargetMode="External"/><Relationship Id="rId50" Type="http://schemas.openxmlformats.org/officeDocument/2006/relationships/hyperlink" Target="https://archive.org/details/sip-2008b-declaracion-sobre-principios-eticos" TargetMode="External"/><Relationship Id="rId55" Type="http://schemas.openxmlformats.org/officeDocument/2006/relationships/hyperlink" Target="https://doi.org/10.1542/peds.2020-0351"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944/rppc.26249" TargetMode="External"/><Relationship Id="rId20" Type="http://schemas.openxmlformats.org/officeDocument/2006/relationships/hyperlink" Target="https://doi.org/10.1177/0272431616648453" TargetMode="External"/><Relationship Id="rId29" Type="http://schemas.openxmlformats.org/officeDocument/2006/relationships/hyperlink" Target="https://doi.org/10.1037/a0023279" TargetMode="External"/><Relationship Id="rId41" Type="http://schemas.openxmlformats.org/officeDocument/2006/relationships/hyperlink" Target="https://pubs.niaaa.nih.gov/publications/underagedrinking/Underage_Fact.pdf" TargetMode="External"/><Relationship Id="rId54" Type="http://schemas.openxmlformats.org/officeDocument/2006/relationships/hyperlink" Target="https://doi.org/10.1016/j.cpr.2013.03.003"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acer.13525" TargetMode="External"/><Relationship Id="rId24" Type="http://schemas.openxmlformats.org/officeDocument/2006/relationships/hyperlink" Target="https://doi.org/10.1016/j.addbeh.2016.08.003" TargetMode="External"/><Relationship Id="rId32" Type="http://schemas.openxmlformats.org/officeDocument/2006/relationships/hyperlink" Target="https://www.iupsys.net/about/governance/universal-declaration-of-ethical-principles-for-psychologists.html" TargetMode="External"/><Relationship Id="rId37" Type="http://schemas.openxmlformats.org/officeDocument/2006/relationships/hyperlink" Target="https://doi.org/10.1111/j.1530-0277.2010.01223.x" TargetMode="External"/><Relationship Id="rId40" Type="http://schemas.openxmlformats.org/officeDocument/2006/relationships/hyperlink" Target="https://doi.org/10.1016/j.jneumeth.2013.10.024" TargetMode="External"/><Relationship Id="rId45" Type="http://schemas.openxmlformats.org/officeDocument/2006/relationships/hyperlink" Target="https://doi.org/10.1038/mp.2012.87" TargetMode="External"/><Relationship Id="rId53" Type="http://schemas.openxmlformats.org/officeDocument/2006/relationships/hyperlink" Target="https://doi.org/10.1037/neu0000083" TargetMode="External"/><Relationship Id="rId58" Type="http://schemas.openxmlformats.org/officeDocument/2006/relationships/hyperlink" Target="https://doi.org/10.1007/s00213-013-3198-2"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371/journal.pone.0139186" TargetMode="External"/><Relationship Id="rId23" Type="http://schemas.openxmlformats.org/officeDocument/2006/relationships/hyperlink" Target="https://doi.org/10.1016/j.jadohealth.2016.11.017" TargetMode="External"/><Relationship Id="rId28" Type="http://schemas.openxmlformats.org/officeDocument/2006/relationships/hyperlink" Target="https://doi.org/10.1037/a0020334" TargetMode="External"/><Relationship Id="rId36" Type="http://schemas.openxmlformats.org/officeDocument/2006/relationships/hyperlink" Target="https://doi.org/10.1093/alcalc/agt168" TargetMode="External"/><Relationship Id="rId49" Type="http://schemas.openxmlformats.org/officeDocument/2006/relationships/hyperlink" Target="https://doi.org/10.1037/a0035696" TargetMode="External"/><Relationship Id="rId57" Type="http://schemas.openxmlformats.org/officeDocument/2006/relationships/hyperlink" Target="https://doi.org/10.1017/S003329171800137X" TargetMode="External"/><Relationship Id="rId61"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hyperlink" Target="https://doi.org/10.1016/j.cpr.2011.06.001" TargetMode="External"/><Relationship Id="rId31" Type="http://schemas.openxmlformats.org/officeDocument/2006/relationships/hyperlink" Target="https://www.argentina.gob.ar/normativa/nacional/ley-25326-64790" TargetMode="External"/><Relationship Id="rId44" Type="http://schemas.openxmlformats.org/officeDocument/2006/relationships/hyperlink" Target="https://doi.org/10.5565/rev/qpsicologia.1329" TargetMode="External"/><Relationship Id="rId52" Type="http://schemas.openxmlformats.org/officeDocument/2006/relationships/hyperlink" Target="https://doi.org/10.1176/appi.ajp.2016.15121587" TargetMode="External"/><Relationship Id="rId60" Type="http://schemas.openxmlformats.org/officeDocument/2006/relationships/hyperlink" Target="https://doi.org/10.2224/sbp.2013.41.3.477"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348/026151008X314919" TargetMode="External"/><Relationship Id="rId22" Type="http://schemas.openxmlformats.org/officeDocument/2006/relationships/hyperlink" Target="https://doi.org/10.1016/j.paid.2006.08.007" TargetMode="External"/><Relationship Id="rId27" Type="http://schemas.openxmlformats.org/officeDocument/2006/relationships/hyperlink" Target="https://doi.org/10.1037/h0059831" TargetMode="External"/><Relationship Id="rId30" Type="http://schemas.openxmlformats.org/officeDocument/2006/relationships/hyperlink" Target="https://doi.org/10.1038/466029a" TargetMode="External"/><Relationship Id="rId35" Type="http://schemas.openxmlformats.org/officeDocument/2006/relationships/hyperlink" Target="https://doi.org/10.1016/S0140-1971(03)00036-8" TargetMode="External"/><Relationship Id="rId43" Type="http://schemas.openxmlformats.org/officeDocument/2006/relationships/hyperlink" Target="https://doi.org/10.1016/j.alcohol.2013.02.001" TargetMode="External"/><Relationship Id="rId48" Type="http://schemas.openxmlformats.org/officeDocument/2006/relationships/hyperlink" Target="https://doi.org/10.1037/a0035670" TargetMode="External"/><Relationship Id="rId56" Type="http://schemas.openxmlformats.org/officeDocument/2006/relationships/hyperlink" Target="https://doi.org/10.1111/j.1530-0277.2010.01320.x" TargetMode="External"/><Relationship Id="rId64" Type="http://schemas.openxmlformats.org/officeDocument/2006/relationships/footer" Target="footer2.xml"/><Relationship Id="rId8" Type="http://schemas.openxmlformats.org/officeDocument/2006/relationships/hyperlink" Target="https://sipsych.org/" TargetMode="External"/><Relationship Id="rId51" Type="http://schemas.openxmlformats.org/officeDocument/2006/relationships/hyperlink" Target="https://doi.org/10.1038/nrn.2018.10" TargetMode="External"/><Relationship Id="rId3" Type="http://schemas.openxmlformats.org/officeDocument/2006/relationships/styles" Target="styles.xml"/><Relationship Id="rId12" Type="http://schemas.openxmlformats.org/officeDocument/2006/relationships/hyperlink" Target="https://www.wma.net/es/policies-post/declaracion-de-helsinki-de-la-amm-principios-eticos-para-las-investigaciones-medicas-en-seres-humanos" TargetMode="External"/><Relationship Id="rId17" Type="http://schemas.openxmlformats.org/officeDocument/2006/relationships/hyperlink" Target="https://cioms.ch/wp-content/uploads/2017/12/CIOMS-EthicalGuideline_SP_INTERIOR-FINAL.pdf" TargetMode="External"/><Relationship Id="rId25" Type="http://schemas.openxmlformats.org/officeDocument/2006/relationships/hyperlink" Target="https://doi.org/10.1016/j.drugalcdep.2017.11.011" TargetMode="External"/><Relationship Id="rId33" Type="http://schemas.openxmlformats.org/officeDocument/2006/relationships/hyperlink" Target="https://doi.org/10.1037/a0028235" TargetMode="External"/><Relationship Id="rId38" Type="http://schemas.openxmlformats.org/officeDocument/2006/relationships/hyperlink" Target="https://doi.org/10.21134/rpcna.2019.06.2.4" TargetMode="External"/><Relationship Id="rId46" Type="http://schemas.openxmlformats.org/officeDocument/2006/relationships/hyperlink" Target="https://uknowledge.uky.edu/psychology_etds/67" TargetMode="External"/><Relationship Id="rId59" Type="http://schemas.openxmlformats.org/officeDocument/2006/relationships/hyperlink" Target="https://doi.org/10.1016/j.bandc.2014.07.00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9CA93-3A3C-4685-AF8A-07E2215D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8724</Words>
  <Characters>47984</Characters>
  <Application>Microsoft Office Word</Application>
  <DocSecurity>0</DocSecurity>
  <Lines>399</Lines>
  <Paragraphs>113</Paragraphs>
  <ScaleCrop>false</ScaleCrop>
  <Company/>
  <LinksUpToDate>false</LinksUpToDate>
  <CharactersWithSpaces>56595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2021-08-21T14:37:00Z</dcterms:created>
  <dcterms:modified xsi:type="dcterms:W3CDTF">2021-08-21T14:40:00Z</dcterms:modified>
</cp:coreProperties>
</file>