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Prezado Editor,</w:t>
      </w:r>
    </w:p>
    <w:p w:rsidR="00000000" w:rsidDel="00000000" w:rsidP="00000000" w:rsidRDefault="00000000" w:rsidRPr="00000000" w14:paraId="00000002">
      <w:pPr>
        <w:shd w:fill="ffffff" w:val="clear"/>
        <w:spacing w:after="200" w:before="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Analisamos todos os pontos elencados acerca do artigo, intitulado: "As teorias queer e crip no rompimento das epistemologias hegemônicas da Psicologia", e fizemos as alterações necessárias ao longo do texto, destacadas a partir da fonte na cor vermelha. A seguir, evidenciamos o que foi pontuado e o que foi alterado a partir dessas pontuações, assim como o que não consideramos passível de alteração e a respectiva justificativa para isso.</w:t>
      </w:r>
    </w:p>
    <w:p w:rsidR="00000000" w:rsidDel="00000000" w:rsidP="00000000" w:rsidRDefault="00000000" w:rsidRPr="00000000" w14:paraId="00000003">
      <w:pPr>
        <w:shd w:fill="ffffff" w:val="clear"/>
        <w:spacing w:after="200" w:before="200"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-&gt; Revisor/a A:</w:t>
      </w:r>
    </w:p>
    <w:p w:rsidR="00000000" w:rsidDel="00000000" w:rsidP="00000000" w:rsidRDefault="00000000" w:rsidRPr="00000000" w14:paraId="00000004">
      <w:pPr>
        <w:numPr>
          <w:ilvl w:val="0"/>
          <w:numId w:val="1"/>
        </w:numPr>
        <w:shd w:fill="ffffff" w:val="clear"/>
        <w:spacing w:after="200" w:before="200"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Quando trata de debater os efeitos/contribuições perspectivas para a psicologia x autorxs dedicam apenas poucas páginas para o mesmo. Acredito que alinhavar essas contribuições e críticas ao logo do texto sejam mais pertinentes ao fechamento do resumo das contribuições e aberturas.</w:t>
      </w:r>
      <w:r w:rsidDel="00000000" w:rsidR="00000000" w:rsidRPr="00000000">
        <w:rPr>
          <w:rFonts w:ascii="Times New Roman" w:cs="Times New Roman" w:eastAsia="Times New Roman" w:hAnsi="Times New Roman"/>
          <w:color w:val="222222"/>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Fizemos acréscimos de referência como Figueira &amp; Boarini (p.16) e deslocamentos de trechos com intuito de evidenciar a Psicologia ao longo do texto, alinhavando as contribuições e críticas das teorias queer e crip acerca desse campo de saber-poder (p.6,7,12,13);</w:t>
      </w:r>
    </w:p>
    <w:p w:rsidR="00000000" w:rsidDel="00000000" w:rsidP="00000000" w:rsidRDefault="00000000" w:rsidRPr="00000000" w14:paraId="00000005">
      <w:pPr>
        <w:shd w:fill="ffffff" w:val="clear"/>
        <w:spacing w:after="200" w:before="200" w:line="240" w:lineRule="auto"/>
        <w:ind w:left="72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6">
      <w:pPr>
        <w:numPr>
          <w:ilvl w:val="0"/>
          <w:numId w:val="1"/>
        </w:numPr>
        <w:shd w:fill="ffffff" w:val="clear"/>
        <w:spacing w:after="200" w:before="200"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O texto necessita de uma revisão linguística</w:t>
      </w:r>
      <w:r w:rsidDel="00000000" w:rsidR="00000000" w:rsidRPr="00000000">
        <w:rPr>
          <w:rFonts w:ascii="Times New Roman" w:cs="Times New Roman" w:eastAsia="Times New Roman" w:hAnsi="Times New Roman"/>
          <w:color w:val="222222"/>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Foi realizada uma revisão linguística e destacamos as alterações realizadas em vermelho (p. 2, 4, 5, 6, 8, 13, 14);</w:t>
      </w:r>
    </w:p>
    <w:p w:rsidR="00000000" w:rsidDel="00000000" w:rsidP="00000000" w:rsidRDefault="00000000" w:rsidRPr="00000000" w14:paraId="00000007">
      <w:pPr>
        <w:shd w:fill="ffffff" w:val="clear"/>
        <w:spacing w:after="200" w:before="200" w:line="240" w:lineRule="auto"/>
        <w:ind w:left="72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200" w:before="200"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Existem parágrafos com um único período</w:t>
      </w:r>
      <w:r w:rsidDel="00000000" w:rsidR="00000000" w:rsidRPr="00000000">
        <w:rPr>
          <w:rFonts w:ascii="Times New Roman" w:cs="Times New Roman" w:eastAsia="Times New Roman" w:hAnsi="Times New Roman"/>
          <w:color w:val="222222"/>
          <w:sz w:val="24"/>
          <w:szCs w:val="24"/>
          <w:rtl w:val="0"/>
        </w:rPr>
        <w:t xml:space="preserve">” - Junção dos parágrafos de apenas um período com parágrafos que o antecedia</w:t>
      </w:r>
      <w:r w:rsidDel="00000000" w:rsidR="00000000" w:rsidRPr="00000000">
        <w:rPr>
          <w:rFonts w:ascii="Times New Roman" w:cs="Times New Roman" w:eastAsia="Times New Roman" w:hAnsi="Times New Roman"/>
          <w:color w:val="222222"/>
          <w:sz w:val="24"/>
          <w:szCs w:val="24"/>
          <w:rtl w:val="0"/>
        </w:rPr>
        <w:t xml:space="preserve">m</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(p. 6, 9, 10); </w:t>
      </w:r>
      <w:r w:rsidDel="00000000" w:rsidR="00000000" w:rsidRPr="00000000">
        <w:rPr>
          <w:rtl w:val="0"/>
        </w:rPr>
      </w:r>
    </w:p>
    <w:p w:rsidR="00000000" w:rsidDel="00000000" w:rsidP="00000000" w:rsidRDefault="00000000" w:rsidRPr="00000000" w14:paraId="00000009">
      <w:pPr>
        <w:shd w:fill="ffffff" w:val="clear"/>
        <w:spacing w:after="200" w:before="200" w:line="240" w:lineRule="auto"/>
        <w:ind w:left="720" w:firstLine="0"/>
        <w:jc w:val="both"/>
        <w:rPr>
          <w:rFonts w:ascii="Times New Roman" w:cs="Times New Roman" w:eastAsia="Times New Roman" w:hAnsi="Times New Roman"/>
          <w:color w:val="ff0000"/>
          <w:sz w:val="24"/>
          <w:szCs w:val="24"/>
          <w:highlight w:val="yellow"/>
        </w:rPr>
      </w:pPr>
      <w:r w:rsidDel="00000000" w:rsidR="00000000" w:rsidRPr="00000000">
        <w:rPr>
          <w:rtl w:val="0"/>
        </w:rPr>
      </w:r>
    </w:p>
    <w:p w:rsidR="00000000" w:rsidDel="00000000" w:rsidP="00000000" w:rsidRDefault="00000000" w:rsidRPr="00000000" w14:paraId="0000000A">
      <w:pPr>
        <w:numPr>
          <w:ilvl w:val="0"/>
          <w:numId w:val="1"/>
        </w:numPr>
        <w:shd w:fill="ffffff" w:val="clear"/>
        <w:spacing w:after="200" w:before="200" w:line="36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Necessidade de normalização da ortografia (estados unidos, por exemplo, em minusculas, enquanto nomes próprios)</w:t>
      </w:r>
      <w:r w:rsidDel="00000000" w:rsidR="00000000" w:rsidRPr="00000000">
        <w:rPr>
          <w:rFonts w:ascii="Times New Roman" w:cs="Times New Roman" w:eastAsia="Times New Roman" w:hAnsi="Times New Roman"/>
          <w:color w:val="222222"/>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Foi realizada uma normalização ortográfica no texto em geral.</w:t>
      </w:r>
      <w:r w:rsidDel="00000000" w:rsidR="00000000" w:rsidRPr="00000000">
        <w:rPr>
          <w:rtl w:val="0"/>
        </w:rPr>
      </w:r>
    </w:p>
    <w:p w:rsidR="00000000" w:rsidDel="00000000" w:rsidP="00000000" w:rsidRDefault="00000000" w:rsidRPr="00000000" w14:paraId="0000000B">
      <w:pPr>
        <w:shd w:fill="ffffff" w:val="clear"/>
        <w:spacing w:after="200" w:before="200" w:line="240" w:lineRule="auto"/>
        <w:ind w:left="720" w:firstLine="0"/>
        <w:jc w:val="both"/>
        <w:rPr>
          <w:rFonts w:ascii="Times New Roman" w:cs="Times New Roman" w:eastAsia="Times New Roman" w:hAnsi="Times New Roman"/>
          <w:color w:val="ff0000"/>
          <w:sz w:val="24"/>
          <w:szCs w:val="24"/>
          <w:highlight w:val="yellow"/>
        </w:rPr>
      </w:pPr>
      <w:r w:rsidDel="00000000" w:rsidR="00000000" w:rsidRPr="00000000">
        <w:rPr>
          <w:rtl w:val="0"/>
        </w:rPr>
      </w:r>
    </w:p>
    <w:p w:rsidR="00000000" w:rsidDel="00000000" w:rsidP="00000000" w:rsidRDefault="00000000" w:rsidRPr="00000000" w14:paraId="0000000C">
      <w:pPr>
        <w:shd w:fill="ffffff" w:val="clear"/>
        <w:spacing w:after="200" w:before="200" w:line="360" w:lineRule="auto"/>
        <w:ind w:left="0"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-&gt; Revisor/a B:</w:t>
      </w:r>
    </w:p>
    <w:p w:rsidR="00000000" w:rsidDel="00000000" w:rsidP="00000000" w:rsidRDefault="00000000" w:rsidRPr="00000000" w14:paraId="0000000D">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With regard to the notion of “epistemology”, which appears in the title and in several sections of the article, there seems to be an ambiguity that many authors have already pointed out. Indeed, in the social sciences, the notion of epistemology has been laxly used to refer to theories. The article questions a series of theoretical and ontological assumptions that underlie many psychological theories. But strictly speaking, this does not constitute an epistemology, that is, a theory about scientific knowledge. Moreover, epistemology does not seem to be the target of criticism, but rather psychological theories and their underlying assumptions. Even though many critical works in the field refer to “epistemology” in this way—which already seems to constitute a kind of tradition in writings by authors who are not epistemologists—it does not seem to be a rigorous usage, and its reference could be re-evaluated in order not to lose sharpness in the critique.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rtl w:val="0"/>
        </w:rPr>
        <w:t xml:space="preserve">Agradecemos o feedback, contudo, entendemos que subalternizar conhecimentos é uma forma de manter a colonialidade do poder, dessa forma, desconsiderar um conjunto de conhecimentos retirando-lhes do espaço de epistemologia, por não versarem de modo cânone, é exatamente o ponto crítico do nosso trabalho.</w:t>
      </w:r>
    </w:p>
    <w:p w:rsidR="00000000" w:rsidDel="00000000" w:rsidP="00000000" w:rsidRDefault="00000000" w:rsidRPr="00000000" w14:paraId="0000000E">
      <w:pPr>
        <w:shd w:fill="ffffff" w:val="clear"/>
        <w:spacing w:after="0" w:before="0" w:line="360" w:lineRule="auto"/>
        <w:ind w:left="720" w:firstLine="0"/>
        <w:jc w:val="both"/>
        <w:rPr>
          <w:rFonts w:ascii="Times New Roman" w:cs="Times New Roman" w:eastAsia="Times New Roman" w:hAnsi="Times New Roman"/>
          <w:color w:val="222222"/>
          <w:sz w:val="24"/>
          <w:szCs w:val="24"/>
          <w:highlight w:val="yellow"/>
        </w:rPr>
      </w:pPr>
      <w:r w:rsidDel="00000000" w:rsidR="00000000" w:rsidRPr="00000000">
        <w:rPr>
          <w:rtl w:val="0"/>
        </w:rPr>
      </w:r>
    </w:p>
    <w:p w:rsidR="00000000" w:rsidDel="00000000" w:rsidP="00000000" w:rsidRDefault="00000000" w:rsidRPr="00000000" w14:paraId="0000000F">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Pages 3 and 4 introduce a strong thesis about the relationship between the human, the other and the monstrous. It is suggested that the monster is "necessary" for the normative ontological status of the human to exist. It is true, as cultural anthropology has shown, that "the others" always involves a dialectical relationship with the "us". And it is also true that the monster or the abject is one of the forms in which the other is represented. However, the relation of necessity between the monstrous and the normal is not so clear, nor does it seem to be so simple. In the history of religions, for example, the emergence of the monstrous has been thematised, and it does not always seem to be a necessary configuration for the definition of the normal—in the same way that "the other" is—even if it is abhorred. In that sense, as a reader, I would like to know a little more about this thesis, if it can be expanded or if there are more specific references</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Acerca desse ponto, inserimos no texto uma nota de rodapé sugerindo uma referência para quem desejar se aprofundar na história dos monstros, todavia, deixamos evidente que nosso objetivo não é realizar uma genealogia dos monstros, nem aprofundar nessa questão, mas levar em conta um determinado contexto histórico onde os monstros começam a ser considerados através de uma ótica de Outridade. Nesse sentido, levando em conta o objetivo </w:t>
      </w:r>
      <w:r w:rsidDel="00000000" w:rsidR="00000000" w:rsidRPr="00000000">
        <w:rPr>
          <w:rFonts w:ascii="Times New Roman" w:cs="Times New Roman" w:eastAsia="Times New Roman" w:hAnsi="Times New Roman"/>
          <w:color w:val="ff0000"/>
          <w:sz w:val="24"/>
          <w:szCs w:val="24"/>
          <w:highlight w:val="white"/>
          <w:rtl w:val="0"/>
        </w:rPr>
        <w:t xml:space="preserve">e o</w:t>
      </w:r>
      <w:r w:rsidDel="00000000" w:rsidR="00000000" w:rsidRPr="00000000">
        <w:rPr>
          <w:rFonts w:ascii="Times New Roman" w:cs="Times New Roman" w:eastAsia="Times New Roman" w:hAnsi="Times New Roman"/>
          <w:color w:val="ff0000"/>
          <w:sz w:val="24"/>
          <w:szCs w:val="24"/>
          <w:highlight w:val="white"/>
          <w:rtl w:val="0"/>
        </w:rPr>
        <w:t xml:space="preserve"> limite do número de páginas, consideramos suficiente a inclusão dessa nota de rodapé e a ênfase dada no texto ao recorte temporal que nos utilizamos (p.4);  </w:t>
      </w:r>
    </w:p>
    <w:p w:rsidR="00000000" w:rsidDel="00000000" w:rsidP="00000000" w:rsidRDefault="00000000" w:rsidRPr="00000000" w14:paraId="00000010">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1">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The reference to Spinoza appears with “2008” in the text and “2009” in the final references</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Alteração do ano da referência, no início do texto, para 2009 (p.2);</w:t>
      </w:r>
    </w:p>
    <w:p w:rsidR="00000000" w:rsidDel="00000000" w:rsidP="00000000" w:rsidRDefault="00000000" w:rsidRPr="00000000" w14:paraId="00000012">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3">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In the case of “Hija de Perra (2014)”, the full name, “Hija de Perra” should be used in the bibliographical references, without switching the position between surname and first name, because it does not correspond in this case</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Em relação a esse tópico, não ficou esclarecido para nós o que o parecerista quis dizer, uma vez que foram seguidas as normas da APA.</w:t>
      </w:r>
    </w:p>
    <w:p w:rsidR="00000000" w:rsidDel="00000000" w:rsidP="00000000" w:rsidRDefault="00000000" w:rsidRPr="00000000" w14:paraId="00000014">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5">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On page 12, “Cruz, Minchoni, Matsumoto e Andrade (2017)” is cited, but only Cruz is mentioned in the references</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Essa referência foi retirada do texto;</w:t>
      </w:r>
    </w:p>
    <w:p w:rsidR="00000000" w:rsidDel="00000000" w:rsidP="00000000" w:rsidRDefault="00000000" w:rsidRPr="00000000" w14:paraId="00000016">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7">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On page 12, “Atunes (2012)” is cited, although I think it refers to “Antunes”</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Substituição do “Atunes (2012) por “Antunes (2012) (p.13);</w:t>
      </w:r>
      <w:r w:rsidDel="00000000" w:rsidR="00000000" w:rsidRPr="00000000">
        <w:rPr>
          <w:rtl w:val="0"/>
        </w:rPr>
      </w:r>
    </w:p>
    <w:p w:rsidR="00000000" w:rsidDel="00000000" w:rsidP="00000000" w:rsidRDefault="00000000" w:rsidRPr="00000000" w14:paraId="00000018">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9">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i w:val="1"/>
          <w:color w:val="222222"/>
          <w:sz w:val="24"/>
          <w:szCs w:val="24"/>
          <w:rtl w:val="0"/>
        </w:rPr>
        <w:t xml:space="preserve">Homogenise the use of hyphens. Preferably use n or m dash</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Correção feita  </w:t>
      </w:r>
      <w:r w:rsidDel="00000000" w:rsidR="00000000" w:rsidRPr="00000000">
        <w:rPr>
          <w:rFonts w:ascii="Times New Roman" w:cs="Times New Roman" w:eastAsia="Times New Roman" w:hAnsi="Times New Roman"/>
          <w:color w:val="ff0000"/>
          <w:sz w:val="24"/>
          <w:szCs w:val="24"/>
          <w:rtl w:val="0"/>
        </w:rPr>
        <w:t xml:space="preserve">(p. 2);</w:t>
      </w:r>
    </w:p>
    <w:p w:rsidR="00000000" w:rsidDel="00000000" w:rsidP="00000000" w:rsidRDefault="00000000" w:rsidRPr="00000000" w14:paraId="0000001A">
      <w:pPr>
        <w:shd w:fill="ffffff" w:val="clear"/>
        <w:spacing w:after="0" w:before="0" w:line="240" w:lineRule="auto"/>
        <w:ind w:left="720"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B">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The volume of a journal is written in italics, the issue in regular numbers.</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Correção realizada (p. 15-19);</w:t>
      </w:r>
    </w:p>
    <w:p w:rsidR="00000000" w:rsidDel="00000000" w:rsidP="00000000" w:rsidRDefault="00000000" w:rsidRPr="00000000" w14:paraId="0000001C">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D">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When citing a book chapter, the initials of the authors of the book are placed before the surname and not after it</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Correção realizada (15,16,19);</w:t>
      </w:r>
    </w:p>
    <w:p w:rsidR="00000000" w:rsidDel="00000000" w:rsidP="00000000" w:rsidRDefault="00000000" w:rsidRPr="00000000" w14:paraId="0000001E">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1F">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The volume number of a journal is not placed in parentheses. Only the issue is enclosed in parentheses</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Correção realizada (p. 15-19);</w:t>
      </w:r>
    </w:p>
    <w:p w:rsidR="00000000" w:rsidDel="00000000" w:rsidP="00000000" w:rsidRDefault="00000000" w:rsidRPr="00000000" w14:paraId="00000020">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1">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Check that there are two commas after the “H” in the reference “Gesser, M., Nuernberg, A. H.,, &amp; Toneli, M. J. F. (2012)</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highlight w:val="white"/>
          <w:rtl w:val="0"/>
        </w:rPr>
        <w:t xml:space="preserve"> Correção realizada (p.17);</w:t>
      </w:r>
    </w:p>
    <w:p w:rsidR="00000000" w:rsidDel="00000000" w:rsidP="00000000" w:rsidRDefault="00000000" w:rsidRPr="00000000" w14:paraId="00000022">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3">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Check the number of the pages of the chapter “Gil, J. (2000)</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Correção realizada (p. 17);</w:t>
      </w:r>
    </w:p>
    <w:p w:rsidR="00000000" w:rsidDel="00000000" w:rsidP="00000000" w:rsidRDefault="00000000" w:rsidRPr="00000000" w14:paraId="00000024">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5">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Place a comma before the “&amp;” sign between authors</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Inserção realizada (p. 17-19);</w:t>
      </w:r>
    </w:p>
    <w:p w:rsidR="00000000" w:rsidDel="00000000" w:rsidP="00000000" w:rsidRDefault="00000000" w:rsidRPr="00000000" w14:paraId="00000026">
      <w:pPr>
        <w:shd w:fill="ffffff" w:val="clear"/>
        <w:spacing w:after="0" w:before="0" w:line="240" w:lineRule="auto"/>
        <w:ind w:left="720" w:firstLine="0"/>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7">
      <w:pPr>
        <w:numPr>
          <w:ilvl w:val="0"/>
          <w:numId w:val="2"/>
        </w:numPr>
        <w:shd w:fill="ffffff" w:val="clear"/>
        <w:spacing w:after="200" w:before="200" w:line="360" w:lineRule="auto"/>
        <w:ind w:left="720" w:hanging="36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i w:val="1"/>
          <w:color w:val="222222"/>
          <w:sz w:val="24"/>
          <w:szCs w:val="24"/>
          <w:highlight w:val="white"/>
          <w:rtl w:val="0"/>
        </w:rPr>
        <w:t xml:space="preserve">Check out the extra spaces in “Stepan, N. L. (2004)</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color w:val="ff0000"/>
          <w:sz w:val="24"/>
          <w:szCs w:val="24"/>
          <w:highlight w:val="white"/>
          <w:rtl w:val="0"/>
        </w:rPr>
        <w:t xml:space="preserve">Verificação realizada (p.19). </w:t>
      </w:r>
    </w:p>
    <w:p w:rsidR="00000000" w:rsidDel="00000000" w:rsidP="00000000" w:rsidRDefault="00000000" w:rsidRPr="00000000" w14:paraId="00000028">
      <w:pPr>
        <w:shd w:fill="ffffff" w:val="clear"/>
        <w:spacing w:after="200" w:before="200" w:line="360" w:lineRule="auto"/>
        <w:ind w:left="720" w:firstLine="0"/>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Gratas,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Bruna Amato, Lina Ferrari e Marivete Gesser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