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7B39" w14:textId="77777777" w:rsidR="00BA7214" w:rsidRPr="0061606C" w:rsidRDefault="0061606C" w:rsidP="0061606C">
      <w:pPr>
        <w:spacing w:line="360" w:lineRule="auto"/>
        <w:jc w:val="center"/>
        <w:rPr>
          <w:sz w:val="24"/>
          <w:szCs w:val="24"/>
          <w:lang w:val="en-US"/>
        </w:rPr>
      </w:pPr>
      <w:r w:rsidRPr="0061606C">
        <w:rPr>
          <w:sz w:val="24"/>
          <w:szCs w:val="24"/>
          <w:lang w:val="en-US"/>
        </w:rPr>
        <w:t xml:space="preserve">Reseña libro: </w:t>
      </w:r>
    </w:p>
    <w:p w14:paraId="00000001" w14:textId="16213E08" w:rsidR="00CE48D4" w:rsidRPr="0061606C" w:rsidRDefault="0061606C" w:rsidP="0061606C">
      <w:pPr>
        <w:spacing w:line="360" w:lineRule="auto"/>
        <w:jc w:val="center"/>
        <w:rPr>
          <w:i/>
          <w:sz w:val="24"/>
          <w:szCs w:val="24"/>
          <w:u w:val="single"/>
          <w:lang w:val="en-US"/>
        </w:rPr>
      </w:pPr>
      <w:r w:rsidRPr="0061606C">
        <w:rPr>
          <w:i/>
          <w:sz w:val="24"/>
          <w:szCs w:val="24"/>
          <w:u w:val="single"/>
          <w:lang w:val="en-US"/>
        </w:rPr>
        <w:t>Handbook of Positive Youth Development. Advancing Research, Policy and Practice in Global Contexts</w:t>
      </w:r>
    </w:p>
    <w:p w14:paraId="00000002" w14:textId="77777777" w:rsidR="00CE48D4" w:rsidRPr="0061606C" w:rsidRDefault="00CE48D4" w:rsidP="0061606C">
      <w:pPr>
        <w:spacing w:line="360" w:lineRule="auto"/>
        <w:jc w:val="center"/>
        <w:rPr>
          <w:sz w:val="24"/>
          <w:szCs w:val="24"/>
          <w:lang w:val="en-US"/>
        </w:rPr>
      </w:pPr>
    </w:p>
    <w:p w14:paraId="00000006" w14:textId="77777777" w:rsidR="00CE48D4" w:rsidRPr="0061606C" w:rsidRDefault="00CE48D4" w:rsidP="0061606C">
      <w:pPr>
        <w:spacing w:line="360" w:lineRule="auto"/>
        <w:rPr>
          <w:sz w:val="24"/>
          <w:szCs w:val="24"/>
        </w:rPr>
      </w:pPr>
    </w:p>
    <w:p w14:paraId="00000007" w14:textId="3B4C74A1" w:rsidR="00CE48D4" w:rsidRPr="0061606C" w:rsidRDefault="0061606C" w:rsidP="0061606C">
      <w:pPr>
        <w:spacing w:line="360" w:lineRule="auto"/>
        <w:rPr>
          <w:sz w:val="24"/>
          <w:szCs w:val="24"/>
          <w:highlight w:val="white"/>
        </w:rPr>
      </w:pPr>
      <w:r w:rsidRPr="0061606C">
        <w:rPr>
          <w:sz w:val="24"/>
          <w:szCs w:val="24"/>
          <w:highlight w:val="white"/>
        </w:rPr>
        <w:t>El manual de desarrollo positivo en jóvenes, [The Handbook of Positive Youth Development (PYD, por sus siglas en inglés)] editado</w:t>
      </w:r>
      <w:r w:rsidR="00BA7214" w:rsidRPr="0061606C">
        <w:rPr>
          <w:sz w:val="24"/>
          <w:szCs w:val="24"/>
          <w:highlight w:val="white"/>
        </w:rPr>
        <w:t xml:space="preserve"> por Radosveta </w:t>
      </w:r>
      <w:r w:rsidR="00BA7214" w:rsidRPr="0061606C">
        <w:rPr>
          <w:color w:val="222222"/>
          <w:sz w:val="24"/>
          <w:szCs w:val="24"/>
          <w:shd w:val="clear" w:color="auto" w:fill="FFFFFF"/>
          <w:lang w:val="es-GT"/>
        </w:rPr>
        <w:t>Dimitrova</w:t>
      </w:r>
      <w:r w:rsidR="00BA7214" w:rsidRPr="0061606C">
        <w:rPr>
          <w:color w:val="222222"/>
          <w:sz w:val="24"/>
          <w:szCs w:val="24"/>
          <w:shd w:val="clear" w:color="auto" w:fill="FFFFFF"/>
          <w:lang w:val="es-GT"/>
        </w:rPr>
        <w:t xml:space="preserve"> et al (2021</w:t>
      </w:r>
      <w:r w:rsidRPr="0061606C">
        <w:rPr>
          <w:color w:val="222222"/>
          <w:sz w:val="24"/>
          <w:szCs w:val="24"/>
          <w:shd w:val="clear" w:color="auto" w:fill="FFFFFF"/>
          <w:lang w:val="es-GT"/>
        </w:rPr>
        <w:t xml:space="preserve">) </w:t>
      </w:r>
      <w:r w:rsidRPr="0061606C">
        <w:rPr>
          <w:sz w:val="24"/>
          <w:szCs w:val="24"/>
          <w:highlight w:val="white"/>
        </w:rPr>
        <w:t>es</w:t>
      </w:r>
      <w:r w:rsidRPr="0061606C">
        <w:rPr>
          <w:sz w:val="24"/>
          <w:szCs w:val="24"/>
          <w:highlight w:val="white"/>
        </w:rPr>
        <w:t xml:space="preserve"> una excelente contribución al avance y desarrollo de la investigación, prácticas y políticas relacionadas a fortalecer nuestra disc</w:t>
      </w:r>
      <w:r w:rsidRPr="0061606C">
        <w:rPr>
          <w:sz w:val="24"/>
          <w:szCs w:val="24"/>
          <w:highlight w:val="white"/>
        </w:rPr>
        <w:t>iplina, ciencia y profesión en contextos globales.</w:t>
      </w:r>
    </w:p>
    <w:p w14:paraId="00000008" w14:textId="77777777" w:rsidR="00CE48D4" w:rsidRPr="0061606C" w:rsidRDefault="0061606C" w:rsidP="0061606C">
      <w:pPr>
        <w:spacing w:line="360" w:lineRule="auto"/>
        <w:rPr>
          <w:sz w:val="24"/>
          <w:szCs w:val="24"/>
          <w:highlight w:val="white"/>
        </w:rPr>
      </w:pPr>
      <w:r w:rsidRPr="0061606C">
        <w:rPr>
          <w:sz w:val="24"/>
          <w:szCs w:val="24"/>
          <w:highlight w:val="white"/>
        </w:rPr>
        <w:t xml:space="preserve"> </w:t>
      </w:r>
    </w:p>
    <w:p w14:paraId="00000009" w14:textId="77777777" w:rsidR="00CE48D4" w:rsidRPr="0061606C" w:rsidRDefault="0061606C" w:rsidP="0061606C">
      <w:pPr>
        <w:spacing w:line="360" w:lineRule="auto"/>
        <w:rPr>
          <w:sz w:val="24"/>
          <w:szCs w:val="24"/>
          <w:highlight w:val="white"/>
        </w:rPr>
      </w:pPr>
      <w:r w:rsidRPr="0061606C">
        <w:rPr>
          <w:sz w:val="24"/>
          <w:szCs w:val="24"/>
          <w:highlight w:val="white"/>
        </w:rPr>
        <w:t xml:space="preserve">Las editoras han realizado un trabajo admirable compilando la contribución de 19 países ofreciendo un compendio completo en el que se combinan teorías y prácticas que, siendo representativas de diversas </w:t>
      </w:r>
      <w:r w:rsidRPr="0061606C">
        <w:rPr>
          <w:sz w:val="24"/>
          <w:szCs w:val="24"/>
          <w:highlight w:val="white"/>
        </w:rPr>
        <w:t>regiones, facilitan el trabajo interdisciplinario e internacional.  Cada capítulo presentado cuidadosamente, nos aleja de la rigidez de considerar ¨la adolescencia como un problema que debe arreglarse¨ generando nuevas propuestas y experiencias fundamentad</w:t>
      </w:r>
      <w:r w:rsidRPr="0061606C">
        <w:rPr>
          <w:sz w:val="24"/>
          <w:szCs w:val="24"/>
          <w:highlight w:val="white"/>
        </w:rPr>
        <w:t>as en la implementación de diversas políticas públicas para el desarrollo adecuado de los adolescentes, en análisis estadísticos exhaustivos de la implementación del modelo dirigida hacia una amplia gama de científicos sociales, estudiantes, profesionales,</w:t>
      </w:r>
      <w:r w:rsidRPr="0061606C">
        <w:rPr>
          <w:sz w:val="24"/>
          <w:szCs w:val="24"/>
          <w:highlight w:val="white"/>
        </w:rPr>
        <w:t xml:space="preserve"> legisladores y practicantes de una variedad de disciplinas (psicología positiva, del desarrollo, intercultural, social y comunitaria, así como en estudios de la niñez y la familia incluyendo educación, prevención, relaciones interculturales, antropología,</w:t>
      </w:r>
      <w:r w:rsidRPr="0061606C">
        <w:rPr>
          <w:sz w:val="24"/>
          <w:szCs w:val="24"/>
          <w:highlight w:val="white"/>
        </w:rPr>
        <w:t xml:space="preserve"> sociología, metodología, consejería, adultez emergente, entre otras).  Esto es un reflejo de la actualización interseccional que requiere nuestra era.</w:t>
      </w:r>
    </w:p>
    <w:p w14:paraId="0000000A" w14:textId="77777777" w:rsidR="00CE48D4" w:rsidRPr="0061606C" w:rsidRDefault="0061606C" w:rsidP="0061606C">
      <w:pPr>
        <w:spacing w:before="240" w:line="360" w:lineRule="auto"/>
        <w:rPr>
          <w:rFonts w:eastAsia="Times New Roman"/>
          <w:sz w:val="24"/>
          <w:szCs w:val="24"/>
          <w:highlight w:val="white"/>
        </w:rPr>
      </w:pPr>
      <w:r w:rsidRPr="0061606C">
        <w:rPr>
          <w:rFonts w:eastAsia="Times New Roman"/>
          <w:sz w:val="24"/>
          <w:szCs w:val="24"/>
          <w:highlight w:val="white"/>
        </w:rPr>
        <w:t xml:space="preserve"> </w:t>
      </w:r>
      <w:r w:rsidRPr="0061606C">
        <w:rPr>
          <w:sz w:val="24"/>
          <w:szCs w:val="24"/>
          <w:highlight w:val="white"/>
        </w:rPr>
        <w:t>Desde los primeros capítulos en que presentan la teoría que sustenta todo el manual, el compendio se co</w:t>
      </w:r>
      <w:r w:rsidRPr="0061606C">
        <w:rPr>
          <w:sz w:val="24"/>
          <w:szCs w:val="24"/>
          <w:highlight w:val="white"/>
        </w:rPr>
        <w:t>nvierte en un recurso esencial para las bibliotecas de quienes se dedican a niños/as y jóvenes enfatizando que el desarrollo positivo en la juventud tiene como objetivo principal el desarrollo de bienestar social y bienestar individual en los jóvenes y est</w:t>
      </w:r>
      <w:r w:rsidRPr="0061606C">
        <w:rPr>
          <w:sz w:val="24"/>
          <w:szCs w:val="24"/>
          <w:highlight w:val="white"/>
        </w:rPr>
        <w:t>o es fundamental en contextos globales como lo articulan los ejemplos de Colombia, Perú y China.  Los modelos son prometedores en poblaciones vulnerables y al integrar teorías, análisis de metodología e implementación, se optimizan los beneficios y la tran</w:t>
      </w:r>
      <w:r w:rsidRPr="0061606C">
        <w:rPr>
          <w:sz w:val="24"/>
          <w:szCs w:val="24"/>
          <w:highlight w:val="white"/>
        </w:rPr>
        <w:t xml:space="preserve">sferencia a otros contextos </w:t>
      </w:r>
      <w:r w:rsidRPr="0061606C">
        <w:rPr>
          <w:sz w:val="24"/>
          <w:szCs w:val="24"/>
          <w:highlight w:val="white"/>
        </w:rPr>
        <w:lastRenderedPageBreak/>
        <w:t>posibilitando la prevención de consumo de consumo de alcohol y drogas, la violencia y los intentos de suicidio al mismo tiempo que consideran la urgencia de colocar en la agenda internacional el cuidado al medio ambiente y la re</w:t>
      </w:r>
      <w:r w:rsidRPr="0061606C">
        <w:rPr>
          <w:sz w:val="24"/>
          <w:szCs w:val="24"/>
          <w:highlight w:val="white"/>
        </w:rPr>
        <w:t>sponsabilidad individual ante el fenómeno de la contaminación.</w:t>
      </w:r>
      <w:r w:rsidRPr="0061606C">
        <w:rPr>
          <w:rFonts w:eastAsia="Times New Roman"/>
          <w:sz w:val="24"/>
          <w:szCs w:val="24"/>
          <w:highlight w:val="white"/>
        </w:rPr>
        <w:t xml:space="preserve"> </w:t>
      </w:r>
    </w:p>
    <w:p w14:paraId="0000000B" w14:textId="77777777" w:rsidR="00CE48D4" w:rsidRPr="0061606C" w:rsidRDefault="0061606C" w:rsidP="0061606C">
      <w:pPr>
        <w:spacing w:before="240" w:line="360" w:lineRule="auto"/>
        <w:rPr>
          <w:sz w:val="24"/>
          <w:szCs w:val="24"/>
          <w:highlight w:val="white"/>
        </w:rPr>
      </w:pPr>
      <w:r w:rsidRPr="0061606C">
        <w:rPr>
          <w:sz w:val="24"/>
          <w:szCs w:val="24"/>
          <w:highlight w:val="white"/>
        </w:rPr>
        <w:t>Esta propuesta teórica pone un foco en la variedad de necesidades y experiencias de los jóvenes a nivel mundial y con esto permite la creación de intervenciones pertinentes a los jóvenes de di</w:t>
      </w:r>
      <w:r w:rsidRPr="0061606C">
        <w:rPr>
          <w:sz w:val="24"/>
          <w:szCs w:val="24"/>
          <w:highlight w:val="white"/>
        </w:rPr>
        <w:t>ferentes contextos globales. Además, la rigurosidad con que estas intervenciones han sido evaluadas por profesionales desde un enfoque interdisciplinario, avanza hacia colaboraciones transformativas, integrativas y complementarias considerando la variabili</w:t>
      </w:r>
      <w:r w:rsidRPr="0061606C">
        <w:rPr>
          <w:sz w:val="24"/>
          <w:szCs w:val="24"/>
          <w:highlight w:val="white"/>
        </w:rPr>
        <w:t>dad contextual y el análisis de las intervenciones en grupos a los cuales se tiene poco acceso y que de otra manera serían excluidas.</w:t>
      </w:r>
    </w:p>
    <w:p w14:paraId="0000000C" w14:textId="77777777" w:rsidR="00CE48D4" w:rsidRPr="0061606C" w:rsidRDefault="0061606C" w:rsidP="0061606C">
      <w:pPr>
        <w:spacing w:before="240" w:line="360" w:lineRule="auto"/>
        <w:rPr>
          <w:sz w:val="24"/>
          <w:szCs w:val="24"/>
          <w:highlight w:val="white"/>
        </w:rPr>
      </w:pPr>
      <w:r w:rsidRPr="0061606C">
        <w:rPr>
          <w:rFonts w:eastAsia="Times New Roman"/>
          <w:sz w:val="24"/>
          <w:szCs w:val="24"/>
          <w:highlight w:val="white"/>
        </w:rPr>
        <w:t xml:space="preserve"> </w:t>
      </w:r>
      <w:r w:rsidRPr="0061606C">
        <w:rPr>
          <w:sz w:val="24"/>
          <w:szCs w:val="24"/>
          <w:highlight w:val="white"/>
        </w:rPr>
        <w:t>Los aportes de cada autor y autora reflejan la riqueza de la inmensa diversidad del contexto global abriendo nuevos horiz</w:t>
      </w:r>
      <w:r w:rsidRPr="0061606C">
        <w:rPr>
          <w:sz w:val="24"/>
          <w:szCs w:val="24"/>
          <w:highlight w:val="white"/>
        </w:rPr>
        <w:t>ontes hacia la interrelación de países como Pakistán, Canadá, Noruega, Eslovenia, España, Italia y Brasil entre otros.</w:t>
      </w:r>
    </w:p>
    <w:p w14:paraId="0000000D" w14:textId="77777777" w:rsidR="00CE48D4" w:rsidRPr="0061606C" w:rsidRDefault="0061606C" w:rsidP="0061606C">
      <w:pPr>
        <w:spacing w:before="240" w:line="360" w:lineRule="auto"/>
        <w:rPr>
          <w:sz w:val="24"/>
          <w:szCs w:val="24"/>
          <w:highlight w:val="white"/>
        </w:rPr>
      </w:pPr>
      <w:r w:rsidRPr="0061606C">
        <w:rPr>
          <w:sz w:val="24"/>
          <w:szCs w:val="24"/>
          <w:highlight w:val="white"/>
        </w:rPr>
        <w:t xml:space="preserve">Además, claramente se exponen diversas estrategias para poder implementar herramientas de desarrollo positivo en distintos contextos con </w:t>
      </w:r>
      <w:r w:rsidRPr="0061606C">
        <w:rPr>
          <w:sz w:val="24"/>
          <w:szCs w:val="24"/>
          <w:highlight w:val="white"/>
        </w:rPr>
        <w:t>herramientas adecuadas que incluyen la ayuda de padres, profesores o pares, fomentando un trabajo colaborativo y la implementación de nuevas técnicas como el mindfulness, por ejemplo.</w:t>
      </w:r>
    </w:p>
    <w:p w14:paraId="0000000E" w14:textId="77777777" w:rsidR="00CE48D4" w:rsidRPr="0061606C" w:rsidRDefault="0061606C" w:rsidP="0061606C">
      <w:pPr>
        <w:spacing w:before="240" w:line="360" w:lineRule="auto"/>
        <w:rPr>
          <w:sz w:val="24"/>
          <w:szCs w:val="24"/>
          <w:highlight w:val="white"/>
        </w:rPr>
      </w:pPr>
      <w:r w:rsidRPr="0061606C">
        <w:rPr>
          <w:sz w:val="24"/>
          <w:szCs w:val="24"/>
          <w:highlight w:val="white"/>
        </w:rPr>
        <w:t xml:space="preserve"> No frecuentemente se encuentra un manual en el que se profundice en la </w:t>
      </w:r>
      <w:r w:rsidRPr="0061606C">
        <w:rPr>
          <w:sz w:val="24"/>
          <w:szCs w:val="24"/>
          <w:highlight w:val="white"/>
        </w:rPr>
        <w:t>validez y confiabilidad del modelo presentado con contribuciones conceptuales y metodológicas únicas al campo del PYD incorporando aplicaciones relevantes en psicología internacional, transcultural, del desarrollo, comunitaria y ciencia aplicada del desarr</w:t>
      </w:r>
      <w:r w:rsidRPr="0061606C">
        <w:rPr>
          <w:sz w:val="24"/>
          <w:szCs w:val="24"/>
          <w:highlight w:val="white"/>
        </w:rPr>
        <w:t>ollo en muchos países alrededor del mundo. Estas aplicaciones incluyen una perspectiva novedosa para que desde el ámbito escolar se pueda fortalecer el desarrollo positivo, considerando los contextos comunitarios,</w:t>
      </w:r>
      <w:r w:rsidRPr="0061606C">
        <w:rPr>
          <w:i/>
          <w:sz w:val="24"/>
          <w:szCs w:val="24"/>
          <w:highlight w:val="white"/>
        </w:rPr>
        <w:t xml:space="preserve"> </w:t>
      </w:r>
      <w:r w:rsidRPr="0061606C">
        <w:rPr>
          <w:sz w:val="24"/>
          <w:szCs w:val="24"/>
          <w:highlight w:val="white"/>
        </w:rPr>
        <w:t>el compromiso en tareas escolares e intera</w:t>
      </w:r>
      <w:r w:rsidRPr="0061606C">
        <w:rPr>
          <w:sz w:val="24"/>
          <w:szCs w:val="24"/>
          <w:highlight w:val="white"/>
        </w:rPr>
        <w:t>cciones sociales, la familia como un sistema, la parentalidad, y aun los aspectos digitales que también abarcan la aplicación del PYD a través de las redes sociales.</w:t>
      </w:r>
    </w:p>
    <w:p w14:paraId="0000000F" w14:textId="77777777" w:rsidR="00CE48D4" w:rsidRPr="0061606C" w:rsidRDefault="0061606C" w:rsidP="0061606C">
      <w:pPr>
        <w:spacing w:before="240" w:line="360" w:lineRule="auto"/>
        <w:rPr>
          <w:sz w:val="24"/>
          <w:szCs w:val="24"/>
          <w:highlight w:val="white"/>
        </w:rPr>
      </w:pPr>
      <w:r w:rsidRPr="0061606C">
        <w:rPr>
          <w:sz w:val="24"/>
          <w:szCs w:val="24"/>
          <w:highlight w:val="white"/>
        </w:rPr>
        <w:lastRenderedPageBreak/>
        <w:t xml:space="preserve"> Al subrayar la importancia de las redes sociales: familia, los amigos, la escuela y las a</w:t>
      </w:r>
      <w:r w:rsidRPr="0061606C">
        <w:rPr>
          <w:sz w:val="24"/>
          <w:szCs w:val="24"/>
          <w:highlight w:val="white"/>
        </w:rPr>
        <w:t>ctividades extracurriculares para fomentar la satisfacción con la vida entre los jóvenes, el compendio actualiza las prioridades a considerar incorporando una perspectiva de prevención con ejemplos de intervenciones que generan un sentido de comunidad y pe</w:t>
      </w:r>
      <w:r w:rsidRPr="0061606C">
        <w:rPr>
          <w:sz w:val="24"/>
          <w:szCs w:val="24"/>
          <w:highlight w:val="white"/>
        </w:rPr>
        <w:t xml:space="preserve">rtenencia indispensables en esta etapa crucial de la evolución del ciclo vital. </w:t>
      </w:r>
    </w:p>
    <w:p w14:paraId="00000010" w14:textId="77777777" w:rsidR="00CE48D4" w:rsidRPr="0061606C" w:rsidRDefault="0061606C" w:rsidP="0061606C">
      <w:pPr>
        <w:spacing w:before="240" w:line="360" w:lineRule="auto"/>
        <w:rPr>
          <w:sz w:val="24"/>
          <w:szCs w:val="24"/>
          <w:highlight w:val="white"/>
        </w:rPr>
      </w:pPr>
      <w:r w:rsidRPr="0061606C">
        <w:rPr>
          <w:rFonts w:eastAsia="Times New Roman"/>
          <w:sz w:val="24"/>
          <w:szCs w:val="24"/>
          <w:highlight w:val="white"/>
        </w:rPr>
        <w:t xml:space="preserve"> </w:t>
      </w:r>
      <w:r w:rsidRPr="0061606C">
        <w:rPr>
          <w:sz w:val="24"/>
          <w:szCs w:val="24"/>
          <w:highlight w:val="white"/>
        </w:rPr>
        <w:t>Los y las lectores, disfrutarán la brillante discusión de ideas importantes a considerar si se desea continuar desarrollando intervenciones adecuadas culturalmente que incluy</w:t>
      </w:r>
      <w:r w:rsidRPr="0061606C">
        <w:rPr>
          <w:sz w:val="24"/>
          <w:szCs w:val="24"/>
          <w:highlight w:val="white"/>
        </w:rPr>
        <w:t>an y no sean exclusivas a una consideración del PYD desde una perspectiva a nivel de sistemas sino también a promocionarlo con el fin de reducir los déficits y aumentar la posibilidad de modelos más específicos, holísticos y aplicables a todos los contexto</w:t>
      </w:r>
      <w:r w:rsidRPr="0061606C">
        <w:rPr>
          <w:sz w:val="24"/>
          <w:szCs w:val="24"/>
          <w:highlight w:val="white"/>
        </w:rPr>
        <w:t>s culturales y globales.</w:t>
      </w:r>
    </w:p>
    <w:p w14:paraId="00000011" w14:textId="77777777" w:rsidR="00CE48D4" w:rsidRPr="0061606C" w:rsidRDefault="0061606C" w:rsidP="0061606C">
      <w:pPr>
        <w:spacing w:before="240" w:line="360" w:lineRule="auto"/>
        <w:rPr>
          <w:sz w:val="24"/>
          <w:szCs w:val="24"/>
          <w:highlight w:val="white"/>
        </w:rPr>
      </w:pPr>
      <w:r w:rsidRPr="0061606C">
        <w:rPr>
          <w:sz w:val="24"/>
          <w:szCs w:val="24"/>
          <w:highlight w:val="white"/>
        </w:rPr>
        <w:t>Al terminar la lectura, nos quedamos con la invitación de los autores y editoras a reconocer que todos los temas relacionados al PYD son relevantes para contextos occidentales, educados, industrializados, ricos y democráticos y a c</w:t>
      </w:r>
      <w:r w:rsidRPr="0061606C">
        <w:rPr>
          <w:sz w:val="24"/>
          <w:szCs w:val="24"/>
          <w:highlight w:val="white"/>
        </w:rPr>
        <w:t>ontextos de riesgo y vulnerabilidad; por tanto, el PYD es y seguirá siendo un tema con necesidad global requiriendo creatividad, compromiso, respeto a la diversidad cultural y transcultural desde una perspectiva que abarque tanto la teoría como de la aplic</w:t>
      </w:r>
      <w:r w:rsidRPr="0061606C">
        <w:rPr>
          <w:sz w:val="24"/>
          <w:szCs w:val="24"/>
          <w:highlight w:val="white"/>
        </w:rPr>
        <w:t>ación, intervención, investigación y evaluación  de los principios del Desarrollo Positivo en los Jóvenes (PYD).</w:t>
      </w:r>
    </w:p>
    <w:p w14:paraId="00000012" w14:textId="77777777" w:rsidR="00CE48D4" w:rsidRPr="0061606C" w:rsidRDefault="00CE48D4" w:rsidP="0061606C">
      <w:pPr>
        <w:spacing w:line="360" w:lineRule="auto"/>
        <w:rPr>
          <w:color w:val="444444"/>
          <w:sz w:val="24"/>
          <w:szCs w:val="24"/>
          <w:highlight w:val="white"/>
        </w:rPr>
      </w:pPr>
    </w:p>
    <w:p w14:paraId="00000013" w14:textId="7B7EB3BC" w:rsidR="00CE48D4" w:rsidRPr="0061606C" w:rsidRDefault="0061606C" w:rsidP="0061606C">
      <w:pPr>
        <w:spacing w:line="360" w:lineRule="auto"/>
        <w:rPr>
          <w:rFonts w:eastAsia="Verdana"/>
          <w:color w:val="444444"/>
          <w:sz w:val="24"/>
          <w:szCs w:val="24"/>
          <w:highlight w:val="white"/>
        </w:rPr>
      </w:pPr>
      <w:r w:rsidRPr="0061606C">
        <w:rPr>
          <w:rFonts w:eastAsia="Verdana"/>
          <w:color w:val="444444"/>
          <w:sz w:val="24"/>
          <w:szCs w:val="24"/>
          <w:highlight w:val="white"/>
        </w:rPr>
        <w:t>Los autores declaran no tener ningún conflicto de interés con la presente revisión</w:t>
      </w:r>
    </w:p>
    <w:p w14:paraId="2B14A828" w14:textId="77777777" w:rsidR="0061606C" w:rsidRPr="0061606C" w:rsidRDefault="0061606C" w:rsidP="0061606C">
      <w:pPr>
        <w:spacing w:line="360" w:lineRule="auto"/>
        <w:rPr>
          <w:rFonts w:eastAsia="Verdana"/>
          <w:color w:val="444444"/>
          <w:sz w:val="24"/>
          <w:szCs w:val="24"/>
          <w:highlight w:val="white"/>
        </w:rPr>
      </w:pPr>
    </w:p>
    <w:p w14:paraId="00000014" w14:textId="5F4B9838" w:rsidR="00CE48D4" w:rsidRPr="0061606C" w:rsidRDefault="00BA7214" w:rsidP="0061606C">
      <w:pPr>
        <w:spacing w:line="360" w:lineRule="auto"/>
        <w:rPr>
          <w:color w:val="444444"/>
          <w:sz w:val="24"/>
          <w:szCs w:val="24"/>
          <w:highlight w:val="white"/>
        </w:rPr>
      </w:pPr>
      <w:r w:rsidRPr="0061606C">
        <w:rPr>
          <w:color w:val="444444"/>
          <w:sz w:val="24"/>
          <w:szCs w:val="24"/>
          <w:highlight w:val="white"/>
        </w:rPr>
        <w:t>Referencia:</w:t>
      </w:r>
    </w:p>
    <w:p w14:paraId="0AC3BAEA" w14:textId="46C9F4A2" w:rsidR="00BA7214" w:rsidRPr="0061606C" w:rsidRDefault="00BA7214" w:rsidP="0061606C">
      <w:pPr>
        <w:pBdr>
          <w:top w:val="single" w:sz="6" w:space="8" w:color="DCDCDC"/>
        </w:pBdr>
        <w:shd w:val="clear" w:color="auto" w:fill="FFFFFF"/>
        <w:spacing w:before="150" w:after="30" w:line="360" w:lineRule="auto"/>
        <w:ind w:hanging="720"/>
        <w:textAlignment w:val="baseline"/>
        <w:rPr>
          <w:rFonts w:eastAsia="Times New Roman"/>
          <w:b/>
          <w:bCs/>
          <w:color w:val="333333"/>
          <w:sz w:val="24"/>
          <w:szCs w:val="24"/>
          <w:lang w:val="es-GT"/>
        </w:rPr>
      </w:pPr>
      <w:r w:rsidRPr="0061606C">
        <w:rPr>
          <w:color w:val="222222"/>
          <w:sz w:val="24"/>
          <w:szCs w:val="24"/>
          <w:shd w:val="clear" w:color="auto" w:fill="FFFFFF"/>
          <w:lang w:val="en-US"/>
        </w:rPr>
        <w:t xml:space="preserve">Dimitrova, R., Fernandes, D., Malik, S., Suryani, A., Musso, P., &amp; Wiium, N. (2021). Handbook of Positive Youth Development. </w:t>
      </w:r>
      <w:r w:rsidRPr="0061606C">
        <w:rPr>
          <w:color w:val="222222"/>
          <w:sz w:val="24"/>
          <w:szCs w:val="24"/>
          <w:shd w:val="clear" w:color="auto" w:fill="FFFFFF"/>
        </w:rPr>
        <w:t>Advancing Research, Policy and Practice in Global Contexts.</w:t>
      </w:r>
      <w:r w:rsidRPr="0061606C">
        <w:rPr>
          <w:rFonts w:eastAsia="Times New Roman"/>
          <w:b/>
          <w:bCs/>
          <w:color w:val="333333"/>
          <w:sz w:val="24"/>
          <w:szCs w:val="24"/>
          <w:lang w:val="es-GT"/>
        </w:rPr>
        <w:t xml:space="preserve"> </w:t>
      </w:r>
      <w:r w:rsidRPr="0061606C">
        <w:rPr>
          <w:rFonts w:eastAsia="Times New Roman"/>
          <w:b/>
          <w:bCs/>
          <w:color w:val="333333"/>
          <w:sz w:val="24"/>
          <w:szCs w:val="24"/>
          <w:lang w:val="es-GT"/>
        </w:rPr>
        <w:t>DOI</w:t>
      </w:r>
    </w:p>
    <w:p w14:paraId="11E64B3F" w14:textId="77777777" w:rsidR="00BA7214" w:rsidRPr="00BA7214" w:rsidRDefault="00BA7214" w:rsidP="0061606C">
      <w:pPr>
        <w:shd w:val="clear" w:color="auto" w:fill="FFFFFF"/>
        <w:spacing w:line="360" w:lineRule="auto"/>
        <w:ind w:left="720" w:hanging="720"/>
        <w:textAlignment w:val="baseline"/>
        <w:rPr>
          <w:rFonts w:eastAsia="Times New Roman"/>
          <w:color w:val="666666"/>
          <w:sz w:val="24"/>
          <w:szCs w:val="24"/>
          <w:lang w:val="es-GT"/>
        </w:rPr>
      </w:pPr>
      <w:r w:rsidRPr="00BA7214">
        <w:rPr>
          <w:rFonts w:eastAsia="Times New Roman"/>
          <w:color w:val="666666"/>
          <w:sz w:val="24"/>
          <w:szCs w:val="24"/>
          <w:lang w:val="es-GT"/>
        </w:rPr>
        <w:t>10.1007/978-3-030-70262-5</w:t>
      </w:r>
    </w:p>
    <w:p w14:paraId="721B7847" w14:textId="4AE1781E" w:rsidR="00BA7214" w:rsidRDefault="00BA7214">
      <w:pPr>
        <w:rPr>
          <w:color w:val="444444"/>
          <w:highlight w:val="white"/>
        </w:rPr>
      </w:pPr>
    </w:p>
    <w:sectPr w:rsidR="00BA72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D4"/>
    <w:rsid w:val="0061606C"/>
    <w:rsid w:val="00BA7214"/>
    <w:rsid w:val="00CE48D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3154"/>
  <w15:docId w15:val="{C8903F89-2E08-4A51-ACC9-3DF423A2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G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1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5263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fernandez</cp:lastModifiedBy>
  <cp:revision>2</cp:revision>
  <dcterms:created xsi:type="dcterms:W3CDTF">2021-09-27T23:56:00Z</dcterms:created>
  <dcterms:modified xsi:type="dcterms:W3CDTF">2021-09-27T23:56:00Z</dcterms:modified>
</cp:coreProperties>
</file>