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09114A05" w:rsidR="00742E4A" w:rsidRPr="002B04BE" w:rsidRDefault="00384E6B" w:rsidP="002B04BE">
      <w:pPr>
        <w:pStyle w:val="Titulodeartculo"/>
      </w:pPr>
      <w:bookmarkStart w:id="0" w:name="_Hlk90834151"/>
      <w:bookmarkEnd w:id="0"/>
      <w:r w:rsidRPr="00333677">
        <w:rPr>
          <w:lang w:val="en-US" w:eastAsia="en-US"/>
        </w:rPr>
        <w:drawing>
          <wp:anchor distT="0" distB="0" distL="114300" distR="114300" simplePos="0" relativeHeight="251664384" behindDoc="0" locked="0" layoutInCell="1" allowOverlap="1" wp14:anchorId="4437BD97" wp14:editId="228A02BB">
            <wp:simplePos x="0" y="0"/>
            <wp:positionH relativeFrom="column">
              <wp:posOffset>3498850</wp:posOffset>
            </wp:positionH>
            <wp:positionV relativeFrom="paragraph">
              <wp:posOffset>587838</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7249B2" w:rsidRPr="007249B2">
        <w:rPr>
          <w:bCs/>
          <w:lang w:val="es-DO"/>
        </w:rPr>
        <w:t>Cibercondría durante la pandemia del COVID-19: Su relación con la ansiedad por salud, ansiedad rasgo y ansiedad estado</w:t>
      </w:r>
    </w:p>
    <w:p w14:paraId="07B1149B" w14:textId="79DADEBD" w:rsidR="008E17AF" w:rsidRPr="00470FB9" w:rsidRDefault="008E17AF" w:rsidP="00C413D4">
      <w:pPr>
        <w:rPr>
          <w:b/>
          <w:lang w:val="es-ES_tradnl"/>
        </w:rPr>
      </w:pPr>
    </w:p>
    <w:p w14:paraId="110A42C5" w14:textId="514D0C70" w:rsidR="00CC7D22" w:rsidRPr="00444BAD" w:rsidRDefault="00A6222A" w:rsidP="00CC7D22">
      <w:pPr>
        <w:pStyle w:val="Body"/>
        <w:jc w:val="both"/>
        <w:rPr>
          <w:b/>
          <w:bCs/>
          <w:color w:val="222222"/>
          <w:sz w:val="26"/>
          <w:szCs w:val="26"/>
          <w:u w:color="222222"/>
        </w:rPr>
      </w:pPr>
      <w:bookmarkStart w:id="1" w:name="_Hlk90835901"/>
      <w:proofErr w:type="spellStart"/>
      <w:r w:rsidRPr="00A6222A">
        <w:rPr>
          <w:b/>
          <w:bCs/>
          <w:color w:val="222222"/>
          <w:sz w:val="26"/>
          <w:szCs w:val="26"/>
          <w:u w:color="222222"/>
        </w:rPr>
        <w:t>Gianluis</w:t>
      </w:r>
      <w:proofErr w:type="spellEnd"/>
      <w:r w:rsidR="00464F73" w:rsidRPr="00464F73">
        <w:rPr>
          <w:b/>
          <w:bCs/>
          <w:color w:val="222222"/>
          <w:sz w:val="26"/>
          <w:szCs w:val="26"/>
          <w:u w:color="222222"/>
        </w:rPr>
        <w:t xml:space="preserve"> </w:t>
      </w:r>
      <w:r w:rsidRPr="00A6222A">
        <w:rPr>
          <w:b/>
          <w:bCs/>
          <w:color w:val="222222"/>
          <w:sz w:val="26"/>
          <w:szCs w:val="26"/>
          <w:u w:color="222222"/>
        </w:rPr>
        <w:t>Ortega Germosén</w:t>
      </w:r>
      <w:r w:rsidR="0014506C" w:rsidRPr="00444BAD">
        <w:rPr>
          <w:b/>
          <w:bCs/>
          <w:color w:val="222222"/>
          <w:sz w:val="26"/>
          <w:szCs w:val="26"/>
          <w:u w:color="222222"/>
        </w:rPr>
        <w:t xml:space="preserve"> </w:t>
      </w:r>
      <w:r w:rsidR="001E0A61" w:rsidRPr="00886B3C">
        <w:rPr>
          <w:b/>
          <w:bCs/>
          <w:color w:val="222222"/>
          <w:sz w:val="26"/>
          <w:szCs w:val="26"/>
          <w:u w:color="222222"/>
          <w:vertAlign w:val="superscript"/>
          <w:lang w:val="en-GB"/>
        </w:rPr>
        <w:footnoteReference w:id="1"/>
      </w:r>
      <w:r w:rsidR="005E205D" w:rsidRPr="00886B3C">
        <w:rPr>
          <w:b/>
          <w:bCs/>
          <w:noProof/>
          <w:color w:val="222222"/>
          <w:sz w:val="26"/>
          <w:szCs w:val="26"/>
          <w:u w:color="222222"/>
          <w:lang w:val="en-US" w:eastAsia="en-US"/>
        </w:rPr>
        <w:drawing>
          <wp:inline distT="0" distB="0" distL="0" distR="0" wp14:anchorId="16FCC1C7" wp14:editId="7F4F1123">
            <wp:extent cx="133200" cy="133200"/>
            <wp:effectExtent l="0" t="0" r="0" b="0"/>
            <wp:docPr id="11"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740283">
        <w:rPr>
          <w:b/>
          <w:bCs/>
          <w:color w:val="222222"/>
          <w:sz w:val="26"/>
          <w:szCs w:val="26"/>
          <w:u w:color="222222"/>
        </w:rPr>
        <w:t xml:space="preserve">, </w:t>
      </w:r>
      <w:r w:rsidR="00740283" w:rsidRPr="00740283">
        <w:rPr>
          <w:b/>
          <w:bCs/>
          <w:color w:val="222222"/>
          <w:sz w:val="26"/>
          <w:szCs w:val="26"/>
          <w:u w:color="222222"/>
        </w:rPr>
        <w:t>Iris Bello-Castillo</w:t>
      </w:r>
      <w:r w:rsidR="00444BAD" w:rsidRPr="00444BAD">
        <w:rPr>
          <w:b/>
          <w:bCs/>
          <w:color w:val="222222"/>
          <w:sz w:val="26"/>
          <w:szCs w:val="26"/>
          <w:u w:color="222222"/>
        </w:rPr>
        <w:t xml:space="preserve"> </w:t>
      </w:r>
      <w:r w:rsidR="00444BAD" w:rsidRPr="00886B3C">
        <w:rPr>
          <w:b/>
          <w:bCs/>
          <w:noProof/>
          <w:color w:val="222222"/>
          <w:sz w:val="26"/>
          <w:szCs w:val="26"/>
          <w:u w:color="222222"/>
          <w:lang w:val="en-US" w:eastAsia="en-US"/>
        </w:rPr>
        <w:drawing>
          <wp:inline distT="0" distB="0" distL="0" distR="0" wp14:anchorId="1D8932D1" wp14:editId="17E0B2DB">
            <wp:extent cx="133200" cy="133200"/>
            <wp:effectExtent l="0" t="0" r="0" b="0"/>
            <wp:docPr id="1"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444BAD" w:rsidRPr="00444BAD">
        <w:rPr>
          <w:b/>
          <w:bCs/>
          <w:color w:val="222222"/>
          <w:sz w:val="26"/>
          <w:szCs w:val="26"/>
          <w:u w:color="222222"/>
        </w:rPr>
        <w:t xml:space="preserve">, </w:t>
      </w:r>
      <w:r w:rsidR="00CC7D22" w:rsidRPr="00444BAD">
        <w:rPr>
          <w:b/>
          <w:bCs/>
          <w:color w:val="222222"/>
          <w:sz w:val="26"/>
          <w:szCs w:val="26"/>
          <w:u w:color="222222"/>
        </w:rPr>
        <w:t xml:space="preserve">&amp; </w:t>
      </w:r>
      <w:bookmarkEnd w:id="1"/>
      <w:r w:rsidR="007B5480" w:rsidRPr="007B5480">
        <w:rPr>
          <w:b/>
          <w:bCs/>
          <w:color w:val="222222"/>
          <w:sz w:val="26"/>
          <w:szCs w:val="26"/>
          <w:u w:color="222222"/>
        </w:rPr>
        <w:t>Laura Virginia</w:t>
      </w:r>
      <w:r w:rsidR="00740283" w:rsidRPr="00740283">
        <w:rPr>
          <w:b/>
          <w:bCs/>
          <w:color w:val="222222"/>
          <w:sz w:val="26"/>
          <w:szCs w:val="26"/>
          <w:u w:color="222222"/>
        </w:rPr>
        <w:t xml:space="preserve"> Sánchez-</w:t>
      </w:r>
      <w:proofErr w:type="spellStart"/>
      <w:r w:rsidR="00740283" w:rsidRPr="00740283">
        <w:rPr>
          <w:b/>
          <w:bCs/>
          <w:color w:val="222222"/>
          <w:sz w:val="26"/>
          <w:szCs w:val="26"/>
          <w:u w:color="222222"/>
        </w:rPr>
        <w:t>Vincitore</w:t>
      </w:r>
      <w:proofErr w:type="spellEnd"/>
      <w:r w:rsidR="00EE0F35" w:rsidRPr="00EE0F35">
        <w:rPr>
          <w:b/>
          <w:bCs/>
          <w:color w:val="4472C4" w:themeColor="accent1"/>
          <w:sz w:val="26"/>
          <w:szCs w:val="26"/>
          <w:u w:color="222222"/>
          <w:vertAlign w:val="superscript"/>
        </w:rPr>
        <w:t xml:space="preserve"> </w:t>
      </w:r>
      <w:r w:rsidR="00CC7D22" w:rsidRPr="00886B3C">
        <w:rPr>
          <w:b/>
          <w:bCs/>
          <w:noProof/>
          <w:color w:val="222222"/>
          <w:sz w:val="26"/>
          <w:szCs w:val="26"/>
          <w:u w:color="222222"/>
          <w:lang w:val="en-US" w:eastAsia="en-US"/>
        </w:rPr>
        <w:drawing>
          <wp:inline distT="0" distB="0" distL="0" distR="0" wp14:anchorId="20800533" wp14:editId="555F388C">
            <wp:extent cx="133200" cy="133200"/>
            <wp:effectExtent l="0" t="0" r="0" b="0"/>
            <wp:docPr id="6"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5"/>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7D7E6B" w:rsidRPr="00444BAD">
        <w:rPr>
          <w:b/>
          <w:bCs/>
          <w:color w:val="4472C4" w:themeColor="accent1"/>
          <w:sz w:val="26"/>
          <w:szCs w:val="26"/>
          <w:u w:color="222222"/>
          <w:vertAlign w:val="superscript"/>
        </w:rPr>
        <w:t xml:space="preserve"> </w:t>
      </w:r>
      <w:r w:rsidR="00CC7D22" w:rsidRPr="00886B3C">
        <w:rPr>
          <w:rStyle w:val="Refdenotaalpie"/>
          <w:b/>
          <w:bCs/>
          <w:color w:val="auto"/>
          <w:sz w:val="26"/>
          <w:szCs w:val="26"/>
          <w:u w:color="222222"/>
          <w:lang w:val="en-GB"/>
        </w:rPr>
        <w:footnoteReference w:id="2"/>
      </w:r>
      <w:r w:rsidR="00D64E9D">
        <w:rPr>
          <w:b/>
          <w:bCs/>
          <w:color w:val="4472C4" w:themeColor="accent1"/>
          <w:sz w:val="26"/>
          <w:szCs w:val="26"/>
          <w:u w:color="222222"/>
          <w:vertAlign w:val="superscript"/>
        </w:rPr>
        <w:t xml:space="preserve"> </w:t>
      </w:r>
      <w:r w:rsidR="00D64E9D" w:rsidRPr="00B84E95">
        <w:rPr>
          <w:b/>
          <w:bCs/>
          <w:color w:val="auto"/>
          <w:sz w:val="26"/>
          <w:szCs w:val="26"/>
          <w:u w:color="222222"/>
          <w:vertAlign w:val="superscript"/>
        </w:rPr>
        <w:t xml:space="preserve">&amp; </w:t>
      </w:r>
      <w:r w:rsidR="00D64E9D" w:rsidRPr="00B84E95">
        <w:rPr>
          <w:rStyle w:val="Refdenotaalpie"/>
          <w:b/>
          <w:bCs/>
          <w:color w:val="auto"/>
          <w:sz w:val="26"/>
          <w:szCs w:val="26"/>
          <w:u w:color="222222"/>
        </w:rPr>
        <w:footnoteReference w:id="3"/>
      </w:r>
    </w:p>
    <w:p w14:paraId="7DE2414F" w14:textId="77777777" w:rsidR="004B2E6E" w:rsidRPr="00444BAD" w:rsidRDefault="004B2E6E" w:rsidP="00DB239D">
      <w:pPr>
        <w:rPr>
          <w:i/>
          <w:sz w:val="28"/>
          <w:szCs w:val="28"/>
        </w:rPr>
      </w:pPr>
    </w:p>
    <w:p w14:paraId="52BD8014" w14:textId="45301911" w:rsidR="00CC7D22" w:rsidRPr="00EE0F35" w:rsidRDefault="00740283" w:rsidP="00CC7D22">
      <w:pPr>
        <w:tabs>
          <w:tab w:val="left" w:pos="7005"/>
        </w:tabs>
        <w:jc w:val="both"/>
        <w:rPr>
          <w:rFonts w:eastAsia="Arial Unicode MS" w:cs="Arial Unicode MS"/>
          <w:i/>
          <w:iCs/>
          <w:sz w:val="28"/>
          <w:szCs w:val="28"/>
        </w:rPr>
      </w:pPr>
      <w:r>
        <w:rPr>
          <w:rFonts w:eastAsia="Arial Unicode MS" w:cs="Arial Unicode MS"/>
          <w:bCs/>
          <w:i/>
          <w:iCs/>
          <w:sz w:val="28"/>
          <w:szCs w:val="28"/>
          <w:lang w:val="es-CO"/>
        </w:rPr>
        <w:t>Universidad Iberoamericana</w:t>
      </w:r>
      <w:r w:rsidRPr="00740283">
        <w:rPr>
          <w:rFonts w:eastAsia="Arial Unicode MS" w:cs="Arial Unicode MS"/>
          <w:bCs/>
          <w:i/>
          <w:iCs/>
          <w:sz w:val="28"/>
          <w:szCs w:val="28"/>
          <w:lang w:val="es-CO"/>
        </w:rPr>
        <w:t>, Santo Domingo, República Dominicana</w:t>
      </w:r>
      <w:r w:rsidR="00EE0F35" w:rsidRPr="00EE0F35">
        <w:rPr>
          <w:rFonts w:eastAsia="Arial Unicode MS" w:cs="Arial Unicode MS"/>
          <w:bCs/>
          <w:i/>
          <w:iCs/>
          <w:sz w:val="28"/>
          <w:szCs w:val="28"/>
        </w:rPr>
        <w:t>.</w:t>
      </w:r>
    </w:p>
    <w:p w14:paraId="540F2DB5" w14:textId="3394557E" w:rsidR="004E5581" w:rsidRPr="00EE0F35" w:rsidRDefault="004E5581" w:rsidP="00CC7D22">
      <w:pPr>
        <w:tabs>
          <w:tab w:val="left" w:pos="7005"/>
        </w:tabs>
        <w:jc w:val="both"/>
        <w:rPr>
          <w:rFonts w:eastAsia="Arial Unicode MS" w:cs="Arial Unicode MS"/>
          <w:i/>
          <w:iCs/>
          <w:sz w:val="28"/>
          <w:szCs w:val="28"/>
        </w:rPr>
      </w:pPr>
    </w:p>
    <w:p w14:paraId="0F81A079" w14:textId="68E6A4D4" w:rsidR="000928CA" w:rsidRPr="00EE0F35" w:rsidRDefault="001C4E1C" w:rsidP="00075F71">
      <w:pPr>
        <w:rPr>
          <w:rFonts w:ascii="Times" w:hAnsi="Times"/>
          <w:i/>
          <w:sz w:val="28"/>
          <w:szCs w:val="28"/>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EE0F35" w:rsidRDefault="00A95630" w:rsidP="008B5E31">
      <w:pPr>
        <w:rPr>
          <w:bCs/>
          <w:iCs/>
          <w:sz w:val="20"/>
          <w:szCs w:val="20"/>
        </w:rPr>
      </w:pPr>
    </w:p>
    <w:p w14:paraId="60C74093" w14:textId="706D0DA7" w:rsidR="00C413D4" w:rsidRPr="0019293F" w:rsidRDefault="00E272F5" w:rsidP="00686DA9">
      <w:pPr>
        <w:pStyle w:val="TtuloResumen"/>
        <w:rPr>
          <w:lang w:val="es-AR"/>
        </w:rPr>
      </w:pPr>
      <w:r w:rsidRPr="0019293F">
        <w:rPr>
          <w:lang w:val="es-AR"/>
        </w:rPr>
        <w:t>Resum</w:t>
      </w:r>
      <w:r w:rsidR="0019293F" w:rsidRPr="0019293F">
        <w:rPr>
          <w:lang w:val="es-AR"/>
        </w:rPr>
        <w:t>en</w:t>
      </w:r>
    </w:p>
    <w:p w14:paraId="789E499C" w14:textId="77777777" w:rsidR="007249B2" w:rsidRPr="007249B2" w:rsidRDefault="007249B2" w:rsidP="007249B2">
      <w:pPr>
        <w:pStyle w:val="Resumen"/>
        <w:rPr>
          <w:bCs/>
          <w:lang w:val="es-DO"/>
        </w:rPr>
      </w:pPr>
      <w:r w:rsidRPr="007249B2">
        <w:rPr>
          <w:b/>
          <w:bCs/>
          <w:lang w:val="es-DO"/>
        </w:rPr>
        <w:t>Introducción:</w:t>
      </w:r>
      <w:r w:rsidRPr="007249B2">
        <w:rPr>
          <w:bCs/>
          <w:lang w:val="es-DO"/>
        </w:rPr>
        <w:t xml:space="preserve"> La cibercondría es un ciclo compulsivo de búsqueda de información médica que, en vez de satisfacer la necesidad de información, aumenta la ansiedad. </w:t>
      </w:r>
      <w:r w:rsidRPr="007249B2">
        <w:rPr>
          <w:b/>
          <w:bCs/>
          <w:lang w:val="es-DO"/>
        </w:rPr>
        <w:t>Objetivo:</w:t>
      </w:r>
      <w:r w:rsidRPr="007249B2">
        <w:rPr>
          <w:bCs/>
          <w:lang w:val="es-DO"/>
        </w:rPr>
        <w:t xml:space="preserve"> Esta investigación transversal exploró cómo influye la ansiedad por salud, la ansiedad rasgo y la ansiedad estado en la cibercondría en jóvenes dominicanos durante la pandemia del COVID-19. Investigamos las diferencias en estas variables entre las personas que se consideran en riesgo de complicaciones por COVID-19 y las que no. </w:t>
      </w:r>
      <w:r w:rsidRPr="007249B2">
        <w:rPr>
          <w:b/>
          <w:bCs/>
          <w:lang w:val="es-DO"/>
        </w:rPr>
        <w:t>Método:</w:t>
      </w:r>
      <w:r w:rsidRPr="007249B2">
        <w:rPr>
          <w:bCs/>
          <w:lang w:val="es-DO"/>
        </w:rPr>
        <w:t xml:space="preserve"> 87 participantes contestaron un cuadernillo en línea: Información sociodemográfica; Inventario de Ansiedad </w:t>
      </w:r>
    </w:p>
    <w:p w14:paraId="6B7AE905" w14:textId="77777777" w:rsidR="007249B2" w:rsidRPr="007249B2" w:rsidRDefault="007249B2" w:rsidP="007249B2">
      <w:pPr>
        <w:pStyle w:val="Resumen"/>
        <w:rPr>
          <w:bCs/>
          <w:lang w:val="es-DO"/>
        </w:rPr>
      </w:pPr>
      <w:r w:rsidRPr="007249B2">
        <w:rPr>
          <w:bCs/>
          <w:lang w:val="es-DO"/>
        </w:rPr>
        <w:t xml:space="preserve">Estado-Rasgo (STAI); Breve Inventario de Ansiedad por Salud (SHAI); Versión corta de la Escala de Gravedad de la Cibercondría (CSS-12). </w:t>
      </w:r>
      <w:r w:rsidRPr="007249B2">
        <w:rPr>
          <w:b/>
          <w:bCs/>
          <w:lang w:val="es-DO"/>
        </w:rPr>
        <w:t>Resultados:</w:t>
      </w:r>
      <w:r w:rsidRPr="007249B2">
        <w:rPr>
          <w:bCs/>
          <w:lang w:val="es-DO"/>
        </w:rPr>
        <w:t xml:space="preserve"> Una regresión múltiple con selección </w:t>
      </w:r>
      <w:r w:rsidRPr="007249B2">
        <w:rPr>
          <w:bCs/>
          <w:i/>
          <w:iCs/>
          <w:lang w:val="es-DO"/>
        </w:rPr>
        <w:t xml:space="preserve">forward </w:t>
      </w:r>
      <w:r w:rsidRPr="007249B2">
        <w:rPr>
          <w:bCs/>
          <w:lang w:val="es-DO"/>
        </w:rPr>
        <w:t>encontró que el modelo de mejor ajuste de cibercondría seleccionó dos predictores: ansiedad por salud (</w:t>
      </w:r>
      <w:r w:rsidRPr="007249B2">
        <w:rPr>
          <w:bCs/>
          <w:i/>
          <w:iCs/>
          <w:lang w:val="es-ES"/>
        </w:rPr>
        <w:t xml:space="preserve">β </w:t>
      </w:r>
      <w:r w:rsidRPr="007249B2">
        <w:rPr>
          <w:bCs/>
          <w:lang w:val="es-ES"/>
        </w:rPr>
        <w:t xml:space="preserve">= .38, </w:t>
      </w:r>
      <w:r w:rsidRPr="007249B2">
        <w:rPr>
          <w:bCs/>
          <w:i/>
          <w:iCs/>
          <w:lang w:val="es-ES"/>
        </w:rPr>
        <w:t xml:space="preserve">p </w:t>
      </w:r>
      <w:r w:rsidRPr="007249B2">
        <w:rPr>
          <w:bCs/>
          <w:lang w:val="es-ES"/>
        </w:rPr>
        <w:t>&lt; .001</w:t>
      </w:r>
      <w:r w:rsidRPr="007249B2">
        <w:rPr>
          <w:bCs/>
          <w:lang w:val="es-DO"/>
        </w:rPr>
        <w:t>) y ansiedad rasgo (</w:t>
      </w:r>
      <w:r w:rsidRPr="007249B2">
        <w:rPr>
          <w:bCs/>
          <w:i/>
          <w:iCs/>
          <w:lang w:val="es-ES"/>
        </w:rPr>
        <w:t xml:space="preserve">β </w:t>
      </w:r>
      <w:r w:rsidRPr="007249B2">
        <w:rPr>
          <w:bCs/>
          <w:lang w:val="es-ES"/>
        </w:rPr>
        <w:t xml:space="preserve">= .28, </w:t>
      </w:r>
      <w:r w:rsidRPr="007249B2">
        <w:rPr>
          <w:bCs/>
          <w:i/>
          <w:iCs/>
          <w:lang w:val="es-ES"/>
        </w:rPr>
        <w:t xml:space="preserve">p </w:t>
      </w:r>
      <w:r w:rsidRPr="007249B2">
        <w:rPr>
          <w:bCs/>
          <w:lang w:val="es-ES"/>
        </w:rPr>
        <w:t>= .004</w:t>
      </w:r>
      <w:r w:rsidRPr="007249B2">
        <w:rPr>
          <w:bCs/>
          <w:lang w:val="es-DO"/>
        </w:rPr>
        <w:t>), explicando el 25% de la varianza (</w:t>
      </w:r>
      <w:r w:rsidRPr="007249B2">
        <w:rPr>
          <w:bCs/>
          <w:i/>
          <w:iCs/>
          <w:lang w:val="es-DO"/>
        </w:rPr>
        <w:t>p</w:t>
      </w:r>
      <w:r w:rsidRPr="007249B2">
        <w:rPr>
          <w:bCs/>
          <w:lang w:val="es-DO"/>
        </w:rPr>
        <w:t xml:space="preserve"> &lt; .001). Las personas en riesgo de complicaciones por COVID-19 son 4.77 veces más propensos a cumplir criterios diagnósticos de hipocondriasis que quienes no están en riesgo. </w:t>
      </w:r>
      <w:r w:rsidRPr="007249B2">
        <w:rPr>
          <w:b/>
          <w:bCs/>
          <w:lang w:val="es-DO"/>
        </w:rPr>
        <w:t>Discusión y conclusión:</w:t>
      </w:r>
      <w:r w:rsidRPr="007249B2">
        <w:rPr>
          <w:bCs/>
          <w:lang w:val="es-DO"/>
        </w:rPr>
        <w:t xml:space="preserve"> Los niveles altos de ansiedad por salud y ansiedad rasgo se asocian a la cibercondría e hipocondriasis, específicamente en personas en riesgo de complicaciones por COVID-19, representando una amenaza para la salud pública que debe intervenirse para moderar su impacto social y económico.</w:t>
      </w:r>
    </w:p>
    <w:p w14:paraId="66A4581F" w14:textId="77777777" w:rsidR="000A7BB5" w:rsidRDefault="000A7BB5" w:rsidP="00B87BAC">
      <w:pPr>
        <w:pStyle w:val="Ttulodepalabrasclave"/>
        <w:rPr>
          <w:lang w:val="es-AR"/>
        </w:rPr>
      </w:pPr>
    </w:p>
    <w:p w14:paraId="7E377265" w14:textId="548E000A" w:rsidR="001006DE" w:rsidRPr="006E0173" w:rsidRDefault="00B5244C" w:rsidP="00B87BAC">
      <w:pPr>
        <w:pStyle w:val="Ttulodepalabrasclave"/>
        <w:rPr>
          <w:lang w:val="es-AR"/>
        </w:rPr>
      </w:pPr>
      <w:r w:rsidRPr="006E0173">
        <w:rPr>
          <w:lang w:val="es-AR"/>
        </w:rPr>
        <w:t>Palabras Clave</w:t>
      </w:r>
    </w:p>
    <w:p w14:paraId="55488448" w14:textId="44BF042B" w:rsidR="007249B2" w:rsidRPr="007249B2" w:rsidRDefault="007249B2" w:rsidP="007249B2">
      <w:pPr>
        <w:rPr>
          <w:bCs/>
          <w:iCs/>
          <w:sz w:val="20"/>
          <w:szCs w:val="20"/>
          <w:lang w:val="es-DO"/>
        </w:rPr>
      </w:pPr>
      <w:r>
        <w:rPr>
          <w:bCs/>
          <w:iCs/>
          <w:sz w:val="20"/>
          <w:szCs w:val="20"/>
          <w:lang w:val="es-DO"/>
        </w:rPr>
        <w:t>a</w:t>
      </w:r>
      <w:r w:rsidRPr="007249B2">
        <w:rPr>
          <w:bCs/>
          <w:iCs/>
          <w:sz w:val="20"/>
          <w:szCs w:val="20"/>
          <w:lang w:val="es-DO"/>
        </w:rPr>
        <w:t>nsiedad, ansiedad por salud, hipocondriasis, cibercondría, COVID-19</w:t>
      </w:r>
    </w:p>
    <w:p w14:paraId="5883BB39" w14:textId="77777777" w:rsidR="008547C7" w:rsidRPr="0019293F" w:rsidRDefault="008547C7" w:rsidP="00F07D24">
      <w:pPr>
        <w:rPr>
          <w:bCs/>
          <w:iCs/>
          <w:sz w:val="20"/>
          <w:szCs w:val="20"/>
        </w:rPr>
      </w:pPr>
    </w:p>
    <w:p w14:paraId="1BF37552" w14:textId="54B04343" w:rsidR="002D6B30" w:rsidRPr="00187899" w:rsidRDefault="00DF29D2" w:rsidP="002D6B30">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6"/>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272F5" w:rsidRPr="00187899">
        <w:rPr>
          <w:lang w:val="en-US"/>
        </w:rPr>
        <w:t>Abstract</w:t>
      </w:r>
    </w:p>
    <w:p w14:paraId="65E89737" w14:textId="3023B20F" w:rsidR="002D6B30" w:rsidRPr="00BF6737" w:rsidRDefault="007249B2" w:rsidP="002D6B30">
      <w:pPr>
        <w:pStyle w:val="Resumen"/>
      </w:pPr>
      <w:r w:rsidRPr="007249B2">
        <w:rPr>
          <w:b/>
          <w:bCs/>
          <w:iCs/>
        </w:rPr>
        <w:t xml:space="preserve">Introduction: </w:t>
      </w:r>
      <w:r w:rsidRPr="007249B2">
        <w:rPr>
          <w:bCs/>
          <w:iCs/>
        </w:rPr>
        <w:t xml:space="preserve">Cyberchondria is a compulsive cycle of seeking medical information that, instead of satisfying the need for information, increases anxiety. </w:t>
      </w:r>
      <w:r w:rsidRPr="007249B2">
        <w:rPr>
          <w:b/>
          <w:bCs/>
          <w:iCs/>
        </w:rPr>
        <w:t>Objective:</w:t>
      </w:r>
      <w:r w:rsidRPr="007249B2">
        <w:rPr>
          <w:bCs/>
          <w:iCs/>
        </w:rPr>
        <w:t xml:space="preserve"> This cross-sectional study explored how health anxiety, trait anxiety, and state anxiety impact the levels of cyberchondria in young Dominicans during the COVID-19 pandemic. We investigated the differences between people who are considered to be at risk for complications from COVID-19 and those who are not in these variables. </w:t>
      </w:r>
      <w:r w:rsidRPr="007249B2">
        <w:rPr>
          <w:b/>
          <w:bCs/>
          <w:iCs/>
        </w:rPr>
        <w:t>Method:</w:t>
      </w:r>
      <w:r w:rsidRPr="007249B2">
        <w:rPr>
          <w:bCs/>
          <w:iCs/>
        </w:rPr>
        <w:t xml:space="preserve"> 87 participants answered an online booklet: A sociodemographic section; State-trait anxiety questionnaire (STAI); Brief Health Anxiety Inventory (SHAI); Short version of the Cyberchondria severity scale (CSS-12). </w:t>
      </w:r>
      <w:r w:rsidRPr="007249B2">
        <w:rPr>
          <w:b/>
          <w:bCs/>
          <w:iCs/>
        </w:rPr>
        <w:t>Results:</w:t>
      </w:r>
      <w:r w:rsidRPr="007249B2">
        <w:rPr>
          <w:bCs/>
          <w:iCs/>
        </w:rPr>
        <w:t xml:space="preserve"> A multiple regression analysis with forward selection found that the best fit model of cyberchondria selected two predictors: health anxiety (</w:t>
      </w:r>
      <w:r w:rsidRPr="007249B2">
        <w:rPr>
          <w:bCs/>
          <w:iCs/>
          <w:lang w:val="es-AR"/>
        </w:rPr>
        <w:t>β</w:t>
      </w:r>
      <w:r w:rsidRPr="007249B2">
        <w:rPr>
          <w:bCs/>
          <w:iCs/>
        </w:rPr>
        <w:t xml:space="preserve"> = .38, </w:t>
      </w:r>
      <w:r w:rsidRPr="007249B2">
        <w:rPr>
          <w:bCs/>
          <w:i/>
          <w:iCs/>
        </w:rPr>
        <w:t>p</w:t>
      </w:r>
      <w:r w:rsidRPr="007249B2">
        <w:rPr>
          <w:bCs/>
          <w:iCs/>
        </w:rPr>
        <w:t xml:space="preserve"> &lt; .001) and trait anxiety (</w:t>
      </w:r>
      <w:r w:rsidRPr="007249B2">
        <w:rPr>
          <w:bCs/>
          <w:iCs/>
          <w:lang w:val="es-AR"/>
        </w:rPr>
        <w:t>β</w:t>
      </w:r>
      <w:r w:rsidRPr="007249B2">
        <w:rPr>
          <w:bCs/>
          <w:iCs/>
        </w:rPr>
        <w:t xml:space="preserve"> = .28, </w:t>
      </w:r>
      <w:r w:rsidRPr="007249B2">
        <w:rPr>
          <w:bCs/>
          <w:i/>
          <w:iCs/>
        </w:rPr>
        <w:t>p</w:t>
      </w:r>
      <w:r w:rsidRPr="007249B2">
        <w:rPr>
          <w:bCs/>
          <w:iCs/>
        </w:rPr>
        <w:t xml:space="preserve"> = .004), explaining 25% of the variance (</w:t>
      </w:r>
      <w:r w:rsidRPr="007249B2">
        <w:rPr>
          <w:bCs/>
          <w:i/>
          <w:iCs/>
        </w:rPr>
        <w:t>p</w:t>
      </w:r>
      <w:r w:rsidRPr="007249B2">
        <w:rPr>
          <w:bCs/>
          <w:iCs/>
        </w:rPr>
        <w:t xml:space="preserve"> &lt; .001). People who believe are at risk of complications from COVID-19 are 4.77 times more likely to meet diagnostic criteria for hypochondriasis than those who do not think that are at risk. </w:t>
      </w:r>
      <w:r w:rsidRPr="007249B2">
        <w:rPr>
          <w:b/>
          <w:bCs/>
          <w:iCs/>
        </w:rPr>
        <w:t xml:space="preserve">Discussion and conclusion: </w:t>
      </w:r>
      <w:r w:rsidRPr="007249B2">
        <w:rPr>
          <w:bCs/>
          <w:iCs/>
        </w:rPr>
        <w:t>High levels of health anxiety and trait anxiety is associated with cyberchondria and hypochondriasis, specifically in people at risk of complications from COVID-19, representing a threat to public health that must be intervened to moderate its social and economic impact</w:t>
      </w:r>
      <w:r w:rsidR="00BF6737" w:rsidRPr="00BF6737">
        <w:t>.</w:t>
      </w:r>
    </w:p>
    <w:p w14:paraId="26FDFD50" w14:textId="77777777" w:rsidR="002D6B30" w:rsidRPr="00E272F5" w:rsidRDefault="002D6B30" w:rsidP="002D6B30">
      <w:pPr>
        <w:pStyle w:val="Ttulodepalabrasclave"/>
      </w:pPr>
    </w:p>
    <w:p w14:paraId="79031265" w14:textId="10BE2C2F" w:rsidR="00B5244C" w:rsidRPr="00F07D24" w:rsidRDefault="00971421" w:rsidP="00B5244C">
      <w:pPr>
        <w:pStyle w:val="Ttulodepalabrasclave"/>
        <w:rPr>
          <w:lang w:val="en-GB"/>
        </w:rPr>
      </w:pPr>
      <w:r w:rsidRPr="00F07D24">
        <w:rPr>
          <w:lang w:val="en-GB"/>
        </w:rPr>
        <w:t>Keywords</w:t>
      </w:r>
    </w:p>
    <w:p w14:paraId="3792DCB8" w14:textId="7EB98F79" w:rsidR="002D6B30" w:rsidRPr="00E976E9" w:rsidRDefault="007249B2">
      <w:pPr>
        <w:rPr>
          <w:bCs/>
          <w:iCs/>
          <w:sz w:val="20"/>
          <w:szCs w:val="20"/>
          <w:lang w:val="en-US"/>
        </w:rPr>
      </w:pPr>
      <w:r>
        <w:rPr>
          <w:bCs/>
          <w:iCs/>
          <w:sz w:val="20"/>
          <w:szCs w:val="20"/>
          <w:lang w:val="en-US"/>
        </w:rPr>
        <w:t>a</w:t>
      </w:r>
      <w:r w:rsidRPr="007249B2">
        <w:rPr>
          <w:bCs/>
          <w:iCs/>
          <w:sz w:val="20"/>
          <w:szCs w:val="20"/>
          <w:lang w:val="en-US"/>
        </w:rPr>
        <w:t>nxiety, health anxiety, hypochondriasis, cyberchondria, COVID-19</w:t>
      </w:r>
      <w:r w:rsidR="002D6B30" w:rsidRPr="00E976E9">
        <w:rPr>
          <w:bCs/>
          <w:iCs/>
          <w:sz w:val="20"/>
          <w:szCs w:val="20"/>
          <w:lang w:val="en-US"/>
        </w:rPr>
        <w:br w:type="page"/>
      </w:r>
    </w:p>
    <w:p w14:paraId="45D157E5" w14:textId="4FC44CDE" w:rsidR="00333677" w:rsidRPr="007249B2" w:rsidRDefault="007249B2" w:rsidP="00AE2924">
      <w:pPr>
        <w:pStyle w:val="Prrafocomn"/>
        <w:ind w:firstLine="0"/>
        <w:jc w:val="center"/>
        <w:rPr>
          <w:bCs/>
        </w:rPr>
      </w:pPr>
      <w:r w:rsidRPr="007249B2">
        <w:rPr>
          <w:bCs/>
        </w:rPr>
        <w:lastRenderedPageBreak/>
        <w:t xml:space="preserve">Cyberchondria during the COVID-19 pandemic: Its relationship with health anxiety, state anxiety and trait anxiety </w:t>
      </w:r>
    </w:p>
    <w:p w14:paraId="512A04F3" w14:textId="244646AD" w:rsidR="00333677" w:rsidRPr="006E0173" w:rsidRDefault="0019293F" w:rsidP="00F42476">
      <w:pPr>
        <w:pStyle w:val="Ttulosinternos"/>
        <w:rPr>
          <w:lang w:val="es-AR"/>
        </w:rPr>
      </w:pPr>
      <w:r w:rsidRPr="006E0173">
        <w:rPr>
          <w:lang w:val="es-AR"/>
        </w:rPr>
        <w:t>Introducción</w:t>
      </w:r>
    </w:p>
    <w:p w14:paraId="53F7196C" w14:textId="0939B5D5" w:rsidR="00C70CCB" w:rsidRPr="00C70CCB" w:rsidRDefault="00C70CCB" w:rsidP="00C70CCB">
      <w:pPr>
        <w:pStyle w:val="Prrafocomn"/>
        <w:spacing w:line="400" w:lineRule="exact"/>
        <w:rPr>
          <w:lang w:val="es-ES"/>
        </w:rPr>
      </w:pPr>
      <w:r w:rsidRPr="00C70CCB">
        <w:rPr>
          <w:lang w:val="es-DO"/>
        </w:rPr>
        <w:t xml:space="preserve">La cibercondría es la búsqueda compulsiva de información sobre temas médicos en internet, que, en vez de reducir el malestar psicológico que motivó esa búsqueda, lo exacerba </w:t>
      </w:r>
      <w:r w:rsidRPr="00C70CCB">
        <w:rPr>
          <w:lang w:val="es-DO"/>
        </w:rPr>
        <w:fldChar w:fldCharType="begin" w:fldLock="1"/>
      </w:r>
      <w:r w:rsidRPr="00C70CCB">
        <w:rPr>
          <w:lang w:val="es-DO"/>
        </w:rPr>
        <w:instrText>ADDIN CSL_CITATION {"citationItems":[{"id":"ITEM-1","itemData":{"DOI":"10.1586/ern.12.162","ISSN":"14737175","PMID":"23368807","abstract":"Looking for information about symptoms and illnesses on the Internet is common and often serves useful purposes. However, a number of people who are overly distressed or anxious about their health perform excessive or repeated health-related searches on the Internet, only to become more distressed or frightened - a pattern defined here as cyberchondria. This behavior, which can also be construed as a form of reassurance seeking and occurs as a manifestation of health anxiety and hypochondriasis, is the focus of this article. The antecedents of cyberchondria, factors that maintain it and its consequences are examined conceptually and in light of the relatively little research that has been performed so far. Managing cyberchondria poses a challenge, and several approaches as part of the treatment of health anxiety and hypochondriasis are described. The article makes suggestions for further research on cyberchondria. © 2013 2013 Expert Reviews Ltd.","author":[{"dropping-particle":"","family":"Starcevic","given":"Vladan","non-dropping-particle":"","parse-names":false,"suffix":""},{"dropping-particle":"","family":"Berle","given":"David","non-dropping-particle":"","parse-names":false,"suffix":""}],"container-title":"Expert Review of Neurotherapeutics","id":"ITEM-1","issue":"2","issued":{"date-parts":[["2013"]]},"note":"La cibercondría se define como la búsqueda constante de información de salud en páginas de internet con la intención de disminuir la ansiedad que produce un tema médico. No obstante, en vez de reducir la ansiedad, esta búsqueda la exacerba.\n\n\nLa cibercondría está conformado por un patrón de comportamientos resultado de la ansiedad por salud e hipocondriasisi.\n\nUna búsqueda excesiva de seguridad.","page":"205-213","title":"Cyberchondria: Towards a better understanding of excessive health-related Internet use","type":"article-journal","volume":"13"},"uris":["http://www.mendeley.com/documents/?uuid=5de5ff9e-021e-4880-9437-6ecd63980f7e"]}],"mendeley":{"formattedCitation":"(Starcevic &amp; Berle, 2013)","plainTextFormattedCitation":"(Starcevic &amp; Berle, 2013)","previouslyFormattedCitation":"(Starcevic &amp; Berle, 2013)"},"properties":{"noteIndex":0},"schema":"https://github.com/citation-style-language/schema/raw/master/csl-citation.json"}</w:instrText>
      </w:r>
      <w:r w:rsidRPr="00C70CCB">
        <w:rPr>
          <w:lang w:val="es-DO"/>
        </w:rPr>
        <w:fldChar w:fldCharType="separate"/>
      </w:r>
      <w:r w:rsidRPr="00C70CCB">
        <w:rPr>
          <w:lang w:val="es-DO"/>
        </w:rPr>
        <w:t>(Starcevic &amp; Berle, 2013)</w:t>
      </w:r>
      <w:r w:rsidRPr="00C70CCB">
        <w:rPr>
          <w:lang w:val="es-ES_tradnl"/>
        </w:rPr>
        <w:fldChar w:fldCharType="end"/>
      </w:r>
      <w:r w:rsidRPr="00C70CCB">
        <w:rPr>
          <w:lang w:val="es-DO"/>
        </w:rPr>
        <w:t xml:space="preserve">. Estos autores indican que la ansiedad aumenta cuando la búsqueda no satisface la necesidad de información. El aumento en la ansiedad provoca los siguientes posibles efectos: (1) que la persona evite búsquedas subsecuentes en internet; (2) que </w:t>
      </w:r>
      <w:r w:rsidRPr="00C70CCB">
        <w:rPr>
          <w:lang w:val="es-ES"/>
        </w:rPr>
        <w:t xml:space="preserve">inicie un círculo vicioso de búsquedas que aumenten la ansiedad, desencadenando en cibercondría.  </w:t>
      </w:r>
    </w:p>
    <w:p w14:paraId="49972AA9" w14:textId="77777777" w:rsidR="00C70CCB" w:rsidRPr="00C70CCB" w:rsidRDefault="00C70CCB" w:rsidP="00C70CCB">
      <w:pPr>
        <w:pStyle w:val="Prrafocomn"/>
        <w:spacing w:line="400" w:lineRule="exact"/>
        <w:rPr>
          <w:lang w:val="es-ES"/>
        </w:rPr>
      </w:pPr>
      <w:r w:rsidRPr="00C70CCB">
        <w:rPr>
          <w:lang w:val="es-ES"/>
        </w:rPr>
        <w:t xml:space="preserve">Diversos estudios encontraron relaciones entre la cibercondría y la ansiedad por salud </w:t>
      </w:r>
      <w:r w:rsidRPr="00C70CCB">
        <w:rPr>
          <w:lang w:val="es-ES"/>
        </w:rPr>
        <w:fldChar w:fldCharType="begin" w:fldLock="1"/>
      </w:r>
      <w:r w:rsidRPr="00C70CCB">
        <w:rPr>
          <w:lang w:val="es-ES"/>
        </w:rPr>
        <w:instrText>ADDIN CSL_CITATION {"citationItems":[{"id":"ITEM-1","itemData":{"DOI":"10.1007/s11126-019-09640-5","ISBN":"1112601909640","ISSN":"15736709","PMID":"31098922","abstract":"Cyberchondria denotes repeated online searches for health information that are associated with increasing levels of health anxiety. The aims of this study were to apply network analysis to investigate the extent to which cyberchondria is a distinct construct, ascertain which of the related constructs have the strongest relationships with cyberchondria and investigate whether some of the symptoms of cyberchondria are more central to the construct of cyberchondria. Questionnaires assessing the severity of cyberchondria, health anxiety, obsessive-compulsive disorder symptoms, intolerance of uncertainty, problematic Internet use, anxiety, depression and somatic symptoms were administered to 751 participants who searched for health information online during a previous 3-month period and were recruited from an online crowdsourcing platform. Network analyses were used to compute the networks, perform community detection tests and calculate centrality indices. Results suggest that cyberchondria is a relatively specific syndrome-like construct, distinct from all related constructs and consisting of interrelated symptoms. It has the strongest relationships with problematic Internet use and health anxiety. No symptom of cyberchondria emerged clearly as more central to the construct of cyberchondria. Future research should aim to deepen our understanding of cyberchondria and its links with psychopathology, especially its close relationship with problematic Internet use.","author":[{"dropping-particle":"","family":"Starcevic","given":"Vladan","non-dropping-particle":"","parse-names":false,"suffix":""},{"dropping-particle":"","family":"Baggio","given":"Stéphanie","non-dropping-particle":"","parse-names":false,"suffix":""},{"dropping-particle":"","family":"Berle","given":"David","non-dropping-particle":"","parse-names":false,"suffix":""},{"dropping-particle":"","family":"Khazaal","given":"Yasser","non-dropping-particle":"","parse-names":false,"suffix":""},{"dropping-particle":"","family":"Viswasam","given":"Kirupamani","non-dropping-particle":"","parse-names":false,"suffix":""}],"container-title":"Psychiatric Quarterly","id":"ITEM-1","issue":"3","issued":{"date-parts":[["2019"]]},"note":"Un análisis de redes mostró fuertes relaciones entre la cibercondria y la ansiedad de salud, así como la cibercondria y el uso problemático del internet. De igual forma, se encontraron relaciones débiles entre cibercondría y ansiedad, y cibercondría y depresión.","page":"491-505","publisher":"Psychiatric Quarterly","title":"Cyberchondria and its relationships with related constructs: A network analysis","type":"article-journal","volume":"90"},"uris":["http://www.mendeley.com/documents/?uuid=d8741c35-0b06-4ecf-be92-4921f071a56b"]},{"id":"ITEM-2","itemData":{"DOI":"10.1016/j.jad.2018.11.037","ISSN":"15732517","PMID":"30419526","abstract":"Background: Cyberchondria refers to an abnormal behavioral pattern in which excessive or repeated online searches for health-related information are distressing or anxiety-provoking. Health anxiety has been found to be associated with both online health information seeking and cyberchondria. The aims of the present systematic review and meta-analysis were to examine the magnitude of these associations and identify any moderator variables. Methods: A systematic literature search was performed across several databases (PsycINFO, PubMed, Embase) and reference lists of included studies. Results: Twenty studies were included across two independent meta-analyses, with 7373 participants. Random effects meta-analyses showed that there was a positive correlation between health anxiety and online health information seeking [r = 0.34, 95% CI (0.20, 0.48), p &lt;.0001], and between health anxiety and cyberchondria [r = 0.62, 95% CI (0.52, 0.71), p &lt;.0001]. A meta-regression indicated that the age of study participants [Q(1) = 4.58, p =.03] was partly responsible for the heterogeneity found for the relationship between health anxiety and cyberchondria. Limitations: The generalizability and validity of our findings are restricted by the methodological limitations of the primary studies, namely, an over-reliance on a single measure of cyberchondria, the Cyberchondria Severity Scale. Conclusions: Our review found a positive correlation between health anxiety and online health information seeking, and between health anxiety and cyberchondria. Further research should aim to explore the contexts for these associations as well as address the identified limitations of the extant literature.","author":[{"dropping-particle":"","family":"McMullan","given":"Ryan D.","non-dropping-particle":"","parse-names":false,"suffix":""},{"dropping-particle":"","family":"Berle","given":"David","non-dropping-particle":"","parse-names":false,"suffix":""},{"dropping-particle":"","family":"Arnáez","given":"Sandra","non-dropping-particle":"","parse-names":false,"suffix":""},{"dropping-particle":"","family":"Starcevic","given":"Vladan","non-dropping-particle":"","parse-names":false,"suffix":""}],"container-title":"Journal of Affective Disorders","id":"ITEM-2","issued":{"date-parts":[["2019"]]},"note":"Melody: Cuidar acentos, errores ortográficos. No utilizar acrónimos. Este estudio tes importante para su investigación por sus hallazgos no por compartir la misma variable de estudio.\n\nLa presente revision de la literatura se realizo para examinar los datos existentes sobre la relacion existente entre la AE y la busquedas por internet, la cybercondria y potenciales fuentes e indicadores de estos trastornos. Para esto, los investigadores determinaron que solo los articulos de observacion o experimentales que trataban los temas a investigar serian admitidos en la revision, asi como tambien la publicacion de los mismos en revistas indexadas e idioma ingles. Para el control de calidad se exigieron un total de 19 criterios. El estudio encontro cierta relacion entre AE y busquedas por internet asi como la certeza de que uno de los principales predictores de la busqueda de informacion sobre la salud esta relacionada con la experiencia de AE. Este estudio es relevante para nuestra investigacion ya que aborda las variables AE, Cybercondria las cuales son de nuestro interes, asi como tambien el aporte de datos utiles. En nuestro estudio, dichas variables serán correlacionadas con covid-19.","page":"270-278","title":"The relationships between health anxiety, online health information seeking, and cyberchondria: Systematic review and meta-analysis","type":"article-journal","volume":"245"},"uris":["http://www.mendeley.com/documents/?uuid=f877f970-1917-411b-a67f-77cc80628e4b"]}],"mendeley":{"formattedCitation":"(McMullan et al., 2019; Starcevic et al., 2019)","plainTextFormattedCitation":"(McMullan et al., 2019; Starcevic et al., 2019)","previouslyFormattedCitation":"(McMullan et al., 2019; Starcevic et al., 2019)"},"properties":{"noteIndex":0},"schema":"https://github.com/citation-style-language/schema/raw/master/csl-citation.json"}</w:instrText>
      </w:r>
      <w:r w:rsidRPr="00C70CCB">
        <w:rPr>
          <w:lang w:val="es-ES"/>
        </w:rPr>
        <w:fldChar w:fldCharType="separate"/>
      </w:r>
      <w:r w:rsidRPr="00C70CCB">
        <w:rPr>
          <w:lang w:val="es-ES"/>
        </w:rPr>
        <w:t>(McMullan et al., 2019; Starcevic et al., 2019)</w:t>
      </w:r>
      <w:r w:rsidRPr="00C70CCB">
        <w:rPr>
          <w:lang w:val="es-ES_tradnl"/>
        </w:rPr>
        <w:fldChar w:fldCharType="end"/>
      </w:r>
      <w:r w:rsidRPr="00C70CCB">
        <w:rPr>
          <w:lang w:val="es-ES"/>
        </w:rPr>
        <w:t xml:space="preserve">. La ansiedad por salud es una preocupación, tensión y aprensión ante una amenaza percibida hacia la salud, que en niveles patológicos se denomina hipocondriasis  </w:t>
      </w:r>
      <w:r w:rsidRPr="00C70CCB">
        <w:rPr>
          <w:lang w:val="es-ES"/>
        </w:rPr>
        <w:fldChar w:fldCharType="begin" w:fldLock="1"/>
      </w:r>
      <w:r w:rsidRPr="00C70CCB">
        <w:rPr>
          <w:lang w:val="es-ES"/>
        </w:rPr>
        <w:instrText>ADDIN CSL_CITATION {"citationItems":[{"id":"ITEM-1","itemData":{"DOI":"10.1016/j.janxdis.2012.10.009","ISSN":"08876185","PMID":"23247202","abstract":"Introduction: The Short Health Anxiety Inventory (SHAI) measures health anxiety in medical and non-medical contexts. Objective: To review the literature pertaining to the psychometric properties of the SHAI in non-clinical, clinical, and medical samples. Meta-analysis was also conducted to examine the strength of associations between the SHAI and other constructs. Methods: Direct search of digital databases for papers that cited the original SHAI publication. Results: Seventy-eight papers were identified, with 42 providing relevant information. The SHAI has acceptable Cronbach's alpha scores, strong construct validity, and is sensitive to treatment. Discrepancies have been observed between the findings of factor analytic studies, largely as a result of varying methods used. Overall, there appears to be greatest support for the original two factors, with one factor assessing health anxiety and one factor assessing negative consequences of illness. As expected, individuals with hypochondriasis score higher as compared to non-clinical samples. The strongest association was observed between the SHAI and other measures of health anxiety, followed by measures related to health anxiety vulnerability, and then general anxiety and worry. Conclusions: The SHAI is a psychometrically sound tool for assessing health anxiety across samples. Future studies are needed, however, to assess test-retest reliability, incremental validity, and cut-off scores as well as use of the SHAI among diverse samples. © 2012 Elsevier Ltd.","author":[{"dropping-particle":"","family":"Alberts","given":"Nicole M.","non-dropping-particle":"","parse-names":false,"suffix":""},{"dropping-particle":"","family":"Hadjistavropoulos","given":"Heather D.","non-dropping-particle":"","parse-names":false,"suffix":""},{"dropping-particle":"","family":"Jones","given":"Shannon L.","non-dropping-particle":"","parse-names":false,"suffix":""},{"dropping-particle":"","family":"Sharpe","given":"Donald","non-dropping-particle":"","parse-names":false,"suffix":""}],"container-title":"Journal of Anxiety Disorders","id":"ITEM-1","issue":"1","issued":{"date-parts":[["2013"]]},"page":"68-78","publisher":"Elsevier Ltd","title":"The Short Health Anxiety Inventory: A systematic review and meta-analysis","type":"article-journal","volume":"27"},"uris":["http://www.mendeley.com/documents/?uuid=dc2243cc-a696-4ae0-8d6a-b01ac678a34b"]},{"id":"ITEM-2","itemData":{"DOI":"10.1016/j.ijchp.2019.05.003","ISSN":"16972600","abstract":"Background/Objective: The Short Health Anxiety Inventory (SHAI) is a widely used self-report instrument to evaluate health anxiety. To assess the SHAI's factor structure, psychometric properties, and accuracy in differentiating Spanish non-clinical individuals from patients with severe health anxiety or hypochondriasis. Method: A total of 342 community participants (61.6% women; Mage = 34.60, SD = 14.91) and 31 hypochondriacal patients (51.6% women; Mage = 32.74, SD = 9.69) completed the SHAI and other self-reports assessing symptoms of hypochondriasis, depression, anxiety sensitivity, worry, and obsessive-compulsive. Results: The original two-factor structure was selected as the best structure, based on its parsimony and empirical support (Factor 1: Illness likelihood; Factor 2: Negative consequences of illness). Moreover, the Spanish version of the SHAI demonstrated good construct and concurrent and discriminant validity, and internal consistency. A cutoff of 40.5 (total score) accurately distinguished non-clinical individuals from patients with severe health anxiety or hypochondriasis. Conclusions: The SHAI is an adequate screening instrument to measure health anxiety in Spanish-speaking community adults.","author":[{"dropping-particle":"","family":"Arnáez","given":"Sandra","non-dropping-particle":"","parse-names":false,"suffix":""},{"dropping-particle":"","family":"García-Soriano","given":"Gemma","non-dropping-particle":"","parse-names":false,"suffix":""},{"dropping-particle":"","family":"López-Santiago","given":"Jose","non-dropping-particle":"","parse-names":false,"suffix":""},{"dropping-particle":"","family":"Belloch","given":"Amparo","non-dropping-particle":"","parse-names":false,"suffix":""}],"container-title":"International Journal of Clinical and Health Psychology","id":"ITEM-2","issue":"3","issued":{"date-parts":[["2019"]]},"note":"Melody: Faltan los acentos. Este estudio es IMPORTANTE para ustedes porque es la validación en español de uno de los instrumentos que van a utilizar.\n\nEl proposito del presente estudio fue evaluar la validez del Test para medir niveles de ansiedad SHAI en poblacion de habla Hispana. Para esto, los investigadores utilizaron una muestra de dos grupos conformadas por un grupo de 342 participantes y el segundo grupo de 31 personas con diagnosticos hipocondriacos segun el DSM-IV. El estudio encontro una buena consistencia interna de la version en español del SHAI y los pacientes con diagnostico hypocondriaco obtenian mayores puntuaciones en el mismo. Este estudio es relevante para nuestra investigacion debido a que ofrece informacion fiable sobre un instrumento que mide variables las cuales vamos a correlacionar en nuestro estudio, como es la ansiedad y la hipocondria. En nuestro estudio, estas variables seran correlacionadas con el covid-19","page":"251-260","publisher":"Asociación Española de Psicología Conductual","title":"The Spanish validation of the Short Health Anxiety Inventory: Psychometric properties and clinical utility","type":"article-journal","volume":"19"},"uris":["http://www.mendeley.com/documents/?uuid=b0f831be-cc77-447d-902a-ac35259ca26c"]}],"mendeley":{"formattedCitation":"(Alberts et al., 2013; Arnáez et al., 2019)","plainTextFormattedCitation":"(Alberts et al., 2013; Arnáez et al., 2019)","previouslyFormattedCitation":"(Alberts et al., 2013; Arnáez et al., 2019)"},"properties":{"noteIndex":0},"schema":"https://github.com/citation-style-language/schema/raw/master/csl-citation.json"}</w:instrText>
      </w:r>
      <w:r w:rsidRPr="00C70CCB">
        <w:rPr>
          <w:lang w:val="es-ES"/>
        </w:rPr>
        <w:fldChar w:fldCharType="separate"/>
      </w:r>
      <w:r w:rsidRPr="00C70CCB">
        <w:rPr>
          <w:lang w:val="es-ES"/>
        </w:rPr>
        <w:t>(Alberts et al., 2013; Arnáez et al., 2019)</w:t>
      </w:r>
      <w:r w:rsidRPr="00C70CCB">
        <w:rPr>
          <w:lang w:val="es-ES_tradnl"/>
        </w:rPr>
        <w:fldChar w:fldCharType="end"/>
      </w:r>
      <w:r w:rsidRPr="00C70CCB">
        <w:rPr>
          <w:lang w:val="es-ES"/>
        </w:rPr>
        <w:t xml:space="preserve">, también conocida como trastorno de síntomas somáticos y ansiedad por enfermedad </w:t>
      </w:r>
      <w:r w:rsidRPr="00C70CCB">
        <w:rPr>
          <w:lang w:val="es-ES"/>
        </w:rPr>
        <w:fldChar w:fldCharType="begin" w:fldLock="1"/>
      </w:r>
      <w:r w:rsidRPr="00C70CCB">
        <w:rPr>
          <w:lang w:val="es-ES"/>
        </w:rPr>
        <w:instrText>ADDIN CSL_CITATION {"citationItems":[{"id":"ITEM-1","itemData":{"abstract":"(2013). (5th ed.). Arlington, VA: Author.","author":[{"dropping-particle":"","family":"American Psychiatric Association","given":"","non-dropping-particle":"","parse-names":false,"suffix":""}],"edition":"5th ed.","id":"ITEM-1","issued":{"date-parts":[["2013"]]},"publisher":"Author","publisher-place":"Arlington, VA","title":"Diagnostic and statistical manual of mental disorders","type":"book"},"uris":["http://www.mendeley.com/documents/?uuid=61d600a0-a45d-4e4b-bfc1-a5aab46929cf"]}],"mendeley":{"formattedCitation":"(American Psychiatric Association, 2013)","plainTextFormattedCitation":"(American Psychiatric Association, 2013)","previouslyFormattedCitation":"(American Psychiatric Association, 2013)"},"properties":{"noteIndex":0},"schema":"https://github.com/citation-style-language/schema/raw/master/csl-citation.json"}</w:instrText>
      </w:r>
      <w:r w:rsidRPr="00C70CCB">
        <w:rPr>
          <w:lang w:val="es-ES"/>
        </w:rPr>
        <w:fldChar w:fldCharType="separate"/>
      </w:r>
      <w:r w:rsidRPr="00C70CCB">
        <w:rPr>
          <w:lang w:val="es-ES"/>
        </w:rPr>
        <w:t>(American Psychiatric Association, 2013)</w:t>
      </w:r>
      <w:r w:rsidRPr="00C70CCB">
        <w:rPr>
          <w:lang w:val="es-ES_tradnl"/>
        </w:rPr>
        <w:fldChar w:fldCharType="end"/>
      </w:r>
      <w:r w:rsidRPr="00C70CCB">
        <w:rPr>
          <w:lang w:val="es-ES"/>
        </w:rPr>
        <w:t xml:space="preserve">. </w:t>
      </w:r>
      <w:r w:rsidRPr="00C70CCB">
        <w:rPr>
          <w:lang w:val="es-DO"/>
        </w:rPr>
        <w:t xml:space="preserve">Según </w:t>
      </w:r>
      <w:r w:rsidRPr="00C70CCB">
        <w:rPr>
          <w:lang w:val="es-DO"/>
        </w:rPr>
        <w:fldChar w:fldCharType="begin" w:fldLock="1"/>
      </w:r>
      <w:r w:rsidRPr="00C70CCB">
        <w:rPr>
          <w:lang w:val="es-DO"/>
        </w:rPr>
        <w:instrText>ADDIN CSL_CITATION {"citationItems":[{"id":"ITEM-1","itemData":{"DOI":"10.1146/annurev.clinpsy.121208.131505","ISSN":"15485943","PMID":"20192784","abstract":"Medically unexplained symptoms are the defining feature of somatoform disorders (SFD) as currently included in Diagnostic and Statistical Manual of Mental Disorders, Fourth Edition, and the International Classification of Diseases, Tenth Edition. Cognitive, behavioral, biological, and social variables are important to our understanding of SFD. Research in the past decade has highlighted the central role of (a) prolonged attention allocation to bodily sensations, (b) the dysfunctional role of catastrophizing symptoms as signs of severe illness, (c) neuroendocrine alterations, and (d) the influence of illness behavior (e.g., the avoidance of physical activity) on the maintenance and chronicity of SFD. Additionally, conditioning approaches have demonstrated that perceiving somatic discomfort can easily be learned. In addition to current models of etiology and pathogenesis, the existing evidence on the efficacy and effectiveness of psychotherapy for SFD is reviewed. Finally, future directions and some current blind spots in research on SFD are outlined. Copyright © 2010 by Annual Reviews. All rights reserved.","author":[{"dropping-particle":"","family":"Witthöft","given":"Michael","non-dropping-particle":"","parse-names":false,"suffix":""},{"dropping-particle":"","family":"Hiller","given":"Wolfgang","non-dropping-particle":"","parse-names":false,"suffix":""}],"container-title":"Annual Review of Clinical Psychology","id":"ITEM-1","issue":"February","issued":{"date-parts":[["2010"]]},"page":"257-283","title":"Psychological approaches to origins and treatments of somatoform disorders","type":"article-journal","volume":"6"},"uris":["http://www.mendeley.com/documents/?uuid=039a93ab-5338-4966-b7f8-ff073b0ce703"]}],"mendeley":{"formattedCitation":"(Witthöft &amp; Hiller, 2010)","manualFormatting":"Witthöft y Hiller (2010)","plainTextFormattedCitation":"(Witthöft &amp; Hiller, 2010)","previouslyFormattedCitation":"(Witthöft &amp; Hiller, 2010)"},"properties":{"noteIndex":0},"schema":"https://github.com/citation-style-language/schema/raw/master/csl-citation.json"}</w:instrText>
      </w:r>
      <w:r w:rsidRPr="00C70CCB">
        <w:rPr>
          <w:lang w:val="es-DO"/>
        </w:rPr>
        <w:fldChar w:fldCharType="separate"/>
      </w:r>
      <w:r w:rsidRPr="00C70CCB">
        <w:rPr>
          <w:lang w:val="es-DO"/>
        </w:rPr>
        <w:t>Witthöft y Hiller (2010)</w:t>
      </w:r>
      <w:r w:rsidRPr="00C70CCB">
        <w:rPr>
          <w:lang w:val="es-ES_tradnl"/>
        </w:rPr>
        <w:fldChar w:fldCharType="end"/>
      </w:r>
      <w:r w:rsidRPr="00C70CCB">
        <w:rPr>
          <w:lang w:val="es-DO"/>
        </w:rPr>
        <w:t xml:space="preserve"> existen dos factores que predisponen a las personas a enfermedades somáticas e hipocondriasis: (1) los niveles de ansiedad </w:t>
      </w:r>
      <w:r w:rsidRPr="00C70CCB">
        <w:rPr>
          <w:lang w:val="es-ES_tradnl"/>
        </w:rPr>
        <w:t>por tener una enfermedad médica no diagnosticada</w:t>
      </w:r>
      <w:r w:rsidRPr="00C70CCB">
        <w:rPr>
          <w:lang w:val="es-DO"/>
        </w:rPr>
        <w:t xml:space="preserve">; (2) la tendencia de atribuir una causa médica a un síntoma que, luego de una evaluación médica, no justifica la preocupación </w:t>
      </w:r>
      <w:r w:rsidRPr="00C70CCB">
        <w:rPr>
          <w:lang w:val="es-DO"/>
        </w:rPr>
        <w:fldChar w:fldCharType="begin" w:fldLock="1"/>
      </w:r>
      <w:r w:rsidRPr="00C70CCB">
        <w:rPr>
          <w:lang w:val="es-DO"/>
        </w:rPr>
        <w:instrText>ADDIN CSL_CITATION {"citationItems":[{"id":"ITEM-1","itemData":{"DOI":"10.1080/15287390801985562","ISSN":"15287394","PMID":"18569575","abstract":"Idiopathic environmental intolerance (IEI), also known as multiple chemical sensitivity (MCS), is defined as a chronic polysymptomatic condition that cannot be explained by an organic disease. Previous studies suggest that IEI may be a variant of somatoform disorders (SFD), because both disorders overlap with respect to symptoms and psychological features of somatization. However, little is known about the short- and medium-term outcome of IEI and psychological outcome predictors. Two clinical groups (IEI and SFD) and a comparison group (CG) were followed through 32 mo to assess both the outcome, and the extent to which trait anxiety and somatic symptom attribution (assessed at first examination) predict outcome presented 12 and 32 mo later. Outcome measures were the number of self-reported IEI symptoms, IEI triggers, IEI-associated functional impairments, and the number of somatoform symptoms. In addition, the course of the 2 syndromes over the 32-mo follow-up period was investigated with standardized screening scales. The 3 diagnostic groups consisted of 46 subjects with IEI, 38 subjects with SFD but without IEI, and 46 subjects (CG) with neither IEI nor SFD. Syndrome stability was high over the 32-mo follow-up period, and at both follow-ups IEI and non-IEI subjects differed on all IEI outcome measures (symptoms, triggers, functional impairments). Both trait anxiety and somatic attribution (the tendency to attribute common somatic complaints to an illness) predicted outcome. In addition, somatic attribution was found to partially mediate the effect of trait anxiety on outcome in the IEI group. In conclusion, these results suggest that IEI is a chronic and disabling condition and that trait anxiety contributes to the maintenance of the disorder via somatic attributions. Copyright © Taylor &amp; Francis Group, LLC.","author":[{"dropping-particle":"","family":"Bailer","given":"Josef","non-dropping-particle":"","parse-names":false,"suffix":""},{"dropping-particle":"","family":"Witthöft","given":"Michael","non-dropping-particle":"","parse-names":false,"suffix":""},{"dropping-particle":"","family":"Rist","given":"Fred","non-dropping-particle":"","parse-names":false,"suffix":""}],"container-title":"Journal of Toxicology and Environmental Health, Part A","id":"ITEM-1","issued":{"date-parts":[["2008"]]},"page":"766-775","title":"Psychological predictors of short- and medium term outcome in individuals with idiopathic environmental intolerance (IEI) and individuals with somatoform disorders","type":"article-journal","volume":"71"},"uris":["http://www.mendeley.com/documents/?uuid=1073461d-fc61-43f5-a6b4-acab125e253b"]}],"mendeley":{"formattedCitation":"(Bailer et al., 2008)","plainTextFormattedCitation":"(Bailer et al., 2008)","previouslyFormattedCitation":"(Bailer et al., 2008)"},"properties":{"noteIndex":0},"schema":"https://github.com/citation-style-language/schema/raw/master/csl-citation.json"}</w:instrText>
      </w:r>
      <w:r w:rsidRPr="00C70CCB">
        <w:rPr>
          <w:lang w:val="es-DO"/>
        </w:rPr>
        <w:fldChar w:fldCharType="separate"/>
      </w:r>
      <w:r w:rsidRPr="00C70CCB">
        <w:rPr>
          <w:lang w:val="es-DO"/>
        </w:rPr>
        <w:t>(Bailer et al., 2008)</w:t>
      </w:r>
      <w:r w:rsidRPr="00C70CCB">
        <w:rPr>
          <w:lang w:val="es-ES_tradnl"/>
        </w:rPr>
        <w:fldChar w:fldCharType="end"/>
      </w:r>
      <w:r w:rsidRPr="00C70CCB">
        <w:rPr>
          <w:lang w:val="es-DO"/>
        </w:rPr>
        <w:t xml:space="preserve">. </w:t>
      </w:r>
    </w:p>
    <w:p w14:paraId="474C7AD9" w14:textId="77777777" w:rsidR="00C70CCB" w:rsidRPr="00C70CCB" w:rsidRDefault="00C70CCB" w:rsidP="00C70CCB">
      <w:pPr>
        <w:pStyle w:val="Prrafocomn"/>
        <w:spacing w:line="400" w:lineRule="exact"/>
        <w:rPr>
          <w:lang w:val="es-DO"/>
        </w:rPr>
      </w:pPr>
      <w:r w:rsidRPr="00C70CCB">
        <w:rPr>
          <w:lang w:val="es-ES"/>
        </w:rPr>
        <w:t xml:space="preserve">Otra relación que ha sido reconocida es aquella entre la cibercondría y la ansiedad </w:t>
      </w:r>
      <w:r w:rsidRPr="00C70CCB">
        <w:rPr>
          <w:lang w:val="es-ES"/>
        </w:rPr>
        <w:fldChar w:fldCharType="begin" w:fldLock="1"/>
      </w:r>
      <w:r w:rsidRPr="00C70CCB">
        <w:rPr>
          <w:lang w:val="es-ES"/>
        </w:rPr>
        <w:instrText>ADDIN CSL_CITATION {"citationItems":[{"id":"ITEM-1","itemData":{"DOI":"10.1007/s11126-019-09640-5","ISBN":"1112601909640","ISSN":"15736709","PMID":"31098922","abstract":"Cyberchondria denotes repeated online searches for health information that are associated with increasing levels of health anxiety. The aims of this study were to apply network analysis to investigate the extent to which cyberchondria is a distinct construct, ascertain which of the related constructs have the strongest relationships with cyberchondria and investigate whether some of the symptoms of cyberchondria are more central to the construct of cyberchondria. Questionnaires assessing the severity of cyberchondria, health anxiety, obsessive-compulsive disorder symptoms, intolerance of uncertainty, problematic Internet use, anxiety, depression and somatic symptoms were administered to 751 participants who searched for health information online during a previous 3-month period and were recruited from an online crowdsourcing platform. Network analyses were used to compute the networks, perform community detection tests and calculate centrality indices. Results suggest that cyberchondria is a relatively specific syndrome-like construct, distinct from all related constructs and consisting of interrelated symptoms. It has the strongest relationships with problematic Internet use and health anxiety. No symptom of cyberchondria emerged clearly as more central to the construct of cyberchondria. Future research should aim to deepen our understanding of cyberchondria and its links with psychopathology, especially its close relationship with problematic Internet use.","author":[{"dropping-particle":"","family":"Starcevic","given":"Vladan","non-dropping-particle":"","parse-names":false,"suffix":""},{"dropping-particle":"","family":"Baggio","given":"Stéphanie","non-dropping-particle":"","parse-names":false,"suffix":""},{"dropping-particle":"","family":"Berle","given":"David","non-dropping-particle":"","parse-names":false,"suffix":""},{"dropping-particle":"","family":"Khazaal","given":"Yasser","non-dropping-particle":"","parse-names":false,"suffix":""},{"dropping-particle":"","family":"Viswasam","given":"Kirupamani","non-dropping-particle":"","parse-names":false,"suffix":""}],"container-title":"Psychiatric Quarterly","id":"ITEM-1","issue":"3","issued":{"date-parts":[["2019"]]},"note":"Un análisis de redes mostró fuertes relaciones entre la cibercondria y la ansiedad de salud, así como la cibercondria y el uso problemático del internet. De igual forma, se encontraron relaciones débiles entre cibercondría y ansiedad, y cibercondría y depresión.","page":"491-505","publisher":"Psychiatric Quarterly","title":"Cyberchondria and its relationships with related constructs: A network analysis","type":"article-journal","volume":"90"},"uris":["http://www.mendeley.com/documents/?uuid=d8741c35-0b06-4ecf-be92-4921f071a56b"]}],"mendeley":{"formattedCitation":"(Starcevic et al., 2019)","plainTextFormattedCitation":"(Starcevic et al., 2019)","previouslyFormattedCitation":"(Starcevic et al., 2019)"},"properties":{"noteIndex":0},"schema":"https://github.com/citation-style-language/schema/raw/master/csl-citation.json"}</w:instrText>
      </w:r>
      <w:r w:rsidRPr="00C70CCB">
        <w:rPr>
          <w:lang w:val="es-ES"/>
        </w:rPr>
        <w:fldChar w:fldCharType="separate"/>
      </w:r>
      <w:r w:rsidRPr="00C70CCB">
        <w:rPr>
          <w:lang w:val="es-ES"/>
        </w:rPr>
        <w:t>(Starcevic et al., 2019)</w:t>
      </w:r>
      <w:r w:rsidRPr="00C70CCB">
        <w:rPr>
          <w:lang w:val="es-ES_tradnl"/>
        </w:rPr>
        <w:fldChar w:fldCharType="end"/>
      </w:r>
      <w:r w:rsidRPr="00C70CCB">
        <w:rPr>
          <w:lang w:val="es-ES"/>
        </w:rPr>
        <w:t xml:space="preserve">. </w:t>
      </w:r>
      <w:r w:rsidRPr="00C70CCB">
        <w:rPr>
          <w:lang w:val="es-DO"/>
        </w:rPr>
        <w:t xml:space="preserve">La ansiedad es una emoción caracterizada por una intensa sensación de aprensión, preocupación o tensión, provocada por algo adverso que pueda suceder en el futuro </w:t>
      </w:r>
      <w:r w:rsidRPr="00C70CCB">
        <w:rPr>
          <w:lang w:val="es-DO"/>
        </w:rPr>
        <w:fldChar w:fldCharType="begin" w:fldLock="1"/>
      </w:r>
      <w:r w:rsidRPr="00C70CCB">
        <w:rPr>
          <w:lang w:val="es-DO"/>
        </w:rPr>
        <w:instrText>ADDIN CSL_CITATION {"citationItems":[{"id":"ITEM-1","itemData":{"DOI":"10.1007/s00213-007-1019-1","ISSN":"00333158","PMID":"18058089","abstract":"Rationale: Preclinical data indicates that threat stimuli elicit two classes of defensive behaviors, those that are associated with imminent danger and are characterized by flight or fight (fear), and those that are associated with temporally uncertain danger and are characterized by sustained apprehension and hypervigilance (anxiety). Objective: The objectives of the study are to (1) review evidence for a distinction between fear and anxiety in animal and human experimental models using the startle reflex as an operational measure of aversive states, (2) describe experimental models of anxiety, as opposed to fear, in humans, (3) examine the relevance of these models to clinical anxiety. Results: The distinction between phasic fear to imminent threat and sustained anxiety to temporally uncertain danger is suggested by psychopharmacological and behavioral evidence from ethological studies and can be traced back to distinct neuroanatomical systems, the amygdala and the bed nucleus of the stria terminalis. Experimental models of anxiety, not fear, are relevant to non-phobic anxiety disorders. Conclusions: Progress in our understanding of normal and abnormal anxiety is critically dependent on our ability to model sustained aversive states to temporally uncertain threat. © 2007 Springer-Verlag.","author":[{"dropping-particle":"","family":"Grillon","given":"Christian","non-dropping-particle":"","parse-names":false,"suffix":""}],"container-title":"Psychopharmacology","id":"ITEM-1","issued":{"date-parts":[["2008"]]},"page":"421-437","title":"Models and mechanisms of anxiety: Evidence from startle studies","type":"article-journal","volume":"199"},"uris":["http://www.mendeley.com/documents/?uuid=c0c08fc2-f379-46a1-8c55-e78805893cc7"]}],"mendeley":{"formattedCitation":"(Grillon, 2008)","plainTextFormattedCitation":"(Grillon, 2008)","previouslyFormattedCitation":"(Grillon, 2008)"},"properties":{"noteIndex":0},"schema":"https://github.com/citation-style-language/schema/raw/master/csl-citation.json"}</w:instrText>
      </w:r>
      <w:r w:rsidRPr="00C70CCB">
        <w:rPr>
          <w:lang w:val="es-DO"/>
        </w:rPr>
        <w:fldChar w:fldCharType="separate"/>
      </w:r>
      <w:r w:rsidRPr="00C70CCB">
        <w:rPr>
          <w:lang w:val="es-DO"/>
        </w:rPr>
        <w:t>(Grillon, 2008)</w:t>
      </w:r>
      <w:r w:rsidRPr="00C70CCB">
        <w:rPr>
          <w:lang w:val="es-ES_tradnl"/>
        </w:rPr>
        <w:fldChar w:fldCharType="end"/>
      </w:r>
      <w:r w:rsidRPr="00C70CCB">
        <w:rPr>
          <w:lang w:val="es-DO"/>
        </w:rPr>
        <w:t xml:space="preserve">. </w:t>
      </w:r>
      <w:r w:rsidRPr="00C70CCB">
        <w:rPr>
          <w:lang w:val="es-DO"/>
        </w:rPr>
        <w:fldChar w:fldCharType="begin" w:fldLock="1"/>
      </w:r>
      <w:r w:rsidRPr="00C70CCB">
        <w:rPr>
          <w:lang w:val="es-DO"/>
        </w:rPr>
        <w:instrText>ADDIN CSL_CITATION {"citationItems":[{"id":"ITEM-1","itemData":{"DOI":"10.1016/S0887-6185(01)00060-3","ISSN":"08876185","author":[{"dropping-particle":"","family":"Endler","given":"Norman S","non-dropping-particle":"","parse-names":false,"suffix":""},{"dropping-particle":"","family":"Kocovski","given":"Nancy L","non-dropping-particle":"","parse-names":false,"suffix":""}],"container-title":"Journal of Anxiety Disorders","id":"ITEM-1","issue":"3","issued":{"date-parts":[["2001","5"]]},"page":"231-245","title":"State and trait anxiety revisited","type":"article-journal","volume":"15"},"uris":["http://www.mendeley.com/documents/?uuid=738571c8-f581-42e7-8f56-2c8cf9c9a467"]}],"mendeley":{"formattedCitation":"(Endler &amp; Kocovski, 2001)","manualFormatting":"Endler y Kocovski (2001)","plainTextFormattedCitation":"(Endler &amp; Kocovski, 2001)","previouslyFormattedCitation":"(Endler &amp; Kocovski, 2001)"},"properties":{"noteIndex":0},"schema":"https://github.com/citation-style-language/schema/raw/master/csl-citation.json"}</w:instrText>
      </w:r>
      <w:r w:rsidRPr="00C70CCB">
        <w:rPr>
          <w:lang w:val="es-DO"/>
        </w:rPr>
        <w:fldChar w:fldCharType="separate"/>
      </w:r>
      <w:r w:rsidRPr="00C70CCB">
        <w:rPr>
          <w:lang w:val="es-DO"/>
        </w:rPr>
        <w:t>Endler y Kocovski (2001)</w:t>
      </w:r>
      <w:r w:rsidRPr="00C70CCB">
        <w:rPr>
          <w:lang w:val="es-ES_tradnl"/>
        </w:rPr>
        <w:fldChar w:fldCharType="end"/>
      </w:r>
      <w:r w:rsidRPr="00C70CCB">
        <w:rPr>
          <w:lang w:val="es-DO"/>
        </w:rPr>
        <w:t xml:space="preserve"> y </w:t>
      </w:r>
      <w:r w:rsidRPr="00C70CCB">
        <w:rPr>
          <w:lang w:val="es-DO"/>
        </w:rPr>
        <w:fldChar w:fldCharType="begin" w:fldLock="1"/>
      </w:r>
      <w:r w:rsidRPr="00C70CCB">
        <w:rPr>
          <w:lang w:val="es-DO"/>
        </w:rPr>
        <w:instrText>ADDIN CSL_CITATION {"citationItems":[{"id":"ITEM-1","itemData":{"abstract":"Patients presenting with ureteral calculi and fever were treated with antibiotics, fluids and careful monitoring. An emergency operation or ureteral manipulation was withheld until the patient became afebrile. In 14 patients so treated all became afebrile and 11 required no surgical intervention. It is suggested that carefully monitored resuscitation should precede instrumentation in patients with urinary stones and fever.","author":[{"dropping-particle":"","family":"Spilberger","given":"C. D.","non-dropping-particle":"","parse-names":false,"suffix":""},{"dropping-particle":"","family":"Gorsuch","given":"R. L.","non-dropping-particle":"","parse-names":false,"suffix":""},{"dropping-particle":"","family":"Lushene","given":"R. E.","non-dropping-particle":"","parse-names":false,"suffix":""}],"id":"ITEM-1","issued":{"date-parts":[["1997"]]},"publisher":"TEA Ediciones","publisher-place":"Madrid","title":"STAI: Cuestionario de Ansiedad Estado-Rasgo","type":"book"},"uris":["http://www.mendeley.com/documents/?uuid=1999f916-03e1-4f33-a214-5182d51ec914"]}],"mendeley":{"formattedCitation":"(Spilberger et al., 1997)","manualFormatting":"Spilberger, Gorsuch, y Lushene (1997)","plainTextFormattedCitation":"(Spilberger et al., 1997)","previouslyFormattedCitation":"(Spilberger et al., 1997)"},"properties":{"noteIndex":0},"schema":"https://github.com/citation-style-language/schema/raw/master/csl-citation.json"}</w:instrText>
      </w:r>
      <w:r w:rsidRPr="00C70CCB">
        <w:rPr>
          <w:lang w:val="es-DO"/>
        </w:rPr>
        <w:fldChar w:fldCharType="separate"/>
      </w:r>
      <w:r w:rsidRPr="00C70CCB">
        <w:rPr>
          <w:lang w:val="es-DO"/>
        </w:rPr>
        <w:t>Spilberger, Gorsuch, y Lushene (1997)</w:t>
      </w:r>
      <w:r w:rsidRPr="00C70CCB">
        <w:rPr>
          <w:lang w:val="es-ES_tradnl"/>
        </w:rPr>
        <w:fldChar w:fldCharType="end"/>
      </w:r>
      <w:r w:rsidRPr="00C70CCB">
        <w:rPr>
          <w:lang w:val="es-DO"/>
        </w:rPr>
        <w:t xml:space="preserve"> clasifican la ansiedad en: (1) ansiedad estado, una reacción temporal que consiste en sentimientos de aprensión, nerviosismo y secuelas fisiológicas a eventos adversos; y (2) ansiedad rasgo, una característica estable de la personalidad, relacionada con la tendencia a responder con inquietudes, problemas y preocupaciones ante algún evento. Esta diferenciación ha sido corroborada en términos neuroanatómicos por </w:t>
      </w:r>
      <w:r w:rsidRPr="00C70CCB">
        <w:rPr>
          <w:lang w:val="es-DO"/>
        </w:rPr>
        <w:fldChar w:fldCharType="begin" w:fldLock="1"/>
      </w:r>
      <w:r w:rsidRPr="00C70CCB">
        <w:rPr>
          <w:lang w:val="es-DO"/>
        </w:rPr>
        <w:instrText>ADDIN CSL_CITATION {"citationItems":[{"id":"ITEM-1","itemData":{"DOI":"10.1038/s41598-020-68008-z","ISBN":"0123456789","ISSN":"20452322","PMID":"32632158","abstract":"Anxiety is a mental state characterized by an intense sense of tension, worry or apprehension, relative to something adverse that might happen in the future. Researchers differentiate aspects of anxiety into state and trait, respectively defined as a more transient reaction to an adverse situation, and as a more stable personality attribute in experiencing events. It is yet unclear whether brain structural and functional features may distinguish these aspects of anxiety. To study this, we assessed 42 healthy participants with the State-Trait Anxiety Inventory and then investigated with MRI to characterize structural grey matter covariance and resting-state functional connectivity (rs-FC). We found several differences in the structural–functional patterns across anxiety types: (1) trait anxiety was associated to both structural covariance of Default Mode Network (DMN), with an increase in dorsal nodes and a decrease in its ventral part, and to rs-FC of DMN within frontal regions; (2) state anxiety, instead, was widely related to rs-FC of Salience Network and of DMN, specifically in its ventral nodes, but not associated with any structural pattern. In conclusion, our study provides evidence of a neuroanatomical and functional distinction between state and trait anxiety. These neural features may be additional markers in future studies evaluating early diagnosis or treatment effects.","author":[{"dropping-particle":"","family":"Saviola","given":"Francesca","non-dropping-particle":"","parse-names":false,"suffix":""},{"dropping-particle":"","family":"Pappaianni","given":"Edoardo","non-dropping-particle":"","parse-names":false,"suffix":""},{"dropping-particle":"","family":"Monti","given":"Alessia","non-dropping-particle":"","parse-names":false,"suffix":""},{"dropping-particle":"","family":"Grecucci","given":"Alessandro","non-dropping-particle":"","parse-names":false,"suffix":""},{"dropping-particle":"","family":"Jovicich","given":"Jorge","non-dropping-particle":"","parse-names":false,"suffix":""},{"dropping-particle":"","family":"Pisapia","given":"Nicola","non-dropping-particle":"De","parse-names":false,"suffix":""}],"container-title":"Scientific Reports","id":"ITEM-1","issue":"1","issued":{"date-parts":[["2020"]]},"note":"Grey matter covariance\nResting-state functional connectivity\n\nTrait: Structural covariance of Default Mode Network (increase in dorsal nodes and decrease in the ventral); Functional of Default Mode Network in frontal regions.\n\nState: Functional -&amp;gt; Salience network and Default mode network.","page":"1-11","publisher":"Nature Publishing Group UK","title":"Trait and state anxiety are mapped differently in the human brain","type":"article-journal","volume":"10"},"uris":["http://www.mendeley.com/documents/?uuid=a27d7889-fab6-4019-8cc3-3f67cc3ceff8"]}],"mendeley":{"formattedCitation":"(Saviola et al., 2020)","manualFormatting":"Saviola et al. (2020)","plainTextFormattedCitation":"(Saviola et al., 2020)","previouslyFormattedCitation":"(Saviola et al., 2020)"},"properties":{"noteIndex":0},"schema":"https://github.com/citation-style-language/schema/raw/master/csl-citation.json"}</w:instrText>
      </w:r>
      <w:r w:rsidRPr="00C70CCB">
        <w:rPr>
          <w:lang w:val="es-DO"/>
        </w:rPr>
        <w:fldChar w:fldCharType="separate"/>
      </w:r>
      <w:r w:rsidRPr="00C70CCB">
        <w:rPr>
          <w:lang w:val="es-DO"/>
        </w:rPr>
        <w:t>Saviola et al. (2020)</w:t>
      </w:r>
      <w:r w:rsidRPr="00C70CCB">
        <w:rPr>
          <w:lang w:val="es-ES_tradnl"/>
        </w:rPr>
        <w:fldChar w:fldCharType="end"/>
      </w:r>
      <w:r w:rsidRPr="00C70CCB">
        <w:rPr>
          <w:lang w:val="es-DO"/>
        </w:rPr>
        <w:t xml:space="preserve">, quienes encontraron activaciones cerebrales diferentes para ansiedad estado y rasgo. </w:t>
      </w:r>
    </w:p>
    <w:p w14:paraId="5C11AE6C" w14:textId="77777777" w:rsidR="00C70CCB" w:rsidRPr="00C70CCB" w:rsidRDefault="00C70CCB" w:rsidP="00C70CCB">
      <w:pPr>
        <w:pStyle w:val="Prrafocomn"/>
        <w:spacing w:line="400" w:lineRule="exact"/>
        <w:rPr>
          <w:lang w:val="es-ES"/>
        </w:rPr>
      </w:pPr>
      <w:r w:rsidRPr="00C70CCB">
        <w:rPr>
          <w:lang w:val="es-ES"/>
        </w:rPr>
        <w:t xml:space="preserve">La Teoría de la Búsqueda de Seguridad de </w:t>
      </w:r>
      <w:r w:rsidRPr="00C70CCB">
        <w:rPr>
          <w:lang w:val="es-ES"/>
        </w:rPr>
        <w:fldChar w:fldCharType="begin" w:fldLock="1"/>
      </w:r>
      <w:r w:rsidRPr="00C70CCB">
        <w:rPr>
          <w:lang w:val="es-ES"/>
        </w:rPr>
        <w:instrText>ADDIN CSL_CITATION {"citationItems":[{"id":"ITEM-1","itemData":{"DOI":"10.1586/ern.12.162","ISSN":"14737175","PMID":"23368807","abstract":"Looking for information about symptoms and illnesses on the Internet is common and often serves useful purposes. However, a number of people who are overly distressed or anxious about their health perform excessive or repeated health-related searches on the Internet, only to become more distressed or frightened - a pattern defined here as cyberchondria. This behavior, which can also be construed as a form of reassurance seeking and occurs as a manifestation of health anxiety and hypochondriasis, is the focus of this article. The antecedents of cyberchondria, factors that maintain it and its consequences are examined conceptually and in light of the relatively little research that has been performed so far. Managing cyberchondria poses a challenge, and several approaches as part of the treatment of health anxiety and hypochondriasis are described. The article makes suggestions for further research on cyberchondria. © 2013 2013 Expert Reviews Ltd.","author":[{"dropping-particle":"","family":"Starcevic","given":"Vladan","non-dropping-particle":"","parse-names":false,"suffix":""},{"dropping-particle":"","family":"Berle","given":"David","non-dropping-particle":"","parse-names":false,"suffix":""}],"container-title":"Expert Review of Neurotherapeutics","id":"ITEM-1","issue":"2","issued":{"date-parts":[["2013"]]},"note":"La cibercondría se define como la búsqueda constante de información de salud en páginas de internet con la intención de disminuir la ansiedad que produce un tema médico. No obstante, en vez de reducir la ansiedad, esta búsqueda la exacerba.\n\n\nLa cibercondría está conformado por un patrón de comportamientos resultado de la ansiedad por salud e hipocondriasisi.\n\nUna búsqueda excesiva de seguridad.","page":"205-213","title":"Cyberchondria: Towards a better understanding of excessive health-related Internet use","type":"article-journal","volume":"13"},"uris":["http://www.mendeley.com/documents/?uuid=5de5ff9e-021e-4880-9437-6ecd63980f7e"]}],"mendeley":{"formattedCitation":"(Starcevic &amp; Berle, 2013)","manualFormatting":"Starcevic y Berle (2013)","plainTextFormattedCitation":"(Starcevic &amp; Berle, 2013)","previouslyFormattedCitation":"(Starcevic &amp; Berle, 2013)"},"properties":{"noteIndex":0},"schema":"https://github.com/citation-style-language/schema/raw/master/csl-citation.json"}</w:instrText>
      </w:r>
      <w:r w:rsidRPr="00C70CCB">
        <w:rPr>
          <w:lang w:val="es-ES"/>
        </w:rPr>
        <w:fldChar w:fldCharType="separate"/>
      </w:r>
      <w:r w:rsidRPr="00C70CCB">
        <w:rPr>
          <w:lang w:val="es-ES"/>
        </w:rPr>
        <w:t>Starcevic y Berle (2013)</w:t>
      </w:r>
      <w:r w:rsidRPr="00C70CCB">
        <w:rPr>
          <w:lang w:val="es-ES_tradnl"/>
        </w:rPr>
        <w:fldChar w:fldCharType="end"/>
      </w:r>
      <w:r w:rsidRPr="00C70CCB">
        <w:rPr>
          <w:lang w:val="es-ES"/>
        </w:rPr>
        <w:t xml:space="preserve"> explica que la cibercondría se mantiene debido a dos factores: (1) Las características psicológicas de </w:t>
      </w:r>
      <w:r w:rsidRPr="00C70CCB">
        <w:rPr>
          <w:lang w:val="es-ES"/>
        </w:rPr>
        <w:lastRenderedPageBreak/>
        <w:t>algunas personas, que buscan seguridad en la información médica del internet, tienen baja tolerancia a la incertidumbre y a la ambigüedad, presentan confusión sobre si confiar o no en las fuentes consultadas, y necesitan obtener información definitiva y sencilla. (2) Las características inherentes del uso del internet, en donde las personas acceden a fuentes de información, desde las más confiables hasta las más ambiguas, exageradas, amenazantes o catastróficas. Repetir búsquedas que no satisfacen la necesidad de seguridad causa una sobrecarga de información, en la que la ambigüedad y la incertidumbre elevan los niveles de malestar y ansiedad.</w:t>
      </w:r>
    </w:p>
    <w:p w14:paraId="2D5D4C0A" w14:textId="49D58AF5" w:rsidR="00C70CCB" w:rsidRPr="00C70CCB" w:rsidRDefault="00C70CCB" w:rsidP="00C70CCB">
      <w:pPr>
        <w:pStyle w:val="Prrafocomn"/>
        <w:spacing w:line="400" w:lineRule="exact"/>
        <w:rPr>
          <w:lang w:val="es-DO"/>
        </w:rPr>
      </w:pPr>
      <w:r w:rsidRPr="00C70CCB">
        <w:rPr>
          <w:lang w:val="es-DO"/>
        </w:rPr>
        <w:t xml:space="preserve">La pandemia del COVID-19 ha generado una situación propicia para desarrollar cibercondría </w:t>
      </w:r>
      <w:r w:rsidRPr="00C70CCB">
        <w:rPr>
          <w:lang w:val="es-DO"/>
        </w:rPr>
        <w:fldChar w:fldCharType="begin" w:fldLock="1"/>
      </w:r>
      <w:r w:rsidRPr="00C70CCB">
        <w:rPr>
          <w:lang w:val="es-DO"/>
        </w:rPr>
        <w:instrText>ADDIN CSL_CITATION {"citationItems":[{"id":"ITEM-1","itemData":{"DOI":"10.1002/hbe2.233","ISSN":"25781863","abstract":"Cyberchondria is an excessive or repeated online health information seeking that is associated with increasing levels of health anxiety or distress. This article presents a model of cyberchondria during public health crises such as the COVID-19 pandemic. The factors that contribute to cyberchondria at this time include (a) a heightened perception of threat and fear of a newly identified and poorly understood disease; (b) difficulty in coping with uncertainty associated with the pandemic; (c) lack of authoritative and trustworthy sources of relevant health information; (d) difficulty in coping with abundance of information that is often confusing, conflicting, unverified and constantly updated, along with a decreased ability to filter out unnecessary information; and (e) inability of excessive online health information seeking to provide the necessary information and deliver reassurance. These factors amplify fear and distress, which increases the perception of threat and uncertainty and perpetuates further online health searches. Cyberchondria has significant public health implications because of the associated distress or functional impairment and effects on health behaviors. Cyberchondria should be addressed by targeting a heightened perception of threat, improving management of uncertainty and online health information and promoting an ability to critically appraise the results of online health searches. This should contribute to a better online health information literacy. The model of cyberchondria during the COVID-19 pandemic explains the hypothesized rise in cyberchondria during public health emergencies and helps to formulate a framework for prevention of cyberchondria and its effective management.","author":[{"dropping-particle":"","family":"Starcevic","given":"Vladan","non-dropping-particle":"","parse-names":false,"suffix":""},{"dropping-particle":"","family":"Schimmenti","given":"Adriano","non-dropping-particle":"","parse-names":false,"suffix":""},{"dropping-particle":"","family":"Billieux","given":"Joël","non-dropping-particle":"","parse-names":false,"suffix":""},{"dropping-particle":"","family":"Berle","given":"David","non-dropping-particle":"","parse-names":false,"suffix":""}],"container-title":"Human Behavior and Emerging Technologies","id":"ITEM-1","issue":"October","issued":{"date-parts":[["2020"]]},"note":"El modelo teórico que explica la cibercondría se denomina: Modelo de búsqueda de seguridad de la cibercondría que los autores han operacionalizado y contextualizado a la pandemia por COVID-19.\n\n\n1. Uncertanty embedded in OHR\n\n2. Intolerance of ambiguity and uncertanty.\n3. Dilemmas about the trustworthiness of sources. \n4. Need of a definitve or straightforward explanation\n5. Dificulty with coping with too much information that is conflicting and contradictory. \n\n\nEl modelo de cibercondría durante la pandemia del COVID-19 es una adaptación de modelo de búsqueda de seguridad al contexto de la pandemia, y explíca cómo el COVID-19 propicia la posibilidad de desarrollar cibercondría. \n\nEn relación al componente de dificultad de lidiar con la incertidumbre, el COVID-19 es nuevo, por lo que la información producida por cualquier medio, es incierta y cambiante.","page":"1-10","title":"Cyberchondria in the time of the COVID-19 pandemic","type":"article-journal"},"uris":["http://www.mendeley.com/documents/?uuid=a94f5316-598c-44de-a47f-0c8bbe8a8f70"]}],"mendeley":{"formattedCitation":"(Starcevic et al., 2020)","plainTextFormattedCitation":"(Starcevic et al., 2020)","previouslyFormattedCitation":"(Starcevic et al., 2020)"},"properties":{"noteIndex":0},"schema":"https://github.com/citation-style-language/schema/raw/master/csl-citation.json"}</w:instrText>
      </w:r>
      <w:r w:rsidRPr="00C70CCB">
        <w:rPr>
          <w:lang w:val="es-DO"/>
        </w:rPr>
        <w:fldChar w:fldCharType="separate"/>
      </w:r>
      <w:r w:rsidRPr="00C70CCB">
        <w:rPr>
          <w:lang w:val="es-DO"/>
        </w:rPr>
        <w:t>(Starcevic et al., 2020)</w:t>
      </w:r>
      <w:r w:rsidRPr="00C70CCB">
        <w:rPr>
          <w:lang w:val="es-ES_tradnl"/>
        </w:rPr>
        <w:fldChar w:fldCharType="end"/>
      </w:r>
      <w:r w:rsidRPr="00C70CCB">
        <w:rPr>
          <w:lang w:val="es-DO"/>
        </w:rPr>
        <w:t xml:space="preserve">. El COVID-19 es una enfermedad infecciosa respiratoria causada por el virus SARS-CoV-2 </w:t>
      </w:r>
      <w:r w:rsidRPr="00C70CCB">
        <w:rPr>
          <w:lang w:val="es-DO"/>
        </w:rPr>
        <w:fldChar w:fldCharType="begin" w:fldLock="1"/>
      </w:r>
      <w:r w:rsidRPr="00C70CCB">
        <w:rPr>
          <w:lang w:val="es-DO"/>
        </w:rPr>
        <w:instrText>ADDIN CSL_CITATION {"citationItems":[{"id":"ITEM-1","itemData":{"DOI":"10.1038/s41586-020-2008-3","ISSN":"0028-0836","author":[{"dropping-particle":"","family":"Wu","given":"Fan","non-dropping-particle":"","parse-names":false,"suffix":""},{"dropping-particle":"","family":"Zhao","given":"Su","non-dropping-particle":"","parse-names":false,"suffix":""},{"dropping-particle":"","family":"Yu","given":"Bin","non-dropping-particle":"","parse-names":false,"suffix":""},{"dropping-particle":"","family":"Chen","given":"Yan-Mei","non-dropping-particle":"","parse-names":false,"suffix":""},{"dropping-particle":"","family":"Wang","given":"Wen","non-dropping-particle":"","parse-names":false,"suffix":""},{"dropping-particle":"","family":"Song","given":"Zhi-Gang","non-dropping-particle":"","parse-names":false,"suffix":""},{"dropping-particle":"","family":"Hu","given":"Yi","non-dropping-particle":"","parse-names":false,"suffix":""},{"dropping-particle":"","family":"Tao","given":"Zhao-Wu","non-dropping-particle":"","parse-names":false,"suffix":""},{"dropping-particle":"","family":"Tian","given":"Jun-Hua","non-dropping-particle":"","parse-names":false,"suffix":""},{"dropping-particle":"","family":"Pei","given":"Yuan-Yuan","non-dropping-particle":"","parse-names":false,"suffix":""},{"dropping-particle":"","family":"Yuan","given":"Ming-Li","non-dropping-particle":"","parse-names":false,"suffix":""},{"dropping-particle":"","family":"Zhang","given":"Yu-Ling","non-dropping-particle":"","parse-names":false,"suffix":""},{"dropping-particle":"","family":"Dai","given":"Fa-Hui","non-dropping-particle":"","parse-names":false,"suffix":""},{"dropping-particle":"","family":"Liu","given":"Yi","non-dropping-particle":"","parse-names":false,"suffix":""},{"dropping-particle":"","family":"Wang","given":"Qi-Min","non-dropping-particle":"","parse-names":false,"suffix":""},{"dropping-particle":"","family":"Zheng","given":"Jiao-Jiao","non-dropping-particle":"","parse-names":false,"suffix":""},{"dropping-particle":"","family":"Xu","given":"Lin","non-dropping-particle":"","parse-names":false,"suffix":""},{"dropping-particle":"","family":"Holmes","given":"Edward C.","non-dropping-particle":"","parse-names":false,"suffix":""},{"dropping-particle":"","family":"Zhang","given":"Yong-Zhen","non-dropping-particle":"","parse-names":false,"suffix":""}],"container-title":"Nature","id":"ITEM-1","issued":{"date-parts":[["2020","3","3"]]},"page":"265-269","title":"A new coronavirus associated with human respiratory disease in China","type":"article-journal","volume":"579"},"uris":["http://www.mendeley.com/documents/?uuid=a424cac0-4ccb-4ec5-b25f-792d07bfb74c"]}],"mendeley":{"formattedCitation":"(Wu et al., 2020)","plainTextFormattedCitation":"(Wu et al., 2020)","previouslyFormattedCitation":"(Wu et al., 2020)"},"properties":{"noteIndex":0},"schema":"https://github.com/citation-style-language/schema/raw/master/csl-citation.json"}</w:instrText>
      </w:r>
      <w:r w:rsidRPr="00C70CCB">
        <w:rPr>
          <w:lang w:val="es-DO"/>
        </w:rPr>
        <w:fldChar w:fldCharType="separate"/>
      </w:r>
      <w:r w:rsidRPr="00C70CCB">
        <w:rPr>
          <w:lang w:val="es-DO"/>
        </w:rPr>
        <w:t>(Wu et al., 2020)</w:t>
      </w:r>
      <w:r w:rsidRPr="00C70CCB">
        <w:rPr>
          <w:lang w:val="es-ES_tradnl"/>
        </w:rPr>
        <w:fldChar w:fldCharType="end"/>
      </w:r>
      <w:r w:rsidRPr="00C70CCB">
        <w:rPr>
          <w:lang w:val="es-DO"/>
        </w:rPr>
        <w:t xml:space="preserve">. Es altamente contagiosa, con una tasa de letalidad mundial promedio de 3.7% al inicio de la pandemia, 7.2% en el mes de abril de 2020, y 2.2% en enero de 2021 </w:t>
      </w:r>
      <w:r w:rsidRPr="00C70CCB">
        <w:rPr>
          <w:lang w:val="es-DO"/>
        </w:rPr>
        <w:fldChar w:fldCharType="begin" w:fldLock="1"/>
      </w:r>
      <w:r w:rsidRPr="00C70CCB">
        <w:rPr>
          <w:lang w:val="es-DO"/>
        </w:rPr>
        <w:instrText>ADDIN CSL_CITATION {"citationItems":[{"id":"ITEM-1","itemData":{"DOI":"10.1016/S1473-3099(20)30120-1","ISSN":"14733099","author":[{"dropping-particle":"","family":"Dong","given":"Ensheng","non-dropping-particle":"","parse-names":false,"suffix":""},{"dropping-particle":"","family":"Du","given":"Hongru","non-dropping-particle":"","parse-names":false,"suffix":""},{"dropping-particle":"","family":"Gardner","given":"Lauren","non-dropping-particle":"","parse-names":false,"suffix":""}],"container-title":"The Lancet Infectious Diseases","id":"ITEM-1","issue":"5","issued":{"date-parts":[["2020","5"]]},"page":"533-534","title":"An interactive web-based dashboard to track COVID-19 in real time","type":"article-journal","volume":"20"},"uris":["http://www.mendeley.com/documents/?uuid=6f9e77f3-6873-4236-bf77-ba55060ff489"]}],"mendeley":{"formattedCitation":"(Dong et al., 2020)","plainTextFormattedCitation":"(Dong et al., 2020)","previouslyFormattedCitation":"(Dong et al., 2020)"},"properties":{"noteIndex":0},"schema":"https://github.com/citation-style-language/schema/raw/master/csl-citation.json"}</w:instrText>
      </w:r>
      <w:r w:rsidRPr="00C70CCB">
        <w:rPr>
          <w:lang w:val="es-DO"/>
        </w:rPr>
        <w:fldChar w:fldCharType="separate"/>
      </w:r>
      <w:r w:rsidRPr="00C70CCB">
        <w:rPr>
          <w:lang w:val="es-DO"/>
        </w:rPr>
        <w:t>(Dong et al., 2020)</w:t>
      </w:r>
      <w:r w:rsidRPr="00C70CCB">
        <w:rPr>
          <w:lang w:val="es-ES_tradnl"/>
        </w:rPr>
        <w:fldChar w:fldCharType="end"/>
      </w:r>
      <w:r w:rsidRPr="00C70CCB">
        <w:rPr>
          <w:lang w:val="es-DO"/>
        </w:rPr>
        <w:t xml:space="preserve">. Según </w:t>
      </w:r>
      <w:r w:rsidRPr="00C70CCB">
        <w:rPr>
          <w:lang w:val="es-DO"/>
        </w:rPr>
        <w:fldChar w:fldCharType="begin" w:fldLock="1"/>
      </w:r>
      <w:r w:rsidRPr="00C70CCB">
        <w:rPr>
          <w:lang w:val="es-DO"/>
        </w:rPr>
        <w:instrText>ADDIN CSL_CITATION {"citationItems":[{"id":"ITEM-1","itemData":{"DOI":"10.1002/hbe2.233","ISSN":"25781863","abstract":"Cyberchondria is an excessive or repeated online health information seeking that is associated with increasing levels of health anxiety or distress. This article presents a model of cyberchondria during public health crises such as the COVID-19 pandemic. The factors that contribute to cyberchondria at this time include (a) a heightened perception of threat and fear of a newly identified and poorly understood disease; (b) difficulty in coping with uncertainty associated with the pandemic; (c) lack of authoritative and trustworthy sources of relevant health information; (d) difficulty in coping with abundance of information that is often confusing, conflicting, unverified and constantly updated, along with a decreased ability to filter out unnecessary information; and (e) inability of excessive online health information seeking to provide the necessary information and deliver reassurance. These factors amplify fear and distress, which increases the perception of threat and uncertainty and perpetuates further online health searches. Cyberchondria has significant public health implications because of the associated distress or functional impairment and effects on health behaviors. Cyberchondria should be addressed by targeting a heightened perception of threat, improving management of uncertainty and online health information and promoting an ability to critically appraise the results of online health searches. This should contribute to a better online health information literacy. The model of cyberchondria during the COVID-19 pandemic explains the hypothesized rise in cyberchondria during public health emergencies and helps to formulate a framework for prevention of cyberchondria and its effective management.","author":[{"dropping-particle":"","family":"Starcevic","given":"Vladan","non-dropping-particle":"","parse-names":false,"suffix":""},{"dropping-particle":"","family":"Schimmenti","given":"Adriano","non-dropping-particle":"","parse-names":false,"suffix":""},{"dropping-particle":"","family":"Billieux","given":"Joël","non-dropping-particle":"","parse-names":false,"suffix":""},{"dropping-particle":"","family":"Berle","given":"David","non-dropping-particle":"","parse-names":false,"suffix":""}],"container-title":"Human Behavior and Emerging Technologies","id":"ITEM-1","issue":"October","issued":{"date-parts":[["2020"]]},"note":"El modelo teórico que explica la cibercondría se denomina: Modelo de búsqueda de seguridad de la cibercondría que los autores han operacionalizado y contextualizado a la pandemia por COVID-19.\n\n\n1. Uncertanty embedded in OHR\n\n2. Intolerance of ambiguity and uncertanty.\n3. Dilemmas about the trustworthiness of sources. \n4. Need of a definitve or straightforward explanation\n5. Dificulty with coping with too much information that is conflicting and contradictory. \n\n\nEl modelo de cibercondría durante la pandemia del COVID-19 es una adaptación de modelo de búsqueda de seguridad al contexto de la pandemia, y explíca cómo el COVID-19 propicia la posibilidad de desarrollar cibercondría. \n\nEn relación al componente de dificultad de lidiar con la incertidumbre, el COVID-19 es nuevo, por lo que la información producida por cualquier medio, es incierta y cambiante.","page":"1-10","title":"Cyberchondria in the time of the COVID-19 pandemic","type":"article-journal"},"uris":["http://www.mendeley.com/documents/?uuid=a94f5316-598c-44de-a47f-0c8bbe8a8f70"]}],"mendeley":{"formattedCitation":"(Starcevic et al., 2020)","manualFormatting":"Starcevic et al. (2020)","plainTextFormattedCitation":"(Starcevic et al., 2020)","previouslyFormattedCitation":"(Starcevic et al., 2020)"},"properties":{"noteIndex":0},"schema":"https://github.com/citation-style-language/schema/raw/master/csl-citation.json"}</w:instrText>
      </w:r>
      <w:r w:rsidRPr="00C70CCB">
        <w:rPr>
          <w:lang w:val="es-DO"/>
        </w:rPr>
        <w:fldChar w:fldCharType="separate"/>
      </w:r>
      <w:r w:rsidRPr="00C70CCB">
        <w:rPr>
          <w:lang w:val="es-DO"/>
        </w:rPr>
        <w:t>Starcevic et al. (2020)</w:t>
      </w:r>
      <w:r w:rsidRPr="00C70CCB">
        <w:rPr>
          <w:lang w:val="es-ES_tradnl"/>
        </w:rPr>
        <w:fldChar w:fldCharType="end"/>
      </w:r>
      <w:r w:rsidRPr="00C70CCB">
        <w:rPr>
          <w:lang w:val="es-DO"/>
        </w:rPr>
        <w:t xml:space="preserve">, el desarrollo de la cibercondría en el contexto del COVID-19 se debe a: (1) la falta de información sobre el COVID-19 al ser un virus nuevo; (2) la información cambiante sobre el virus, ya que los nuevos descubrimientos se publican durante el curso de la pandemia; (3) la insatisfacción causada por la desconfianza en las fuentes seguras; (4) el constante reporte, tanto de fuentes seguras como de </w:t>
      </w:r>
      <w:r w:rsidRPr="00C70CCB">
        <w:rPr>
          <w:i/>
          <w:iCs/>
          <w:lang w:val="es-DO"/>
        </w:rPr>
        <w:t>fake news</w:t>
      </w:r>
      <w:r w:rsidRPr="00C70CCB">
        <w:rPr>
          <w:lang w:val="es-DO"/>
        </w:rPr>
        <w:t xml:space="preserve"> (noticias falsas). Estos factores provocan una sobrecarga de información, dificultades en filtrar la información segura de las </w:t>
      </w:r>
      <w:r w:rsidRPr="00C70CCB">
        <w:rPr>
          <w:i/>
          <w:iCs/>
          <w:lang w:val="es-DO"/>
        </w:rPr>
        <w:t>fake news</w:t>
      </w:r>
      <w:r w:rsidRPr="00C70CCB">
        <w:rPr>
          <w:lang w:val="es-DO"/>
        </w:rPr>
        <w:t>, y niveles altos de ansiedad.</w:t>
      </w:r>
    </w:p>
    <w:p w14:paraId="6F3AD733" w14:textId="77777777" w:rsidR="00C70CCB" w:rsidRPr="00C70CCB" w:rsidRDefault="00C70CCB" w:rsidP="00C70CCB">
      <w:pPr>
        <w:pStyle w:val="Prrafocomn"/>
        <w:spacing w:line="400" w:lineRule="exact"/>
        <w:rPr>
          <w:lang w:val="es-DO"/>
        </w:rPr>
      </w:pPr>
      <w:r w:rsidRPr="00C70CCB">
        <w:rPr>
          <w:lang w:val="es-DO"/>
        </w:rPr>
        <w:t xml:space="preserve">En la República Dominicana se reportó el primer caso de COVID-19 el 1 de marzo de 2020. </w:t>
      </w:r>
      <w:r w:rsidRPr="00C70CCB">
        <w:rPr>
          <w:lang w:val="es-DO"/>
        </w:rPr>
        <w:fldChar w:fldCharType="begin" w:fldLock="1"/>
      </w:r>
      <w:r w:rsidRPr="00C70CCB">
        <w:rPr>
          <w:lang w:val="es-DO"/>
        </w:rPr>
        <w:instrText>ADDIN CSL_CITATION {"citationItems":[{"id":"ITEM-1","itemData":{"DOI":"10.31005/iajmh.v3i0.104","abstract":"The newly introduced severe acute respiratory syndrome coronavirus 2 (SARS-CoV-2) causative agent of coronavirus disease 2019 (COVID-19) was confirmed in the Dominican Republic on the 29thof February 2020. Dominican Republic’s COVID-19 response is a hybrid of previous experiences in other latitudes, based on epidemiological characteristics of individuals, clinical progression of COVID‐19, and quarantine intervention reinforced by the authority. Prevention against SARS-CoV-2 in the DR had involve massive disinfection campaigns, educational resources, community-engagement, case detection, and cluster isolation. COVID-19 strategies shall be focused on community leader mobilization in high incidence spots and emerging hotspots, with clear political leadership by governmental authorities. In this, the political leadership with the guidance of experts will be trusted and civilians will assume the responsibility of staying home. Very soon we will see the impact of this virus in the continent, late adopters of international health regulations will face the worst scenarios, those with a more resilient programming are having better outcomes. As effective those interventions, as faster will be the economic recovery.","author":[{"dropping-particle":"","family":"Paulino-Ramirez","given":"Robert","non-dropping-particle":"","parse-names":false,"suffix":""},{"dropping-particle":"","family":"Tapia","given":"Leandro","non-dropping-particle":"","parse-names":false,"suffix":""}],"container-title":"InterAmerican Journal of Medicine and Health","id":"ITEM-1","issued":{"date-parts":[["2020"]]},"note":"Dominican Republic’s COVID-19 response is a\nhybrid of previous experiences in other latitudes, based on epidemiological characteristics of individuals, clinical progression of COVID‐19, and quarantine intervention reinforced by the authority. Prevention against SARS-CoV-2 in the DR had involve massive disinfection campaigns, educational resources, community-engagement, case detection, and cluster isolation. Now,\n\nTherefore, the Dominican Republic still will need to reinforce population-based interventions- including quarantine and social distancing. Online social media campaigns are urging people to stay at home, in addition to a national nocturnal lockdown; people seem to understand the importance of social distancing. These measures are less costly and seem to facilitate the flattening of the incidence curve.\n\nThis relies in the capacity of sufficient and robust health system to treat the sick and protect health workers, assisted by community navigators, providing continuous and accurate communication through media engagement, such as messaging via social media, WhatsApp, and other internet- based approaches could minimize people's risk behaviours, finally mitigating the impact of this disease. Even","page":"1-3","title":"Learning from pandemics in the Americas: The Dominican Republic programmatic response against a novel coronavirus (COVID-19)","type":"article-journal","volume":"3"},"uris":["http://www.mendeley.com/documents/?uuid=b3c756b9-2dca-437e-8e50-2f4cf5962d08"]}],"mendeley":{"formattedCitation":"(Paulino-Ramirez &amp; Tapia, 2020)","manualFormatting":"Paulino-Ramirez y Tapia (2020)","plainTextFormattedCitation":"(Paulino-Ramirez &amp; Tapia, 2020)","previouslyFormattedCitation":"(Paulino-Ramirez &amp; Tapia, 2020)"},"properties":{"noteIndex":0},"schema":"https://github.com/citation-style-language/schema/raw/master/csl-citation.json"}</w:instrText>
      </w:r>
      <w:r w:rsidRPr="00C70CCB">
        <w:rPr>
          <w:lang w:val="es-DO"/>
        </w:rPr>
        <w:fldChar w:fldCharType="separate"/>
      </w:r>
      <w:r w:rsidRPr="00C70CCB">
        <w:rPr>
          <w:lang w:val="es-DO"/>
        </w:rPr>
        <w:t>Paulino-Ramirez y Tapia (2020)</w:t>
      </w:r>
      <w:r w:rsidRPr="00C70CCB">
        <w:rPr>
          <w:lang w:val="es-ES_tradnl"/>
        </w:rPr>
        <w:fldChar w:fldCharType="end"/>
      </w:r>
      <w:r w:rsidRPr="00C70CCB">
        <w:rPr>
          <w:lang w:val="es-DO"/>
        </w:rPr>
        <w:t xml:space="preserve"> resumen la respuesta del sistema de salud para la prevención del COVID-19 en “campañas de desinfección, recursos educativos, involucramiento de la comunidad, detección de casos y aislamiento grupal” (p. 3). Los autores enfatizan la necesidad del manejo eficiente de información a través de medios que promuevan la prevención del contagio. Esto representó un reto para las autoridades de salud, quienes no contaban con un sistema efectivo de comunicación para educar a la población al inicio de la pandemia </w:t>
      </w:r>
      <w:r w:rsidRPr="00C70CCB">
        <w:rPr>
          <w:lang w:val="es-DO"/>
        </w:rPr>
        <w:fldChar w:fldCharType="begin" w:fldLock="1"/>
      </w:r>
      <w:r w:rsidRPr="00C70CCB">
        <w:rPr>
          <w:lang w:val="es-DO"/>
        </w:rPr>
        <w:instrText>ADDIN CSL_CITATION {"citationItems":[{"id":"ITEM-1","itemData":{"DOI":"10.47307/GMC.2020.128.s2.10","ISSN":"0367-4762","abstract":"The paper presents the situation in the Dominican Republic in terms of pandemic preparedness, the policies implemented to respond to it, the achievements made, and the challenges for the future. The COVID-19 pandemic found the Dominican Republic unprepared to deal with it, with significant deficiencies in the areas of prevention, early detection and notification, rapid response and mitigation, compliance with international standards, risk environment and health system strength. The country had the most infections in the entire Caribbean region and one of the most important in Latin America, however, the policies implemented were appropriate and the country faced lower rates of both serious illness and mortality, compared to the rest of the region. The health system, so far, has been able to respond, without exceeding the installed capacity in terms of beds and intensive care units. The worst part of the response preparedness is the weakness of the first level of care and its underfinancing, concluding on the necessity of investing adequately in strengthening the first level of care, implementing the population assignment using geographical criteria, developing payment for results mechanisms to increase quality and efficiency and putting in place the unified electronic medical record, in order to make it feasible to establish a prevention strategy.","author":[{"dropping-particle":"","family":"Rathe","given":"Magdalena","non-dropping-particle":"","parse-names":false,"suffix":""}],"container-title":"Gaceta Médica de Caracas","id":"ITEM-1","issue":"2","issued":{"date-parts":[["2020","12","1"]]},"note":"Weak area refer to the absence of a plan to address human resource shortags, lack of evidence of an effective communication system with the population, and between the public and private sectors in the event of a health emergency, low priority given to health worker care, and lack of a monitoring and evaluation plan. \n\nClosing borders, closing schools, universities and businesses nad productive activities. Curfews\n\n\nLow development of the first level of care in the country.","page":"227-235","title":"Dominican Republic: The response to the COVID-19 pandemic in 2020","type":"article-journal","volume":"128"},"uris":["http://www.mendeley.com/documents/?uuid=1c3ca30d-ea36-4981-ac5c-cef39af9a5c7"]}],"mendeley":{"formattedCitation":"(Rathe, 2020)","plainTextFormattedCitation":"(Rathe, 2020)","previouslyFormattedCitation":"(Rathe, 2020)"},"properties":{"noteIndex":0},"schema":"https://github.com/citation-style-language/schema/raw/master/csl-citation.json"}</w:instrText>
      </w:r>
      <w:r w:rsidRPr="00C70CCB">
        <w:rPr>
          <w:lang w:val="es-DO"/>
        </w:rPr>
        <w:fldChar w:fldCharType="separate"/>
      </w:r>
      <w:r w:rsidRPr="00C70CCB">
        <w:rPr>
          <w:lang w:val="es-DO"/>
        </w:rPr>
        <w:t>(Rathe, 2020)</w:t>
      </w:r>
      <w:r w:rsidRPr="00C70CCB">
        <w:rPr>
          <w:lang w:val="es-ES_tradnl"/>
        </w:rPr>
        <w:fldChar w:fldCharType="end"/>
      </w:r>
      <w:r w:rsidRPr="00C70CCB">
        <w:rPr>
          <w:lang w:val="es-DO"/>
        </w:rPr>
        <w:t xml:space="preserve">. No obstante, el Ministerio de Salud Pública dedicó parte de su presupuesto a campañas de radio, televisión y redes sociales, para explicar mecanismos de prevención </w:t>
      </w:r>
      <w:r w:rsidRPr="00C70CCB">
        <w:rPr>
          <w:lang w:val="es-DO"/>
        </w:rPr>
        <w:fldChar w:fldCharType="begin" w:fldLock="1"/>
      </w:r>
      <w:r w:rsidRPr="00C70CCB">
        <w:rPr>
          <w:lang w:val="es-DO"/>
        </w:rPr>
        <w:instrText>ADDIN CSL_CITATION {"citationItems":[{"id":"ITEM-1","itemData":{"author":[{"dropping-particle":"","family":"Ministerio de Salud Pública","given":"","non-dropping-particle":"","parse-names":false,"suffix":""}],"id":"ITEM-1","issued":{"date-parts":[["2020"]]},"publisher-place":"Santo Domingo","title":"Plan de contingencia ante enfermedad por coronavirus (COVID-19)","type":"book"},"uris":["http://www.mendeley.com/documents/?uuid=99c8ca25-7956-4545-9ccd-1fd2d8bbc3fd"]}],"mendeley":{"formattedCitation":"(Ministerio de Salud Pública, 2020)","plainTextFormattedCitation":"(Ministerio de Salud Pública, 2020)","previouslyFormattedCitation":"(Ministerio de Salud Pública, 2020)"},"properties":{"noteIndex":0},"schema":"https://github.com/citation-style-language/schema/raw/master/csl-citation.json"}</w:instrText>
      </w:r>
      <w:r w:rsidRPr="00C70CCB">
        <w:rPr>
          <w:lang w:val="es-DO"/>
        </w:rPr>
        <w:fldChar w:fldCharType="separate"/>
      </w:r>
      <w:r w:rsidRPr="00C70CCB">
        <w:rPr>
          <w:lang w:val="es-DO"/>
        </w:rPr>
        <w:t>(Ministerio de Salud Pública, 2020)</w:t>
      </w:r>
      <w:r w:rsidRPr="00C70CCB">
        <w:rPr>
          <w:lang w:val="es-ES_tradnl"/>
        </w:rPr>
        <w:fldChar w:fldCharType="end"/>
      </w:r>
      <w:r w:rsidRPr="00C70CCB">
        <w:rPr>
          <w:lang w:val="es-DO"/>
        </w:rPr>
        <w:t xml:space="preserve">. Dichas campañas no han sido del todo efectivas por la desconfianza en las autoridades y la propagación rápida de </w:t>
      </w:r>
      <w:r w:rsidRPr="00C70CCB">
        <w:rPr>
          <w:i/>
          <w:iCs/>
          <w:lang w:val="es-DO"/>
        </w:rPr>
        <w:t xml:space="preserve">fake news </w:t>
      </w:r>
      <w:r w:rsidRPr="00C70CCB">
        <w:rPr>
          <w:lang w:val="es-DO"/>
        </w:rPr>
        <w:fldChar w:fldCharType="begin" w:fldLock="1"/>
      </w:r>
      <w:r w:rsidRPr="00C70CCB">
        <w:rPr>
          <w:lang w:val="es-DO"/>
        </w:rPr>
        <w:instrText>ADDIN CSL_CITATION {"citationItems":[{"id":"ITEM-1","itemData":{"DOI":"10.4269/ajtmh.20-0234","ISSN":"14761645","PMID":"32358952","abstract":"The first case of novel coronavirus disease (COVID-19) in the Dominican Republic coincided with a period of political crisis. Distrust in governmental institutions shaped the critical phase of early response. Having a weak public health infrastructure and a lack of public trust, the Ministry of Health (MoH) began the fight against COVID-19 with a losing streak. Within 45 days of the first reported case, the political crisis and turmoil caused by “fake news” are limiting the capacity and success of the MoH response to the pandemic.","author":[{"dropping-particle":"","family":"Tapia","given":"Leandro","non-dropping-particle":"","parse-names":false,"suffix":""}],"container-title":"American Journal of Tropical Medicine and Hygiene","id":"ITEM-1","issue":"6","issued":{"date-parts":[["2020"]]},"page":"1172-1174","title":"COVID-19 and fake news in the Dominican Republic","type":"article-journal","volume":"102"},"uris":["http://www.mendeley.com/documents/?uuid=4966a33b-8fc1-44aa-aa24-df1c959c30a2"]}],"mendeley":{"formattedCitation":"(Tapia, 2020)","plainTextFormattedCitation":"(Tapia, 2020)","previouslyFormattedCitation":"(Tapia, 2020)"},"properties":{"noteIndex":0},"schema":"https://github.com/citation-style-language/schema/raw/master/csl-citation.json"}</w:instrText>
      </w:r>
      <w:r w:rsidRPr="00C70CCB">
        <w:rPr>
          <w:lang w:val="es-DO"/>
        </w:rPr>
        <w:fldChar w:fldCharType="separate"/>
      </w:r>
      <w:r w:rsidRPr="00C70CCB">
        <w:rPr>
          <w:lang w:val="es-DO"/>
        </w:rPr>
        <w:t>(Tapia, 2020)</w:t>
      </w:r>
      <w:r w:rsidRPr="00C70CCB">
        <w:rPr>
          <w:lang w:val="es-ES_tradnl"/>
        </w:rPr>
        <w:fldChar w:fldCharType="end"/>
      </w:r>
      <w:r w:rsidRPr="00C70CCB">
        <w:rPr>
          <w:lang w:val="es-DO"/>
        </w:rPr>
        <w:t>.</w:t>
      </w:r>
    </w:p>
    <w:p w14:paraId="3F5EA8E0" w14:textId="77777777" w:rsidR="00C70CCB" w:rsidRPr="00C70CCB" w:rsidRDefault="00C70CCB" w:rsidP="00C70CCB">
      <w:pPr>
        <w:pStyle w:val="Prrafocomn"/>
        <w:spacing w:line="400" w:lineRule="exact"/>
        <w:rPr>
          <w:lang w:val="es-DO"/>
        </w:rPr>
      </w:pPr>
      <w:r w:rsidRPr="00C70CCB">
        <w:rPr>
          <w:lang w:val="es-ES"/>
        </w:rPr>
        <w:t xml:space="preserve">El miedo al COVID-19 y las consecuencias de las medidas de prevención (cierre de fronteras, escuelas, universidades y comercio) impactan la salud mental de la </w:t>
      </w:r>
      <w:r w:rsidRPr="00C70CCB">
        <w:rPr>
          <w:lang w:val="es-ES"/>
        </w:rPr>
        <w:lastRenderedPageBreak/>
        <w:t xml:space="preserve">población </w:t>
      </w:r>
      <w:r w:rsidRPr="00C70CCB">
        <w:rPr>
          <w:lang w:val="es-ES"/>
        </w:rPr>
        <w:fldChar w:fldCharType="begin" w:fldLock="1"/>
      </w:r>
      <w:r w:rsidRPr="00C70CCB">
        <w:rPr>
          <w:lang w:val="es-ES"/>
        </w:rPr>
        <w:instrText>ADDIN CSL_CITATION {"citationItems":[{"id":"ITEM-1","itemData":{"abstract":"Hernández Rodríguez, J. (2020). Impacto de la COVID-19 sobre la salud mental de las personas. Medicentro Electrónica, 24(3), 578-594.","author":[{"dropping-particle":"","family":"Hernández-Rodríguez","given":"J.","non-dropping-particle":"","parse-names":false,"suffix":""}],"container-title":"Medicentro Electrónica","id":"ITEM-1","issue":"3","issued":{"date-parts":[["2020"]]},"page":"578-594","title":"Impacto de la COVID-19 sobre la salud mental de las personas.","type":"article-journal","volume":"24"},"uris":["http://www.mendeley.com/documents/?uuid=d79be78d-90b4-4f43-b09a-ae5946c249e9"]}],"mendeley":{"formattedCitation":"(Hernández-Rodríguez, 2020)","plainTextFormattedCitation":"(Hernández-Rodríguez, 2020)","previouslyFormattedCitation":"(Hernández-Rodríguez, 2020)"},"properties":{"noteIndex":0},"schema":"https://github.com/citation-style-language/schema/raw/master/csl-citation.json"}</w:instrText>
      </w:r>
      <w:r w:rsidRPr="00C70CCB">
        <w:rPr>
          <w:lang w:val="es-ES"/>
        </w:rPr>
        <w:fldChar w:fldCharType="separate"/>
      </w:r>
      <w:r w:rsidRPr="00C70CCB">
        <w:rPr>
          <w:lang w:val="es-ES"/>
        </w:rPr>
        <w:t>(Hernández-Rodríguez, 2020)</w:t>
      </w:r>
      <w:r w:rsidRPr="00C70CCB">
        <w:rPr>
          <w:lang w:val="es-ES_tradnl"/>
        </w:rPr>
        <w:fldChar w:fldCharType="end"/>
      </w:r>
      <w:r w:rsidRPr="00C70CCB">
        <w:rPr>
          <w:lang w:val="es-ES"/>
        </w:rPr>
        <w:t xml:space="preserve">. En el caso dominicano, </w:t>
      </w:r>
      <w:r w:rsidRPr="00C70CCB">
        <w:rPr>
          <w:lang w:val="es-ES"/>
        </w:rPr>
        <w:fldChar w:fldCharType="begin" w:fldLock="1"/>
      </w:r>
      <w:r w:rsidRPr="00C70CCB">
        <w:rPr>
          <w:lang w:val="es-ES"/>
        </w:rPr>
        <w:instrText>ADDIN CSL_CITATION {"citationItems":[{"id":"ITEM-1","itemData":{"DOI":"10.4103/psychiatry.IndianJPsychiatry_1047_20","ISSN":"0019-5545","abstract":"Over the last half century, it is now well established that depression can occur at any age, and it has been documented as early as infancy. In terms of epidemiology, different studies which have evaluated the prevalence of depression in children and adolescents suggest that the prevalence varies according to the different age groups. Prevalence figures reported for infants vary from 0.5% to 3% in clinic population, whereas in preschool children, the prevalence rate for major depression (1.4%) has been reported to be higher than depression not otherwise specified (0.7%) and dysthymia (0.6%). Studies done in community settings suggest the prevalence of depression in children to range from 0.4% to 2.5% and among adolescents to be from 0.4% to 8.3%. Lifetime prevalence through adolescence is considered to be as high as 20%. Prior to puberty, depression is known to have equal gender representation; however, among adolescents, the male: female ratio is 1:2. Over the years, it has also been understood that depression in children and adolescents is a chronic and relapsing condition, which does not remits spontaneously and hence, there is a need to identify and treat the same at the earliest to reduce its long-term negative consequences. Childhood depression has been shown to lead to an increased risk of poor academic performance, impaired social functioning, suicidal behavior, homicidal ideation, and alcohol/substance abuse. It is also associated with an increased risk of recurrent depressive episodes. Unfortunately, a major proportion of depression in children and adolescents is underdiagnosed and undertreated.","author":[{"dropping-particle":"","family":"Peralta","given":"EddyA","non-dropping-particle":"","parse-names":false,"suffix":""},{"dropping-particle":"","family":"Taveras","given":"Marisol","non-dropping-particle":"","parse-names":false,"suffix":""}],"container-title":"Indian Journal of Psychiatry","id":"ITEM-1","issue":"9","issued":{"date-parts":[["2020"]]},"note":"En un estudio para evaluar la efectividad del uso de l telemedicina como herramienta de servicios de salud mental en la República Dominicana, se encontró que el 43% de los usuarios reportaban altos niveles de ansiedad y el 26%, dificultades para dormir.","page":"492","title":"Effectiveness of teleconsultation use in access to mental health services during the coronavirus disease 2019 pandemic in the Dominican Republic","type":"article-journal","volume":"62"},"uris":["http://www.mendeley.com/documents/?uuid=6d84e6ff-c176-4ec5-bf00-e696f48fb294"]}],"mendeley":{"formattedCitation":"(Peralta &amp; Taveras, 2020)","manualFormatting":"Peralta y Taveras (2020)","plainTextFormattedCitation":"(Peralta &amp; Taveras, 2020)","previouslyFormattedCitation":"(Peralta &amp; Taveras, 2020)"},"properties":{"noteIndex":0},"schema":"https://github.com/citation-style-language/schema/raw/master/csl-citation.json"}</w:instrText>
      </w:r>
      <w:r w:rsidRPr="00C70CCB">
        <w:rPr>
          <w:lang w:val="es-ES"/>
        </w:rPr>
        <w:fldChar w:fldCharType="separate"/>
      </w:r>
      <w:r w:rsidRPr="00C70CCB">
        <w:rPr>
          <w:lang w:val="es-ES"/>
        </w:rPr>
        <w:t>Peralta y Taveras (2020)</w:t>
      </w:r>
      <w:r w:rsidRPr="00C70CCB">
        <w:rPr>
          <w:lang w:val="es-ES_tradnl"/>
        </w:rPr>
        <w:fldChar w:fldCharType="end"/>
      </w:r>
      <w:r w:rsidRPr="00C70CCB">
        <w:rPr>
          <w:lang w:val="es-ES"/>
        </w:rPr>
        <w:t xml:space="preserve"> encontraron que la mayor demanda de servicios de salud mental por telemedicina durante la pandemia era por ansiedad (43%), dificultades para dormir (10.2%), desórdenes de estrés (6.1%), desórdenes de adaptación (6.1%) y conductas suicidas (2%). </w:t>
      </w:r>
    </w:p>
    <w:p w14:paraId="2D818233" w14:textId="77777777" w:rsidR="00C70CCB" w:rsidRPr="00C70CCB" w:rsidRDefault="00C70CCB" w:rsidP="00C70CCB">
      <w:pPr>
        <w:pStyle w:val="Prrafocomn"/>
        <w:spacing w:line="400" w:lineRule="exact"/>
        <w:rPr>
          <w:lang w:val="es-US"/>
        </w:rPr>
      </w:pPr>
      <w:r w:rsidRPr="00C70CCB">
        <w:rPr>
          <w:lang w:val="es-DO"/>
        </w:rPr>
        <w:t>Teniendo en cuenta que la cibercondría está asociada a preocupaciones por la salud y a la ansiedad, que la ansiedad es un tema recurrente en la búsqueda de ayuda de salud mental en los dominicanos durante la pandemia, y que los mecanismos de transmisión de información de salud no convencen a la población de seguir los protocolos, el primer propósito de este estudio fue determinar la relación entre cibercondría, ansiedad por salud, ansiedad rasgo y ansiedad estado en el contexto de pandemia en una muestra de adultos emergentes dominicanos. Determinamos si ansiedad por salud, ansiedad rasgo y la ansiedad estado predicen la cibercondría. El segundo propósito fue conocer las diferencias en cibercondría, ansiedad de salud y ansiedad entre participantes que se identificaran como personas en riesgo de complicaciones por COVID-19 y participantes que no. Hipotetizamos mayores niveles de ansiedad, cibercondría, ansiedad de salud en las personas que se consideran en riesgo de complicaciones por COVID-19. El tercer propósito fue explorar las probabilidades de cumplir criterios diagnósticos de ansiedad clínicamente significativa e hipocondriasis en los participantes en riesgo de complicaciones por COVID-19, comparadas con los que no están en riesgo.</w:t>
      </w:r>
    </w:p>
    <w:p w14:paraId="3BEA5576" w14:textId="77777777" w:rsidR="00012352" w:rsidRPr="0019293F" w:rsidRDefault="00012352" w:rsidP="00012352">
      <w:pPr>
        <w:pStyle w:val="Ttulosinternos"/>
        <w:rPr>
          <w:lang w:val="es-AR"/>
        </w:rPr>
      </w:pPr>
      <w:r w:rsidRPr="0019293F">
        <w:rPr>
          <w:lang w:val="es-AR"/>
        </w:rPr>
        <w:t>Método</w:t>
      </w:r>
    </w:p>
    <w:p w14:paraId="13E8D865" w14:textId="7A651D7C" w:rsidR="00C672C3" w:rsidRPr="00C70CCB" w:rsidRDefault="00C70CCB" w:rsidP="00471F54">
      <w:pPr>
        <w:pStyle w:val="SubtituloInterno"/>
        <w:rPr>
          <w:bCs/>
          <w:lang w:val="es-US"/>
        </w:rPr>
      </w:pPr>
      <w:r w:rsidRPr="00C70CCB">
        <w:rPr>
          <w:bCs/>
          <w:lang w:val="es-US"/>
        </w:rPr>
        <w:t>Diseño del Estudio</w:t>
      </w:r>
    </w:p>
    <w:p w14:paraId="4750AFBA" w14:textId="73C30826" w:rsidR="00C70CCB" w:rsidRPr="00C70CCB" w:rsidRDefault="00C70CCB" w:rsidP="00C70CCB">
      <w:pPr>
        <w:pStyle w:val="Prrafocomn"/>
        <w:rPr>
          <w:bCs/>
          <w:iCs/>
          <w:lang w:val="es-US"/>
        </w:rPr>
      </w:pPr>
      <w:r w:rsidRPr="00C70CCB">
        <w:rPr>
          <w:bCs/>
          <w:iCs/>
          <w:lang w:val="es-US"/>
        </w:rPr>
        <w:t>Este es un estudio transversal con una muestra no probabilística intencional.</w:t>
      </w:r>
    </w:p>
    <w:p w14:paraId="10F230EB" w14:textId="6377906A" w:rsidR="00714485" w:rsidRPr="00C70CCB" w:rsidRDefault="00C70CCB" w:rsidP="00471F54">
      <w:pPr>
        <w:pStyle w:val="SubtituloInterno"/>
        <w:rPr>
          <w:bCs/>
          <w:lang w:val="es-US"/>
        </w:rPr>
      </w:pPr>
      <w:r w:rsidRPr="00C70CCB">
        <w:rPr>
          <w:bCs/>
          <w:lang w:val="es-US"/>
        </w:rPr>
        <w:t>Participantes</w:t>
      </w:r>
    </w:p>
    <w:p w14:paraId="36AB19D6" w14:textId="2C0F7ED7" w:rsidR="00C70CCB" w:rsidRPr="00C70CCB" w:rsidRDefault="00C70CCB" w:rsidP="00C70CCB">
      <w:pPr>
        <w:pStyle w:val="Prrafocomn"/>
        <w:rPr>
          <w:bCs/>
          <w:lang w:val="es-DO"/>
        </w:rPr>
      </w:pPr>
      <w:r w:rsidRPr="00C70CCB">
        <w:rPr>
          <w:bCs/>
          <w:lang w:val="es-DO"/>
        </w:rPr>
        <w:t xml:space="preserve">Participaron adultos emergentes, residentes de Santo Domingo, República Dominicana. Se realizó un análisis de potencia </w:t>
      </w:r>
      <w:r w:rsidRPr="00C70CCB">
        <w:rPr>
          <w:bCs/>
          <w:i/>
          <w:iCs/>
          <w:lang w:val="es-DO"/>
        </w:rPr>
        <w:t>a priori</w:t>
      </w:r>
      <w:r w:rsidRPr="00C70CCB">
        <w:rPr>
          <w:bCs/>
          <w:lang w:val="es-DO"/>
        </w:rPr>
        <w:t xml:space="preserve"> para establecer el tamaño de la muestra para una regresión múltiple de tres predictores, con una potencia de .95 y un alfa de .05 que pudiera predecir un tamaño de efecto mediano (</w:t>
      </w:r>
      <w:r w:rsidRPr="00C70CCB">
        <w:rPr>
          <w:bCs/>
          <w:i/>
          <w:iCs/>
          <w:lang w:val="es-DO"/>
        </w:rPr>
        <w:t>f</w:t>
      </w:r>
      <w:r w:rsidRPr="00C70CCB">
        <w:rPr>
          <w:bCs/>
          <w:vertAlign w:val="superscript"/>
          <w:lang w:val="es-DO"/>
        </w:rPr>
        <w:t>2</w:t>
      </w:r>
      <w:r w:rsidRPr="00C70CCB">
        <w:rPr>
          <w:bCs/>
          <w:lang w:val="es-DO"/>
        </w:rPr>
        <w:t xml:space="preserve"> = .15). A partir de este análisis puede asumirse que un total de 89 participantes responde a dichos requerimientos.</w:t>
      </w:r>
    </w:p>
    <w:p w14:paraId="5D0B09A5" w14:textId="743CA9F3" w:rsidR="00C70CCB" w:rsidRDefault="00C70CCB" w:rsidP="00C70CCB">
      <w:pPr>
        <w:pStyle w:val="Prrafocomn"/>
        <w:rPr>
          <w:bCs/>
          <w:lang w:val="es-DO"/>
        </w:rPr>
      </w:pPr>
      <w:r w:rsidRPr="00C70CCB">
        <w:rPr>
          <w:bCs/>
          <w:lang w:val="es-DO"/>
        </w:rPr>
        <w:t>Cumplieron los criterios de inclusión 87 participantes, con una edad promedio de 24.39 años (</w:t>
      </w:r>
      <w:r w:rsidRPr="00C70CCB">
        <w:rPr>
          <w:bCs/>
          <w:i/>
          <w:iCs/>
          <w:lang w:val="es-DO"/>
        </w:rPr>
        <w:t>DT</w:t>
      </w:r>
      <w:r w:rsidRPr="00C70CCB">
        <w:rPr>
          <w:bCs/>
          <w:lang w:val="es-DO"/>
        </w:rPr>
        <w:t xml:space="preserve"> = 7.67), y pertenecían a una posición socioeconómica media-alta. Las demás variables sociodemográficas se encuentran en la Tabla 1.</w:t>
      </w:r>
    </w:p>
    <w:p w14:paraId="34A92080" w14:textId="77777777" w:rsidR="00C70CCB" w:rsidRPr="00EC31A6" w:rsidRDefault="00C70CCB" w:rsidP="00195707">
      <w:pPr>
        <w:pStyle w:val="Sinespaciado"/>
        <w:spacing w:line="360" w:lineRule="auto"/>
        <w:ind w:firstLine="0"/>
        <w:rPr>
          <w:rFonts w:ascii="Times New Roman" w:hAnsi="Times New Roman"/>
          <w:b/>
          <w:bCs/>
          <w:sz w:val="24"/>
          <w:szCs w:val="24"/>
          <w:lang w:val="es-ES"/>
        </w:rPr>
      </w:pPr>
      <w:r w:rsidRPr="00EC31A6">
        <w:rPr>
          <w:rFonts w:ascii="Times New Roman" w:hAnsi="Times New Roman"/>
          <w:b/>
          <w:bCs/>
          <w:sz w:val="24"/>
          <w:szCs w:val="24"/>
          <w:lang w:val="es-ES"/>
        </w:rPr>
        <w:lastRenderedPageBreak/>
        <w:t>Tabla 1</w:t>
      </w:r>
    </w:p>
    <w:p w14:paraId="57508FFC" w14:textId="77777777" w:rsidR="00C70CCB" w:rsidRPr="00EC31A6" w:rsidRDefault="00C70CCB" w:rsidP="00195707">
      <w:pPr>
        <w:pStyle w:val="Sinespaciado"/>
        <w:spacing w:line="360" w:lineRule="auto"/>
        <w:ind w:firstLine="0"/>
        <w:rPr>
          <w:rFonts w:ascii="Times New Roman" w:hAnsi="Times New Roman"/>
          <w:i/>
          <w:iCs/>
          <w:sz w:val="24"/>
          <w:szCs w:val="24"/>
          <w:lang w:val="es-ES"/>
        </w:rPr>
      </w:pPr>
      <w:r w:rsidRPr="00EC31A6">
        <w:rPr>
          <w:rFonts w:ascii="Times New Roman" w:hAnsi="Times New Roman"/>
          <w:i/>
          <w:iCs/>
          <w:sz w:val="24"/>
          <w:szCs w:val="24"/>
          <w:lang w:val="es-ES"/>
        </w:rPr>
        <w:t>Características Demográficas de los Participantes</w:t>
      </w:r>
    </w:p>
    <w:tbl>
      <w:tblPr>
        <w:tblW w:w="8505" w:type="dxa"/>
        <w:tblLook w:val="04A0" w:firstRow="1" w:lastRow="0" w:firstColumn="1" w:lastColumn="0" w:noHBand="0" w:noVBand="1"/>
      </w:tblPr>
      <w:tblGrid>
        <w:gridCol w:w="3544"/>
        <w:gridCol w:w="2126"/>
        <w:gridCol w:w="2835"/>
      </w:tblGrid>
      <w:tr w:rsidR="00C70CCB" w:rsidRPr="00EC31A6" w14:paraId="511753CD" w14:textId="77777777" w:rsidTr="00D56255">
        <w:trPr>
          <w:trHeight w:val="340"/>
        </w:trPr>
        <w:tc>
          <w:tcPr>
            <w:tcW w:w="3544" w:type="dxa"/>
            <w:tcBorders>
              <w:top w:val="single" w:sz="8" w:space="0" w:color="auto"/>
              <w:left w:val="nil"/>
              <w:bottom w:val="single" w:sz="8" w:space="0" w:color="auto"/>
              <w:right w:val="nil"/>
            </w:tcBorders>
            <w:shd w:val="clear" w:color="auto" w:fill="auto"/>
            <w:noWrap/>
            <w:vAlign w:val="center"/>
            <w:hideMark/>
          </w:tcPr>
          <w:p w14:paraId="48B0AD4F" w14:textId="77777777" w:rsidR="00C70CCB" w:rsidRPr="00596425" w:rsidRDefault="00C70CCB" w:rsidP="00596425">
            <w:pPr>
              <w:spacing w:line="360" w:lineRule="auto"/>
              <w:rPr>
                <w:b/>
                <w:lang w:eastAsia="en-US"/>
              </w:rPr>
            </w:pPr>
            <w:r w:rsidRPr="00596425">
              <w:rPr>
                <w:b/>
                <w:lang w:val="es-ES" w:eastAsia="en-US"/>
              </w:rPr>
              <w:t>Variable</w:t>
            </w:r>
          </w:p>
        </w:tc>
        <w:tc>
          <w:tcPr>
            <w:tcW w:w="2126" w:type="dxa"/>
            <w:tcBorders>
              <w:top w:val="single" w:sz="8" w:space="0" w:color="auto"/>
              <w:left w:val="nil"/>
              <w:bottom w:val="single" w:sz="8" w:space="0" w:color="auto"/>
              <w:right w:val="nil"/>
            </w:tcBorders>
            <w:shd w:val="clear" w:color="auto" w:fill="auto"/>
            <w:noWrap/>
            <w:vAlign w:val="center"/>
            <w:hideMark/>
          </w:tcPr>
          <w:p w14:paraId="3CF585B8" w14:textId="77777777" w:rsidR="00C70CCB" w:rsidRPr="00596425" w:rsidRDefault="00C70CCB" w:rsidP="009743A8">
            <w:pPr>
              <w:spacing w:line="360" w:lineRule="auto"/>
              <w:jc w:val="center"/>
              <w:rPr>
                <w:b/>
                <w:lang w:eastAsia="en-US"/>
              </w:rPr>
            </w:pPr>
            <w:r w:rsidRPr="00596425">
              <w:rPr>
                <w:b/>
                <w:lang w:val="es-ES" w:eastAsia="en-US"/>
              </w:rPr>
              <w:t>Frecuencia</w:t>
            </w:r>
          </w:p>
        </w:tc>
        <w:tc>
          <w:tcPr>
            <w:tcW w:w="2835" w:type="dxa"/>
            <w:tcBorders>
              <w:top w:val="single" w:sz="8" w:space="0" w:color="auto"/>
              <w:left w:val="nil"/>
              <w:bottom w:val="single" w:sz="8" w:space="0" w:color="auto"/>
              <w:right w:val="nil"/>
            </w:tcBorders>
            <w:shd w:val="clear" w:color="auto" w:fill="auto"/>
            <w:noWrap/>
            <w:vAlign w:val="center"/>
            <w:hideMark/>
          </w:tcPr>
          <w:p w14:paraId="3217AB67" w14:textId="77777777" w:rsidR="00C70CCB" w:rsidRPr="00596425" w:rsidRDefault="00C70CCB" w:rsidP="009743A8">
            <w:pPr>
              <w:spacing w:line="360" w:lineRule="auto"/>
              <w:jc w:val="center"/>
              <w:rPr>
                <w:b/>
                <w:lang w:eastAsia="en-US"/>
              </w:rPr>
            </w:pPr>
            <w:r w:rsidRPr="00596425">
              <w:rPr>
                <w:b/>
                <w:lang w:val="es-ES" w:eastAsia="en-US"/>
              </w:rPr>
              <w:t>%</w:t>
            </w:r>
          </w:p>
        </w:tc>
      </w:tr>
      <w:tr w:rsidR="00C70CCB" w:rsidRPr="00EC31A6" w14:paraId="071D4ED9" w14:textId="77777777" w:rsidTr="00D56255">
        <w:trPr>
          <w:trHeight w:val="320"/>
        </w:trPr>
        <w:tc>
          <w:tcPr>
            <w:tcW w:w="3544" w:type="dxa"/>
            <w:tcBorders>
              <w:top w:val="nil"/>
              <w:left w:val="nil"/>
              <w:bottom w:val="nil"/>
              <w:right w:val="nil"/>
            </w:tcBorders>
            <w:shd w:val="clear" w:color="auto" w:fill="auto"/>
            <w:noWrap/>
            <w:vAlign w:val="center"/>
            <w:hideMark/>
          </w:tcPr>
          <w:p w14:paraId="06F6C0F5" w14:textId="77777777" w:rsidR="00C70CCB" w:rsidRPr="00EC31A6" w:rsidRDefault="00C70CCB" w:rsidP="009743A8">
            <w:pPr>
              <w:spacing w:line="360" w:lineRule="auto"/>
              <w:rPr>
                <w:lang w:eastAsia="en-US"/>
              </w:rPr>
            </w:pPr>
            <w:r w:rsidRPr="00EC31A6">
              <w:rPr>
                <w:lang w:val="es-ES" w:eastAsia="en-US"/>
              </w:rPr>
              <w:t>Sexo</w:t>
            </w:r>
          </w:p>
        </w:tc>
        <w:tc>
          <w:tcPr>
            <w:tcW w:w="2126" w:type="dxa"/>
            <w:tcBorders>
              <w:top w:val="nil"/>
              <w:left w:val="nil"/>
              <w:bottom w:val="nil"/>
              <w:right w:val="nil"/>
            </w:tcBorders>
            <w:shd w:val="clear" w:color="auto" w:fill="auto"/>
            <w:noWrap/>
            <w:vAlign w:val="bottom"/>
            <w:hideMark/>
          </w:tcPr>
          <w:p w14:paraId="4355368B" w14:textId="77777777" w:rsidR="00C70CCB" w:rsidRPr="00EC31A6" w:rsidRDefault="00C70CCB" w:rsidP="009743A8">
            <w:pPr>
              <w:spacing w:line="360" w:lineRule="auto"/>
              <w:rPr>
                <w:lang w:eastAsia="en-US"/>
              </w:rPr>
            </w:pPr>
          </w:p>
        </w:tc>
        <w:tc>
          <w:tcPr>
            <w:tcW w:w="2835" w:type="dxa"/>
            <w:tcBorders>
              <w:top w:val="nil"/>
              <w:left w:val="nil"/>
              <w:bottom w:val="nil"/>
              <w:right w:val="nil"/>
            </w:tcBorders>
            <w:shd w:val="clear" w:color="auto" w:fill="auto"/>
            <w:noWrap/>
            <w:vAlign w:val="bottom"/>
            <w:hideMark/>
          </w:tcPr>
          <w:p w14:paraId="371A4D89" w14:textId="77777777" w:rsidR="00C70CCB" w:rsidRPr="00EC31A6" w:rsidRDefault="00C70CCB" w:rsidP="009743A8">
            <w:pPr>
              <w:spacing w:line="360" w:lineRule="auto"/>
              <w:rPr>
                <w:lang w:eastAsia="en-US"/>
              </w:rPr>
            </w:pPr>
          </w:p>
        </w:tc>
      </w:tr>
      <w:tr w:rsidR="00C70CCB" w:rsidRPr="00EC31A6" w14:paraId="6F9BF71F" w14:textId="77777777" w:rsidTr="00D56255">
        <w:trPr>
          <w:trHeight w:val="320"/>
        </w:trPr>
        <w:tc>
          <w:tcPr>
            <w:tcW w:w="3544" w:type="dxa"/>
            <w:tcBorders>
              <w:top w:val="nil"/>
              <w:left w:val="nil"/>
              <w:bottom w:val="nil"/>
              <w:right w:val="nil"/>
            </w:tcBorders>
            <w:shd w:val="clear" w:color="auto" w:fill="auto"/>
            <w:noWrap/>
            <w:vAlign w:val="center"/>
            <w:hideMark/>
          </w:tcPr>
          <w:p w14:paraId="0A6698A7" w14:textId="77777777" w:rsidR="00C70CCB" w:rsidRPr="00EC31A6" w:rsidRDefault="00C70CCB" w:rsidP="009743A8">
            <w:pPr>
              <w:spacing w:line="360" w:lineRule="auto"/>
              <w:rPr>
                <w:lang w:eastAsia="en-US"/>
              </w:rPr>
            </w:pPr>
            <w:r w:rsidRPr="00EC31A6">
              <w:rPr>
                <w:lang w:val="es-ES" w:eastAsia="en-US"/>
              </w:rPr>
              <w:t xml:space="preserve">     Hombre</w:t>
            </w:r>
          </w:p>
        </w:tc>
        <w:tc>
          <w:tcPr>
            <w:tcW w:w="2126" w:type="dxa"/>
            <w:tcBorders>
              <w:top w:val="nil"/>
              <w:left w:val="nil"/>
              <w:bottom w:val="nil"/>
              <w:right w:val="nil"/>
            </w:tcBorders>
            <w:shd w:val="clear" w:color="auto" w:fill="auto"/>
            <w:noWrap/>
            <w:vAlign w:val="center"/>
            <w:hideMark/>
          </w:tcPr>
          <w:p w14:paraId="1CFAEC87" w14:textId="77777777" w:rsidR="00C70CCB" w:rsidRPr="00EC31A6" w:rsidRDefault="00C70CCB" w:rsidP="009743A8">
            <w:pPr>
              <w:spacing w:line="360" w:lineRule="auto"/>
              <w:jc w:val="center"/>
              <w:rPr>
                <w:lang w:eastAsia="en-US"/>
              </w:rPr>
            </w:pPr>
            <w:r w:rsidRPr="00EC31A6">
              <w:rPr>
                <w:lang w:val="es-ES" w:eastAsia="en-US"/>
              </w:rPr>
              <w:t>20</w:t>
            </w:r>
          </w:p>
        </w:tc>
        <w:tc>
          <w:tcPr>
            <w:tcW w:w="2835" w:type="dxa"/>
            <w:tcBorders>
              <w:top w:val="nil"/>
              <w:left w:val="nil"/>
              <w:bottom w:val="nil"/>
              <w:right w:val="nil"/>
            </w:tcBorders>
            <w:shd w:val="clear" w:color="auto" w:fill="auto"/>
            <w:noWrap/>
            <w:vAlign w:val="center"/>
            <w:hideMark/>
          </w:tcPr>
          <w:p w14:paraId="6150B0D0" w14:textId="77777777" w:rsidR="00C70CCB" w:rsidRPr="00EC31A6" w:rsidRDefault="00C70CCB" w:rsidP="009743A8">
            <w:pPr>
              <w:spacing w:line="360" w:lineRule="auto"/>
              <w:jc w:val="center"/>
              <w:rPr>
                <w:lang w:eastAsia="en-US"/>
              </w:rPr>
            </w:pPr>
            <w:r w:rsidRPr="00EC31A6">
              <w:rPr>
                <w:lang w:eastAsia="en-US"/>
              </w:rPr>
              <w:t>22.99%</w:t>
            </w:r>
          </w:p>
        </w:tc>
      </w:tr>
      <w:tr w:rsidR="00C70CCB" w:rsidRPr="00EC31A6" w14:paraId="0D7DDC2B" w14:textId="77777777" w:rsidTr="00D56255">
        <w:trPr>
          <w:trHeight w:val="320"/>
        </w:trPr>
        <w:tc>
          <w:tcPr>
            <w:tcW w:w="3544" w:type="dxa"/>
            <w:tcBorders>
              <w:top w:val="nil"/>
              <w:left w:val="nil"/>
              <w:bottom w:val="nil"/>
              <w:right w:val="nil"/>
            </w:tcBorders>
            <w:shd w:val="clear" w:color="auto" w:fill="auto"/>
            <w:noWrap/>
            <w:vAlign w:val="center"/>
            <w:hideMark/>
          </w:tcPr>
          <w:p w14:paraId="4D645F1D" w14:textId="77777777" w:rsidR="00C70CCB" w:rsidRPr="00EC31A6" w:rsidRDefault="00C70CCB" w:rsidP="009743A8">
            <w:pPr>
              <w:spacing w:line="360" w:lineRule="auto"/>
              <w:rPr>
                <w:lang w:eastAsia="en-US"/>
              </w:rPr>
            </w:pPr>
            <w:r w:rsidRPr="00EC31A6">
              <w:rPr>
                <w:lang w:val="es-ES" w:eastAsia="en-US"/>
              </w:rPr>
              <w:t xml:space="preserve">     Mujer</w:t>
            </w:r>
          </w:p>
        </w:tc>
        <w:tc>
          <w:tcPr>
            <w:tcW w:w="2126" w:type="dxa"/>
            <w:tcBorders>
              <w:top w:val="nil"/>
              <w:left w:val="nil"/>
              <w:bottom w:val="nil"/>
              <w:right w:val="nil"/>
            </w:tcBorders>
            <w:shd w:val="clear" w:color="auto" w:fill="auto"/>
            <w:noWrap/>
            <w:vAlign w:val="center"/>
            <w:hideMark/>
          </w:tcPr>
          <w:p w14:paraId="1EA1C94F" w14:textId="77777777" w:rsidR="00C70CCB" w:rsidRPr="00EC31A6" w:rsidRDefault="00C70CCB" w:rsidP="009743A8">
            <w:pPr>
              <w:spacing w:line="360" w:lineRule="auto"/>
              <w:jc w:val="center"/>
              <w:rPr>
                <w:lang w:eastAsia="en-US"/>
              </w:rPr>
            </w:pPr>
            <w:r w:rsidRPr="00EC31A6">
              <w:rPr>
                <w:lang w:val="es-ES" w:eastAsia="en-US"/>
              </w:rPr>
              <w:t>65</w:t>
            </w:r>
          </w:p>
        </w:tc>
        <w:tc>
          <w:tcPr>
            <w:tcW w:w="2835" w:type="dxa"/>
            <w:tcBorders>
              <w:top w:val="nil"/>
              <w:left w:val="nil"/>
              <w:bottom w:val="nil"/>
              <w:right w:val="nil"/>
            </w:tcBorders>
            <w:shd w:val="clear" w:color="auto" w:fill="auto"/>
            <w:noWrap/>
            <w:vAlign w:val="center"/>
            <w:hideMark/>
          </w:tcPr>
          <w:p w14:paraId="3FB49326" w14:textId="77777777" w:rsidR="00C70CCB" w:rsidRPr="00EC31A6" w:rsidRDefault="00C70CCB" w:rsidP="009743A8">
            <w:pPr>
              <w:spacing w:line="360" w:lineRule="auto"/>
              <w:jc w:val="center"/>
              <w:rPr>
                <w:lang w:eastAsia="en-US"/>
              </w:rPr>
            </w:pPr>
            <w:r w:rsidRPr="00EC31A6">
              <w:rPr>
                <w:lang w:eastAsia="en-US"/>
              </w:rPr>
              <w:t>74.71%</w:t>
            </w:r>
          </w:p>
        </w:tc>
      </w:tr>
      <w:tr w:rsidR="00C70CCB" w:rsidRPr="00EC31A6" w14:paraId="2B6B67B5" w14:textId="77777777" w:rsidTr="00D56255">
        <w:trPr>
          <w:trHeight w:val="320"/>
        </w:trPr>
        <w:tc>
          <w:tcPr>
            <w:tcW w:w="3544" w:type="dxa"/>
            <w:tcBorders>
              <w:top w:val="nil"/>
              <w:left w:val="nil"/>
              <w:bottom w:val="nil"/>
              <w:right w:val="nil"/>
            </w:tcBorders>
            <w:shd w:val="clear" w:color="auto" w:fill="auto"/>
            <w:noWrap/>
            <w:vAlign w:val="center"/>
            <w:hideMark/>
          </w:tcPr>
          <w:p w14:paraId="30741C6A" w14:textId="77777777" w:rsidR="00C70CCB" w:rsidRPr="00EC31A6" w:rsidRDefault="00C70CCB" w:rsidP="009743A8">
            <w:pPr>
              <w:spacing w:line="360" w:lineRule="auto"/>
              <w:rPr>
                <w:lang w:eastAsia="en-US"/>
              </w:rPr>
            </w:pPr>
            <w:r w:rsidRPr="00EC31A6">
              <w:rPr>
                <w:lang w:val="es-ES" w:eastAsia="en-US"/>
              </w:rPr>
              <w:t xml:space="preserve">     Otro</w:t>
            </w:r>
          </w:p>
        </w:tc>
        <w:tc>
          <w:tcPr>
            <w:tcW w:w="2126" w:type="dxa"/>
            <w:tcBorders>
              <w:top w:val="nil"/>
              <w:left w:val="nil"/>
              <w:bottom w:val="nil"/>
              <w:right w:val="nil"/>
            </w:tcBorders>
            <w:shd w:val="clear" w:color="auto" w:fill="auto"/>
            <w:noWrap/>
            <w:vAlign w:val="center"/>
            <w:hideMark/>
          </w:tcPr>
          <w:p w14:paraId="7172CA39" w14:textId="77777777" w:rsidR="00C70CCB" w:rsidRPr="00EC31A6" w:rsidRDefault="00C70CCB" w:rsidP="009743A8">
            <w:pPr>
              <w:spacing w:line="360" w:lineRule="auto"/>
              <w:jc w:val="center"/>
              <w:rPr>
                <w:lang w:eastAsia="en-US"/>
              </w:rPr>
            </w:pPr>
            <w:r w:rsidRPr="00EC31A6">
              <w:rPr>
                <w:lang w:val="es-ES" w:eastAsia="en-US"/>
              </w:rPr>
              <w:t>2</w:t>
            </w:r>
          </w:p>
        </w:tc>
        <w:tc>
          <w:tcPr>
            <w:tcW w:w="2835" w:type="dxa"/>
            <w:tcBorders>
              <w:top w:val="nil"/>
              <w:left w:val="nil"/>
              <w:bottom w:val="nil"/>
              <w:right w:val="nil"/>
            </w:tcBorders>
            <w:shd w:val="clear" w:color="auto" w:fill="auto"/>
            <w:noWrap/>
            <w:vAlign w:val="center"/>
            <w:hideMark/>
          </w:tcPr>
          <w:p w14:paraId="5BC4E3FE" w14:textId="77777777" w:rsidR="00C70CCB" w:rsidRPr="00EC31A6" w:rsidRDefault="00C70CCB" w:rsidP="009743A8">
            <w:pPr>
              <w:spacing w:line="360" w:lineRule="auto"/>
              <w:jc w:val="center"/>
              <w:rPr>
                <w:lang w:eastAsia="en-US"/>
              </w:rPr>
            </w:pPr>
          </w:p>
        </w:tc>
      </w:tr>
      <w:tr w:rsidR="00C70CCB" w:rsidRPr="00EC31A6" w14:paraId="787B4AD8" w14:textId="77777777" w:rsidTr="00D56255">
        <w:trPr>
          <w:trHeight w:val="320"/>
        </w:trPr>
        <w:tc>
          <w:tcPr>
            <w:tcW w:w="3544" w:type="dxa"/>
            <w:tcBorders>
              <w:top w:val="nil"/>
              <w:left w:val="nil"/>
              <w:bottom w:val="nil"/>
              <w:right w:val="nil"/>
            </w:tcBorders>
            <w:shd w:val="clear" w:color="auto" w:fill="auto"/>
            <w:noWrap/>
            <w:vAlign w:val="center"/>
            <w:hideMark/>
          </w:tcPr>
          <w:p w14:paraId="52765BD3" w14:textId="77777777" w:rsidR="00C70CCB" w:rsidRPr="00EC31A6" w:rsidRDefault="00C70CCB" w:rsidP="009743A8">
            <w:pPr>
              <w:spacing w:line="360" w:lineRule="auto"/>
              <w:rPr>
                <w:lang w:eastAsia="en-US"/>
              </w:rPr>
            </w:pPr>
            <w:r w:rsidRPr="00EC31A6">
              <w:rPr>
                <w:lang w:val="es-ES" w:eastAsia="en-US"/>
              </w:rPr>
              <w:t>Tipo de relación</w:t>
            </w:r>
          </w:p>
        </w:tc>
        <w:tc>
          <w:tcPr>
            <w:tcW w:w="2126" w:type="dxa"/>
            <w:tcBorders>
              <w:top w:val="nil"/>
              <w:left w:val="nil"/>
              <w:bottom w:val="nil"/>
              <w:right w:val="nil"/>
            </w:tcBorders>
            <w:shd w:val="clear" w:color="auto" w:fill="auto"/>
            <w:noWrap/>
            <w:vAlign w:val="bottom"/>
            <w:hideMark/>
          </w:tcPr>
          <w:p w14:paraId="21AD9C06" w14:textId="77777777" w:rsidR="00C70CCB" w:rsidRPr="00EC31A6" w:rsidRDefault="00C70CCB" w:rsidP="009743A8">
            <w:pPr>
              <w:spacing w:line="360" w:lineRule="auto"/>
              <w:rPr>
                <w:lang w:eastAsia="en-US"/>
              </w:rPr>
            </w:pPr>
          </w:p>
        </w:tc>
        <w:tc>
          <w:tcPr>
            <w:tcW w:w="2835" w:type="dxa"/>
            <w:tcBorders>
              <w:top w:val="nil"/>
              <w:left w:val="nil"/>
              <w:bottom w:val="nil"/>
              <w:right w:val="nil"/>
            </w:tcBorders>
            <w:shd w:val="clear" w:color="auto" w:fill="auto"/>
            <w:noWrap/>
            <w:vAlign w:val="bottom"/>
            <w:hideMark/>
          </w:tcPr>
          <w:p w14:paraId="1C475B03" w14:textId="77777777" w:rsidR="00C70CCB" w:rsidRPr="00EC31A6" w:rsidRDefault="00C70CCB" w:rsidP="009743A8">
            <w:pPr>
              <w:spacing w:line="360" w:lineRule="auto"/>
              <w:rPr>
                <w:lang w:eastAsia="en-US"/>
              </w:rPr>
            </w:pPr>
          </w:p>
        </w:tc>
      </w:tr>
      <w:tr w:rsidR="00C70CCB" w:rsidRPr="00EC31A6" w14:paraId="591421A7" w14:textId="77777777" w:rsidTr="00D56255">
        <w:trPr>
          <w:trHeight w:val="320"/>
        </w:trPr>
        <w:tc>
          <w:tcPr>
            <w:tcW w:w="3544" w:type="dxa"/>
            <w:tcBorders>
              <w:top w:val="nil"/>
              <w:left w:val="nil"/>
              <w:bottom w:val="nil"/>
              <w:right w:val="nil"/>
            </w:tcBorders>
            <w:shd w:val="clear" w:color="auto" w:fill="auto"/>
            <w:noWrap/>
            <w:vAlign w:val="center"/>
            <w:hideMark/>
          </w:tcPr>
          <w:p w14:paraId="2CF3289F" w14:textId="77777777" w:rsidR="00C70CCB" w:rsidRPr="00EC31A6" w:rsidRDefault="00C70CCB" w:rsidP="009743A8">
            <w:pPr>
              <w:spacing w:line="360" w:lineRule="auto"/>
              <w:rPr>
                <w:lang w:eastAsia="en-US"/>
              </w:rPr>
            </w:pPr>
            <w:r w:rsidRPr="00EC31A6">
              <w:rPr>
                <w:lang w:val="es-ES" w:eastAsia="en-US"/>
              </w:rPr>
              <w:t xml:space="preserve">     Casado</w:t>
            </w:r>
          </w:p>
        </w:tc>
        <w:tc>
          <w:tcPr>
            <w:tcW w:w="2126" w:type="dxa"/>
            <w:tcBorders>
              <w:top w:val="nil"/>
              <w:left w:val="nil"/>
              <w:bottom w:val="nil"/>
              <w:right w:val="nil"/>
            </w:tcBorders>
            <w:shd w:val="clear" w:color="auto" w:fill="auto"/>
            <w:noWrap/>
            <w:vAlign w:val="center"/>
            <w:hideMark/>
          </w:tcPr>
          <w:p w14:paraId="076A21D3" w14:textId="77777777" w:rsidR="00C70CCB" w:rsidRPr="00EC31A6" w:rsidRDefault="00C70CCB" w:rsidP="009743A8">
            <w:pPr>
              <w:spacing w:line="360" w:lineRule="auto"/>
              <w:jc w:val="center"/>
              <w:rPr>
                <w:lang w:eastAsia="en-US"/>
              </w:rPr>
            </w:pPr>
            <w:r w:rsidRPr="00EC31A6">
              <w:rPr>
                <w:lang w:val="es-ES" w:eastAsia="en-US"/>
              </w:rPr>
              <w:t>7</w:t>
            </w:r>
          </w:p>
        </w:tc>
        <w:tc>
          <w:tcPr>
            <w:tcW w:w="2835" w:type="dxa"/>
            <w:tcBorders>
              <w:top w:val="nil"/>
              <w:left w:val="nil"/>
              <w:bottom w:val="nil"/>
              <w:right w:val="nil"/>
            </w:tcBorders>
            <w:shd w:val="clear" w:color="auto" w:fill="auto"/>
            <w:noWrap/>
            <w:vAlign w:val="center"/>
            <w:hideMark/>
          </w:tcPr>
          <w:p w14:paraId="0DA048C3" w14:textId="77777777" w:rsidR="00C70CCB" w:rsidRPr="00EC31A6" w:rsidRDefault="00C70CCB" w:rsidP="009743A8">
            <w:pPr>
              <w:spacing w:line="360" w:lineRule="auto"/>
              <w:jc w:val="center"/>
              <w:rPr>
                <w:lang w:eastAsia="en-US"/>
              </w:rPr>
            </w:pPr>
            <w:r w:rsidRPr="00EC31A6">
              <w:rPr>
                <w:lang w:eastAsia="en-US"/>
              </w:rPr>
              <w:t>8.05%</w:t>
            </w:r>
          </w:p>
        </w:tc>
      </w:tr>
      <w:tr w:rsidR="00C70CCB" w:rsidRPr="00EC31A6" w14:paraId="545E1B61" w14:textId="77777777" w:rsidTr="00D56255">
        <w:trPr>
          <w:trHeight w:val="320"/>
        </w:trPr>
        <w:tc>
          <w:tcPr>
            <w:tcW w:w="3544" w:type="dxa"/>
            <w:tcBorders>
              <w:top w:val="nil"/>
              <w:left w:val="nil"/>
              <w:bottom w:val="nil"/>
              <w:right w:val="nil"/>
            </w:tcBorders>
            <w:shd w:val="clear" w:color="auto" w:fill="auto"/>
            <w:noWrap/>
            <w:vAlign w:val="center"/>
            <w:hideMark/>
          </w:tcPr>
          <w:p w14:paraId="745BE213" w14:textId="77777777" w:rsidR="00C70CCB" w:rsidRPr="00EC31A6" w:rsidRDefault="00C70CCB" w:rsidP="009743A8">
            <w:pPr>
              <w:spacing w:line="360" w:lineRule="auto"/>
              <w:rPr>
                <w:lang w:eastAsia="en-US"/>
              </w:rPr>
            </w:pPr>
            <w:r w:rsidRPr="00EC31A6">
              <w:rPr>
                <w:lang w:val="es-ES" w:eastAsia="en-US"/>
              </w:rPr>
              <w:t xml:space="preserve">     Divorciado</w:t>
            </w:r>
          </w:p>
        </w:tc>
        <w:tc>
          <w:tcPr>
            <w:tcW w:w="2126" w:type="dxa"/>
            <w:tcBorders>
              <w:top w:val="nil"/>
              <w:left w:val="nil"/>
              <w:bottom w:val="nil"/>
              <w:right w:val="nil"/>
            </w:tcBorders>
            <w:shd w:val="clear" w:color="auto" w:fill="auto"/>
            <w:noWrap/>
            <w:vAlign w:val="center"/>
            <w:hideMark/>
          </w:tcPr>
          <w:p w14:paraId="03FCEE03" w14:textId="77777777" w:rsidR="00C70CCB" w:rsidRPr="00EC31A6" w:rsidRDefault="00C70CCB" w:rsidP="009743A8">
            <w:pPr>
              <w:spacing w:line="360" w:lineRule="auto"/>
              <w:jc w:val="center"/>
              <w:rPr>
                <w:lang w:eastAsia="en-US"/>
              </w:rPr>
            </w:pPr>
            <w:r w:rsidRPr="00EC31A6">
              <w:rPr>
                <w:lang w:val="es-ES" w:eastAsia="en-US"/>
              </w:rPr>
              <w:t>1</w:t>
            </w:r>
          </w:p>
        </w:tc>
        <w:tc>
          <w:tcPr>
            <w:tcW w:w="2835" w:type="dxa"/>
            <w:tcBorders>
              <w:top w:val="nil"/>
              <w:left w:val="nil"/>
              <w:bottom w:val="nil"/>
              <w:right w:val="nil"/>
            </w:tcBorders>
            <w:shd w:val="clear" w:color="auto" w:fill="auto"/>
            <w:noWrap/>
            <w:vAlign w:val="center"/>
            <w:hideMark/>
          </w:tcPr>
          <w:p w14:paraId="1943AD5A" w14:textId="77777777" w:rsidR="00C70CCB" w:rsidRPr="00EC31A6" w:rsidRDefault="00C70CCB" w:rsidP="009743A8">
            <w:pPr>
              <w:spacing w:line="360" w:lineRule="auto"/>
              <w:jc w:val="center"/>
              <w:rPr>
                <w:lang w:eastAsia="en-US"/>
              </w:rPr>
            </w:pPr>
            <w:r w:rsidRPr="00EC31A6">
              <w:rPr>
                <w:lang w:eastAsia="en-US"/>
              </w:rPr>
              <w:t>1.15%</w:t>
            </w:r>
          </w:p>
        </w:tc>
      </w:tr>
      <w:tr w:rsidR="00C70CCB" w:rsidRPr="00EC31A6" w14:paraId="7CF6EE48" w14:textId="77777777" w:rsidTr="00D56255">
        <w:trPr>
          <w:trHeight w:val="320"/>
        </w:trPr>
        <w:tc>
          <w:tcPr>
            <w:tcW w:w="3544" w:type="dxa"/>
            <w:tcBorders>
              <w:top w:val="nil"/>
              <w:left w:val="nil"/>
              <w:bottom w:val="nil"/>
              <w:right w:val="nil"/>
            </w:tcBorders>
            <w:shd w:val="clear" w:color="auto" w:fill="auto"/>
            <w:noWrap/>
            <w:vAlign w:val="center"/>
            <w:hideMark/>
          </w:tcPr>
          <w:p w14:paraId="394D2F3B" w14:textId="77777777" w:rsidR="00C70CCB" w:rsidRPr="00EC31A6" w:rsidRDefault="00C70CCB" w:rsidP="009743A8">
            <w:pPr>
              <w:spacing w:line="360" w:lineRule="auto"/>
              <w:rPr>
                <w:lang w:eastAsia="en-US"/>
              </w:rPr>
            </w:pPr>
            <w:r w:rsidRPr="00EC31A6">
              <w:rPr>
                <w:lang w:val="es-ES" w:eastAsia="en-US"/>
              </w:rPr>
              <w:t xml:space="preserve">     Soltero</w:t>
            </w:r>
          </w:p>
        </w:tc>
        <w:tc>
          <w:tcPr>
            <w:tcW w:w="2126" w:type="dxa"/>
            <w:tcBorders>
              <w:top w:val="nil"/>
              <w:left w:val="nil"/>
              <w:bottom w:val="nil"/>
              <w:right w:val="nil"/>
            </w:tcBorders>
            <w:shd w:val="clear" w:color="auto" w:fill="auto"/>
            <w:noWrap/>
            <w:vAlign w:val="center"/>
            <w:hideMark/>
          </w:tcPr>
          <w:p w14:paraId="6119BFDA" w14:textId="77777777" w:rsidR="00C70CCB" w:rsidRPr="00EC31A6" w:rsidRDefault="00C70CCB" w:rsidP="009743A8">
            <w:pPr>
              <w:spacing w:line="360" w:lineRule="auto"/>
              <w:jc w:val="center"/>
              <w:rPr>
                <w:lang w:eastAsia="en-US"/>
              </w:rPr>
            </w:pPr>
            <w:r w:rsidRPr="00EC31A6">
              <w:rPr>
                <w:lang w:val="es-ES" w:eastAsia="en-US"/>
              </w:rPr>
              <w:t>76</w:t>
            </w:r>
          </w:p>
        </w:tc>
        <w:tc>
          <w:tcPr>
            <w:tcW w:w="2835" w:type="dxa"/>
            <w:tcBorders>
              <w:top w:val="nil"/>
              <w:left w:val="nil"/>
              <w:bottom w:val="nil"/>
              <w:right w:val="nil"/>
            </w:tcBorders>
            <w:shd w:val="clear" w:color="auto" w:fill="auto"/>
            <w:noWrap/>
            <w:vAlign w:val="center"/>
            <w:hideMark/>
          </w:tcPr>
          <w:p w14:paraId="33E1EABC" w14:textId="77777777" w:rsidR="00C70CCB" w:rsidRPr="00EC31A6" w:rsidRDefault="00C70CCB" w:rsidP="009743A8">
            <w:pPr>
              <w:spacing w:line="360" w:lineRule="auto"/>
              <w:jc w:val="center"/>
              <w:rPr>
                <w:lang w:eastAsia="en-US"/>
              </w:rPr>
            </w:pPr>
            <w:r w:rsidRPr="00EC31A6">
              <w:rPr>
                <w:lang w:eastAsia="en-US"/>
              </w:rPr>
              <w:t>87.36%</w:t>
            </w:r>
          </w:p>
        </w:tc>
      </w:tr>
      <w:tr w:rsidR="00C70CCB" w:rsidRPr="00EC31A6" w14:paraId="67AC33DB" w14:textId="77777777" w:rsidTr="00D56255">
        <w:trPr>
          <w:trHeight w:val="320"/>
        </w:trPr>
        <w:tc>
          <w:tcPr>
            <w:tcW w:w="3544" w:type="dxa"/>
            <w:tcBorders>
              <w:top w:val="nil"/>
              <w:left w:val="nil"/>
              <w:bottom w:val="nil"/>
              <w:right w:val="nil"/>
            </w:tcBorders>
            <w:shd w:val="clear" w:color="auto" w:fill="auto"/>
            <w:noWrap/>
            <w:vAlign w:val="center"/>
            <w:hideMark/>
          </w:tcPr>
          <w:p w14:paraId="28204502" w14:textId="77777777" w:rsidR="00C70CCB" w:rsidRPr="00EC31A6" w:rsidRDefault="00C70CCB" w:rsidP="009743A8">
            <w:pPr>
              <w:spacing w:line="360" w:lineRule="auto"/>
              <w:rPr>
                <w:lang w:eastAsia="en-US"/>
              </w:rPr>
            </w:pPr>
            <w:r w:rsidRPr="00EC31A6">
              <w:rPr>
                <w:lang w:val="es-ES" w:eastAsia="en-US"/>
              </w:rPr>
              <w:t xml:space="preserve">     Unión libre</w:t>
            </w:r>
          </w:p>
        </w:tc>
        <w:tc>
          <w:tcPr>
            <w:tcW w:w="2126" w:type="dxa"/>
            <w:tcBorders>
              <w:top w:val="nil"/>
              <w:left w:val="nil"/>
              <w:bottom w:val="nil"/>
              <w:right w:val="nil"/>
            </w:tcBorders>
            <w:shd w:val="clear" w:color="auto" w:fill="auto"/>
            <w:noWrap/>
            <w:vAlign w:val="center"/>
            <w:hideMark/>
          </w:tcPr>
          <w:p w14:paraId="79041326" w14:textId="77777777" w:rsidR="00C70CCB" w:rsidRPr="00EC31A6" w:rsidRDefault="00C70CCB" w:rsidP="009743A8">
            <w:pPr>
              <w:spacing w:line="360" w:lineRule="auto"/>
              <w:jc w:val="center"/>
              <w:rPr>
                <w:lang w:eastAsia="en-US"/>
              </w:rPr>
            </w:pPr>
            <w:r w:rsidRPr="00EC31A6">
              <w:rPr>
                <w:lang w:val="es-ES" w:eastAsia="en-US"/>
              </w:rPr>
              <w:t>3</w:t>
            </w:r>
          </w:p>
        </w:tc>
        <w:tc>
          <w:tcPr>
            <w:tcW w:w="2835" w:type="dxa"/>
            <w:tcBorders>
              <w:top w:val="nil"/>
              <w:left w:val="nil"/>
              <w:bottom w:val="nil"/>
              <w:right w:val="nil"/>
            </w:tcBorders>
            <w:shd w:val="clear" w:color="auto" w:fill="auto"/>
            <w:noWrap/>
            <w:vAlign w:val="center"/>
            <w:hideMark/>
          </w:tcPr>
          <w:p w14:paraId="2C5F8634" w14:textId="77777777" w:rsidR="00C70CCB" w:rsidRPr="00EC31A6" w:rsidRDefault="00C70CCB" w:rsidP="009743A8">
            <w:pPr>
              <w:spacing w:line="360" w:lineRule="auto"/>
              <w:jc w:val="center"/>
              <w:rPr>
                <w:lang w:eastAsia="en-US"/>
              </w:rPr>
            </w:pPr>
            <w:r w:rsidRPr="00EC31A6">
              <w:rPr>
                <w:lang w:eastAsia="en-US"/>
              </w:rPr>
              <w:t>3.45%</w:t>
            </w:r>
          </w:p>
        </w:tc>
      </w:tr>
      <w:tr w:rsidR="00C70CCB" w:rsidRPr="00EC31A6" w14:paraId="2B527A57" w14:textId="77777777" w:rsidTr="00D56255">
        <w:trPr>
          <w:trHeight w:val="320"/>
        </w:trPr>
        <w:tc>
          <w:tcPr>
            <w:tcW w:w="3544" w:type="dxa"/>
            <w:tcBorders>
              <w:top w:val="nil"/>
              <w:left w:val="nil"/>
              <w:bottom w:val="nil"/>
              <w:right w:val="nil"/>
            </w:tcBorders>
            <w:shd w:val="clear" w:color="auto" w:fill="auto"/>
            <w:noWrap/>
            <w:vAlign w:val="center"/>
            <w:hideMark/>
          </w:tcPr>
          <w:p w14:paraId="544E56E3" w14:textId="77777777" w:rsidR="00C70CCB" w:rsidRPr="00EC31A6" w:rsidRDefault="00C70CCB" w:rsidP="009743A8">
            <w:pPr>
              <w:spacing w:line="360" w:lineRule="auto"/>
              <w:rPr>
                <w:lang w:eastAsia="en-US"/>
              </w:rPr>
            </w:pPr>
            <w:r w:rsidRPr="00EC31A6">
              <w:rPr>
                <w:lang w:val="es-ES" w:eastAsia="en-US"/>
              </w:rPr>
              <w:t>Educación</w:t>
            </w:r>
          </w:p>
        </w:tc>
        <w:tc>
          <w:tcPr>
            <w:tcW w:w="2126" w:type="dxa"/>
            <w:tcBorders>
              <w:top w:val="nil"/>
              <w:left w:val="nil"/>
              <w:bottom w:val="nil"/>
              <w:right w:val="nil"/>
            </w:tcBorders>
            <w:shd w:val="clear" w:color="auto" w:fill="auto"/>
            <w:noWrap/>
            <w:vAlign w:val="bottom"/>
            <w:hideMark/>
          </w:tcPr>
          <w:p w14:paraId="5C6825BE" w14:textId="77777777" w:rsidR="00C70CCB" w:rsidRPr="00EC31A6" w:rsidRDefault="00C70CCB" w:rsidP="009743A8">
            <w:pPr>
              <w:spacing w:line="360" w:lineRule="auto"/>
              <w:rPr>
                <w:lang w:eastAsia="en-US"/>
              </w:rPr>
            </w:pPr>
          </w:p>
        </w:tc>
        <w:tc>
          <w:tcPr>
            <w:tcW w:w="2835" w:type="dxa"/>
            <w:tcBorders>
              <w:top w:val="nil"/>
              <w:left w:val="nil"/>
              <w:bottom w:val="nil"/>
              <w:right w:val="nil"/>
            </w:tcBorders>
            <w:shd w:val="clear" w:color="auto" w:fill="auto"/>
            <w:noWrap/>
            <w:vAlign w:val="bottom"/>
            <w:hideMark/>
          </w:tcPr>
          <w:p w14:paraId="227CDDB7" w14:textId="77777777" w:rsidR="00C70CCB" w:rsidRPr="00EC31A6" w:rsidRDefault="00C70CCB" w:rsidP="009743A8">
            <w:pPr>
              <w:spacing w:line="360" w:lineRule="auto"/>
              <w:rPr>
                <w:lang w:eastAsia="en-US"/>
              </w:rPr>
            </w:pPr>
          </w:p>
        </w:tc>
      </w:tr>
      <w:tr w:rsidR="00C70CCB" w:rsidRPr="00EC31A6" w14:paraId="39B9BF53" w14:textId="77777777" w:rsidTr="00D56255">
        <w:trPr>
          <w:trHeight w:val="320"/>
        </w:trPr>
        <w:tc>
          <w:tcPr>
            <w:tcW w:w="3544" w:type="dxa"/>
            <w:tcBorders>
              <w:top w:val="nil"/>
              <w:left w:val="nil"/>
              <w:bottom w:val="nil"/>
              <w:right w:val="nil"/>
            </w:tcBorders>
            <w:shd w:val="clear" w:color="auto" w:fill="auto"/>
            <w:noWrap/>
            <w:vAlign w:val="center"/>
            <w:hideMark/>
          </w:tcPr>
          <w:p w14:paraId="162C32AD" w14:textId="77777777" w:rsidR="00C70CCB" w:rsidRPr="00EC31A6" w:rsidRDefault="00C70CCB" w:rsidP="009743A8">
            <w:pPr>
              <w:spacing w:line="360" w:lineRule="auto"/>
              <w:rPr>
                <w:lang w:eastAsia="en-US"/>
              </w:rPr>
            </w:pPr>
            <w:r w:rsidRPr="00EC31A6">
              <w:rPr>
                <w:lang w:val="es-ES" w:eastAsia="en-US"/>
              </w:rPr>
              <w:t xml:space="preserve">     Bachiller</w:t>
            </w:r>
          </w:p>
        </w:tc>
        <w:tc>
          <w:tcPr>
            <w:tcW w:w="2126" w:type="dxa"/>
            <w:tcBorders>
              <w:top w:val="nil"/>
              <w:left w:val="nil"/>
              <w:bottom w:val="nil"/>
              <w:right w:val="nil"/>
            </w:tcBorders>
            <w:shd w:val="clear" w:color="auto" w:fill="auto"/>
            <w:noWrap/>
            <w:vAlign w:val="center"/>
            <w:hideMark/>
          </w:tcPr>
          <w:p w14:paraId="38A0CCDF" w14:textId="77777777" w:rsidR="00C70CCB" w:rsidRPr="00EC31A6" w:rsidRDefault="00C70CCB" w:rsidP="009743A8">
            <w:pPr>
              <w:spacing w:line="360" w:lineRule="auto"/>
              <w:jc w:val="center"/>
              <w:rPr>
                <w:lang w:eastAsia="en-US"/>
              </w:rPr>
            </w:pPr>
            <w:r w:rsidRPr="00EC31A6">
              <w:rPr>
                <w:lang w:eastAsia="en-US"/>
              </w:rPr>
              <w:t>39</w:t>
            </w:r>
          </w:p>
        </w:tc>
        <w:tc>
          <w:tcPr>
            <w:tcW w:w="2835" w:type="dxa"/>
            <w:tcBorders>
              <w:top w:val="nil"/>
              <w:left w:val="nil"/>
              <w:bottom w:val="nil"/>
              <w:right w:val="nil"/>
            </w:tcBorders>
            <w:shd w:val="clear" w:color="auto" w:fill="auto"/>
            <w:noWrap/>
            <w:vAlign w:val="center"/>
            <w:hideMark/>
          </w:tcPr>
          <w:p w14:paraId="0BE05F6E" w14:textId="77777777" w:rsidR="00C70CCB" w:rsidRPr="00EC31A6" w:rsidRDefault="00C70CCB" w:rsidP="009743A8">
            <w:pPr>
              <w:spacing w:line="360" w:lineRule="auto"/>
              <w:jc w:val="center"/>
              <w:rPr>
                <w:lang w:eastAsia="en-US"/>
              </w:rPr>
            </w:pPr>
            <w:r w:rsidRPr="00EC31A6">
              <w:rPr>
                <w:lang w:eastAsia="en-US"/>
              </w:rPr>
              <w:t>44.83%</w:t>
            </w:r>
          </w:p>
        </w:tc>
      </w:tr>
      <w:tr w:rsidR="00C70CCB" w:rsidRPr="00EC31A6" w14:paraId="71CABF9A" w14:textId="77777777" w:rsidTr="00D56255">
        <w:trPr>
          <w:trHeight w:val="320"/>
        </w:trPr>
        <w:tc>
          <w:tcPr>
            <w:tcW w:w="3544" w:type="dxa"/>
            <w:tcBorders>
              <w:top w:val="nil"/>
              <w:left w:val="nil"/>
              <w:bottom w:val="nil"/>
              <w:right w:val="nil"/>
            </w:tcBorders>
            <w:shd w:val="clear" w:color="auto" w:fill="auto"/>
            <w:noWrap/>
            <w:vAlign w:val="center"/>
            <w:hideMark/>
          </w:tcPr>
          <w:p w14:paraId="25EDAE1E" w14:textId="77777777" w:rsidR="00C70CCB" w:rsidRPr="00EC31A6" w:rsidRDefault="00C70CCB" w:rsidP="009743A8">
            <w:pPr>
              <w:spacing w:line="360" w:lineRule="auto"/>
              <w:rPr>
                <w:lang w:eastAsia="en-US"/>
              </w:rPr>
            </w:pPr>
            <w:r w:rsidRPr="00EC31A6">
              <w:rPr>
                <w:lang w:val="es-ES" w:eastAsia="en-US"/>
              </w:rPr>
              <w:t xml:space="preserve">     Grado técnico</w:t>
            </w:r>
          </w:p>
        </w:tc>
        <w:tc>
          <w:tcPr>
            <w:tcW w:w="2126" w:type="dxa"/>
            <w:tcBorders>
              <w:top w:val="nil"/>
              <w:left w:val="nil"/>
              <w:bottom w:val="nil"/>
              <w:right w:val="nil"/>
            </w:tcBorders>
            <w:shd w:val="clear" w:color="auto" w:fill="auto"/>
            <w:noWrap/>
            <w:vAlign w:val="center"/>
            <w:hideMark/>
          </w:tcPr>
          <w:p w14:paraId="2A3D7C02" w14:textId="77777777" w:rsidR="00C70CCB" w:rsidRPr="00EC31A6" w:rsidRDefault="00C70CCB" w:rsidP="009743A8">
            <w:pPr>
              <w:spacing w:line="360" w:lineRule="auto"/>
              <w:jc w:val="center"/>
              <w:rPr>
                <w:lang w:eastAsia="en-US"/>
              </w:rPr>
            </w:pPr>
            <w:r w:rsidRPr="00EC31A6">
              <w:rPr>
                <w:lang w:eastAsia="en-US"/>
              </w:rPr>
              <w:t>8</w:t>
            </w:r>
          </w:p>
        </w:tc>
        <w:tc>
          <w:tcPr>
            <w:tcW w:w="2835" w:type="dxa"/>
            <w:tcBorders>
              <w:top w:val="nil"/>
              <w:left w:val="nil"/>
              <w:bottom w:val="nil"/>
              <w:right w:val="nil"/>
            </w:tcBorders>
            <w:shd w:val="clear" w:color="auto" w:fill="auto"/>
            <w:noWrap/>
            <w:vAlign w:val="center"/>
            <w:hideMark/>
          </w:tcPr>
          <w:p w14:paraId="13CB1AAB" w14:textId="77777777" w:rsidR="00C70CCB" w:rsidRPr="00EC31A6" w:rsidRDefault="00C70CCB" w:rsidP="009743A8">
            <w:pPr>
              <w:spacing w:line="360" w:lineRule="auto"/>
              <w:jc w:val="center"/>
              <w:rPr>
                <w:lang w:eastAsia="en-US"/>
              </w:rPr>
            </w:pPr>
            <w:r w:rsidRPr="00EC31A6">
              <w:rPr>
                <w:lang w:eastAsia="en-US"/>
              </w:rPr>
              <w:t>9.20%</w:t>
            </w:r>
          </w:p>
        </w:tc>
      </w:tr>
      <w:tr w:rsidR="00C70CCB" w:rsidRPr="00EC31A6" w14:paraId="3E49B5DF" w14:textId="77777777" w:rsidTr="00D56255">
        <w:trPr>
          <w:trHeight w:val="320"/>
        </w:trPr>
        <w:tc>
          <w:tcPr>
            <w:tcW w:w="3544" w:type="dxa"/>
            <w:tcBorders>
              <w:top w:val="nil"/>
              <w:left w:val="nil"/>
              <w:bottom w:val="nil"/>
              <w:right w:val="nil"/>
            </w:tcBorders>
            <w:shd w:val="clear" w:color="auto" w:fill="auto"/>
            <w:noWrap/>
            <w:vAlign w:val="center"/>
            <w:hideMark/>
          </w:tcPr>
          <w:p w14:paraId="0A255A9B" w14:textId="77777777" w:rsidR="00C70CCB" w:rsidRPr="00EC31A6" w:rsidRDefault="00C70CCB" w:rsidP="009743A8">
            <w:pPr>
              <w:spacing w:line="360" w:lineRule="auto"/>
              <w:rPr>
                <w:lang w:eastAsia="en-US"/>
              </w:rPr>
            </w:pPr>
            <w:r w:rsidRPr="00EC31A6">
              <w:rPr>
                <w:lang w:val="es-ES" w:eastAsia="en-US"/>
              </w:rPr>
              <w:t xml:space="preserve">     Licenciatura</w:t>
            </w:r>
          </w:p>
        </w:tc>
        <w:tc>
          <w:tcPr>
            <w:tcW w:w="2126" w:type="dxa"/>
            <w:tcBorders>
              <w:top w:val="nil"/>
              <w:left w:val="nil"/>
              <w:bottom w:val="nil"/>
              <w:right w:val="nil"/>
            </w:tcBorders>
            <w:shd w:val="clear" w:color="auto" w:fill="auto"/>
            <w:noWrap/>
            <w:vAlign w:val="center"/>
            <w:hideMark/>
          </w:tcPr>
          <w:p w14:paraId="56118FE6" w14:textId="77777777" w:rsidR="00C70CCB" w:rsidRPr="00EC31A6" w:rsidRDefault="00C70CCB" w:rsidP="009743A8">
            <w:pPr>
              <w:spacing w:line="360" w:lineRule="auto"/>
              <w:jc w:val="center"/>
              <w:rPr>
                <w:lang w:eastAsia="en-US"/>
              </w:rPr>
            </w:pPr>
            <w:r w:rsidRPr="00EC31A6">
              <w:rPr>
                <w:lang w:eastAsia="en-US"/>
              </w:rPr>
              <w:t>32</w:t>
            </w:r>
          </w:p>
        </w:tc>
        <w:tc>
          <w:tcPr>
            <w:tcW w:w="2835" w:type="dxa"/>
            <w:tcBorders>
              <w:top w:val="nil"/>
              <w:left w:val="nil"/>
              <w:bottom w:val="nil"/>
              <w:right w:val="nil"/>
            </w:tcBorders>
            <w:shd w:val="clear" w:color="auto" w:fill="auto"/>
            <w:noWrap/>
            <w:vAlign w:val="center"/>
            <w:hideMark/>
          </w:tcPr>
          <w:p w14:paraId="7ACA4F1B" w14:textId="77777777" w:rsidR="00C70CCB" w:rsidRPr="00EC31A6" w:rsidRDefault="00C70CCB" w:rsidP="009743A8">
            <w:pPr>
              <w:spacing w:line="360" w:lineRule="auto"/>
              <w:jc w:val="center"/>
              <w:rPr>
                <w:lang w:eastAsia="en-US"/>
              </w:rPr>
            </w:pPr>
            <w:r w:rsidRPr="00EC31A6">
              <w:rPr>
                <w:lang w:eastAsia="en-US"/>
              </w:rPr>
              <w:t>36.78%</w:t>
            </w:r>
          </w:p>
        </w:tc>
      </w:tr>
      <w:tr w:rsidR="00C70CCB" w:rsidRPr="00EC31A6" w14:paraId="2AE92255" w14:textId="77777777" w:rsidTr="00D56255">
        <w:trPr>
          <w:trHeight w:val="320"/>
        </w:trPr>
        <w:tc>
          <w:tcPr>
            <w:tcW w:w="3544" w:type="dxa"/>
            <w:tcBorders>
              <w:top w:val="nil"/>
              <w:left w:val="nil"/>
              <w:bottom w:val="nil"/>
              <w:right w:val="nil"/>
            </w:tcBorders>
            <w:shd w:val="clear" w:color="auto" w:fill="auto"/>
            <w:noWrap/>
            <w:vAlign w:val="center"/>
            <w:hideMark/>
          </w:tcPr>
          <w:p w14:paraId="2CD2F79E" w14:textId="77777777" w:rsidR="00C70CCB" w:rsidRPr="00EC31A6" w:rsidRDefault="00C70CCB" w:rsidP="009743A8">
            <w:pPr>
              <w:spacing w:line="360" w:lineRule="auto"/>
              <w:rPr>
                <w:lang w:eastAsia="en-US"/>
              </w:rPr>
            </w:pPr>
            <w:r w:rsidRPr="00EC31A6">
              <w:rPr>
                <w:lang w:val="es-ES" w:eastAsia="en-US"/>
              </w:rPr>
              <w:t xml:space="preserve">     Maestría o post grado</w:t>
            </w:r>
          </w:p>
        </w:tc>
        <w:tc>
          <w:tcPr>
            <w:tcW w:w="2126" w:type="dxa"/>
            <w:tcBorders>
              <w:top w:val="nil"/>
              <w:left w:val="nil"/>
              <w:bottom w:val="nil"/>
              <w:right w:val="nil"/>
            </w:tcBorders>
            <w:shd w:val="clear" w:color="auto" w:fill="auto"/>
            <w:noWrap/>
            <w:vAlign w:val="center"/>
            <w:hideMark/>
          </w:tcPr>
          <w:p w14:paraId="34722671" w14:textId="77777777" w:rsidR="00C70CCB" w:rsidRPr="00EC31A6" w:rsidRDefault="00C70CCB" w:rsidP="009743A8">
            <w:pPr>
              <w:spacing w:line="360" w:lineRule="auto"/>
              <w:jc w:val="center"/>
              <w:rPr>
                <w:lang w:eastAsia="en-US"/>
              </w:rPr>
            </w:pPr>
            <w:r w:rsidRPr="00EC31A6">
              <w:rPr>
                <w:lang w:eastAsia="en-US"/>
              </w:rPr>
              <w:t>7</w:t>
            </w:r>
          </w:p>
        </w:tc>
        <w:tc>
          <w:tcPr>
            <w:tcW w:w="2835" w:type="dxa"/>
            <w:tcBorders>
              <w:top w:val="nil"/>
              <w:left w:val="nil"/>
              <w:bottom w:val="nil"/>
              <w:right w:val="nil"/>
            </w:tcBorders>
            <w:shd w:val="clear" w:color="auto" w:fill="auto"/>
            <w:noWrap/>
            <w:vAlign w:val="center"/>
            <w:hideMark/>
          </w:tcPr>
          <w:p w14:paraId="1A397FD1" w14:textId="77777777" w:rsidR="00C70CCB" w:rsidRPr="00EC31A6" w:rsidRDefault="00C70CCB" w:rsidP="009743A8">
            <w:pPr>
              <w:spacing w:line="360" w:lineRule="auto"/>
              <w:jc w:val="center"/>
              <w:rPr>
                <w:lang w:eastAsia="en-US"/>
              </w:rPr>
            </w:pPr>
            <w:r w:rsidRPr="00EC31A6">
              <w:rPr>
                <w:lang w:eastAsia="en-US"/>
              </w:rPr>
              <w:t>8.05%</w:t>
            </w:r>
          </w:p>
        </w:tc>
      </w:tr>
      <w:tr w:rsidR="00C70CCB" w:rsidRPr="00EC31A6" w14:paraId="476B96F9" w14:textId="77777777" w:rsidTr="00D56255">
        <w:trPr>
          <w:trHeight w:val="320"/>
        </w:trPr>
        <w:tc>
          <w:tcPr>
            <w:tcW w:w="3544" w:type="dxa"/>
            <w:tcBorders>
              <w:top w:val="nil"/>
              <w:left w:val="nil"/>
              <w:bottom w:val="nil"/>
              <w:right w:val="nil"/>
            </w:tcBorders>
            <w:shd w:val="clear" w:color="auto" w:fill="auto"/>
            <w:noWrap/>
            <w:vAlign w:val="center"/>
            <w:hideMark/>
          </w:tcPr>
          <w:p w14:paraId="4CD6F391" w14:textId="77777777" w:rsidR="00C70CCB" w:rsidRPr="00EC31A6" w:rsidRDefault="00C70CCB" w:rsidP="009743A8">
            <w:pPr>
              <w:spacing w:line="360" w:lineRule="auto"/>
              <w:rPr>
                <w:lang w:eastAsia="en-US"/>
              </w:rPr>
            </w:pPr>
            <w:r w:rsidRPr="00EC31A6">
              <w:rPr>
                <w:lang w:val="es-ES" w:eastAsia="en-US"/>
              </w:rPr>
              <w:t xml:space="preserve">     Doctorado</w:t>
            </w:r>
          </w:p>
        </w:tc>
        <w:tc>
          <w:tcPr>
            <w:tcW w:w="2126" w:type="dxa"/>
            <w:tcBorders>
              <w:top w:val="nil"/>
              <w:left w:val="nil"/>
              <w:bottom w:val="nil"/>
              <w:right w:val="nil"/>
            </w:tcBorders>
            <w:shd w:val="clear" w:color="auto" w:fill="auto"/>
            <w:noWrap/>
            <w:vAlign w:val="center"/>
            <w:hideMark/>
          </w:tcPr>
          <w:p w14:paraId="6D4ACF99" w14:textId="77777777" w:rsidR="00C70CCB" w:rsidRPr="00EC31A6" w:rsidRDefault="00C70CCB" w:rsidP="009743A8">
            <w:pPr>
              <w:spacing w:line="360" w:lineRule="auto"/>
              <w:jc w:val="center"/>
              <w:rPr>
                <w:lang w:eastAsia="en-US"/>
              </w:rPr>
            </w:pPr>
            <w:r w:rsidRPr="00EC31A6">
              <w:rPr>
                <w:lang w:eastAsia="en-US"/>
              </w:rPr>
              <w:t>1</w:t>
            </w:r>
          </w:p>
        </w:tc>
        <w:tc>
          <w:tcPr>
            <w:tcW w:w="2835" w:type="dxa"/>
            <w:tcBorders>
              <w:top w:val="nil"/>
              <w:left w:val="nil"/>
              <w:bottom w:val="nil"/>
              <w:right w:val="nil"/>
            </w:tcBorders>
            <w:shd w:val="clear" w:color="auto" w:fill="auto"/>
            <w:noWrap/>
            <w:vAlign w:val="center"/>
            <w:hideMark/>
          </w:tcPr>
          <w:p w14:paraId="6A0B1D2F" w14:textId="77777777" w:rsidR="00C70CCB" w:rsidRPr="00EC31A6" w:rsidRDefault="00C70CCB" w:rsidP="009743A8">
            <w:pPr>
              <w:spacing w:line="360" w:lineRule="auto"/>
              <w:jc w:val="center"/>
              <w:rPr>
                <w:lang w:eastAsia="en-US"/>
              </w:rPr>
            </w:pPr>
            <w:r w:rsidRPr="00EC31A6">
              <w:rPr>
                <w:lang w:eastAsia="en-US"/>
              </w:rPr>
              <w:t>1.15%</w:t>
            </w:r>
          </w:p>
        </w:tc>
      </w:tr>
      <w:tr w:rsidR="00C70CCB" w:rsidRPr="00EC31A6" w14:paraId="7ACF36F1" w14:textId="77777777" w:rsidTr="00D56255">
        <w:trPr>
          <w:trHeight w:val="320"/>
        </w:trPr>
        <w:tc>
          <w:tcPr>
            <w:tcW w:w="3544" w:type="dxa"/>
            <w:tcBorders>
              <w:top w:val="nil"/>
              <w:left w:val="nil"/>
              <w:bottom w:val="nil"/>
              <w:right w:val="nil"/>
            </w:tcBorders>
            <w:shd w:val="clear" w:color="auto" w:fill="auto"/>
            <w:noWrap/>
            <w:vAlign w:val="center"/>
            <w:hideMark/>
          </w:tcPr>
          <w:p w14:paraId="058BB4D0" w14:textId="77777777" w:rsidR="00C70CCB" w:rsidRPr="00EC31A6" w:rsidRDefault="00C70CCB" w:rsidP="009743A8">
            <w:pPr>
              <w:spacing w:line="360" w:lineRule="auto"/>
              <w:rPr>
                <w:lang w:eastAsia="en-US"/>
              </w:rPr>
            </w:pPr>
            <w:r w:rsidRPr="00EC31A6">
              <w:rPr>
                <w:lang w:val="es-ES" w:eastAsia="en-US"/>
              </w:rPr>
              <w:t>Riesgo COVID-19</w:t>
            </w:r>
          </w:p>
        </w:tc>
        <w:tc>
          <w:tcPr>
            <w:tcW w:w="2126" w:type="dxa"/>
            <w:tcBorders>
              <w:top w:val="nil"/>
              <w:left w:val="nil"/>
              <w:bottom w:val="nil"/>
              <w:right w:val="nil"/>
            </w:tcBorders>
            <w:shd w:val="clear" w:color="auto" w:fill="auto"/>
            <w:noWrap/>
            <w:vAlign w:val="bottom"/>
            <w:hideMark/>
          </w:tcPr>
          <w:p w14:paraId="5BA447AF" w14:textId="77777777" w:rsidR="00C70CCB" w:rsidRPr="00EC31A6" w:rsidRDefault="00C70CCB" w:rsidP="009743A8">
            <w:pPr>
              <w:spacing w:line="360" w:lineRule="auto"/>
              <w:rPr>
                <w:lang w:eastAsia="en-US"/>
              </w:rPr>
            </w:pPr>
          </w:p>
        </w:tc>
        <w:tc>
          <w:tcPr>
            <w:tcW w:w="2835" w:type="dxa"/>
            <w:tcBorders>
              <w:top w:val="nil"/>
              <w:left w:val="nil"/>
              <w:bottom w:val="nil"/>
              <w:right w:val="nil"/>
            </w:tcBorders>
            <w:shd w:val="clear" w:color="auto" w:fill="auto"/>
            <w:noWrap/>
            <w:vAlign w:val="bottom"/>
            <w:hideMark/>
          </w:tcPr>
          <w:p w14:paraId="485EE049" w14:textId="77777777" w:rsidR="00C70CCB" w:rsidRPr="00EC31A6" w:rsidRDefault="00C70CCB" w:rsidP="009743A8">
            <w:pPr>
              <w:spacing w:line="360" w:lineRule="auto"/>
              <w:rPr>
                <w:lang w:eastAsia="en-US"/>
              </w:rPr>
            </w:pPr>
          </w:p>
        </w:tc>
      </w:tr>
      <w:tr w:rsidR="00C70CCB" w:rsidRPr="00EC31A6" w14:paraId="0D1DF187" w14:textId="77777777" w:rsidTr="00D56255">
        <w:trPr>
          <w:trHeight w:val="320"/>
        </w:trPr>
        <w:tc>
          <w:tcPr>
            <w:tcW w:w="3544" w:type="dxa"/>
            <w:tcBorders>
              <w:top w:val="nil"/>
              <w:left w:val="nil"/>
              <w:bottom w:val="nil"/>
              <w:right w:val="nil"/>
            </w:tcBorders>
            <w:shd w:val="clear" w:color="auto" w:fill="auto"/>
            <w:noWrap/>
            <w:vAlign w:val="center"/>
            <w:hideMark/>
          </w:tcPr>
          <w:p w14:paraId="7A7BC75D" w14:textId="77777777" w:rsidR="00C70CCB" w:rsidRPr="00EC31A6" w:rsidRDefault="00C70CCB" w:rsidP="009743A8">
            <w:pPr>
              <w:spacing w:line="360" w:lineRule="auto"/>
              <w:rPr>
                <w:lang w:eastAsia="en-US"/>
              </w:rPr>
            </w:pPr>
            <w:r w:rsidRPr="00EC31A6">
              <w:rPr>
                <w:lang w:val="es-ES" w:eastAsia="en-US"/>
              </w:rPr>
              <w:t xml:space="preserve">     No riesgo</w:t>
            </w:r>
          </w:p>
        </w:tc>
        <w:tc>
          <w:tcPr>
            <w:tcW w:w="2126" w:type="dxa"/>
            <w:tcBorders>
              <w:top w:val="nil"/>
              <w:left w:val="nil"/>
              <w:bottom w:val="nil"/>
              <w:right w:val="nil"/>
            </w:tcBorders>
            <w:shd w:val="clear" w:color="auto" w:fill="auto"/>
            <w:noWrap/>
            <w:vAlign w:val="center"/>
            <w:hideMark/>
          </w:tcPr>
          <w:p w14:paraId="799C38E3" w14:textId="77777777" w:rsidR="00C70CCB" w:rsidRPr="00EC31A6" w:rsidRDefault="00C70CCB" w:rsidP="009743A8">
            <w:pPr>
              <w:spacing w:line="360" w:lineRule="auto"/>
              <w:jc w:val="center"/>
              <w:rPr>
                <w:lang w:eastAsia="en-US"/>
              </w:rPr>
            </w:pPr>
            <w:r w:rsidRPr="00EC31A6">
              <w:rPr>
                <w:lang w:eastAsia="en-US"/>
              </w:rPr>
              <w:t>68</w:t>
            </w:r>
          </w:p>
        </w:tc>
        <w:tc>
          <w:tcPr>
            <w:tcW w:w="2835" w:type="dxa"/>
            <w:tcBorders>
              <w:top w:val="nil"/>
              <w:left w:val="nil"/>
              <w:bottom w:val="nil"/>
              <w:right w:val="nil"/>
            </w:tcBorders>
            <w:shd w:val="clear" w:color="auto" w:fill="auto"/>
            <w:noWrap/>
            <w:vAlign w:val="center"/>
            <w:hideMark/>
          </w:tcPr>
          <w:p w14:paraId="793F5146" w14:textId="77777777" w:rsidR="00C70CCB" w:rsidRPr="00EC31A6" w:rsidRDefault="00C70CCB" w:rsidP="009743A8">
            <w:pPr>
              <w:spacing w:line="360" w:lineRule="auto"/>
              <w:jc w:val="center"/>
              <w:rPr>
                <w:lang w:eastAsia="en-US"/>
              </w:rPr>
            </w:pPr>
            <w:r w:rsidRPr="00EC31A6">
              <w:rPr>
                <w:lang w:eastAsia="en-US"/>
              </w:rPr>
              <w:t>78.16%</w:t>
            </w:r>
          </w:p>
        </w:tc>
      </w:tr>
      <w:tr w:rsidR="00C70CCB" w:rsidRPr="00EC31A6" w14:paraId="1981C11C" w14:textId="77777777" w:rsidTr="00D56255">
        <w:trPr>
          <w:trHeight w:val="340"/>
        </w:trPr>
        <w:tc>
          <w:tcPr>
            <w:tcW w:w="3544" w:type="dxa"/>
            <w:tcBorders>
              <w:top w:val="nil"/>
              <w:left w:val="nil"/>
              <w:bottom w:val="single" w:sz="8" w:space="0" w:color="auto"/>
              <w:right w:val="nil"/>
            </w:tcBorders>
            <w:shd w:val="clear" w:color="auto" w:fill="auto"/>
            <w:noWrap/>
            <w:vAlign w:val="center"/>
            <w:hideMark/>
          </w:tcPr>
          <w:p w14:paraId="50C78EB3" w14:textId="77777777" w:rsidR="00C70CCB" w:rsidRPr="00EC31A6" w:rsidRDefault="00C70CCB" w:rsidP="009743A8">
            <w:pPr>
              <w:spacing w:line="360" w:lineRule="auto"/>
              <w:rPr>
                <w:lang w:eastAsia="en-US"/>
              </w:rPr>
            </w:pPr>
            <w:r w:rsidRPr="00EC31A6">
              <w:rPr>
                <w:lang w:val="es-ES" w:eastAsia="en-US"/>
              </w:rPr>
              <w:t xml:space="preserve">     Riesgo</w:t>
            </w:r>
          </w:p>
        </w:tc>
        <w:tc>
          <w:tcPr>
            <w:tcW w:w="2126" w:type="dxa"/>
            <w:tcBorders>
              <w:top w:val="nil"/>
              <w:left w:val="nil"/>
              <w:bottom w:val="single" w:sz="8" w:space="0" w:color="auto"/>
              <w:right w:val="nil"/>
            </w:tcBorders>
            <w:shd w:val="clear" w:color="auto" w:fill="auto"/>
            <w:noWrap/>
            <w:vAlign w:val="center"/>
            <w:hideMark/>
          </w:tcPr>
          <w:p w14:paraId="12BA4DE2" w14:textId="77777777" w:rsidR="00C70CCB" w:rsidRPr="00EC31A6" w:rsidRDefault="00C70CCB" w:rsidP="009743A8">
            <w:pPr>
              <w:spacing w:line="360" w:lineRule="auto"/>
              <w:jc w:val="center"/>
              <w:rPr>
                <w:lang w:eastAsia="en-US"/>
              </w:rPr>
            </w:pPr>
            <w:r w:rsidRPr="00EC31A6">
              <w:rPr>
                <w:lang w:eastAsia="en-US"/>
              </w:rPr>
              <w:t>19</w:t>
            </w:r>
          </w:p>
        </w:tc>
        <w:tc>
          <w:tcPr>
            <w:tcW w:w="2835" w:type="dxa"/>
            <w:tcBorders>
              <w:top w:val="nil"/>
              <w:left w:val="nil"/>
              <w:bottom w:val="single" w:sz="8" w:space="0" w:color="auto"/>
              <w:right w:val="nil"/>
            </w:tcBorders>
            <w:shd w:val="clear" w:color="auto" w:fill="auto"/>
            <w:noWrap/>
            <w:vAlign w:val="center"/>
            <w:hideMark/>
          </w:tcPr>
          <w:p w14:paraId="104A9D50" w14:textId="77777777" w:rsidR="00C70CCB" w:rsidRPr="00EC31A6" w:rsidRDefault="00C70CCB" w:rsidP="009743A8">
            <w:pPr>
              <w:spacing w:line="360" w:lineRule="auto"/>
              <w:jc w:val="center"/>
              <w:rPr>
                <w:lang w:eastAsia="en-US"/>
              </w:rPr>
            </w:pPr>
            <w:r w:rsidRPr="00EC31A6">
              <w:rPr>
                <w:lang w:eastAsia="en-US"/>
              </w:rPr>
              <w:t>21.84%</w:t>
            </w:r>
          </w:p>
        </w:tc>
      </w:tr>
    </w:tbl>
    <w:p w14:paraId="0513FB0F" w14:textId="653928AB" w:rsidR="00714485" w:rsidRPr="00C70CCB" w:rsidRDefault="00C70CCB" w:rsidP="00471F54">
      <w:pPr>
        <w:pStyle w:val="SubtituloInterno"/>
        <w:rPr>
          <w:lang w:val="es-US"/>
        </w:rPr>
      </w:pPr>
      <w:r w:rsidRPr="00C70CCB">
        <w:rPr>
          <w:lang w:val="es-US"/>
        </w:rPr>
        <w:t>Lugar</w:t>
      </w:r>
    </w:p>
    <w:p w14:paraId="3CCF41FC" w14:textId="5416AC32" w:rsidR="00C70CCB" w:rsidRPr="00C70CCB" w:rsidRDefault="00C70CCB" w:rsidP="00C70CCB">
      <w:pPr>
        <w:pStyle w:val="Prrafocomn"/>
        <w:rPr>
          <w:bCs/>
          <w:lang w:val="es-US"/>
        </w:rPr>
      </w:pPr>
      <w:r w:rsidRPr="00C70CCB">
        <w:rPr>
          <w:bCs/>
          <w:lang w:val="es-US"/>
        </w:rPr>
        <w:t xml:space="preserve">Los participantes eran residentes de la ciudad de Santo Domingo, República Dominicana y completaron los cuestionarios vía internet.  </w:t>
      </w:r>
    </w:p>
    <w:p w14:paraId="287B1EEE" w14:textId="2EF7F4FA" w:rsidR="00714485" w:rsidRPr="00C70CCB" w:rsidRDefault="00C70CCB" w:rsidP="00471F54">
      <w:pPr>
        <w:pStyle w:val="SubtituloInterno"/>
        <w:rPr>
          <w:lang w:val="es-US"/>
        </w:rPr>
      </w:pPr>
      <w:r w:rsidRPr="00C70CCB">
        <w:rPr>
          <w:lang w:val="es-US"/>
        </w:rPr>
        <w:t>Instrumentos</w:t>
      </w:r>
    </w:p>
    <w:p w14:paraId="68C9E099" w14:textId="613F830E" w:rsidR="00C70CCB" w:rsidRPr="00C70CCB" w:rsidRDefault="00C70CCB" w:rsidP="00195707">
      <w:pPr>
        <w:pStyle w:val="SubtituloInterno1"/>
      </w:pPr>
      <w:r w:rsidRPr="00195707">
        <w:t>Cuestionario Sociodemográfico</w:t>
      </w:r>
    </w:p>
    <w:p w14:paraId="23BA43BF" w14:textId="77777777" w:rsidR="00C70CCB" w:rsidRPr="00C70CCB" w:rsidRDefault="00C70CCB" w:rsidP="00C70CCB">
      <w:pPr>
        <w:pStyle w:val="Prrafocomn"/>
        <w:rPr>
          <w:bCs/>
          <w:lang w:val="es-DO"/>
        </w:rPr>
      </w:pPr>
      <w:r w:rsidRPr="00C70CCB">
        <w:rPr>
          <w:bCs/>
          <w:lang w:val="es-DO"/>
        </w:rPr>
        <w:t xml:space="preserve">El cuestionario contenía preguntas sobre edad, posición socioeconómica, sexo, tipo de relación, educación y percepción de riesgo de tener complicaciones por COVID-19. </w:t>
      </w:r>
    </w:p>
    <w:p w14:paraId="3BC5BB06" w14:textId="77777777" w:rsidR="00C70CCB" w:rsidRPr="00C70CCB" w:rsidRDefault="00C70CCB" w:rsidP="00195707">
      <w:pPr>
        <w:pStyle w:val="SubtituloInterno1"/>
      </w:pPr>
      <w:r w:rsidRPr="00195707">
        <w:lastRenderedPageBreak/>
        <w:t>Inventario de Ansiedad Estado-Rasgo (STAI por sus siglas en inglés)</w:t>
      </w:r>
      <w:r w:rsidRPr="00195707">
        <w:rPr>
          <w:vertAlign w:val="superscript"/>
        </w:rPr>
        <w:footnoteReference w:id="4"/>
      </w:r>
    </w:p>
    <w:p w14:paraId="2BA49758" w14:textId="77777777" w:rsidR="00C70CCB" w:rsidRPr="00C70CCB" w:rsidRDefault="00C70CCB" w:rsidP="00C70CCB">
      <w:pPr>
        <w:pStyle w:val="Prrafocomn"/>
        <w:rPr>
          <w:b/>
          <w:bCs/>
          <w:i/>
          <w:iCs/>
          <w:lang w:val="es-DO"/>
        </w:rPr>
      </w:pPr>
      <w:r w:rsidRPr="00C70CCB">
        <w:rPr>
          <w:bCs/>
          <w:lang w:val="es-DO"/>
        </w:rPr>
        <w:t xml:space="preserve">Este instrumento tiene dos subescalas: (1) ansiedad estado y (2) ansiedad rasgo </w:t>
      </w:r>
      <w:r w:rsidRPr="00C70CCB">
        <w:rPr>
          <w:bCs/>
          <w:lang w:val="es-DO"/>
        </w:rPr>
        <w:fldChar w:fldCharType="begin" w:fldLock="1"/>
      </w:r>
      <w:r w:rsidRPr="00C70CCB">
        <w:rPr>
          <w:bCs/>
          <w:lang w:val="es-DO"/>
        </w:rPr>
        <w:instrText>ADDIN CSL_CITATION {"citationItems":[{"id":"ITEM-1","itemData":{"abstract":"[Database record]. APA PsycTests.","author":[{"dropping-particle":"","family":"Spielberger","given":"C. D.","non-dropping-particle":"","parse-names":false,"suffix":""}],"id":"ITEM-1","issued":{"date-parts":[["1983"]]},"publisher":"[Database record]. APA PsycTests.","title":"State-Trait Anxiety Inventory for Adults (STAI-AD)","type":"article"},"uris":["http://www.mendeley.com/documents/?uuid=3135674d-187c-4f15-83ed-ab440d139a1b"]}],"mendeley":{"formattedCitation":"(Spielberger, 1983)","plainTextFormattedCitation":"(Spielberger, 1983)","previouslyFormattedCitation":"(Spielberger, 1983)"},"properties":{"noteIndex":0},"schema":"https://github.com/citation-style-language/schema/raw/master/csl-citation.json"}</w:instrText>
      </w:r>
      <w:r w:rsidRPr="00C70CCB">
        <w:rPr>
          <w:bCs/>
          <w:lang w:val="es-DO"/>
        </w:rPr>
        <w:fldChar w:fldCharType="separate"/>
      </w:r>
      <w:r w:rsidRPr="00C70CCB">
        <w:rPr>
          <w:bCs/>
          <w:lang w:val="es-DO"/>
        </w:rPr>
        <w:t>(Spielberger, 1983)</w:t>
      </w:r>
      <w:r w:rsidRPr="00C70CCB">
        <w:rPr>
          <w:bCs/>
          <w:lang w:val="es-ES_tradnl"/>
        </w:rPr>
        <w:fldChar w:fldCharType="end"/>
      </w:r>
      <w:r w:rsidRPr="00C70CCB">
        <w:rPr>
          <w:bCs/>
          <w:lang w:val="es-DO"/>
        </w:rPr>
        <w:t>. Cada subescala consiste en un cuestionario de 20 ítems tipo Likert de 4 puntos, que solicita al participante seleccionar la frecuencia con la que presenta determinadas conductas o estados emocionales asociados a la ansiedad. Las puntuaciones de las subescalas se calcularon sumando la puntuación de sus ítems, usando la puntuación invertida para los ítems inversos. Los participantes que puntúan más de 40 puntos en la subescala de ansiedad estado, podrían cumplir criterios diagnósticos para ansiedad clínicamente significativa. El instrumento mostró una consistencia interna alta (α = .93 en ambas subescalas).</w:t>
      </w:r>
    </w:p>
    <w:p w14:paraId="644ECD5A" w14:textId="77777777" w:rsidR="00C70CCB" w:rsidRPr="005A1F72" w:rsidRDefault="00C70CCB" w:rsidP="00195707">
      <w:pPr>
        <w:pStyle w:val="SubtituloInterno1"/>
      </w:pPr>
      <w:r w:rsidRPr="00195707">
        <w:t>Breve Inventario de Ansiedad por la Salud (SHAI por sus siglas en inglés)</w:t>
      </w:r>
    </w:p>
    <w:p w14:paraId="3E28F35A" w14:textId="77777777" w:rsidR="00C70CCB" w:rsidRPr="00C70CCB" w:rsidRDefault="00C70CCB" w:rsidP="00C70CCB">
      <w:pPr>
        <w:pStyle w:val="Prrafocomn"/>
        <w:rPr>
          <w:bCs/>
          <w:lang w:val="es-DO"/>
        </w:rPr>
      </w:pPr>
      <w:r w:rsidRPr="00C70CCB">
        <w:rPr>
          <w:bCs/>
          <w:lang w:val="es-DO"/>
        </w:rPr>
        <w:t xml:space="preserve">Este instrumento tiene dos subescalas: (1) Ansiedad por salud y miedo a la posibilidad de enfermar, de 14 ítems; y (2) Temor a las consecuencias producidas por la enfermedad, de 4 ítems </w:t>
      </w:r>
      <w:r w:rsidRPr="00C70CCB">
        <w:rPr>
          <w:bCs/>
          <w:lang w:val="es-DO"/>
        </w:rPr>
        <w:fldChar w:fldCharType="begin" w:fldLock="1"/>
      </w:r>
      <w:r w:rsidRPr="00C70CCB">
        <w:rPr>
          <w:bCs/>
          <w:lang w:val="es-DO"/>
        </w:rPr>
        <w:instrText>ADDIN CSL_CITATION {"citationItems":[{"id":"ITEM-1","itemData":{"DOI":"10.1016/j.janxdis.2012.10.009","ISSN":"08876185","PMID":"23247202","abstract":"Introduction: The Short Health Anxiety Inventory (SHAI) measures health anxiety in medical and non-medical contexts. Objective: To review the literature pertaining to the psychometric properties of the SHAI in non-clinical, clinical, and medical samples. Meta-analysis was also conducted to examine the strength of associations between the SHAI and other constructs. Methods: Direct search of digital databases for papers that cited the original SHAI publication. Results: Seventy-eight papers were identified, with 42 providing relevant information. The SHAI has acceptable Cronbach's alpha scores, strong construct validity, and is sensitive to treatment. Discrepancies have been observed between the findings of factor analytic studies, largely as a result of varying methods used. Overall, there appears to be greatest support for the original two factors, with one factor assessing health anxiety and one factor assessing negative consequences of illness. As expected, individuals with hypochondriasis score higher as compared to non-clinical samples. The strongest association was observed between the SHAI and other measures of health anxiety, followed by measures related to health anxiety vulnerability, and then general anxiety and worry. Conclusions: The SHAI is a psychometrically sound tool for assessing health anxiety across samples. Future studies are needed, however, to assess test-retest reliability, incremental validity, and cut-off scores as well as use of the SHAI among diverse samples. © 2012 Elsevier Ltd.","author":[{"dropping-particle":"","family":"Alberts","given":"Nicole M.","non-dropping-particle":"","parse-names":false,"suffix":""},{"dropping-particle":"","family":"Hadjistavropoulos","given":"Heather D.","non-dropping-particle":"","parse-names":false,"suffix":""},{"dropping-particle":"","family":"Jones","given":"Shannon L.","non-dropping-particle":"","parse-names":false,"suffix":""},{"dropping-particle":"","family":"Sharpe","given":"Donald","non-dropping-particle":"","parse-names":false,"suffix":""}],"container-title":"Journal of Anxiety Disorders","id":"ITEM-1","issue":"1","issued":{"date-parts":[["2013"]]},"page":"68-78","publisher":"Elsevier Ltd","title":"The Short Health Anxiety Inventory: A systematic review and meta-analysis","type":"article-journal","volume":"27"},"uris":["http://www.mendeley.com/documents/?uuid=dc2243cc-a696-4ae0-8d6a-b01ac678a34b"]},{"id":"ITEM-2","itemData":{"DOI":"10.1016/j.ijchp.2019.05.003","ISSN":"16972600","abstract":"Background/Objective: The Short Health Anxiety Inventory (SHAI) is a widely used self-report instrument to evaluate health anxiety. To assess the SHAI's factor structure, psychometric properties, and accuracy in differentiating Spanish non-clinical individuals from patients with severe health anxiety or hypochondriasis. Method: A total of 342 community participants (61.6% women; Mage = 34.60, SD = 14.91) and 31 hypochondriacal patients (51.6% women; Mage = 32.74, SD = 9.69) completed the SHAI and other self-reports assessing symptoms of hypochondriasis, depression, anxiety sensitivity, worry, and obsessive-compulsive. Results: The original two-factor structure was selected as the best structure, based on its parsimony and empirical support (Factor 1: Illness likelihood; Factor 2: Negative consequences of illness). Moreover, the Spanish version of the SHAI demonstrated good construct and concurrent and discriminant validity, and internal consistency. A cutoff of 40.5 (total score) accurately distinguished non-clinical individuals from patients with severe health anxiety or hypochondriasis. Conclusions: The SHAI is an adequate screening instrument to measure health anxiety in Spanish-speaking community adults.","author":[{"dropping-particle":"","family":"Arnáez","given":"Sandra","non-dropping-particle":"","parse-names":false,"suffix":""},{"dropping-particle":"","family":"García-Soriano","given":"Gemma","non-dropping-particle":"","parse-names":false,"suffix":""},{"dropping-particle":"","family":"López-Santiago","given":"Jose","non-dropping-particle":"","parse-names":false,"suffix":""},{"dropping-particle":"","family":"Belloch","given":"Amparo","non-dropping-particle":"","parse-names":false,"suffix":""}],"container-title":"International Journal of Clinical and Health Psychology","id":"ITEM-2","issue":"3","issued":{"date-parts":[["2019"]]},"note":"Melody: Faltan los acentos. Este estudio es IMPORTANTE para ustedes porque es la validación en español de uno de los instrumentos que van a utilizar.\n\nEl proposito del presente estudio fue evaluar la validez del Test para medir niveles de ansiedad SHAI en poblacion de habla Hispana. Para esto, los investigadores utilizaron una muestra de dos grupos conformadas por un grupo de 342 participantes y el segundo grupo de 31 personas con diagnosticos hipocondriacos segun el DSM-IV. El estudio encontro una buena consistencia interna de la version en español del SHAI y los pacientes con diagnostico hypocondriaco obtenian mayores puntuaciones en el mismo. Este estudio es relevante para nuestra investigacion debido a que ofrece informacion fiable sobre un instrumento que mide variables las cuales vamos a correlacionar en nuestro estudio, como es la ansiedad y la hipocondria. En nuestro estudio, estas variables seran correlacionadas con el covid-19","page":"251-260","publisher":"Asociación Española de Psicología Conductual","title":"The Spanish validation of the Short Health Anxiety Inventory: Psychometric properties and clinical utility","type":"article-journal","volume":"19"},"uris":["http://www.mendeley.com/documents/?uuid=b0f831be-cc77-447d-902a-ac35259ca26c"]}],"mendeley":{"formattedCitation":"(Alberts et al., 2013; Arnáez et al., 2019)","plainTextFormattedCitation":"(Alberts et al., 2013; Arnáez et al., 2019)","previouslyFormattedCitation":"(Alberts et al., 2013; Arnáez et al., 2019)"},"properties":{"noteIndex":0},"schema":"https://github.com/citation-style-language/schema/raw/master/csl-citation.json"}</w:instrText>
      </w:r>
      <w:r w:rsidRPr="00C70CCB">
        <w:rPr>
          <w:bCs/>
          <w:lang w:val="es-DO"/>
        </w:rPr>
        <w:fldChar w:fldCharType="separate"/>
      </w:r>
      <w:r w:rsidRPr="00C70CCB">
        <w:rPr>
          <w:bCs/>
          <w:lang w:val="es-DO"/>
        </w:rPr>
        <w:t>(Alberts et al., 2013; Arnáez et al., 2019)</w:t>
      </w:r>
      <w:r w:rsidRPr="00C70CCB">
        <w:rPr>
          <w:bCs/>
          <w:lang w:val="es-ES_tradnl"/>
        </w:rPr>
        <w:fldChar w:fldCharType="end"/>
      </w:r>
      <w:r w:rsidRPr="00C70CCB">
        <w:rPr>
          <w:bCs/>
          <w:lang w:val="es-DO"/>
        </w:rPr>
        <w:t>. Cada ítem consta de 4 afirmaciones sobre síntomas de ansiedad por salud que incrementan en intensidad. Los participantes debían escoger la afirmación que mejor le representa. La puntuación total y las puntuaciones de cada subescala se calcularon sumando los ítems correspondientes. Los participantes que puntúan más de 45 puntos en la puntuación total podrían cumplir criterios diagnósticos para hipocondriasis. Las subescalas mostraron buena consistencia interna (α = .70 a .85).</w:t>
      </w:r>
    </w:p>
    <w:p w14:paraId="440C8EA0" w14:textId="77777777" w:rsidR="00C70CCB" w:rsidRPr="005A1F72" w:rsidRDefault="00C70CCB" w:rsidP="00195707">
      <w:pPr>
        <w:pStyle w:val="SubtituloInterno1"/>
      </w:pPr>
      <w:r w:rsidRPr="00195707">
        <w:t>Versión corta de la escala de gravedad de la Cibercondría (CCS-12 por sus siglas en inglés)</w:t>
      </w:r>
    </w:p>
    <w:p w14:paraId="30C85C2E" w14:textId="77777777" w:rsidR="00C70CCB" w:rsidRPr="00C70CCB" w:rsidRDefault="00C70CCB" w:rsidP="00C70CCB">
      <w:pPr>
        <w:pStyle w:val="Prrafocomn"/>
        <w:rPr>
          <w:bCs/>
          <w:lang w:val="es-DO"/>
        </w:rPr>
      </w:pPr>
      <w:r w:rsidRPr="00C70CCB">
        <w:rPr>
          <w:bCs/>
          <w:lang w:val="es-DO"/>
        </w:rPr>
        <w:t>El instrumento tiene cuatro subescalas de tres ítems cada una: (1) Excesividad, definida como rápida escalada de las búsquedas en internet; (2) Angustia, considerada como la sensación de ansiedad como resultado de estas búsquedas; (3) Ayuda, considerada como la solicitud de ayuda profesional tras la búsqueda en internet; y (4) Compulsión, en donde las búsquedas web interfieren con otros aspectos de la vida de la persona (</w:t>
      </w:r>
      <w:r w:rsidRPr="00C70CCB">
        <w:rPr>
          <w:bCs/>
          <w:lang w:val="es-DO"/>
        </w:rPr>
        <w:fldChar w:fldCharType="begin" w:fldLock="1"/>
      </w:r>
      <w:r w:rsidRPr="00C70CCB">
        <w:rPr>
          <w:bCs/>
          <w:lang w:val="es-DO"/>
        </w:rPr>
        <w:instrText>ADDIN CSL_CITATION {"citationItems":[{"id":"ITEM-1","itemData":{"DOI":"10.1089/cyber.2018.0624","ISSN":"21522723","PMID":"31013440","abstract":"Cyberchondria is defined as an increase in anxiety about one's health status as a result of excessive online searches. McElroy and Shevlin (2014) developed the first multidimensional, self-report measure of this construct-the Cyberchondria Severity Scale (CSS). The CSS consists of 33 items which can be summed to form a total score, and/or 5 subscale scores. The aim of the present study was to develop a short-form version of the CSS, removing the \"Mistrust\" subscale. Participants were undergraduate students from two UK universities (N = 661, 73% female, M age = 22.19 years, SD = 5.88). Students completed the CSS, Short Health Anxiety Inventory (SHAI) and Generalized Anxiety Disorder Assessment (GAD-7). Twelve items were chosen for retention in the short form based on an exploratory factor analysis. These items corresponded to the four factors previously identified in the 33-item scale (minus the \"Mistrust\" subscale). Confirmatory factor analysis was used to validate the structure of the CSS-12. Confirmatory bifactor modeling indicated that the majority of item covariance was accounted for by a general cyberchondria factor. Construct validity was assessed by examining associations with the SHAI and GAD-7, with stronger correlations observed between the CSS-12 and the SHAI (compared with the GAD-7). The CSS-12 is a brief, reliable, and valid measure of worry/anxiety attributable to excessive online health research.","author":[{"dropping-particle":"","family":"McElroy","given":"Eoin","non-dropping-particle":"","parse-names":false,"suffix":""},{"dropping-particle":"","family":"Kearney","given":"Mathew","non-dropping-particle":"","parse-names":false,"suffix":""},{"dropping-particle":"","family":"Touhey","given":"Jade","non-dropping-particle":"","parse-names":false,"suffix":""},{"dropping-particle":"","family":"Evans","given":"Joseph","non-dropping-particle":"","parse-names":false,"suffix":""},{"dropping-particle":"","family":"Cooke","given":"Yasmin","non-dropping-particle":"","parse-names":false,"suffix":""},{"dropping-particle":"","family":"Shevlin","given":"Mark","non-dropping-particle":"","parse-names":false,"suffix":""}],"container-title":"Cyberpsychology, Behavior, and Social Networking","id":"ITEM-1","issue":"5","issued":{"date-parts":[["2019"]]},"page":"330-335","title":"The CSS-12: Development and validation of a short-form version of the Cyberchondria Severity Scale","type":"article-journal","volume":"22"},"uris":["http://www.mendeley.com/documents/?uuid=4a9e5c87-20fd-4fa7-a007-79aa5197481b"]}],"mendeley":{"formattedCitation":"(McElroy et al., 2019)","manualFormatting":"McElroy et al., 2019","plainTextFormattedCitation":"(McElroy et al., 2019)","previouslyFormattedCitation":"(McElroy et al., 2019)"},"properties":{"noteIndex":0},"schema":"https://github.com/citation-style-language/schema/raw/master/csl-citation.json"}</w:instrText>
      </w:r>
      <w:r w:rsidRPr="00C70CCB">
        <w:rPr>
          <w:bCs/>
          <w:lang w:val="es-DO"/>
        </w:rPr>
        <w:fldChar w:fldCharType="separate"/>
      </w:r>
      <w:r w:rsidRPr="00C70CCB">
        <w:rPr>
          <w:bCs/>
          <w:lang w:val="es-DO"/>
        </w:rPr>
        <w:t>McElroy et al., 2019</w:t>
      </w:r>
      <w:r w:rsidRPr="00C70CCB">
        <w:rPr>
          <w:bCs/>
          <w:lang w:val="es-ES_tradnl"/>
        </w:rPr>
        <w:fldChar w:fldCharType="end"/>
      </w:r>
      <w:r w:rsidRPr="00C70CCB">
        <w:rPr>
          <w:bCs/>
          <w:lang w:val="es-DO"/>
        </w:rPr>
        <w:t xml:space="preserve">). Es una escala tipo Likert de 5 puntos. El instrumento </w:t>
      </w:r>
      <w:r w:rsidRPr="00C70CCB">
        <w:rPr>
          <w:bCs/>
          <w:lang w:val="es-DO"/>
        </w:rPr>
        <w:lastRenderedPageBreak/>
        <w:t>mostró una consistencia interna aceptable para la escala de compulsión (α = .64) y buena para el resto de las subescalas (α = .74 a .77).</w:t>
      </w:r>
    </w:p>
    <w:p w14:paraId="7C1C5A22" w14:textId="4BDEF509" w:rsidR="008565A0" w:rsidRPr="005A1F72" w:rsidRDefault="005A1F72" w:rsidP="00471F54">
      <w:pPr>
        <w:pStyle w:val="SubtituloInterno"/>
        <w:rPr>
          <w:bCs/>
          <w:lang w:val="es-DO"/>
        </w:rPr>
      </w:pPr>
      <w:r w:rsidRPr="005A1F72">
        <w:rPr>
          <w:bCs/>
          <w:lang w:val="es-DO"/>
        </w:rPr>
        <w:t>Procedimiento</w:t>
      </w:r>
    </w:p>
    <w:p w14:paraId="3279B556" w14:textId="15A2773C" w:rsidR="005A1F72" w:rsidRDefault="005A1F72" w:rsidP="005A1F72">
      <w:pPr>
        <w:pStyle w:val="Prrafocomn"/>
        <w:rPr>
          <w:bCs/>
          <w:lang w:val="es-DO"/>
        </w:rPr>
      </w:pPr>
      <w:r w:rsidRPr="005A1F72">
        <w:rPr>
          <w:bCs/>
          <w:lang w:val="es-DO"/>
        </w:rPr>
        <w:t xml:space="preserve">Los participantes fueron contactados a través de las redes sociales. Se les envió un hipervínculo con la información del estudio. Los participantes leyeron y firmaron el consentimiento informado y contestaron los instrumentos. </w:t>
      </w:r>
    </w:p>
    <w:p w14:paraId="14CA8145" w14:textId="49290A05" w:rsidR="00A92F49" w:rsidRPr="005A1F72" w:rsidRDefault="00A92F49" w:rsidP="00A92F49">
      <w:pPr>
        <w:pStyle w:val="SubtituloInterno"/>
        <w:rPr>
          <w:bCs/>
          <w:lang w:val="es-DO"/>
        </w:rPr>
      </w:pPr>
      <w:r w:rsidRPr="00A92F49">
        <w:rPr>
          <w:bCs/>
          <w:lang w:val="es-DO"/>
        </w:rPr>
        <w:t>Análisis Estadísticos</w:t>
      </w:r>
    </w:p>
    <w:p w14:paraId="61CE1C71" w14:textId="20A7335E" w:rsidR="00A92F49" w:rsidRDefault="001511AF" w:rsidP="00A92F49">
      <w:pPr>
        <w:pStyle w:val="Prrafocomn"/>
        <w:rPr>
          <w:bCs/>
          <w:lang w:val="es-DO"/>
        </w:rPr>
      </w:pPr>
      <w:r w:rsidRPr="001511AF">
        <w:rPr>
          <w:bCs/>
          <w:lang w:val="es-DO"/>
        </w:rPr>
        <w:t>Para establecer el modelo predictivo de cibercondría se realizó un análisis de regresión múltiple; para conocer si existían diferencias entre los grupos se realizó una prueba t de muestras independientes; para conocer el posible riesgo de cibercondría que tienen las personas en riesgos de tener complicaciones por COVID-19 sobre los que no tienen riesgo, se realizó un análisis de odds ratio. Se utilizó el programa SPSS para los análisis de datos.</w:t>
      </w:r>
    </w:p>
    <w:p w14:paraId="7DD96D3B" w14:textId="2278857E" w:rsidR="001511AF" w:rsidRPr="005A1F72" w:rsidRDefault="001511AF" w:rsidP="001511AF">
      <w:pPr>
        <w:pStyle w:val="SubtituloInterno"/>
        <w:rPr>
          <w:bCs/>
          <w:lang w:val="es-DO"/>
        </w:rPr>
      </w:pPr>
      <w:r w:rsidRPr="001511AF">
        <w:rPr>
          <w:bCs/>
          <w:lang w:val="es-DO"/>
        </w:rPr>
        <w:t>Consideraciones Éticas</w:t>
      </w:r>
    </w:p>
    <w:p w14:paraId="18B95917" w14:textId="1C0504DC" w:rsidR="00A92F49" w:rsidRPr="005A1F72" w:rsidRDefault="00864F59" w:rsidP="005A1F72">
      <w:pPr>
        <w:pStyle w:val="Prrafocomn"/>
        <w:rPr>
          <w:bCs/>
          <w:lang w:val="es-DO"/>
        </w:rPr>
      </w:pPr>
      <w:r w:rsidRPr="00864F59">
        <w:rPr>
          <w:bCs/>
          <w:lang w:val="es-DO"/>
        </w:rPr>
        <w:t>Este estudio tiene la aprobación del Comité de Ética de la Universidad Iberoamericana y sigue los lineamientos de la Declaración de los Principios Éticos para Psicólogos</w:t>
      </w:r>
      <w:r w:rsidR="001511AF" w:rsidRPr="001511AF">
        <w:rPr>
          <w:bCs/>
          <w:lang w:val="es-DO"/>
        </w:rPr>
        <w:t xml:space="preserve"> </w:t>
      </w:r>
      <w:r w:rsidR="001511AF" w:rsidRPr="001511AF">
        <w:rPr>
          <w:bCs/>
          <w:lang w:val="es-DO"/>
        </w:rPr>
        <w:fldChar w:fldCharType="begin" w:fldLock="1"/>
      </w:r>
      <w:r w:rsidR="001511AF" w:rsidRPr="001511AF">
        <w:rPr>
          <w:bCs/>
          <w:lang w:val="es-DO"/>
        </w:rPr>
        <w:instrText>ADDIN CSL_CITATION {"citationItems":[{"id":"ITEM-1","itemData":{"URL":"https://www.iupsys.net/about/governance/universal-declaration-of-ethical-principles-for-psychologists.html","abstract":"ogists (IAAP &amp; IUPsyS, 2008),","author":[{"dropping-particle":"","family":"IAAP","given":"","non-dropping-particle":"","parse-names":false,"suffix":""},{"dropping-particle":"","family":"IUPsyS","given":"","non-dropping-particle":"","parse-names":false,"suffix":""}],"id":"ITEM-1","issued":{"date-parts":[["2008"]]},"title":"Universal Declaration of Ethical Principles for Psychologists","type":"webpage"},"uris":["http://www.mendeley.com/documents/?uuid=365087ed-8c81-4feb-8d39-bac1121001a0"]}],"mendeley":{"formattedCitation":"(IAAP &amp; IUPsyS, 2008)","plainTextFormattedCitation":"(IAAP &amp; IUPsyS, 2008)","previouslyFormattedCitation":"(IAAP &amp; IUPsyS, 2008)"},"properties":{"noteIndex":0},"schema":"https://github.com/citation-style-language/schema/raw/master/csl-citation.json"}</w:instrText>
      </w:r>
      <w:r w:rsidR="001511AF" w:rsidRPr="001511AF">
        <w:rPr>
          <w:bCs/>
          <w:lang w:val="es-DO"/>
        </w:rPr>
        <w:fldChar w:fldCharType="separate"/>
      </w:r>
      <w:r w:rsidR="001511AF" w:rsidRPr="001511AF">
        <w:rPr>
          <w:bCs/>
          <w:lang w:val="es-DO"/>
        </w:rPr>
        <w:t>(IAAP &amp; IUPsyS, 2008)</w:t>
      </w:r>
      <w:r w:rsidR="001511AF" w:rsidRPr="001511AF">
        <w:rPr>
          <w:bCs/>
          <w:lang w:val="es-DO"/>
        </w:rPr>
        <w:fldChar w:fldCharType="end"/>
      </w:r>
      <w:r w:rsidR="001511AF" w:rsidRPr="001511AF">
        <w:rPr>
          <w:bCs/>
          <w:lang w:val="es-DO"/>
        </w:rPr>
        <w:t xml:space="preserve">, las Guías Éticas Internacionales para la Investigación Biomédica en Participantes Humanos </w:t>
      </w:r>
      <w:r w:rsidR="001511AF" w:rsidRPr="001511AF">
        <w:rPr>
          <w:bCs/>
          <w:lang w:val="es-DO"/>
        </w:rPr>
        <w:fldChar w:fldCharType="begin" w:fldLock="1"/>
      </w:r>
      <w:r w:rsidR="001511AF" w:rsidRPr="001511AF">
        <w:rPr>
          <w:bCs/>
          <w:lang w:val="es-DO"/>
        </w:rPr>
        <w:instrText>ADDIN CSL_CITATION {"citationItems":[{"id":"ITEM-1","itemData":{"abstract":"https://cioms.ch/wp-content/uploads/2017/12/CIOMS-EthicalGuideline_SP_INTERIOR-FINAL.pdf","author":[{"dropping-particle":"","family":"CIOMS","given":"","non-dropping-particle":"","parse-names":false,"suffix":""},{"dropping-particle":"","family":"WHO","given":"","non-dropping-particle":"","parse-names":false,"suffix":""},{"dropping-particle":"","family":"PAHO","given":"","non-dropping-particle":"","parse-names":false,"suffix":""}],"id":"ITEM-1","issued":{"date-parts":[["2016"]]},"title":"Pautas éticas internacionales para la investigación relacionada con la salud con seres humanos","type":"article-journal"},"uris":["http://www.mendeley.com/documents/?uuid=953f5600-cef5-429b-a7c2-649d651f95b0"]}],"mendeley":{"formattedCitation":"(CIOMS et al., 2016)","plainTextFormattedCitation":"(CIOMS et al., 2016)","previouslyFormattedCitation":"(CIOMS et al., 2016)"},"properties":{"noteIndex":0},"schema":"https://github.com/citation-style-language/schema/raw/master/csl-citation.json"}</w:instrText>
      </w:r>
      <w:r w:rsidR="001511AF" w:rsidRPr="001511AF">
        <w:rPr>
          <w:bCs/>
          <w:lang w:val="es-DO"/>
        </w:rPr>
        <w:fldChar w:fldCharType="separate"/>
      </w:r>
      <w:r w:rsidR="001511AF" w:rsidRPr="001511AF">
        <w:rPr>
          <w:bCs/>
          <w:lang w:val="es-DO"/>
        </w:rPr>
        <w:t>(CIOMS et al., 2016)</w:t>
      </w:r>
      <w:r w:rsidR="001511AF" w:rsidRPr="001511AF">
        <w:rPr>
          <w:bCs/>
          <w:lang w:val="es-DO"/>
        </w:rPr>
        <w:fldChar w:fldCharType="end"/>
      </w:r>
      <w:r w:rsidR="001511AF" w:rsidRPr="001511AF">
        <w:rPr>
          <w:bCs/>
          <w:lang w:val="es-DO"/>
        </w:rPr>
        <w:t xml:space="preserve"> y las declaraciones de la Sociedad Interamericana de Psicología </w:t>
      </w:r>
      <w:r w:rsidR="001511AF" w:rsidRPr="001511AF">
        <w:rPr>
          <w:bCs/>
          <w:lang w:val="es-DO"/>
        </w:rPr>
        <w:fldChar w:fldCharType="begin" w:fldLock="1"/>
      </w:r>
      <w:r w:rsidR="001511AF" w:rsidRPr="001511AF">
        <w:rPr>
          <w:bCs/>
          <w:lang w:val="es-DO"/>
        </w:rPr>
        <w:instrText>ADDIN CSL_CITATION {"citationItems":[{"id":"ITEM-1","itemData":{"abstract":"https://archive.org/details/sip-2019-declaracion-experticia-en-salud-mental","author":[{"dropping-particle":"","family":"ISP","given":"","non-dropping-particle":"","parse-names":false,"suffix":""}],"id":"ITEM-1","issued":{"date-parts":[["2019"]]},"title":"Declaración de la SIP sobre experticia de psicólogas y psicólogos en el campo de la salud mental y las ciencias del comportamiento","type":"article-journal"},"uris":["http://www.mendeley.com/documents/?uuid=03b14f83-99bc-4676-be01-766422fbf10f"]}],"mendeley":{"formattedCitation":"(ISP, 2019)","plainTextFormattedCitation":"(ISP, 2019)"},"properties":{"noteIndex":0},"schema":"https://github.com/citation-style-language/schema/raw/master/csl-citation.json"}</w:instrText>
      </w:r>
      <w:r w:rsidR="001511AF" w:rsidRPr="001511AF">
        <w:rPr>
          <w:bCs/>
          <w:lang w:val="es-DO"/>
        </w:rPr>
        <w:fldChar w:fldCharType="separate"/>
      </w:r>
      <w:r w:rsidR="001511AF" w:rsidRPr="001511AF">
        <w:rPr>
          <w:bCs/>
          <w:lang w:val="es-DO"/>
        </w:rPr>
        <w:t>(ISP, 2019)</w:t>
      </w:r>
      <w:r w:rsidR="001511AF" w:rsidRPr="001511AF">
        <w:rPr>
          <w:bCs/>
          <w:lang w:val="es-DO"/>
        </w:rPr>
        <w:fldChar w:fldCharType="end"/>
      </w:r>
      <w:r w:rsidR="001511AF" w:rsidRPr="001511AF">
        <w:rPr>
          <w:bCs/>
          <w:lang w:val="es-DO"/>
        </w:rPr>
        <w:t>.</w:t>
      </w:r>
    </w:p>
    <w:p w14:paraId="7E2F2AF5" w14:textId="129E0EF3" w:rsidR="00001354" w:rsidRPr="00001354" w:rsidRDefault="00EC31A6" w:rsidP="00001354">
      <w:pPr>
        <w:pStyle w:val="Ttulosinternos"/>
        <w:rPr>
          <w:lang w:val="es-AR"/>
        </w:rPr>
      </w:pPr>
      <w:r>
        <w:rPr>
          <w:lang w:val="es-AR"/>
        </w:rPr>
        <w:t>R</w:t>
      </w:r>
      <w:r w:rsidR="00001354" w:rsidRPr="00001354">
        <w:rPr>
          <w:lang w:val="es-AR"/>
        </w:rPr>
        <w:t>esultados</w:t>
      </w:r>
    </w:p>
    <w:p w14:paraId="6FD833A2" w14:textId="65CD9C9B" w:rsidR="00EC31A6" w:rsidRDefault="00EC31A6" w:rsidP="00EC31A6">
      <w:pPr>
        <w:pStyle w:val="Prrafocomn"/>
        <w:rPr>
          <w:bCs/>
          <w:lang w:val="es-DO"/>
        </w:rPr>
      </w:pPr>
      <w:r w:rsidRPr="00EC31A6">
        <w:rPr>
          <w:bCs/>
          <w:lang w:val="es-DO"/>
        </w:rPr>
        <w:t>Se realizó un análisis descriptivo para conocer el comportamiento de cada variable por separado (Ver Tabla 1). Los participantes puntuaron un promedio de 39.39 en la variable de ansiedad por salud (</w:t>
      </w:r>
      <w:r w:rsidRPr="00EC31A6">
        <w:rPr>
          <w:bCs/>
          <w:i/>
          <w:iCs/>
          <w:lang w:val="es-DO"/>
        </w:rPr>
        <w:t>DT</w:t>
      </w:r>
      <w:r w:rsidRPr="00EC31A6">
        <w:rPr>
          <w:bCs/>
          <w:lang w:val="es-DO"/>
        </w:rPr>
        <w:t xml:space="preserve"> = 5.27). El 14% de la muestra obtuvo una puntuación total mayor a 45 puntos en la variable de ansiedad por salud, lo que indica que podrían cumplir criterios diagnósticos para hipocondriasis o trastorno de síntomas somáticos. Con relación a la ansiedad estado, los participantes puntuaron un promedio de 44.49 (</w:t>
      </w:r>
      <w:r w:rsidRPr="00EC31A6">
        <w:rPr>
          <w:bCs/>
          <w:i/>
          <w:iCs/>
          <w:lang w:val="es-DO"/>
        </w:rPr>
        <w:t>DT</w:t>
      </w:r>
      <w:r w:rsidRPr="00EC31A6">
        <w:rPr>
          <w:bCs/>
          <w:lang w:val="es-DO"/>
        </w:rPr>
        <w:t xml:space="preserve"> = 12.31).  El 64% de la muestra obtuvo una puntuación total mayor a 40 puntos en ansiedad </w:t>
      </w:r>
      <w:r w:rsidRPr="00EC31A6">
        <w:rPr>
          <w:bCs/>
          <w:lang w:val="es-DO"/>
        </w:rPr>
        <w:lastRenderedPageBreak/>
        <w:t>estado, lo que indica que podrían cumplir criterios diagnósticos para ansiedad clínicamente significativa. La Tabla 2 muestra las demás estadísticas descriptivas.</w:t>
      </w:r>
    </w:p>
    <w:p w14:paraId="6DC3B083" w14:textId="77777777" w:rsidR="00EC31A6" w:rsidRPr="00EB534E" w:rsidRDefault="00EC31A6" w:rsidP="00EC31A6">
      <w:pPr>
        <w:spacing w:line="360" w:lineRule="auto"/>
        <w:rPr>
          <w:b/>
          <w:lang w:val="es-DO" w:eastAsia="es-ES"/>
        </w:rPr>
      </w:pPr>
      <w:r w:rsidRPr="00EB534E">
        <w:rPr>
          <w:b/>
          <w:lang w:val="es-DO" w:eastAsia="es-ES"/>
        </w:rPr>
        <w:t>Tabla 2</w:t>
      </w:r>
    </w:p>
    <w:p w14:paraId="0757917D" w14:textId="77777777" w:rsidR="00EC31A6" w:rsidRPr="00EB534E" w:rsidRDefault="00EC31A6" w:rsidP="00EC31A6">
      <w:pPr>
        <w:spacing w:line="360" w:lineRule="auto"/>
        <w:rPr>
          <w:i/>
          <w:iCs/>
          <w:lang w:val="es-DO" w:eastAsia="es-ES"/>
        </w:rPr>
      </w:pPr>
      <w:r w:rsidRPr="00EB534E">
        <w:rPr>
          <w:i/>
          <w:iCs/>
          <w:lang w:val="es-DO" w:eastAsia="es-ES"/>
        </w:rPr>
        <w:t>Estadísticas Descriptivas de las Variables del Estudio</w:t>
      </w:r>
    </w:p>
    <w:tbl>
      <w:tblPr>
        <w:tblW w:w="5000" w:type="pct"/>
        <w:tblLayout w:type="fixed"/>
        <w:tblLook w:val="04A0" w:firstRow="1" w:lastRow="0" w:firstColumn="1" w:lastColumn="0" w:noHBand="0" w:noVBand="1"/>
      </w:tblPr>
      <w:tblGrid>
        <w:gridCol w:w="4517"/>
        <w:gridCol w:w="796"/>
        <w:gridCol w:w="799"/>
        <w:gridCol w:w="799"/>
        <w:gridCol w:w="799"/>
        <w:gridCol w:w="794"/>
      </w:tblGrid>
      <w:tr w:rsidR="00EC31A6" w:rsidRPr="00EB534E" w14:paraId="49E916D9" w14:textId="77777777" w:rsidTr="00D56255">
        <w:trPr>
          <w:trHeight w:val="340"/>
        </w:trPr>
        <w:tc>
          <w:tcPr>
            <w:tcW w:w="2655" w:type="pct"/>
            <w:tcBorders>
              <w:top w:val="single" w:sz="8" w:space="0" w:color="auto"/>
              <w:left w:val="nil"/>
              <w:bottom w:val="single" w:sz="8" w:space="0" w:color="auto"/>
              <w:right w:val="nil"/>
            </w:tcBorders>
            <w:shd w:val="clear" w:color="auto" w:fill="auto"/>
            <w:noWrap/>
            <w:vAlign w:val="center"/>
            <w:hideMark/>
          </w:tcPr>
          <w:p w14:paraId="45750F00" w14:textId="77777777" w:rsidR="00EC31A6" w:rsidRPr="00EC31A6" w:rsidRDefault="00EC31A6" w:rsidP="009743A8">
            <w:pPr>
              <w:spacing w:line="360" w:lineRule="auto"/>
              <w:rPr>
                <w:b/>
                <w:szCs w:val="20"/>
                <w:lang w:eastAsia="en-US"/>
              </w:rPr>
            </w:pPr>
            <w:r w:rsidRPr="00EC31A6">
              <w:rPr>
                <w:b/>
                <w:szCs w:val="20"/>
                <w:lang w:val="es-ES" w:eastAsia="en-US"/>
              </w:rPr>
              <w:t>Instrumentos</w:t>
            </w:r>
          </w:p>
        </w:tc>
        <w:tc>
          <w:tcPr>
            <w:tcW w:w="468" w:type="pct"/>
            <w:tcBorders>
              <w:top w:val="single" w:sz="8" w:space="0" w:color="auto"/>
              <w:left w:val="nil"/>
              <w:bottom w:val="single" w:sz="8" w:space="0" w:color="auto"/>
              <w:right w:val="nil"/>
            </w:tcBorders>
            <w:shd w:val="clear" w:color="auto" w:fill="auto"/>
            <w:noWrap/>
            <w:vAlign w:val="center"/>
            <w:hideMark/>
          </w:tcPr>
          <w:p w14:paraId="36CD3B62" w14:textId="77777777" w:rsidR="00EC31A6" w:rsidRPr="00EC31A6" w:rsidRDefault="00EC31A6" w:rsidP="009743A8">
            <w:pPr>
              <w:spacing w:line="360" w:lineRule="auto"/>
              <w:jc w:val="center"/>
              <w:rPr>
                <w:b/>
                <w:iCs/>
                <w:szCs w:val="20"/>
                <w:lang w:eastAsia="en-US"/>
              </w:rPr>
            </w:pPr>
            <w:r w:rsidRPr="00EC31A6">
              <w:rPr>
                <w:b/>
                <w:iCs/>
                <w:szCs w:val="20"/>
                <w:lang w:val="es-ES" w:eastAsia="en-US"/>
              </w:rPr>
              <w:t>N</w:t>
            </w:r>
          </w:p>
        </w:tc>
        <w:tc>
          <w:tcPr>
            <w:tcW w:w="470" w:type="pct"/>
            <w:tcBorders>
              <w:top w:val="single" w:sz="8" w:space="0" w:color="auto"/>
              <w:left w:val="nil"/>
              <w:bottom w:val="single" w:sz="8" w:space="0" w:color="auto"/>
              <w:right w:val="nil"/>
            </w:tcBorders>
            <w:shd w:val="clear" w:color="auto" w:fill="auto"/>
            <w:noWrap/>
            <w:vAlign w:val="center"/>
            <w:hideMark/>
          </w:tcPr>
          <w:p w14:paraId="7A6BE3E8" w14:textId="77777777" w:rsidR="00EC31A6" w:rsidRPr="00EC31A6" w:rsidRDefault="00EC31A6" w:rsidP="009743A8">
            <w:pPr>
              <w:spacing w:line="360" w:lineRule="auto"/>
              <w:jc w:val="center"/>
              <w:rPr>
                <w:b/>
                <w:iCs/>
                <w:szCs w:val="20"/>
                <w:lang w:eastAsia="en-US"/>
              </w:rPr>
            </w:pPr>
            <w:r w:rsidRPr="00EC31A6">
              <w:rPr>
                <w:b/>
                <w:iCs/>
                <w:szCs w:val="20"/>
                <w:lang w:val="es-ES" w:eastAsia="en-US"/>
              </w:rPr>
              <w:t>M</w:t>
            </w:r>
          </w:p>
        </w:tc>
        <w:tc>
          <w:tcPr>
            <w:tcW w:w="470" w:type="pct"/>
            <w:tcBorders>
              <w:top w:val="single" w:sz="8" w:space="0" w:color="auto"/>
              <w:left w:val="nil"/>
              <w:bottom w:val="single" w:sz="8" w:space="0" w:color="auto"/>
              <w:right w:val="nil"/>
            </w:tcBorders>
            <w:shd w:val="clear" w:color="auto" w:fill="auto"/>
            <w:noWrap/>
            <w:vAlign w:val="center"/>
            <w:hideMark/>
          </w:tcPr>
          <w:p w14:paraId="18133C29" w14:textId="77777777" w:rsidR="00EC31A6" w:rsidRPr="00EC31A6" w:rsidRDefault="00EC31A6" w:rsidP="009743A8">
            <w:pPr>
              <w:spacing w:line="360" w:lineRule="auto"/>
              <w:jc w:val="center"/>
              <w:rPr>
                <w:b/>
                <w:iCs/>
                <w:szCs w:val="20"/>
                <w:lang w:eastAsia="en-US"/>
              </w:rPr>
            </w:pPr>
            <w:r w:rsidRPr="00EC31A6">
              <w:rPr>
                <w:b/>
                <w:iCs/>
                <w:szCs w:val="20"/>
                <w:lang w:val="es-ES" w:eastAsia="en-US"/>
              </w:rPr>
              <w:t>DT</w:t>
            </w:r>
          </w:p>
        </w:tc>
        <w:tc>
          <w:tcPr>
            <w:tcW w:w="470" w:type="pct"/>
            <w:tcBorders>
              <w:top w:val="single" w:sz="8" w:space="0" w:color="auto"/>
              <w:left w:val="nil"/>
              <w:bottom w:val="single" w:sz="8" w:space="0" w:color="auto"/>
              <w:right w:val="nil"/>
            </w:tcBorders>
            <w:shd w:val="clear" w:color="auto" w:fill="auto"/>
            <w:noWrap/>
            <w:vAlign w:val="center"/>
            <w:hideMark/>
          </w:tcPr>
          <w:p w14:paraId="34F7B48E" w14:textId="77777777" w:rsidR="00EC31A6" w:rsidRPr="00EC31A6" w:rsidRDefault="00EC31A6" w:rsidP="009743A8">
            <w:pPr>
              <w:spacing w:line="360" w:lineRule="auto"/>
              <w:jc w:val="center"/>
              <w:rPr>
                <w:b/>
                <w:iCs/>
                <w:szCs w:val="20"/>
                <w:lang w:eastAsia="en-US"/>
              </w:rPr>
            </w:pPr>
            <w:r w:rsidRPr="00EC31A6">
              <w:rPr>
                <w:b/>
                <w:iCs/>
                <w:szCs w:val="20"/>
                <w:lang w:val="es-ES" w:eastAsia="en-US"/>
              </w:rPr>
              <w:t>Min</w:t>
            </w:r>
          </w:p>
        </w:tc>
        <w:tc>
          <w:tcPr>
            <w:tcW w:w="468" w:type="pct"/>
            <w:tcBorders>
              <w:top w:val="single" w:sz="8" w:space="0" w:color="auto"/>
              <w:left w:val="nil"/>
              <w:bottom w:val="single" w:sz="8" w:space="0" w:color="auto"/>
              <w:right w:val="nil"/>
            </w:tcBorders>
            <w:shd w:val="clear" w:color="auto" w:fill="auto"/>
            <w:noWrap/>
            <w:vAlign w:val="center"/>
            <w:hideMark/>
          </w:tcPr>
          <w:p w14:paraId="1DD68640" w14:textId="77777777" w:rsidR="00EC31A6" w:rsidRPr="00EC31A6" w:rsidRDefault="00EC31A6" w:rsidP="009743A8">
            <w:pPr>
              <w:spacing w:line="360" w:lineRule="auto"/>
              <w:jc w:val="center"/>
              <w:rPr>
                <w:b/>
                <w:iCs/>
                <w:szCs w:val="20"/>
                <w:lang w:eastAsia="en-US"/>
              </w:rPr>
            </w:pPr>
            <w:r w:rsidRPr="00EC31A6">
              <w:rPr>
                <w:b/>
                <w:iCs/>
                <w:szCs w:val="20"/>
                <w:lang w:val="es-ES" w:eastAsia="en-US"/>
              </w:rPr>
              <w:t>Max</w:t>
            </w:r>
          </w:p>
        </w:tc>
      </w:tr>
      <w:tr w:rsidR="00EC31A6" w:rsidRPr="00EB534E" w14:paraId="546B9137" w14:textId="77777777" w:rsidTr="00D56255">
        <w:trPr>
          <w:trHeight w:val="320"/>
        </w:trPr>
        <w:tc>
          <w:tcPr>
            <w:tcW w:w="2655" w:type="pct"/>
            <w:tcBorders>
              <w:top w:val="nil"/>
              <w:left w:val="nil"/>
              <w:bottom w:val="nil"/>
              <w:right w:val="nil"/>
            </w:tcBorders>
            <w:shd w:val="clear" w:color="auto" w:fill="auto"/>
            <w:noWrap/>
            <w:vAlign w:val="center"/>
            <w:hideMark/>
          </w:tcPr>
          <w:p w14:paraId="0E1E5542" w14:textId="77777777" w:rsidR="00EC31A6" w:rsidRPr="00EC31A6" w:rsidRDefault="00EC31A6" w:rsidP="009743A8">
            <w:pPr>
              <w:spacing w:line="360" w:lineRule="auto"/>
              <w:rPr>
                <w:szCs w:val="20"/>
                <w:lang w:eastAsia="en-US"/>
              </w:rPr>
            </w:pPr>
            <w:r w:rsidRPr="00EC31A6">
              <w:rPr>
                <w:szCs w:val="20"/>
                <w:lang w:val="es-ES" w:eastAsia="en-US"/>
              </w:rPr>
              <w:t>E. Breve Inventario de Ansiedad por la Salud (SHAI)</w:t>
            </w:r>
          </w:p>
        </w:tc>
        <w:tc>
          <w:tcPr>
            <w:tcW w:w="468" w:type="pct"/>
            <w:tcBorders>
              <w:top w:val="nil"/>
              <w:left w:val="nil"/>
              <w:bottom w:val="nil"/>
              <w:right w:val="nil"/>
            </w:tcBorders>
            <w:shd w:val="clear" w:color="auto" w:fill="auto"/>
            <w:noWrap/>
            <w:vAlign w:val="center"/>
            <w:hideMark/>
          </w:tcPr>
          <w:p w14:paraId="3CB970F6" w14:textId="77777777" w:rsidR="00EC31A6" w:rsidRPr="00EC31A6" w:rsidRDefault="00EC31A6" w:rsidP="009743A8">
            <w:pPr>
              <w:spacing w:line="360" w:lineRule="auto"/>
              <w:jc w:val="center"/>
              <w:rPr>
                <w:szCs w:val="20"/>
                <w:lang w:eastAsia="en-US"/>
              </w:rPr>
            </w:pPr>
            <w:r w:rsidRPr="00EC31A6">
              <w:rPr>
                <w:szCs w:val="20"/>
                <w:lang w:eastAsia="en-US"/>
              </w:rPr>
              <w:t>87</w:t>
            </w:r>
          </w:p>
        </w:tc>
        <w:tc>
          <w:tcPr>
            <w:tcW w:w="470" w:type="pct"/>
            <w:tcBorders>
              <w:top w:val="nil"/>
              <w:left w:val="nil"/>
              <w:bottom w:val="nil"/>
              <w:right w:val="nil"/>
            </w:tcBorders>
            <w:shd w:val="clear" w:color="auto" w:fill="auto"/>
            <w:noWrap/>
            <w:vAlign w:val="center"/>
            <w:hideMark/>
          </w:tcPr>
          <w:p w14:paraId="312F58BF" w14:textId="77777777" w:rsidR="00EC31A6" w:rsidRPr="00EC31A6" w:rsidRDefault="00EC31A6" w:rsidP="009743A8">
            <w:pPr>
              <w:spacing w:line="360" w:lineRule="auto"/>
              <w:jc w:val="center"/>
              <w:rPr>
                <w:szCs w:val="20"/>
                <w:lang w:eastAsia="en-US"/>
              </w:rPr>
            </w:pPr>
            <w:r w:rsidRPr="00EC31A6">
              <w:rPr>
                <w:szCs w:val="20"/>
                <w:lang w:eastAsia="en-US"/>
              </w:rPr>
              <w:t>39.39</w:t>
            </w:r>
          </w:p>
        </w:tc>
        <w:tc>
          <w:tcPr>
            <w:tcW w:w="470" w:type="pct"/>
            <w:tcBorders>
              <w:top w:val="nil"/>
              <w:left w:val="nil"/>
              <w:bottom w:val="nil"/>
              <w:right w:val="nil"/>
            </w:tcBorders>
            <w:shd w:val="clear" w:color="auto" w:fill="auto"/>
            <w:noWrap/>
            <w:vAlign w:val="center"/>
            <w:hideMark/>
          </w:tcPr>
          <w:p w14:paraId="006C66E4" w14:textId="77777777" w:rsidR="00EC31A6" w:rsidRPr="00EC31A6" w:rsidRDefault="00EC31A6" w:rsidP="009743A8">
            <w:pPr>
              <w:spacing w:line="360" w:lineRule="auto"/>
              <w:jc w:val="center"/>
              <w:rPr>
                <w:szCs w:val="20"/>
                <w:lang w:eastAsia="en-US"/>
              </w:rPr>
            </w:pPr>
            <w:r w:rsidRPr="00EC31A6">
              <w:rPr>
                <w:szCs w:val="20"/>
                <w:lang w:eastAsia="en-US"/>
              </w:rPr>
              <w:t>5.27</w:t>
            </w:r>
          </w:p>
        </w:tc>
        <w:tc>
          <w:tcPr>
            <w:tcW w:w="470" w:type="pct"/>
            <w:tcBorders>
              <w:top w:val="nil"/>
              <w:left w:val="nil"/>
              <w:bottom w:val="nil"/>
              <w:right w:val="nil"/>
            </w:tcBorders>
            <w:shd w:val="clear" w:color="auto" w:fill="auto"/>
            <w:noWrap/>
            <w:vAlign w:val="center"/>
            <w:hideMark/>
          </w:tcPr>
          <w:p w14:paraId="59B3E196" w14:textId="77777777" w:rsidR="00EC31A6" w:rsidRPr="00EC31A6" w:rsidRDefault="00EC31A6" w:rsidP="009743A8">
            <w:pPr>
              <w:spacing w:line="360" w:lineRule="auto"/>
              <w:jc w:val="center"/>
              <w:rPr>
                <w:szCs w:val="20"/>
                <w:lang w:eastAsia="en-US"/>
              </w:rPr>
            </w:pPr>
            <w:r w:rsidRPr="00EC31A6">
              <w:rPr>
                <w:szCs w:val="20"/>
                <w:lang w:eastAsia="en-US"/>
              </w:rPr>
              <w:t>28</w:t>
            </w:r>
          </w:p>
        </w:tc>
        <w:tc>
          <w:tcPr>
            <w:tcW w:w="468" w:type="pct"/>
            <w:tcBorders>
              <w:top w:val="nil"/>
              <w:left w:val="nil"/>
              <w:bottom w:val="nil"/>
              <w:right w:val="nil"/>
            </w:tcBorders>
            <w:shd w:val="clear" w:color="auto" w:fill="auto"/>
            <w:noWrap/>
            <w:vAlign w:val="center"/>
            <w:hideMark/>
          </w:tcPr>
          <w:p w14:paraId="64E23080" w14:textId="77777777" w:rsidR="00EC31A6" w:rsidRPr="00EC31A6" w:rsidRDefault="00EC31A6" w:rsidP="009743A8">
            <w:pPr>
              <w:spacing w:line="360" w:lineRule="auto"/>
              <w:jc w:val="center"/>
              <w:rPr>
                <w:szCs w:val="20"/>
                <w:lang w:eastAsia="en-US"/>
              </w:rPr>
            </w:pPr>
            <w:r w:rsidRPr="00EC31A6">
              <w:rPr>
                <w:szCs w:val="20"/>
                <w:lang w:eastAsia="en-US"/>
              </w:rPr>
              <w:t>56</w:t>
            </w:r>
          </w:p>
        </w:tc>
      </w:tr>
      <w:tr w:rsidR="00EC31A6" w:rsidRPr="00EB534E" w14:paraId="51FE91E7" w14:textId="77777777" w:rsidTr="00D56255">
        <w:trPr>
          <w:trHeight w:val="320"/>
        </w:trPr>
        <w:tc>
          <w:tcPr>
            <w:tcW w:w="2655" w:type="pct"/>
            <w:tcBorders>
              <w:top w:val="nil"/>
              <w:left w:val="nil"/>
              <w:bottom w:val="nil"/>
              <w:right w:val="nil"/>
            </w:tcBorders>
            <w:shd w:val="clear" w:color="auto" w:fill="auto"/>
            <w:noWrap/>
            <w:vAlign w:val="center"/>
            <w:hideMark/>
          </w:tcPr>
          <w:p w14:paraId="3DAEC857" w14:textId="297DB848" w:rsidR="00EC31A6" w:rsidRPr="00EC31A6" w:rsidRDefault="00EC31A6" w:rsidP="00EC31A6">
            <w:pPr>
              <w:spacing w:line="360" w:lineRule="auto"/>
              <w:ind w:left="316"/>
              <w:rPr>
                <w:szCs w:val="20"/>
                <w:lang w:eastAsia="en-US"/>
              </w:rPr>
            </w:pPr>
            <w:r w:rsidRPr="00EC31A6">
              <w:rPr>
                <w:szCs w:val="20"/>
                <w:lang w:val="es-ES" w:eastAsia="en-US"/>
              </w:rPr>
              <w:t xml:space="preserve">S. Miedo a la posibilidad de enfermar </w:t>
            </w:r>
          </w:p>
        </w:tc>
        <w:tc>
          <w:tcPr>
            <w:tcW w:w="468" w:type="pct"/>
            <w:tcBorders>
              <w:top w:val="nil"/>
              <w:left w:val="nil"/>
              <w:bottom w:val="nil"/>
              <w:right w:val="nil"/>
            </w:tcBorders>
            <w:shd w:val="clear" w:color="auto" w:fill="auto"/>
            <w:noWrap/>
            <w:vAlign w:val="center"/>
            <w:hideMark/>
          </w:tcPr>
          <w:p w14:paraId="754897E1" w14:textId="77777777" w:rsidR="00EC31A6" w:rsidRPr="00EC31A6" w:rsidRDefault="00EC31A6" w:rsidP="009743A8">
            <w:pPr>
              <w:spacing w:line="360" w:lineRule="auto"/>
              <w:jc w:val="center"/>
              <w:rPr>
                <w:szCs w:val="20"/>
                <w:lang w:eastAsia="en-US"/>
              </w:rPr>
            </w:pPr>
            <w:r w:rsidRPr="00EC31A6">
              <w:rPr>
                <w:szCs w:val="20"/>
                <w:lang w:eastAsia="en-US"/>
              </w:rPr>
              <w:t>87</w:t>
            </w:r>
          </w:p>
        </w:tc>
        <w:tc>
          <w:tcPr>
            <w:tcW w:w="470" w:type="pct"/>
            <w:tcBorders>
              <w:top w:val="nil"/>
              <w:left w:val="nil"/>
              <w:bottom w:val="nil"/>
              <w:right w:val="nil"/>
            </w:tcBorders>
            <w:shd w:val="clear" w:color="auto" w:fill="auto"/>
            <w:noWrap/>
            <w:vAlign w:val="center"/>
            <w:hideMark/>
          </w:tcPr>
          <w:p w14:paraId="7CF7909D" w14:textId="77777777" w:rsidR="00EC31A6" w:rsidRPr="00EC31A6" w:rsidRDefault="00EC31A6" w:rsidP="009743A8">
            <w:pPr>
              <w:spacing w:line="360" w:lineRule="auto"/>
              <w:jc w:val="center"/>
              <w:rPr>
                <w:szCs w:val="20"/>
                <w:lang w:eastAsia="en-US"/>
              </w:rPr>
            </w:pPr>
            <w:r w:rsidRPr="00EC31A6">
              <w:rPr>
                <w:szCs w:val="20"/>
                <w:lang w:eastAsia="en-US"/>
              </w:rPr>
              <w:t>25.62</w:t>
            </w:r>
          </w:p>
        </w:tc>
        <w:tc>
          <w:tcPr>
            <w:tcW w:w="470" w:type="pct"/>
            <w:tcBorders>
              <w:top w:val="nil"/>
              <w:left w:val="nil"/>
              <w:bottom w:val="nil"/>
              <w:right w:val="nil"/>
            </w:tcBorders>
            <w:shd w:val="clear" w:color="auto" w:fill="auto"/>
            <w:noWrap/>
            <w:vAlign w:val="center"/>
            <w:hideMark/>
          </w:tcPr>
          <w:p w14:paraId="4073DD3B" w14:textId="77777777" w:rsidR="00EC31A6" w:rsidRPr="00EC31A6" w:rsidRDefault="00EC31A6" w:rsidP="009743A8">
            <w:pPr>
              <w:spacing w:line="360" w:lineRule="auto"/>
              <w:jc w:val="center"/>
              <w:rPr>
                <w:szCs w:val="20"/>
                <w:lang w:eastAsia="en-US"/>
              </w:rPr>
            </w:pPr>
            <w:r w:rsidRPr="00EC31A6">
              <w:rPr>
                <w:szCs w:val="20"/>
                <w:lang w:eastAsia="en-US"/>
              </w:rPr>
              <w:t>5.71</w:t>
            </w:r>
          </w:p>
        </w:tc>
        <w:tc>
          <w:tcPr>
            <w:tcW w:w="470" w:type="pct"/>
            <w:tcBorders>
              <w:top w:val="nil"/>
              <w:left w:val="nil"/>
              <w:bottom w:val="nil"/>
              <w:right w:val="nil"/>
            </w:tcBorders>
            <w:shd w:val="clear" w:color="auto" w:fill="auto"/>
            <w:noWrap/>
            <w:vAlign w:val="center"/>
            <w:hideMark/>
          </w:tcPr>
          <w:p w14:paraId="37FB0690" w14:textId="77777777" w:rsidR="00EC31A6" w:rsidRPr="00EC31A6" w:rsidRDefault="00EC31A6" w:rsidP="009743A8">
            <w:pPr>
              <w:spacing w:line="360" w:lineRule="auto"/>
              <w:jc w:val="center"/>
              <w:rPr>
                <w:szCs w:val="20"/>
                <w:lang w:eastAsia="en-US"/>
              </w:rPr>
            </w:pPr>
            <w:r w:rsidRPr="00EC31A6">
              <w:rPr>
                <w:szCs w:val="20"/>
                <w:lang w:eastAsia="en-US"/>
              </w:rPr>
              <w:t>17</w:t>
            </w:r>
          </w:p>
        </w:tc>
        <w:tc>
          <w:tcPr>
            <w:tcW w:w="468" w:type="pct"/>
            <w:tcBorders>
              <w:top w:val="nil"/>
              <w:left w:val="nil"/>
              <w:bottom w:val="nil"/>
              <w:right w:val="nil"/>
            </w:tcBorders>
            <w:shd w:val="clear" w:color="auto" w:fill="auto"/>
            <w:noWrap/>
            <w:vAlign w:val="center"/>
            <w:hideMark/>
          </w:tcPr>
          <w:p w14:paraId="34378BE5" w14:textId="77777777" w:rsidR="00EC31A6" w:rsidRPr="00EC31A6" w:rsidRDefault="00EC31A6" w:rsidP="009743A8">
            <w:pPr>
              <w:spacing w:line="360" w:lineRule="auto"/>
              <w:jc w:val="center"/>
              <w:rPr>
                <w:szCs w:val="20"/>
                <w:lang w:eastAsia="en-US"/>
              </w:rPr>
            </w:pPr>
            <w:r w:rsidRPr="00EC31A6">
              <w:rPr>
                <w:szCs w:val="20"/>
                <w:lang w:eastAsia="en-US"/>
              </w:rPr>
              <w:t>46</w:t>
            </w:r>
          </w:p>
        </w:tc>
      </w:tr>
      <w:tr w:rsidR="00EC31A6" w:rsidRPr="00EB534E" w14:paraId="0C9516D4" w14:textId="77777777" w:rsidTr="00D56255">
        <w:trPr>
          <w:trHeight w:val="320"/>
        </w:trPr>
        <w:tc>
          <w:tcPr>
            <w:tcW w:w="2655" w:type="pct"/>
            <w:tcBorders>
              <w:top w:val="nil"/>
              <w:left w:val="nil"/>
              <w:bottom w:val="nil"/>
              <w:right w:val="nil"/>
            </w:tcBorders>
            <w:shd w:val="clear" w:color="auto" w:fill="auto"/>
            <w:noWrap/>
            <w:vAlign w:val="center"/>
            <w:hideMark/>
          </w:tcPr>
          <w:p w14:paraId="2E303039" w14:textId="4808E487" w:rsidR="00EC31A6" w:rsidRPr="00EC31A6" w:rsidRDefault="00EC31A6" w:rsidP="00EC31A6">
            <w:pPr>
              <w:spacing w:line="360" w:lineRule="auto"/>
              <w:ind w:left="316"/>
              <w:rPr>
                <w:szCs w:val="20"/>
                <w:lang w:eastAsia="en-US"/>
              </w:rPr>
            </w:pPr>
            <w:r w:rsidRPr="00EC31A6">
              <w:rPr>
                <w:szCs w:val="20"/>
                <w:lang w:val="es-ES" w:eastAsia="en-US"/>
              </w:rPr>
              <w:t>S. Temor a las consecuencias de la enfermedad</w:t>
            </w:r>
          </w:p>
        </w:tc>
        <w:tc>
          <w:tcPr>
            <w:tcW w:w="468" w:type="pct"/>
            <w:tcBorders>
              <w:top w:val="nil"/>
              <w:left w:val="nil"/>
              <w:bottom w:val="nil"/>
              <w:right w:val="nil"/>
            </w:tcBorders>
            <w:shd w:val="clear" w:color="auto" w:fill="auto"/>
            <w:noWrap/>
            <w:vAlign w:val="center"/>
            <w:hideMark/>
          </w:tcPr>
          <w:p w14:paraId="09B6C45D" w14:textId="77777777" w:rsidR="00EC31A6" w:rsidRPr="00EC31A6" w:rsidRDefault="00EC31A6" w:rsidP="009743A8">
            <w:pPr>
              <w:spacing w:line="360" w:lineRule="auto"/>
              <w:jc w:val="center"/>
              <w:rPr>
                <w:szCs w:val="20"/>
                <w:lang w:eastAsia="en-US"/>
              </w:rPr>
            </w:pPr>
            <w:r w:rsidRPr="00EC31A6">
              <w:rPr>
                <w:szCs w:val="20"/>
                <w:lang w:eastAsia="en-US"/>
              </w:rPr>
              <w:t>87</w:t>
            </w:r>
          </w:p>
        </w:tc>
        <w:tc>
          <w:tcPr>
            <w:tcW w:w="470" w:type="pct"/>
            <w:tcBorders>
              <w:top w:val="nil"/>
              <w:left w:val="nil"/>
              <w:bottom w:val="nil"/>
              <w:right w:val="nil"/>
            </w:tcBorders>
            <w:shd w:val="clear" w:color="auto" w:fill="auto"/>
            <w:noWrap/>
            <w:vAlign w:val="center"/>
            <w:hideMark/>
          </w:tcPr>
          <w:p w14:paraId="4397EC77" w14:textId="77777777" w:rsidR="00EC31A6" w:rsidRPr="00EC31A6" w:rsidRDefault="00EC31A6" w:rsidP="009743A8">
            <w:pPr>
              <w:spacing w:line="360" w:lineRule="auto"/>
              <w:jc w:val="center"/>
              <w:rPr>
                <w:szCs w:val="20"/>
                <w:lang w:eastAsia="en-US"/>
              </w:rPr>
            </w:pPr>
            <w:r w:rsidRPr="00EC31A6">
              <w:rPr>
                <w:szCs w:val="20"/>
                <w:lang w:eastAsia="en-US"/>
              </w:rPr>
              <w:t>13.77</w:t>
            </w:r>
          </w:p>
        </w:tc>
        <w:tc>
          <w:tcPr>
            <w:tcW w:w="470" w:type="pct"/>
            <w:tcBorders>
              <w:top w:val="nil"/>
              <w:left w:val="nil"/>
              <w:bottom w:val="nil"/>
              <w:right w:val="nil"/>
            </w:tcBorders>
            <w:shd w:val="clear" w:color="auto" w:fill="auto"/>
            <w:noWrap/>
            <w:vAlign w:val="center"/>
            <w:hideMark/>
          </w:tcPr>
          <w:p w14:paraId="3657726A" w14:textId="77777777" w:rsidR="00EC31A6" w:rsidRPr="00EC31A6" w:rsidRDefault="00EC31A6" w:rsidP="009743A8">
            <w:pPr>
              <w:spacing w:line="360" w:lineRule="auto"/>
              <w:jc w:val="center"/>
              <w:rPr>
                <w:szCs w:val="20"/>
                <w:lang w:eastAsia="en-US"/>
              </w:rPr>
            </w:pPr>
            <w:r w:rsidRPr="00EC31A6">
              <w:rPr>
                <w:szCs w:val="20"/>
                <w:lang w:eastAsia="en-US"/>
              </w:rPr>
              <w:t>1.93</w:t>
            </w:r>
          </w:p>
        </w:tc>
        <w:tc>
          <w:tcPr>
            <w:tcW w:w="470" w:type="pct"/>
            <w:tcBorders>
              <w:top w:val="nil"/>
              <w:left w:val="nil"/>
              <w:bottom w:val="nil"/>
              <w:right w:val="nil"/>
            </w:tcBorders>
            <w:shd w:val="clear" w:color="auto" w:fill="auto"/>
            <w:noWrap/>
            <w:vAlign w:val="center"/>
            <w:hideMark/>
          </w:tcPr>
          <w:p w14:paraId="53CD1689" w14:textId="77777777" w:rsidR="00EC31A6" w:rsidRPr="00EC31A6" w:rsidRDefault="00EC31A6" w:rsidP="009743A8">
            <w:pPr>
              <w:spacing w:line="360" w:lineRule="auto"/>
              <w:jc w:val="center"/>
              <w:rPr>
                <w:szCs w:val="20"/>
                <w:lang w:eastAsia="en-US"/>
              </w:rPr>
            </w:pPr>
            <w:r w:rsidRPr="00EC31A6">
              <w:rPr>
                <w:szCs w:val="20"/>
                <w:lang w:eastAsia="en-US"/>
              </w:rPr>
              <w:t>8</w:t>
            </w:r>
          </w:p>
        </w:tc>
        <w:tc>
          <w:tcPr>
            <w:tcW w:w="468" w:type="pct"/>
            <w:tcBorders>
              <w:top w:val="nil"/>
              <w:left w:val="nil"/>
              <w:bottom w:val="nil"/>
              <w:right w:val="nil"/>
            </w:tcBorders>
            <w:shd w:val="clear" w:color="auto" w:fill="auto"/>
            <w:noWrap/>
            <w:vAlign w:val="center"/>
            <w:hideMark/>
          </w:tcPr>
          <w:p w14:paraId="7DE6714A" w14:textId="77777777" w:rsidR="00EC31A6" w:rsidRPr="00EC31A6" w:rsidRDefault="00EC31A6" w:rsidP="009743A8">
            <w:pPr>
              <w:spacing w:line="360" w:lineRule="auto"/>
              <w:jc w:val="center"/>
              <w:rPr>
                <w:szCs w:val="20"/>
                <w:lang w:eastAsia="en-US"/>
              </w:rPr>
            </w:pPr>
            <w:r w:rsidRPr="00EC31A6">
              <w:rPr>
                <w:szCs w:val="20"/>
                <w:lang w:eastAsia="en-US"/>
              </w:rPr>
              <w:t>16</w:t>
            </w:r>
          </w:p>
        </w:tc>
      </w:tr>
      <w:tr w:rsidR="00EC31A6" w:rsidRPr="00EB534E" w14:paraId="7B377817" w14:textId="77777777" w:rsidTr="00D56255">
        <w:trPr>
          <w:trHeight w:val="320"/>
        </w:trPr>
        <w:tc>
          <w:tcPr>
            <w:tcW w:w="2655" w:type="pct"/>
            <w:tcBorders>
              <w:top w:val="nil"/>
              <w:left w:val="nil"/>
              <w:bottom w:val="nil"/>
              <w:right w:val="nil"/>
            </w:tcBorders>
            <w:shd w:val="clear" w:color="auto" w:fill="auto"/>
            <w:noWrap/>
            <w:vAlign w:val="center"/>
            <w:hideMark/>
          </w:tcPr>
          <w:p w14:paraId="4E9968B4" w14:textId="0273037C" w:rsidR="00EC31A6" w:rsidRPr="00EC31A6" w:rsidRDefault="00EC31A6" w:rsidP="00EC31A6">
            <w:pPr>
              <w:spacing w:line="360" w:lineRule="auto"/>
              <w:ind w:left="316"/>
              <w:rPr>
                <w:szCs w:val="20"/>
                <w:lang w:eastAsia="en-US"/>
              </w:rPr>
            </w:pPr>
            <w:r w:rsidRPr="00EC31A6">
              <w:rPr>
                <w:szCs w:val="20"/>
                <w:lang w:val="es-ES" w:eastAsia="en-US"/>
              </w:rPr>
              <w:t>A. Porcentaje de probabilidad de hipocondriasis</w:t>
            </w:r>
          </w:p>
        </w:tc>
        <w:tc>
          <w:tcPr>
            <w:tcW w:w="468" w:type="pct"/>
            <w:tcBorders>
              <w:top w:val="nil"/>
              <w:left w:val="nil"/>
              <w:bottom w:val="nil"/>
              <w:right w:val="nil"/>
            </w:tcBorders>
            <w:shd w:val="clear" w:color="auto" w:fill="auto"/>
            <w:noWrap/>
            <w:vAlign w:val="center"/>
            <w:hideMark/>
          </w:tcPr>
          <w:p w14:paraId="6E52A93D" w14:textId="77777777" w:rsidR="00EC31A6" w:rsidRPr="00EC31A6" w:rsidRDefault="00EC31A6" w:rsidP="009743A8">
            <w:pPr>
              <w:spacing w:line="360" w:lineRule="auto"/>
              <w:jc w:val="center"/>
              <w:rPr>
                <w:szCs w:val="20"/>
                <w:lang w:eastAsia="en-US"/>
              </w:rPr>
            </w:pPr>
            <w:r w:rsidRPr="00EC31A6">
              <w:rPr>
                <w:szCs w:val="20"/>
                <w:lang w:eastAsia="en-US"/>
              </w:rPr>
              <w:t>87</w:t>
            </w:r>
          </w:p>
        </w:tc>
        <w:tc>
          <w:tcPr>
            <w:tcW w:w="470" w:type="pct"/>
            <w:tcBorders>
              <w:top w:val="nil"/>
              <w:left w:val="nil"/>
              <w:bottom w:val="nil"/>
              <w:right w:val="nil"/>
            </w:tcBorders>
            <w:shd w:val="clear" w:color="auto" w:fill="auto"/>
            <w:noWrap/>
            <w:vAlign w:val="center"/>
            <w:hideMark/>
          </w:tcPr>
          <w:p w14:paraId="74337FEB" w14:textId="77777777" w:rsidR="00EC31A6" w:rsidRPr="00EC31A6" w:rsidRDefault="00EC31A6" w:rsidP="009743A8">
            <w:pPr>
              <w:spacing w:line="360" w:lineRule="auto"/>
              <w:jc w:val="center"/>
              <w:rPr>
                <w:szCs w:val="20"/>
                <w:lang w:eastAsia="en-US"/>
              </w:rPr>
            </w:pPr>
            <w:r w:rsidRPr="00EC31A6">
              <w:rPr>
                <w:szCs w:val="20"/>
                <w:lang w:eastAsia="en-US"/>
              </w:rPr>
              <w:t>.14</w:t>
            </w:r>
          </w:p>
        </w:tc>
        <w:tc>
          <w:tcPr>
            <w:tcW w:w="470" w:type="pct"/>
            <w:tcBorders>
              <w:top w:val="nil"/>
              <w:left w:val="nil"/>
              <w:bottom w:val="nil"/>
              <w:right w:val="nil"/>
            </w:tcBorders>
            <w:shd w:val="clear" w:color="auto" w:fill="auto"/>
            <w:noWrap/>
            <w:vAlign w:val="center"/>
            <w:hideMark/>
          </w:tcPr>
          <w:p w14:paraId="76BF56D3" w14:textId="77777777" w:rsidR="00EC31A6" w:rsidRPr="00EC31A6" w:rsidRDefault="00EC31A6" w:rsidP="009743A8">
            <w:pPr>
              <w:spacing w:line="360" w:lineRule="auto"/>
              <w:jc w:val="center"/>
              <w:rPr>
                <w:szCs w:val="20"/>
                <w:lang w:eastAsia="en-US"/>
              </w:rPr>
            </w:pPr>
            <w:r w:rsidRPr="00EC31A6">
              <w:rPr>
                <w:szCs w:val="20"/>
                <w:lang w:eastAsia="en-US"/>
              </w:rPr>
              <w:t>0.35</w:t>
            </w:r>
          </w:p>
        </w:tc>
        <w:tc>
          <w:tcPr>
            <w:tcW w:w="470" w:type="pct"/>
            <w:tcBorders>
              <w:top w:val="nil"/>
              <w:left w:val="nil"/>
              <w:bottom w:val="nil"/>
              <w:right w:val="nil"/>
            </w:tcBorders>
            <w:shd w:val="clear" w:color="auto" w:fill="auto"/>
            <w:noWrap/>
            <w:vAlign w:val="center"/>
            <w:hideMark/>
          </w:tcPr>
          <w:p w14:paraId="2572D19E" w14:textId="77777777" w:rsidR="00EC31A6" w:rsidRPr="00EC31A6" w:rsidRDefault="00EC31A6" w:rsidP="009743A8">
            <w:pPr>
              <w:spacing w:line="360" w:lineRule="auto"/>
              <w:jc w:val="center"/>
              <w:rPr>
                <w:szCs w:val="20"/>
                <w:lang w:eastAsia="en-US"/>
              </w:rPr>
            </w:pPr>
            <w:r w:rsidRPr="00EC31A6">
              <w:rPr>
                <w:szCs w:val="20"/>
                <w:lang w:eastAsia="en-US"/>
              </w:rPr>
              <w:t>0</w:t>
            </w:r>
          </w:p>
        </w:tc>
        <w:tc>
          <w:tcPr>
            <w:tcW w:w="468" w:type="pct"/>
            <w:tcBorders>
              <w:top w:val="nil"/>
              <w:left w:val="nil"/>
              <w:bottom w:val="nil"/>
              <w:right w:val="nil"/>
            </w:tcBorders>
            <w:shd w:val="clear" w:color="auto" w:fill="auto"/>
            <w:noWrap/>
            <w:vAlign w:val="center"/>
            <w:hideMark/>
          </w:tcPr>
          <w:p w14:paraId="40E062B4" w14:textId="77777777" w:rsidR="00EC31A6" w:rsidRPr="00EC31A6" w:rsidRDefault="00EC31A6" w:rsidP="009743A8">
            <w:pPr>
              <w:spacing w:line="360" w:lineRule="auto"/>
              <w:jc w:val="center"/>
              <w:rPr>
                <w:szCs w:val="20"/>
                <w:lang w:eastAsia="en-US"/>
              </w:rPr>
            </w:pPr>
            <w:r w:rsidRPr="00EC31A6">
              <w:rPr>
                <w:szCs w:val="20"/>
                <w:lang w:eastAsia="en-US"/>
              </w:rPr>
              <w:t>1</w:t>
            </w:r>
          </w:p>
        </w:tc>
      </w:tr>
      <w:tr w:rsidR="00EC31A6" w:rsidRPr="00EB534E" w14:paraId="6CF8A401" w14:textId="77777777" w:rsidTr="00D56255">
        <w:trPr>
          <w:trHeight w:val="320"/>
        </w:trPr>
        <w:tc>
          <w:tcPr>
            <w:tcW w:w="2655" w:type="pct"/>
            <w:tcBorders>
              <w:top w:val="nil"/>
              <w:left w:val="nil"/>
              <w:bottom w:val="nil"/>
              <w:right w:val="nil"/>
            </w:tcBorders>
            <w:shd w:val="clear" w:color="auto" w:fill="auto"/>
            <w:noWrap/>
            <w:vAlign w:val="center"/>
            <w:hideMark/>
          </w:tcPr>
          <w:p w14:paraId="1A070F5B" w14:textId="77777777" w:rsidR="00EC31A6" w:rsidRPr="00EC31A6" w:rsidRDefault="00EC31A6" w:rsidP="009743A8">
            <w:pPr>
              <w:spacing w:line="360" w:lineRule="auto"/>
              <w:rPr>
                <w:szCs w:val="20"/>
                <w:lang w:eastAsia="en-US"/>
              </w:rPr>
            </w:pPr>
            <w:r w:rsidRPr="00EC31A6">
              <w:rPr>
                <w:szCs w:val="20"/>
                <w:lang w:val="es-ES" w:eastAsia="en-US"/>
              </w:rPr>
              <w:t>E. Escala de gravedad de la cibercondría (CSS-12)</w:t>
            </w:r>
          </w:p>
        </w:tc>
        <w:tc>
          <w:tcPr>
            <w:tcW w:w="468" w:type="pct"/>
            <w:tcBorders>
              <w:top w:val="nil"/>
              <w:left w:val="nil"/>
              <w:bottom w:val="nil"/>
              <w:right w:val="nil"/>
            </w:tcBorders>
            <w:shd w:val="clear" w:color="auto" w:fill="auto"/>
            <w:noWrap/>
            <w:vAlign w:val="center"/>
            <w:hideMark/>
          </w:tcPr>
          <w:p w14:paraId="1BE4D96C" w14:textId="77777777" w:rsidR="00EC31A6" w:rsidRPr="00EC31A6" w:rsidRDefault="00EC31A6" w:rsidP="009743A8">
            <w:pPr>
              <w:spacing w:line="360" w:lineRule="auto"/>
              <w:jc w:val="center"/>
              <w:rPr>
                <w:szCs w:val="20"/>
                <w:lang w:eastAsia="en-US"/>
              </w:rPr>
            </w:pPr>
            <w:r w:rsidRPr="00EC31A6">
              <w:rPr>
                <w:szCs w:val="20"/>
                <w:lang w:eastAsia="en-US"/>
              </w:rPr>
              <w:t>87</w:t>
            </w:r>
          </w:p>
        </w:tc>
        <w:tc>
          <w:tcPr>
            <w:tcW w:w="470" w:type="pct"/>
            <w:tcBorders>
              <w:top w:val="nil"/>
              <w:left w:val="nil"/>
              <w:bottom w:val="nil"/>
              <w:right w:val="nil"/>
            </w:tcBorders>
            <w:shd w:val="clear" w:color="auto" w:fill="auto"/>
            <w:noWrap/>
            <w:vAlign w:val="center"/>
            <w:hideMark/>
          </w:tcPr>
          <w:p w14:paraId="3575C306" w14:textId="77777777" w:rsidR="00EC31A6" w:rsidRPr="00EC31A6" w:rsidRDefault="00EC31A6" w:rsidP="009743A8">
            <w:pPr>
              <w:spacing w:line="360" w:lineRule="auto"/>
              <w:jc w:val="center"/>
              <w:rPr>
                <w:szCs w:val="20"/>
                <w:lang w:eastAsia="en-US"/>
              </w:rPr>
            </w:pPr>
            <w:r w:rsidRPr="00EC31A6">
              <w:rPr>
                <w:szCs w:val="20"/>
                <w:lang w:eastAsia="en-US"/>
              </w:rPr>
              <w:t>25.32</w:t>
            </w:r>
          </w:p>
        </w:tc>
        <w:tc>
          <w:tcPr>
            <w:tcW w:w="470" w:type="pct"/>
            <w:tcBorders>
              <w:top w:val="nil"/>
              <w:left w:val="nil"/>
              <w:bottom w:val="nil"/>
              <w:right w:val="nil"/>
            </w:tcBorders>
            <w:shd w:val="clear" w:color="auto" w:fill="auto"/>
            <w:noWrap/>
            <w:vAlign w:val="center"/>
            <w:hideMark/>
          </w:tcPr>
          <w:p w14:paraId="01C79F44" w14:textId="77777777" w:rsidR="00EC31A6" w:rsidRPr="00EC31A6" w:rsidRDefault="00EC31A6" w:rsidP="009743A8">
            <w:pPr>
              <w:spacing w:line="360" w:lineRule="auto"/>
              <w:jc w:val="center"/>
              <w:rPr>
                <w:szCs w:val="20"/>
                <w:lang w:eastAsia="en-US"/>
              </w:rPr>
            </w:pPr>
            <w:r w:rsidRPr="00EC31A6">
              <w:rPr>
                <w:szCs w:val="20"/>
                <w:lang w:eastAsia="en-US"/>
              </w:rPr>
              <w:t>7.97</w:t>
            </w:r>
          </w:p>
        </w:tc>
        <w:tc>
          <w:tcPr>
            <w:tcW w:w="470" w:type="pct"/>
            <w:tcBorders>
              <w:top w:val="nil"/>
              <w:left w:val="nil"/>
              <w:bottom w:val="nil"/>
              <w:right w:val="nil"/>
            </w:tcBorders>
            <w:shd w:val="clear" w:color="auto" w:fill="auto"/>
            <w:noWrap/>
            <w:vAlign w:val="center"/>
            <w:hideMark/>
          </w:tcPr>
          <w:p w14:paraId="62359E43" w14:textId="77777777" w:rsidR="00EC31A6" w:rsidRPr="00EC31A6" w:rsidRDefault="00EC31A6" w:rsidP="009743A8">
            <w:pPr>
              <w:spacing w:line="360" w:lineRule="auto"/>
              <w:jc w:val="center"/>
              <w:rPr>
                <w:szCs w:val="20"/>
                <w:lang w:eastAsia="en-US"/>
              </w:rPr>
            </w:pPr>
            <w:r w:rsidRPr="00EC31A6">
              <w:rPr>
                <w:szCs w:val="20"/>
                <w:lang w:eastAsia="en-US"/>
              </w:rPr>
              <w:t>12</w:t>
            </w:r>
          </w:p>
        </w:tc>
        <w:tc>
          <w:tcPr>
            <w:tcW w:w="468" w:type="pct"/>
            <w:tcBorders>
              <w:top w:val="nil"/>
              <w:left w:val="nil"/>
              <w:bottom w:val="nil"/>
              <w:right w:val="nil"/>
            </w:tcBorders>
            <w:shd w:val="clear" w:color="auto" w:fill="auto"/>
            <w:noWrap/>
            <w:vAlign w:val="center"/>
            <w:hideMark/>
          </w:tcPr>
          <w:p w14:paraId="3E0550C6" w14:textId="77777777" w:rsidR="00EC31A6" w:rsidRPr="00EC31A6" w:rsidRDefault="00EC31A6" w:rsidP="009743A8">
            <w:pPr>
              <w:spacing w:line="360" w:lineRule="auto"/>
              <w:jc w:val="center"/>
              <w:rPr>
                <w:szCs w:val="20"/>
                <w:lang w:eastAsia="en-US"/>
              </w:rPr>
            </w:pPr>
            <w:r w:rsidRPr="00EC31A6">
              <w:rPr>
                <w:szCs w:val="20"/>
                <w:lang w:eastAsia="en-US"/>
              </w:rPr>
              <w:t>46</w:t>
            </w:r>
          </w:p>
        </w:tc>
      </w:tr>
      <w:tr w:rsidR="00EC31A6" w:rsidRPr="00EB534E" w14:paraId="25AE98F5" w14:textId="77777777" w:rsidTr="00D56255">
        <w:trPr>
          <w:trHeight w:val="320"/>
        </w:trPr>
        <w:tc>
          <w:tcPr>
            <w:tcW w:w="2655" w:type="pct"/>
            <w:tcBorders>
              <w:top w:val="nil"/>
              <w:left w:val="nil"/>
              <w:bottom w:val="nil"/>
              <w:right w:val="nil"/>
            </w:tcBorders>
            <w:shd w:val="clear" w:color="auto" w:fill="auto"/>
            <w:noWrap/>
            <w:vAlign w:val="center"/>
            <w:hideMark/>
          </w:tcPr>
          <w:p w14:paraId="19B89FAB" w14:textId="77777777" w:rsidR="00EC31A6" w:rsidRPr="00EC31A6" w:rsidRDefault="00EC31A6" w:rsidP="009743A8">
            <w:pPr>
              <w:spacing w:line="360" w:lineRule="auto"/>
              <w:rPr>
                <w:szCs w:val="20"/>
                <w:lang w:eastAsia="en-US"/>
              </w:rPr>
            </w:pPr>
            <w:r w:rsidRPr="00EC31A6">
              <w:rPr>
                <w:szCs w:val="20"/>
                <w:lang w:val="es-ES" w:eastAsia="en-US"/>
              </w:rPr>
              <w:t xml:space="preserve">      S. </w:t>
            </w:r>
            <w:proofErr w:type="spellStart"/>
            <w:r w:rsidRPr="00EC31A6">
              <w:rPr>
                <w:szCs w:val="20"/>
                <w:lang w:val="es-ES" w:eastAsia="en-US"/>
              </w:rPr>
              <w:t>Excesividad</w:t>
            </w:r>
            <w:proofErr w:type="spellEnd"/>
          </w:p>
        </w:tc>
        <w:tc>
          <w:tcPr>
            <w:tcW w:w="468" w:type="pct"/>
            <w:tcBorders>
              <w:top w:val="nil"/>
              <w:left w:val="nil"/>
              <w:bottom w:val="nil"/>
              <w:right w:val="nil"/>
            </w:tcBorders>
            <w:shd w:val="clear" w:color="auto" w:fill="auto"/>
            <w:noWrap/>
            <w:vAlign w:val="center"/>
            <w:hideMark/>
          </w:tcPr>
          <w:p w14:paraId="5AD22CC6" w14:textId="77777777" w:rsidR="00EC31A6" w:rsidRPr="00EC31A6" w:rsidRDefault="00EC31A6" w:rsidP="009743A8">
            <w:pPr>
              <w:spacing w:line="360" w:lineRule="auto"/>
              <w:jc w:val="center"/>
              <w:rPr>
                <w:szCs w:val="20"/>
                <w:lang w:eastAsia="en-US"/>
              </w:rPr>
            </w:pPr>
            <w:r w:rsidRPr="00EC31A6">
              <w:rPr>
                <w:szCs w:val="20"/>
                <w:lang w:eastAsia="en-US"/>
              </w:rPr>
              <w:t>87</w:t>
            </w:r>
          </w:p>
        </w:tc>
        <w:tc>
          <w:tcPr>
            <w:tcW w:w="470" w:type="pct"/>
            <w:tcBorders>
              <w:top w:val="nil"/>
              <w:left w:val="nil"/>
              <w:bottom w:val="nil"/>
              <w:right w:val="nil"/>
            </w:tcBorders>
            <w:shd w:val="clear" w:color="auto" w:fill="auto"/>
            <w:noWrap/>
            <w:vAlign w:val="center"/>
            <w:hideMark/>
          </w:tcPr>
          <w:p w14:paraId="4C0C96F9" w14:textId="77777777" w:rsidR="00EC31A6" w:rsidRPr="00EC31A6" w:rsidRDefault="00EC31A6" w:rsidP="009743A8">
            <w:pPr>
              <w:spacing w:line="360" w:lineRule="auto"/>
              <w:jc w:val="center"/>
              <w:rPr>
                <w:szCs w:val="20"/>
                <w:lang w:eastAsia="en-US"/>
              </w:rPr>
            </w:pPr>
            <w:r w:rsidRPr="00EC31A6">
              <w:rPr>
                <w:szCs w:val="20"/>
                <w:lang w:eastAsia="en-US"/>
              </w:rPr>
              <w:t>8.95</w:t>
            </w:r>
          </w:p>
        </w:tc>
        <w:tc>
          <w:tcPr>
            <w:tcW w:w="470" w:type="pct"/>
            <w:tcBorders>
              <w:top w:val="nil"/>
              <w:left w:val="nil"/>
              <w:bottom w:val="nil"/>
              <w:right w:val="nil"/>
            </w:tcBorders>
            <w:shd w:val="clear" w:color="auto" w:fill="auto"/>
            <w:noWrap/>
            <w:vAlign w:val="center"/>
            <w:hideMark/>
          </w:tcPr>
          <w:p w14:paraId="1A08AFA4" w14:textId="77777777" w:rsidR="00EC31A6" w:rsidRPr="00EC31A6" w:rsidRDefault="00EC31A6" w:rsidP="009743A8">
            <w:pPr>
              <w:spacing w:line="360" w:lineRule="auto"/>
              <w:jc w:val="center"/>
              <w:rPr>
                <w:szCs w:val="20"/>
                <w:lang w:eastAsia="en-US"/>
              </w:rPr>
            </w:pPr>
            <w:r w:rsidRPr="00EC31A6">
              <w:rPr>
                <w:szCs w:val="20"/>
                <w:lang w:eastAsia="en-US"/>
              </w:rPr>
              <w:t>3.12</w:t>
            </w:r>
          </w:p>
        </w:tc>
        <w:tc>
          <w:tcPr>
            <w:tcW w:w="470" w:type="pct"/>
            <w:tcBorders>
              <w:top w:val="nil"/>
              <w:left w:val="nil"/>
              <w:bottom w:val="nil"/>
              <w:right w:val="nil"/>
            </w:tcBorders>
            <w:shd w:val="clear" w:color="auto" w:fill="auto"/>
            <w:noWrap/>
            <w:vAlign w:val="center"/>
            <w:hideMark/>
          </w:tcPr>
          <w:p w14:paraId="5A46F09B" w14:textId="77777777" w:rsidR="00EC31A6" w:rsidRPr="00EC31A6" w:rsidRDefault="00EC31A6" w:rsidP="009743A8">
            <w:pPr>
              <w:spacing w:line="360" w:lineRule="auto"/>
              <w:jc w:val="center"/>
              <w:rPr>
                <w:szCs w:val="20"/>
                <w:lang w:eastAsia="en-US"/>
              </w:rPr>
            </w:pPr>
            <w:r w:rsidRPr="00EC31A6">
              <w:rPr>
                <w:szCs w:val="20"/>
                <w:lang w:eastAsia="en-US"/>
              </w:rPr>
              <w:t>3</w:t>
            </w:r>
          </w:p>
        </w:tc>
        <w:tc>
          <w:tcPr>
            <w:tcW w:w="468" w:type="pct"/>
            <w:tcBorders>
              <w:top w:val="nil"/>
              <w:left w:val="nil"/>
              <w:bottom w:val="nil"/>
              <w:right w:val="nil"/>
            </w:tcBorders>
            <w:shd w:val="clear" w:color="auto" w:fill="auto"/>
            <w:noWrap/>
            <w:vAlign w:val="center"/>
            <w:hideMark/>
          </w:tcPr>
          <w:p w14:paraId="6E8955D4" w14:textId="77777777" w:rsidR="00EC31A6" w:rsidRPr="00EC31A6" w:rsidRDefault="00EC31A6" w:rsidP="009743A8">
            <w:pPr>
              <w:spacing w:line="360" w:lineRule="auto"/>
              <w:jc w:val="center"/>
              <w:rPr>
                <w:szCs w:val="20"/>
                <w:lang w:eastAsia="en-US"/>
              </w:rPr>
            </w:pPr>
            <w:r w:rsidRPr="00EC31A6">
              <w:rPr>
                <w:szCs w:val="20"/>
                <w:lang w:eastAsia="en-US"/>
              </w:rPr>
              <w:t>15</w:t>
            </w:r>
          </w:p>
        </w:tc>
      </w:tr>
      <w:tr w:rsidR="00EC31A6" w:rsidRPr="00EB534E" w14:paraId="7AE208EA" w14:textId="77777777" w:rsidTr="00D56255">
        <w:trPr>
          <w:trHeight w:val="320"/>
        </w:trPr>
        <w:tc>
          <w:tcPr>
            <w:tcW w:w="2655" w:type="pct"/>
            <w:tcBorders>
              <w:top w:val="nil"/>
              <w:left w:val="nil"/>
              <w:bottom w:val="nil"/>
              <w:right w:val="nil"/>
            </w:tcBorders>
            <w:shd w:val="clear" w:color="auto" w:fill="auto"/>
            <w:noWrap/>
            <w:vAlign w:val="center"/>
            <w:hideMark/>
          </w:tcPr>
          <w:p w14:paraId="362EBB0F" w14:textId="77777777" w:rsidR="00EC31A6" w:rsidRPr="00EC31A6" w:rsidRDefault="00EC31A6" w:rsidP="009743A8">
            <w:pPr>
              <w:spacing w:line="360" w:lineRule="auto"/>
              <w:rPr>
                <w:szCs w:val="20"/>
                <w:lang w:eastAsia="en-US"/>
              </w:rPr>
            </w:pPr>
            <w:r w:rsidRPr="00EC31A6">
              <w:rPr>
                <w:szCs w:val="20"/>
                <w:lang w:val="es-ES" w:eastAsia="en-US"/>
              </w:rPr>
              <w:t xml:space="preserve">      S. Angustia</w:t>
            </w:r>
          </w:p>
        </w:tc>
        <w:tc>
          <w:tcPr>
            <w:tcW w:w="468" w:type="pct"/>
            <w:tcBorders>
              <w:top w:val="nil"/>
              <w:left w:val="nil"/>
              <w:bottom w:val="nil"/>
              <w:right w:val="nil"/>
            </w:tcBorders>
            <w:shd w:val="clear" w:color="auto" w:fill="auto"/>
            <w:noWrap/>
            <w:vAlign w:val="center"/>
            <w:hideMark/>
          </w:tcPr>
          <w:p w14:paraId="39CAEFF0" w14:textId="77777777" w:rsidR="00EC31A6" w:rsidRPr="00EC31A6" w:rsidRDefault="00EC31A6" w:rsidP="009743A8">
            <w:pPr>
              <w:spacing w:line="360" w:lineRule="auto"/>
              <w:jc w:val="center"/>
              <w:rPr>
                <w:szCs w:val="20"/>
                <w:lang w:eastAsia="en-US"/>
              </w:rPr>
            </w:pPr>
            <w:r w:rsidRPr="00EC31A6">
              <w:rPr>
                <w:szCs w:val="20"/>
                <w:lang w:eastAsia="en-US"/>
              </w:rPr>
              <w:t>87</w:t>
            </w:r>
          </w:p>
        </w:tc>
        <w:tc>
          <w:tcPr>
            <w:tcW w:w="470" w:type="pct"/>
            <w:tcBorders>
              <w:top w:val="nil"/>
              <w:left w:val="nil"/>
              <w:bottom w:val="nil"/>
              <w:right w:val="nil"/>
            </w:tcBorders>
            <w:shd w:val="clear" w:color="auto" w:fill="auto"/>
            <w:noWrap/>
            <w:vAlign w:val="center"/>
            <w:hideMark/>
          </w:tcPr>
          <w:p w14:paraId="39639A96" w14:textId="77777777" w:rsidR="00EC31A6" w:rsidRPr="00EC31A6" w:rsidRDefault="00EC31A6" w:rsidP="009743A8">
            <w:pPr>
              <w:spacing w:line="360" w:lineRule="auto"/>
              <w:jc w:val="center"/>
              <w:rPr>
                <w:szCs w:val="20"/>
                <w:lang w:eastAsia="en-US"/>
              </w:rPr>
            </w:pPr>
            <w:r w:rsidRPr="00EC31A6">
              <w:rPr>
                <w:szCs w:val="20"/>
                <w:lang w:eastAsia="en-US"/>
              </w:rPr>
              <w:t>6.03</w:t>
            </w:r>
          </w:p>
        </w:tc>
        <w:tc>
          <w:tcPr>
            <w:tcW w:w="470" w:type="pct"/>
            <w:tcBorders>
              <w:top w:val="nil"/>
              <w:left w:val="nil"/>
              <w:bottom w:val="nil"/>
              <w:right w:val="nil"/>
            </w:tcBorders>
            <w:shd w:val="clear" w:color="auto" w:fill="auto"/>
            <w:noWrap/>
            <w:vAlign w:val="center"/>
            <w:hideMark/>
          </w:tcPr>
          <w:p w14:paraId="3D2E4283" w14:textId="77777777" w:rsidR="00EC31A6" w:rsidRPr="00EC31A6" w:rsidRDefault="00EC31A6" w:rsidP="009743A8">
            <w:pPr>
              <w:spacing w:line="360" w:lineRule="auto"/>
              <w:jc w:val="center"/>
              <w:rPr>
                <w:szCs w:val="20"/>
                <w:lang w:eastAsia="en-US"/>
              </w:rPr>
            </w:pPr>
            <w:r w:rsidRPr="00EC31A6">
              <w:rPr>
                <w:szCs w:val="20"/>
                <w:lang w:eastAsia="en-US"/>
              </w:rPr>
              <w:t>2.77</w:t>
            </w:r>
          </w:p>
        </w:tc>
        <w:tc>
          <w:tcPr>
            <w:tcW w:w="470" w:type="pct"/>
            <w:tcBorders>
              <w:top w:val="nil"/>
              <w:left w:val="nil"/>
              <w:bottom w:val="nil"/>
              <w:right w:val="nil"/>
            </w:tcBorders>
            <w:shd w:val="clear" w:color="auto" w:fill="auto"/>
            <w:noWrap/>
            <w:vAlign w:val="center"/>
            <w:hideMark/>
          </w:tcPr>
          <w:p w14:paraId="32BA6326" w14:textId="77777777" w:rsidR="00EC31A6" w:rsidRPr="00EC31A6" w:rsidRDefault="00EC31A6" w:rsidP="009743A8">
            <w:pPr>
              <w:spacing w:line="360" w:lineRule="auto"/>
              <w:jc w:val="center"/>
              <w:rPr>
                <w:szCs w:val="20"/>
                <w:lang w:eastAsia="en-US"/>
              </w:rPr>
            </w:pPr>
            <w:r w:rsidRPr="00EC31A6">
              <w:rPr>
                <w:szCs w:val="20"/>
                <w:lang w:eastAsia="en-US"/>
              </w:rPr>
              <w:t>3</w:t>
            </w:r>
          </w:p>
        </w:tc>
        <w:tc>
          <w:tcPr>
            <w:tcW w:w="468" w:type="pct"/>
            <w:tcBorders>
              <w:top w:val="nil"/>
              <w:left w:val="nil"/>
              <w:bottom w:val="nil"/>
              <w:right w:val="nil"/>
            </w:tcBorders>
            <w:shd w:val="clear" w:color="auto" w:fill="auto"/>
            <w:noWrap/>
            <w:vAlign w:val="center"/>
            <w:hideMark/>
          </w:tcPr>
          <w:p w14:paraId="337A6E30" w14:textId="77777777" w:rsidR="00EC31A6" w:rsidRPr="00EC31A6" w:rsidRDefault="00EC31A6" w:rsidP="009743A8">
            <w:pPr>
              <w:spacing w:line="360" w:lineRule="auto"/>
              <w:jc w:val="center"/>
              <w:rPr>
                <w:szCs w:val="20"/>
                <w:lang w:eastAsia="en-US"/>
              </w:rPr>
            </w:pPr>
            <w:r w:rsidRPr="00EC31A6">
              <w:rPr>
                <w:szCs w:val="20"/>
                <w:lang w:eastAsia="en-US"/>
              </w:rPr>
              <w:t>13</w:t>
            </w:r>
          </w:p>
        </w:tc>
      </w:tr>
      <w:tr w:rsidR="00EC31A6" w:rsidRPr="00EB534E" w14:paraId="0C80018F" w14:textId="77777777" w:rsidTr="00D56255">
        <w:trPr>
          <w:trHeight w:val="320"/>
        </w:trPr>
        <w:tc>
          <w:tcPr>
            <w:tcW w:w="2655" w:type="pct"/>
            <w:tcBorders>
              <w:top w:val="nil"/>
              <w:left w:val="nil"/>
              <w:bottom w:val="nil"/>
              <w:right w:val="nil"/>
            </w:tcBorders>
            <w:shd w:val="clear" w:color="auto" w:fill="auto"/>
            <w:noWrap/>
            <w:vAlign w:val="center"/>
            <w:hideMark/>
          </w:tcPr>
          <w:p w14:paraId="4C7D0546" w14:textId="77777777" w:rsidR="00EC31A6" w:rsidRPr="00EC31A6" w:rsidRDefault="00EC31A6" w:rsidP="009743A8">
            <w:pPr>
              <w:spacing w:line="360" w:lineRule="auto"/>
              <w:rPr>
                <w:szCs w:val="20"/>
                <w:lang w:eastAsia="en-US"/>
              </w:rPr>
            </w:pPr>
            <w:r w:rsidRPr="00EC31A6">
              <w:rPr>
                <w:szCs w:val="20"/>
                <w:lang w:val="es-ES" w:eastAsia="en-US"/>
              </w:rPr>
              <w:t xml:space="preserve">      S. Ayuda</w:t>
            </w:r>
          </w:p>
        </w:tc>
        <w:tc>
          <w:tcPr>
            <w:tcW w:w="468" w:type="pct"/>
            <w:tcBorders>
              <w:top w:val="nil"/>
              <w:left w:val="nil"/>
              <w:bottom w:val="nil"/>
              <w:right w:val="nil"/>
            </w:tcBorders>
            <w:shd w:val="clear" w:color="auto" w:fill="auto"/>
            <w:noWrap/>
            <w:vAlign w:val="center"/>
            <w:hideMark/>
          </w:tcPr>
          <w:p w14:paraId="73402977" w14:textId="77777777" w:rsidR="00EC31A6" w:rsidRPr="00EC31A6" w:rsidRDefault="00EC31A6" w:rsidP="009743A8">
            <w:pPr>
              <w:spacing w:line="360" w:lineRule="auto"/>
              <w:jc w:val="center"/>
              <w:rPr>
                <w:szCs w:val="20"/>
                <w:lang w:eastAsia="en-US"/>
              </w:rPr>
            </w:pPr>
            <w:r w:rsidRPr="00EC31A6">
              <w:rPr>
                <w:szCs w:val="20"/>
                <w:lang w:eastAsia="en-US"/>
              </w:rPr>
              <w:t>87</w:t>
            </w:r>
          </w:p>
        </w:tc>
        <w:tc>
          <w:tcPr>
            <w:tcW w:w="470" w:type="pct"/>
            <w:tcBorders>
              <w:top w:val="nil"/>
              <w:left w:val="nil"/>
              <w:bottom w:val="nil"/>
              <w:right w:val="nil"/>
            </w:tcBorders>
            <w:shd w:val="clear" w:color="auto" w:fill="auto"/>
            <w:noWrap/>
            <w:vAlign w:val="center"/>
            <w:hideMark/>
          </w:tcPr>
          <w:p w14:paraId="7F83AEAA" w14:textId="77777777" w:rsidR="00EC31A6" w:rsidRPr="00EC31A6" w:rsidRDefault="00EC31A6" w:rsidP="009743A8">
            <w:pPr>
              <w:spacing w:line="360" w:lineRule="auto"/>
              <w:jc w:val="center"/>
              <w:rPr>
                <w:szCs w:val="20"/>
                <w:lang w:eastAsia="en-US"/>
              </w:rPr>
            </w:pPr>
            <w:r w:rsidRPr="00EC31A6">
              <w:rPr>
                <w:szCs w:val="20"/>
                <w:lang w:eastAsia="en-US"/>
              </w:rPr>
              <w:t>5.67</w:t>
            </w:r>
          </w:p>
        </w:tc>
        <w:tc>
          <w:tcPr>
            <w:tcW w:w="470" w:type="pct"/>
            <w:tcBorders>
              <w:top w:val="nil"/>
              <w:left w:val="nil"/>
              <w:bottom w:val="nil"/>
              <w:right w:val="nil"/>
            </w:tcBorders>
            <w:shd w:val="clear" w:color="auto" w:fill="auto"/>
            <w:noWrap/>
            <w:vAlign w:val="center"/>
            <w:hideMark/>
          </w:tcPr>
          <w:p w14:paraId="79D0BA72" w14:textId="77777777" w:rsidR="00EC31A6" w:rsidRPr="00EC31A6" w:rsidRDefault="00EC31A6" w:rsidP="009743A8">
            <w:pPr>
              <w:spacing w:line="360" w:lineRule="auto"/>
              <w:jc w:val="center"/>
              <w:rPr>
                <w:szCs w:val="20"/>
                <w:lang w:eastAsia="en-US"/>
              </w:rPr>
            </w:pPr>
            <w:r w:rsidRPr="00EC31A6">
              <w:rPr>
                <w:szCs w:val="20"/>
                <w:lang w:eastAsia="en-US"/>
              </w:rPr>
              <w:t>2.75</w:t>
            </w:r>
          </w:p>
        </w:tc>
        <w:tc>
          <w:tcPr>
            <w:tcW w:w="470" w:type="pct"/>
            <w:tcBorders>
              <w:top w:val="nil"/>
              <w:left w:val="nil"/>
              <w:bottom w:val="nil"/>
              <w:right w:val="nil"/>
            </w:tcBorders>
            <w:shd w:val="clear" w:color="auto" w:fill="auto"/>
            <w:noWrap/>
            <w:vAlign w:val="center"/>
            <w:hideMark/>
          </w:tcPr>
          <w:p w14:paraId="578DB002" w14:textId="77777777" w:rsidR="00EC31A6" w:rsidRPr="00EC31A6" w:rsidRDefault="00EC31A6" w:rsidP="009743A8">
            <w:pPr>
              <w:spacing w:line="360" w:lineRule="auto"/>
              <w:jc w:val="center"/>
              <w:rPr>
                <w:szCs w:val="20"/>
                <w:lang w:eastAsia="en-US"/>
              </w:rPr>
            </w:pPr>
            <w:r w:rsidRPr="00EC31A6">
              <w:rPr>
                <w:szCs w:val="20"/>
                <w:lang w:eastAsia="en-US"/>
              </w:rPr>
              <w:t>3</w:t>
            </w:r>
          </w:p>
        </w:tc>
        <w:tc>
          <w:tcPr>
            <w:tcW w:w="468" w:type="pct"/>
            <w:tcBorders>
              <w:top w:val="nil"/>
              <w:left w:val="nil"/>
              <w:bottom w:val="nil"/>
              <w:right w:val="nil"/>
            </w:tcBorders>
            <w:shd w:val="clear" w:color="auto" w:fill="auto"/>
            <w:noWrap/>
            <w:vAlign w:val="center"/>
            <w:hideMark/>
          </w:tcPr>
          <w:p w14:paraId="71A61BA8" w14:textId="77777777" w:rsidR="00EC31A6" w:rsidRPr="00EC31A6" w:rsidRDefault="00EC31A6" w:rsidP="009743A8">
            <w:pPr>
              <w:spacing w:line="360" w:lineRule="auto"/>
              <w:jc w:val="center"/>
              <w:rPr>
                <w:szCs w:val="20"/>
                <w:lang w:eastAsia="en-US"/>
              </w:rPr>
            </w:pPr>
            <w:r w:rsidRPr="00EC31A6">
              <w:rPr>
                <w:szCs w:val="20"/>
                <w:lang w:eastAsia="en-US"/>
              </w:rPr>
              <w:t>14</w:t>
            </w:r>
          </w:p>
        </w:tc>
      </w:tr>
      <w:tr w:rsidR="00EC31A6" w:rsidRPr="00EB534E" w14:paraId="60CBB80C" w14:textId="77777777" w:rsidTr="00D56255">
        <w:trPr>
          <w:trHeight w:val="320"/>
        </w:trPr>
        <w:tc>
          <w:tcPr>
            <w:tcW w:w="2655" w:type="pct"/>
            <w:tcBorders>
              <w:top w:val="nil"/>
              <w:left w:val="nil"/>
              <w:bottom w:val="nil"/>
              <w:right w:val="nil"/>
            </w:tcBorders>
            <w:shd w:val="clear" w:color="auto" w:fill="auto"/>
            <w:noWrap/>
            <w:vAlign w:val="center"/>
            <w:hideMark/>
          </w:tcPr>
          <w:p w14:paraId="25C87270" w14:textId="77777777" w:rsidR="00EC31A6" w:rsidRPr="00EC31A6" w:rsidRDefault="00EC31A6" w:rsidP="009743A8">
            <w:pPr>
              <w:spacing w:line="360" w:lineRule="auto"/>
              <w:rPr>
                <w:szCs w:val="20"/>
                <w:lang w:eastAsia="en-US"/>
              </w:rPr>
            </w:pPr>
            <w:r w:rsidRPr="00EC31A6">
              <w:rPr>
                <w:szCs w:val="20"/>
                <w:lang w:val="es-ES" w:eastAsia="en-US"/>
              </w:rPr>
              <w:t xml:space="preserve">      S. Compulsión </w:t>
            </w:r>
          </w:p>
        </w:tc>
        <w:tc>
          <w:tcPr>
            <w:tcW w:w="468" w:type="pct"/>
            <w:tcBorders>
              <w:top w:val="nil"/>
              <w:left w:val="nil"/>
              <w:bottom w:val="nil"/>
              <w:right w:val="nil"/>
            </w:tcBorders>
            <w:shd w:val="clear" w:color="auto" w:fill="auto"/>
            <w:noWrap/>
            <w:vAlign w:val="center"/>
            <w:hideMark/>
          </w:tcPr>
          <w:p w14:paraId="15DB01F7" w14:textId="77777777" w:rsidR="00EC31A6" w:rsidRPr="00EC31A6" w:rsidRDefault="00EC31A6" w:rsidP="009743A8">
            <w:pPr>
              <w:spacing w:line="360" w:lineRule="auto"/>
              <w:jc w:val="center"/>
              <w:rPr>
                <w:szCs w:val="20"/>
                <w:lang w:eastAsia="en-US"/>
              </w:rPr>
            </w:pPr>
            <w:r w:rsidRPr="00EC31A6">
              <w:rPr>
                <w:szCs w:val="20"/>
                <w:lang w:eastAsia="en-US"/>
              </w:rPr>
              <w:t>87</w:t>
            </w:r>
          </w:p>
        </w:tc>
        <w:tc>
          <w:tcPr>
            <w:tcW w:w="470" w:type="pct"/>
            <w:tcBorders>
              <w:top w:val="nil"/>
              <w:left w:val="nil"/>
              <w:bottom w:val="nil"/>
              <w:right w:val="nil"/>
            </w:tcBorders>
            <w:shd w:val="clear" w:color="auto" w:fill="auto"/>
            <w:noWrap/>
            <w:vAlign w:val="center"/>
            <w:hideMark/>
          </w:tcPr>
          <w:p w14:paraId="0DE71AF4" w14:textId="77777777" w:rsidR="00EC31A6" w:rsidRPr="00EC31A6" w:rsidRDefault="00EC31A6" w:rsidP="009743A8">
            <w:pPr>
              <w:spacing w:line="360" w:lineRule="auto"/>
              <w:jc w:val="center"/>
              <w:rPr>
                <w:szCs w:val="20"/>
                <w:lang w:eastAsia="en-US"/>
              </w:rPr>
            </w:pPr>
            <w:r w:rsidRPr="00EC31A6">
              <w:rPr>
                <w:szCs w:val="20"/>
                <w:lang w:eastAsia="en-US"/>
              </w:rPr>
              <w:t>4.67</w:t>
            </w:r>
          </w:p>
        </w:tc>
        <w:tc>
          <w:tcPr>
            <w:tcW w:w="470" w:type="pct"/>
            <w:tcBorders>
              <w:top w:val="nil"/>
              <w:left w:val="nil"/>
              <w:bottom w:val="nil"/>
              <w:right w:val="nil"/>
            </w:tcBorders>
            <w:shd w:val="clear" w:color="auto" w:fill="auto"/>
            <w:noWrap/>
            <w:vAlign w:val="center"/>
            <w:hideMark/>
          </w:tcPr>
          <w:p w14:paraId="7601BB49" w14:textId="77777777" w:rsidR="00EC31A6" w:rsidRPr="00EC31A6" w:rsidRDefault="00EC31A6" w:rsidP="009743A8">
            <w:pPr>
              <w:spacing w:line="360" w:lineRule="auto"/>
              <w:jc w:val="center"/>
              <w:rPr>
                <w:szCs w:val="20"/>
                <w:lang w:eastAsia="en-US"/>
              </w:rPr>
            </w:pPr>
            <w:r w:rsidRPr="00EC31A6">
              <w:rPr>
                <w:szCs w:val="20"/>
                <w:lang w:eastAsia="en-US"/>
              </w:rPr>
              <w:t>2.00</w:t>
            </w:r>
          </w:p>
        </w:tc>
        <w:tc>
          <w:tcPr>
            <w:tcW w:w="470" w:type="pct"/>
            <w:tcBorders>
              <w:top w:val="nil"/>
              <w:left w:val="nil"/>
              <w:bottom w:val="nil"/>
              <w:right w:val="nil"/>
            </w:tcBorders>
            <w:shd w:val="clear" w:color="auto" w:fill="auto"/>
            <w:noWrap/>
            <w:vAlign w:val="center"/>
            <w:hideMark/>
          </w:tcPr>
          <w:p w14:paraId="3B7AC5A6" w14:textId="77777777" w:rsidR="00EC31A6" w:rsidRPr="00EC31A6" w:rsidRDefault="00EC31A6" w:rsidP="009743A8">
            <w:pPr>
              <w:spacing w:line="360" w:lineRule="auto"/>
              <w:jc w:val="center"/>
              <w:rPr>
                <w:szCs w:val="20"/>
                <w:lang w:eastAsia="en-US"/>
              </w:rPr>
            </w:pPr>
            <w:r w:rsidRPr="00EC31A6">
              <w:rPr>
                <w:szCs w:val="20"/>
                <w:lang w:eastAsia="en-US"/>
              </w:rPr>
              <w:t>3</w:t>
            </w:r>
          </w:p>
        </w:tc>
        <w:tc>
          <w:tcPr>
            <w:tcW w:w="468" w:type="pct"/>
            <w:tcBorders>
              <w:top w:val="nil"/>
              <w:left w:val="nil"/>
              <w:bottom w:val="nil"/>
              <w:right w:val="nil"/>
            </w:tcBorders>
            <w:shd w:val="clear" w:color="auto" w:fill="auto"/>
            <w:noWrap/>
            <w:vAlign w:val="center"/>
            <w:hideMark/>
          </w:tcPr>
          <w:p w14:paraId="6FFD3AF5" w14:textId="77777777" w:rsidR="00EC31A6" w:rsidRPr="00EC31A6" w:rsidRDefault="00EC31A6" w:rsidP="009743A8">
            <w:pPr>
              <w:spacing w:line="360" w:lineRule="auto"/>
              <w:jc w:val="center"/>
              <w:rPr>
                <w:szCs w:val="20"/>
                <w:lang w:eastAsia="en-US"/>
              </w:rPr>
            </w:pPr>
            <w:r w:rsidRPr="00EC31A6">
              <w:rPr>
                <w:szCs w:val="20"/>
                <w:lang w:eastAsia="en-US"/>
              </w:rPr>
              <w:t>12</w:t>
            </w:r>
          </w:p>
        </w:tc>
      </w:tr>
      <w:tr w:rsidR="00EC31A6" w:rsidRPr="00EB534E" w14:paraId="0AECC8AA" w14:textId="77777777" w:rsidTr="00D56255">
        <w:trPr>
          <w:trHeight w:val="320"/>
        </w:trPr>
        <w:tc>
          <w:tcPr>
            <w:tcW w:w="2655" w:type="pct"/>
            <w:tcBorders>
              <w:top w:val="nil"/>
              <w:left w:val="nil"/>
              <w:bottom w:val="nil"/>
              <w:right w:val="nil"/>
            </w:tcBorders>
            <w:shd w:val="clear" w:color="auto" w:fill="auto"/>
            <w:noWrap/>
            <w:vAlign w:val="center"/>
            <w:hideMark/>
          </w:tcPr>
          <w:p w14:paraId="026085B2" w14:textId="77777777" w:rsidR="00EC31A6" w:rsidRPr="00EC31A6" w:rsidRDefault="00EC31A6" w:rsidP="009743A8">
            <w:pPr>
              <w:spacing w:line="360" w:lineRule="auto"/>
              <w:rPr>
                <w:szCs w:val="20"/>
                <w:lang w:eastAsia="en-US"/>
              </w:rPr>
            </w:pPr>
            <w:r w:rsidRPr="00EC31A6">
              <w:rPr>
                <w:szCs w:val="20"/>
                <w:lang w:val="es-ES" w:eastAsia="en-US"/>
              </w:rPr>
              <w:t>E. Cuestionario de ansiedad estado-rasgo (STAI)</w:t>
            </w:r>
          </w:p>
        </w:tc>
        <w:tc>
          <w:tcPr>
            <w:tcW w:w="468" w:type="pct"/>
            <w:tcBorders>
              <w:top w:val="nil"/>
              <w:left w:val="nil"/>
              <w:bottom w:val="nil"/>
              <w:right w:val="nil"/>
            </w:tcBorders>
            <w:shd w:val="clear" w:color="auto" w:fill="auto"/>
            <w:noWrap/>
            <w:vAlign w:val="bottom"/>
            <w:hideMark/>
          </w:tcPr>
          <w:p w14:paraId="4BF5AF44" w14:textId="77777777" w:rsidR="00EC31A6" w:rsidRPr="00EC31A6" w:rsidRDefault="00EC31A6" w:rsidP="009743A8">
            <w:pPr>
              <w:spacing w:line="360" w:lineRule="auto"/>
              <w:rPr>
                <w:szCs w:val="20"/>
                <w:lang w:eastAsia="en-US"/>
              </w:rPr>
            </w:pPr>
          </w:p>
        </w:tc>
        <w:tc>
          <w:tcPr>
            <w:tcW w:w="470" w:type="pct"/>
            <w:tcBorders>
              <w:top w:val="nil"/>
              <w:left w:val="nil"/>
              <w:bottom w:val="nil"/>
              <w:right w:val="nil"/>
            </w:tcBorders>
            <w:shd w:val="clear" w:color="auto" w:fill="auto"/>
            <w:noWrap/>
            <w:vAlign w:val="bottom"/>
            <w:hideMark/>
          </w:tcPr>
          <w:p w14:paraId="2B51A6FD" w14:textId="77777777" w:rsidR="00EC31A6" w:rsidRPr="00EC31A6" w:rsidRDefault="00EC31A6" w:rsidP="009743A8">
            <w:pPr>
              <w:spacing w:line="360" w:lineRule="auto"/>
              <w:rPr>
                <w:szCs w:val="20"/>
                <w:lang w:eastAsia="en-US"/>
              </w:rPr>
            </w:pPr>
          </w:p>
        </w:tc>
        <w:tc>
          <w:tcPr>
            <w:tcW w:w="470" w:type="pct"/>
            <w:tcBorders>
              <w:top w:val="nil"/>
              <w:left w:val="nil"/>
              <w:bottom w:val="nil"/>
              <w:right w:val="nil"/>
            </w:tcBorders>
            <w:shd w:val="clear" w:color="auto" w:fill="auto"/>
            <w:noWrap/>
            <w:vAlign w:val="bottom"/>
            <w:hideMark/>
          </w:tcPr>
          <w:p w14:paraId="767FF5DF" w14:textId="77777777" w:rsidR="00EC31A6" w:rsidRPr="00EC31A6" w:rsidRDefault="00EC31A6" w:rsidP="009743A8">
            <w:pPr>
              <w:spacing w:line="360" w:lineRule="auto"/>
              <w:rPr>
                <w:szCs w:val="20"/>
                <w:lang w:eastAsia="en-US"/>
              </w:rPr>
            </w:pPr>
          </w:p>
        </w:tc>
        <w:tc>
          <w:tcPr>
            <w:tcW w:w="470" w:type="pct"/>
            <w:tcBorders>
              <w:top w:val="nil"/>
              <w:left w:val="nil"/>
              <w:bottom w:val="nil"/>
              <w:right w:val="nil"/>
            </w:tcBorders>
            <w:shd w:val="clear" w:color="auto" w:fill="auto"/>
            <w:noWrap/>
            <w:vAlign w:val="bottom"/>
            <w:hideMark/>
          </w:tcPr>
          <w:p w14:paraId="26087488" w14:textId="77777777" w:rsidR="00EC31A6" w:rsidRPr="00EC31A6" w:rsidRDefault="00EC31A6" w:rsidP="009743A8">
            <w:pPr>
              <w:spacing w:line="360" w:lineRule="auto"/>
              <w:rPr>
                <w:szCs w:val="20"/>
                <w:lang w:eastAsia="en-US"/>
              </w:rPr>
            </w:pPr>
          </w:p>
        </w:tc>
        <w:tc>
          <w:tcPr>
            <w:tcW w:w="468" w:type="pct"/>
            <w:tcBorders>
              <w:top w:val="nil"/>
              <w:left w:val="nil"/>
              <w:bottom w:val="nil"/>
              <w:right w:val="nil"/>
            </w:tcBorders>
            <w:shd w:val="clear" w:color="auto" w:fill="auto"/>
            <w:noWrap/>
            <w:vAlign w:val="bottom"/>
            <w:hideMark/>
          </w:tcPr>
          <w:p w14:paraId="2D6B5D73" w14:textId="77777777" w:rsidR="00EC31A6" w:rsidRPr="00EC31A6" w:rsidRDefault="00EC31A6" w:rsidP="009743A8">
            <w:pPr>
              <w:spacing w:line="360" w:lineRule="auto"/>
              <w:rPr>
                <w:szCs w:val="20"/>
                <w:lang w:eastAsia="en-US"/>
              </w:rPr>
            </w:pPr>
          </w:p>
        </w:tc>
      </w:tr>
      <w:tr w:rsidR="00EC31A6" w:rsidRPr="00EB534E" w14:paraId="0C2047E7" w14:textId="77777777" w:rsidTr="00D56255">
        <w:trPr>
          <w:trHeight w:val="320"/>
        </w:trPr>
        <w:tc>
          <w:tcPr>
            <w:tcW w:w="2655" w:type="pct"/>
            <w:tcBorders>
              <w:top w:val="nil"/>
              <w:left w:val="nil"/>
              <w:bottom w:val="nil"/>
              <w:right w:val="nil"/>
            </w:tcBorders>
            <w:shd w:val="clear" w:color="auto" w:fill="auto"/>
            <w:noWrap/>
            <w:vAlign w:val="center"/>
            <w:hideMark/>
          </w:tcPr>
          <w:p w14:paraId="38DAEAF7" w14:textId="77777777" w:rsidR="00EC31A6" w:rsidRPr="00EC31A6" w:rsidRDefault="00EC31A6" w:rsidP="009743A8">
            <w:pPr>
              <w:spacing w:line="360" w:lineRule="auto"/>
              <w:rPr>
                <w:szCs w:val="20"/>
                <w:lang w:eastAsia="en-US"/>
              </w:rPr>
            </w:pPr>
            <w:r w:rsidRPr="00EC31A6">
              <w:rPr>
                <w:szCs w:val="20"/>
                <w:lang w:val="es-ES" w:eastAsia="en-US"/>
              </w:rPr>
              <w:t xml:space="preserve">      S. Ansiedad estado</w:t>
            </w:r>
          </w:p>
        </w:tc>
        <w:tc>
          <w:tcPr>
            <w:tcW w:w="468" w:type="pct"/>
            <w:tcBorders>
              <w:top w:val="nil"/>
              <w:left w:val="nil"/>
              <w:bottom w:val="nil"/>
              <w:right w:val="nil"/>
            </w:tcBorders>
            <w:shd w:val="clear" w:color="auto" w:fill="auto"/>
            <w:noWrap/>
            <w:vAlign w:val="center"/>
            <w:hideMark/>
          </w:tcPr>
          <w:p w14:paraId="4174CAF7" w14:textId="77777777" w:rsidR="00EC31A6" w:rsidRPr="00EC31A6" w:rsidRDefault="00EC31A6" w:rsidP="009743A8">
            <w:pPr>
              <w:spacing w:line="360" w:lineRule="auto"/>
              <w:jc w:val="center"/>
              <w:rPr>
                <w:szCs w:val="20"/>
                <w:lang w:eastAsia="en-US"/>
              </w:rPr>
            </w:pPr>
            <w:r w:rsidRPr="00EC31A6">
              <w:rPr>
                <w:szCs w:val="20"/>
                <w:lang w:eastAsia="en-US"/>
              </w:rPr>
              <w:t>87</w:t>
            </w:r>
          </w:p>
        </w:tc>
        <w:tc>
          <w:tcPr>
            <w:tcW w:w="470" w:type="pct"/>
            <w:tcBorders>
              <w:top w:val="nil"/>
              <w:left w:val="nil"/>
              <w:bottom w:val="nil"/>
              <w:right w:val="nil"/>
            </w:tcBorders>
            <w:shd w:val="clear" w:color="auto" w:fill="auto"/>
            <w:noWrap/>
            <w:vAlign w:val="center"/>
            <w:hideMark/>
          </w:tcPr>
          <w:p w14:paraId="389B3947" w14:textId="77777777" w:rsidR="00EC31A6" w:rsidRPr="00EC31A6" w:rsidRDefault="00EC31A6" w:rsidP="009743A8">
            <w:pPr>
              <w:spacing w:line="360" w:lineRule="auto"/>
              <w:jc w:val="center"/>
              <w:rPr>
                <w:szCs w:val="20"/>
                <w:lang w:eastAsia="en-US"/>
              </w:rPr>
            </w:pPr>
            <w:r w:rsidRPr="00EC31A6">
              <w:rPr>
                <w:szCs w:val="20"/>
                <w:lang w:eastAsia="en-US"/>
              </w:rPr>
              <w:t>44.49</w:t>
            </w:r>
          </w:p>
        </w:tc>
        <w:tc>
          <w:tcPr>
            <w:tcW w:w="470" w:type="pct"/>
            <w:tcBorders>
              <w:top w:val="nil"/>
              <w:left w:val="nil"/>
              <w:bottom w:val="nil"/>
              <w:right w:val="nil"/>
            </w:tcBorders>
            <w:shd w:val="clear" w:color="auto" w:fill="auto"/>
            <w:noWrap/>
            <w:vAlign w:val="center"/>
            <w:hideMark/>
          </w:tcPr>
          <w:p w14:paraId="35F12093" w14:textId="77777777" w:rsidR="00EC31A6" w:rsidRPr="00EC31A6" w:rsidRDefault="00EC31A6" w:rsidP="009743A8">
            <w:pPr>
              <w:spacing w:line="360" w:lineRule="auto"/>
              <w:jc w:val="center"/>
              <w:rPr>
                <w:szCs w:val="20"/>
                <w:lang w:eastAsia="en-US"/>
              </w:rPr>
            </w:pPr>
            <w:r w:rsidRPr="00EC31A6">
              <w:rPr>
                <w:szCs w:val="20"/>
                <w:lang w:eastAsia="en-US"/>
              </w:rPr>
              <w:t>12.40</w:t>
            </w:r>
          </w:p>
        </w:tc>
        <w:tc>
          <w:tcPr>
            <w:tcW w:w="470" w:type="pct"/>
            <w:tcBorders>
              <w:top w:val="nil"/>
              <w:left w:val="nil"/>
              <w:bottom w:val="nil"/>
              <w:right w:val="nil"/>
            </w:tcBorders>
            <w:shd w:val="clear" w:color="auto" w:fill="auto"/>
            <w:noWrap/>
            <w:vAlign w:val="center"/>
            <w:hideMark/>
          </w:tcPr>
          <w:p w14:paraId="7E7B81B0" w14:textId="77777777" w:rsidR="00EC31A6" w:rsidRPr="00EC31A6" w:rsidRDefault="00EC31A6" w:rsidP="009743A8">
            <w:pPr>
              <w:spacing w:line="360" w:lineRule="auto"/>
              <w:jc w:val="center"/>
              <w:rPr>
                <w:szCs w:val="20"/>
                <w:lang w:eastAsia="en-US"/>
              </w:rPr>
            </w:pPr>
            <w:r w:rsidRPr="00EC31A6">
              <w:rPr>
                <w:szCs w:val="20"/>
                <w:lang w:eastAsia="en-US"/>
              </w:rPr>
              <w:t>22</w:t>
            </w:r>
          </w:p>
        </w:tc>
        <w:tc>
          <w:tcPr>
            <w:tcW w:w="468" w:type="pct"/>
            <w:tcBorders>
              <w:top w:val="nil"/>
              <w:left w:val="nil"/>
              <w:bottom w:val="nil"/>
              <w:right w:val="nil"/>
            </w:tcBorders>
            <w:shd w:val="clear" w:color="auto" w:fill="auto"/>
            <w:noWrap/>
            <w:vAlign w:val="center"/>
            <w:hideMark/>
          </w:tcPr>
          <w:p w14:paraId="632B386B" w14:textId="77777777" w:rsidR="00EC31A6" w:rsidRPr="00EC31A6" w:rsidRDefault="00EC31A6" w:rsidP="009743A8">
            <w:pPr>
              <w:spacing w:line="360" w:lineRule="auto"/>
              <w:jc w:val="center"/>
              <w:rPr>
                <w:szCs w:val="20"/>
                <w:lang w:eastAsia="en-US"/>
              </w:rPr>
            </w:pPr>
            <w:r w:rsidRPr="00EC31A6">
              <w:rPr>
                <w:szCs w:val="20"/>
                <w:lang w:eastAsia="en-US"/>
              </w:rPr>
              <w:t>78</w:t>
            </w:r>
          </w:p>
        </w:tc>
      </w:tr>
      <w:tr w:rsidR="00EC31A6" w:rsidRPr="00EB534E" w14:paraId="54C074B1" w14:textId="77777777" w:rsidTr="00D56255">
        <w:trPr>
          <w:trHeight w:val="320"/>
        </w:trPr>
        <w:tc>
          <w:tcPr>
            <w:tcW w:w="2655" w:type="pct"/>
            <w:tcBorders>
              <w:top w:val="nil"/>
              <w:left w:val="nil"/>
              <w:bottom w:val="nil"/>
              <w:right w:val="nil"/>
            </w:tcBorders>
            <w:shd w:val="clear" w:color="auto" w:fill="auto"/>
            <w:noWrap/>
            <w:vAlign w:val="center"/>
            <w:hideMark/>
          </w:tcPr>
          <w:p w14:paraId="4D731307" w14:textId="77777777" w:rsidR="00EC31A6" w:rsidRPr="00EC31A6" w:rsidRDefault="00EC31A6" w:rsidP="009743A8">
            <w:pPr>
              <w:spacing w:line="360" w:lineRule="auto"/>
              <w:rPr>
                <w:szCs w:val="20"/>
                <w:lang w:eastAsia="en-US"/>
              </w:rPr>
            </w:pPr>
            <w:r w:rsidRPr="00EC31A6">
              <w:rPr>
                <w:szCs w:val="20"/>
                <w:lang w:val="es-ES" w:eastAsia="en-US"/>
              </w:rPr>
              <w:t xml:space="preserve">      S. Ansiedad rasgo</w:t>
            </w:r>
          </w:p>
        </w:tc>
        <w:tc>
          <w:tcPr>
            <w:tcW w:w="468" w:type="pct"/>
            <w:tcBorders>
              <w:top w:val="nil"/>
              <w:left w:val="nil"/>
              <w:bottom w:val="nil"/>
              <w:right w:val="nil"/>
            </w:tcBorders>
            <w:shd w:val="clear" w:color="auto" w:fill="auto"/>
            <w:noWrap/>
            <w:vAlign w:val="center"/>
            <w:hideMark/>
          </w:tcPr>
          <w:p w14:paraId="52ADD087" w14:textId="77777777" w:rsidR="00EC31A6" w:rsidRPr="00EC31A6" w:rsidRDefault="00EC31A6" w:rsidP="009743A8">
            <w:pPr>
              <w:spacing w:line="360" w:lineRule="auto"/>
              <w:jc w:val="center"/>
              <w:rPr>
                <w:szCs w:val="20"/>
                <w:lang w:eastAsia="en-US"/>
              </w:rPr>
            </w:pPr>
            <w:r w:rsidRPr="00EC31A6">
              <w:rPr>
                <w:szCs w:val="20"/>
                <w:lang w:eastAsia="en-US"/>
              </w:rPr>
              <w:t>87</w:t>
            </w:r>
          </w:p>
        </w:tc>
        <w:tc>
          <w:tcPr>
            <w:tcW w:w="470" w:type="pct"/>
            <w:tcBorders>
              <w:top w:val="nil"/>
              <w:left w:val="nil"/>
              <w:bottom w:val="nil"/>
              <w:right w:val="nil"/>
            </w:tcBorders>
            <w:shd w:val="clear" w:color="auto" w:fill="auto"/>
            <w:noWrap/>
            <w:vAlign w:val="center"/>
            <w:hideMark/>
          </w:tcPr>
          <w:p w14:paraId="7125B4D7" w14:textId="77777777" w:rsidR="00EC31A6" w:rsidRPr="00EC31A6" w:rsidRDefault="00EC31A6" w:rsidP="009743A8">
            <w:pPr>
              <w:spacing w:line="360" w:lineRule="auto"/>
              <w:jc w:val="center"/>
              <w:rPr>
                <w:szCs w:val="20"/>
                <w:lang w:eastAsia="en-US"/>
              </w:rPr>
            </w:pPr>
            <w:r w:rsidRPr="00EC31A6">
              <w:rPr>
                <w:szCs w:val="20"/>
                <w:lang w:eastAsia="en-US"/>
              </w:rPr>
              <w:t>43.61</w:t>
            </w:r>
          </w:p>
        </w:tc>
        <w:tc>
          <w:tcPr>
            <w:tcW w:w="470" w:type="pct"/>
            <w:tcBorders>
              <w:top w:val="nil"/>
              <w:left w:val="nil"/>
              <w:bottom w:val="nil"/>
              <w:right w:val="nil"/>
            </w:tcBorders>
            <w:shd w:val="clear" w:color="auto" w:fill="auto"/>
            <w:noWrap/>
            <w:vAlign w:val="center"/>
            <w:hideMark/>
          </w:tcPr>
          <w:p w14:paraId="4E97883A" w14:textId="77777777" w:rsidR="00EC31A6" w:rsidRPr="00EC31A6" w:rsidRDefault="00EC31A6" w:rsidP="009743A8">
            <w:pPr>
              <w:spacing w:line="360" w:lineRule="auto"/>
              <w:jc w:val="center"/>
              <w:rPr>
                <w:szCs w:val="20"/>
                <w:lang w:eastAsia="en-US"/>
              </w:rPr>
            </w:pPr>
            <w:r w:rsidRPr="00EC31A6">
              <w:rPr>
                <w:szCs w:val="20"/>
                <w:lang w:eastAsia="en-US"/>
              </w:rPr>
              <w:t>12.40</w:t>
            </w:r>
          </w:p>
        </w:tc>
        <w:tc>
          <w:tcPr>
            <w:tcW w:w="470" w:type="pct"/>
            <w:tcBorders>
              <w:top w:val="nil"/>
              <w:left w:val="nil"/>
              <w:bottom w:val="nil"/>
              <w:right w:val="nil"/>
            </w:tcBorders>
            <w:shd w:val="clear" w:color="auto" w:fill="auto"/>
            <w:noWrap/>
            <w:vAlign w:val="center"/>
            <w:hideMark/>
          </w:tcPr>
          <w:p w14:paraId="2651F71B" w14:textId="77777777" w:rsidR="00EC31A6" w:rsidRPr="00EC31A6" w:rsidRDefault="00EC31A6" w:rsidP="009743A8">
            <w:pPr>
              <w:spacing w:line="360" w:lineRule="auto"/>
              <w:jc w:val="center"/>
              <w:rPr>
                <w:szCs w:val="20"/>
                <w:lang w:eastAsia="en-US"/>
              </w:rPr>
            </w:pPr>
            <w:r w:rsidRPr="00EC31A6">
              <w:rPr>
                <w:szCs w:val="20"/>
                <w:lang w:eastAsia="en-US"/>
              </w:rPr>
              <w:t>22</w:t>
            </w:r>
          </w:p>
        </w:tc>
        <w:tc>
          <w:tcPr>
            <w:tcW w:w="468" w:type="pct"/>
            <w:tcBorders>
              <w:top w:val="nil"/>
              <w:left w:val="nil"/>
              <w:bottom w:val="nil"/>
              <w:right w:val="nil"/>
            </w:tcBorders>
            <w:shd w:val="clear" w:color="auto" w:fill="auto"/>
            <w:noWrap/>
            <w:vAlign w:val="center"/>
            <w:hideMark/>
          </w:tcPr>
          <w:p w14:paraId="31819F13" w14:textId="77777777" w:rsidR="00EC31A6" w:rsidRPr="00EC31A6" w:rsidRDefault="00EC31A6" w:rsidP="009743A8">
            <w:pPr>
              <w:spacing w:line="360" w:lineRule="auto"/>
              <w:jc w:val="center"/>
              <w:rPr>
                <w:szCs w:val="20"/>
                <w:lang w:eastAsia="en-US"/>
              </w:rPr>
            </w:pPr>
            <w:r w:rsidRPr="00EC31A6">
              <w:rPr>
                <w:szCs w:val="20"/>
                <w:lang w:eastAsia="en-US"/>
              </w:rPr>
              <w:t>78</w:t>
            </w:r>
          </w:p>
        </w:tc>
      </w:tr>
      <w:tr w:rsidR="00EC31A6" w:rsidRPr="00EB534E" w14:paraId="6E212AA3" w14:textId="77777777" w:rsidTr="00D56255">
        <w:trPr>
          <w:trHeight w:val="340"/>
        </w:trPr>
        <w:tc>
          <w:tcPr>
            <w:tcW w:w="2655" w:type="pct"/>
            <w:tcBorders>
              <w:top w:val="nil"/>
              <w:left w:val="nil"/>
              <w:bottom w:val="single" w:sz="8" w:space="0" w:color="auto"/>
              <w:right w:val="nil"/>
            </w:tcBorders>
            <w:shd w:val="clear" w:color="auto" w:fill="auto"/>
            <w:noWrap/>
            <w:vAlign w:val="center"/>
            <w:hideMark/>
          </w:tcPr>
          <w:p w14:paraId="76498D81" w14:textId="42B4AA55" w:rsidR="00EC31A6" w:rsidRPr="00EC31A6" w:rsidRDefault="00EC31A6" w:rsidP="00EC31A6">
            <w:pPr>
              <w:spacing w:line="360" w:lineRule="auto"/>
              <w:ind w:left="316"/>
              <w:rPr>
                <w:szCs w:val="20"/>
                <w:lang w:eastAsia="en-US"/>
              </w:rPr>
            </w:pPr>
            <w:r w:rsidRPr="00EC31A6">
              <w:rPr>
                <w:szCs w:val="20"/>
                <w:lang w:val="es-ES" w:eastAsia="en-US"/>
              </w:rPr>
              <w:t>A. Porcentaje de probabilidad de ansiedad clínica</w:t>
            </w:r>
          </w:p>
        </w:tc>
        <w:tc>
          <w:tcPr>
            <w:tcW w:w="468" w:type="pct"/>
            <w:tcBorders>
              <w:top w:val="nil"/>
              <w:left w:val="nil"/>
              <w:bottom w:val="single" w:sz="8" w:space="0" w:color="auto"/>
              <w:right w:val="nil"/>
            </w:tcBorders>
            <w:shd w:val="clear" w:color="auto" w:fill="auto"/>
            <w:noWrap/>
            <w:vAlign w:val="center"/>
            <w:hideMark/>
          </w:tcPr>
          <w:p w14:paraId="7EC67A95" w14:textId="77777777" w:rsidR="00EC31A6" w:rsidRPr="00EC31A6" w:rsidRDefault="00EC31A6" w:rsidP="009743A8">
            <w:pPr>
              <w:spacing w:line="360" w:lineRule="auto"/>
              <w:jc w:val="center"/>
              <w:rPr>
                <w:szCs w:val="20"/>
                <w:lang w:eastAsia="en-US"/>
              </w:rPr>
            </w:pPr>
            <w:r w:rsidRPr="00EC31A6">
              <w:rPr>
                <w:szCs w:val="20"/>
                <w:lang w:eastAsia="en-US"/>
              </w:rPr>
              <w:t>87</w:t>
            </w:r>
          </w:p>
        </w:tc>
        <w:tc>
          <w:tcPr>
            <w:tcW w:w="470" w:type="pct"/>
            <w:tcBorders>
              <w:top w:val="nil"/>
              <w:left w:val="nil"/>
              <w:bottom w:val="single" w:sz="8" w:space="0" w:color="auto"/>
              <w:right w:val="nil"/>
            </w:tcBorders>
            <w:shd w:val="clear" w:color="auto" w:fill="auto"/>
            <w:noWrap/>
            <w:vAlign w:val="center"/>
            <w:hideMark/>
          </w:tcPr>
          <w:p w14:paraId="1F59958D" w14:textId="77777777" w:rsidR="00EC31A6" w:rsidRPr="00EC31A6" w:rsidRDefault="00EC31A6" w:rsidP="009743A8">
            <w:pPr>
              <w:spacing w:line="360" w:lineRule="auto"/>
              <w:jc w:val="center"/>
              <w:rPr>
                <w:szCs w:val="20"/>
                <w:lang w:eastAsia="en-US"/>
              </w:rPr>
            </w:pPr>
            <w:r w:rsidRPr="00EC31A6">
              <w:rPr>
                <w:szCs w:val="20"/>
                <w:lang w:eastAsia="en-US"/>
              </w:rPr>
              <w:t>.64</w:t>
            </w:r>
          </w:p>
        </w:tc>
        <w:tc>
          <w:tcPr>
            <w:tcW w:w="470" w:type="pct"/>
            <w:tcBorders>
              <w:top w:val="nil"/>
              <w:left w:val="nil"/>
              <w:bottom w:val="single" w:sz="8" w:space="0" w:color="auto"/>
              <w:right w:val="nil"/>
            </w:tcBorders>
            <w:shd w:val="clear" w:color="auto" w:fill="auto"/>
            <w:noWrap/>
            <w:vAlign w:val="center"/>
            <w:hideMark/>
          </w:tcPr>
          <w:p w14:paraId="4ACAF998" w14:textId="77777777" w:rsidR="00EC31A6" w:rsidRPr="00EC31A6" w:rsidRDefault="00EC31A6" w:rsidP="009743A8">
            <w:pPr>
              <w:spacing w:line="360" w:lineRule="auto"/>
              <w:jc w:val="center"/>
              <w:rPr>
                <w:szCs w:val="20"/>
                <w:lang w:eastAsia="en-US"/>
              </w:rPr>
            </w:pPr>
            <w:r w:rsidRPr="00EC31A6">
              <w:rPr>
                <w:szCs w:val="20"/>
                <w:lang w:eastAsia="en-US"/>
              </w:rPr>
              <w:t>0.48</w:t>
            </w:r>
          </w:p>
        </w:tc>
        <w:tc>
          <w:tcPr>
            <w:tcW w:w="470" w:type="pct"/>
            <w:tcBorders>
              <w:top w:val="nil"/>
              <w:left w:val="nil"/>
              <w:bottom w:val="single" w:sz="8" w:space="0" w:color="auto"/>
              <w:right w:val="nil"/>
            </w:tcBorders>
            <w:shd w:val="clear" w:color="auto" w:fill="auto"/>
            <w:noWrap/>
            <w:vAlign w:val="center"/>
            <w:hideMark/>
          </w:tcPr>
          <w:p w14:paraId="67D61EF9" w14:textId="77777777" w:rsidR="00EC31A6" w:rsidRPr="00EC31A6" w:rsidRDefault="00EC31A6" w:rsidP="009743A8">
            <w:pPr>
              <w:spacing w:line="360" w:lineRule="auto"/>
              <w:jc w:val="center"/>
              <w:rPr>
                <w:szCs w:val="20"/>
                <w:lang w:eastAsia="en-US"/>
              </w:rPr>
            </w:pPr>
            <w:r w:rsidRPr="00EC31A6">
              <w:rPr>
                <w:szCs w:val="20"/>
                <w:lang w:eastAsia="en-US"/>
              </w:rPr>
              <w:t>0</w:t>
            </w:r>
          </w:p>
        </w:tc>
        <w:tc>
          <w:tcPr>
            <w:tcW w:w="468" w:type="pct"/>
            <w:tcBorders>
              <w:top w:val="nil"/>
              <w:left w:val="nil"/>
              <w:bottom w:val="single" w:sz="8" w:space="0" w:color="auto"/>
              <w:right w:val="nil"/>
            </w:tcBorders>
            <w:shd w:val="clear" w:color="auto" w:fill="auto"/>
            <w:noWrap/>
            <w:vAlign w:val="center"/>
            <w:hideMark/>
          </w:tcPr>
          <w:p w14:paraId="1C6F1FBC" w14:textId="77777777" w:rsidR="00EC31A6" w:rsidRPr="00EC31A6" w:rsidRDefault="00EC31A6" w:rsidP="009743A8">
            <w:pPr>
              <w:spacing w:line="360" w:lineRule="auto"/>
              <w:jc w:val="center"/>
              <w:rPr>
                <w:szCs w:val="20"/>
                <w:lang w:eastAsia="en-US"/>
              </w:rPr>
            </w:pPr>
            <w:r w:rsidRPr="00EC31A6">
              <w:rPr>
                <w:szCs w:val="20"/>
                <w:lang w:eastAsia="en-US"/>
              </w:rPr>
              <w:t>1</w:t>
            </w:r>
          </w:p>
        </w:tc>
      </w:tr>
    </w:tbl>
    <w:p w14:paraId="582626C4" w14:textId="51BA88C6" w:rsidR="00EC31A6" w:rsidRPr="00EC31A6" w:rsidRDefault="00EC31A6" w:rsidP="00EC31A6">
      <w:pPr>
        <w:pStyle w:val="Prrafocomn"/>
        <w:ind w:firstLine="0"/>
        <w:rPr>
          <w:b/>
          <w:bCs/>
          <w:sz w:val="32"/>
          <w:lang w:val="pt-BR"/>
        </w:rPr>
      </w:pPr>
      <w:r w:rsidRPr="00EC31A6">
        <w:rPr>
          <w:i/>
          <w:iCs/>
          <w:szCs w:val="20"/>
          <w:lang w:val="pt-BR" w:eastAsia="es-ES"/>
        </w:rPr>
        <w:t>Nota</w:t>
      </w:r>
      <w:r w:rsidR="00380346">
        <w:rPr>
          <w:i/>
          <w:iCs/>
          <w:szCs w:val="20"/>
          <w:lang w:val="pt-BR" w:eastAsia="es-ES"/>
        </w:rPr>
        <w:t>.</w:t>
      </w:r>
      <w:r w:rsidRPr="00EC31A6">
        <w:rPr>
          <w:szCs w:val="20"/>
          <w:lang w:val="pt-BR" w:eastAsia="es-ES"/>
        </w:rPr>
        <w:t xml:space="preserve"> E = escala; S = subescala; A = </w:t>
      </w:r>
      <w:proofErr w:type="spellStart"/>
      <w:r w:rsidRPr="00EC31A6">
        <w:rPr>
          <w:szCs w:val="20"/>
          <w:lang w:val="pt-BR" w:eastAsia="es-ES"/>
        </w:rPr>
        <w:t>Análisis</w:t>
      </w:r>
      <w:proofErr w:type="spellEnd"/>
      <w:r w:rsidRPr="00EC31A6">
        <w:rPr>
          <w:szCs w:val="20"/>
          <w:lang w:val="pt-BR" w:eastAsia="es-ES"/>
        </w:rPr>
        <w:t xml:space="preserve"> adicional.</w:t>
      </w:r>
    </w:p>
    <w:p w14:paraId="4AAA0325" w14:textId="77777777" w:rsidR="00EC31A6" w:rsidRPr="00EC31A6" w:rsidRDefault="00EC31A6" w:rsidP="00EC31A6">
      <w:pPr>
        <w:pStyle w:val="Prrafocomn"/>
        <w:rPr>
          <w:bCs/>
          <w:lang w:val="es-DO"/>
        </w:rPr>
      </w:pPr>
      <w:r w:rsidRPr="00EC31A6">
        <w:rPr>
          <w:bCs/>
          <w:lang w:val="es-DO"/>
        </w:rPr>
        <w:t xml:space="preserve">Para contestar la primera pregunta de investigación, se realizó un análisis de regresión con el método </w:t>
      </w:r>
      <w:r w:rsidRPr="00EC31A6">
        <w:rPr>
          <w:bCs/>
          <w:i/>
          <w:lang w:val="es-DO"/>
        </w:rPr>
        <w:t>forward</w:t>
      </w:r>
      <w:r w:rsidRPr="00EC31A6">
        <w:rPr>
          <w:bCs/>
          <w:lang w:val="es-DO"/>
        </w:rPr>
        <w:t xml:space="preserve"> de selección de predictores y establecer modelos de ajustes adecuados para predecir la variable dependiente (cibercondría), con las variables independientes (ansiedad por salud, ansiedad estado y ansiedad rasgo). </w:t>
      </w:r>
    </w:p>
    <w:p w14:paraId="77478964" w14:textId="77777777" w:rsidR="00EC31A6" w:rsidRPr="00EC31A6" w:rsidRDefault="00EC31A6" w:rsidP="00EC31A6">
      <w:pPr>
        <w:pStyle w:val="Prrafocomn"/>
        <w:rPr>
          <w:bCs/>
          <w:lang w:val="es-ES"/>
        </w:rPr>
      </w:pPr>
      <w:r w:rsidRPr="00EC31A6">
        <w:rPr>
          <w:bCs/>
          <w:lang w:val="es-DO"/>
        </w:rPr>
        <w:t>El primer modelo estableció que la variable ansiedad por salud obtuvo el mayor coeficiente estandarizado de regresión. El modelo explicó el 17% de la varianza (</w:t>
      </w:r>
      <w:r w:rsidRPr="00EC31A6">
        <w:rPr>
          <w:bCs/>
          <w:i/>
          <w:lang w:val="es-DO"/>
        </w:rPr>
        <w:t>R</w:t>
      </w:r>
      <w:r w:rsidRPr="00EC31A6">
        <w:rPr>
          <w:bCs/>
          <w:i/>
          <w:vertAlign w:val="superscript"/>
          <w:lang w:val="es-DO"/>
        </w:rPr>
        <w:t>2</w:t>
      </w:r>
      <w:r w:rsidRPr="00EC31A6">
        <w:rPr>
          <w:bCs/>
          <w:lang w:val="es-DO"/>
        </w:rPr>
        <w:t xml:space="preserve"> = .17, F(1,85) = 17.95, </w:t>
      </w:r>
      <w:r w:rsidRPr="00EC31A6">
        <w:rPr>
          <w:bCs/>
          <w:i/>
          <w:lang w:val="es-DO"/>
        </w:rPr>
        <w:t>p</w:t>
      </w:r>
      <w:r w:rsidRPr="00EC31A6">
        <w:rPr>
          <w:bCs/>
          <w:lang w:val="es-DO"/>
        </w:rPr>
        <w:t xml:space="preserve"> &lt; .001). Se encontró que la ansiedad por salud predice la </w:t>
      </w:r>
      <w:r w:rsidRPr="00EC31A6">
        <w:rPr>
          <w:bCs/>
          <w:lang w:val="es-DO"/>
        </w:rPr>
        <w:lastRenderedPageBreak/>
        <w:t>cibercondría (</w:t>
      </w:r>
      <w:r w:rsidRPr="00EC31A6">
        <w:rPr>
          <w:bCs/>
          <w:lang w:val="es-ES"/>
        </w:rPr>
        <w:t>β</w:t>
      </w:r>
      <w:r w:rsidRPr="00EC31A6">
        <w:rPr>
          <w:bCs/>
          <w:i/>
          <w:iCs/>
          <w:lang w:val="es-ES"/>
        </w:rPr>
        <w:t xml:space="preserve"> </w:t>
      </w:r>
      <w:r w:rsidRPr="00EC31A6">
        <w:rPr>
          <w:bCs/>
          <w:lang w:val="es-ES"/>
        </w:rPr>
        <w:t xml:space="preserve">= .42, </w:t>
      </w:r>
      <w:r w:rsidRPr="00EC31A6">
        <w:rPr>
          <w:bCs/>
          <w:i/>
          <w:iCs/>
          <w:lang w:val="es-ES"/>
        </w:rPr>
        <w:t xml:space="preserve">p </w:t>
      </w:r>
      <w:r w:rsidRPr="00EC31A6">
        <w:rPr>
          <w:bCs/>
          <w:lang w:val="es-ES"/>
        </w:rPr>
        <w:t>&lt; .001). El factor de inflación de la varianza (VIF) obtuvo un valor de 1, indicando ausencia de correlación entre las variables predictoras.</w:t>
      </w:r>
    </w:p>
    <w:p w14:paraId="0E6EB133" w14:textId="77777777" w:rsidR="00EC31A6" w:rsidRPr="00EC31A6" w:rsidRDefault="00EC31A6" w:rsidP="00EC31A6">
      <w:pPr>
        <w:pStyle w:val="Prrafocomn"/>
        <w:rPr>
          <w:bCs/>
          <w:lang w:val="es-ES"/>
        </w:rPr>
      </w:pPr>
      <w:r w:rsidRPr="00EC31A6">
        <w:rPr>
          <w:bCs/>
          <w:lang w:val="es-ES"/>
        </w:rPr>
        <w:t xml:space="preserve">El segundo modelo indica que las puntuaciones de ansiedad por salud </w:t>
      </w:r>
      <w:r w:rsidRPr="00EC31A6">
        <w:rPr>
          <w:bCs/>
          <w:lang w:val="es-DO"/>
        </w:rPr>
        <w:t>(</w:t>
      </w:r>
      <w:r w:rsidRPr="00EC31A6">
        <w:rPr>
          <w:bCs/>
          <w:lang w:val="es-ES"/>
        </w:rPr>
        <w:t>β</w:t>
      </w:r>
      <w:r w:rsidRPr="00EC31A6">
        <w:rPr>
          <w:bCs/>
          <w:i/>
          <w:iCs/>
          <w:lang w:val="es-ES"/>
        </w:rPr>
        <w:t xml:space="preserve"> </w:t>
      </w:r>
      <w:r w:rsidRPr="00EC31A6">
        <w:rPr>
          <w:bCs/>
          <w:lang w:val="es-ES"/>
        </w:rPr>
        <w:t xml:space="preserve">= .38, </w:t>
      </w:r>
      <w:r w:rsidRPr="00EC31A6">
        <w:rPr>
          <w:bCs/>
          <w:i/>
          <w:iCs/>
          <w:lang w:val="es-ES"/>
        </w:rPr>
        <w:t xml:space="preserve">p </w:t>
      </w:r>
      <w:r w:rsidRPr="00EC31A6">
        <w:rPr>
          <w:bCs/>
          <w:lang w:val="es-ES"/>
        </w:rPr>
        <w:t xml:space="preserve">&lt; .001) y ansiedad rasgo </w:t>
      </w:r>
      <w:r w:rsidRPr="00EC31A6">
        <w:rPr>
          <w:bCs/>
          <w:lang w:val="es-DO"/>
        </w:rPr>
        <w:t>(</w:t>
      </w:r>
      <w:r w:rsidRPr="00EC31A6">
        <w:rPr>
          <w:bCs/>
          <w:lang w:val="es-ES"/>
        </w:rPr>
        <w:t xml:space="preserve">β = .28, </w:t>
      </w:r>
      <w:r w:rsidRPr="00EC31A6">
        <w:rPr>
          <w:bCs/>
          <w:i/>
          <w:iCs/>
          <w:lang w:val="es-ES"/>
        </w:rPr>
        <w:t xml:space="preserve">p </w:t>
      </w:r>
      <w:r w:rsidRPr="00EC31A6">
        <w:rPr>
          <w:bCs/>
          <w:lang w:val="es-ES"/>
        </w:rPr>
        <w:t xml:space="preserve">= .004) predicen las puntuaciones en cibercondría. El modelo explica 25% de la varianza </w:t>
      </w:r>
      <w:r w:rsidRPr="00EC31A6">
        <w:rPr>
          <w:bCs/>
          <w:lang w:val="es-DO"/>
        </w:rPr>
        <w:t>(</w:t>
      </w:r>
      <w:r w:rsidRPr="00EC31A6">
        <w:rPr>
          <w:bCs/>
          <w:i/>
          <w:lang w:val="es-DO"/>
        </w:rPr>
        <w:t>R</w:t>
      </w:r>
      <w:r w:rsidRPr="00EC31A6">
        <w:rPr>
          <w:bCs/>
          <w:i/>
          <w:vertAlign w:val="superscript"/>
          <w:lang w:val="es-DO"/>
        </w:rPr>
        <w:t>2</w:t>
      </w:r>
      <w:r w:rsidRPr="00EC31A6">
        <w:rPr>
          <w:bCs/>
          <w:lang w:val="es-DO"/>
        </w:rPr>
        <w:t xml:space="preserve"> = .25, </w:t>
      </w:r>
      <w:proofErr w:type="gramStart"/>
      <w:r w:rsidRPr="00EC31A6">
        <w:rPr>
          <w:bCs/>
          <w:i/>
          <w:lang w:val="es-DO"/>
        </w:rPr>
        <w:t>F</w:t>
      </w:r>
      <w:r w:rsidRPr="00EC31A6">
        <w:rPr>
          <w:bCs/>
          <w:lang w:val="es-DO"/>
        </w:rPr>
        <w:t>(</w:t>
      </w:r>
      <w:proofErr w:type="gramEnd"/>
      <w:r w:rsidRPr="00EC31A6">
        <w:rPr>
          <w:bCs/>
          <w:lang w:val="es-DO"/>
        </w:rPr>
        <w:t xml:space="preserve">1,84) = 14.21, </w:t>
      </w:r>
      <w:r w:rsidRPr="00EC31A6">
        <w:rPr>
          <w:bCs/>
          <w:i/>
          <w:lang w:val="es-DO"/>
        </w:rPr>
        <w:t>p</w:t>
      </w:r>
      <w:r w:rsidRPr="00EC31A6">
        <w:rPr>
          <w:bCs/>
          <w:lang w:val="es-DO"/>
        </w:rPr>
        <w:t xml:space="preserve"> &lt; .001). La Tabla 3 presenta el resultado del análisis. </w:t>
      </w:r>
      <w:r w:rsidRPr="00EC31A6">
        <w:rPr>
          <w:bCs/>
          <w:lang w:val="es-ES"/>
        </w:rPr>
        <w:t>El factor de inflación de la varianza (VIF) obtuvo un valor de 1.02, indicando ausencia de correlación entre las variables predictoras.</w:t>
      </w:r>
    </w:p>
    <w:p w14:paraId="10DEC014" w14:textId="77777777" w:rsidR="00CE5B1D" w:rsidRPr="00CE5B1D" w:rsidRDefault="00CE5B1D" w:rsidP="00CE5B1D">
      <w:pPr>
        <w:spacing w:line="360" w:lineRule="auto"/>
        <w:rPr>
          <w:b/>
          <w:lang w:val="es-DO" w:eastAsia="es-ES"/>
        </w:rPr>
      </w:pPr>
      <w:r w:rsidRPr="00CE5B1D">
        <w:rPr>
          <w:b/>
          <w:lang w:val="es-DO" w:eastAsia="es-ES"/>
        </w:rPr>
        <w:t>Tabla 3</w:t>
      </w:r>
    </w:p>
    <w:p w14:paraId="4C7B6734" w14:textId="77777777" w:rsidR="00CE5B1D" w:rsidRPr="00CE5B1D" w:rsidRDefault="00CE5B1D" w:rsidP="00CE5B1D">
      <w:pPr>
        <w:spacing w:line="360" w:lineRule="auto"/>
        <w:rPr>
          <w:bCs/>
          <w:i/>
          <w:iCs/>
          <w:lang w:val="es-DO" w:eastAsia="es-ES"/>
        </w:rPr>
      </w:pPr>
      <w:r w:rsidRPr="00CE5B1D">
        <w:rPr>
          <w:bCs/>
          <w:i/>
          <w:iCs/>
          <w:lang w:val="es-DO" w:eastAsia="es-ES"/>
        </w:rPr>
        <w:t>Regresión Múltiple de Predicción de Cibercondría (N = 96)</w:t>
      </w:r>
    </w:p>
    <w:tbl>
      <w:tblPr>
        <w:tblW w:w="8505" w:type="dxa"/>
        <w:tblLook w:val="04A0" w:firstRow="1" w:lastRow="0" w:firstColumn="1" w:lastColumn="0" w:noHBand="0" w:noVBand="1"/>
      </w:tblPr>
      <w:tblGrid>
        <w:gridCol w:w="2835"/>
        <w:gridCol w:w="1134"/>
        <w:gridCol w:w="1560"/>
        <w:gridCol w:w="1559"/>
        <w:gridCol w:w="1417"/>
      </w:tblGrid>
      <w:tr w:rsidR="00CE5B1D" w:rsidRPr="00CE5B1D" w14:paraId="6EC87D4F" w14:textId="77777777" w:rsidTr="00CE5B1D">
        <w:trPr>
          <w:trHeight w:val="340"/>
        </w:trPr>
        <w:tc>
          <w:tcPr>
            <w:tcW w:w="2835" w:type="dxa"/>
            <w:tcBorders>
              <w:top w:val="single" w:sz="8" w:space="0" w:color="auto"/>
              <w:left w:val="nil"/>
              <w:bottom w:val="single" w:sz="8" w:space="0" w:color="auto"/>
              <w:right w:val="nil"/>
            </w:tcBorders>
            <w:shd w:val="clear" w:color="auto" w:fill="auto"/>
            <w:noWrap/>
            <w:vAlign w:val="center"/>
            <w:hideMark/>
          </w:tcPr>
          <w:p w14:paraId="3533089D" w14:textId="77777777" w:rsidR="00CE5B1D" w:rsidRPr="00CE5B1D" w:rsidRDefault="00CE5B1D" w:rsidP="009743A8">
            <w:pPr>
              <w:spacing w:line="360" w:lineRule="auto"/>
              <w:rPr>
                <w:b/>
                <w:lang w:eastAsia="en-US"/>
              </w:rPr>
            </w:pPr>
            <w:r w:rsidRPr="00CE5B1D">
              <w:rPr>
                <w:b/>
                <w:lang w:val="es-ES" w:eastAsia="en-US"/>
              </w:rPr>
              <w:t>Predictor</w:t>
            </w:r>
          </w:p>
        </w:tc>
        <w:tc>
          <w:tcPr>
            <w:tcW w:w="1134" w:type="dxa"/>
            <w:tcBorders>
              <w:top w:val="single" w:sz="8" w:space="0" w:color="auto"/>
              <w:left w:val="nil"/>
              <w:bottom w:val="single" w:sz="8" w:space="0" w:color="auto"/>
              <w:right w:val="nil"/>
            </w:tcBorders>
            <w:shd w:val="clear" w:color="auto" w:fill="auto"/>
            <w:noWrap/>
            <w:vAlign w:val="center"/>
            <w:hideMark/>
          </w:tcPr>
          <w:p w14:paraId="01DE36E5" w14:textId="77777777" w:rsidR="00CE5B1D" w:rsidRPr="00CE5B1D" w:rsidRDefault="00CE5B1D" w:rsidP="009743A8">
            <w:pPr>
              <w:spacing w:line="360" w:lineRule="auto"/>
              <w:jc w:val="center"/>
              <w:rPr>
                <w:b/>
                <w:iCs/>
                <w:lang w:eastAsia="en-US"/>
              </w:rPr>
            </w:pPr>
            <w:r w:rsidRPr="00CE5B1D">
              <w:rPr>
                <w:b/>
                <w:iCs/>
                <w:lang w:val="es-ES" w:eastAsia="en-US"/>
              </w:rPr>
              <w:t>B</w:t>
            </w:r>
          </w:p>
        </w:tc>
        <w:tc>
          <w:tcPr>
            <w:tcW w:w="1560" w:type="dxa"/>
            <w:tcBorders>
              <w:top w:val="single" w:sz="8" w:space="0" w:color="auto"/>
              <w:left w:val="nil"/>
              <w:bottom w:val="single" w:sz="8" w:space="0" w:color="auto"/>
              <w:right w:val="nil"/>
            </w:tcBorders>
            <w:shd w:val="clear" w:color="auto" w:fill="auto"/>
            <w:noWrap/>
            <w:vAlign w:val="center"/>
            <w:hideMark/>
          </w:tcPr>
          <w:p w14:paraId="44ECAA16" w14:textId="77777777" w:rsidR="00CE5B1D" w:rsidRPr="00CE5B1D" w:rsidRDefault="00CE5B1D" w:rsidP="009743A8">
            <w:pPr>
              <w:spacing w:line="360" w:lineRule="auto"/>
              <w:jc w:val="center"/>
              <w:rPr>
                <w:b/>
                <w:iCs/>
                <w:lang w:eastAsia="en-US"/>
              </w:rPr>
            </w:pPr>
            <w:r w:rsidRPr="00CE5B1D">
              <w:rPr>
                <w:b/>
                <w:iCs/>
                <w:lang w:val="es-ES" w:eastAsia="en-US"/>
              </w:rPr>
              <w:t>SE B</w:t>
            </w:r>
          </w:p>
        </w:tc>
        <w:tc>
          <w:tcPr>
            <w:tcW w:w="1559" w:type="dxa"/>
            <w:tcBorders>
              <w:top w:val="single" w:sz="8" w:space="0" w:color="auto"/>
              <w:left w:val="nil"/>
              <w:bottom w:val="single" w:sz="8" w:space="0" w:color="auto"/>
              <w:right w:val="nil"/>
            </w:tcBorders>
            <w:shd w:val="clear" w:color="auto" w:fill="auto"/>
            <w:noWrap/>
            <w:vAlign w:val="center"/>
            <w:hideMark/>
          </w:tcPr>
          <w:p w14:paraId="4645DEFE" w14:textId="77777777" w:rsidR="00CE5B1D" w:rsidRPr="00CE5B1D" w:rsidRDefault="00CE5B1D" w:rsidP="009743A8">
            <w:pPr>
              <w:spacing w:line="360" w:lineRule="auto"/>
              <w:jc w:val="center"/>
              <w:rPr>
                <w:b/>
                <w:iCs/>
                <w:lang w:eastAsia="en-US"/>
              </w:rPr>
            </w:pPr>
            <w:r w:rsidRPr="00CE5B1D">
              <w:rPr>
                <w:b/>
                <w:iCs/>
                <w:lang w:val="es-ES" w:eastAsia="en-US"/>
              </w:rPr>
              <w:t>β</w:t>
            </w:r>
          </w:p>
        </w:tc>
        <w:tc>
          <w:tcPr>
            <w:tcW w:w="1417" w:type="dxa"/>
            <w:tcBorders>
              <w:top w:val="single" w:sz="8" w:space="0" w:color="auto"/>
              <w:left w:val="nil"/>
              <w:bottom w:val="single" w:sz="8" w:space="0" w:color="auto"/>
              <w:right w:val="nil"/>
            </w:tcBorders>
            <w:shd w:val="clear" w:color="auto" w:fill="auto"/>
            <w:noWrap/>
            <w:vAlign w:val="center"/>
            <w:hideMark/>
          </w:tcPr>
          <w:p w14:paraId="01888E51" w14:textId="77777777" w:rsidR="00CE5B1D" w:rsidRPr="00CE5B1D" w:rsidRDefault="00CE5B1D" w:rsidP="009743A8">
            <w:pPr>
              <w:spacing w:line="360" w:lineRule="auto"/>
              <w:jc w:val="center"/>
              <w:rPr>
                <w:b/>
                <w:iCs/>
                <w:lang w:eastAsia="en-US"/>
              </w:rPr>
            </w:pPr>
            <w:r w:rsidRPr="00CE5B1D">
              <w:rPr>
                <w:b/>
                <w:iCs/>
                <w:lang w:val="es-ES" w:eastAsia="en-US"/>
              </w:rPr>
              <w:t>R</w:t>
            </w:r>
            <w:r w:rsidRPr="00CE5B1D">
              <w:rPr>
                <w:b/>
                <w:iCs/>
                <w:vertAlign w:val="superscript"/>
                <w:lang w:val="es-ES" w:eastAsia="en-US"/>
              </w:rPr>
              <w:t>2</w:t>
            </w:r>
          </w:p>
        </w:tc>
      </w:tr>
      <w:tr w:rsidR="00CE5B1D" w:rsidRPr="00CE5B1D" w14:paraId="4C0A02B2" w14:textId="77777777" w:rsidTr="00CE5B1D">
        <w:trPr>
          <w:trHeight w:val="320"/>
        </w:trPr>
        <w:tc>
          <w:tcPr>
            <w:tcW w:w="2835" w:type="dxa"/>
            <w:tcBorders>
              <w:top w:val="nil"/>
              <w:left w:val="nil"/>
              <w:bottom w:val="nil"/>
              <w:right w:val="nil"/>
            </w:tcBorders>
            <w:shd w:val="clear" w:color="auto" w:fill="auto"/>
            <w:noWrap/>
            <w:vAlign w:val="center"/>
            <w:hideMark/>
          </w:tcPr>
          <w:p w14:paraId="1C7C2F45" w14:textId="77777777" w:rsidR="00CE5B1D" w:rsidRPr="00CE5B1D" w:rsidRDefault="00CE5B1D" w:rsidP="009743A8">
            <w:pPr>
              <w:spacing w:line="360" w:lineRule="auto"/>
              <w:rPr>
                <w:lang w:eastAsia="en-US"/>
              </w:rPr>
            </w:pPr>
            <w:r w:rsidRPr="00CE5B1D">
              <w:rPr>
                <w:lang w:val="es-ES" w:eastAsia="en-US"/>
              </w:rPr>
              <w:t>Modelo 1</w:t>
            </w:r>
          </w:p>
        </w:tc>
        <w:tc>
          <w:tcPr>
            <w:tcW w:w="1134" w:type="dxa"/>
            <w:tcBorders>
              <w:top w:val="nil"/>
              <w:left w:val="nil"/>
              <w:bottom w:val="nil"/>
              <w:right w:val="nil"/>
            </w:tcBorders>
            <w:shd w:val="clear" w:color="auto" w:fill="auto"/>
            <w:noWrap/>
            <w:vAlign w:val="bottom"/>
            <w:hideMark/>
          </w:tcPr>
          <w:p w14:paraId="632E3AEA" w14:textId="77777777" w:rsidR="00CE5B1D" w:rsidRPr="00CE5B1D" w:rsidRDefault="00CE5B1D" w:rsidP="009743A8">
            <w:pPr>
              <w:spacing w:line="360" w:lineRule="auto"/>
              <w:rPr>
                <w:lang w:eastAsia="en-US"/>
              </w:rPr>
            </w:pPr>
          </w:p>
        </w:tc>
        <w:tc>
          <w:tcPr>
            <w:tcW w:w="1560" w:type="dxa"/>
            <w:tcBorders>
              <w:top w:val="nil"/>
              <w:left w:val="nil"/>
              <w:bottom w:val="nil"/>
              <w:right w:val="nil"/>
            </w:tcBorders>
            <w:shd w:val="clear" w:color="auto" w:fill="auto"/>
            <w:noWrap/>
            <w:vAlign w:val="bottom"/>
            <w:hideMark/>
          </w:tcPr>
          <w:p w14:paraId="7F96FC78" w14:textId="77777777" w:rsidR="00CE5B1D" w:rsidRPr="00CE5B1D" w:rsidRDefault="00CE5B1D" w:rsidP="009743A8">
            <w:pPr>
              <w:spacing w:line="360" w:lineRule="auto"/>
              <w:rPr>
                <w:lang w:eastAsia="en-US"/>
              </w:rPr>
            </w:pPr>
          </w:p>
        </w:tc>
        <w:tc>
          <w:tcPr>
            <w:tcW w:w="1559" w:type="dxa"/>
            <w:tcBorders>
              <w:top w:val="nil"/>
              <w:left w:val="nil"/>
              <w:bottom w:val="nil"/>
              <w:right w:val="nil"/>
            </w:tcBorders>
            <w:shd w:val="clear" w:color="auto" w:fill="auto"/>
            <w:noWrap/>
            <w:vAlign w:val="bottom"/>
            <w:hideMark/>
          </w:tcPr>
          <w:p w14:paraId="5E608326" w14:textId="77777777" w:rsidR="00CE5B1D" w:rsidRPr="00CE5B1D" w:rsidRDefault="00CE5B1D" w:rsidP="009743A8">
            <w:pPr>
              <w:spacing w:line="360" w:lineRule="auto"/>
              <w:rPr>
                <w:lang w:eastAsia="en-US"/>
              </w:rPr>
            </w:pPr>
          </w:p>
        </w:tc>
        <w:tc>
          <w:tcPr>
            <w:tcW w:w="1417" w:type="dxa"/>
            <w:tcBorders>
              <w:top w:val="nil"/>
              <w:left w:val="nil"/>
              <w:bottom w:val="nil"/>
              <w:right w:val="nil"/>
            </w:tcBorders>
            <w:shd w:val="clear" w:color="auto" w:fill="auto"/>
            <w:noWrap/>
            <w:vAlign w:val="center"/>
            <w:hideMark/>
          </w:tcPr>
          <w:p w14:paraId="379436E0" w14:textId="77777777" w:rsidR="00CE5B1D" w:rsidRPr="00CE5B1D" w:rsidRDefault="00CE5B1D" w:rsidP="009743A8">
            <w:pPr>
              <w:spacing w:line="360" w:lineRule="auto"/>
              <w:jc w:val="center"/>
              <w:rPr>
                <w:lang w:eastAsia="en-US"/>
              </w:rPr>
            </w:pPr>
            <w:r w:rsidRPr="00CE5B1D">
              <w:rPr>
                <w:lang w:val="es-ES" w:eastAsia="en-US"/>
              </w:rPr>
              <w:t>.17***</w:t>
            </w:r>
          </w:p>
        </w:tc>
      </w:tr>
      <w:tr w:rsidR="00CE5B1D" w:rsidRPr="00CE5B1D" w14:paraId="7816BB11" w14:textId="77777777" w:rsidTr="00CE5B1D">
        <w:trPr>
          <w:trHeight w:val="320"/>
        </w:trPr>
        <w:tc>
          <w:tcPr>
            <w:tcW w:w="2835" w:type="dxa"/>
            <w:tcBorders>
              <w:top w:val="nil"/>
              <w:left w:val="nil"/>
              <w:bottom w:val="nil"/>
              <w:right w:val="nil"/>
            </w:tcBorders>
            <w:shd w:val="clear" w:color="auto" w:fill="auto"/>
            <w:noWrap/>
            <w:vAlign w:val="center"/>
            <w:hideMark/>
          </w:tcPr>
          <w:p w14:paraId="37163FE8" w14:textId="77777777" w:rsidR="00CE5B1D" w:rsidRPr="00CE5B1D" w:rsidRDefault="00CE5B1D" w:rsidP="009743A8">
            <w:pPr>
              <w:spacing w:line="360" w:lineRule="auto"/>
              <w:rPr>
                <w:lang w:eastAsia="en-US"/>
              </w:rPr>
            </w:pPr>
            <w:r w:rsidRPr="00CE5B1D">
              <w:rPr>
                <w:lang w:val="es-ES" w:eastAsia="en-US"/>
              </w:rPr>
              <w:t xml:space="preserve">     Ansiedad por salud</w:t>
            </w:r>
          </w:p>
        </w:tc>
        <w:tc>
          <w:tcPr>
            <w:tcW w:w="1134" w:type="dxa"/>
            <w:tcBorders>
              <w:top w:val="nil"/>
              <w:left w:val="nil"/>
              <w:bottom w:val="nil"/>
              <w:right w:val="nil"/>
            </w:tcBorders>
            <w:shd w:val="clear" w:color="auto" w:fill="auto"/>
            <w:noWrap/>
            <w:vAlign w:val="center"/>
            <w:hideMark/>
          </w:tcPr>
          <w:p w14:paraId="6B9E6791" w14:textId="77777777" w:rsidR="00CE5B1D" w:rsidRPr="00CE5B1D" w:rsidRDefault="00CE5B1D" w:rsidP="009743A8">
            <w:pPr>
              <w:spacing w:line="360" w:lineRule="auto"/>
              <w:jc w:val="center"/>
              <w:rPr>
                <w:lang w:eastAsia="en-US"/>
              </w:rPr>
            </w:pPr>
            <w:r w:rsidRPr="00CE5B1D">
              <w:rPr>
                <w:lang w:val="es-ES" w:eastAsia="en-US"/>
              </w:rPr>
              <w:t>0.63</w:t>
            </w:r>
          </w:p>
        </w:tc>
        <w:tc>
          <w:tcPr>
            <w:tcW w:w="1560" w:type="dxa"/>
            <w:tcBorders>
              <w:top w:val="nil"/>
              <w:left w:val="nil"/>
              <w:bottom w:val="nil"/>
              <w:right w:val="nil"/>
            </w:tcBorders>
            <w:shd w:val="clear" w:color="auto" w:fill="auto"/>
            <w:noWrap/>
            <w:vAlign w:val="center"/>
            <w:hideMark/>
          </w:tcPr>
          <w:p w14:paraId="36F82009" w14:textId="77777777" w:rsidR="00CE5B1D" w:rsidRPr="00CE5B1D" w:rsidRDefault="00CE5B1D" w:rsidP="009743A8">
            <w:pPr>
              <w:spacing w:line="360" w:lineRule="auto"/>
              <w:jc w:val="center"/>
              <w:rPr>
                <w:lang w:eastAsia="en-US"/>
              </w:rPr>
            </w:pPr>
            <w:r w:rsidRPr="00CE5B1D">
              <w:rPr>
                <w:lang w:val="es-ES" w:eastAsia="en-US"/>
              </w:rPr>
              <w:t>0.15</w:t>
            </w:r>
          </w:p>
        </w:tc>
        <w:tc>
          <w:tcPr>
            <w:tcW w:w="1559" w:type="dxa"/>
            <w:tcBorders>
              <w:top w:val="nil"/>
              <w:left w:val="nil"/>
              <w:bottom w:val="nil"/>
              <w:right w:val="nil"/>
            </w:tcBorders>
            <w:shd w:val="clear" w:color="auto" w:fill="auto"/>
            <w:noWrap/>
            <w:vAlign w:val="center"/>
            <w:hideMark/>
          </w:tcPr>
          <w:p w14:paraId="67F1C492" w14:textId="77777777" w:rsidR="00CE5B1D" w:rsidRPr="00CE5B1D" w:rsidRDefault="00CE5B1D" w:rsidP="009743A8">
            <w:pPr>
              <w:spacing w:line="360" w:lineRule="auto"/>
              <w:jc w:val="center"/>
              <w:rPr>
                <w:lang w:eastAsia="en-US"/>
              </w:rPr>
            </w:pPr>
            <w:r w:rsidRPr="00CE5B1D">
              <w:rPr>
                <w:lang w:val="es-ES" w:eastAsia="en-US"/>
              </w:rPr>
              <w:t xml:space="preserve"> .42***</w:t>
            </w:r>
          </w:p>
        </w:tc>
        <w:tc>
          <w:tcPr>
            <w:tcW w:w="1417" w:type="dxa"/>
            <w:tcBorders>
              <w:top w:val="nil"/>
              <w:left w:val="nil"/>
              <w:bottom w:val="nil"/>
              <w:right w:val="nil"/>
            </w:tcBorders>
            <w:shd w:val="clear" w:color="auto" w:fill="auto"/>
            <w:noWrap/>
            <w:vAlign w:val="center"/>
            <w:hideMark/>
          </w:tcPr>
          <w:p w14:paraId="410F03EF" w14:textId="77777777" w:rsidR="00CE5B1D" w:rsidRPr="00CE5B1D" w:rsidRDefault="00CE5B1D" w:rsidP="009743A8">
            <w:pPr>
              <w:spacing w:line="360" w:lineRule="auto"/>
              <w:jc w:val="center"/>
              <w:rPr>
                <w:lang w:eastAsia="en-US"/>
              </w:rPr>
            </w:pPr>
          </w:p>
        </w:tc>
      </w:tr>
      <w:tr w:rsidR="00CE5B1D" w:rsidRPr="00CE5B1D" w14:paraId="36DA92DD" w14:textId="77777777" w:rsidTr="00CE5B1D">
        <w:trPr>
          <w:trHeight w:val="320"/>
        </w:trPr>
        <w:tc>
          <w:tcPr>
            <w:tcW w:w="2835" w:type="dxa"/>
            <w:tcBorders>
              <w:top w:val="nil"/>
              <w:left w:val="nil"/>
              <w:bottom w:val="nil"/>
              <w:right w:val="nil"/>
            </w:tcBorders>
            <w:shd w:val="clear" w:color="auto" w:fill="auto"/>
            <w:noWrap/>
            <w:vAlign w:val="center"/>
            <w:hideMark/>
          </w:tcPr>
          <w:p w14:paraId="1B1373D0" w14:textId="77777777" w:rsidR="00CE5B1D" w:rsidRPr="00CE5B1D" w:rsidRDefault="00CE5B1D" w:rsidP="009743A8">
            <w:pPr>
              <w:spacing w:line="360" w:lineRule="auto"/>
              <w:rPr>
                <w:lang w:eastAsia="en-US"/>
              </w:rPr>
            </w:pPr>
            <w:r w:rsidRPr="00CE5B1D">
              <w:rPr>
                <w:lang w:val="es-ES" w:eastAsia="en-US"/>
              </w:rPr>
              <w:t>Modelo 2</w:t>
            </w:r>
          </w:p>
        </w:tc>
        <w:tc>
          <w:tcPr>
            <w:tcW w:w="1134" w:type="dxa"/>
            <w:tcBorders>
              <w:top w:val="nil"/>
              <w:left w:val="nil"/>
              <w:bottom w:val="nil"/>
              <w:right w:val="nil"/>
            </w:tcBorders>
            <w:shd w:val="clear" w:color="auto" w:fill="auto"/>
            <w:noWrap/>
            <w:vAlign w:val="bottom"/>
            <w:hideMark/>
          </w:tcPr>
          <w:p w14:paraId="544EB71F" w14:textId="77777777" w:rsidR="00CE5B1D" w:rsidRPr="00CE5B1D" w:rsidRDefault="00CE5B1D" w:rsidP="009743A8">
            <w:pPr>
              <w:spacing w:line="360" w:lineRule="auto"/>
              <w:rPr>
                <w:lang w:eastAsia="en-US"/>
              </w:rPr>
            </w:pPr>
          </w:p>
        </w:tc>
        <w:tc>
          <w:tcPr>
            <w:tcW w:w="1560" w:type="dxa"/>
            <w:tcBorders>
              <w:top w:val="nil"/>
              <w:left w:val="nil"/>
              <w:bottom w:val="nil"/>
              <w:right w:val="nil"/>
            </w:tcBorders>
            <w:shd w:val="clear" w:color="auto" w:fill="auto"/>
            <w:noWrap/>
            <w:vAlign w:val="bottom"/>
            <w:hideMark/>
          </w:tcPr>
          <w:p w14:paraId="6AD401D1" w14:textId="77777777" w:rsidR="00CE5B1D" w:rsidRPr="00CE5B1D" w:rsidRDefault="00CE5B1D" w:rsidP="009743A8">
            <w:pPr>
              <w:spacing w:line="360" w:lineRule="auto"/>
              <w:rPr>
                <w:lang w:eastAsia="en-US"/>
              </w:rPr>
            </w:pPr>
          </w:p>
        </w:tc>
        <w:tc>
          <w:tcPr>
            <w:tcW w:w="1559" w:type="dxa"/>
            <w:tcBorders>
              <w:top w:val="nil"/>
              <w:left w:val="nil"/>
              <w:bottom w:val="nil"/>
              <w:right w:val="nil"/>
            </w:tcBorders>
            <w:shd w:val="clear" w:color="auto" w:fill="auto"/>
            <w:noWrap/>
            <w:vAlign w:val="bottom"/>
            <w:hideMark/>
          </w:tcPr>
          <w:p w14:paraId="62569BCB" w14:textId="77777777" w:rsidR="00CE5B1D" w:rsidRPr="00CE5B1D" w:rsidRDefault="00CE5B1D" w:rsidP="009743A8">
            <w:pPr>
              <w:spacing w:line="360" w:lineRule="auto"/>
              <w:rPr>
                <w:lang w:eastAsia="en-US"/>
              </w:rPr>
            </w:pPr>
          </w:p>
        </w:tc>
        <w:tc>
          <w:tcPr>
            <w:tcW w:w="1417" w:type="dxa"/>
            <w:tcBorders>
              <w:top w:val="nil"/>
              <w:left w:val="nil"/>
              <w:bottom w:val="nil"/>
              <w:right w:val="nil"/>
            </w:tcBorders>
            <w:shd w:val="clear" w:color="auto" w:fill="auto"/>
            <w:noWrap/>
            <w:vAlign w:val="center"/>
            <w:hideMark/>
          </w:tcPr>
          <w:p w14:paraId="2FA3B81A" w14:textId="77777777" w:rsidR="00CE5B1D" w:rsidRPr="00CE5B1D" w:rsidRDefault="00CE5B1D" w:rsidP="009743A8">
            <w:pPr>
              <w:spacing w:line="360" w:lineRule="auto"/>
              <w:jc w:val="center"/>
              <w:rPr>
                <w:lang w:eastAsia="en-US"/>
              </w:rPr>
            </w:pPr>
            <w:r w:rsidRPr="00CE5B1D">
              <w:rPr>
                <w:lang w:val="es-ES" w:eastAsia="en-US"/>
              </w:rPr>
              <w:t>.25***</w:t>
            </w:r>
          </w:p>
        </w:tc>
      </w:tr>
      <w:tr w:rsidR="00CE5B1D" w:rsidRPr="00CE5B1D" w14:paraId="0FD475AC" w14:textId="77777777" w:rsidTr="00CE5B1D">
        <w:trPr>
          <w:trHeight w:val="320"/>
        </w:trPr>
        <w:tc>
          <w:tcPr>
            <w:tcW w:w="2835" w:type="dxa"/>
            <w:tcBorders>
              <w:top w:val="nil"/>
              <w:left w:val="nil"/>
              <w:bottom w:val="nil"/>
              <w:right w:val="nil"/>
            </w:tcBorders>
            <w:shd w:val="clear" w:color="auto" w:fill="auto"/>
            <w:noWrap/>
            <w:vAlign w:val="center"/>
            <w:hideMark/>
          </w:tcPr>
          <w:p w14:paraId="7A4104D2" w14:textId="77777777" w:rsidR="00CE5B1D" w:rsidRPr="00CE5B1D" w:rsidRDefault="00CE5B1D" w:rsidP="009743A8">
            <w:pPr>
              <w:spacing w:line="360" w:lineRule="auto"/>
              <w:rPr>
                <w:lang w:eastAsia="en-US"/>
              </w:rPr>
            </w:pPr>
            <w:r w:rsidRPr="00CE5B1D">
              <w:rPr>
                <w:lang w:val="es-ES" w:eastAsia="en-US"/>
              </w:rPr>
              <w:t xml:space="preserve">     Ansiedad por salud</w:t>
            </w:r>
          </w:p>
        </w:tc>
        <w:tc>
          <w:tcPr>
            <w:tcW w:w="1134" w:type="dxa"/>
            <w:tcBorders>
              <w:top w:val="nil"/>
              <w:left w:val="nil"/>
              <w:bottom w:val="nil"/>
              <w:right w:val="nil"/>
            </w:tcBorders>
            <w:shd w:val="clear" w:color="auto" w:fill="auto"/>
            <w:noWrap/>
            <w:vAlign w:val="center"/>
            <w:hideMark/>
          </w:tcPr>
          <w:p w14:paraId="2B62D2A5" w14:textId="77777777" w:rsidR="00CE5B1D" w:rsidRPr="00CE5B1D" w:rsidRDefault="00CE5B1D" w:rsidP="009743A8">
            <w:pPr>
              <w:spacing w:line="360" w:lineRule="auto"/>
              <w:jc w:val="center"/>
              <w:rPr>
                <w:lang w:eastAsia="en-US"/>
              </w:rPr>
            </w:pPr>
            <w:r w:rsidRPr="00CE5B1D">
              <w:rPr>
                <w:lang w:val="es-ES" w:eastAsia="en-US"/>
              </w:rPr>
              <w:t>0.57</w:t>
            </w:r>
          </w:p>
        </w:tc>
        <w:tc>
          <w:tcPr>
            <w:tcW w:w="1560" w:type="dxa"/>
            <w:tcBorders>
              <w:top w:val="nil"/>
              <w:left w:val="nil"/>
              <w:bottom w:val="nil"/>
              <w:right w:val="nil"/>
            </w:tcBorders>
            <w:shd w:val="clear" w:color="auto" w:fill="auto"/>
            <w:noWrap/>
            <w:vAlign w:val="center"/>
            <w:hideMark/>
          </w:tcPr>
          <w:p w14:paraId="0937BC37" w14:textId="77777777" w:rsidR="00CE5B1D" w:rsidRPr="00CE5B1D" w:rsidRDefault="00CE5B1D" w:rsidP="009743A8">
            <w:pPr>
              <w:spacing w:line="360" w:lineRule="auto"/>
              <w:jc w:val="center"/>
              <w:rPr>
                <w:lang w:eastAsia="en-US"/>
              </w:rPr>
            </w:pPr>
            <w:r w:rsidRPr="00CE5B1D">
              <w:rPr>
                <w:lang w:val="es-ES" w:eastAsia="en-US"/>
              </w:rPr>
              <w:t>0.14</w:t>
            </w:r>
          </w:p>
        </w:tc>
        <w:tc>
          <w:tcPr>
            <w:tcW w:w="1559" w:type="dxa"/>
            <w:tcBorders>
              <w:top w:val="nil"/>
              <w:left w:val="nil"/>
              <w:bottom w:val="nil"/>
              <w:right w:val="nil"/>
            </w:tcBorders>
            <w:shd w:val="clear" w:color="auto" w:fill="auto"/>
            <w:noWrap/>
            <w:vAlign w:val="center"/>
            <w:hideMark/>
          </w:tcPr>
          <w:p w14:paraId="3A3C4D44" w14:textId="77777777" w:rsidR="00CE5B1D" w:rsidRPr="00CE5B1D" w:rsidRDefault="00CE5B1D" w:rsidP="009743A8">
            <w:pPr>
              <w:spacing w:line="360" w:lineRule="auto"/>
              <w:jc w:val="center"/>
              <w:rPr>
                <w:lang w:eastAsia="en-US"/>
              </w:rPr>
            </w:pPr>
            <w:r w:rsidRPr="00CE5B1D">
              <w:rPr>
                <w:lang w:val="es-ES" w:eastAsia="en-US"/>
              </w:rPr>
              <w:t xml:space="preserve"> .38***</w:t>
            </w:r>
          </w:p>
        </w:tc>
        <w:tc>
          <w:tcPr>
            <w:tcW w:w="1417" w:type="dxa"/>
            <w:tcBorders>
              <w:top w:val="nil"/>
              <w:left w:val="nil"/>
              <w:bottom w:val="nil"/>
              <w:right w:val="nil"/>
            </w:tcBorders>
            <w:shd w:val="clear" w:color="auto" w:fill="auto"/>
            <w:noWrap/>
            <w:vAlign w:val="center"/>
            <w:hideMark/>
          </w:tcPr>
          <w:p w14:paraId="366D07E4" w14:textId="77777777" w:rsidR="00CE5B1D" w:rsidRPr="00CE5B1D" w:rsidRDefault="00CE5B1D" w:rsidP="009743A8">
            <w:pPr>
              <w:spacing w:line="360" w:lineRule="auto"/>
              <w:jc w:val="center"/>
              <w:rPr>
                <w:lang w:eastAsia="en-US"/>
              </w:rPr>
            </w:pPr>
          </w:p>
        </w:tc>
      </w:tr>
      <w:tr w:rsidR="00CE5B1D" w:rsidRPr="00CE5B1D" w14:paraId="7F068A58" w14:textId="77777777" w:rsidTr="00CE5B1D">
        <w:trPr>
          <w:trHeight w:val="340"/>
        </w:trPr>
        <w:tc>
          <w:tcPr>
            <w:tcW w:w="2835" w:type="dxa"/>
            <w:tcBorders>
              <w:top w:val="nil"/>
              <w:left w:val="nil"/>
              <w:bottom w:val="single" w:sz="8" w:space="0" w:color="auto"/>
              <w:right w:val="nil"/>
            </w:tcBorders>
            <w:shd w:val="clear" w:color="auto" w:fill="auto"/>
            <w:noWrap/>
            <w:vAlign w:val="center"/>
            <w:hideMark/>
          </w:tcPr>
          <w:p w14:paraId="64B2F1AB" w14:textId="77777777" w:rsidR="00CE5B1D" w:rsidRPr="00CE5B1D" w:rsidRDefault="00CE5B1D" w:rsidP="009743A8">
            <w:pPr>
              <w:spacing w:line="360" w:lineRule="auto"/>
              <w:rPr>
                <w:lang w:eastAsia="en-US"/>
              </w:rPr>
            </w:pPr>
            <w:r w:rsidRPr="00CE5B1D">
              <w:rPr>
                <w:lang w:val="es-ES" w:eastAsia="en-US"/>
              </w:rPr>
              <w:t xml:space="preserve">     Ansiedad rasgo</w:t>
            </w:r>
          </w:p>
        </w:tc>
        <w:tc>
          <w:tcPr>
            <w:tcW w:w="1134" w:type="dxa"/>
            <w:tcBorders>
              <w:top w:val="nil"/>
              <w:left w:val="nil"/>
              <w:bottom w:val="single" w:sz="8" w:space="0" w:color="auto"/>
              <w:right w:val="nil"/>
            </w:tcBorders>
            <w:shd w:val="clear" w:color="auto" w:fill="auto"/>
            <w:noWrap/>
            <w:vAlign w:val="center"/>
            <w:hideMark/>
          </w:tcPr>
          <w:p w14:paraId="3FEE1113" w14:textId="77777777" w:rsidR="00CE5B1D" w:rsidRPr="00CE5B1D" w:rsidRDefault="00CE5B1D" w:rsidP="009743A8">
            <w:pPr>
              <w:spacing w:line="360" w:lineRule="auto"/>
              <w:jc w:val="center"/>
              <w:rPr>
                <w:lang w:eastAsia="en-US"/>
              </w:rPr>
            </w:pPr>
            <w:r w:rsidRPr="00CE5B1D">
              <w:rPr>
                <w:lang w:val="es-ES" w:eastAsia="en-US"/>
              </w:rPr>
              <w:t>0.18</w:t>
            </w:r>
          </w:p>
        </w:tc>
        <w:tc>
          <w:tcPr>
            <w:tcW w:w="1560" w:type="dxa"/>
            <w:tcBorders>
              <w:top w:val="nil"/>
              <w:left w:val="nil"/>
              <w:bottom w:val="single" w:sz="8" w:space="0" w:color="auto"/>
              <w:right w:val="nil"/>
            </w:tcBorders>
            <w:shd w:val="clear" w:color="auto" w:fill="auto"/>
            <w:noWrap/>
            <w:vAlign w:val="center"/>
            <w:hideMark/>
          </w:tcPr>
          <w:p w14:paraId="2B11EB95" w14:textId="77777777" w:rsidR="00CE5B1D" w:rsidRPr="00CE5B1D" w:rsidRDefault="00CE5B1D" w:rsidP="009743A8">
            <w:pPr>
              <w:spacing w:line="360" w:lineRule="auto"/>
              <w:jc w:val="center"/>
              <w:rPr>
                <w:lang w:eastAsia="en-US"/>
              </w:rPr>
            </w:pPr>
            <w:r w:rsidRPr="00CE5B1D">
              <w:rPr>
                <w:lang w:val="es-ES" w:eastAsia="en-US"/>
              </w:rPr>
              <w:t>0.06</w:t>
            </w:r>
          </w:p>
        </w:tc>
        <w:tc>
          <w:tcPr>
            <w:tcW w:w="1559" w:type="dxa"/>
            <w:tcBorders>
              <w:top w:val="nil"/>
              <w:left w:val="nil"/>
              <w:bottom w:val="single" w:sz="8" w:space="0" w:color="auto"/>
              <w:right w:val="nil"/>
            </w:tcBorders>
            <w:shd w:val="clear" w:color="auto" w:fill="auto"/>
            <w:noWrap/>
            <w:vAlign w:val="center"/>
            <w:hideMark/>
          </w:tcPr>
          <w:p w14:paraId="69877942" w14:textId="77777777" w:rsidR="00CE5B1D" w:rsidRPr="00CE5B1D" w:rsidRDefault="00CE5B1D" w:rsidP="009743A8">
            <w:pPr>
              <w:spacing w:line="360" w:lineRule="auto"/>
              <w:jc w:val="center"/>
              <w:rPr>
                <w:lang w:eastAsia="en-US"/>
              </w:rPr>
            </w:pPr>
            <w:r w:rsidRPr="00CE5B1D">
              <w:rPr>
                <w:lang w:val="es-ES" w:eastAsia="en-US"/>
              </w:rPr>
              <w:t xml:space="preserve"> .28**</w:t>
            </w:r>
          </w:p>
        </w:tc>
        <w:tc>
          <w:tcPr>
            <w:tcW w:w="1417" w:type="dxa"/>
            <w:tcBorders>
              <w:top w:val="nil"/>
              <w:left w:val="nil"/>
              <w:bottom w:val="single" w:sz="8" w:space="0" w:color="auto"/>
              <w:right w:val="nil"/>
            </w:tcBorders>
            <w:shd w:val="clear" w:color="auto" w:fill="auto"/>
            <w:noWrap/>
            <w:vAlign w:val="center"/>
            <w:hideMark/>
          </w:tcPr>
          <w:p w14:paraId="0D43D9C8" w14:textId="77777777" w:rsidR="00CE5B1D" w:rsidRPr="00CE5B1D" w:rsidRDefault="00CE5B1D" w:rsidP="009743A8">
            <w:pPr>
              <w:spacing w:line="360" w:lineRule="auto"/>
              <w:jc w:val="center"/>
              <w:rPr>
                <w:lang w:eastAsia="en-US"/>
              </w:rPr>
            </w:pPr>
            <w:r w:rsidRPr="00CE5B1D">
              <w:rPr>
                <w:lang w:val="es-ES" w:eastAsia="en-US"/>
              </w:rPr>
              <w:t> </w:t>
            </w:r>
          </w:p>
        </w:tc>
      </w:tr>
    </w:tbl>
    <w:p w14:paraId="3FEEE1F4" w14:textId="18F25973" w:rsidR="00CE5B1D" w:rsidRDefault="00CE5B1D" w:rsidP="00CE5B1D">
      <w:pPr>
        <w:spacing w:line="360" w:lineRule="auto"/>
        <w:ind w:right="-1"/>
        <w:jc w:val="both"/>
        <w:rPr>
          <w:lang w:val="es-DO" w:eastAsia="zh-CN"/>
        </w:rPr>
      </w:pPr>
      <w:r w:rsidRPr="00CE5B1D">
        <w:rPr>
          <w:i/>
          <w:iCs/>
          <w:lang w:val="es-DO" w:eastAsia="zh-CN"/>
        </w:rPr>
        <w:t>Nota</w:t>
      </w:r>
      <w:r w:rsidR="00380346">
        <w:rPr>
          <w:i/>
          <w:iCs/>
          <w:lang w:val="es-DO" w:eastAsia="zh-CN"/>
        </w:rPr>
        <w:t>.</w:t>
      </w:r>
      <w:r w:rsidRPr="00CE5B1D">
        <w:rPr>
          <w:lang w:val="es-DO" w:eastAsia="zh-CN"/>
        </w:rPr>
        <w:t xml:space="preserve"> Método </w:t>
      </w:r>
      <w:r w:rsidRPr="00CE5B1D">
        <w:rPr>
          <w:i/>
          <w:iCs/>
          <w:lang w:val="es-DO" w:eastAsia="zh-CN"/>
        </w:rPr>
        <w:t>forward</w:t>
      </w:r>
      <w:r w:rsidRPr="00CE5B1D">
        <w:rPr>
          <w:lang w:val="es-DO" w:eastAsia="zh-CN"/>
        </w:rPr>
        <w:t xml:space="preserve"> </w:t>
      </w:r>
      <w:r>
        <w:rPr>
          <w:lang w:val="es-DO" w:eastAsia="zh-CN"/>
        </w:rPr>
        <w:t xml:space="preserve">de selección de predictores. El </w:t>
      </w:r>
      <w:r w:rsidRPr="00CE5B1D">
        <w:rPr>
          <w:lang w:val="es-DO" w:eastAsia="zh-CN"/>
        </w:rPr>
        <w:t>rimer modelo excluyó las variables de ansiedad rasgo y ansiedad estado. El segundo modelo excluyó ansiedad estado.</w:t>
      </w:r>
      <w:r>
        <w:rPr>
          <w:lang w:val="es-DO" w:eastAsia="zh-CN"/>
        </w:rPr>
        <w:t xml:space="preserve"> </w:t>
      </w:r>
    </w:p>
    <w:p w14:paraId="5D78EB32" w14:textId="48FA2875" w:rsidR="00CE5B1D" w:rsidRPr="00CE5B1D" w:rsidRDefault="00CE5B1D" w:rsidP="00CE5B1D">
      <w:pPr>
        <w:spacing w:line="360" w:lineRule="auto"/>
        <w:ind w:right="-1"/>
        <w:jc w:val="both"/>
        <w:rPr>
          <w:lang w:val="es-DO" w:eastAsia="zh-CN"/>
        </w:rPr>
      </w:pPr>
      <w:r w:rsidRPr="00CE5B1D">
        <w:rPr>
          <w:lang w:val="es-DO" w:eastAsia="zh-CN"/>
        </w:rPr>
        <w:t xml:space="preserve">* </w:t>
      </w:r>
      <w:r w:rsidRPr="00CE5B1D">
        <w:rPr>
          <w:i/>
          <w:lang w:val="es-DO" w:eastAsia="zh-CN"/>
        </w:rPr>
        <w:t xml:space="preserve">p </w:t>
      </w:r>
      <w:r w:rsidRPr="00CE5B1D">
        <w:rPr>
          <w:lang w:val="es-DO" w:eastAsia="zh-CN"/>
        </w:rPr>
        <w:t xml:space="preserve">&lt; .05. ** </w:t>
      </w:r>
      <w:r w:rsidRPr="00CE5B1D">
        <w:rPr>
          <w:i/>
          <w:lang w:val="es-DO" w:eastAsia="zh-CN"/>
        </w:rPr>
        <w:t>p</w:t>
      </w:r>
      <w:r w:rsidRPr="00CE5B1D">
        <w:rPr>
          <w:lang w:val="es-DO" w:eastAsia="zh-CN"/>
        </w:rPr>
        <w:t xml:space="preserve"> &lt; .01. ***</w:t>
      </w:r>
      <w:r w:rsidRPr="00CE5B1D">
        <w:rPr>
          <w:i/>
          <w:lang w:val="es-DO" w:eastAsia="zh-CN"/>
        </w:rPr>
        <w:t xml:space="preserve"> p</w:t>
      </w:r>
      <w:r w:rsidRPr="00CE5B1D">
        <w:rPr>
          <w:i/>
          <w:iCs/>
          <w:lang w:val="es-DO" w:eastAsia="zh-CN"/>
        </w:rPr>
        <w:t xml:space="preserve"> </w:t>
      </w:r>
      <w:r w:rsidRPr="00CE5B1D">
        <w:rPr>
          <w:lang w:val="es-DO" w:eastAsia="zh-CN"/>
        </w:rPr>
        <w:t>&lt;.001.</w:t>
      </w:r>
    </w:p>
    <w:p w14:paraId="15943D5E" w14:textId="2AD0DE3F" w:rsidR="00EC31A6" w:rsidRPr="00EC31A6" w:rsidRDefault="00EC31A6" w:rsidP="00EC31A6">
      <w:pPr>
        <w:pStyle w:val="Prrafocomn"/>
        <w:rPr>
          <w:bCs/>
          <w:lang w:val="es-DO"/>
        </w:rPr>
      </w:pPr>
      <w:r w:rsidRPr="00EC31A6">
        <w:rPr>
          <w:bCs/>
          <w:lang w:val="es-DO"/>
        </w:rPr>
        <w:t xml:space="preserve">Para contestar la segunda pregunta de investigación, se realizaron pruebas t de Student en cada variable, contrastando el grupo de personas que identificó que estaba en riesgo de complicaciones por COVID-19 y el grupo de personas que no se identificó en riesgo. </w:t>
      </w:r>
    </w:p>
    <w:p w14:paraId="73030E32" w14:textId="77777777" w:rsidR="00EC31A6" w:rsidRPr="00EC31A6" w:rsidRDefault="00EC31A6" w:rsidP="00EC31A6">
      <w:pPr>
        <w:pStyle w:val="Prrafocomn"/>
        <w:rPr>
          <w:bCs/>
          <w:lang w:val="es-DO"/>
        </w:rPr>
      </w:pPr>
      <w:r w:rsidRPr="00EC31A6">
        <w:rPr>
          <w:bCs/>
          <w:lang w:val="es-DO"/>
        </w:rPr>
        <w:t>En relación a la cibercondría, los participantes que se percibían en riesgo de complicaciones por COVID-19 obtuvieron puntuaciones significativamente mayores a las de los participantes que no se percibían en riesgo en la subescala de solicitud de ayuda luego de buscar información sobre salud en internet (</w:t>
      </w:r>
      <w:r w:rsidRPr="00EC31A6">
        <w:rPr>
          <w:bCs/>
          <w:i/>
          <w:lang w:val="es-DO"/>
        </w:rPr>
        <w:t>t</w:t>
      </w:r>
      <w:r w:rsidRPr="00EC31A6">
        <w:rPr>
          <w:bCs/>
          <w:lang w:val="es-DO"/>
        </w:rPr>
        <w:t xml:space="preserve">(85) = -2.36, </w:t>
      </w:r>
      <w:r w:rsidRPr="00EC31A6">
        <w:rPr>
          <w:bCs/>
          <w:i/>
          <w:lang w:val="es-DO"/>
        </w:rPr>
        <w:t>p</w:t>
      </w:r>
      <w:r w:rsidRPr="00EC31A6">
        <w:rPr>
          <w:bCs/>
          <w:lang w:val="es-DO"/>
        </w:rPr>
        <w:t xml:space="preserve"> = .021), pero no para el resto de las subescalas de cibercondría. </w:t>
      </w:r>
    </w:p>
    <w:p w14:paraId="57448634" w14:textId="77777777" w:rsidR="00EC31A6" w:rsidRPr="00EC31A6" w:rsidRDefault="00EC31A6" w:rsidP="00EC31A6">
      <w:pPr>
        <w:pStyle w:val="Prrafocomn"/>
        <w:rPr>
          <w:bCs/>
          <w:lang w:val="es-DO"/>
        </w:rPr>
      </w:pPr>
      <w:r w:rsidRPr="00EC31A6">
        <w:rPr>
          <w:bCs/>
          <w:lang w:val="es-DO"/>
        </w:rPr>
        <w:t>Las personas en riesgo obtuvieron puntuaciones marginalmente más altas que las personas que no estaban en riesgo en la puntuación total de ansiedad por salud (</w:t>
      </w:r>
      <w:r w:rsidRPr="00EC31A6">
        <w:rPr>
          <w:bCs/>
          <w:i/>
          <w:lang w:val="es-DO"/>
        </w:rPr>
        <w:t>t</w:t>
      </w:r>
      <w:r w:rsidRPr="00EC31A6">
        <w:rPr>
          <w:bCs/>
          <w:lang w:val="es-DO"/>
        </w:rPr>
        <w:t xml:space="preserve">(85) = -1.98, </w:t>
      </w:r>
      <w:r w:rsidRPr="00EC31A6">
        <w:rPr>
          <w:bCs/>
          <w:i/>
          <w:lang w:val="es-DO"/>
        </w:rPr>
        <w:t>p</w:t>
      </w:r>
      <w:r w:rsidRPr="00EC31A6">
        <w:rPr>
          <w:bCs/>
          <w:lang w:val="es-DO"/>
        </w:rPr>
        <w:t xml:space="preserve"> = .051). </w:t>
      </w:r>
    </w:p>
    <w:p w14:paraId="7ADD6469" w14:textId="77777777" w:rsidR="00EC31A6" w:rsidRPr="00EC31A6" w:rsidRDefault="00EC31A6" w:rsidP="00EC31A6">
      <w:pPr>
        <w:pStyle w:val="Prrafocomn"/>
        <w:rPr>
          <w:bCs/>
          <w:lang w:val="es-DO"/>
        </w:rPr>
      </w:pPr>
      <w:r w:rsidRPr="00EC31A6">
        <w:rPr>
          <w:bCs/>
          <w:lang w:val="es-DO"/>
        </w:rPr>
        <w:t xml:space="preserve">No hubo diferencias significativas en ansiedad estado y ansiedad rasgo cuando comparamos los participantes percibidos en riesgo vs. los participantes que no se identificaban en riesgo (Ver la Tabla 4 para las estadísticas descriptivas e inferenciales). </w:t>
      </w:r>
    </w:p>
    <w:p w14:paraId="61F0BA5B" w14:textId="04FD4905" w:rsidR="00457107" w:rsidRPr="002275FC" w:rsidRDefault="00457107" w:rsidP="00457107">
      <w:pPr>
        <w:spacing w:line="360" w:lineRule="auto"/>
        <w:rPr>
          <w:b/>
          <w:bCs/>
          <w:iCs/>
          <w:lang w:val="es-ES" w:eastAsia="zh-CN"/>
        </w:rPr>
      </w:pPr>
      <w:r w:rsidRPr="002275FC">
        <w:rPr>
          <w:b/>
          <w:bCs/>
          <w:iCs/>
          <w:lang w:val="es-ES" w:eastAsia="zh-CN"/>
        </w:rPr>
        <w:lastRenderedPageBreak/>
        <w:t>Tabla 4</w:t>
      </w:r>
    </w:p>
    <w:p w14:paraId="6B2A1EB5" w14:textId="6038A2A0" w:rsidR="00457107" w:rsidRPr="002275FC" w:rsidRDefault="00457107" w:rsidP="00457107">
      <w:pPr>
        <w:spacing w:line="360" w:lineRule="auto"/>
        <w:rPr>
          <w:i/>
          <w:iCs/>
          <w:lang w:val="es-ES" w:eastAsia="zh-CN"/>
        </w:rPr>
      </w:pPr>
      <w:r w:rsidRPr="002275FC">
        <w:rPr>
          <w:i/>
          <w:iCs/>
          <w:lang w:val="es-ES" w:eastAsia="zh-CN"/>
        </w:rPr>
        <w:t>Resultados de la Prueba t de Ansiedad por Salud, Cibercondría, Ansiedad Estado y Rasgo según Riesgo</w:t>
      </w:r>
    </w:p>
    <w:tbl>
      <w:tblPr>
        <w:tblStyle w:val="Tablaconcuadrcula"/>
        <w:tblW w:w="8571" w:type="dxa"/>
        <w:tblLook w:val="04A0" w:firstRow="1" w:lastRow="0" w:firstColumn="1" w:lastColumn="0" w:noHBand="0" w:noVBand="1"/>
      </w:tblPr>
      <w:tblGrid>
        <w:gridCol w:w="3681"/>
        <w:gridCol w:w="1026"/>
        <w:gridCol w:w="756"/>
        <w:gridCol w:w="756"/>
        <w:gridCol w:w="798"/>
        <w:gridCol w:w="847"/>
        <w:gridCol w:w="707"/>
      </w:tblGrid>
      <w:tr w:rsidR="00183417" w:rsidRPr="002275FC" w14:paraId="145345BE" w14:textId="77777777" w:rsidTr="002275FC">
        <w:tc>
          <w:tcPr>
            <w:tcW w:w="3681" w:type="dxa"/>
            <w:tcBorders>
              <w:left w:val="nil"/>
              <w:bottom w:val="nil"/>
              <w:right w:val="nil"/>
            </w:tcBorders>
          </w:tcPr>
          <w:p w14:paraId="13D6C5ED" w14:textId="77777777" w:rsidR="00183417" w:rsidRPr="002275FC" w:rsidRDefault="00183417" w:rsidP="00183417">
            <w:pPr>
              <w:spacing w:line="360" w:lineRule="auto"/>
              <w:rPr>
                <w:i/>
                <w:iCs/>
                <w:sz w:val="24"/>
                <w:szCs w:val="24"/>
                <w:lang w:val="es-ES" w:eastAsia="zh-CN"/>
              </w:rPr>
            </w:pPr>
          </w:p>
        </w:tc>
        <w:tc>
          <w:tcPr>
            <w:tcW w:w="1782" w:type="dxa"/>
            <w:gridSpan w:val="2"/>
            <w:tcBorders>
              <w:left w:val="nil"/>
              <w:bottom w:val="nil"/>
              <w:right w:val="nil"/>
            </w:tcBorders>
            <w:vAlign w:val="center"/>
          </w:tcPr>
          <w:p w14:paraId="45E1D309" w14:textId="0DBF9C2A" w:rsidR="00183417" w:rsidRPr="002275FC" w:rsidRDefault="00183417" w:rsidP="002275FC">
            <w:pPr>
              <w:spacing w:line="360" w:lineRule="auto"/>
              <w:jc w:val="center"/>
              <w:rPr>
                <w:b/>
                <w:iCs/>
                <w:sz w:val="24"/>
                <w:szCs w:val="24"/>
                <w:lang w:val="es-ES" w:eastAsia="zh-CN"/>
              </w:rPr>
            </w:pPr>
            <w:r w:rsidRPr="002275FC">
              <w:rPr>
                <w:b/>
                <w:sz w:val="24"/>
                <w:szCs w:val="24"/>
                <w:lang w:val="es-ES" w:eastAsia="en-US"/>
              </w:rPr>
              <w:t>No riesgo</w:t>
            </w:r>
          </w:p>
        </w:tc>
        <w:tc>
          <w:tcPr>
            <w:tcW w:w="1554" w:type="dxa"/>
            <w:gridSpan w:val="2"/>
            <w:tcBorders>
              <w:left w:val="nil"/>
              <w:bottom w:val="nil"/>
              <w:right w:val="nil"/>
            </w:tcBorders>
            <w:vAlign w:val="center"/>
          </w:tcPr>
          <w:p w14:paraId="0D6B86A9" w14:textId="58D36F77" w:rsidR="00183417" w:rsidRPr="002275FC" w:rsidRDefault="00183417" w:rsidP="002275FC">
            <w:pPr>
              <w:spacing w:line="360" w:lineRule="auto"/>
              <w:jc w:val="center"/>
              <w:rPr>
                <w:b/>
                <w:iCs/>
                <w:sz w:val="24"/>
                <w:szCs w:val="24"/>
                <w:lang w:val="es-ES" w:eastAsia="zh-CN"/>
              </w:rPr>
            </w:pPr>
            <w:r w:rsidRPr="002275FC">
              <w:rPr>
                <w:b/>
                <w:sz w:val="24"/>
                <w:szCs w:val="24"/>
                <w:lang w:val="es-ES" w:eastAsia="en-US"/>
              </w:rPr>
              <w:t>Riesgo</w:t>
            </w:r>
          </w:p>
        </w:tc>
        <w:tc>
          <w:tcPr>
            <w:tcW w:w="847" w:type="dxa"/>
            <w:tcBorders>
              <w:left w:val="nil"/>
              <w:bottom w:val="nil"/>
              <w:right w:val="nil"/>
            </w:tcBorders>
            <w:vAlign w:val="center"/>
          </w:tcPr>
          <w:p w14:paraId="7119B312" w14:textId="7C46AE8F" w:rsidR="00183417" w:rsidRPr="002275FC" w:rsidRDefault="00183417" w:rsidP="002275FC">
            <w:pPr>
              <w:spacing w:line="360" w:lineRule="auto"/>
              <w:jc w:val="center"/>
              <w:rPr>
                <w:b/>
                <w:iCs/>
                <w:sz w:val="24"/>
                <w:szCs w:val="24"/>
                <w:lang w:val="es-ES" w:eastAsia="zh-CN"/>
              </w:rPr>
            </w:pPr>
          </w:p>
        </w:tc>
        <w:tc>
          <w:tcPr>
            <w:tcW w:w="707" w:type="dxa"/>
            <w:tcBorders>
              <w:left w:val="nil"/>
              <w:bottom w:val="nil"/>
              <w:right w:val="nil"/>
            </w:tcBorders>
            <w:vAlign w:val="center"/>
          </w:tcPr>
          <w:p w14:paraId="01F7A3CB" w14:textId="77777777" w:rsidR="00183417" w:rsidRPr="002275FC" w:rsidRDefault="00183417" w:rsidP="002275FC">
            <w:pPr>
              <w:spacing w:line="360" w:lineRule="auto"/>
              <w:jc w:val="center"/>
              <w:rPr>
                <w:b/>
                <w:iCs/>
                <w:sz w:val="24"/>
                <w:szCs w:val="24"/>
                <w:lang w:val="es-ES" w:eastAsia="zh-CN"/>
              </w:rPr>
            </w:pPr>
          </w:p>
        </w:tc>
      </w:tr>
      <w:tr w:rsidR="00183417" w:rsidRPr="002275FC" w14:paraId="18B2E18A" w14:textId="77777777" w:rsidTr="002275FC">
        <w:tc>
          <w:tcPr>
            <w:tcW w:w="3681" w:type="dxa"/>
            <w:tcBorders>
              <w:top w:val="nil"/>
              <w:left w:val="nil"/>
              <w:bottom w:val="nil"/>
              <w:right w:val="nil"/>
            </w:tcBorders>
          </w:tcPr>
          <w:p w14:paraId="59A736D5" w14:textId="77777777" w:rsidR="00183417" w:rsidRPr="002275FC" w:rsidRDefault="00183417" w:rsidP="00183417">
            <w:pPr>
              <w:spacing w:line="360" w:lineRule="auto"/>
              <w:rPr>
                <w:i/>
                <w:iCs/>
                <w:sz w:val="24"/>
                <w:szCs w:val="24"/>
                <w:lang w:val="es-ES" w:eastAsia="zh-CN"/>
              </w:rPr>
            </w:pPr>
          </w:p>
        </w:tc>
        <w:tc>
          <w:tcPr>
            <w:tcW w:w="1782" w:type="dxa"/>
            <w:gridSpan w:val="2"/>
            <w:tcBorders>
              <w:top w:val="nil"/>
              <w:left w:val="nil"/>
              <w:bottom w:val="nil"/>
              <w:right w:val="nil"/>
            </w:tcBorders>
            <w:vAlign w:val="center"/>
          </w:tcPr>
          <w:p w14:paraId="4202FE67" w14:textId="4383645C" w:rsidR="00183417" w:rsidRPr="002275FC" w:rsidRDefault="00183417" w:rsidP="002275FC">
            <w:pPr>
              <w:spacing w:line="360" w:lineRule="auto"/>
              <w:jc w:val="center"/>
              <w:rPr>
                <w:b/>
                <w:iCs/>
                <w:sz w:val="24"/>
                <w:szCs w:val="24"/>
                <w:lang w:val="es-ES" w:eastAsia="zh-CN"/>
              </w:rPr>
            </w:pPr>
            <w:r w:rsidRPr="002275FC">
              <w:rPr>
                <w:b/>
                <w:sz w:val="24"/>
                <w:szCs w:val="24"/>
                <w:lang w:val="es-ES" w:eastAsia="en-US"/>
              </w:rPr>
              <w:t>(n = 68)</w:t>
            </w:r>
          </w:p>
        </w:tc>
        <w:tc>
          <w:tcPr>
            <w:tcW w:w="1554" w:type="dxa"/>
            <w:gridSpan w:val="2"/>
            <w:tcBorders>
              <w:top w:val="nil"/>
              <w:left w:val="nil"/>
              <w:bottom w:val="nil"/>
              <w:right w:val="nil"/>
            </w:tcBorders>
            <w:vAlign w:val="center"/>
          </w:tcPr>
          <w:p w14:paraId="3238327A" w14:textId="42681926" w:rsidR="00183417" w:rsidRPr="002275FC" w:rsidRDefault="00183417" w:rsidP="002275FC">
            <w:pPr>
              <w:spacing w:line="360" w:lineRule="auto"/>
              <w:jc w:val="center"/>
              <w:rPr>
                <w:b/>
                <w:iCs/>
                <w:sz w:val="24"/>
                <w:szCs w:val="24"/>
                <w:lang w:val="es-ES" w:eastAsia="zh-CN"/>
              </w:rPr>
            </w:pPr>
            <w:r w:rsidRPr="002275FC">
              <w:rPr>
                <w:b/>
                <w:sz w:val="24"/>
                <w:szCs w:val="24"/>
                <w:lang w:val="es-ES" w:eastAsia="en-US"/>
              </w:rPr>
              <w:t>(n = 19)</w:t>
            </w:r>
          </w:p>
        </w:tc>
        <w:tc>
          <w:tcPr>
            <w:tcW w:w="847" w:type="dxa"/>
            <w:tcBorders>
              <w:top w:val="nil"/>
              <w:left w:val="nil"/>
              <w:bottom w:val="nil"/>
              <w:right w:val="nil"/>
            </w:tcBorders>
            <w:vAlign w:val="center"/>
          </w:tcPr>
          <w:p w14:paraId="30F55201" w14:textId="3EA3947E" w:rsidR="00183417" w:rsidRPr="002275FC" w:rsidRDefault="00183417" w:rsidP="002275FC">
            <w:pPr>
              <w:spacing w:line="360" w:lineRule="auto"/>
              <w:jc w:val="center"/>
              <w:rPr>
                <w:b/>
                <w:iCs/>
                <w:sz w:val="24"/>
                <w:szCs w:val="24"/>
                <w:lang w:val="es-ES" w:eastAsia="zh-CN"/>
              </w:rPr>
            </w:pPr>
          </w:p>
        </w:tc>
        <w:tc>
          <w:tcPr>
            <w:tcW w:w="707" w:type="dxa"/>
            <w:tcBorders>
              <w:top w:val="nil"/>
              <w:left w:val="nil"/>
              <w:bottom w:val="nil"/>
              <w:right w:val="nil"/>
            </w:tcBorders>
            <w:vAlign w:val="center"/>
          </w:tcPr>
          <w:p w14:paraId="4E57C87A" w14:textId="77777777" w:rsidR="00183417" w:rsidRPr="002275FC" w:rsidRDefault="00183417" w:rsidP="002275FC">
            <w:pPr>
              <w:spacing w:line="360" w:lineRule="auto"/>
              <w:jc w:val="center"/>
              <w:rPr>
                <w:b/>
                <w:iCs/>
                <w:sz w:val="24"/>
                <w:szCs w:val="24"/>
                <w:lang w:val="es-ES" w:eastAsia="zh-CN"/>
              </w:rPr>
            </w:pPr>
          </w:p>
        </w:tc>
      </w:tr>
      <w:tr w:rsidR="00183417" w:rsidRPr="002275FC" w14:paraId="1E1464EA" w14:textId="588CFD00" w:rsidTr="002275FC">
        <w:tc>
          <w:tcPr>
            <w:tcW w:w="3681" w:type="dxa"/>
            <w:tcBorders>
              <w:top w:val="nil"/>
              <w:left w:val="nil"/>
              <w:bottom w:val="nil"/>
              <w:right w:val="nil"/>
            </w:tcBorders>
          </w:tcPr>
          <w:p w14:paraId="21833038" w14:textId="77777777" w:rsidR="00183417" w:rsidRPr="002275FC" w:rsidRDefault="00183417" w:rsidP="00183417">
            <w:pPr>
              <w:spacing w:line="360" w:lineRule="auto"/>
              <w:rPr>
                <w:i/>
                <w:iCs/>
                <w:sz w:val="24"/>
                <w:szCs w:val="24"/>
                <w:lang w:val="es-ES" w:eastAsia="zh-CN"/>
              </w:rPr>
            </w:pPr>
          </w:p>
        </w:tc>
        <w:tc>
          <w:tcPr>
            <w:tcW w:w="1026" w:type="dxa"/>
            <w:tcBorders>
              <w:top w:val="nil"/>
              <w:left w:val="nil"/>
              <w:bottom w:val="nil"/>
              <w:right w:val="nil"/>
            </w:tcBorders>
            <w:vAlign w:val="center"/>
          </w:tcPr>
          <w:p w14:paraId="40DD99F4" w14:textId="0DA1A20A" w:rsidR="00183417" w:rsidRPr="002275FC" w:rsidRDefault="00183417" w:rsidP="002275FC">
            <w:pPr>
              <w:spacing w:line="360" w:lineRule="auto"/>
              <w:jc w:val="center"/>
              <w:rPr>
                <w:b/>
                <w:iCs/>
                <w:sz w:val="24"/>
                <w:szCs w:val="24"/>
                <w:lang w:val="es-ES" w:eastAsia="zh-CN"/>
              </w:rPr>
            </w:pPr>
            <w:r w:rsidRPr="002275FC">
              <w:rPr>
                <w:b/>
                <w:iCs/>
                <w:sz w:val="24"/>
                <w:szCs w:val="24"/>
                <w:lang w:val="es-ES" w:eastAsia="en-US"/>
              </w:rPr>
              <w:t>M</w:t>
            </w:r>
          </w:p>
        </w:tc>
        <w:tc>
          <w:tcPr>
            <w:tcW w:w="756" w:type="dxa"/>
            <w:tcBorders>
              <w:top w:val="nil"/>
              <w:left w:val="nil"/>
              <w:bottom w:val="nil"/>
              <w:right w:val="nil"/>
            </w:tcBorders>
            <w:vAlign w:val="center"/>
          </w:tcPr>
          <w:p w14:paraId="1067F5AB" w14:textId="0CD216ED" w:rsidR="00183417" w:rsidRPr="002275FC" w:rsidRDefault="00183417" w:rsidP="002275FC">
            <w:pPr>
              <w:spacing w:line="360" w:lineRule="auto"/>
              <w:jc w:val="center"/>
              <w:rPr>
                <w:b/>
                <w:iCs/>
                <w:sz w:val="24"/>
                <w:szCs w:val="24"/>
                <w:lang w:val="es-ES" w:eastAsia="zh-CN"/>
              </w:rPr>
            </w:pPr>
            <w:r w:rsidRPr="002275FC">
              <w:rPr>
                <w:b/>
                <w:iCs/>
                <w:sz w:val="24"/>
                <w:szCs w:val="24"/>
                <w:lang w:val="es-ES" w:eastAsia="en-US"/>
              </w:rPr>
              <w:t>DT</w:t>
            </w:r>
          </w:p>
        </w:tc>
        <w:tc>
          <w:tcPr>
            <w:tcW w:w="756" w:type="dxa"/>
            <w:tcBorders>
              <w:top w:val="nil"/>
              <w:left w:val="nil"/>
              <w:bottom w:val="nil"/>
              <w:right w:val="nil"/>
            </w:tcBorders>
            <w:vAlign w:val="center"/>
          </w:tcPr>
          <w:p w14:paraId="7F48544B" w14:textId="1DAD94EE" w:rsidR="00183417" w:rsidRPr="002275FC" w:rsidRDefault="00183417" w:rsidP="002275FC">
            <w:pPr>
              <w:spacing w:line="360" w:lineRule="auto"/>
              <w:jc w:val="center"/>
              <w:rPr>
                <w:b/>
                <w:iCs/>
                <w:sz w:val="24"/>
                <w:szCs w:val="24"/>
                <w:lang w:val="es-ES" w:eastAsia="zh-CN"/>
              </w:rPr>
            </w:pPr>
            <w:r w:rsidRPr="002275FC">
              <w:rPr>
                <w:b/>
                <w:iCs/>
                <w:sz w:val="24"/>
                <w:szCs w:val="24"/>
                <w:lang w:val="es-ES" w:eastAsia="en-US"/>
              </w:rPr>
              <w:t>M</w:t>
            </w:r>
          </w:p>
        </w:tc>
        <w:tc>
          <w:tcPr>
            <w:tcW w:w="798" w:type="dxa"/>
            <w:tcBorders>
              <w:top w:val="nil"/>
              <w:left w:val="nil"/>
              <w:bottom w:val="nil"/>
              <w:right w:val="nil"/>
            </w:tcBorders>
            <w:vAlign w:val="center"/>
          </w:tcPr>
          <w:p w14:paraId="14D6C3C6" w14:textId="27373D10" w:rsidR="00183417" w:rsidRPr="002275FC" w:rsidRDefault="00183417" w:rsidP="002275FC">
            <w:pPr>
              <w:spacing w:line="360" w:lineRule="auto"/>
              <w:jc w:val="center"/>
              <w:rPr>
                <w:b/>
                <w:iCs/>
                <w:sz w:val="24"/>
                <w:szCs w:val="24"/>
                <w:lang w:val="es-ES" w:eastAsia="zh-CN"/>
              </w:rPr>
            </w:pPr>
            <w:r w:rsidRPr="002275FC">
              <w:rPr>
                <w:b/>
                <w:iCs/>
                <w:sz w:val="24"/>
                <w:szCs w:val="24"/>
                <w:lang w:val="es-ES" w:eastAsia="en-US"/>
              </w:rPr>
              <w:t>DT</w:t>
            </w:r>
          </w:p>
        </w:tc>
        <w:tc>
          <w:tcPr>
            <w:tcW w:w="847" w:type="dxa"/>
            <w:tcBorders>
              <w:top w:val="nil"/>
              <w:left w:val="nil"/>
              <w:bottom w:val="nil"/>
              <w:right w:val="nil"/>
            </w:tcBorders>
            <w:vAlign w:val="center"/>
          </w:tcPr>
          <w:p w14:paraId="0E214698" w14:textId="31717909" w:rsidR="00183417" w:rsidRPr="002275FC" w:rsidRDefault="00183417" w:rsidP="002275FC">
            <w:pPr>
              <w:spacing w:line="360" w:lineRule="auto"/>
              <w:jc w:val="center"/>
              <w:rPr>
                <w:b/>
                <w:i/>
                <w:iCs/>
                <w:sz w:val="24"/>
                <w:szCs w:val="24"/>
                <w:lang w:val="es-ES" w:eastAsia="zh-CN"/>
              </w:rPr>
            </w:pPr>
            <w:r w:rsidRPr="002275FC">
              <w:rPr>
                <w:b/>
                <w:i/>
                <w:iCs/>
                <w:sz w:val="24"/>
                <w:szCs w:val="24"/>
                <w:lang w:val="es-ES" w:eastAsia="en-US"/>
              </w:rPr>
              <w:t>t</w:t>
            </w:r>
          </w:p>
        </w:tc>
        <w:tc>
          <w:tcPr>
            <w:tcW w:w="707" w:type="dxa"/>
            <w:tcBorders>
              <w:top w:val="nil"/>
              <w:left w:val="nil"/>
              <w:bottom w:val="nil"/>
              <w:right w:val="nil"/>
            </w:tcBorders>
            <w:vAlign w:val="center"/>
          </w:tcPr>
          <w:p w14:paraId="2D9DE985" w14:textId="699A72F4" w:rsidR="00183417" w:rsidRPr="002275FC" w:rsidRDefault="00183417" w:rsidP="002275FC">
            <w:pPr>
              <w:spacing w:line="360" w:lineRule="auto"/>
              <w:jc w:val="center"/>
              <w:rPr>
                <w:b/>
                <w:i/>
                <w:iCs/>
                <w:sz w:val="24"/>
                <w:szCs w:val="24"/>
                <w:lang w:val="es-ES" w:eastAsia="zh-CN"/>
              </w:rPr>
            </w:pPr>
            <w:r w:rsidRPr="002275FC">
              <w:rPr>
                <w:b/>
                <w:i/>
                <w:iCs/>
                <w:sz w:val="24"/>
                <w:szCs w:val="24"/>
                <w:lang w:val="es-ES" w:eastAsia="en-US"/>
              </w:rPr>
              <w:t>p</w:t>
            </w:r>
          </w:p>
        </w:tc>
      </w:tr>
      <w:tr w:rsidR="00183417" w:rsidRPr="002275FC" w14:paraId="67FD4CB0" w14:textId="77777777" w:rsidTr="002275FC">
        <w:tc>
          <w:tcPr>
            <w:tcW w:w="3681" w:type="dxa"/>
            <w:tcBorders>
              <w:top w:val="nil"/>
              <w:left w:val="nil"/>
              <w:bottom w:val="nil"/>
              <w:right w:val="nil"/>
            </w:tcBorders>
            <w:vAlign w:val="center"/>
          </w:tcPr>
          <w:p w14:paraId="0F70376F" w14:textId="19351A79" w:rsidR="00183417" w:rsidRPr="002275FC" w:rsidRDefault="00183417" w:rsidP="00183417">
            <w:pPr>
              <w:spacing w:line="360" w:lineRule="auto"/>
              <w:rPr>
                <w:i/>
                <w:iCs/>
                <w:sz w:val="24"/>
                <w:szCs w:val="24"/>
                <w:lang w:val="es-ES" w:eastAsia="zh-CN"/>
              </w:rPr>
            </w:pPr>
            <w:r w:rsidRPr="002275FC">
              <w:rPr>
                <w:sz w:val="24"/>
                <w:szCs w:val="24"/>
                <w:lang w:val="es-ES" w:eastAsia="en-US"/>
              </w:rPr>
              <w:t>Breve Inventario de Ansiedad por la Salud (SHAI)</w:t>
            </w:r>
          </w:p>
        </w:tc>
        <w:tc>
          <w:tcPr>
            <w:tcW w:w="1026" w:type="dxa"/>
            <w:tcBorders>
              <w:top w:val="nil"/>
              <w:left w:val="nil"/>
              <w:bottom w:val="nil"/>
              <w:right w:val="nil"/>
            </w:tcBorders>
            <w:vAlign w:val="center"/>
          </w:tcPr>
          <w:p w14:paraId="5F0B494E" w14:textId="3E09F8CA" w:rsidR="00183417" w:rsidRPr="002275FC" w:rsidRDefault="00183417" w:rsidP="002275FC">
            <w:pPr>
              <w:spacing w:line="360" w:lineRule="auto"/>
              <w:jc w:val="center"/>
              <w:rPr>
                <w:i/>
                <w:iCs/>
                <w:sz w:val="24"/>
                <w:szCs w:val="24"/>
                <w:lang w:val="es-ES" w:eastAsia="zh-CN"/>
              </w:rPr>
            </w:pPr>
            <w:r w:rsidRPr="002275FC">
              <w:rPr>
                <w:sz w:val="24"/>
                <w:szCs w:val="24"/>
                <w:lang w:eastAsia="en-US"/>
              </w:rPr>
              <w:t>38.81</w:t>
            </w:r>
          </w:p>
        </w:tc>
        <w:tc>
          <w:tcPr>
            <w:tcW w:w="756" w:type="dxa"/>
            <w:tcBorders>
              <w:top w:val="nil"/>
              <w:left w:val="nil"/>
              <w:bottom w:val="nil"/>
              <w:right w:val="nil"/>
            </w:tcBorders>
            <w:vAlign w:val="center"/>
          </w:tcPr>
          <w:p w14:paraId="4F082714" w14:textId="5B049687" w:rsidR="00183417" w:rsidRPr="002275FC" w:rsidRDefault="00183417" w:rsidP="002275FC">
            <w:pPr>
              <w:spacing w:line="360" w:lineRule="auto"/>
              <w:jc w:val="center"/>
              <w:rPr>
                <w:i/>
                <w:iCs/>
                <w:sz w:val="24"/>
                <w:szCs w:val="24"/>
                <w:lang w:val="es-ES" w:eastAsia="zh-CN"/>
              </w:rPr>
            </w:pPr>
            <w:r w:rsidRPr="002275FC">
              <w:rPr>
                <w:sz w:val="24"/>
                <w:szCs w:val="24"/>
                <w:lang w:eastAsia="en-US"/>
              </w:rPr>
              <w:t>4.7</w:t>
            </w:r>
          </w:p>
        </w:tc>
        <w:tc>
          <w:tcPr>
            <w:tcW w:w="756" w:type="dxa"/>
            <w:tcBorders>
              <w:top w:val="nil"/>
              <w:left w:val="nil"/>
              <w:bottom w:val="nil"/>
              <w:right w:val="nil"/>
            </w:tcBorders>
            <w:vAlign w:val="center"/>
          </w:tcPr>
          <w:p w14:paraId="06CFF9C5" w14:textId="6E5A02D7" w:rsidR="00183417" w:rsidRPr="002275FC" w:rsidRDefault="00183417" w:rsidP="002275FC">
            <w:pPr>
              <w:spacing w:line="360" w:lineRule="auto"/>
              <w:jc w:val="center"/>
              <w:rPr>
                <w:i/>
                <w:iCs/>
                <w:sz w:val="24"/>
                <w:szCs w:val="24"/>
                <w:lang w:val="es-ES" w:eastAsia="zh-CN"/>
              </w:rPr>
            </w:pPr>
            <w:r w:rsidRPr="002275FC">
              <w:rPr>
                <w:sz w:val="24"/>
                <w:szCs w:val="24"/>
                <w:lang w:eastAsia="en-US"/>
              </w:rPr>
              <w:t>41.47</w:t>
            </w:r>
          </w:p>
        </w:tc>
        <w:tc>
          <w:tcPr>
            <w:tcW w:w="798" w:type="dxa"/>
            <w:tcBorders>
              <w:top w:val="nil"/>
              <w:left w:val="nil"/>
              <w:bottom w:val="nil"/>
              <w:right w:val="nil"/>
            </w:tcBorders>
            <w:vAlign w:val="center"/>
          </w:tcPr>
          <w:p w14:paraId="73ADA353" w14:textId="7FCDE1AF" w:rsidR="00183417" w:rsidRPr="002275FC" w:rsidRDefault="00183417" w:rsidP="002275FC">
            <w:pPr>
              <w:spacing w:line="360" w:lineRule="auto"/>
              <w:jc w:val="center"/>
              <w:rPr>
                <w:i/>
                <w:iCs/>
                <w:sz w:val="24"/>
                <w:szCs w:val="24"/>
                <w:lang w:val="es-ES" w:eastAsia="zh-CN"/>
              </w:rPr>
            </w:pPr>
            <w:r w:rsidRPr="002275FC">
              <w:rPr>
                <w:sz w:val="24"/>
                <w:szCs w:val="24"/>
                <w:lang w:eastAsia="en-US"/>
              </w:rPr>
              <w:t>6.69</w:t>
            </w:r>
          </w:p>
        </w:tc>
        <w:tc>
          <w:tcPr>
            <w:tcW w:w="847" w:type="dxa"/>
            <w:tcBorders>
              <w:top w:val="nil"/>
              <w:left w:val="nil"/>
              <w:bottom w:val="nil"/>
              <w:right w:val="nil"/>
            </w:tcBorders>
            <w:vAlign w:val="center"/>
          </w:tcPr>
          <w:p w14:paraId="675FA029" w14:textId="61AA12DD" w:rsidR="00183417" w:rsidRPr="002275FC" w:rsidRDefault="00183417" w:rsidP="002275FC">
            <w:pPr>
              <w:spacing w:line="360" w:lineRule="auto"/>
              <w:jc w:val="center"/>
              <w:rPr>
                <w:i/>
                <w:iCs/>
                <w:sz w:val="24"/>
                <w:szCs w:val="24"/>
                <w:lang w:val="es-ES" w:eastAsia="zh-CN"/>
              </w:rPr>
            </w:pPr>
            <w:r w:rsidRPr="002275FC">
              <w:rPr>
                <w:sz w:val="24"/>
                <w:szCs w:val="24"/>
                <w:lang w:eastAsia="en-US"/>
              </w:rPr>
              <w:t>-1.98</w:t>
            </w:r>
          </w:p>
        </w:tc>
        <w:tc>
          <w:tcPr>
            <w:tcW w:w="707" w:type="dxa"/>
            <w:tcBorders>
              <w:top w:val="nil"/>
              <w:left w:val="nil"/>
              <w:bottom w:val="nil"/>
              <w:right w:val="nil"/>
            </w:tcBorders>
            <w:vAlign w:val="center"/>
          </w:tcPr>
          <w:p w14:paraId="5A902C38" w14:textId="724AA342" w:rsidR="00183417" w:rsidRPr="002275FC" w:rsidRDefault="00183417" w:rsidP="002275FC">
            <w:pPr>
              <w:spacing w:line="360" w:lineRule="auto"/>
              <w:jc w:val="center"/>
              <w:rPr>
                <w:i/>
                <w:iCs/>
                <w:sz w:val="24"/>
                <w:szCs w:val="24"/>
                <w:lang w:val="es-ES" w:eastAsia="zh-CN"/>
              </w:rPr>
            </w:pPr>
            <w:r w:rsidRPr="002275FC">
              <w:rPr>
                <w:sz w:val="24"/>
                <w:szCs w:val="24"/>
                <w:lang w:eastAsia="en-US"/>
              </w:rPr>
              <w:t>.051</w:t>
            </w:r>
          </w:p>
        </w:tc>
      </w:tr>
      <w:tr w:rsidR="00183417" w:rsidRPr="002275FC" w14:paraId="6A5CBC0C" w14:textId="77777777" w:rsidTr="002275FC">
        <w:tc>
          <w:tcPr>
            <w:tcW w:w="3681" w:type="dxa"/>
            <w:tcBorders>
              <w:top w:val="nil"/>
              <w:left w:val="nil"/>
              <w:bottom w:val="nil"/>
              <w:right w:val="nil"/>
            </w:tcBorders>
          </w:tcPr>
          <w:p w14:paraId="7B73EECD" w14:textId="65CCAF9C" w:rsidR="00183417" w:rsidRPr="002275FC" w:rsidRDefault="00183417" w:rsidP="00183417">
            <w:pPr>
              <w:spacing w:line="360" w:lineRule="auto"/>
              <w:ind w:left="457"/>
              <w:rPr>
                <w:i/>
                <w:iCs/>
                <w:sz w:val="24"/>
                <w:szCs w:val="24"/>
                <w:lang w:val="es-ES" w:eastAsia="zh-CN"/>
              </w:rPr>
            </w:pPr>
            <w:r w:rsidRPr="002275FC">
              <w:rPr>
                <w:sz w:val="24"/>
                <w:szCs w:val="24"/>
                <w:lang w:val="es-ES" w:eastAsia="en-US"/>
              </w:rPr>
              <w:t>Miedo a la posibilidad de enfermar</w:t>
            </w:r>
          </w:p>
        </w:tc>
        <w:tc>
          <w:tcPr>
            <w:tcW w:w="1026" w:type="dxa"/>
            <w:tcBorders>
              <w:top w:val="nil"/>
              <w:left w:val="nil"/>
              <w:bottom w:val="nil"/>
              <w:right w:val="nil"/>
            </w:tcBorders>
            <w:vAlign w:val="center"/>
          </w:tcPr>
          <w:p w14:paraId="299D19C6" w14:textId="5BC0877B" w:rsidR="00183417" w:rsidRPr="002275FC" w:rsidRDefault="00183417" w:rsidP="002275FC">
            <w:pPr>
              <w:spacing w:line="360" w:lineRule="auto"/>
              <w:jc w:val="center"/>
              <w:rPr>
                <w:i/>
                <w:iCs/>
                <w:sz w:val="24"/>
                <w:szCs w:val="24"/>
                <w:lang w:val="es-ES" w:eastAsia="zh-CN"/>
              </w:rPr>
            </w:pPr>
            <w:r w:rsidRPr="002275FC">
              <w:rPr>
                <w:sz w:val="24"/>
                <w:szCs w:val="24"/>
                <w:lang w:eastAsia="en-US"/>
              </w:rPr>
              <w:t>25</w:t>
            </w:r>
          </w:p>
        </w:tc>
        <w:tc>
          <w:tcPr>
            <w:tcW w:w="756" w:type="dxa"/>
            <w:tcBorders>
              <w:top w:val="nil"/>
              <w:left w:val="nil"/>
              <w:bottom w:val="nil"/>
              <w:right w:val="nil"/>
            </w:tcBorders>
            <w:vAlign w:val="center"/>
          </w:tcPr>
          <w:p w14:paraId="0AF2789B" w14:textId="309CFD59" w:rsidR="00183417" w:rsidRPr="002275FC" w:rsidRDefault="00183417" w:rsidP="002275FC">
            <w:pPr>
              <w:spacing w:line="360" w:lineRule="auto"/>
              <w:jc w:val="center"/>
              <w:rPr>
                <w:i/>
                <w:iCs/>
                <w:sz w:val="24"/>
                <w:szCs w:val="24"/>
                <w:lang w:val="es-ES" w:eastAsia="zh-CN"/>
              </w:rPr>
            </w:pPr>
            <w:r w:rsidRPr="002275FC">
              <w:rPr>
                <w:sz w:val="24"/>
                <w:szCs w:val="24"/>
                <w:lang w:eastAsia="en-US"/>
              </w:rPr>
              <w:t>5.36</w:t>
            </w:r>
          </w:p>
        </w:tc>
        <w:tc>
          <w:tcPr>
            <w:tcW w:w="756" w:type="dxa"/>
            <w:tcBorders>
              <w:top w:val="nil"/>
              <w:left w:val="nil"/>
              <w:bottom w:val="nil"/>
              <w:right w:val="nil"/>
            </w:tcBorders>
            <w:vAlign w:val="center"/>
          </w:tcPr>
          <w:p w14:paraId="13098437" w14:textId="4E3BE679" w:rsidR="00183417" w:rsidRPr="002275FC" w:rsidRDefault="00183417" w:rsidP="002275FC">
            <w:pPr>
              <w:spacing w:line="360" w:lineRule="auto"/>
              <w:jc w:val="center"/>
              <w:rPr>
                <w:i/>
                <w:iCs/>
                <w:sz w:val="24"/>
                <w:szCs w:val="24"/>
                <w:lang w:val="es-ES" w:eastAsia="zh-CN"/>
              </w:rPr>
            </w:pPr>
            <w:r w:rsidRPr="002275FC">
              <w:rPr>
                <w:sz w:val="24"/>
                <w:szCs w:val="24"/>
                <w:lang w:eastAsia="en-US"/>
              </w:rPr>
              <w:t>27.84</w:t>
            </w:r>
          </w:p>
        </w:tc>
        <w:tc>
          <w:tcPr>
            <w:tcW w:w="798" w:type="dxa"/>
            <w:tcBorders>
              <w:top w:val="nil"/>
              <w:left w:val="nil"/>
              <w:bottom w:val="nil"/>
              <w:right w:val="nil"/>
            </w:tcBorders>
            <w:vAlign w:val="center"/>
          </w:tcPr>
          <w:p w14:paraId="6F21E468" w14:textId="1393258D" w:rsidR="00183417" w:rsidRPr="002275FC" w:rsidRDefault="00183417" w:rsidP="002275FC">
            <w:pPr>
              <w:spacing w:line="360" w:lineRule="auto"/>
              <w:jc w:val="center"/>
              <w:rPr>
                <w:i/>
                <w:iCs/>
                <w:sz w:val="24"/>
                <w:szCs w:val="24"/>
                <w:lang w:val="es-ES" w:eastAsia="zh-CN"/>
              </w:rPr>
            </w:pPr>
            <w:r w:rsidRPr="002275FC">
              <w:rPr>
                <w:sz w:val="24"/>
                <w:szCs w:val="24"/>
                <w:lang w:eastAsia="en-US"/>
              </w:rPr>
              <w:t>6.51</w:t>
            </w:r>
          </w:p>
        </w:tc>
        <w:tc>
          <w:tcPr>
            <w:tcW w:w="847" w:type="dxa"/>
            <w:tcBorders>
              <w:top w:val="nil"/>
              <w:left w:val="nil"/>
              <w:bottom w:val="nil"/>
              <w:right w:val="nil"/>
            </w:tcBorders>
            <w:vAlign w:val="center"/>
          </w:tcPr>
          <w:p w14:paraId="3158CABB" w14:textId="13038FB1" w:rsidR="00183417" w:rsidRPr="002275FC" w:rsidRDefault="00183417" w:rsidP="002275FC">
            <w:pPr>
              <w:jc w:val="center"/>
              <w:rPr>
                <w:sz w:val="24"/>
                <w:szCs w:val="24"/>
                <w:lang w:val="es-ES" w:eastAsia="zh-CN"/>
              </w:rPr>
            </w:pPr>
            <w:r w:rsidRPr="002275FC">
              <w:rPr>
                <w:sz w:val="24"/>
                <w:szCs w:val="24"/>
                <w:lang w:eastAsia="en-US"/>
              </w:rPr>
              <w:t>1.95</w:t>
            </w:r>
          </w:p>
        </w:tc>
        <w:tc>
          <w:tcPr>
            <w:tcW w:w="707" w:type="dxa"/>
            <w:tcBorders>
              <w:top w:val="nil"/>
              <w:left w:val="nil"/>
              <w:bottom w:val="nil"/>
              <w:right w:val="nil"/>
            </w:tcBorders>
            <w:vAlign w:val="center"/>
          </w:tcPr>
          <w:p w14:paraId="114A4C45" w14:textId="2D950D8A" w:rsidR="00183417" w:rsidRPr="002275FC" w:rsidRDefault="00183417" w:rsidP="002275FC">
            <w:pPr>
              <w:spacing w:line="360" w:lineRule="auto"/>
              <w:jc w:val="center"/>
              <w:rPr>
                <w:i/>
                <w:iCs/>
                <w:sz w:val="24"/>
                <w:szCs w:val="24"/>
                <w:lang w:val="es-ES" w:eastAsia="zh-CN"/>
              </w:rPr>
            </w:pPr>
            <w:r w:rsidRPr="002275FC">
              <w:rPr>
                <w:sz w:val="24"/>
                <w:szCs w:val="24"/>
                <w:lang w:eastAsia="en-US"/>
              </w:rPr>
              <w:t>.055</w:t>
            </w:r>
          </w:p>
        </w:tc>
      </w:tr>
      <w:tr w:rsidR="00183417" w:rsidRPr="002275FC" w14:paraId="0101CF3D" w14:textId="77777777" w:rsidTr="002275FC">
        <w:tc>
          <w:tcPr>
            <w:tcW w:w="3681" w:type="dxa"/>
            <w:tcBorders>
              <w:top w:val="nil"/>
              <w:left w:val="nil"/>
              <w:bottom w:val="nil"/>
              <w:right w:val="nil"/>
            </w:tcBorders>
          </w:tcPr>
          <w:p w14:paraId="02A7060F" w14:textId="742009EC" w:rsidR="00183417" w:rsidRPr="002275FC" w:rsidRDefault="00183417" w:rsidP="00183417">
            <w:pPr>
              <w:spacing w:line="360" w:lineRule="auto"/>
              <w:ind w:left="457"/>
              <w:rPr>
                <w:i/>
                <w:iCs/>
                <w:sz w:val="24"/>
                <w:szCs w:val="24"/>
                <w:lang w:val="es-ES" w:eastAsia="zh-CN"/>
              </w:rPr>
            </w:pPr>
            <w:r w:rsidRPr="002275FC">
              <w:rPr>
                <w:sz w:val="24"/>
                <w:szCs w:val="24"/>
                <w:lang w:val="es-ES" w:eastAsia="en-US"/>
              </w:rPr>
              <w:t>Temor a las consecuencias de la enfermedad</w:t>
            </w:r>
          </w:p>
        </w:tc>
        <w:tc>
          <w:tcPr>
            <w:tcW w:w="1026" w:type="dxa"/>
            <w:tcBorders>
              <w:top w:val="nil"/>
              <w:left w:val="nil"/>
              <w:bottom w:val="nil"/>
              <w:right w:val="nil"/>
            </w:tcBorders>
            <w:vAlign w:val="center"/>
          </w:tcPr>
          <w:p w14:paraId="5CA01DED" w14:textId="2FBC0EE0" w:rsidR="00183417" w:rsidRPr="002275FC" w:rsidRDefault="00183417" w:rsidP="002275FC">
            <w:pPr>
              <w:spacing w:line="360" w:lineRule="auto"/>
              <w:jc w:val="center"/>
              <w:rPr>
                <w:i/>
                <w:iCs/>
                <w:sz w:val="24"/>
                <w:szCs w:val="24"/>
                <w:lang w:val="es-ES" w:eastAsia="zh-CN"/>
              </w:rPr>
            </w:pPr>
            <w:r w:rsidRPr="002275FC">
              <w:rPr>
                <w:sz w:val="24"/>
                <w:szCs w:val="24"/>
                <w:lang w:eastAsia="en-US"/>
              </w:rPr>
              <w:t>13.81</w:t>
            </w:r>
          </w:p>
        </w:tc>
        <w:tc>
          <w:tcPr>
            <w:tcW w:w="756" w:type="dxa"/>
            <w:tcBorders>
              <w:top w:val="nil"/>
              <w:left w:val="nil"/>
              <w:bottom w:val="nil"/>
              <w:right w:val="nil"/>
            </w:tcBorders>
            <w:vAlign w:val="center"/>
          </w:tcPr>
          <w:p w14:paraId="05A8FAF3" w14:textId="0101A33C" w:rsidR="00183417" w:rsidRPr="002275FC" w:rsidRDefault="00183417" w:rsidP="002275FC">
            <w:pPr>
              <w:spacing w:line="360" w:lineRule="auto"/>
              <w:jc w:val="center"/>
              <w:rPr>
                <w:i/>
                <w:iCs/>
                <w:sz w:val="24"/>
                <w:szCs w:val="24"/>
                <w:lang w:val="es-ES" w:eastAsia="zh-CN"/>
              </w:rPr>
            </w:pPr>
            <w:r w:rsidRPr="002275FC">
              <w:rPr>
                <w:sz w:val="24"/>
                <w:szCs w:val="24"/>
                <w:lang w:eastAsia="en-US"/>
              </w:rPr>
              <w:t>1.97</w:t>
            </w:r>
          </w:p>
        </w:tc>
        <w:tc>
          <w:tcPr>
            <w:tcW w:w="756" w:type="dxa"/>
            <w:tcBorders>
              <w:top w:val="nil"/>
              <w:left w:val="nil"/>
              <w:bottom w:val="nil"/>
              <w:right w:val="nil"/>
            </w:tcBorders>
            <w:vAlign w:val="center"/>
          </w:tcPr>
          <w:p w14:paraId="7DA60825" w14:textId="274EE665" w:rsidR="00183417" w:rsidRPr="002275FC" w:rsidRDefault="00183417" w:rsidP="002275FC">
            <w:pPr>
              <w:spacing w:line="360" w:lineRule="auto"/>
              <w:jc w:val="center"/>
              <w:rPr>
                <w:i/>
                <w:iCs/>
                <w:sz w:val="24"/>
                <w:szCs w:val="24"/>
                <w:lang w:val="es-ES" w:eastAsia="zh-CN"/>
              </w:rPr>
            </w:pPr>
            <w:r w:rsidRPr="002275FC">
              <w:rPr>
                <w:sz w:val="24"/>
                <w:szCs w:val="24"/>
                <w:lang w:eastAsia="en-US"/>
              </w:rPr>
              <w:t>13.63</w:t>
            </w:r>
          </w:p>
        </w:tc>
        <w:tc>
          <w:tcPr>
            <w:tcW w:w="798" w:type="dxa"/>
            <w:tcBorders>
              <w:top w:val="nil"/>
              <w:left w:val="nil"/>
              <w:bottom w:val="nil"/>
              <w:right w:val="nil"/>
            </w:tcBorders>
            <w:vAlign w:val="center"/>
          </w:tcPr>
          <w:p w14:paraId="7DE3F869" w14:textId="2717178F" w:rsidR="00183417" w:rsidRPr="002275FC" w:rsidRDefault="00183417" w:rsidP="002275FC">
            <w:pPr>
              <w:spacing w:line="360" w:lineRule="auto"/>
              <w:jc w:val="center"/>
              <w:rPr>
                <w:i/>
                <w:iCs/>
                <w:sz w:val="24"/>
                <w:szCs w:val="24"/>
                <w:lang w:val="es-ES" w:eastAsia="zh-CN"/>
              </w:rPr>
            </w:pPr>
            <w:r w:rsidRPr="002275FC">
              <w:rPr>
                <w:sz w:val="24"/>
                <w:szCs w:val="24"/>
                <w:lang w:eastAsia="en-US"/>
              </w:rPr>
              <w:t>1.97</w:t>
            </w:r>
          </w:p>
        </w:tc>
        <w:tc>
          <w:tcPr>
            <w:tcW w:w="847" w:type="dxa"/>
            <w:tcBorders>
              <w:top w:val="nil"/>
              <w:left w:val="nil"/>
              <w:bottom w:val="nil"/>
              <w:right w:val="nil"/>
            </w:tcBorders>
            <w:vAlign w:val="center"/>
          </w:tcPr>
          <w:p w14:paraId="2DBDE0DC" w14:textId="4878DCC6" w:rsidR="00183417" w:rsidRPr="002275FC" w:rsidRDefault="00183417" w:rsidP="002275FC">
            <w:pPr>
              <w:spacing w:line="360" w:lineRule="auto"/>
              <w:jc w:val="center"/>
              <w:rPr>
                <w:i/>
                <w:iCs/>
                <w:sz w:val="24"/>
                <w:szCs w:val="24"/>
                <w:lang w:val="es-ES" w:eastAsia="zh-CN"/>
              </w:rPr>
            </w:pPr>
            <w:r w:rsidRPr="002275FC">
              <w:rPr>
                <w:sz w:val="24"/>
                <w:szCs w:val="24"/>
                <w:lang w:eastAsia="en-US"/>
              </w:rPr>
              <w:t>0.35</w:t>
            </w:r>
          </w:p>
        </w:tc>
        <w:tc>
          <w:tcPr>
            <w:tcW w:w="707" w:type="dxa"/>
            <w:tcBorders>
              <w:top w:val="nil"/>
              <w:left w:val="nil"/>
              <w:bottom w:val="nil"/>
              <w:right w:val="nil"/>
            </w:tcBorders>
            <w:vAlign w:val="center"/>
          </w:tcPr>
          <w:p w14:paraId="6868368E" w14:textId="1F720938" w:rsidR="00183417" w:rsidRPr="002275FC" w:rsidRDefault="00183417" w:rsidP="002275FC">
            <w:pPr>
              <w:spacing w:line="360" w:lineRule="auto"/>
              <w:jc w:val="center"/>
              <w:rPr>
                <w:i/>
                <w:iCs/>
                <w:sz w:val="24"/>
                <w:szCs w:val="24"/>
                <w:lang w:val="es-ES" w:eastAsia="zh-CN"/>
              </w:rPr>
            </w:pPr>
            <w:r w:rsidRPr="002275FC">
              <w:rPr>
                <w:sz w:val="24"/>
                <w:szCs w:val="24"/>
                <w:lang w:eastAsia="en-US"/>
              </w:rPr>
              <w:t>.726</w:t>
            </w:r>
          </w:p>
        </w:tc>
      </w:tr>
      <w:tr w:rsidR="00183417" w:rsidRPr="002275FC" w14:paraId="7FCC37BA" w14:textId="77777777" w:rsidTr="002275FC">
        <w:tc>
          <w:tcPr>
            <w:tcW w:w="3681" w:type="dxa"/>
            <w:tcBorders>
              <w:top w:val="nil"/>
              <w:left w:val="nil"/>
              <w:bottom w:val="nil"/>
              <w:right w:val="nil"/>
            </w:tcBorders>
          </w:tcPr>
          <w:p w14:paraId="3D780EFB" w14:textId="17CE6733" w:rsidR="00183417" w:rsidRPr="002275FC" w:rsidRDefault="00183417" w:rsidP="00183417">
            <w:pPr>
              <w:spacing w:line="360" w:lineRule="auto"/>
              <w:rPr>
                <w:i/>
                <w:iCs/>
                <w:sz w:val="24"/>
                <w:szCs w:val="24"/>
                <w:lang w:val="es-ES" w:eastAsia="zh-CN"/>
              </w:rPr>
            </w:pPr>
            <w:r w:rsidRPr="002275FC">
              <w:rPr>
                <w:sz w:val="24"/>
                <w:szCs w:val="24"/>
                <w:lang w:val="es-ES" w:eastAsia="en-US"/>
              </w:rPr>
              <w:t>Escala de gravedad de la cibercondría (CSS-12)</w:t>
            </w:r>
          </w:p>
        </w:tc>
        <w:tc>
          <w:tcPr>
            <w:tcW w:w="1026" w:type="dxa"/>
            <w:tcBorders>
              <w:top w:val="nil"/>
              <w:left w:val="nil"/>
              <w:bottom w:val="nil"/>
              <w:right w:val="nil"/>
            </w:tcBorders>
            <w:vAlign w:val="center"/>
          </w:tcPr>
          <w:p w14:paraId="41E39963" w14:textId="67A88BD3" w:rsidR="00183417" w:rsidRPr="002275FC" w:rsidRDefault="00183417" w:rsidP="002275FC">
            <w:pPr>
              <w:spacing w:line="360" w:lineRule="auto"/>
              <w:jc w:val="center"/>
              <w:rPr>
                <w:i/>
                <w:iCs/>
                <w:sz w:val="24"/>
                <w:szCs w:val="24"/>
                <w:lang w:val="es-ES" w:eastAsia="zh-CN"/>
              </w:rPr>
            </w:pPr>
            <w:r w:rsidRPr="002275FC">
              <w:rPr>
                <w:sz w:val="24"/>
                <w:szCs w:val="24"/>
                <w:lang w:eastAsia="en-US"/>
              </w:rPr>
              <w:t>24.66</w:t>
            </w:r>
          </w:p>
        </w:tc>
        <w:tc>
          <w:tcPr>
            <w:tcW w:w="756" w:type="dxa"/>
            <w:tcBorders>
              <w:top w:val="nil"/>
              <w:left w:val="nil"/>
              <w:bottom w:val="nil"/>
              <w:right w:val="nil"/>
            </w:tcBorders>
            <w:vAlign w:val="center"/>
          </w:tcPr>
          <w:p w14:paraId="538046FA" w14:textId="1AB49CE2" w:rsidR="00183417" w:rsidRPr="002275FC" w:rsidRDefault="00183417" w:rsidP="002275FC">
            <w:pPr>
              <w:spacing w:line="360" w:lineRule="auto"/>
              <w:jc w:val="center"/>
              <w:rPr>
                <w:i/>
                <w:iCs/>
                <w:sz w:val="24"/>
                <w:szCs w:val="24"/>
                <w:lang w:val="es-ES" w:eastAsia="zh-CN"/>
              </w:rPr>
            </w:pPr>
            <w:r w:rsidRPr="002275FC">
              <w:rPr>
                <w:sz w:val="24"/>
                <w:szCs w:val="24"/>
                <w:lang w:eastAsia="en-US"/>
              </w:rPr>
              <w:t>7.53</w:t>
            </w:r>
          </w:p>
        </w:tc>
        <w:tc>
          <w:tcPr>
            <w:tcW w:w="756" w:type="dxa"/>
            <w:tcBorders>
              <w:top w:val="nil"/>
              <w:left w:val="nil"/>
              <w:bottom w:val="nil"/>
              <w:right w:val="nil"/>
            </w:tcBorders>
            <w:vAlign w:val="center"/>
          </w:tcPr>
          <w:p w14:paraId="7B2FC0C1" w14:textId="5C4959D4" w:rsidR="00183417" w:rsidRPr="002275FC" w:rsidRDefault="00183417" w:rsidP="002275FC">
            <w:pPr>
              <w:spacing w:line="360" w:lineRule="auto"/>
              <w:jc w:val="center"/>
              <w:rPr>
                <w:i/>
                <w:iCs/>
                <w:sz w:val="24"/>
                <w:szCs w:val="24"/>
                <w:lang w:val="es-ES" w:eastAsia="zh-CN"/>
              </w:rPr>
            </w:pPr>
            <w:r w:rsidRPr="002275FC">
              <w:rPr>
                <w:sz w:val="24"/>
                <w:szCs w:val="24"/>
                <w:lang w:eastAsia="en-US"/>
              </w:rPr>
              <w:t>27.68</w:t>
            </w:r>
          </w:p>
        </w:tc>
        <w:tc>
          <w:tcPr>
            <w:tcW w:w="798" w:type="dxa"/>
            <w:tcBorders>
              <w:top w:val="nil"/>
              <w:left w:val="nil"/>
              <w:bottom w:val="nil"/>
              <w:right w:val="nil"/>
            </w:tcBorders>
            <w:vAlign w:val="center"/>
          </w:tcPr>
          <w:p w14:paraId="7202A771" w14:textId="49513CF8" w:rsidR="00183417" w:rsidRPr="002275FC" w:rsidRDefault="00183417" w:rsidP="002275FC">
            <w:pPr>
              <w:spacing w:line="360" w:lineRule="auto"/>
              <w:jc w:val="center"/>
              <w:rPr>
                <w:i/>
                <w:iCs/>
                <w:sz w:val="24"/>
                <w:szCs w:val="24"/>
                <w:lang w:val="es-ES" w:eastAsia="zh-CN"/>
              </w:rPr>
            </w:pPr>
            <w:r w:rsidRPr="002275FC">
              <w:rPr>
                <w:sz w:val="24"/>
                <w:szCs w:val="24"/>
                <w:lang w:eastAsia="en-US"/>
              </w:rPr>
              <w:t>9.2</w:t>
            </w:r>
          </w:p>
        </w:tc>
        <w:tc>
          <w:tcPr>
            <w:tcW w:w="847" w:type="dxa"/>
            <w:tcBorders>
              <w:top w:val="nil"/>
              <w:left w:val="nil"/>
              <w:bottom w:val="nil"/>
              <w:right w:val="nil"/>
            </w:tcBorders>
            <w:vAlign w:val="center"/>
          </w:tcPr>
          <w:p w14:paraId="6ADE99A7" w14:textId="5713AC0D" w:rsidR="00183417" w:rsidRPr="002275FC" w:rsidRDefault="00183417" w:rsidP="002275FC">
            <w:pPr>
              <w:spacing w:line="360" w:lineRule="auto"/>
              <w:jc w:val="center"/>
              <w:rPr>
                <w:i/>
                <w:iCs/>
                <w:sz w:val="24"/>
                <w:szCs w:val="24"/>
                <w:lang w:val="es-ES" w:eastAsia="zh-CN"/>
              </w:rPr>
            </w:pPr>
            <w:r w:rsidRPr="002275FC">
              <w:rPr>
                <w:sz w:val="24"/>
                <w:szCs w:val="24"/>
                <w:lang w:eastAsia="en-US"/>
              </w:rPr>
              <w:t>-1.47</w:t>
            </w:r>
          </w:p>
        </w:tc>
        <w:tc>
          <w:tcPr>
            <w:tcW w:w="707" w:type="dxa"/>
            <w:tcBorders>
              <w:top w:val="nil"/>
              <w:left w:val="nil"/>
              <w:bottom w:val="nil"/>
              <w:right w:val="nil"/>
            </w:tcBorders>
            <w:vAlign w:val="center"/>
          </w:tcPr>
          <w:p w14:paraId="78B98264" w14:textId="5138B1D2" w:rsidR="00183417" w:rsidRPr="002275FC" w:rsidRDefault="00183417" w:rsidP="002275FC">
            <w:pPr>
              <w:spacing w:line="360" w:lineRule="auto"/>
              <w:jc w:val="center"/>
              <w:rPr>
                <w:i/>
                <w:iCs/>
                <w:sz w:val="24"/>
                <w:szCs w:val="24"/>
                <w:lang w:val="es-ES" w:eastAsia="zh-CN"/>
              </w:rPr>
            </w:pPr>
            <w:r w:rsidRPr="002275FC">
              <w:rPr>
                <w:sz w:val="24"/>
                <w:szCs w:val="24"/>
                <w:lang w:eastAsia="en-US"/>
              </w:rPr>
              <w:t>.145</w:t>
            </w:r>
          </w:p>
        </w:tc>
      </w:tr>
      <w:tr w:rsidR="002275FC" w:rsidRPr="002275FC" w14:paraId="54B699CC" w14:textId="77777777" w:rsidTr="002275FC">
        <w:tc>
          <w:tcPr>
            <w:tcW w:w="3681" w:type="dxa"/>
            <w:tcBorders>
              <w:top w:val="nil"/>
              <w:left w:val="nil"/>
              <w:bottom w:val="nil"/>
              <w:right w:val="nil"/>
            </w:tcBorders>
          </w:tcPr>
          <w:p w14:paraId="5882CF15" w14:textId="22F1F708" w:rsidR="002275FC" w:rsidRPr="002275FC" w:rsidRDefault="002275FC" w:rsidP="002275FC">
            <w:pPr>
              <w:spacing w:line="360" w:lineRule="auto"/>
              <w:ind w:left="457"/>
              <w:rPr>
                <w:i/>
                <w:iCs/>
                <w:sz w:val="24"/>
                <w:szCs w:val="24"/>
                <w:lang w:val="es-ES" w:eastAsia="zh-CN"/>
              </w:rPr>
            </w:pPr>
            <w:proofErr w:type="spellStart"/>
            <w:r w:rsidRPr="002275FC">
              <w:rPr>
                <w:sz w:val="24"/>
                <w:szCs w:val="24"/>
                <w:lang w:val="es-ES" w:eastAsia="en-US"/>
              </w:rPr>
              <w:t>Excesividad</w:t>
            </w:r>
            <w:proofErr w:type="spellEnd"/>
          </w:p>
        </w:tc>
        <w:tc>
          <w:tcPr>
            <w:tcW w:w="1026" w:type="dxa"/>
            <w:tcBorders>
              <w:top w:val="nil"/>
              <w:left w:val="nil"/>
              <w:bottom w:val="nil"/>
              <w:right w:val="nil"/>
            </w:tcBorders>
            <w:vAlign w:val="center"/>
          </w:tcPr>
          <w:p w14:paraId="2D4F43DA" w14:textId="2548E49B" w:rsidR="002275FC" w:rsidRPr="002275FC" w:rsidRDefault="002275FC" w:rsidP="002275FC">
            <w:pPr>
              <w:spacing w:line="360" w:lineRule="auto"/>
              <w:jc w:val="center"/>
              <w:rPr>
                <w:i/>
                <w:iCs/>
                <w:sz w:val="24"/>
                <w:szCs w:val="24"/>
                <w:lang w:val="es-ES" w:eastAsia="zh-CN"/>
              </w:rPr>
            </w:pPr>
            <w:r w:rsidRPr="002275FC">
              <w:rPr>
                <w:sz w:val="24"/>
                <w:szCs w:val="24"/>
                <w:lang w:eastAsia="en-US"/>
              </w:rPr>
              <w:t>8.84</w:t>
            </w:r>
          </w:p>
        </w:tc>
        <w:tc>
          <w:tcPr>
            <w:tcW w:w="756" w:type="dxa"/>
            <w:tcBorders>
              <w:top w:val="nil"/>
              <w:left w:val="nil"/>
              <w:bottom w:val="nil"/>
              <w:right w:val="nil"/>
            </w:tcBorders>
            <w:vAlign w:val="center"/>
          </w:tcPr>
          <w:p w14:paraId="54EAD943" w14:textId="5318A3AD" w:rsidR="002275FC" w:rsidRPr="002275FC" w:rsidRDefault="002275FC" w:rsidP="002275FC">
            <w:pPr>
              <w:spacing w:line="360" w:lineRule="auto"/>
              <w:jc w:val="center"/>
              <w:rPr>
                <w:i/>
                <w:iCs/>
                <w:sz w:val="24"/>
                <w:szCs w:val="24"/>
                <w:lang w:val="es-ES" w:eastAsia="zh-CN"/>
              </w:rPr>
            </w:pPr>
            <w:r w:rsidRPr="002275FC">
              <w:rPr>
                <w:sz w:val="24"/>
                <w:szCs w:val="24"/>
                <w:lang w:eastAsia="en-US"/>
              </w:rPr>
              <w:t>2.99</w:t>
            </w:r>
          </w:p>
        </w:tc>
        <w:tc>
          <w:tcPr>
            <w:tcW w:w="756" w:type="dxa"/>
            <w:tcBorders>
              <w:top w:val="nil"/>
              <w:left w:val="nil"/>
              <w:bottom w:val="nil"/>
              <w:right w:val="nil"/>
            </w:tcBorders>
            <w:vAlign w:val="center"/>
          </w:tcPr>
          <w:p w14:paraId="509DBBBA" w14:textId="37F3AD7E" w:rsidR="002275FC" w:rsidRPr="002275FC" w:rsidRDefault="002275FC" w:rsidP="002275FC">
            <w:pPr>
              <w:spacing w:line="360" w:lineRule="auto"/>
              <w:jc w:val="center"/>
              <w:rPr>
                <w:i/>
                <w:iCs/>
                <w:sz w:val="24"/>
                <w:szCs w:val="24"/>
                <w:lang w:val="es-ES" w:eastAsia="zh-CN"/>
              </w:rPr>
            </w:pPr>
            <w:r w:rsidRPr="002275FC">
              <w:rPr>
                <w:sz w:val="24"/>
                <w:szCs w:val="24"/>
                <w:lang w:eastAsia="en-US"/>
              </w:rPr>
              <w:t>9.37</w:t>
            </w:r>
          </w:p>
        </w:tc>
        <w:tc>
          <w:tcPr>
            <w:tcW w:w="798" w:type="dxa"/>
            <w:tcBorders>
              <w:top w:val="nil"/>
              <w:left w:val="nil"/>
              <w:bottom w:val="nil"/>
              <w:right w:val="nil"/>
            </w:tcBorders>
            <w:vAlign w:val="center"/>
          </w:tcPr>
          <w:p w14:paraId="4E37A6FC" w14:textId="58C71600" w:rsidR="002275FC" w:rsidRPr="002275FC" w:rsidRDefault="002275FC" w:rsidP="002275FC">
            <w:pPr>
              <w:spacing w:line="360" w:lineRule="auto"/>
              <w:jc w:val="center"/>
              <w:rPr>
                <w:i/>
                <w:iCs/>
                <w:sz w:val="24"/>
                <w:szCs w:val="24"/>
                <w:lang w:val="es-ES" w:eastAsia="zh-CN"/>
              </w:rPr>
            </w:pPr>
            <w:r w:rsidRPr="002275FC">
              <w:rPr>
                <w:sz w:val="24"/>
                <w:szCs w:val="24"/>
                <w:lang w:eastAsia="en-US"/>
              </w:rPr>
              <w:t>3.64</w:t>
            </w:r>
          </w:p>
        </w:tc>
        <w:tc>
          <w:tcPr>
            <w:tcW w:w="847" w:type="dxa"/>
            <w:tcBorders>
              <w:top w:val="nil"/>
              <w:left w:val="nil"/>
              <w:bottom w:val="nil"/>
              <w:right w:val="nil"/>
            </w:tcBorders>
            <w:vAlign w:val="center"/>
          </w:tcPr>
          <w:p w14:paraId="480DF846" w14:textId="547C90C4" w:rsidR="002275FC" w:rsidRPr="002275FC" w:rsidRDefault="002275FC" w:rsidP="002275FC">
            <w:pPr>
              <w:spacing w:line="360" w:lineRule="auto"/>
              <w:jc w:val="center"/>
              <w:rPr>
                <w:i/>
                <w:iCs/>
                <w:sz w:val="24"/>
                <w:szCs w:val="24"/>
                <w:lang w:val="es-ES" w:eastAsia="zh-CN"/>
              </w:rPr>
            </w:pPr>
            <w:r w:rsidRPr="002275FC">
              <w:rPr>
                <w:sz w:val="24"/>
                <w:szCs w:val="24"/>
                <w:lang w:eastAsia="en-US"/>
              </w:rPr>
              <w:t>-0.65</w:t>
            </w:r>
          </w:p>
        </w:tc>
        <w:tc>
          <w:tcPr>
            <w:tcW w:w="707" w:type="dxa"/>
            <w:tcBorders>
              <w:top w:val="nil"/>
              <w:left w:val="nil"/>
              <w:bottom w:val="nil"/>
              <w:right w:val="nil"/>
            </w:tcBorders>
            <w:vAlign w:val="center"/>
          </w:tcPr>
          <w:p w14:paraId="5AFA7064" w14:textId="4CC6BB4A" w:rsidR="002275FC" w:rsidRPr="002275FC" w:rsidRDefault="002275FC" w:rsidP="002275FC">
            <w:pPr>
              <w:spacing w:line="360" w:lineRule="auto"/>
              <w:jc w:val="center"/>
              <w:rPr>
                <w:i/>
                <w:iCs/>
                <w:sz w:val="24"/>
                <w:szCs w:val="24"/>
                <w:lang w:val="es-ES" w:eastAsia="zh-CN"/>
              </w:rPr>
            </w:pPr>
            <w:r w:rsidRPr="002275FC">
              <w:rPr>
                <w:sz w:val="24"/>
                <w:szCs w:val="24"/>
                <w:lang w:eastAsia="en-US"/>
              </w:rPr>
              <w:t>.516</w:t>
            </w:r>
          </w:p>
        </w:tc>
      </w:tr>
      <w:tr w:rsidR="002275FC" w:rsidRPr="002275FC" w14:paraId="561FE547" w14:textId="77777777" w:rsidTr="002275FC">
        <w:tc>
          <w:tcPr>
            <w:tcW w:w="3681" w:type="dxa"/>
            <w:tcBorders>
              <w:top w:val="nil"/>
              <w:left w:val="nil"/>
              <w:bottom w:val="nil"/>
              <w:right w:val="nil"/>
            </w:tcBorders>
          </w:tcPr>
          <w:p w14:paraId="5BB2C810" w14:textId="36545F50" w:rsidR="002275FC" w:rsidRPr="002275FC" w:rsidRDefault="002275FC" w:rsidP="002275FC">
            <w:pPr>
              <w:spacing w:line="360" w:lineRule="auto"/>
              <w:ind w:left="457"/>
              <w:rPr>
                <w:sz w:val="24"/>
                <w:szCs w:val="24"/>
                <w:lang w:val="es-ES" w:eastAsia="en-US"/>
              </w:rPr>
            </w:pPr>
            <w:r w:rsidRPr="002275FC">
              <w:rPr>
                <w:sz w:val="24"/>
                <w:szCs w:val="24"/>
                <w:lang w:val="es-ES" w:eastAsia="en-US"/>
              </w:rPr>
              <w:t>Angustia</w:t>
            </w:r>
          </w:p>
        </w:tc>
        <w:tc>
          <w:tcPr>
            <w:tcW w:w="1026" w:type="dxa"/>
            <w:tcBorders>
              <w:top w:val="nil"/>
              <w:left w:val="nil"/>
              <w:bottom w:val="nil"/>
              <w:right w:val="nil"/>
            </w:tcBorders>
            <w:vAlign w:val="center"/>
          </w:tcPr>
          <w:p w14:paraId="74B1FA28" w14:textId="662CF921" w:rsidR="002275FC" w:rsidRPr="002275FC" w:rsidRDefault="002275FC" w:rsidP="002275FC">
            <w:pPr>
              <w:spacing w:line="360" w:lineRule="auto"/>
              <w:jc w:val="center"/>
              <w:rPr>
                <w:i/>
                <w:iCs/>
                <w:sz w:val="24"/>
                <w:szCs w:val="24"/>
                <w:lang w:val="es-ES" w:eastAsia="zh-CN"/>
              </w:rPr>
            </w:pPr>
            <w:r w:rsidRPr="002275FC">
              <w:rPr>
                <w:sz w:val="24"/>
                <w:szCs w:val="24"/>
                <w:lang w:eastAsia="en-US"/>
              </w:rPr>
              <w:t>5.96</w:t>
            </w:r>
          </w:p>
        </w:tc>
        <w:tc>
          <w:tcPr>
            <w:tcW w:w="756" w:type="dxa"/>
            <w:tcBorders>
              <w:top w:val="nil"/>
              <w:left w:val="nil"/>
              <w:bottom w:val="nil"/>
              <w:right w:val="nil"/>
            </w:tcBorders>
            <w:vAlign w:val="center"/>
          </w:tcPr>
          <w:p w14:paraId="6AD6C365" w14:textId="490CF2D1" w:rsidR="002275FC" w:rsidRPr="002275FC" w:rsidRDefault="002275FC" w:rsidP="002275FC">
            <w:pPr>
              <w:spacing w:line="360" w:lineRule="auto"/>
              <w:jc w:val="center"/>
              <w:rPr>
                <w:i/>
                <w:iCs/>
                <w:sz w:val="24"/>
                <w:szCs w:val="24"/>
                <w:lang w:val="es-ES" w:eastAsia="zh-CN"/>
              </w:rPr>
            </w:pPr>
            <w:r w:rsidRPr="002275FC">
              <w:rPr>
                <w:sz w:val="24"/>
                <w:szCs w:val="24"/>
                <w:lang w:eastAsia="en-US"/>
              </w:rPr>
              <w:t>2.76</w:t>
            </w:r>
          </w:p>
        </w:tc>
        <w:tc>
          <w:tcPr>
            <w:tcW w:w="756" w:type="dxa"/>
            <w:tcBorders>
              <w:top w:val="nil"/>
              <w:left w:val="nil"/>
              <w:bottom w:val="nil"/>
              <w:right w:val="nil"/>
            </w:tcBorders>
            <w:vAlign w:val="center"/>
          </w:tcPr>
          <w:p w14:paraId="4C12E510" w14:textId="30E3EA6E" w:rsidR="002275FC" w:rsidRPr="002275FC" w:rsidRDefault="002275FC" w:rsidP="002275FC">
            <w:pPr>
              <w:spacing w:line="360" w:lineRule="auto"/>
              <w:jc w:val="center"/>
              <w:rPr>
                <w:i/>
                <w:iCs/>
                <w:sz w:val="24"/>
                <w:szCs w:val="24"/>
                <w:lang w:val="es-ES" w:eastAsia="zh-CN"/>
              </w:rPr>
            </w:pPr>
            <w:r w:rsidRPr="002275FC">
              <w:rPr>
                <w:sz w:val="24"/>
                <w:szCs w:val="24"/>
                <w:lang w:eastAsia="en-US"/>
              </w:rPr>
              <w:t>6.32</w:t>
            </w:r>
          </w:p>
        </w:tc>
        <w:tc>
          <w:tcPr>
            <w:tcW w:w="798" w:type="dxa"/>
            <w:tcBorders>
              <w:top w:val="nil"/>
              <w:left w:val="nil"/>
              <w:bottom w:val="nil"/>
              <w:right w:val="nil"/>
            </w:tcBorders>
            <w:vAlign w:val="center"/>
          </w:tcPr>
          <w:p w14:paraId="0BEA7BE5" w14:textId="3481D563" w:rsidR="002275FC" w:rsidRPr="002275FC" w:rsidRDefault="002275FC" w:rsidP="002275FC">
            <w:pPr>
              <w:spacing w:line="360" w:lineRule="auto"/>
              <w:jc w:val="center"/>
              <w:rPr>
                <w:i/>
                <w:iCs/>
                <w:sz w:val="24"/>
                <w:szCs w:val="24"/>
                <w:lang w:val="es-ES" w:eastAsia="zh-CN"/>
              </w:rPr>
            </w:pPr>
            <w:r w:rsidRPr="002275FC">
              <w:rPr>
                <w:sz w:val="24"/>
                <w:szCs w:val="24"/>
                <w:lang w:eastAsia="en-US"/>
              </w:rPr>
              <w:t>2.85</w:t>
            </w:r>
          </w:p>
        </w:tc>
        <w:tc>
          <w:tcPr>
            <w:tcW w:w="847" w:type="dxa"/>
            <w:tcBorders>
              <w:top w:val="nil"/>
              <w:left w:val="nil"/>
              <w:bottom w:val="nil"/>
              <w:right w:val="nil"/>
            </w:tcBorders>
            <w:vAlign w:val="center"/>
          </w:tcPr>
          <w:p w14:paraId="3D9FB4F1" w14:textId="65120AD6" w:rsidR="002275FC" w:rsidRPr="002275FC" w:rsidRDefault="002275FC" w:rsidP="002275FC">
            <w:pPr>
              <w:spacing w:line="360" w:lineRule="auto"/>
              <w:jc w:val="center"/>
              <w:rPr>
                <w:i/>
                <w:iCs/>
                <w:sz w:val="24"/>
                <w:szCs w:val="24"/>
                <w:lang w:val="es-ES" w:eastAsia="zh-CN"/>
              </w:rPr>
            </w:pPr>
            <w:r w:rsidRPr="002275FC">
              <w:rPr>
                <w:sz w:val="24"/>
                <w:szCs w:val="24"/>
                <w:lang w:eastAsia="en-US"/>
              </w:rPr>
              <w:t>-0.5</w:t>
            </w:r>
          </w:p>
        </w:tc>
        <w:tc>
          <w:tcPr>
            <w:tcW w:w="707" w:type="dxa"/>
            <w:tcBorders>
              <w:top w:val="nil"/>
              <w:left w:val="nil"/>
              <w:bottom w:val="nil"/>
              <w:right w:val="nil"/>
            </w:tcBorders>
            <w:vAlign w:val="center"/>
          </w:tcPr>
          <w:p w14:paraId="32ED5698" w14:textId="2A868847" w:rsidR="002275FC" w:rsidRPr="002275FC" w:rsidRDefault="002275FC" w:rsidP="002275FC">
            <w:pPr>
              <w:spacing w:line="360" w:lineRule="auto"/>
              <w:jc w:val="center"/>
              <w:rPr>
                <w:i/>
                <w:iCs/>
                <w:sz w:val="24"/>
                <w:szCs w:val="24"/>
                <w:lang w:val="es-ES" w:eastAsia="zh-CN"/>
              </w:rPr>
            </w:pPr>
            <w:r w:rsidRPr="002275FC">
              <w:rPr>
                <w:sz w:val="24"/>
                <w:szCs w:val="24"/>
                <w:lang w:eastAsia="en-US"/>
              </w:rPr>
              <w:t>.619</w:t>
            </w:r>
          </w:p>
        </w:tc>
      </w:tr>
      <w:tr w:rsidR="002275FC" w:rsidRPr="002275FC" w14:paraId="653154D4" w14:textId="77777777" w:rsidTr="002275FC">
        <w:tc>
          <w:tcPr>
            <w:tcW w:w="3681" w:type="dxa"/>
            <w:tcBorders>
              <w:top w:val="nil"/>
              <w:left w:val="nil"/>
              <w:bottom w:val="nil"/>
              <w:right w:val="nil"/>
            </w:tcBorders>
          </w:tcPr>
          <w:p w14:paraId="24C1C326" w14:textId="1833650C" w:rsidR="002275FC" w:rsidRPr="002275FC" w:rsidRDefault="002275FC" w:rsidP="002275FC">
            <w:pPr>
              <w:spacing w:line="360" w:lineRule="auto"/>
              <w:ind w:left="457"/>
              <w:rPr>
                <w:sz w:val="24"/>
                <w:szCs w:val="24"/>
                <w:lang w:val="es-ES" w:eastAsia="en-US"/>
              </w:rPr>
            </w:pPr>
            <w:r w:rsidRPr="002275FC">
              <w:rPr>
                <w:sz w:val="24"/>
                <w:szCs w:val="24"/>
                <w:lang w:val="es-ES" w:eastAsia="en-US"/>
              </w:rPr>
              <w:t>Ayuda</w:t>
            </w:r>
          </w:p>
        </w:tc>
        <w:tc>
          <w:tcPr>
            <w:tcW w:w="1026" w:type="dxa"/>
            <w:tcBorders>
              <w:top w:val="nil"/>
              <w:left w:val="nil"/>
              <w:bottom w:val="nil"/>
              <w:right w:val="nil"/>
            </w:tcBorders>
            <w:vAlign w:val="center"/>
          </w:tcPr>
          <w:p w14:paraId="38685070" w14:textId="15938A41" w:rsidR="002275FC" w:rsidRPr="002275FC" w:rsidRDefault="002275FC" w:rsidP="002275FC">
            <w:pPr>
              <w:spacing w:line="360" w:lineRule="auto"/>
              <w:jc w:val="center"/>
              <w:rPr>
                <w:i/>
                <w:iCs/>
                <w:sz w:val="24"/>
                <w:szCs w:val="24"/>
                <w:lang w:val="es-ES" w:eastAsia="zh-CN"/>
              </w:rPr>
            </w:pPr>
            <w:r w:rsidRPr="002275FC">
              <w:rPr>
                <w:sz w:val="24"/>
                <w:szCs w:val="24"/>
                <w:lang w:eastAsia="en-US"/>
              </w:rPr>
              <w:t>5.31</w:t>
            </w:r>
          </w:p>
        </w:tc>
        <w:tc>
          <w:tcPr>
            <w:tcW w:w="756" w:type="dxa"/>
            <w:tcBorders>
              <w:top w:val="nil"/>
              <w:left w:val="nil"/>
              <w:bottom w:val="nil"/>
              <w:right w:val="nil"/>
            </w:tcBorders>
            <w:vAlign w:val="center"/>
          </w:tcPr>
          <w:p w14:paraId="14E2A50B" w14:textId="10CC0C2E" w:rsidR="002275FC" w:rsidRPr="002275FC" w:rsidRDefault="002275FC" w:rsidP="002275FC">
            <w:pPr>
              <w:spacing w:line="360" w:lineRule="auto"/>
              <w:jc w:val="center"/>
              <w:rPr>
                <w:i/>
                <w:iCs/>
                <w:sz w:val="24"/>
                <w:szCs w:val="24"/>
                <w:lang w:val="es-ES" w:eastAsia="zh-CN"/>
              </w:rPr>
            </w:pPr>
            <w:r w:rsidRPr="002275FC">
              <w:rPr>
                <w:sz w:val="24"/>
                <w:szCs w:val="24"/>
                <w:lang w:eastAsia="en-US"/>
              </w:rPr>
              <w:t>2.46</w:t>
            </w:r>
          </w:p>
        </w:tc>
        <w:tc>
          <w:tcPr>
            <w:tcW w:w="756" w:type="dxa"/>
            <w:tcBorders>
              <w:top w:val="nil"/>
              <w:left w:val="nil"/>
              <w:bottom w:val="nil"/>
              <w:right w:val="nil"/>
            </w:tcBorders>
            <w:vAlign w:val="center"/>
          </w:tcPr>
          <w:p w14:paraId="55E24DFE" w14:textId="32A54751" w:rsidR="002275FC" w:rsidRPr="002275FC" w:rsidRDefault="002275FC" w:rsidP="002275FC">
            <w:pPr>
              <w:spacing w:line="360" w:lineRule="auto"/>
              <w:jc w:val="center"/>
              <w:rPr>
                <w:i/>
                <w:iCs/>
                <w:sz w:val="24"/>
                <w:szCs w:val="24"/>
                <w:lang w:val="es-ES" w:eastAsia="zh-CN"/>
              </w:rPr>
            </w:pPr>
            <w:r w:rsidRPr="002275FC">
              <w:rPr>
                <w:sz w:val="24"/>
                <w:szCs w:val="24"/>
                <w:lang w:eastAsia="en-US"/>
              </w:rPr>
              <w:t>6.95</w:t>
            </w:r>
          </w:p>
        </w:tc>
        <w:tc>
          <w:tcPr>
            <w:tcW w:w="798" w:type="dxa"/>
            <w:tcBorders>
              <w:top w:val="nil"/>
              <w:left w:val="nil"/>
              <w:bottom w:val="nil"/>
              <w:right w:val="nil"/>
            </w:tcBorders>
            <w:vAlign w:val="center"/>
          </w:tcPr>
          <w:p w14:paraId="65D6EF8C" w14:textId="73E40F61" w:rsidR="002275FC" w:rsidRPr="002275FC" w:rsidRDefault="002275FC" w:rsidP="002275FC">
            <w:pPr>
              <w:spacing w:line="360" w:lineRule="auto"/>
              <w:jc w:val="center"/>
              <w:rPr>
                <w:i/>
                <w:iCs/>
                <w:sz w:val="24"/>
                <w:szCs w:val="24"/>
                <w:lang w:val="es-ES" w:eastAsia="zh-CN"/>
              </w:rPr>
            </w:pPr>
            <w:r w:rsidRPr="002275FC">
              <w:rPr>
                <w:sz w:val="24"/>
                <w:szCs w:val="24"/>
                <w:lang w:eastAsia="en-US"/>
              </w:rPr>
              <w:t>3.36</w:t>
            </w:r>
          </w:p>
        </w:tc>
        <w:tc>
          <w:tcPr>
            <w:tcW w:w="847" w:type="dxa"/>
            <w:tcBorders>
              <w:top w:val="nil"/>
              <w:left w:val="nil"/>
              <w:bottom w:val="nil"/>
              <w:right w:val="nil"/>
            </w:tcBorders>
            <w:vAlign w:val="center"/>
          </w:tcPr>
          <w:p w14:paraId="01B0CBBE" w14:textId="00369B4C" w:rsidR="002275FC" w:rsidRPr="002275FC" w:rsidRDefault="002275FC" w:rsidP="002275FC">
            <w:pPr>
              <w:spacing w:line="360" w:lineRule="auto"/>
              <w:jc w:val="center"/>
              <w:rPr>
                <w:i/>
                <w:iCs/>
                <w:sz w:val="24"/>
                <w:szCs w:val="24"/>
                <w:lang w:val="es-ES" w:eastAsia="zh-CN"/>
              </w:rPr>
            </w:pPr>
            <w:r w:rsidRPr="002275FC">
              <w:rPr>
                <w:sz w:val="24"/>
                <w:szCs w:val="24"/>
                <w:lang w:eastAsia="en-US"/>
              </w:rPr>
              <w:t>-2.36*</w:t>
            </w:r>
          </w:p>
        </w:tc>
        <w:tc>
          <w:tcPr>
            <w:tcW w:w="707" w:type="dxa"/>
            <w:tcBorders>
              <w:top w:val="nil"/>
              <w:left w:val="nil"/>
              <w:bottom w:val="nil"/>
              <w:right w:val="nil"/>
            </w:tcBorders>
            <w:vAlign w:val="center"/>
          </w:tcPr>
          <w:p w14:paraId="7684F17E" w14:textId="0626E26A" w:rsidR="002275FC" w:rsidRPr="002275FC" w:rsidRDefault="002275FC" w:rsidP="002275FC">
            <w:pPr>
              <w:spacing w:line="360" w:lineRule="auto"/>
              <w:jc w:val="center"/>
              <w:rPr>
                <w:i/>
                <w:iCs/>
                <w:sz w:val="24"/>
                <w:szCs w:val="24"/>
                <w:lang w:val="es-ES" w:eastAsia="zh-CN"/>
              </w:rPr>
            </w:pPr>
            <w:r w:rsidRPr="002275FC">
              <w:rPr>
                <w:sz w:val="24"/>
                <w:szCs w:val="24"/>
                <w:lang w:eastAsia="en-US"/>
              </w:rPr>
              <w:t>.021</w:t>
            </w:r>
          </w:p>
        </w:tc>
      </w:tr>
      <w:tr w:rsidR="002275FC" w:rsidRPr="002275FC" w14:paraId="180814B9" w14:textId="77777777" w:rsidTr="002275FC">
        <w:tc>
          <w:tcPr>
            <w:tcW w:w="3681" w:type="dxa"/>
            <w:tcBorders>
              <w:top w:val="nil"/>
              <w:left w:val="nil"/>
              <w:bottom w:val="nil"/>
              <w:right w:val="nil"/>
            </w:tcBorders>
          </w:tcPr>
          <w:p w14:paraId="5FA6843D" w14:textId="516D23BC" w:rsidR="002275FC" w:rsidRPr="002275FC" w:rsidRDefault="002275FC" w:rsidP="002275FC">
            <w:pPr>
              <w:spacing w:line="360" w:lineRule="auto"/>
              <w:ind w:left="457"/>
              <w:rPr>
                <w:sz w:val="24"/>
                <w:szCs w:val="24"/>
                <w:lang w:val="es-ES" w:eastAsia="en-US"/>
              </w:rPr>
            </w:pPr>
            <w:r w:rsidRPr="002275FC">
              <w:rPr>
                <w:sz w:val="24"/>
                <w:szCs w:val="24"/>
                <w:lang w:val="es-ES" w:eastAsia="en-US"/>
              </w:rPr>
              <w:t>Compulsión</w:t>
            </w:r>
          </w:p>
        </w:tc>
        <w:tc>
          <w:tcPr>
            <w:tcW w:w="1026" w:type="dxa"/>
            <w:tcBorders>
              <w:top w:val="nil"/>
              <w:left w:val="nil"/>
              <w:bottom w:val="nil"/>
              <w:right w:val="nil"/>
            </w:tcBorders>
            <w:vAlign w:val="center"/>
          </w:tcPr>
          <w:p w14:paraId="122C069C" w14:textId="5C56FB5A" w:rsidR="002275FC" w:rsidRPr="002275FC" w:rsidRDefault="002275FC" w:rsidP="002275FC">
            <w:pPr>
              <w:spacing w:line="360" w:lineRule="auto"/>
              <w:jc w:val="center"/>
              <w:rPr>
                <w:i/>
                <w:iCs/>
                <w:sz w:val="24"/>
                <w:szCs w:val="24"/>
                <w:lang w:val="es-ES" w:eastAsia="zh-CN"/>
              </w:rPr>
            </w:pPr>
            <w:r w:rsidRPr="002275FC">
              <w:rPr>
                <w:sz w:val="24"/>
                <w:szCs w:val="24"/>
                <w:lang w:eastAsia="en-US"/>
              </w:rPr>
              <w:t>4.56</w:t>
            </w:r>
          </w:p>
        </w:tc>
        <w:tc>
          <w:tcPr>
            <w:tcW w:w="756" w:type="dxa"/>
            <w:tcBorders>
              <w:top w:val="nil"/>
              <w:left w:val="nil"/>
              <w:bottom w:val="nil"/>
              <w:right w:val="nil"/>
            </w:tcBorders>
            <w:vAlign w:val="center"/>
          </w:tcPr>
          <w:p w14:paraId="3E06381C" w14:textId="7EFBEDE4" w:rsidR="002275FC" w:rsidRPr="002275FC" w:rsidRDefault="002275FC" w:rsidP="002275FC">
            <w:pPr>
              <w:spacing w:line="360" w:lineRule="auto"/>
              <w:jc w:val="center"/>
              <w:rPr>
                <w:i/>
                <w:iCs/>
                <w:sz w:val="24"/>
                <w:szCs w:val="24"/>
                <w:lang w:val="es-ES" w:eastAsia="zh-CN"/>
              </w:rPr>
            </w:pPr>
            <w:r w:rsidRPr="002275FC">
              <w:rPr>
                <w:sz w:val="24"/>
                <w:szCs w:val="24"/>
                <w:lang w:eastAsia="en-US"/>
              </w:rPr>
              <w:t>2.02</w:t>
            </w:r>
          </w:p>
        </w:tc>
        <w:tc>
          <w:tcPr>
            <w:tcW w:w="756" w:type="dxa"/>
            <w:tcBorders>
              <w:top w:val="nil"/>
              <w:left w:val="nil"/>
              <w:bottom w:val="nil"/>
              <w:right w:val="nil"/>
            </w:tcBorders>
            <w:vAlign w:val="center"/>
          </w:tcPr>
          <w:p w14:paraId="0FA34ECF" w14:textId="09ADC19A" w:rsidR="002275FC" w:rsidRPr="002275FC" w:rsidRDefault="002275FC" w:rsidP="002275FC">
            <w:pPr>
              <w:spacing w:line="360" w:lineRule="auto"/>
              <w:jc w:val="center"/>
              <w:rPr>
                <w:i/>
                <w:iCs/>
                <w:sz w:val="24"/>
                <w:szCs w:val="24"/>
                <w:lang w:val="es-ES" w:eastAsia="zh-CN"/>
              </w:rPr>
            </w:pPr>
            <w:r w:rsidRPr="002275FC">
              <w:rPr>
                <w:sz w:val="24"/>
                <w:szCs w:val="24"/>
                <w:lang w:eastAsia="en-US"/>
              </w:rPr>
              <w:t>5.05</w:t>
            </w:r>
          </w:p>
        </w:tc>
        <w:tc>
          <w:tcPr>
            <w:tcW w:w="798" w:type="dxa"/>
            <w:tcBorders>
              <w:top w:val="nil"/>
              <w:left w:val="nil"/>
              <w:bottom w:val="nil"/>
              <w:right w:val="nil"/>
            </w:tcBorders>
            <w:vAlign w:val="center"/>
          </w:tcPr>
          <w:p w14:paraId="07131D5D" w14:textId="0F2EE2F8" w:rsidR="002275FC" w:rsidRPr="002275FC" w:rsidRDefault="002275FC" w:rsidP="002275FC">
            <w:pPr>
              <w:spacing w:line="360" w:lineRule="auto"/>
              <w:jc w:val="center"/>
              <w:rPr>
                <w:i/>
                <w:iCs/>
                <w:sz w:val="24"/>
                <w:szCs w:val="24"/>
                <w:lang w:val="es-ES" w:eastAsia="zh-CN"/>
              </w:rPr>
            </w:pPr>
            <w:r w:rsidRPr="002275FC">
              <w:rPr>
                <w:sz w:val="24"/>
                <w:szCs w:val="24"/>
                <w:lang w:eastAsia="en-US"/>
              </w:rPr>
              <w:t>1.93</w:t>
            </w:r>
          </w:p>
        </w:tc>
        <w:tc>
          <w:tcPr>
            <w:tcW w:w="847" w:type="dxa"/>
            <w:tcBorders>
              <w:top w:val="nil"/>
              <w:left w:val="nil"/>
              <w:bottom w:val="nil"/>
              <w:right w:val="nil"/>
            </w:tcBorders>
            <w:vAlign w:val="center"/>
          </w:tcPr>
          <w:p w14:paraId="035A3B2D" w14:textId="49F06722" w:rsidR="002275FC" w:rsidRPr="002275FC" w:rsidRDefault="002275FC" w:rsidP="002275FC">
            <w:pPr>
              <w:spacing w:line="360" w:lineRule="auto"/>
              <w:jc w:val="center"/>
              <w:rPr>
                <w:i/>
                <w:iCs/>
                <w:sz w:val="24"/>
                <w:szCs w:val="24"/>
                <w:lang w:val="es-ES" w:eastAsia="zh-CN"/>
              </w:rPr>
            </w:pPr>
            <w:r w:rsidRPr="002275FC">
              <w:rPr>
                <w:sz w:val="24"/>
                <w:szCs w:val="24"/>
                <w:lang w:eastAsia="en-US"/>
              </w:rPr>
              <w:t>-0.95</w:t>
            </w:r>
          </w:p>
        </w:tc>
        <w:tc>
          <w:tcPr>
            <w:tcW w:w="707" w:type="dxa"/>
            <w:tcBorders>
              <w:top w:val="nil"/>
              <w:left w:val="nil"/>
              <w:bottom w:val="nil"/>
              <w:right w:val="nil"/>
            </w:tcBorders>
            <w:vAlign w:val="center"/>
          </w:tcPr>
          <w:p w14:paraId="379CDE47" w14:textId="1CC8AF16" w:rsidR="002275FC" w:rsidRPr="002275FC" w:rsidRDefault="002275FC" w:rsidP="002275FC">
            <w:pPr>
              <w:spacing w:line="360" w:lineRule="auto"/>
              <w:jc w:val="center"/>
              <w:rPr>
                <w:i/>
                <w:iCs/>
                <w:sz w:val="24"/>
                <w:szCs w:val="24"/>
                <w:lang w:val="es-ES" w:eastAsia="zh-CN"/>
              </w:rPr>
            </w:pPr>
            <w:r w:rsidRPr="002275FC">
              <w:rPr>
                <w:sz w:val="24"/>
                <w:szCs w:val="24"/>
                <w:lang w:eastAsia="en-US"/>
              </w:rPr>
              <w:t>.344</w:t>
            </w:r>
          </w:p>
        </w:tc>
      </w:tr>
      <w:tr w:rsidR="002275FC" w:rsidRPr="002275FC" w14:paraId="4AF0CF94" w14:textId="77777777" w:rsidTr="002275FC">
        <w:tc>
          <w:tcPr>
            <w:tcW w:w="3681" w:type="dxa"/>
            <w:tcBorders>
              <w:top w:val="nil"/>
              <w:left w:val="nil"/>
              <w:bottom w:val="nil"/>
              <w:right w:val="nil"/>
            </w:tcBorders>
          </w:tcPr>
          <w:p w14:paraId="3C1C6338" w14:textId="3916936E" w:rsidR="002275FC" w:rsidRPr="002275FC" w:rsidRDefault="002275FC" w:rsidP="002275FC">
            <w:pPr>
              <w:spacing w:line="360" w:lineRule="auto"/>
              <w:rPr>
                <w:sz w:val="24"/>
                <w:szCs w:val="24"/>
                <w:lang w:val="es-ES" w:eastAsia="en-US"/>
              </w:rPr>
            </w:pPr>
            <w:r w:rsidRPr="002275FC">
              <w:rPr>
                <w:sz w:val="24"/>
                <w:szCs w:val="24"/>
                <w:lang w:val="es-ES" w:eastAsia="en-US"/>
              </w:rPr>
              <w:t>Cuestionario de ansiedad estado-rasgo (STAI)</w:t>
            </w:r>
          </w:p>
        </w:tc>
        <w:tc>
          <w:tcPr>
            <w:tcW w:w="1026" w:type="dxa"/>
            <w:tcBorders>
              <w:top w:val="nil"/>
              <w:left w:val="nil"/>
              <w:bottom w:val="nil"/>
              <w:right w:val="nil"/>
            </w:tcBorders>
            <w:vAlign w:val="center"/>
          </w:tcPr>
          <w:p w14:paraId="28172872" w14:textId="77777777" w:rsidR="002275FC" w:rsidRPr="002275FC" w:rsidRDefault="002275FC" w:rsidP="002275FC">
            <w:pPr>
              <w:spacing w:line="360" w:lineRule="auto"/>
              <w:jc w:val="center"/>
              <w:rPr>
                <w:sz w:val="24"/>
                <w:szCs w:val="24"/>
                <w:lang w:eastAsia="en-US"/>
              </w:rPr>
            </w:pPr>
          </w:p>
        </w:tc>
        <w:tc>
          <w:tcPr>
            <w:tcW w:w="756" w:type="dxa"/>
            <w:tcBorders>
              <w:top w:val="nil"/>
              <w:left w:val="nil"/>
              <w:bottom w:val="nil"/>
              <w:right w:val="nil"/>
            </w:tcBorders>
            <w:vAlign w:val="center"/>
          </w:tcPr>
          <w:p w14:paraId="1B7773BC" w14:textId="77777777" w:rsidR="002275FC" w:rsidRPr="002275FC" w:rsidRDefault="002275FC" w:rsidP="002275FC">
            <w:pPr>
              <w:spacing w:line="360" w:lineRule="auto"/>
              <w:jc w:val="center"/>
              <w:rPr>
                <w:sz w:val="24"/>
                <w:szCs w:val="24"/>
                <w:lang w:eastAsia="en-US"/>
              </w:rPr>
            </w:pPr>
          </w:p>
        </w:tc>
        <w:tc>
          <w:tcPr>
            <w:tcW w:w="756" w:type="dxa"/>
            <w:tcBorders>
              <w:top w:val="nil"/>
              <w:left w:val="nil"/>
              <w:bottom w:val="nil"/>
              <w:right w:val="nil"/>
            </w:tcBorders>
            <w:vAlign w:val="center"/>
          </w:tcPr>
          <w:p w14:paraId="509FB05D" w14:textId="77777777" w:rsidR="002275FC" w:rsidRPr="002275FC" w:rsidRDefault="002275FC" w:rsidP="002275FC">
            <w:pPr>
              <w:spacing w:line="360" w:lineRule="auto"/>
              <w:jc w:val="center"/>
              <w:rPr>
                <w:sz w:val="24"/>
                <w:szCs w:val="24"/>
                <w:lang w:eastAsia="en-US"/>
              </w:rPr>
            </w:pPr>
          </w:p>
        </w:tc>
        <w:tc>
          <w:tcPr>
            <w:tcW w:w="798" w:type="dxa"/>
            <w:tcBorders>
              <w:top w:val="nil"/>
              <w:left w:val="nil"/>
              <w:bottom w:val="nil"/>
              <w:right w:val="nil"/>
            </w:tcBorders>
            <w:vAlign w:val="center"/>
          </w:tcPr>
          <w:p w14:paraId="193DBB0D" w14:textId="77777777" w:rsidR="002275FC" w:rsidRPr="002275FC" w:rsidRDefault="002275FC" w:rsidP="002275FC">
            <w:pPr>
              <w:spacing w:line="360" w:lineRule="auto"/>
              <w:jc w:val="center"/>
              <w:rPr>
                <w:sz w:val="24"/>
                <w:szCs w:val="24"/>
                <w:lang w:eastAsia="en-US"/>
              </w:rPr>
            </w:pPr>
          </w:p>
        </w:tc>
        <w:tc>
          <w:tcPr>
            <w:tcW w:w="847" w:type="dxa"/>
            <w:tcBorders>
              <w:top w:val="nil"/>
              <w:left w:val="nil"/>
              <w:bottom w:val="nil"/>
              <w:right w:val="nil"/>
            </w:tcBorders>
            <w:vAlign w:val="center"/>
          </w:tcPr>
          <w:p w14:paraId="703D9E56" w14:textId="77777777" w:rsidR="002275FC" w:rsidRPr="002275FC" w:rsidRDefault="002275FC" w:rsidP="002275FC">
            <w:pPr>
              <w:spacing w:line="360" w:lineRule="auto"/>
              <w:jc w:val="center"/>
              <w:rPr>
                <w:sz w:val="24"/>
                <w:szCs w:val="24"/>
                <w:lang w:eastAsia="en-US"/>
              </w:rPr>
            </w:pPr>
          </w:p>
        </w:tc>
        <w:tc>
          <w:tcPr>
            <w:tcW w:w="707" w:type="dxa"/>
            <w:tcBorders>
              <w:top w:val="nil"/>
              <w:left w:val="nil"/>
              <w:bottom w:val="nil"/>
              <w:right w:val="nil"/>
            </w:tcBorders>
            <w:vAlign w:val="center"/>
          </w:tcPr>
          <w:p w14:paraId="06F0476D" w14:textId="77777777" w:rsidR="002275FC" w:rsidRPr="002275FC" w:rsidRDefault="002275FC" w:rsidP="002275FC">
            <w:pPr>
              <w:spacing w:line="360" w:lineRule="auto"/>
              <w:jc w:val="center"/>
              <w:rPr>
                <w:sz w:val="24"/>
                <w:szCs w:val="24"/>
                <w:lang w:eastAsia="en-US"/>
              </w:rPr>
            </w:pPr>
          </w:p>
        </w:tc>
      </w:tr>
      <w:tr w:rsidR="002275FC" w:rsidRPr="002275FC" w14:paraId="20F4298F" w14:textId="77777777" w:rsidTr="002275FC">
        <w:tc>
          <w:tcPr>
            <w:tcW w:w="3681" w:type="dxa"/>
            <w:tcBorders>
              <w:top w:val="nil"/>
              <w:left w:val="nil"/>
              <w:bottom w:val="nil"/>
              <w:right w:val="nil"/>
            </w:tcBorders>
            <w:vAlign w:val="center"/>
          </w:tcPr>
          <w:p w14:paraId="6F00681E" w14:textId="18D533E8" w:rsidR="002275FC" w:rsidRPr="002275FC" w:rsidRDefault="002275FC" w:rsidP="002275FC">
            <w:pPr>
              <w:spacing w:line="360" w:lineRule="auto"/>
              <w:ind w:left="457"/>
              <w:rPr>
                <w:sz w:val="24"/>
                <w:szCs w:val="24"/>
                <w:lang w:val="es-ES" w:eastAsia="en-US"/>
              </w:rPr>
            </w:pPr>
            <w:r w:rsidRPr="002275FC">
              <w:rPr>
                <w:sz w:val="24"/>
                <w:szCs w:val="24"/>
                <w:lang w:val="es-ES" w:eastAsia="en-US"/>
              </w:rPr>
              <w:t>Ansiedad estado</w:t>
            </w:r>
          </w:p>
        </w:tc>
        <w:tc>
          <w:tcPr>
            <w:tcW w:w="1026" w:type="dxa"/>
            <w:tcBorders>
              <w:top w:val="nil"/>
              <w:left w:val="nil"/>
              <w:bottom w:val="nil"/>
              <w:right w:val="nil"/>
            </w:tcBorders>
            <w:vAlign w:val="center"/>
          </w:tcPr>
          <w:p w14:paraId="7DA74201" w14:textId="4052CB1B" w:rsidR="002275FC" w:rsidRPr="002275FC" w:rsidRDefault="002275FC" w:rsidP="002275FC">
            <w:pPr>
              <w:spacing w:line="360" w:lineRule="auto"/>
              <w:jc w:val="center"/>
              <w:rPr>
                <w:sz w:val="24"/>
                <w:szCs w:val="24"/>
                <w:lang w:eastAsia="en-US"/>
              </w:rPr>
            </w:pPr>
            <w:r w:rsidRPr="002275FC">
              <w:rPr>
                <w:sz w:val="24"/>
                <w:szCs w:val="24"/>
                <w:lang w:eastAsia="en-US"/>
              </w:rPr>
              <w:t>44.22</w:t>
            </w:r>
          </w:p>
        </w:tc>
        <w:tc>
          <w:tcPr>
            <w:tcW w:w="756" w:type="dxa"/>
            <w:tcBorders>
              <w:top w:val="nil"/>
              <w:left w:val="nil"/>
              <w:bottom w:val="nil"/>
              <w:right w:val="nil"/>
            </w:tcBorders>
            <w:vAlign w:val="center"/>
          </w:tcPr>
          <w:p w14:paraId="149C0AFD" w14:textId="7F44AC19" w:rsidR="002275FC" w:rsidRPr="002275FC" w:rsidRDefault="002275FC" w:rsidP="002275FC">
            <w:pPr>
              <w:spacing w:line="360" w:lineRule="auto"/>
              <w:jc w:val="center"/>
              <w:rPr>
                <w:sz w:val="24"/>
                <w:szCs w:val="24"/>
                <w:lang w:eastAsia="en-US"/>
              </w:rPr>
            </w:pPr>
            <w:r w:rsidRPr="002275FC">
              <w:rPr>
                <w:sz w:val="24"/>
                <w:szCs w:val="24"/>
                <w:lang w:eastAsia="en-US"/>
              </w:rPr>
              <w:t>13</w:t>
            </w:r>
          </w:p>
        </w:tc>
        <w:tc>
          <w:tcPr>
            <w:tcW w:w="756" w:type="dxa"/>
            <w:tcBorders>
              <w:top w:val="nil"/>
              <w:left w:val="nil"/>
              <w:bottom w:val="nil"/>
              <w:right w:val="nil"/>
            </w:tcBorders>
            <w:vAlign w:val="center"/>
          </w:tcPr>
          <w:p w14:paraId="415E51AB" w14:textId="113C487B" w:rsidR="002275FC" w:rsidRPr="002275FC" w:rsidRDefault="002275FC" w:rsidP="002275FC">
            <w:pPr>
              <w:spacing w:line="360" w:lineRule="auto"/>
              <w:jc w:val="center"/>
              <w:rPr>
                <w:sz w:val="24"/>
                <w:szCs w:val="24"/>
                <w:lang w:eastAsia="en-US"/>
              </w:rPr>
            </w:pPr>
            <w:r w:rsidRPr="002275FC">
              <w:rPr>
                <w:sz w:val="24"/>
                <w:szCs w:val="24"/>
                <w:lang w:eastAsia="en-US"/>
              </w:rPr>
              <w:t>45.47</w:t>
            </w:r>
          </w:p>
        </w:tc>
        <w:tc>
          <w:tcPr>
            <w:tcW w:w="798" w:type="dxa"/>
            <w:tcBorders>
              <w:top w:val="nil"/>
              <w:left w:val="nil"/>
              <w:bottom w:val="nil"/>
              <w:right w:val="nil"/>
            </w:tcBorders>
            <w:vAlign w:val="center"/>
          </w:tcPr>
          <w:p w14:paraId="5A6FEB14" w14:textId="2B1292A2" w:rsidR="002275FC" w:rsidRPr="002275FC" w:rsidRDefault="002275FC" w:rsidP="002275FC">
            <w:pPr>
              <w:spacing w:line="360" w:lineRule="auto"/>
              <w:jc w:val="center"/>
              <w:rPr>
                <w:sz w:val="24"/>
                <w:szCs w:val="24"/>
                <w:lang w:eastAsia="en-US"/>
              </w:rPr>
            </w:pPr>
            <w:r w:rsidRPr="002275FC">
              <w:rPr>
                <w:sz w:val="24"/>
                <w:szCs w:val="24"/>
                <w:lang w:eastAsia="en-US"/>
              </w:rPr>
              <w:t>10.18</w:t>
            </w:r>
          </w:p>
        </w:tc>
        <w:tc>
          <w:tcPr>
            <w:tcW w:w="847" w:type="dxa"/>
            <w:tcBorders>
              <w:top w:val="nil"/>
              <w:left w:val="nil"/>
              <w:bottom w:val="nil"/>
              <w:right w:val="nil"/>
            </w:tcBorders>
            <w:vAlign w:val="center"/>
          </w:tcPr>
          <w:p w14:paraId="129A55EE" w14:textId="7FD94432" w:rsidR="002275FC" w:rsidRPr="002275FC" w:rsidRDefault="002275FC" w:rsidP="002275FC">
            <w:pPr>
              <w:spacing w:line="360" w:lineRule="auto"/>
              <w:jc w:val="center"/>
              <w:rPr>
                <w:sz w:val="24"/>
                <w:szCs w:val="24"/>
                <w:lang w:eastAsia="en-US"/>
              </w:rPr>
            </w:pPr>
            <w:r w:rsidRPr="002275FC">
              <w:rPr>
                <w:sz w:val="24"/>
                <w:szCs w:val="24"/>
                <w:lang w:eastAsia="en-US"/>
              </w:rPr>
              <w:t>-0.39</w:t>
            </w:r>
          </w:p>
        </w:tc>
        <w:tc>
          <w:tcPr>
            <w:tcW w:w="707" w:type="dxa"/>
            <w:tcBorders>
              <w:top w:val="nil"/>
              <w:left w:val="nil"/>
              <w:bottom w:val="nil"/>
              <w:right w:val="nil"/>
            </w:tcBorders>
            <w:vAlign w:val="center"/>
          </w:tcPr>
          <w:p w14:paraId="45DF4202" w14:textId="0FBB7462" w:rsidR="002275FC" w:rsidRPr="002275FC" w:rsidRDefault="002275FC" w:rsidP="002275FC">
            <w:pPr>
              <w:spacing w:line="360" w:lineRule="auto"/>
              <w:jc w:val="center"/>
              <w:rPr>
                <w:sz w:val="24"/>
                <w:szCs w:val="24"/>
                <w:lang w:eastAsia="en-US"/>
              </w:rPr>
            </w:pPr>
            <w:r w:rsidRPr="002275FC">
              <w:rPr>
                <w:sz w:val="24"/>
                <w:szCs w:val="24"/>
                <w:lang w:eastAsia="en-US"/>
              </w:rPr>
              <w:t>.699</w:t>
            </w:r>
          </w:p>
        </w:tc>
      </w:tr>
      <w:tr w:rsidR="002275FC" w:rsidRPr="002275FC" w14:paraId="0857200C" w14:textId="77777777" w:rsidTr="002275FC">
        <w:tc>
          <w:tcPr>
            <w:tcW w:w="3681" w:type="dxa"/>
            <w:tcBorders>
              <w:top w:val="nil"/>
              <w:left w:val="nil"/>
              <w:right w:val="nil"/>
            </w:tcBorders>
            <w:vAlign w:val="center"/>
          </w:tcPr>
          <w:p w14:paraId="14A411CC" w14:textId="16BFA475" w:rsidR="002275FC" w:rsidRPr="002275FC" w:rsidRDefault="002275FC" w:rsidP="002275FC">
            <w:pPr>
              <w:spacing w:line="360" w:lineRule="auto"/>
              <w:ind w:left="457"/>
              <w:rPr>
                <w:sz w:val="24"/>
                <w:szCs w:val="24"/>
                <w:lang w:val="es-ES" w:eastAsia="en-US"/>
              </w:rPr>
            </w:pPr>
            <w:r w:rsidRPr="002275FC">
              <w:rPr>
                <w:sz w:val="24"/>
                <w:szCs w:val="24"/>
                <w:lang w:val="es-ES" w:eastAsia="en-US"/>
              </w:rPr>
              <w:t>Ansiedad rasgo</w:t>
            </w:r>
          </w:p>
        </w:tc>
        <w:tc>
          <w:tcPr>
            <w:tcW w:w="1026" w:type="dxa"/>
            <w:tcBorders>
              <w:top w:val="nil"/>
              <w:left w:val="nil"/>
              <w:right w:val="nil"/>
            </w:tcBorders>
            <w:vAlign w:val="center"/>
          </w:tcPr>
          <w:p w14:paraId="754B6AB7" w14:textId="4346A685" w:rsidR="002275FC" w:rsidRPr="002275FC" w:rsidRDefault="002275FC" w:rsidP="002275FC">
            <w:pPr>
              <w:spacing w:line="360" w:lineRule="auto"/>
              <w:jc w:val="center"/>
              <w:rPr>
                <w:sz w:val="24"/>
                <w:szCs w:val="24"/>
                <w:lang w:eastAsia="en-US"/>
              </w:rPr>
            </w:pPr>
            <w:r w:rsidRPr="002275FC">
              <w:rPr>
                <w:sz w:val="24"/>
                <w:szCs w:val="24"/>
                <w:lang w:eastAsia="en-US"/>
              </w:rPr>
              <w:t>43.37</w:t>
            </w:r>
          </w:p>
        </w:tc>
        <w:tc>
          <w:tcPr>
            <w:tcW w:w="756" w:type="dxa"/>
            <w:tcBorders>
              <w:top w:val="nil"/>
              <w:left w:val="nil"/>
              <w:right w:val="nil"/>
            </w:tcBorders>
            <w:vAlign w:val="center"/>
          </w:tcPr>
          <w:p w14:paraId="6949E3BE" w14:textId="4E06763B" w:rsidR="002275FC" w:rsidRPr="002275FC" w:rsidRDefault="002275FC" w:rsidP="002275FC">
            <w:pPr>
              <w:spacing w:line="360" w:lineRule="auto"/>
              <w:jc w:val="center"/>
              <w:rPr>
                <w:sz w:val="24"/>
                <w:szCs w:val="24"/>
                <w:lang w:eastAsia="en-US"/>
              </w:rPr>
            </w:pPr>
            <w:r w:rsidRPr="002275FC">
              <w:rPr>
                <w:sz w:val="24"/>
                <w:szCs w:val="24"/>
                <w:lang w:eastAsia="en-US"/>
              </w:rPr>
              <w:t>12.83</w:t>
            </w:r>
          </w:p>
        </w:tc>
        <w:tc>
          <w:tcPr>
            <w:tcW w:w="756" w:type="dxa"/>
            <w:tcBorders>
              <w:top w:val="nil"/>
              <w:left w:val="nil"/>
              <w:right w:val="nil"/>
            </w:tcBorders>
            <w:vAlign w:val="center"/>
          </w:tcPr>
          <w:p w14:paraId="52B2D434" w14:textId="50B54D88" w:rsidR="002275FC" w:rsidRPr="002275FC" w:rsidRDefault="002275FC" w:rsidP="002275FC">
            <w:pPr>
              <w:spacing w:line="360" w:lineRule="auto"/>
              <w:jc w:val="center"/>
              <w:rPr>
                <w:sz w:val="24"/>
                <w:szCs w:val="24"/>
                <w:lang w:eastAsia="en-US"/>
              </w:rPr>
            </w:pPr>
            <w:r w:rsidRPr="002275FC">
              <w:rPr>
                <w:sz w:val="24"/>
                <w:szCs w:val="24"/>
                <w:lang w:eastAsia="en-US"/>
              </w:rPr>
              <w:t>44.47</w:t>
            </w:r>
          </w:p>
        </w:tc>
        <w:tc>
          <w:tcPr>
            <w:tcW w:w="798" w:type="dxa"/>
            <w:tcBorders>
              <w:top w:val="nil"/>
              <w:left w:val="nil"/>
              <w:right w:val="nil"/>
            </w:tcBorders>
            <w:vAlign w:val="center"/>
          </w:tcPr>
          <w:p w14:paraId="3183A31C" w14:textId="02901125" w:rsidR="002275FC" w:rsidRPr="002275FC" w:rsidRDefault="002275FC" w:rsidP="002275FC">
            <w:pPr>
              <w:spacing w:line="360" w:lineRule="auto"/>
              <w:jc w:val="center"/>
              <w:rPr>
                <w:sz w:val="24"/>
                <w:szCs w:val="24"/>
                <w:lang w:eastAsia="en-US"/>
              </w:rPr>
            </w:pPr>
            <w:r w:rsidRPr="002275FC">
              <w:rPr>
                <w:sz w:val="24"/>
                <w:szCs w:val="24"/>
                <w:lang w:eastAsia="en-US"/>
              </w:rPr>
              <w:t>11.01</w:t>
            </w:r>
          </w:p>
        </w:tc>
        <w:tc>
          <w:tcPr>
            <w:tcW w:w="847" w:type="dxa"/>
            <w:tcBorders>
              <w:top w:val="nil"/>
              <w:left w:val="nil"/>
              <w:right w:val="nil"/>
            </w:tcBorders>
            <w:vAlign w:val="center"/>
          </w:tcPr>
          <w:p w14:paraId="2215494F" w14:textId="4D1A2CE5" w:rsidR="002275FC" w:rsidRPr="002275FC" w:rsidRDefault="002275FC" w:rsidP="002275FC">
            <w:pPr>
              <w:spacing w:line="360" w:lineRule="auto"/>
              <w:jc w:val="center"/>
              <w:rPr>
                <w:sz w:val="24"/>
                <w:szCs w:val="24"/>
                <w:lang w:eastAsia="en-US"/>
              </w:rPr>
            </w:pPr>
            <w:r w:rsidRPr="002275FC">
              <w:rPr>
                <w:sz w:val="24"/>
                <w:szCs w:val="24"/>
                <w:lang w:eastAsia="en-US"/>
              </w:rPr>
              <w:t>-0.34</w:t>
            </w:r>
          </w:p>
        </w:tc>
        <w:tc>
          <w:tcPr>
            <w:tcW w:w="707" w:type="dxa"/>
            <w:tcBorders>
              <w:top w:val="nil"/>
              <w:left w:val="nil"/>
              <w:right w:val="nil"/>
            </w:tcBorders>
            <w:vAlign w:val="center"/>
          </w:tcPr>
          <w:p w14:paraId="25AA10E6" w14:textId="256C9C49" w:rsidR="002275FC" w:rsidRPr="002275FC" w:rsidRDefault="002275FC" w:rsidP="002275FC">
            <w:pPr>
              <w:spacing w:line="360" w:lineRule="auto"/>
              <w:jc w:val="center"/>
              <w:rPr>
                <w:sz w:val="24"/>
                <w:szCs w:val="24"/>
                <w:lang w:eastAsia="en-US"/>
              </w:rPr>
            </w:pPr>
            <w:r w:rsidRPr="002275FC">
              <w:rPr>
                <w:sz w:val="24"/>
                <w:szCs w:val="24"/>
                <w:lang w:eastAsia="en-US"/>
              </w:rPr>
              <w:t>.733</w:t>
            </w:r>
          </w:p>
        </w:tc>
      </w:tr>
    </w:tbl>
    <w:p w14:paraId="7DFABAB0" w14:textId="427F3747" w:rsidR="00457107" w:rsidRPr="002275FC" w:rsidRDefault="00457107" w:rsidP="00457107">
      <w:pPr>
        <w:widowControl w:val="0"/>
        <w:autoSpaceDE w:val="0"/>
        <w:autoSpaceDN w:val="0"/>
        <w:adjustRightInd w:val="0"/>
        <w:spacing w:line="360" w:lineRule="auto"/>
        <w:ind w:left="480" w:hanging="480"/>
        <w:rPr>
          <w:lang w:val="es-ES"/>
        </w:rPr>
      </w:pPr>
      <w:r w:rsidRPr="002275FC">
        <w:rPr>
          <w:i/>
          <w:iCs/>
          <w:lang w:val="es-ES"/>
        </w:rPr>
        <w:t>Nota</w:t>
      </w:r>
      <w:r w:rsidR="00380346">
        <w:rPr>
          <w:i/>
          <w:iCs/>
          <w:lang w:val="es-ES"/>
        </w:rPr>
        <w:t>.</w:t>
      </w:r>
      <w:r w:rsidRPr="002275FC">
        <w:rPr>
          <w:lang w:val="es-ES"/>
        </w:rPr>
        <w:t xml:space="preserve"> </w:t>
      </w:r>
      <w:r w:rsidRPr="002275FC">
        <w:rPr>
          <w:i/>
          <w:iCs/>
          <w:lang w:val="es-ES"/>
        </w:rPr>
        <w:t>M</w:t>
      </w:r>
      <w:r w:rsidRPr="002275FC">
        <w:rPr>
          <w:lang w:val="es-ES"/>
        </w:rPr>
        <w:t xml:space="preserve"> = media; </w:t>
      </w:r>
      <w:r w:rsidRPr="002275FC">
        <w:rPr>
          <w:i/>
          <w:iCs/>
          <w:lang w:val="es-ES"/>
        </w:rPr>
        <w:t>DT</w:t>
      </w:r>
      <w:r w:rsidRPr="002275FC">
        <w:rPr>
          <w:lang w:val="es-ES"/>
        </w:rPr>
        <w:t xml:space="preserve"> = desviación típica; * significativo a p &lt; .021</w:t>
      </w:r>
    </w:p>
    <w:p w14:paraId="447FF1EE" w14:textId="77777777" w:rsidR="00EC31A6" w:rsidRPr="00EC31A6" w:rsidRDefault="00EC31A6" w:rsidP="00EC31A6">
      <w:pPr>
        <w:pStyle w:val="Prrafocomn"/>
        <w:rPr>
          <w:bCs/>
          <w:lang w:val="es-DO"/>
        </w:rPr>
      </w:pPr>
      <w:r w:rsidRPr="00EC31A6">
        <w:rPr>
          <w:bCs/>
          <w:lang w:val="es-DO"/>
        </w:rPr>
        <w:tab/>
        <w:t xml:space="preserve">Para contestar la tercera pregunta de investigación, se crearon variables nuevas a partir de las variables ansiedad de salud y ansiedad estado. La literatura establece como punto de corte 45 puntos en ansiedad de salud. Las personas que obtienen más de 45 puntos, tienen mayor probabilidad de cumplir criterios diagnósticos para hipocondriasis. La variable ansiedad de salud fue dicotomizada (0 = personas con puntuaciones entre 0 y 44, 1 = personas con puntuaciones por encima de los 45 puntos). Este mismo procedimiento se hizo con la variable ansiedad estado, cuyo punto de corte es 40 puntos. Estas nuevas variables fueron denominadas hipocondriasis y ansiedad clínica. </w:t>
      </w:r>
    </w:p>
    <w:p w14:paraId="7B7103F6" w14:textId="77777777" w:rsidR="00EC31A6" w:rsidRPr="00EC31A6" w:rsidRDefault="00EC31A6" w:rsidP="00EC31A6">
      <w:pPr>
        <w:pStyle w:val="Prrafocomn"/>
        <w:rPr>
          <w:bCs/>
          <w:lang w:val="es-DO"/>
        </w:rPr>
      </w:pPr>
      <w:r w:rsidRPr="00EC31A6">
        <w:rPr>
          <w:bCs/>
          <w:lang w:val="es-DO"/>
        </w:rPr>
        <w:tab/>
        <w:t xml:space="preserve">Se realizó una prueba chi cuadrado de independencia comparando la frecuencia de cumplir criterios diagnósticos de hipocondriasis en personas en riesgo de complicaciones por COVID-19 y personas que no están en riesgo. Se observó una </w:t>
      </w:r>
      <w:r w:rsidRPr="00EC31A6">
        <w:rPr>
          <w:bCs/>
          <w:lang w:val="es-DO"/>
        </w:rPr>
        <w:lastRenderedPageBreak/>
        <w:t>asociación significativa (</w:t>
      </w:r>
      <w:r w:rsidRPr="00EC31A6">
        <w:rPr>
          <w:bCs/>
          <w:i/>
          <w:lang w:val="es-DO"/>
        </w:rPr>
        <w:t>X</w:t>
      </w:r>
      <w:r w:rsidRPr="00EC31A6">
        <w:rPr>
          <w:bCs/>
          <w:i/>
          <w:vertAlign w:val="superscript"/>
          <w:lang w:val="es-DO"/>
        </w:rPr>
        <w:t>2</w:t>
      </w:r>
      <w:r w:rsidRPr="00EC31A6">
        <w:rPr>
          <w:bCs/>
          <w:lang w:val="es-DO"/>
        </w:rPr>
        <w:t xml:space="preserve">(1) = 6.47, </w:t>
      </w:r>
      <w:r w:rsidRPr="00EC31A6">
        <w:rPr>
          <w:bCs/>
          <w:i/>
          <w:lang w:val="es-DO"/>
        </w:rPr>
        <w:t>p</w:t>
      </w:r>
      <w:r w:rsidRPr="00EC31A6">
        <w:rPr>
          <w:bCs/>
          <w:lang w:val="es-DO"/>
        </w:rPr>
        <w:t xml:space="preserve"> &lt; .011) con un tamaño mediano (φ = .27).  Las personas percibidas en riesgo tienen más posibilidades de cumplir con los criterios diagnósticos de hipocondriasis (31.58%) que las personas que no se identificaron en riesgo (8.8%). En otras palabras, las personas en riesgo de complicaciones por COVID-19 son 4.77 veces más propensas de cumplir criterios diagnósticos de hipocondriasis que aquellas que no están en riesgo (</w:t>
      </w:r>
      <w:r w:rsidRPr="00EC31A6">
        <w:rPr>
          <w:bCs/>
          <w:i/>
          <w:lang w:val="es-DO"/>
        </w:rPr>
        <w:t>OR</w:t>
      </w:r>
      <w:r w:rsidRPr="00EC31A6">
        <w:rPr>
          <w:bCs/>
          <w:lang w:val="es-DO"/>
        </w:rPr>
        <w:t xml:space="preserve"> = 4.77, 95%</w:t>
      </w:r>
      <w:r w:rsidRPr="00EC31A6">
        <w:rPr>
          <w:bCs/>
          <w:i/>
          <w:lang w:val="es-DO"/>
        </w:rPr>
        <w:t xml:space="preserve"> CI</w:t>
      </w:r>
      <w:r w:rsidRPr="00EC31A6">
        <w:rPr>
          <w:bCs/>
          <w:lang w:val="es-DO"/>
        </w:rPr>
        <w:t xml:space="preserve"> [1.33 – 17.15]).</w:t>
      </w:r>
    </w:p>
    <w:p w14:paraId="39B1DFAA" w14:textId="03CD3119" w:rsidR="00EC31A6" w:rsidRDefault="00EC31A6" w:rsidP="00EC31A6">
      <w:pPr>
        <w:pStyle w:val="Prrafocomn"/>
        <w:rPr>
          <w:bCs/>
          <w:lang w:val="es-DO"/>
        </w:rPr>
      </w:pPr>
      <w:r w:rsidRPr="00EC31A6">
        <w:rPr>
          <w:bCs/>
          <w:lang w:val="es-DO"/>
        </w:rPr>
        <w:tab/>
        <w:t xml:space="preserve">Se realizó una prueba chi cuadrado de independencia comparando la frecuencia de cumplir criterios diagnósticos de ansiedad clínica en personas percibidas en riesgo de complicaciones por COVID-19 y personas que no se perciben en riesgo. No se observaron asociaciones significativas. </w:t>
      </w:r>
    </w:p>
    <w:p w14:paraId="2AD64DCE" w14:textId="3332C6E6" w:rsidR="000E491F" w:rsidRPr="00471F54" w:rsidRDefault="000E491F" w:rsidP="000E491F">
      <w:pPr>
        <w:pStyle w:val="Ttulosinternos"/>
        <w:rPr>
          <w:lang w:val="es-AR"/>
        </w:rPr>
      </w:pPr>
      <w:r>
        <w:rPr>
          <w:lang w:val="es-AR"/>
        </w:rPr>
        <w:t>Discusión</w:t>
      </w:r>
    </w:p>
    <w:p w14:paraId="1C543469" w14:textId="3C2B4DC3" w:rsidR="000E491F" w:rsidRPr="000E491F" w:rsidRDefault="000E491F" w:rsidP="000E491F">
      <w:pPr>
        <w:pStyle w:val="Prrafocomn"/>
        <w:spacing w:line="440" w:lineRule="exact"/>
        <w:rPr>
          <w:lang w:val="es-DO"/>
        </w:rPr>
      </w:pPr>
      <w:r w:rsidRPr="000E491F">
        <w:rPr>
          <w:lang w:val="es-ES"/>
        </w:rPr>
        <w:t xml:space="preserve">El propósito de este estudio fue establecer el poder de predicción de la ansiedad por salud, ansiedad rasgo y ansiedad estado sobre la cibercondría, en participantes dominicanos adultos. El modelo de mejor ajuste seleccionó dos predicciones de la cibercondría: ansiedad por salud con el mayor coeficiente estandarizado de regresión, y ansiedad rasgo. En el caso de la ansiedad por salud, estos resultados coinciden con los demostrados en otras investigaciones, que encontraron que la cibercondría surge de una preocupación de salud </w:t>
      </w:r>
      <w:r w:rsidRPr="000E491F">
        <w:rPr>
          <w:lang w:val="es-ES"/>
        </w:rPr>
        <w:fldChar w:fldCharType="begin" w:fldLock="1"/>
      </w:r>
      <w:r w:rsidRPr="000E491F">
        <w:rPr>
          <w:lang w:val="es-ES"/>
        </w:rPr>
        <w:instrText>ADDIN CSL_CITATION {"citationItems":[{"id":"ITEM-1","itemData":{"DOI":"10.1007/s11126-019-09640-5","ISBN":"1112601909640","ISSN":"15736709","PMID":"31098922","abstract":"Cyberchondria denotes repeated online searches for health information that are associated with increasing levels of health anxiety. The aims of this study were to apply network analysis to investigate the extent to which cyberchondria is a distinct construct, ascertain which of the related constructs have the strongest relationships with cyberchondria and investigate whether some of the symptoms of cyberchondria are more central to the construct of cyberchondria. Questionnaires assessing the severity of cyberchondria, health anxiety, obsessive-compulsive disorder symptoms, intolerance of uncertainty, problematic Internet use, anxiety, depression and somatic symptoms were administered to 751 participants who searched for health information online during a previous 3-month period and were recruited from an online crowdsourcing platform. Network analyses were used to compute the networks, perform community detection tests and calculate centrality indices. Results suggest that cyberchondria is a relatively specific syndrome-like construct, distinct from all related constructs and consisting of interrelated symptoms. It has the strongest relationships with problematic Internet use and health anxiety. No symptom of cyberchondria emerged clearly as more central to the construct of cyberchondria. Future research should aim to deepen our understanding of cyberchondria and its links with psychopathology, especially its close relationship with problematic Internet use.","author":[{"dropping-particle":"","family":"Starcevic","given":"Vladan","non-dropping-particle":"","parse-names":false,"suffix":""},{"dropping-particle":"","family":"Baggio","given":"Stéphanie","non-dropping-particle":"","parse-names":false,"suffix":""},{"dropping-particle":"","family":"Berle","given":"David","non-dropping-particle":"","parse-names":false,"suffix":""},{"dropping-particle":"","family":"Khazaal","given":"Yasser","non-dropping-particle":"","parse-names":false,"suffix":""},{"dropping-particle":"","family":"Viswasam","given":"Kirupamani","non-dropping-particle":"","parse-names":false,"suffix":""}],"container-title":"Psychiatric Quarterly","id":"ITEM-1","issue":"3","issued":{"date-parts":[["2019"]]},"note":"Un análisis de redes mostró fuertes relaciones entre la cibercondria y la ansiedad de salud, así como la cibercondria y el uso problemático del internet. De igual forma, se encontraron relaciones débiles entre cibercondría y ansiedad, y cibercondría y depresión.","page":"491-505","publisher":"Psychiatric Quarterly","title":"Cyberchondria and its relationships with related constructs: A network analysis","type":"article-journal","volume":"90"},"uris":["http://www.mendeley.com/documents/?uuid=d8741c35-0b06-4ecf-be92-4921f071a56b"]},{"id":"ITEM-2","itemData":{"DOI":"10.1016/j.jad.2018.11.037","ISSN":"15732517","PMID":"30419526","abstract":"Background: Cyberchondria refers to an abnormal behavioral pattern in which excessive or repeated online searches for health-related information are distressing or anxiety-provoking. Health anxiety has been found to be associated with both online health information seeking and cyberchondria. The aims of the present systematic review and meta-analysis were to examine the magnitude of these associations and identify any moderator variables. Methods: A systematic literature search was performed across several databases (PsycINFO, PubMed, Embase) and reference lists of included studies. Results: Twenty studies were included across two independent meta-analyses, with 7373 participants. Random effects meta-analyses showed that there was a positive correlation between health anxiety and online health information seeking [r = 0.34, 95% CI (0.20, 0.48), p &lt;.0001], and between health anxiety and cyberchondria [r = 0.62, 95% CI (0.52, 0.71), p &lt;.0001]. A meta-regression indicated that the age of study participants [Q(1) = 4.58, p =.03] was partly responsible for the heterogeneity found for the relationship between health anxiety and cyberchondria. Limitations: The generalizability and validity of our findings are restricted by the methodological limitations of the primary studies, namely, an over-reliance on a single measure of cyberchondria, the Cyberchondria Severity Scale. Conclusions: Our review found a positive correlation between health anxiety and online health information seeking, and between health anxiety and cyberchondria. Further research should aim to explore the contexts for these associations as well as address the identified limitations of the extant literature.","author":[{"dropping-particle":"","family":"McMullan","given":"Ryan D.","non-dropping-particle":"","parse-names":false,"suffix":""},{"dropping-particle":"","family":"Berle","given":"David","non-dropping-particle":"","parse-names":false,"suffix":""},{"dropping-particle":"","family":"Arnáez","given":"Sandra","non-dropping-particle":"","parse-names":false,"suffix":""},{"dropping-particle":"","family":"Starcevic","given":"Vladan","non-dropping-particle":"","parse-names":false,"suffix":""}],"container-title":"Journal of Affective Disorders","id":"ITEM-2","issued":{"date-parts":[["2019"]]},"note":"Melody: Cuidar acentos, errores ortográficos. No utilizar acrónimos. Este estudio tes importante para su investigación por sus hallazgos no por compartir la misma variable de estudio.\n\nLa presente revision de la literatura se realizo para examinar los datos existentes sobre la relacion existente entre la AE y la busquedas por internet, la cybercondria y potenciales fuentes e indicadores de estos trastornos. Para esto, los investigadores determinaron que solo los articulos de observacion o experimentales que trataban los temas a investigar serian admitidos en la revision, asi como tambien la publicacion de los mismos en revistas indexadas e idioma ingles. Para el control de calidad se exigieron un total de 19 criterios. El estudio encontro cierta relacion entre AE y busquedas por internet asi como la certeza de que uno de los principales predictores de la busqueda de informacion sobre la salud esta relacionada con la experiencia de AE. Este estudio es relevante para nuestra investigacion ya que aborda las variables AE, Cybercondria las cuales son de nuestro interes, asi como tambien el aporte de datos utiles. En nuestro estudio, dichas variables serán correlacionadas con covid-19.","page":"270-278","title":"The relationships between health anxiety, online health information seeking, and cyberchondria: Systematic review and meta-analysis","type":"article-journal","volume":"245"},"uris":["http://www.mendeley.com/documents/?uuid=f877f970-1917-411b-a67f-77cc80628e4b"]}],"mendeley":{"formattedCitation":"(McMullan et al., 2019; Starcevic et al., 2019)","plainTextFormattedCitation":"(McMullan et al., 2019; Starcevic et al., 2019)","previouslyFormattedCitation":"(McMullan et al., 2019; Starcevic et al., 2019)"},"properties":{"noteIndex":0},"schema":"https://github.com/citation-style-language/schema/raw/master/csl-citation.json"}</w:instrText>
      </w:r>
      <w:r w:rsidRPr="000E491F">
        <w:rPr>
          <w:lang w:val="es-ES"/>
        </w:rPr>
        <w:fldChar w:fldCharType="separate"/>
      </w:r>
      <w:r w:rsidRPr="000E491F">
        <w:rPr>
          <w:lang w:val="es-ES"/>
        </w:rPr>
        <w:t>(McMullan et al., 2019; Starcevic et al., 2019)</w:t>
      </w:r>
      <w:r w:rsidRPr="000E491F">
        <w:rPr>
          <w:lang w:val="es-ES_tradnl"/>
        </w:rPr>
        <w:fldChar w:fldCharType="end"/>
      </w:r>
      <w:r w:rsidRPr="000E491F">
        <w:rPr>
          <w:lang w:val="es-ES"/>
        </w:rPr>
        <w:t xml:space="preserve">. En el caso de la ansiedad, otros autores encontraron una relación entre cibercondría y ansiedad </w:t>
      </w:r>
      <w:r w:rsidRPr="000E491F">
        <w:rPr>
          <w:lang w:val="es-ES"/>
        </w:rPr>
        <w:fldChar w:fldCharType="begin" w:fldLock="1"/>
      </w:r>
      <w:r w:rsidRPr="000E491F">
        <w:rPr>
          <w:lang w:val="es-ES"/>
        </w:rPr>
        <w:instrText>ADDIN CSL_CITATION {"citationItems":[{"id":"ITEM-1","itemData":{"DOI":"10.1007/s11126-019-09640-5","ISBN":"1112601909640","ISSN":"15736709","PMID":"31098922","abstract":"Cyberchondria denotes repeated online searches for health information that are associated with increasing levels of health anxiety. The aims of this study were to apply network analysis to investigate the extent to which cyberchondria is a distinct construct, ascertain which of the related constructs have the strongest relationships with cyberchondria and investigate whether some of the symptoms of cyberchondria are more central to the construct of cyberchondria. Questionnaires assessing the severity of cyberchondria, health anxiety, obsessive-compulsive disorder symptoms, intolerance of uncertainty, problematic Internet use, anxiety, depression and somatic symptoms were administered to 751 participants who searched for health information online during a previous 3-month period and were recruited from an online crowdsourcing platform. Network analyses were used to compute the networks, perform community detection tests and calculate centrality indices. Results suggest that cyberchondria is a relatively specific syndrome-like construct, distinct from all related constructs and consisting of interrelated symptoms. It has the strongest relationships with problematic Internet use and health anxiety. No symptom of cyberchondria emerged clearly as more central to the construct of cyberchondria. Future research should aim to deepen our understanding of cyberchondria and its links with psychopathology, especially its close relationship with problematic Internet use.","author":[{"dropping-particle":"","family":"Starcevic","given":"Vladan","non-dropping-particle":"","parse-names":false,"suffix":""},{"dropping-particle":"","family":"Baggio","given":"Stéphanie","non-dropping-particle":"","parse-names":false,"suffix":""},{"dropping-particle":"","family":"Berle","given":"David","non-dropping-particle":"","parse-names":false,"suffix":""},{"dropping-particle":"","family":"Khazaal","given":"Yasser","non-dropping-particle":"","parse-names":false,"suffix":""},{"dropping-particle":"","family":"Viswasam","given":"Kirupamani","non-dropping-particle":"","parse-names":false,"suffix":""}],"container-title":"Psychiatric Quarterly","id":"ITEM-1","issue":"3","issued":{"date-parts":[["2019"]]},"note":"Un análisis de redes mostró fuertes relaciones entre la cibercondria y la ansiedad de salud, así como la cibercondria y el uso problemático del internet. De igual forma, se encontraron relaciones débiles entre cibercondría y ansiedad, y cibercondría y depresión.","page":"491-505","publisher":"Psychiatric Quarterly","title":"Cyberchondria and its relationships with related constructs: A network analysis","type":"article-journal","volume":"90"},"uris":["http://www.mendeley.com/documents/?uuid=d8741c35-0b06-4ecf-be92-4921f071a56b"]}],"mendeley":{"formattedCitation":"(Starcevic et al., 2019)","plainTextFormattedCitation":"(Starcevic et al., 2019)","previouslyFormattedCitation":"(Starcevic et al., 2019)"},"properties":{"noteIndex":0},"schema":"https://github.com/citation-style-language/schema/raw/master/csl-citation.json"}</w:instrText>
      </w:r>
      <w:r w:rsidRPr="000E491F">
        <w:rPr>
          <w:lang w:val="es-ES"/>
        </w:rPr>
        <w:fldChar w:fldCharType="separate"/>
      </w:r>
      <w:r w:rsidRPr="000E491F">
        <w:rPr>
          <w:lang w:val="es-ES"/>
        </w:rPr>
        <w:t>(Starcevic et al., 2019)</w:t>
      </w:r>
      <w:r w:rsidRPr="000E491F">
        <w:rPr>
          <w:lang w:val="es-ES_tradnl"/>
        </w:rPr>
        <w:fldChar w:fldCharType="end"/>
      </w:r>
      <w:r w:rsidRPr="000E491F">
        <w:rPr>
          <w:lang w:val="es-ES"/>
        </w:rPr>
        <w:t xml:space="preserve">, y en nuestro estudio, encontramos que la ansiedad rasgo obtuvo mucho más peso en la predicción de la cibercondría que la ansiedad estado. Considerando que la ansiedad rasgo es una </w:t>
      </w:r>
      <w:r w:rsidRPr="000E491F">
        <w:rPr>
          <w:lang w:val="es-DO"/>
        </w:rPr>
        <w:t xml:space="preserve">característica de la personalidad, los resultados sugieren </w:t>
      </w:r>
      <w:r w:rsidRPr="000E491F">
        <w:rPr>
          <w:lang w:val="es-ES"/>
        </w:rPr>
        <w:t xml:space="preserve">que las personas que tienden </w:t>
      </w:r>
      <w:r w:rsidRPr="000E491F">
        <w:rPr>
          <w:lang w:val="es-DO"/>
        </w:rPr>
        <w:t>a responder con inquietudes, problemas y preocupaciones ante algún evento adverso</w:t>
      </w:r>
      <w:r w:rsidRPr="000E491F">
        <w:rPr>
          <w:lang w:val="es-ES"/>
        </w:rPr>
        <w:t>, pueden desarrollar con más facilidad cibercondría, independientemente de la respuesta de ansiedad inicial que se tenga ante un evento.</w:t>
      </w:r>
      <w:r w:rsidRPr="000E491F">
        <w:rPr>
          <w:lang w:val="es-DO"/>
        </w:rPr>
        <w:t xml:space="preserve"> </w:t>
      </w:r>
    </w:p>
    <w:p w14:paraId="656B5FE8" w14:textId="2B06827B" w:rsidR="000E491F" w:rsidRPr="000E491F" w:rsidRDefault="000E491F" w:rsidP="000E491F">
      <w:pPr>
        <w:pStyle w:val="Prrafocomn"/>
        <w:spacing w:line="440" w:lineRule="exact"/>
        <w:rPr>
          <w:lang w:val="es-DO"/>
        </w:rPr>
      </w:pPr>
      <w:r w:rsidRPr="000E491F">
        <w:rPr>
          <w:lang w:val="es-ES"/>
        </w:rPr>
        <w:tab/>
        <w:t xml:space="preserve">El segundo propósito de investigación fue explorar si existían diferencias en las variables del estudio entre participantes que se percibían en riesgo de complicaciones por COVID-19 y participantes que no se percibían en riesgo. Las personas que se consideran en riesgo de tener complicaciones por COVID-19 obtuvieron puntuaciones marginalmente más altas en ansiedad por salud y en la subescala de búsqueda de ayuda que pertenece a la </w:t>
      </w:r>
      <w:r w:rsidR="00195707" w:rsidRPr="000E491F">
        <w:rPr>
          <w:lang w:val="es-ES"/>
        </w:rPr>
        <w:t>cibercondría</w:t>
      </w:r>
      <w:r w:rsidRPr="000E491F">
        <w:rPr>
          <w:lang w:val="es-ES"/>
        </w:rPr>
        <w:t xml:space="preserve">. Esto denota que los participantes en riesgo tienden a </w:t>
      </w:r>
      <w:r w:rsidRPr="000E491F">
        <w:rPr>
          <w:lang w:val="es-ES"/>
        </w:rPr>
        <w:lastRenderedPageBreak/>
        <w:t xml:space="preserve">consultar directamente a profesionales de la salud </w:t>
      </w:r>
      <w:r w:rsidRPr="000E491F">
        <w:rPr>
          <w:lang w:val="es-DO"/>
        </w:rPr>
        <w:t xml:space="preserve">tras la búsqueda en internet </w:t>
      </w:r>
      <w:r w:rsidRPr="000E491F">
        <w:rPr>
          <w:lang w:val="es-ES"/>
        </w:rPr>
        <w:t xml:space="preserve">en comparación a los participantes que no se perciben en riesgo. En lo que respecta a las variables de ansiedad estado y ansiedad rasgo, no hubo diferencias significativas entre los grupos, esto quiere decir, que los participantes independientemente si se perciben en riesgo o no, presentan niveles similares de ansiedad. Este hallazgo es similar a estudios previos que reportaron niveles altos de ansiedad estado independientemente de la percepción de riesgo de sus participantes </w:t>
      </w:r>
      <w:r w:rsidRPr="000E491F">
        <w:rPr>
          <w:lang w:val="es-ES"/>
        </w:rPr>
        <w:fldChar w:fldCharType="begin" w:fldLock="1"/>
      </w:r>
      <w:r w:rsidRPr="000E491F">
        <w:rPr>
          <w:lang w:val="es-ES"/>
        </w:rPr>
        <w:instrText>ADDIN CSL_CITATION {"citationItems":[{"id":"ITEM-1","itemData":{"DOI":"10.3389/fpsyg.2020.567505","ISSN":"16641078","abstract":"The COVID-19 pandemic is showing a strong impact on people in terms of uncertainty and instability it has caused in different areas of daily life. Uncertainty and instability are also emotions that characterize emerging adulthood (EA). They generate worries about the present and the future and are a source of anxiety that impacts negatively on personal and interpersonal functioning. Anxiety seems a central effect of the pandemic and recent studies have suggested that it is linked to COVID-19 risk perception. In the present study, a sample of 1045 Italian emerging adults was collected: (1) to assess anxiety severity and perceived risk related to COVID-19 and their association and (2) to compare general health and protective factors such as attitudes about security, relationships, self-esteem, and self-efficacy across anxiety severity and perceived risk categories. The findings of this study highlighted that anxiety severity categories were distributed homogeneously across the sample and that half of the participants referred to moderate-severe anxiety. A series of analysis of variances and post hoc comparisons showed that general health and all protective factors decreased according to anxiety severity. They were higher in participants with high perceived risk, with the exception of self-efficacy. Given the challenging features of the pandemic and EA, it is crucial to monitor anxiety severity in order to prevent last longing effects on mental and physical health, as well as keeping emerging adults informed about the risks related to the pandemic. Intervention and supportive programs based on improving self-esteem and self-efficacy, as well as confidence in relationships, should be offered to emerging adults over the long term, beyond the current outbreak.","author":[{"dropping-particle":"","family":"Germani","given":"Alessandro","non-dropping-particle":"","parse-names":false,"suffix":""},{"dropping-particle":"","family":"Buratta","given":"Livia","non-dropping-particle":"","parse-names":false,"suffix":""},{"dropping-particle":"","family":"Delvecchio","given":"Elisa","non-dropping-particle":"","parse-names":false,"suffix":""},{"dropping-particle":"","family":"Gizzi","given":"Giulia","non-dropping-particle":"","parse-names":false,"suffix":""},{"dropping-particle":"","family":"Mazzeschi","given":"Claudia","non-dropping-particle":"","parse-names":false,"suffix":""}],"container-title":"Frontiers in Psychology","id":"ITEM-1","issued":{"date-parts":[["2020"]]},"note":"Bibliografía anotada:\n\nEl propósito de este estudio fue determinar si existe una correlación entre el rendimiento académico y el perfeccionismo en estudiantes universitarios. Para esto, los autores encuestaron a 112 estudiantes de una universidad privada de Santo Domingo utilizando la Escala de Perfeccionismo Multidimensional y sus respectivos récords de nota. El estudio encontró una correlación moderada entre el perfeccionismo y el rendimiento académico. Los autores explican que esto puede deberse a que los estudiantes durante la etapa primera de su formación experimentan sensación de vacío y ansiedad. Este estudio es relevante para el nuestro, ya que aborda la variable perfeccionismo en nuestra población de interés. En nuestro estudio, dicha variable será correlacionada con ansiedad.","page":"567505","title":"Anxiety severity, perceived risk of COVID-19 and individual functioning in emerging adults facing the pandemic","type":"article-journal","volume":"11"},"uris":["http://www.mendeley.com/documents/?uuid=e57bac88-6608-4610-9a1a-0d59bffab08b"]},{"id":"ITEM-2","itemData":{"DOI":"10.3389/fpubh.2020.00236","ISSN":"22962565","abstract":"Lin, Y., Hu, Z., Alias, H., &amp; Wong, L. P. (2020). Knowledge, Attitudes, Impact, and Anxiety Regarding COVID-19 Infection Among the Public in China. Frontiers in Public Health, 8, 236. Objectives: Sufficient knowledge and positive attitudes are crucial to the prevention of COVID-19. However, little is known about public awareness and attitudes regarding COVID-19 in China. The impact of COVID-19 on the societal well-being and anxiety levels of the public has never been documented. The aim of this study was to survey the knowledge, attitudes, impact, and anxiety levels of the people of China in relation to the COVID-19 outbreak. Method: A cross-sectional population survey using an online questionnaire was undertaken between Jan 24 and Feb 24, 2020. The study participants were residents of mainland China over the age of 18 years. The attitude items in this study measured the perceived threat of COVID-19 based on the Health Belief Model. Anxiety was measured with the State-Trait Anxiety Inventory (STAI), a self-reported questionnaire that measure both state (STAI-S), and trait anxiety (STAI-T) Results: A total of 2,446 completed responses were received. The mean and standard deviation (SD) for the total knowledge score was 20.3 (SD ± 2.9) out of a possible score of 23. The social disruption and household economic impact were notable, particularly in provinces with higher cumulative confirmed cases. The majority of responses indicated a low perceived susceptibility of being infected (86.7% [95%CI 85.4–88.1]), with a fair proportion of respondents perceiving a higher severity (62.9% [95% CI 61.0–64.8]). The mean total impact score was 9.9 (SD ± 3.8) out of a possible score of 15. The mean score for STAI-S was 48.7 (SD ± 10.8), whereas the mean STAI-T score was 45.7 (SD ± 8.5). By demographics, women reported significantly higher odds for higher levels of both STAI-S (OR = 1.67) and STAI-T (OR = 1.30) compared to men. People of a younger age were also more likely to experience higher STAI-S and STAI-T. Higher perceived susceptibility and severity and impact were strong predictors of higher levels of STAI-S and STAI-T. Conclusion: Our findings can assist in tailoring public communication to change people's knowledge and attitudes. The present study also underlined the importance of the promotion of mental health during infectious disease outbreaks to help in moderating the perceived threat, social and household economic impact, targeting the vulnerable segment o…","author":[{"dropping-particle":"","family":"Lin","given":"Yulan","non-dropping-particle":"","parse-names":false,"suffix":""},{"dropping-particle":"","family":"Hu","given":"Zhijian","non-dropping-particle":"","parse-names":false,"suffix":""},{"dropping-particle":"","family":"Alias","given":"Haridah","non-dropping-particle":"","parse-names":false,"suffix":""},{"dropping-particle":"","family":"Wong","given":"Li Ping","non-dropping-particle":"","parse-names":false,"suffix":""}],"container-title":"Frontiers in Public Health","id":"ITEM-2","issued":{"date-parts":[["2020"]]},"page":"236","title":"Knowledge, attitudes, impact, and anxiety regarding COVID-19 infection among the public in China","type":"article-journal","volume":"8"},"uris":["http://www.mendeley.com/documents/?uuid=3020a134-b2bd-4089-befc-39bbbafe6d3e"]},{"id":"ITEM-3","itemData":{"DOI":"10.1186/s12992-020-00589-w","ISSN":"1744-8603","PMID":"32631403","abstract":"Background: The COVID-19 pandemic has had a significant impact on public mental health. Therefore, monitoring and oversight of the population mental health during crises such as a panedmic is an immediate priority. The aim of this study is to analyze the existing research works and findings in relation to the prevalence of stress, anxiety and depression in the general population during the COVID-19 pandemic. Method: In this systematic review and meta-analysis, articles that have focused on stress and anxiety prevalence among the general population during the COVID-19 pandemic were searched in the Science Direct, Embase, Scopus, PubMed, Web of Science (ISI) and Google Scholar databases, without a lower time limit and until May 2020. In order to perform a meta-analysis of the collected studies, the random effects model was used, and the heterogeneity of studies was investigated using the I2 index. Moreover. data analysis was conducted using the Comprehensive Meta-Analysis (CMA) software. Results: The prevalence of stress in 5 studies with a total sample size of 9074 is obtained as 29.6% (95% confidence limit: 24.3-35.4), the prevalence of anxiety in 17 studies with a sample size of 63,439 as 31.9% (95% confidence interval: 27.5-36.7), and the prevalence of depression in 14 studies with a sample size of 44,531 people as 33.7% (95% confidence interval: 27.5-40.6). Conclusion: COVID-19 not only causes physical health concerns but also results in a number of psychological disorders. The spread of the new coronavirus can impact the mental health of people in different communities. Thus, it is essential to preserve the mental health of individuals and to develop psychological interventions that can improve the mental health of vulnerable groups during the COVID-19 pandemic.","author":[{"dropping-particle":"","family":"Salari","given":"Nader","non-dropping-particle":"","parse-names":false,"suffix":""},{"dropping-particle":"","family":"Hosseinian-Far","given":"Amin","non-dropping-particle":"","parse-names":false,"suffix":""},{"dropping-particle":"","family":"Jalali","given":"Rostam","non-dropping-particle":"","parse-names":false,"suffix":""},{"dropping-particle":"","family":"Vaisi-Raygani","given":"Aliakbar","non-dropping-particle":"","parse-names":false,"suffix":""},{"dropping-particle":"","family":"Rasoulpoor","given":"Shna","non-dropping-particle":"","parse-names":false,"suffix":""},{"dropping-particle":"","family":"Mohammadi","given":"Masoud","non-dropping-particle":"","parse-names":false,"suffix":""},{"dropping-particle":"","family":"Rasoulpoor","given":"Shabnam","non-dropping-particle":"","parse-names":false,"suffix":""},{"dropping-particle":"","family":"Khaledi-Paveh","given":"Behnam","non-dropping-particle":"","parse-names":false,"suffix":""}],"container-title":"Globalization and Health","id":"ITEM-3","issued":{"date-parts":[["2020","12","6"]]},"page":"57","publisher":"Globalization and Health","title":"Prevalence of stress, anxiety, depression among the general population during the COVID-19 pandemic: A systematic review and meta-analysis","type":"article-journal","volume":"16"},"uris":["http://www.mendeley.com/documents/?uuid=6684afa7-48ce-4b42-8c0e-dc887101d381"]}],"mendeley":{"formattedCitation":"(Germani et al., 2020; Lin et al., 2020; Salari et al., 2020)","plainTextFormattedCitation":"(Germani et al., 2020; Lin et al., 2020; Salari et al., 2020)","previouslyFormattedCitation":"(Germani et al., 2020; Lin et al., 2020; Salari et al., 2020)"},"properties":{"noteIndex":0},"schema":"https://github.com/citation-style-language/schema/raw/master/csl-citation.json"}</w:instrText>
      </w:r>
      <w:r w:rsidRPr="000E491F">
        <w:rPr>
          <w:lang w:val="es-ES"/>
        </w:rPr>
        <w:fldChar w:fldCharType="separate"/>
      </w:r>
      <w:r w:rsidRPr="000E491F">
        <w:rPr>
          <w:lang w:val="es-ES"/>
        </w:rPr>
        <w:t>(Germani et al., 2020; Lin et al., 2020; Salari et al., 2020)</w:t>
      </w:r>
      <w:r w:rsidRPr="000E491F">
        <w:rPr>
          <w:lang w:val="es-ES_tradnl"/>
        </w:rPr>
        <w:fldChar w:fldCharType="end"/>
      </w:r>
      <w:r w:rsidRPr="000E491F">
        <w:rPr>
          <w:lang w:val="es-ES"/>
        </w:rPr>
        <w:t>.</w:t>
      </w:r>
    </w:p>
    <w:p w14:paraId="634B3739" w14:textId="77777777" w:rsidR="000E491F" w:rsidRPr="000E491F" w:rsidRDefault="000E491F" w:rsidP="000E491F">
      <w:pPr>
        <w:pStyle w:val="Prrafocomn"/>
        <w:spacing w:line="440" w:lineRule="exact"/>
        <w:rPr>
          <w:lang w:val="es-DO"/>
        </w:rPr>
      </w:pPr>
      <w:r w:rsidRPr="000E491F">
        <w:rPr>
          <w:lang w:val="es-ES"/>
        </w:rPr>
        <w:tab/>
        <w:t xml:space="preserve">El tercer propósito de la investigación fue conocer el riesgo de tener cibercondría y ansiedad clínica entre los participantes que se perciben en riesgo de complicaciones por COVID-19 y los que no. Los resultados muestran que una persona que se considera en riesgo es 4.77 veces más propensa a cumplir criterios diagnósticos de hipocondriasis. Sin embargo, </w:t>
      </w:r>
      <w:r w:rsidRPr="000E491F">
        <w:rPr>
          <w:lang w:val="es-DO"/>
        </w:rPr>
        <w:t xml:space="preserve">no es más propensa a cumplir criterios diagnósticos de ansiedad clínica. Esto sugiere que el riesgo de desarrollar un trastorno de ansiedad en el contexto de la pandemia es el mismo en personas percibidas en riesgo de complicaciones por COVID-19 y personas que piensan no estar en riesgo. Esto confirma la literatura, que indica que en la hipocondriasis, el miedo a la enfermedad o los síntomas médicos inexplicables son el foco de preocupación principal, diferente a los trastornos de ansiedad, donde las personas tienen preocupaciones por múltiples situaciones, actividades y/o sucesos </w:t>
      </w:r>
      <w:r w:rsidRPr="000E491F">
        <w:rPr>
          <w:lang w:val="es-DO"/>
        </w:rPr>
        <w:fldChar w:fldCharType="begin" w:fldLock="1"/>
      </w:r>
      <w:r w:rsidRPr="000E491F">
        <w:rPr>
          <w:lang w:val="es-DO"/>
        </w:rPr>
        <w:instrText>ADDIN CSL_CITATION {"citationItems":[{"id":"ITEM-1","itemData":{"abstract":"(2013). (5th ed.). Arlington, VA: Author.","author":[{"dropping-particle":"","family":"American Psychiatric Association","given":"","non-dropping-particle":"","parse-names":false,"suffix":""}],"edition":"5th ed.","id":"ITEM-1","issued":{"date-parts":[["2013"]]},"publisher":"Author","publisher-place":"Arlington, VA","title":"Diagnostic and statistical manual of mental disorders","type":"book"},"uris":["http://www.mendeley.com/documents/?uuid=61d600a0-a45d-4e4b-bfc1-a5aab46929cf"]}],"mendeley":{"formattedCitation":"(American Psychiatric Association, 2013)","plainTextFormattedCitation":"(American Psychiatric Association, 2013)","previouslyFormattedCitation":"(American Psychiatric Association, 2013)"},"properties":{"noteIndex":0},"schema":"https://github.com/citation-style-language/schema/raw/master/csl-citation.json"}</w:instrText>
      </w:r>
      <w:r w:rsidRPr="000E491F">
        <w:rPr>
          <w:lang w:val="es-DO"/>
        </w:rPr>
        <w:fldChar w:fldCharType="separate"/>
      </w:r>
      <w:r w:rsidRPr="000E491F">
        <w:rPr>
          <w:lang w:val="es-DO"/>
        </w:rPr>
        <w:t>(American Psychiatric Association, 2013)</w:t>
      </w:r>
      <w:r w:rsidRPr="000E491F">
        <w:rPr>
          <w:lang w:val="es-ES_tradnl"/>
        </w:rPr>
        <w:fldChar w:fldCharType="end"/>
      </w:r>
      <w:r w:rsidRPr="000E491F">
        <w:rPr>
          <w:lang w:val="es-DO"/>
        </w:rPr>
        <w:t xml:space="preserve">. Sugerimos que los niveles más altos de ansiedad por salud en quienes se perciben en riesgo se deben a que son conscientes de tener mayor probabilidad de complicaciones severas en caso de contraer COVID-19. Sin embargo, todos los participantes han estado expuestos a los cambios de estilos de vida e incertidumbre provocados por la pandemia, lo que explica que el riesgo de desarrollar un trastorno de ansiedad, sea el mismo.  </w:t>
      </w:r>
    </w:p>
    <w:p w14:paraId="57926DC8" w14:textId="77777777" w:rsidR="000E491F" w:rsidRPr="000E491F" w:rsidRDefault="000E491F" w:rsidP="000E491F">
      <w:pPr>
        <w:pStyle w:val="Prrafocomn"/>
        <w:spacing w:line="440" w:lineRule="exact"/>
        <w:rPr>
          <w:lang w:val="es-DO"/>
        </w:rPr>
      </w:pPr>
      <w:r w:rsidRPr="000E491F">
        <w:rPr>
          <w:lang w:val="es-ES"/>
        </w:rPr>
        <w:t xml:space="preserve">Los análisis descriptivos muestran que el 64% de la muestra cumple con los criterios diagnósticos de ansiedad clínica, y que el 14% de la muestra cumple con criterios diagnósticos de hipocondriasis. Estos resultados deben interpretarse con cautela, ya que no contamos con las puntuaciones de los participantes de antes de la pandemia. No obstante, es importante interpretarlos en el contexto dominicano. </w:t>
      </w:r>
      <w:r w:rsidRPr="000E491F">
        <w:rPr>
          <w:lang w:val="es-DO"/>
        </w:rPr>
        <w:t xml:space="preserve">Debido al contexto político en el que inició la pandemia y la forma en la que está configurado el sistema de </w:t>
      </w:r>
      <w:r w:rsidRPr="000E491F">
        <w:rPr>
          <w:lang w:val="es-DO"/>
        </w:rPr>
        <w:lastRenderedPageBreak/>
        <w:t xml:space="preserve">salud de la República Dominicana, los ciudadanos dominicanos pueden estar en riesgo de desarrollar cibercondría. </w:t>
      </w:r>
      <w:r w:rsidRPr="000E491F">
        <w:rPr>
          <w:lang w:val="es-DO"/>
        </w:rPr>
        <w:fldChar w:fldCharType="begin" w:fldLock="1"/>
      </w:r>
      <w:r w:rsidRPr="000E491F">
        <w:rPr>
          <w:lang w:val="es-DO"/>
        </w:rPr>
        <w:instrText>ADDIN CSL_CITATION {"citationItems":[{"id":"ITEM-1","itemData":{"DOI":"10.4269/ajtmh.20-0234","ISSN":"14761645","PMID":"32358952","abstract":"The first case of novel coronavirus disease (COVID-19) in the Dominican Republic coincided with a period of political crisis. Distrust in governmental institutions shaped the critical phase of early response. Having a weak public health infrastructure and a lack of public trust, the Ministry of Health (MoH) began the fight against COVID-19 with a losing streak. Within 45 days of the first reported case, the political crisis and turmoil caused by “fake news” are limiting the capacity and success of the MoH response to the pandemic.","author":[{"dropping-particle":"","family":"Tapia","given":"Leandro","non-dropping-particle":"","parse-names":false,"suffix":""}],"container-title":"American Journal of Tropical Medicine and Hygiene","id":"ITEM-1","issue":"6","issued":{"date-parts":[["2020"]]},"page":"1172-1174","title":"COVID-19 and fake news in the Dominican Republic","type":"article-journal","volume":"102"},"uris":["http://www.mendeley.com/documents/?uuid=4966a33b-8fc1-44aa-aa24-df1c959c30a2"]}],"mendeley":{"formattedCitation":"(Tapia, 2020)","manualFormatting":"Tapia (2020)","plainTextFormattedCitation":"(Tapia, 2020)","previouslyFormattedCitation":"(Tapia, 2020)"},"properties":{"noteIndex":0},"schema":"https://github.com/citation-style-language/schema/raw/master/csl-citation.json"}</w:instrText>
      </w:r>
      <w:r w:rsidRPr="000E491F">
        <w:rPr>
          <w:lang w:val="es-DO"/>
        </w:rPr>
        <w:fldChar w:fldCharType="separate"/>
      </w:r>
      <w:r w:rsidRPr="000E491F">
        <w:rPr>
          <w:lang w:val="es-DO"/>
        </w:rPr>
        <w:t>Tapia (2020)</w:t>
      </w:r>
      <w:r w:rsidRPr="000E491F">
        <w:rPr>
          <w:lang w:val="es-ES_tradnl"/>
        </w:rPr>
        <w:fldChar w:fldCharType="end"/>
      </w:r>
      <w:r w:rsidRPr="000E491F">
        <w:rPr>
          <w:lang w:val="es-DO"/>
        </w:rPr>
        <w:t xml:space="preserve"> reportó que el primer caso de COVID-19 sucedió semanas después de una crisis electoral que llevó a la ciudadanía a desconfiar de las autoridades. En segundo lugar, el autor señala dificultades en la población en general en discernir entre las noticias basadas en la evidencia y las </w:t>
      </w:r>
      <w:r w:rsidRPr="000E491F">
        <w:rPr>
          <w:i/>
          <w:iCs/>
          <w:lang w:val="es-DO"/>
        </w:rPr>
        <w:t>fake news</w:t>
      </w:r>
      <w:r w:rsidRPr="000E491F">
        <w:rPr>
          <w:lang w:val="es-DO"/>
        </w:rPr>
        <w:t xml:space="preserve">, así como una dificultad en entender la evidencia científica generada desde la academia, lo que hace que parte del mismo personal de salud prescriba tratamientos profilácticos aún no aprobados para su uso en COVID-19, confundiendo aún más a la población general. </w:t>
      </w:r>
    </w:p>
    <w:p w14:paraId="278A76F6" w14:textId="668A3AF2" w:rsidR="000E491F" w:rsidRPr="000E491F" w:rsidRDefault="00864F59" w:rsidP="000E491F">
      <w:pPr>
        <w:pStyle w:val="Prrafocomn"/>
        <w:spacing w:line="440" w:lineRule="exact"/>
        <w:rPr>
          <w:lang w:val="es-DO"/>
        </w:rPr>
      </w:pPr>
      <w:r w:rsidRPr="00864F59">
        <w:rPr>
          <w:lang w:val="es-DO"/>
        </w:rPr>
        <w:t>Los resultados de este estudio coinciden con los de Mencía-Ripley et al. (2021), quienes encontraron que los adultos dominicanos reportan tener malestar psicológico durante los primeros meses de la pandemia de COVID-19</w:t>
      </w:r>
      <w:r w:rsidR="000E491F" w:rsidRPr="000E491F">
        <w:rPr>
          <w:lang w:val="es-DO"/>
        </w:rPr>
        <w:t xml:space="preserve">. Los autores establecieron la relación entre este malestar psicológico y desconfianza a las autoridades de salud. La desconfianza produce ambigüedad e incertidumbre, lo que aumenta la cibercondría </w:t>
      </w:r>
      <w:r w:rsidR="000E491F" w:rsidRPr="000E491F">
        <w:rPr>
          <w:lang w:val="es-DO"/>
        </w:rPr>
        <w:fldChar w:fldCharType="begin" w:fldLock="1"/>
      </w:r>
      <w:r w:rsidR="000E491F" w:rsidRPr="000E491F">
        <w:rPr>
          <w:lang w:val="es-DO"/>
        </w:rPr>
        <w:instrText>ADDIN CSL_CITATION {"citationItems":[{"id":"ITEM-1","itemData":{"DOI":"10.1586/ern.12.162","ISSN":"14737175","PMID":"23368807","abstract":"Looking for information about symptoms and illnesses on the Internet is common and often serves useful purposes. However, a number of people who are overly distressed or anxious about their health perform excessive or repeated health-related searches on the Internet, only to become more distressed or frightened - a pattern defined here as cyberchondria. This behavior, which can also be construed as a form of reassurance seeking and occurs as a manifestation of health anxiety and hypochondriasis, is the focus of this article. The antecedents of cyberchondria, factors that maintain it and its consequences are examined conceptually and in light of the relatively little research that has been performed so far. Managing cyberchondria poses a challenge, and several approaches as part of the treatment of health anxiety and hypochondriasis are described. The article makes suggestions for further research on cyberchondria. © 2013 2013 Expert Reviews Ltd.","author":[{"dropping-particle":"","family":"Starcevic","given":"Vladan","non-dropping-particle":"","parse-names":false,"suffix":""},{"dropping-particle":"","family":"Berle","given":"David","non-dropping-particle":"","parse-names":false,"suffix":""}],"container-title":"Expert Review of Neurotherapeutics","id":"ITEM-1","issue":"2","issued":{"date-parts":[["2013"]]},"note":"La cibercondría se define como la búsqueda constante de información de salud en páginas de internet con la intención de disminuir la ansiedad que produce un tema médico. No obstante, en vez de reducir la ansiedad, esta búsqueda la exacerba.\n\n\nLa cibercondría está conformado por un patrón de comportamientos resultado de la ansiedad por salud e hipocondriasisi.\n\nUna búsqueda excesiva de seguridad.","page":"205-213","title":"Cyberchondria: Towards a better understanding of excessive health-related Internet use","type":"article-journal","volume":"13"},"uris":["http://www.mendeley.com/documents/?uuid=5de5ff9e-021e-4880-9437-6ecd63980f7e"]},{"id":"ITEM-2","itemData":{"author":[{"dropping-particle":"","family":"Schimmenti","given":"A","non-dropping-particle":"","parse-names":false,"suffix":""},{"dropping-particle":"","family":"Billieux","given":"J","non-dropping-particle":"","parse-names":false,"suffix":""},{"dropping-particle":"","family":"Starcevic","given":"V","non-dropping-particle":"","parse-names":false,"suffix":""}],"container-title":"Clinical Neuropsychiatry","id":"ITEM-2","issue":"2","issued":{"date-parts":[["2020"]]},"note":"Melody: Buena justificación. Recuerden los acentos!!!!!\n\nEl proposito del presente articulo teorico fue exponer una teoria en base a cuatro pilares del actuar y el malestar de las personas durante la pandemia de covid-19. Diseñando un modelo de situaciones y respuestas en comun a las que se ven expuestos todos los seres humanos. Estando estas altamente relacionadas con la ansiedad y el miedo. Este articulo es relevante para nuestro estudio ya que, nos ofrece un modelo explicativo sobre el actuar de las personas, que podria ser utilizado para la recoleccion de datos en nuestra investigacion. Es de recalcar que en nuestro estudio la variable ansiedad será correlacionada con el COVID-19","page":"41-45","title":"The four horsemen of fear during the COVID pandemic","type":"article-journal","volume":"17"},"uris":["http://www.mendeley.com/documents/?uuid=7553b7e0-989c-4f08-ad36-0fa54772daaa"]},{"id":"ITEM-3","itemData":{"DOI":"10.1007/s11126-019-09640-5","ISBN":"1112601909640","ISSN":"15736709","PMID":"31098922","abstract":"Cyberchondria denotes repeated online searches for health information that are associated with increasing levels of health anxiety. The aims of this study were to apply network analysis to investigate the extent to which cyberchondria is a distinct construct, ascertain which of the related constructs have the strongest relationships with cyberchondria and investigate whether some of the symptoms of cyberchondria are more central to the construct of cyberchondria. Questionnaires assessing the severity of cyberchondria, health anxiety, obsessive-compulsive disorder symptoms, intolerance of uncertainty, problematic Internet use, anxiety, depression and somatic symptoms were administered to 751 participants who searched for health information online during a previous 3-month period and were recruited from an online crowdsourcing platform. Network analyses were used to compute the networks, perform community detection tests and calculate centrality indices. Results suggest that cyberchondria is a relatively specific syndrome-like construct, distinct from all related constructs and consisting of interrelated symptoms. It has the strongest relationships with problematic Internet use and health anxiety. No symptom of cyberchondria emerged clearly as more central to the construct of cyberchondria. Future research should aim to deepen our understanding of cyberchondria and its links with psychopathology, especially its close relationship with problematic Internet use.","author":[{"dropping-particle":"","family":"Starcevic","given":"Vladan","non-dropping-particle":"","parse-names":false,"suffix":""},{"dropping-particle":"","family":"Baggio","given":"Stéphanie","non-dropping-particle":"","parse-names":false,"suffix":""},{"dropping-particle":"","family":"Berle","given":"David","non-dropping-particle":"","parse-names":false,"suffix":""},{"dropping-particle":"","family":"Khazaal","given":"Yasser","non-dropping-particle":"","parse-names":false,"suffix":""},{"dropping-particle":"","family":"Viswasam","given":"Kirupamani","non-dropping-particle":"","parse-names":false,"suffix":""}],"container-title":"Psychiatric Quarterly","id":"ITEM-3","issue":"3","issued":{"date-parts":[["2019"]]},"note":"Un análisis de redes mostró fuertes relaciones entre la cibercondria y la ansiedad de salud, así como la cibercondria y el uso problemático del internet. De igual forma, se encontraron relaciones débiles entre cibercondría y ansiedad, y cibercondría y depresión.","page":"491-505","publisher":"Psychiatric Quarterly","title":"Cyberchondria and its relationships with related constructs: A network analysis","type":"article-journal","volume":"90"},"uris":["http://www.mendeley.com/documents/?uuid=d8741c35-0b06-4ecf-be92-4921f071a56b"]}],"mendeley":{"formattedCitation":"(Schimmenti et al., 2020; Starcevic et al., 2019; Starcevic &amp; Berle, 2013)","plainTextFormattedCitation":"(Schimmenti et al., 2020; Starcevic et al., 2019; Starcevic &amp; Berle, 2013)","previouslyFormattedCitation":"(Schimmenti et al., 2020; Starcevic et al., 2019; Starcevic &amp; Berle, 2013)"},"properties":{"noteIndex":0},"schema":"https://github.com/citation-style-language/schema/raw/master/csl-citation.json"}</w:instrText>
      </w:r>
      <w:r w:rsidR="000E491F" w:rsidRPr="000E491F">
        <w:rPr>
          <w:lang w:val="es-DO"/>
        </w:rPr>
        <w:fldChar w:fldCharType="separate"/>
      </w:r>
      <w:r w:rsidR="000E491F" w:rsidRPr="000E491F">
        <w:rPr>
          <w:lang w:val="es-DO"/>
        </w:rPr>
        <w:t>(Schimmenti et al., 2020; Starcevic et al., 2019; Starcevic &amp; Berle, 2013)</w:t>
      </w:r>
      <w:r w:rsidR="000E491F" w:rsidRPr="000E491F">
        <w:rPr>
          <w:lang w:val="es-ES_tradnl"/>
        </w:rPr>
        <w:fldChar w:fldCharType="end"/>
      </w:r>
      <w:r w:rsidR="000E491F" w:rsidRPr="000E491F">
        <w:rPr>
          <w:lang w:val="es-DO"/>
        </w:rPr>
        <w:t>.</w:t>
      </w:r>
    </w:p>
    <w:p w14:paraId="06028507" w14:textId="77777777" w:rsidR="000E491F" w:rsidRPr="000E491F" w:rsidRDefault="000E491F" w:rsidP="000E491F">
      <w:pPr>
        <w:pStyle w:val="Prrafocomn"/>
        <w:spacing w:line="440" w:lineRule="exact"/>
        <w:rPr>
          <w:lang w:val="es-ES"/>
        </w:rPr>
      </w:pPr>
      <w:r w:rsidRPr="000E491F">
        <w:rPr>
          <w:lang w:val="es-ES"/>
        </w:rPr>
        <w:tab/>
        <w:t xml:space="preserve">Este estudio tiene varias limitaciones a considerar al interpretar sus resultados. Pese a tener un tamaño de muestra adecuado para los análisis estadísticos, la muestra no fue probabilística, por lo que se recomienda cautela al hacer inferencias a toda la población. En segundo lugar, los instrumentos de medición de auto-reporte presentan una amenaza a la validez interna de instrumentación por efectos de la deseabilidad social. Otra limitación es que todas las variables, de alguna forma, están asociadas al malestar psicológico y a la ansiedad. No obstante, los análisis estadísticos muestran que no hubo </w:t>
      </w:r>
      <w:proofErr w:type="spellStart"/>
      <w:r w:rsidRPr="000E491F">
        <w:rPr>
          <w:lang w:val="es-ES"/>
        </w:rPr>
        <w:t>multicolinearidad</w:t>
      </w:r>
      <w:proofErr w:type="spellEnd"/>
      <w:r w:rsidRPr="000E491F">
        <w:rPr>
          <w:lang w:val="es-ES"/>
        </w:rPr>
        <w:t xml:space="preserve">. </w:t>
      </w:r>
    </w:p>
    <w:p w14:paraId="5C993C46" w14:textId="29B5FFDD" w:rsidR="000E491F" w:rsidRPr="000E491F" w:rsidRDefault="000E491F" w:rsidP="000E491F">
      <w:pPr>
        <w:pStyle w:val="Prrafocomn"/>
        <w:rPr>
          <w:b/>
          <w:bCs/>
          <w:lang w:val="es-ES_tradnl"/>
        </w:rPr>
      </w:pPr>
      <w:r w:rsidRPr="000E491F">
        <w:rPr>
          <w:bCs/>
          <w:lang w:val="es-ES"/>
        </w:rPr>
        <w:t xml:space="preserve">Pese a estas limitaciones, los resultados indican que existe un riesgo considerable en desarrollar hipocondriasis en las personas que poseen niveles altos de ansiedad rasgo y ansiedad por salud, y que el riesgo es mayor en personas que se consideran vulnerables a tener complicaciones de salud debido al COVID-19. Además, </w:t>
      </w:r>
      <w:r w:rsidRPr="000E491F">
        <w:rPr>
          <w:bCs/>
          <w:lang w:val="es-DO"/>
        </w:rPr>
        <w:t>es relevante la alta prevalencia de síntomas de ansiedad clínicamente significativa en los participantes, lo que representa un nuevo reto para las autoridades desde una perspectiva de salud pública, ya que justifican la implementación y mejora de los servicios de atención psicológica y promoción de la salud mental para la población. Los resultados de esta investigación sugieren que además de la pandemia del COVID-19, existe el riesgo de una epidemia de salud mental y es importante intervenir para moderar su impacto social y económico</w:t>
      </w:r>
      <w:r w:rsidRPr="000E491F">
        <w:rPr>
          <w:b/>
          <w:bCs/>
          <w:lang w:val="es-DO"/>
        </w:rPr>
        <w:t>.</w:t>
      </w:r>
    </w:p>
    <w:p w14:paraId="66876945" w14:textId="5B414171" w:rsidR="003A1180" w:rsidRPr="00187899" w:rsidRDefault="00BC764F" w:rsidP="00F42476">
      <w:pPr>
        <w:pStyle w:val="Ttulosinternos"/>
        <w:rPr>
          <w:lang w:val="en-US"/>
        </w:rPr>
      </w:pPr>
      <w:r w:rsidRPr="007B5480">
        <w:rPr>
          <w:lang w:val="es-ES_tradnl"/>
        </w:rPr>
        <w:lastRenderedPageBreak/>
        <w:t>Referencias</w:t>
      </w:r>
    </w:p>
    <w:p w14:paraId="5666AD53" w14:textId="55336AAA" w:rsidR="007249B2" w:rsidRPr="007249B2" w:rsidRDefault="007249B2" w:rsidP="007B5480">
      <w:pPr>
        <w:pStyle w:val="Referencias"/>
        <w:spacing w:line="360" w:lineRule="auto"/>
        <w:ind w:left="0"/>
        <w:rPr>
          <w:highlight w:val="white"/>
        </w:rPr>
      </w:pPr>
      <w:r w:rsidRPr="00187899">
        <w:rPr>
          <w:highlight w:val="white"/>
        </w:rPr>
        <w:t xml:space="preserve">Alberts, N. M., </w:t>
      </w:r>
      <w:proofErr w:type="spellStart"/>
      <w:r w:rsidRPr="00187899">
        <w:rPr>
          <w:highlight w:val="white"/>
        </w:rPr>
        <w:t>Hadjistavropoulos</w:t>
      </w:r>
      <w:proofErr w:type="spellEnd"/>
      <w:r w:rsidRPr="00187899">
        <w:rPr>
          <w:highlight w:val="white"/>
        </w:rPr>
        <w:t xml:space="preserve">, H. D., Jones, S. L., &amp; Sharpe, D. (2013). </w:t>
      </w:r>
      <w:r w:rsidRPr="007249B2">
        <w:rPr>
          <w:highlight w:val="white"/>
        </w:rPr>
        <w:t xml:space="preserve">The Short Health Anxiety Inventory: A systematic review and meta-analysis. </w:t>
      </w:r>
      <w:r w:rsidRPr="007249B2">
        <w:rPr>
          <w:i/>
          <w:iCs/>
          <w:highlight w:val="white"/>
        </w:rPr>
        <w:t>Journal of Anxiety Disorders</w:t>
      </w:r>
      <w:r w:rsidRPr="007249B2">
        <w:rPr>
          <w:highlight w:val="white"/>
        </w:rPr>
        <w:t xml:space="preserve">, </w:t>
      </w:r>
      <w:r w:rsidRPr="007249B2">
        <w:rPr>
          <w:i/>
          <w:iCs/>
          <w:highlight w:val="white"/>
        </w:rPr>
        <w:t>27</w:t>
      </w:r>
      <w:r>
        <w:rPr>
          <w:highlight w:val="white"/>
        </w:rPr>
        <w:t>(1), 68</w:t>
      </w:r>
      <w:r w:rsidRPr="007249B2">
        <w:rPr>
          <w:highlight w:val="white"/>
        </w:rPr>
        <w:t xml:space="preserve">78. </w:t>
      </w:r>
      <w:hyperlink r:id="rId19" w:history="1">
        <w:r w:rsidRPr="009866DB">
          <w:rPr>
            <w:rStyle w:val="Hipervnculo"/>
            <w:highlight w:val="white"/>
          </w:rPr>
          <w:t>https://doi.org/10.1016/j.janxdis.2012.10.009</w:t>
        </w:r>
      </w:hyperlink>
      <w:r>
        <w:rPr>
          <w:highlight w:val="white"/>
        </w:rPr>
        <w:t xml:space="preserve"> </w:t>
      </w:r>
    </w:p>
    <w:p w14:paraId="3C1434E6" w14:textId="77777777" w:rsidR="007249B2" w:rsidRPr="007249B2" w:rsidRDefault="007249B2" w:rsidP="007B5480">
      <w:pPr>
        <w:pStyle w:val="Referencias"/>
        <w:spacing w:line="360" w:lineRule="auto"/>
        <w:ind w:left="0"/>
        <w:rPr>
          <w:highlight w:val="white"/>
        </w:rPr>
      </w:pPr>
      <w:r w:rsidRPr="007249B2">
        <w:rPr>
          <w:highlight w:val="white"/>
        </w:rPr>
        <w:t xml:space="preserve">American Psychiatric Association. (2013). </w:t>
      </w:r>
      <w:r w:rsidRPr="007249B2">
        <w:rPr>
          <w:i/>
          <w:iCs/>
          <w:highlight w:val="white"/>
        </w:rPr>
        <w:t>Diagnostic and statistical manual of mental disorders</w:t>
      </w:r>
      <w:r w:rsidRPr="007249B2">
        <w:rPr>
          <w:highlight w:val="white"/>
        </w:rPr>
        <w:t xml:space="preserve"> (5th ed.). Author.</w:t>
      </w:r>
    </w:p>
    <w:p w14:paraId="6E3E3D09" w14:textId="2EB5AF8C" w:rsidR="007249B2" w:rsidRPr="007249B2" w:rsidRDefault="007249B2" w:rsidP="007B5480">
      <w:pPr>
        <w:pStyle w:val="Referencias"/>
        <w:spacing w:line="360" w:lineRule="auto"/>
        <w:ind w:left="0"/>
        <w:rPr>
          <w:highlight w:val="white"/>
        </w:rPr>
      </w:pPr>
      <w:proofErr w:type="spellStart"/>
      <w:r w:rsidRPr="007249B2">
        <w:rPr>
          <w:highlight w:val="white"/>
        </w:rPr>
        <w:t>Arnáez</w:t>
      </w:r>
      <w:proofErr w:type="spellEnd"/>
      <w:r w:rsidRPr="007249B2">
        <w:rPr>
          <w:highlight w:val="white"/>
        </w:rPr>
        <w:t xml:space="preserve">, S., García-Soriano, G., López-Santiago, J., &amp; </w:t>
      </w:r>
      <w:proofErr w:type="spellStart"/>
      <w:r w:rsidRPr="007249B2">
        <w:rPr>
          <w:highlight w:val="white"/>
        </w:rPr>
        <w:t>Belloch</w:t>
      </w:r>
      <w:proofErr w:type="spellEnd"/>
      <w:r w:rsidRPr="007249B2">
        <w:rPr>
          <w:highlight w:val="white"/>
        </w:rPr>
        <w:t xml:space="preserve">, A. (2019). The Spanish validation of the Short Health Anxiety Inventory: Psychometric properties and clinical utility. </w:t>
      </w:r>
      <w:r w:rsidRPr="007249B2">
        <w:rPr>
          <w:i/>
          <w:iCs/>
          <w:highlight w:val="white"/>
        </w:rPr>
        <w:t>International Journal of Clinical and Health Psychology</w:t>
      </w:r>
      <w:r w:rsidRPr="007249B2">
        <w:rPr>
          <w:highlight w:val="white"/>
        </w:rPr>
        <w:t xml:space="preserve">, </w:t>
      </w:r>
      <w:r w:rsidRPr="007249B2">
        <w:rPr>
          <w:i/>
          <w:iCs/>
          <w:highlight w:val="white"/>
        </w:rPr>
        <w:t>19</w:t>
      </w:r>
      <w:r>
        <w:rPr>
          <w:highlight w:val="white"/>
        </w:rPr>
        <w:t>(3), 251-</w:t>
      </w:r>
      <w:r w:rsidRPr="007249B2">
        <w:rPr>
          <w:highlight w:val="white"/>
        </w:rPr>
        <w:t xml:space="preserve">260. </w:t>
      </w:r>
      <w:hyperlink r:id="rId20" w:history="1">
        <w:r w:rsidRPr="009866DB">
          <w:rPr>
            <w:rStyle w:val="Hipervnculo"/>
            <w:highlight w:val="white"/>
          </w:rPr>
          <w:t>https://doi.org/10.1016/j.ijchp.2019.05.003</w:t>
        </w:r>
      </w:hyperlink>
      <w:r>
        <w:rPr>
          <w:highlight w:val="white"/>
        </w:rPr>
        <w:t xml:space="preserve"> </w:t>
      </w:r>
    </w:p>
    <w:p w14:paraId="64B8682C" w14:textId="6F8BC880" w:rsidR="007249B2" w:rsidRPr="007249B2" w:rsidRDefault="007249B2" w:rsidP="007B5480">
      <w:pPr>
        <w:pStyle w:val="Referencias"/>
        <w:spacing w:line="360" w:lineRule="auto"/>
        <w:ind w:left="0"/>
        <w:rPr>
          <w:highlight w:val="white"/>
        </w:rPr>
      </w:pPr>
      <w:r w:rsidRPr="007249B2">
        <w:rPr>
          <w:highlight w:val="white"/>
        </w:rPr>
        <w:t xml:space="preserve">Bailer, J., </w:t>
      </w:r>
      <w:proofErr w:type="spellStart"/>
      <w:r w:rsidRPr="007249B2">
        <w:rPr>
          <w:highlight w:val="white"/>
        </w:rPr>
        <w:t>Witthöft</w:t>
      </w:r>
      <w:proofErr w:type="spellEnd"/>
      <w:r w:rsidRPr="007249B2">
        <w:rPr>
          <w:highlight w:val="white"/>
        </w:rPr>
        <w:t xml:space="preserve">, M., &amp; </w:t>
      </w:r>
      <w:proofErr w:type="spellStart"/>
      <w:r w:rsidRPr="007249B2">
        <w:rPr>
          <w:highlight w:val="white"/>
        </w:rPr>
        <w:t>Rist</w:t>
      </w:r>
      <w:proofErr w:type="spellEnd"/>
      <w:r w:rsidRPr="007249B2">
        <w:rPr>
          <w:highlight w:val="white"/>
        </w:rPr>
        <w:t xml:space="preserve">, F. (2008). Psychological predictors of short- and medium term outcome in individuals with idiopathic environmental intolerance (IEI) and individuals with somatoform disorders. </w:t>
      </w:r>
      <w:r w:rsidRPr="007249B2">
        <w:rPr>
          <w:i/>
          <w:iCs/>
          <w:highlight w:val="white"/>
        </w:rPr>
        <w:t>Journal of Toxicology and Environmental Health, Part A</w:t>
      </w:r>
      <w:r w:rsidRPr="007249B2">
        <w:rPr>
          <w:highlight w:val="white"/>
        </w:rPr>
        <w:t xml:space="preserve">, </w:t>
      </w:r>
      <w:r w:rsidRPr="007249B2">
        <w:rPr>
          <w:i/>
          <w:iCs/>
          <w:highlight w:val="white"/>
        </w:rPr>
        <w:t>71</w:t>
      </w:r>
      <w:r>
        <w:rPr>
          <w:highlight w:val="white"/>
        </w:rPr>
        <w:t>, 766-</w:t>
      </w:r>
      <w:r w:rsidRPr="007249B2">
        <w:rPr>
          <w:highlight w:val="white"/>
        </w:rPr>
        <w:t xml:space="preserve">775. </w:t>
      </w:r>
      <w:hyperlink r:id="rId21" w:history="1">
        <w:r w:rsidRPr="009866DB">
          <w:rPr>
            <w:rStyle w:val="Hipervnculo"/>
            <w:highlight w:val="white"/>
          </w:rPr>
          <w:t>https://doi.org/10.1080/15287390801985562</w:t>
        </w:r>
      </w:hyperlink>
      <w:r>
        <w:rPr>
          <w:highlight w:val="white"/>
        </w:rPr>
        <w:t xml:space="preserve"> </w:t>
      </w:r>
    </w:p>
    <w:p w14:paraId="11813B07" w14:textId="62581C2B" w:rsidR="007249B2" w:rsidRPr="00187899" w:rsidRDefault="007249B2" w:rsidP="007B5480">
      <w:pPr>
        <w:pStyle w:val="Referencias"/>
        <w:spacing w:line="360" w:lineRule="auto"/>
        <w:ind w:left="0"/>
        <w:rPr>
          <w:highlight w:val="white"/>
        </w:rPr>
      </w:pPr>
      <w:r w:rsidRPr="007249B2">
        <w:rPr>
          <w:highlight w:val="white"/>
          <w:lang w:val="es-ES"/>
        </w:rPr>
        <w:t xml:space="preserve">CIOMS, WHO, &amp; PAHO. (2016). </w:t>
      </w:r>
      <w:r w:rsidRPr="007249B2">
        <w:rPr>
          <w:i/>
          <w:iCs/>
          <w:highlight w:val="white"/>
          <w:lang w:val="es-ES"/>
        </w:rPr>
        <w:t>Pautas éticas internacionales para la investigación relacionada con la salud con seres humanos</w:t>
      </w:r>
      <w:r w:rsidRPr="007249B2">
        <w:rPr>
          <w:highlight w:val="white"/>
          <w:lang w:val="es-ES"/>
        </w:rPr>
        <w:t xml:space="preserve">. </w:t>
      </w:r>
      <w:hyperlink r:id="rId22" w:history="1">
        <w:r w:rsidRPr="00187899">
          <w:rPr>
            <w:rStyle w:val="Hipervnculo"/>
            <w:highlight w:val="white"/>
          </w:rPr>
          <w:t>https://cioms.ch/wp-content/uploads/2017/12/CIOMS-EthicalGuideline_SP_INTERIOR-FINAL.pdf</w:t>
        </w:r>
      </w:hyperlink>
      <w:r w:rsidRPr="00187899">
        <w:rPr>
          <w:highlight w:val="white"/>
        </w:rPr>
        <w:t xml:space="preserve"> </w:t>
      </w:r>
    </w:p>
    <w:p w14:paraId="25C22342" w14:textId="333F71B3" w:rsidR="007249B2" w:rsidRPr="007249B2" w:rsidRDefault="007249B2" w:rsidP="007B5480">
      <w:pPr>
        <w:pStyle w:val="Referencias"/>
        <w:spacing w:line="360" w:lineRule="auto"/>
        <w:ind w:left="0"/>
        <w:rPr>
          <w:highlight w:val="white"/>
        </w:rPr>
      </w:pPr>
      <w:r w:rsidRPr="007249B2">
        <w:rPr>
          <w:highlight w:val="white"/>
        </w:rPr>
        <w:t xml:space="preserve">Dong, E., Du, H., &amp; Gardner, L. (2020). An interactive web-based dashboard to track COVID-19 in real time. </w:t>
      </w:r>
      <w:r w:rsidRPr="007249B2">
        <w:rPr>
          <w:i/>
          <w:iCs/>
          <w:highlight w:val="white"/>
        </w:rPr>
        <w:t>The Lancet Infectious Diseases</w:t>
      </w:r>
      <w:r w:rsidRPr="007249B2">
        <w:rPr>
          <w:highlight w:val="white"/>
        </w:rPr>
        <w:t xml:space="preserve">, </w:t>
      </w:r>
      <w:r w:rsidRPr="007249B2">
        <w:rPr>
          <w:i/>
          <w:iCs/>
          <w:highlight w:val="white"/>
        </w:rPr>
        <w:t>20</w:t>
      </w:r>
      <w:r>
        <w:rPr>
          <w:highlight w:val="white"/>
        </w:rPr>
        <w:t>(5), 533-</w:t>
      </w:r>
      <w:r w:rsidRPr="007249B2">
        <w:rPr>
          <w:highlight w:val="white"/>
        </w:rPr>
        <w:t xml:space="preserve">534. </w:t>
      </w:r>
      <w:hyperlink r:id="rId23" w:history="1">
        <w:r w:rsidRPr="009866DB">
          <w:rPr>
            <w:rStyle w:val="Hipervnculo"/>
            <w:highlight w:val="white"/>
          </w:rPr>
          <w:t>https://doi.org/10.1016/S1473-3099(20)30120-1</w:t>
        </w:r>
      </w:hyperlink>
      <w:r>
        <w:rPr>
          <w:highlight w:val="white"/>
        </w:rPr>
        <w:t xml:space="preserve"> </w:t>
      </w:r>
    </w:p>
    <w:p w14:paraId="23CF58CB" w14:textId="39C18D05" w:rsidR="007249B2" w:rsidRPr="007249B2" w:rsidRDefault="007249B2" w:rsidP="007B5480">
      <w:pPr>
        <w:pStyle w:val="Referencias"/>
        <w:spacing w:line="360" w:lineRule="auto"/>
        <w:ind w:left="0"/>
        <w:rPr>
          <w:highlight w:val="white"/>
        </w:rPr>
      </w:pPr>
      <w:proofErr w:type="spellStart"/>
      <w:r w:rsidRPr="007249B2">
        <w:rPr>
          <w:highlight w:val="white"/>
        </w:rPr>
        <w:t>Endler</w:t>
      </w:r>
      <w:proofErr w:type="spellEnd"/>
      <w:r w:rsidRPr="007249B2">
        <w:rPr>
          <w:highlight w:val="white"/>
        </w:rPr>
        <w:t xml:space="preserve">, N. S., &amp; </w:t>
      </w:r>
      <w:proofErr w:type="spellStart"/>
      <w:r w:rsidRPr="007249B2">
        <w:rPr>
          <w:highlight w:val="white"/>
        </w:rPr>
        <w:t>Kocovski</w:t>
      </w:r>
      <w:proofErr w:type="spellEnd"/>
      <w:r w:rsidRPr="007249B2">
        <w:rPr>
          <w:highlight w:val="white"/>
        </w:rPr>
        <w:t xml:space="preserve">, N. L. (2001). State and trait anxiety revisited. </w:t>
      </w:r>
      <w:r w:rsidRPr="007249B2">
        <w:rPr>
          <w:i/>
          <w:iCs/>
          <w:highlight w:val="white"/>
        </w:rPr>
        <w:t>Journal of Anxiety Disorders</w:t>
      </w:r>
      <w:r w:rsidRPr="007249B2">
        <w:rPr>
          <w:highlight w:val="white"/>
        </w:rPr>
        <w:t xml:space="preserve">, </w:t>
      </w:r>
      <w:r w:rsidRPr="007249B2">
        <w:rPr>
          <w:i/>
          <w:iCs/>
          <w:highlight w:val="white"/>
        </w:rPr>
        <w:t>15</w:t>
      </w:r>
      <w:r>
        <w:rPr>
          <w:highlight w:val="white"/>
        </w:rPr>
        <w:t>(3), 231-</w:t>
      </w:r>
      <w:r w:rsidRPr="007249B2">
        <w:rPr>
          <w:highlight w:val="white"/>
        </w:rPr>
        <w:t xml:space="preserve">245. </w:t>
      </w:r>
      <w:hyperlink r:id="rId24" w:history="1">
        <w:r w:rsidRPr="009866DB">
          <w:rPr>
            <w:rStyle w:val="Hipervnculo"/>
            <w:highlight w:val="white"/>
          </w:rPr>
          <w:t>https://doi.org/10.1016/S0887-6185(01)00060-3</w:t>
        </w:r>
      </w:hyperlink>
      <w:r>
        <w:rPr>
          <w:highlight w:val="white"/>
        </w:rPr>
        <w:t xml:space="preserve"> </w:t>
      </w:r>
    </w:p>
    <w:p w14:paraId="648E37F7" w14:textId="3D3C56AE" w:rsidR="007249B2" w:rsidRPr="007249B2" w:rsidRDefault="007249B2" w:rsidP="007B5480">
      <w:pPr>
        <w:pStyle w:val="Referencias"/>
        <w:spacing w:line="360" w:lineRule="auto"/>
        <w:ind w:left="0"/>
        <w:rPr>
          <w:highlight w:val="white"/>
        </w:rPr>
      </w:pPr>
      <w:proofErr w:type="spellStart"/>
      <w:r w:rsidRPr="007249B2">
        <w:rPr>
          <w:highlight w:val="white"/>
        </w:rPr>
        <w:t>Germani</w:t>
      </w:r>
      <w:proofErr w:type="spellEnd"/>
      <w:r w:rsidRPr="007249B2">
        <w:rPr>
          <w:highlight w:val="white"/>
        </w:rPr>
        <w:t xml:space="preserve">, A., </w:t>
      </w:r>
      <w:proofErr w:type="spellStart"/>
      <w:r w:rsidRPr="007249B2">
        <w:rPr>
          <w:highlight w:val="white"/>
        </w:rPr>
        <w:t>Buratta</w:t>
      </w:r>
      <w:proofErr w:type="spellEnd"/>
      <w:r w:rsidRPr="007249B2">
        <w:rPr>
          <w:highlight w:val="white"/>
        </w:rPr>
        <w:t xml:space="preserve">, L., </w:t>
      </w:r>
      <w:proofErr w:type="spellStart"/>
      <w:r w:rsidRPr="007249B2">
        <w:rPr>
          <w:highlight w:val="white"/>
        </w:rPr>
        <w:t>Delvecchio</w:t>
      </w:r>
      <w:proofErr w:type="spellEnd"/>
      <w:r w:rsidRPr="007249B2">
        <w:rPr>
          <w:highlight w:val="white"/>
        </w:rPr>
        <w:t xml:space="preserve">, E., </w:t>
      </w:r>
      <w:proofErr w:type="spellStart"/>
      <w:r w:rsidRPr="007249B2">
        <w:rPr>
          <w:highlight w:val="white"/>
        </w:rPr>
        <w:t>Gizzi</w:t>
      </w:r>
      <w:proofErr w:type="spellEnd"/>
      <w:r w:rsidRPr="007249B2">
        <w:rPr>
          <w:highlight w:val="white"/>
        </w:rPr>
        <w:t xml:space="preserve">, G., &amp; </w:t>
      </w:r>
      <w:proofErr w:type="spellStart"/>
      <w:r w:rsidRPr="007249B2">
        <w:rPr>
          <w:highlight w:val="white"/>
        </w:rPr>
        <w:t>Mazzeschi</w:t>
      </w:r>
      <w:proofErr w:type="spellEnd"/>
      <w:r w:rsidRPr="007249B2">
        <w:rPr>
          <w:highlight w:val="white"/>
        </w:rPr>
        <w:t xml:space="preserve">, C. (2020). Anxiety severity, perceived risk of COVID-19 and individual functioning in emerging adults facing the pandemic. </w:t>
      </w:r>
      <w:r w:rsidRPr="007249B2">
        <w:rPr>
          <w:i/>
          <w:iCs/>
          <w:highlight w:val="white"/>
        </w:rPr>
        <w:t>Frontiers in Psychology</w:t>
      </w:r>
      <w:r w:rsidRPr="007249B2">
        <w:rPr>
          <w:highlight w:val="white"/>
        </w:rPr>
        <w:t xml:space="preserve">, </w:t>
      </w:r>
      <w:r w:rsidRPr="007249B2">
        <w:rPr>
          <w:i/>
          <w:iCs/>
          <w:highlight w:val="white"/>
        </w:rPr>
        <w:t>11</w:t>
      </w:r>
      <w:r w:rsidRPr="007249B2">
        <w:rPr>
          <w:highlight w:val="white"/>
        </w:rPr>
        <w:t>, 567</w:t>
      </w:r>
      <w:r>
        <w:rPr>
          <w:highlight w:val="white"/>
        </w:rPr>
        <w:t>-</w:t>
      </w:r>
      <w:r w:rsidRPr="007249B2">
        <w:rPr>
          <w:highlight w:val="white"/>
        </w:rPr>
        <w:t xml:space="preserve">505. </w:t>
      </w:r>
      <w:hyperlink r:id="rId25" w:history="1">
        <w:r w:rsidRPr="009866DB">
          <w:rPr>
            <w:rStyle w:val="Hipervnculo"/>
            <w:highlight w:val="white"/>
          </w:rPr>
          <w:t>https://doi.org/10.3389/fpsyg.2020.567505</w:t>
        </w:r>
      </w:hyperlink>
      <w:r>
        <w:rPr>
          <w:highlight w:val="white"/>
        </w:rPr>
        <w:t xml:space="preserve"> </w:t>
      </w:r>
    </w:p>
    <w:p w14:paraId="3F05DEDD" w14:textId="77777777" w:rsidR="007249B2" w:rsidRPr="007249B2" w:rsidRDefault="007249B2" w:rsidP="007B5480">
      <w:pPr>
        <w:pStyle w:val="Referencias"/>
        <w:spacing w:line="360" w:lineRule="auto"/>
        <w:ind w:left="0"/>
        <w:rPr>
          <w:highlight w:val="white"/>
          <w:lang w:val="es-ES"/>
        </w:rPr>
      </w:pPr>
      <w:proofErr w:type="spellStart"/>
      <w:r w:rsidRPr="007249B2">
        <w:rPr>
          <w:highlight w:val="white"/>
        </w:rPr>
        <w:t>Grillon</w:t>
      </w:r>
      <w:proofErr w:type="spellEnd"/>
      <w:r w:rsidRPr="007249B2">
        <w:rPr>
          <w:highlight w:val="white"/>
        </w:rPr>
        <w:t xml:space="preserve">, C. (2008). Models and mechanisms of anxiety: Evidence from startle studies. </w:t>
      </w:r>
      <w:proofErr w:type="spellStart"/>
      <w:r w:rsidRPr="007249B2">
        <w:rPr>
          <w:i/>
          <w:iCs/>
          <w:highlight w:val="white"/>
          <w:lang w:val="es-ES"/>
        </w:rPr>
        <w:t>Psychopharmacology</w:t>
      </w:r>
      <w:proofErr w:type="spellEnd"/>
      <w:r w:rsidRPr="007249B2">
        <w:rPr>
          <w:highlight w:val="white"/>
          <w:lang w:val="es-ES"/>
        </w:rPr>
        <w:t xml:space="preserve">, </w:t>
      </w:r>
      <w:r w:rsidRPr="007249B2">
        <w:rPr>
          <w:i/>
          <w:iCs/>
          <w:highlight w:val="white"/>
          <w:lang w:val="es-ES"/>
        </w:rPr>
        <w:t>199</w:t>
      </w:r>
      <w:r w:rsidRPr="007249B2">
        <w:rPr>
          <w:highlight w:val="white"/>
          <w:lang w:val="es-ES"/>
        </w:rPr>
        <w:t>, 421–437. https://doi.org/10.1007/s00213-007-1019-1</w:t>
      </w:r>
    </w:p>
    <w:p w14:paraId="5F439FD9" w14:textId="56776D84" w:rsidR="007249B2" w:rsidRPr="007249B2" w:rsidRDefault="007249B2" w:rsidP="007B5480">
      <w:pPr>
        <w:pStyle w:val="Referencias"/>
        <w:spacing w:line="360" w:lineRule="auto"/>
        <w:ind w:left="0"/>
        <w:rPr>
          <w:highlight w:val="white"/>
        </w:rPr>
      </w:pPr>
      <w:r w:rsidRPr="007249B2">
        <w:rPr>
          <w:highlight w:val="white"/>
          <w:lang w:val="es-ES"/>
        </w:rPr>
        <w:t xml:space="preserve">Hernández-Rodríguez, J. (2020). Impacto de la COVID-19 sobre la salud mental de las personas. </w:t>
      </w:r>
      <w:proofErr w:type="spellStart"/>
      <w:r w:rsidRPr="007249B2">
        <w:rPr>
          <w:i/>
          <w:iCs/>
          <w:highlight w:val="white"/>
        </w:rPr>
        <w:t>Medicentro</w:t>
      </w:r>
      <w:proofErr w:type="spellEnd"/>
      <w:r w:rsidRPr="007249B2">
        <w:rPr>
          <w:i/>
          <w:iCs/>
          <w:highlight w:val="white"/>
        </w:rPr>
        <w:t xml:space="preserve"> </w:t>
      </w:r>
      <w:proofErr w:type="spellStart"/>
      <w:r w:rsidRPr="007249B2">
        <w:rPr>
          <w:i/>
          <w:iCs/>
          <w:highlight w:val="white"/>
        </w:rPr>
        <w:t>Electrónica</w:t>
      </w:r>
      <w:proofErr w:type="spellEnd"/>
      <w:r w:rsidRPr="007249B2">
        <w:rPr>
          <w:highlight w:val="white"/>
        </w:rPr>
        <w:t xml:space="preserve">, </w:t>
      </w:r>
      <w:r w:rsidRPr="007249B2">
        <w:rPr>
          <w:i/>
          <w:iCs/>
          <w:highlight w:val="white"/>
        </w:rPr>
        <w:t>24</w:t>
      </w:r>
      <w:r w:rsidRPr="007249B2">
        <w:rPr>
          <w:highlight w:val="white"/>
        </w:rPr>
        <w:t xml:space="preserve">(3), </w:t>
      </w:r>
      <w:r>
        <w:rPr>
          <w:highlight w:val="white"/>
        </w:rPr>
        <w:t>578-</w:t>
      </w:r>
      <w:r w:rsidRPr="007249B2">
        <w:rPr>
          <w:highlight w:val="white"/>
        </w:rPr>
        <w:t>594.</w:t>
      </w:r>
    </w:p>
    <w:p w14:paraId="40582053" w14:textId="1704809A" w:rsidR="007249B2" w:rsidRPr="007249B2" w:rsidRDefault="007249B2" w:rsidP="007B5480">
      <w:pPr>
        <w:pStyle w:val="Referencias"/>
        <w:spacing w:line="360" w:lineRule="auto"/>
        <w:ind w:left="0"/>
        <w:rPr>
          <w:highlight w:val="white"/>
        </w:rPr>
      </w:pPr>
      <w:r w:rsidRPr="007249B2">
        <w:rPr>
          <w:highlight w:val="white"/>
        </w:rPr>
        <w:t xml:space="preserve">IAAP, &amp; </w:t>
      </w:r>
      <w:proofErr w:type="spellStart"/>
      <w:r w:rsidRPr="007249B2">
        <w:rPr>
          <w:highlight w:val="white"/>
        </w:rPr>
        <w:t>IUPsyS</w:t>
      </w:r>
      <w:proofErr w:type="spellEnd"/>
      <w:r w:rsidRPr="007249B2">
        <w:rPr>
          <w:highlight w:val="white"/>
        </w:rPr>
        <w:t xml:space="preserve">. (2008). </w:t>
      </w:r>
      <w:r w:rsidRPr="007249B2">
        <w:rPr>
          <w:i/>
          <w:iCs/>
          <w:highlight w:val="white"/>
        </w:rPr>
        <w:t>Universal Declaration of Ethical Principles for Psychologists</w:t>
      </w:r>
      <w:r w:rsidRPr="007249B2">
        <w:rPr>
          <w:highlight w:val="white"/>
        </w:rPr>
        <w:t xml:space="preserve">. </w:t>
      </w:r>
      <w:hyperlink r:id="rId26" w:history="1">
        <w:r w:rsidRPr="009866DB">
          <w:rPr>
            <w:rStyle w:val="Hipervnculo"/>
            <w:highlight w:val="white"/>
          </w:rPr>
          <w:t>https://www.iupsys.net/about/governance/universal-declaration-of-ethical-principles-for-psychologists.html</w:t>
        </w:r>
      </w:hyperlink>
      <w:r>
        <w:rPr>
          <w:highlight w:val="white"/>
        </w:rPr>
        <w:t xml:space="preserve"> </w:t>
      </w:r>
    </w:p>
    <w:p w14:paraId="0FDCD77D" w14:textId="1FA8EC9B" w:rsidR="007249B2" w:rsidRPr="00187899" w:rsidRDefault="007249B2" w:rsidP="007B5480">
      <w:pPr>
        <w:pStyle w:val="Referencias"/>
        <w:spacing w:line="360" w:lineRule="auto"/>
        <w:ind w:left="0"/>
        <w:rPr>
          <w:highlight w:val="white"/>
        </w:rPr>
      </w:pPr>
      <w:r w:rsidRPr="007249B2">
        <w:rPr>
          <w:highlight w:val="white"/>
          <w:lang w:val="es-ES"/>
        </w:rPr>
        <w:lastRenderedPageBreak/>
        <w:t xml:space="preserve">ISP. (2019). </w:t>
      </w:r>
      <w:r w:rsidRPr="007249B2">
        <w:rPr>
          <w:i/>
          <w:iCs/>
          <w:highlight w:val="white"/>
          <w:lang w:val="es-ES"/>
        </w:rPr>
        <w:t>Declaración de la SIP sobre experticia de psicólogas y psicólogos en el campo de la salud mental y las ciencias del comportamiento</w:t>
      </w:r>
      <w:r w:rsidRPr="007249B2">
        <w:rPr>
          <w:highlight w:val="white"/>
          <w:lang w:val="es-ES"/>
        </w:rPr>
        <w:t xml:space="preserve">. </w:t>
      </w:r>
      <w:hyperlink r:id="rId27" w:history="1">
        <w:r w:rsidRPr="00187899">
          <w:rPr>
            <w:rStyle w:val="Hipervnculo"/>
            <w:highlight w:val="white"/>
          </w:rPr>
          <w:t>https://archive.org/details/sip-2019-declaracion-experticia-en-salud-mental</w:t>
        </w:r>
      </w:hyperlink>
      <w:r w:rsidRPr="00187899">
        <w:rPr>
          <w:highlight w:val="white"/>
        </w:rPr>
        <w:t xml:space="preserve"> </w:t>
      </w:r>
    </w:p>
    <w:p w14:paraId="264386E4" w14:textId="287EABAA" w:rsidR="007249B2" w:rsidRPr="007249B2" w:rsidRDefault="007249B2" w:rsidP="007B5480">
      <w:pPr>
        <w:pStyle w:val="Referencias"/>
        <w:spacing w:line="360" w:lineRule="auto"/>
        <w:ind w:left="0"/>
        <w:rPr>
          <w:highlight w:val="white"/>
        </w:rPr>
      </w:pPr>
      <w:r w:rsidRPr="007249B2">
        <w:rPr>
          <w:highlight w:val="white"/>
        </w:rPr>
        <w:t xml:space="preserve">Lin, Y., Hu, Z., Alias, H., &amp; Wong, L. P. (2020). Knowledge, attitudes, impact, and anxiety regarding COVID-19 infection among the public in China. </w:t>
      </w:r>
      <w:r w:rsidRPr="007249B2">
        <w:rPr>
          <w:i/>
          <w:iCs/>
          <w:highlight w:val="white"/>
        </w:rPr>
        <w:t>Frontiers in Public Health</w:t>
      </w:r>
      <w:r w:rsidRPr="007249B2">
        <w:rPr>
          <w:highlight w:val="white"/>
        </w:rPr>
        <w:t xml:space="preserve">, </w:t>
      </w:r>
      <w:r w:rsidRPr="007249B2">
        <w:rPr>
          <w:i/>
          <w:iCs/>
          <w:highlight w:val="white"/>
        </w:rPr>
        <w:t>8</w:t>
      </w:r>
      <w:r w:rsidRPr="007249B2">
        <w:rPr>
          <w:highlight w:val="white"/>
        </w:rPr>
        <w:t xml:space="preserve">, 236. </w:t>
      </w:r>
      <w:hyperlink r:id="rId28" w:history="1">
        <w:r w:rsidRPr="009866DB">
          <w:rPr>
            <w:rStyle w:val="Hipervnculo"/>
            <w:highlight w:val="white"/>
          </w:rPr>
          <w:t>https://doi.org/10.3389/fpubh.2020.00236</w:t>
        </w:r>
      </w:hyperlink>
      <w:r>
        <w:rPr>
          <w:highlight w:val="white"/>
        </w:rPr>
        <w:t xml:space="preserve"> </w:t>
      </w:r>
    </w:p>
    <w:p w14:paraId="079AA050" w14:textId="1BA20C57" w:rsidR="007249B2" w:rsidRPr="007249B2" w:rsidRDefault="007249B2" w:rsidP="007B5480">
      <w:pPr>
        <w:pStyle w:val="Referencias"/>
        <w:spacing w:line="360" w:lineRule="auto"/>
        <w:ind w:left="0"/>
        <w:rPr>
          <w:highlight w:val="white"/>
        </w:rPr>
      </w:pPr>
      <w:r w:rsidRPr="007249B2">
        <w:rPr>
          <w:highlight w:val="white"/>
        </w:rPr>
        <w:t xml:space="preserve">McElroy, E., Kearney, M., </w:t>
      </w:r>
      <w:proofErr w:type="spellStart"/>
      <w:r w:rsidRPr="007249B2">
        <w:rPr>
          <w:highlight w:val="white"/>
        </w:rPr>
        <w:t>Touhey</w:t>
      </w:r>
      <w:proofErr w:type="spellEnd"/>
      <w:r w:rsidRPr="007249B2">
        <w:rPr>
          <w:highlight w:val="white"/>
        </w:rPr>
        <w:t xml:space="preserve">, J., Evans, J., Cooke, Y., &amp; Shevlin, M. (2019). The CSS-12: Development and validation of a short-form version of the Cyberchondria Severity Scale. </w:t>
      </w:r>
      <w:r w:rsidRPr="007249B2">
        <w:rPr>
          <w:i/>
          <w:iCs/>
          <w:highlight w:val="white"/>
        </w:rPr>
        <w:t>Cyberpsychology, Behavior, and Social Networking</w:t>
      </w:r>
      <w:r w:rsidRPr="007249B2">
        <w:rPr>
          <w:highlight w:val="white"/>
        </w:rPr>
        <w:t xml:space="preserve">, </w:t>
      </w:r>
      <w:r w:rsidRPr="007249B2">
        <w:rPr>
          <w:i/>
          <w:iCs/>
          <w:highlight w:val="white"/>
        </w:rPr>
        <w:t>22</w:t>
      </w:r>
      <w:r>
        <w:rPr>
          <w:highlight w:val="white"/>
        </w:rPr>
        <w:t>(5), 330-</w:t>
      </w:r>
      <w:r w:rsidRPr="007249B2">
        <w:rPr>
          <w:highlight w:val="white"/>
        </w:rPr>
        <w:t xml:space="preserve">335. </w:t>
      </w:r>
      <w:hyperlink r:id="rId29" w:history="1">
        <w:r w:rsidRPr="009866DB">
          <w:rPr>
            <w:rStyle w:val="Hipervnculo"/>
            <w:highlight w:val="white"/>
          </w:rPr>
          <w:t>https://doi.org/10.1089/cyber.2018.0624</w:t>
        </w:r>
      </w:hyperlink>
      <w:r>
        <w:rPr>
          <w:highlight w:val="white"/>
        </w:rPr>
        <w:t xml:space="preserve"> </w:t>
      </w:r>
    </w:p>
    <w:p w14:paraId="5204DB7A" w14:textId="78D7FF7C" w:rsidR="007249B2" w:rsidRPr="007249B2" w:rsidRDefault="007249B2" w:rsidP="007B5480">
      <w:pPr>
        <w:pStyle w:val="Referencias"/>
        <w:spacing w:line="360" w:lineRule="auto"/>
        <w:ind w:left="0"/>
        <w:rPr>
          <w:highlight w:val="white"/>
        </w:rPr>
      </w:pPr>
      <w:r w:rsidRPr="007249B2">
        <w:rPr>
          <w:highlight w:val="white"/>
        </w:rPr>
        <w:t xml:space="preserve">McMullan, R. D., </w:t>
      </w:r>
      <w:proofErr w:type="spellStart"/>
      <w:r w:rsidRPr="007249B2">
        <w:rPr>
          <w:highlight w:val="white"/>
        </w:rPr>
        <w:t>Berle</w:t>
      </w:r>
      <w:proofErr w:type="spellEnd"/>
      <w:r w:rsidRPr="007249B2">
        <w:rPr>
          <w:highlight w:val="white"/>
        </w:rPr>
        <w:t xml:space="preserve">, D., </w:t>
      </w:r>
      <w:proofErr w:type="spellStart"/>
      <w:r w:rsidRPr="007249B2">
        <w:rPr>
          <w:highlight w:val="white"/>
        </w:rPr>
        <w:t>Arnáez</w:t>
      </w:r>
      <w:proofErr w:type="spellEnd"/>
      <w:r w:rsidRPr="007249B2">
        <w:rPr>
          <w:highlight w:val="white"/>
        </w:rPr>
        <w:t xml:space="preserve">, S., &amp; </w:t>
      </w:r>
      <w:proofErr w:type="spellStart"/>
      <w:r w:rsidRPr="007249B2">
        <w:rPr>
          <w:highlight w:val="white"/>
        </w:rPr>
        <w:t>Starcevic</w:t>
      </w:r>
      <w:proofErr w:type="spellEnd"/>
      <w:r w:rsidRPr="007249B2">
        <w:rPr>
          <w:highlight w:val="white"/>
        </w:rPr>
        <w:t xml:space="preserve">, V. (2019). The relationships between health anxiety, online health information seeking, and cyberchondria: Systematic review and meta-analysis. </w:t>
      </w:r>
      <w:r w:rsidRPr="007249B2">
        <w:rPr>
          <w:i/>
          <w:iCs/>
          <w:highlight w:val="white"/>
        </w:rPr>
        <w:t>Journal of Affective Disorders</w:t>
      </w:r>
      <w:r w:rsidRPr="007249B2">
        <w:rPr>
          <w:highlight w:val="white"/>
        </w:rPr>
        <w:t xml:space="preserve">, </w:t>
      </w:r>
      <w:r w:rsidRPr="007249B2">
        <w:rPr>
          <w:i/>
          <w:iCs/>
          <w:highlight w:val="white"/>
        </w:rPr>
        <w:t>245</w:t>
      </w:r>
      <w:r>
        <w:rPr>
          <w:highlight w:val="white"/>
        </w:rPr>
        <w:t>, 270-</w:t>
      </w:r>
      <w:r w:rsidRPr="007249B2">
        <w:rPr>
          <w:highlight w:val="white"/>
        </w:rPr>
        <w:t xml:space="preserve">278. </w:t>
      </w:r>
      <w:hyperlink r:id="rId30" w:history="1">
        <w:r w:rsidRPr="009866DB">
          <w:rPr>
            <w:rStyle w:val="Hipervnculo"/>
            <w:highlight w:val="white"/>
          </w:rPr>
          <w:t>https://doi.org/10.1016/j.jad.2018.11.037</w:t>
        </w:r>
      </w:hyperlink>
      <w:r>
        <w:rPr>
          <w:highlight w:val="white"/>
        </w:rPr>
        <w:t xml:space="preserve"> </w:t>
      </w:r>
    </w:p>
    <w:p w14:paraId="42F97D07" w14:textId="77777777" w:rsidR="00864F59" w:rsidRDefault="00864F59" w:rsidP="007B5480">
      <w:pPr>
        <w:pStyle w:val="Referencias"/>
        <w:spacing w:line="360" w:lineRule="auto"/>
        <w:ind w:left="0"/>
      </w:pPr>
      <w:proofErr w:type="spellStart"/>
      <w:r w:rsidRPr="00864F59">
        <w:rPr>
          <w:lang w:val="pt-BR"/>
        </w:rPr>
        <w:t>Mencía</w:t>
      </w:r>
      <w:proofErr w:type="spellEnd"/>
      <w:r w:rsidRPr="00864F59">
        <w:rPr>
          <w:lang w:val="pt-BR"/>
        </w:rPr>
        <w:t xml:space="preserve">-Ripley, A., Paulino-Ramírez, R., </w:t>
      </w:r>
      <w:proofErr w:type="spellStart"/>
      <w:r w:rsidRPr="00864F59">
        <w:rPr>
          <w:lang w:val="pt-BR"/>
        </w:rPr>
        <w:t>Féliz</w:t>
      </w:r>
      <w:proofErr w:type="spellEnd"/>
      <w:r w:rsidRPr="00864F59">
        <w:rPr>
          <w:lang w:val="pt-BR"/>
        </w:rPr>
        <w:t>-Matos, L., Ruiz-</w:t>
      </w:r>
      <w:proofErr w:type="spellStart"/>
      <w:r w:rsidRPr="00864F59">
        <w:rPr>
          <w:lang w:val="pt-BR"/>
        </w:rPr>
        <w:t>Matuk</w:t>
      </w:r>
      <w:proofErr w:type="spellEnd"/>
      <w:r w:rsidRPr="00864F59">
        <w:rPr>
          <w:lang w:val="pt-BR"/>
        </w:rPr>
        <w:t>, C. B., &amp; Sánchez-</w:t>
      </w:r>
      <w:proofErr w:type="spellStart"/>
      <w:r w:rsidRPr="00864F59">
        <w:rPr>
          <w:lang w:val="pt-BR"/>
        </w:rPr>
        <w:t>Vincitore</w:t>
      </w:r>
      <w:proofErr w:type="spellEnd"/>
      <w:r w:rsidRPr="00864F59">
        <w:rPr>
          <w:lang w:val="pt-BR"/>
        </w:rPr>
        <w:t xml:space="preserve">, L. V. (2021). </w:t>
      </w:r>
      <w:r w:rsidRPr="00864F59">
        <w:t xml:space="preserve">Psychological responses to the COVID-19 outbreak are related to trust in public institutions: Implications for management of emerging infectious diseases. </w:t>
      </w:r>
      <w:r w:rsidRPr="00864F59">
        <w:rPr>
          <w:i/>
          <w:iCs/>
        </w:rPr>
        <w:t>InterAmerican Journal of Medicine and Health</w:t>
      </w:r>
      <w:r w:rsidRPr="00864F59">
        <w:t>, 4.</w:t>
      </w:r>
    </w:p>
    <w:p w14:paraId="76B08F42" w14:textId="6BCD6DC8" w:rsidR="007249B2" w:rsidRPr="00187899" w:rsidRDefault="007249B2" w:rsidP="007B5480">
      <w:pPr>
        <w:pStyle w:val="Referencias"/>
        <w:spacing w:line="360" w:lineRule="auto"/>
        <w:ind w:left="0"/>
        <w:rPr>
          <w:highlight w:val="white"/>
        </w:rPr>
      </w:pPr>
      <w:proofErr w:type="spellStart"/>
      <w:r w:rsidRPr="00864F59">
        <w:rPr>
          <w:highlight w:val="white"/>
        </w:rPr>
        <w:t>Ministerio</w:t>
      </w:r>
      <w:proofErr w:type="spellEnd"/>
      <w:r w:rsidRPr="00864F59">
        <w:rPr>
          <w:highlight w:val="white"/>
        </w:rPr>
        <w:t xml:space="preserve"> de </w:t>
      </w:r>
      <w:proofErr w:type="spellStart"/>
      <w:r w:rsidRPr="00864F59">
        <w:rPr>
          <w:highlight w:val="white"/>
        </w:rPr>
        <w:t>Salud</w:t>
      </w:r>
      <w:proofErr w:type="spellEnd"/>
      <w:r w:rsidRPr="00864F59">
        <w:rPr>
          <w:highlight w:val="white"/>
        </w:rPr>
        <w:t xml:space="preserve"> </w:t>
      </w:r>
      <w:proofErr w:type="spellStart"/>
      <w:r w:rsidRPr="00864F59">
        <w:rPr>
          <w:highlight w:val="white"/>
        </w:rPr>
        <w:t>Pública</w:t>
      </w:r>
      <w:proofErr w:type="spellEnd"/>
      <w:r w:rsidRPr="00864F59">
        <w:rPr>
          <w:highlight w:val="white"/>
        </w:rPr>
        <w:t xml:space="preserve">. </w:t>
      </w:r>
      <w:r w:rsidRPr="007249B2">
        <w:rPr>
          <w:highlight w:val="white"/>
          <w:lang w:val="es-ES"/>
        </w:rPr>
        <w:t xml:space="preserve">(2020). </w:t>
      </w:r>
      <w:r w:rsidRPr="007249B2">
        <w:rPr>
          <w:i/>
          <w:iCs/>
          <w:highlight w:val="white"/>
          <w:lang w:val="es-ES"/>
        </w:rPr>
        <w:t>Plan de contingencia ante enfermedad por coronavirus (COVID-19)</w:t>
      </w:r>
      <w:r w:rsidRPr="007249B2">
        <w:rPr>
          <w:highlight w:val="white"/>
          <w:lang w:val="es-ES"/>
        </w:rPr>
        <w:t>.</w:t>
      </w:r>
      <w:r>
        <w:rPr>
          <w:highlight w:val="white"/>
          <w:lang w:val="es-ES"/>
        </w:rPr>
        <w:t xml:space="preserve"> </w:t>
      </w:r>
      <w:r w:rsidRPr="00187899">
        <w:t xml:space="preserve">República </w:t>
      </w:r>
      <w:proofErr w:type="spellStart"/>
      <w:r w:rsidRPr="00187899">
        <w:t>Dominicana</w:t>
      </w:r>
      <w:proofErr w:type="spellEnd"/>
      <w:r w:rsidRPr="00187899">
        <w:t>.</w:t>
      </w:r>
    </w:p>
    <w:p w14:paraId="6E74DBE6" w14:textId="382774CB" w:rsidR="007249B2" w:rsidRPr="007249B2" w:rsidRDefault="007249B2" w:rsidP="007B5480">
      <w:pPr>
        <w:pStyle w:val="Referencias"/>
        <w:spacing w:line="360" w:lineRule="auto"/>
        <w:ind w:left="0"/>
        <w:rPr>
          <w:highlight w:val="white"/>
        </w:rPr>
      </w:pPr>
      <w:proofErr w:type="spellStart"/>
      <w:r w:rsidRPr="00187899">
        <w:rPr>
          <w:highlight w:val="white"/>
        </w:rPr>
        <w:t>Paulino</w:t>
      </w:r>
      <w:proofErr w:type="spellEnd"/>
      <w:r w:rsidRPr="00187899">
        <w:rPr>
          <w:highlight w:val="white"/>
        </w:rPr>
        <w:t xml:space="preserve">-Ramirez, R., &amp; Tapia, L. (2020). </w:t>
      </w:r>
      <w:r w:rsidRPr="007249B2">
        <w:rPr>
          <w:highlight w:val="white"/>
        </w:rPr>
        <w:t xml:space="preserve">Learning from pandemics in the Americas: The Dominican Republic programmatic response against a novel coronavirus (COVID-19). </w:t>
      </w:r>
      <w:r w:rsidRPr="007249B2">
        <w:rPr>
          <w:i/>
          <w:iCs/>
          <w:highlight w:val="white"/>
        </w:rPr>
        <w:t>InterAmerican Journal of Medicine and Health</w:t>
      </w:r>
      <w:r w:rsidRPr="007249B2">
        <w:rPr>
          <w:highlight w:val="white"/>
        </w:rPr>
        <w:t xml:space="preserve">, </w:t>
      </w:r>
      <w:r w:rsidRPr="007249B2">
        <w:rPr>
          <w:i/>
          <w:iCs/>
          <w:highlight w:val="white"/>
        </w:rPr>
        <w:t>3</w:t>
      </w:r>
      <w:r>
        <w:rPr>
          <w:highlight w:val="white"/>
        </w:rPr>
        <w:t>, 1-</w:t>
      </w:r>
      <w:r w:rsidRPr="007249B2">
        <w:rPr>
          <w:highlight w:val="white"/>
        </w:rPr>
        <w:t xml:space="preserve">3. </w:t>
      </w:r>
      <w:hyperlink r:id="rId31" w:history="1">
        <w:r w:rsidRPr="009866DB">
          <w:rPr>
            <w:rStyle w:val="Hipervnculo"/>
            <w:highlight w:val="white"/>
          </w:rPr>
          <w:t>https://doi.org/10.31005/iajmh.v3i0.104</w:t>
        </w:r>
      </w:hyperlink>
      <w:r>
        <w:rPr>
          <w:highlight w:val="white"/>
        </w:rPr>
        <w:t xml:space="preserve"> </w:t>
      </w:r>
    </w:p>
    <w:p w14:paraId="1424E963" w14:textId="58033111" w:rsidR="007249B2" w:rsidRPr="007249B2" w:rsidRDefault="007249B2" w:rsidP="007B5480">
      <w:pPr>
        <w:pStyle w:val="Referencias"/>
        <w:spacing w:line="360" w:lineRule="auto"/>
        <w:ind w:left="0"/>
        <w:rPr>
          <w:highlight w:val="white"/>
        </w:rPr>
      </w:pPr>
      <w:r w:rsidRPr="007249B2">
        <w:rPr>
          <w:highlight w:val="white"/>
        </w:rPr>
        <w:t xml:space="preserve">Peralta, E., &amp; Taveras, M. (2020). Effectiveness of teleconsultation use in access to mental health services during the coronavirus disease 2019 pandemic in the Dominican Republic. </w:t>
      </w:r>
      <w:r w:rsidRPr="007249B2">
        <w:rPr>
          <w:i/>
          <w:iCs/>
          <w:highlight w:val="white"/>
        </w:rPr>
        <w:t>Indian Journal of Psychiatry</w:t>
      </w:r>
      <w:r w:rsidRPr="007249B2">
        <w:rPr>
          <w:highlight w:val="white"/>
        </w:rPr>
        <w:t xml:space="preserve">, </w:t>
      </w:r>
      <w:r w:rsidRPr="007249B2">
        <w:rPr>
          <w:i/>
          <w:iCs/>
          <w:highlight w:val="white"/>
        </w:rPr>
        <w:t>62</w:t>
      </w:r>
      <w:r w:rsidRPr="007249B2">
        <w:rPr>
          <w:highlight w:val="white"/>
        </w:rPr>
        <w:t xml:space="preserve">(9), 492. </w:t>
      </w:r>
      <w:hyperlink r:id="rId32" w:history="1">
        <w:r w:rsidRPr="009866DB">
          <w:rPr>
            <w:rStyle w:val="Hipervnculo"/>
            <w:highlight w:val="white"/>
          </w:rPr>
          <w:t>https://doi.org/10.4103/psychiatry.IndianJPsychiatry_1047_20</w:t>
        </w:r>
      </w:hyperlink>
      <w:r>
        <w:rPr>
          <w:highlight w:val="white"/>
        </w:rPr>
        <w:t xml:space="preserve"> </w:t>
      </w:r>
    </w:p>
    <w:p w14:paraId="671A44EB" w14:textId="0B36C142" w:rsidR="007249B2" w:rsidRPr="007249B2" w:rsidRDefault="007249B2" w:rsidP="007B5480">
      <w:pPr>
        <w:pStyle w:val="Referencias"/>
        <w:spacing w:line="360" w:lineRule="auto"/>
        <w:ind w:left="0"/>
        <w:rPr>
          <w:highlight w:val="white"/>
        </w:rPr>
      </w:pPr>
      <w:r w:rsidRPr="007249B2">
        <w:rPr>
          <w:highlight w:val="white"/>
        </w:rPr>
        <w:t xml:space="preserve">Rathe, M. (2020). Dominican Republic: The response to the COVID-19 pandemic in 2020. </w:t>
      </w:r>
      <w:proofErr w:type="spellStart"/>
      <w:r w:rsidRPr="007249B2">
        <w:rPr>
          <w:i/>
          <w:iCs/>
          <w:highlight w:val="white"/>
        </w:rPr>
        <w:t>Gaceta</w:t>
      </w:r>
      <w:proofErr w:type="spellEnd"/>
      <w:r w:rsidRPr="007249B2">
        <w:rPr>
          <w:i/>
          <w:iCs/>
          <w:highlight w:val="white"/>
        </w:rPr>
        <w:t xml:space="preserve"> </w:t>
      </w:r>
      <w:proofErr w:type="spellStart"/>
      <w:r w:rsidRPr="007249B2">
        <w:rPr>
          <w:i/>
          <w:iCs/>
          <w:highlight w:val="white"/>
        </w:rPr>
        <w:t>Médica</w:t>
      </w:r>
      <w:proofErr w:type="spellEnd"/>
      <w:r w:rsidRPr="007249B2">
        <w:rPr>
          <w:i/>
          <w:iCs/>
          <w:highlight w:val="white"/>
        </w:rPr>
        <w:t xml:space="preserve"> de Caracas</w:t>
      </w:r>
      <w:r w:rsidRPr="007249B2">
        <w:rPr>
          <w:highlight w:val="white"/>
        </w:rPr>
        <w:t xml:space="preserve">, </w:t>
      </w:r>
      <w:r w:rsidRPr="007249B2">
        <w:rPr>
          <w:i/>
          <w:iCs/>
          <w:highlight w:val="white"/>
        </w:rPr>
        <w:t>128</w:t>
      </w:r>
      <w:r>
        <w:rPr>
          <w:highlight w:val="white"/>
        </w:rPr>
        <w:t>(2), 227-</w:t>
      </w:r>
      <w:r w:rsidRPr="007249B2">
        <w:rPr>
          <w:highlight w:val="white"/>
        </w:rPr>
        <w:t xml:space="preserve">235. </w:t>
      </w:r>
      <w:hyperlink r:id="rId33" w:history="1">
        <w:r w:rsidRPr="009866DB">
          <w:rPr>
            <w:rStyle w:val="Hipervnculo"/>
            <w:highlight w:val="white"/>
          </w:rPr>
          <w:t>https://doi.org/10.47307/GMC.2020.128.s2.10</w:t>
        </w:r>
      </w:hyperlink>
      <w:r>
        <w:rPr>
          <w:highlight w:val="white"/>
        </w:rPr>
        <w:t xml:space="preserve"> </w:t>
      </w:r>
    </w:p>
    <w:p w14:paraId="75D2CFEC" w14:textId="11A4314F" w:rsidR="007249B2" w:rsidRPr="007249B2" w:rsidRDefault="007249B2" w:rsidP="007B5480">
      <w:pPr>
        <w:pStyle w:val="Referencias"/>
        <w:spacing w:line="360" w:lineRule="auto"/>
        <w:ind w:left="0"/>
        <w:rPr>
          <w:highlight w:val="white"/>
        </w:rPr>
      </w:pPr>
      <w:proofErr w:type="spellStart"/>
      <w:r w:rsidRPr="007249B2">
        <w:rPr>
          <w:highlight w:val="white"/>
        </w:rPr>
        <w:t>Salari</w:t>
      </w:r>
      <w:proofErr w:type="spellEnd"/>
      <w:r w:rsidRPr="007249B2">
        <w:rPr>
          <w:highlight w:val="white"/>
        </w:rPr>
        <w:t xml:space="preserve">, N., Hosseinian-Far, A., </w:t>
      </w:r>
      <w:proofErr w:type="spellStart"/>
      <w:r w:rsidRPr="007249B2">
        <w:rPr>
          <w:highlight w:val="white"/>
        </w:rPr>
        <w:t>Jalali</w:t>
      </w:r>
      <w:proofErr w:type="spellEnd"/>
      <w:r w:rsidRPr="007249B2">
        <w:rPr>
          <w:highlight w:val="white"/>
        </w:rPr>
        <w:t xml:space="preserve">, R., </w:t>
      </w:r>
      <w:proofErr w:type="spellStart"/>
      <w:r w:rsidRPr="007249B2">
        <w:rPr>
          <w:highlight w:val="white"/>
        </w:rPr>
        <w:t>Vaisi-Raygani</w:t>
      </w:r>
      <w:proofErr w:type="spellEnd"/>
      <w:r w:rsidRPr="007249B2">
        <w:rPr>
          <w:highlight w:val="white"/>
        </w:rPr>
        <w:t xml:space="preserve">, A., </w:t>
      </w:r>
      <w:proofErr w:type="spellStart"/>
      <w:r w:rsidRPr="007249B2">
        <w:rPr>
          <w:highlight w:val="white"/>
        </w:rPr>
        <w:t>Rasoulpoor</w:t>
      </w:r>
      <w:proofErr w:type="spellEnd"/>
      <w:r w:rsidRPr="007249B2">
        <w:rPr>
          <w:highlight w:val="white"/>
        </w:rPr>
        <w:t xml:space="preserve">, S., Mohammadi, M., </w:t>
      </w:r>
      <w:proofErr w:type="spellStart"/>
      <w:r w:rsidRPr="007249B2">
        <w:rPr>
          <w:highlight w:val="white"/>
        </w:rPr>
        <w:t>Rasoulpoor</w:t>
      </w:r>
      <w:proofErr w:type="spellEnd"/>
      <w:r w:rsidRPr="007249B2">
        <w:rPr>
          <w:highlight w:val="white"/>
        </w:rPr>
        <w:t xml:space="preserve">, S., &amp; </w:t>
      </w:r>
      <w:proofErr w:type="spellStart"/>
      <w:r w:rsidRPr="007249B2">
        <w:rPr>
          <w:highlight w:val="white"/>
        </w:rPr>
        <w:t>Khaledi-Paveh</w:t>
      </w:r>
      <w:proofErr w:type="spellEnd"/>
      <w:r w:rsidRPr="007249B2">
        <w:rPr>
          <w:highlight w:val="white"/>
        </w:rPr>
        <w:t xml:space="preserve">, B. (2020). Prevalence of stress, anxiety, depression among the general population during the COVID-19 pandemic: A systematic review and </w:t>
      </w:r>
      <w:r w:rsidRPr="007249B2">
        <w:rPr>
          <w:highlight w:val="white"/>
        </w:rPr>
        <w:lastRenderedPageBreak/>
        <w:t xml:space="preserve">meta-analysis. </w:t>
      </w:r>
      <w:r w:rsidRPr="007249B2">
        <w:rPr>
          <w:i/>
          <w:iCs/>
          <w:highlight w:val="white"/>
        </w:rPr>
        <w:t>Globalization and Health</w:t>
      </w:r>
      <w:r w:rsidRPr="007249B2">
        <w:rPr>
          <w:highlight w:val="white"/>
        </w:rPr>
        <w:t xml:space="preserve">, </w:t>
      </w:r>
      <w:r w:rsidRPr="007249B2">
        <w:rPr>
          <w:i/>
          <w:iCs/>
          <w:highlight w:val="white"/>
        </w:rPr>
        <w:t>16</w:t>
      </w:r>
      <w:r w:rsidRPr="007249B2">
        <w:rPr>
          <w:highlight w:val="white"/>
        </w:rPr>
        <w:t xml:space="preserve">, 57. </w:t>
      </w:r>
      <w:hyperlink r:id="rId34" w:history="1">
        <w:r w:rsidRPr="009866DB">
          <w:rPr>
            <w:rStyle w:val="Hipervnculo"/>
            <w:highlight w:val="white"/>
          </w:rPr>
          <w:t>https://doi.org/10.1186/s12992-020-00589-w</w:t>
        </w:r>
      </w:hyperlink>
      <w:r>
        <w:rPr>
          <w:highlight w:val="white"/>
        </w:rPr>
        <w:t xml:space="preserve"> </w:t>
      </w:r>
    </w:p>
    <w:p w14:paraId="337F87CC" w14:textId="08C2AA29" w:rsidR="007249B2" w:rsidRPr="007249B2" w:rsidRDefault="007249B2" w:rsidP="007B5480">
      <w:pPr>
        <w:pStyle w:val="Referencias"/>
        <w:spacing w:line="360" w:lineRule="auto"/>
        <w:ind w:left="0"/>
        <w:rPr>
          <w:highlight w:val="white"/>
        </w:rPr>
      </w:pPr>
      <w:proofErr w:type="spellStart"/>
      <w:r w:rsidRPr="007249B2">
        <w:rPr>
          <w:highlight w:val="white"/>
        </w:rPr>
        <w:t>Saviola</w:t>
      </w:r>
      <w:proofErr w:type="spellEnd"/>
      <w:r w:rsidRPr="007249B2">
        <w:rPr>
          <w:highlight w:val="white"/>
        </w:rPr>
        <w:t xml:space="preserve">, F., </w:t>
      </w:r>
      <w:proofErr w:type="spellStart"/>
      <w:r w:rsidRPr="007249B2">
        <w:rPr>
          <w:highlight w:val="white"/>
        </w:rPr>
        <w:t>Pappaianni</w:t>
      </w:r>
      <w:proofErr w:type="spellEnd"/>
      <w:r w:rsidRPr="007249B2">
        <w:rPr>
          <w:highlight w:val="white"/>
        </w:rPr>
        <w:t xml:space="preserve">, E., Monti, A., </w:t>
      </w:r>
      <w:proofErr w:type="spellStart"/>
      <w:r w:rsidRPr="007249B2">
        <w:rPr>
          <w:highlight w:val="white"/>
        </w:rPr>
        <w:t>Grecucci</w:t>
      </w:r>
      <w:proofErr w:type="spellEnd"/>
      <w:r w:rsidRPr="007249B2">
        <w:rPr>
          <w:highlight w:val="white"/>
        </w:rPr>
        <w:t xml:space="preserve">, A., </w:t>
      </w:r>
      <w:proofErr w:type="spellStart"/>
      <w:r w:rsidRPr="007249B2">
        <w:rPr>
          <w:highlight w:val="white"/>
        </w:rPr>
        <w:t>Jovicich</w:t>
      </w:r>
      <w:proofErr w:type="spellEnd"/>
      <w:r w:rsidRPr="007249B2">
        <w:rPr>
          <w:highlight w:val="white"/>
        </w:rPr>
        <w:t xml:space="preserve">, J., &amp; De Pisapia, N. (2020). Trait and state anxiety are mapped differently in the human brain. </w:t>
      </w:r>
      <w:r w:rsidRPr="007249B2">
        <w:rPr>
          <w:i/>
          <w:iCs/>
          <w:highlight w:val="white"/>
        </w:rPr>
        <w:t>Scientific Reports</w:t>
      </w:r>
      <w:r w:rsidRPr="007249B2">
        <w:rPr>
          <w:highlight w:val="white"/>
        </w:rPr>
        <w:t xml:space="preserve">, </w:t>
      </w:r>
      <w:r w:rsidRPr="007249B2">
        <w:rPr>
          <w:i/>
          <w:iCs/>
          <w:highlight w:val="white"/>
        </w:rPr>
        <w:t>10</w:t>
      </w:r>
      <w:r>
        <w:rPr>
          <w:highlight w:val="white"/>
        </w:rPr>
        <w:t>(1), 1-</w:t>
      </w:r>
      <w:r w:rsidRPr="007249B2">
        <w:rPr>
          <w:highlight w:val="white"/>
        </w:rPr>
        <w:t xml:space="preserve">11. </w:t>
      </w:r>
      <w:hyperlink r:id="rId35" w:history="1">
        <w:r w:rsidRPr="009866DB">
          <w:rPr>
            <w:rStyle w:val="Hipervnculo"/>
            <w:highlight w:val="white"/>
          </w:rPr>
          <w:t>https://doi.org/10.1038/s41598-020-68008-z</w:t>
        </w:r>
      </w:hyperlink>
      <w:r>
        <w:rPr>
          <w:highlight w:val="white"/>
        </w:rPr>
        <w:t xml:space="preserve"> </w:t>
      </w:r>
    </w:p>
    <w:p w14:paraId="3E8968B6" w14:textId="511F6563" w:rsidR="007249B2" w:rsidRPr="007249B2" w:rsidRDefault="007249B2" w:rsidP="007B5480">
      <w:pPr>
        <w:pStyle w:val="Referencias"/>
        <w:spacing w:line="360" w:lineRule="auto"/>
        <w:ind w:left="0"/>
        <w:rPr>
          <w:highlight w:val="white"/>
        </w:rPr>
      </w:pPr>
      <w:proofErr w:type="spellStart"/>
      <w:r w:rsidRPr="007249B2">
        <w:rPr>
          <w:highlight w:val="white"/>
        </w:rPr>
        <w:t>Schimmenti</w:t>
      </w:r>
      <w:proofErr w:type="spellEnd"/>
      <w:r w:rsidRPr="007249B2">
        <w:rPr>
          <w:highlight w:val="white"/>
        </w:rPr>
        <w:t xml:space="preserve">, A., </w:t>
      </w:r>
      <w:proofErr w:type="spellStart"/>
      <w:r w:rsidRPr="007249B2">
        <w:rPr>
          <w:highlight w:val="white"/>
        </w:rPr>
        <w:t>Billieux</w:t>
      </w:r>
      <w:proofErr w:type="spellEnd"/>
      <w:r w:rsidRPr="007249B2">
        <w:rPr>
          <w:highlight w:val="white"/>
        </w:rPr>
        <w:t xml:space="preserve">, J., &amp; </w:t>
      </w:r>
      <w:proofErr w:type="spellStart"/>
      <w:r w:rsidRPr="007249B2">
        <w:rPr>
          <w:highlight w:val="white"/>
        </w:rPr>
        <w:t>Starcevic</w:t>
      </w:r>
      <w:proofErr w:type="spellEnd"/>
      <w:r w:rsidRPr="007249B2">
        <w:rPr>
          <w:highlight w:val="white"/>
        </w:rPr>
        <w:t xml:space="preserve">, V. (2020). The four horsemen of fear during the COVID pandemic. </w:t>
      </w:r>
      <w:r w:rsidRPr="007249B2">
        <w:rPr>
          <w:i/>
          <w:iCs/>
          <w:highlight w:val="white"/>
        </w:rPr>
        <w:t>Clinical Neuropsychiatry</w:t>
      </w:r>
      <w:r w:rsidRPr="007249B2">
        <w:rPr>
          <w:highlight w:val="white"/>
        </w:rPr>
        <w:t xml:space="preserve">, </w:t>
      </w:r>
      <w:r w:rsidRPr="007249B2">
        <w:rPr>
          <w:i/>
          <w:iCs/>
          <w:highlight w:val="white"/>
        </w:rPr>
        <w:t>17</w:t>
      </w:r>
      <w:r>
        <w:rPr>
          <w:highlight w:val="white"/>
        </w:rPr>
        <w:t>(2), 41-</w:t>
      </w:r>
      <w:r w:rsidRPr="007249B2">
        <w:rPr>
          <w:highlight w:val="white"/>
        </w:rPr>
        <w:t>45.</w:t>
      </w:r>
    </w:p>
    <w:p w14:paraId="3882F286" w14:textId="77777777" w:rsidR="007249B2" w:rsidRPr="007249B2" w:rsidRDefault="007249B2" w:rsidP="007B5480">
      <w:pPr>
        <w:pStyle w:val="Referencias"/>
        <w:spacing w:line="360" w:lineRule="auto"/>
        <w:ind w:left="0"/>
        <w:rPr>
          <w:highlight w:val="white"/>
        </w:rPr>
      </w:pPr>
      <w:r w:rsidRPr="007249B2">
        <w:rPr>
          <w:highlight w:val="white"/>
        </w:rPr>
        <w:t xml:space="preserve">Spielberger, C. D. (1983). </w:t>
      </w:r>
      <w:r w:rsidRPr="007249B2">
        <w:rPr>
          <w:i/>
          <w:iCs/>
          <w:highlight w:val="white"/>
        </w:rPr>
        <w:t>State-Trait Anxiety Inventory for Adults (STAI-AD)</w:t>
      </w:r>
      <w:r w:rsidRPr="007249B2">
        <w:rPr>
          <w:highlight w:val="white"/>
        </w:rPr>
        <w:t xml:space="preserve">. [Database record]. APA </w:t>
      </w:r>
      <w:proofErr w:type="spellStart"/>
      <w:r w:rsidRPr="007249B2">
        <w:rPr>
          <w:highlight w:val="white"/>
        </w:rPr>
        <w:t>PsycTests</w:t>
      </w:r>
      <w:proofErr w:type="spellEnd"/>
      <w:r w:rsidRPr="007249B2">
        <w:rPr>
          <w:highlight w:val="white"/>
        </w:rPr>
        <w:t>.</w:t>
      </w:r>
    </w:p>
    <w:p w14:paraId="129EC172" w14:textId="58486EF9" w:rsidR="007249B2" w:rsidRPr="00187899" w:rsidRDefault="007249B2" w:rsidP="007B5480">
      <w:pPr>
        <w:pStyle w:val="Referencias"/>
        <w:spacing w:line="360" w:lineRule="auto"/>
        <w:ind w:left="0"/>
        <w:rPr>
          <w:highlight w:val="white"/>
        </w:rPr>
      </w:pPr>
      <w:proofErr w:type="spellStart"/>
      <w:r w:rsidRPr="007249B2">
        <w:rPr>
          <w:highlight w:val="white"/>
        </w:rPr>
        <w:t>Spilberger</w:t>
      </w:r>
      <w:proofErr w:type="spellEnd"/>
      <w:r w:rsidRPr="007249B2">
        <w:rPr>
          <w:highlight w:val="white"/>
        </w:rPr>
        <w:t xml:space="preserve">, C. D., Gorsuch, R. L., &amp; </w:t>
      </w:r>
      <w:proofErr w:type="spellStart"/>
      <w:r w:rsidRPr="007249B2">
        <w:rPr>
          <w:highlight w:val="white"/>
        </w:rPr>
        <w:t>Lushene</w:t>
      </w:r>
      <w:proofErr w:type="spellEnd"/>
      <w:r w:rsidRPr="007249B2">
        <w:rPr>
          <w:highlight w:val="white"/>
        </w:rPr>
        <w:t xml:space="preserve">, R. E. (1997). </w:t>
      </w:r>
      <w:r w:rsidRPr="00187899">
        <w:rPr>
          <w:i/>
          <w:iCs/>
          <w:highlight w:val="white"/>
        </w:rPr>
        <w:t xml:space="preserve">STAI: </w:t>
      </w:r>
      <w:proofErr w:type="spellStart"/>
      <w:r w:rsidRPr="00187899">
        <w:rPr>
          <w:i/>
          <w:iCs/>
          <w:highlight w:val="white"/>
        </w:rPr>
        <w:t>Cuestionario</w:t>
      </w:r>
      <w:proofErr w:type="spellEnd"/>
      <w:r w:rsidRPr="00187899">
        <w:rPr>
          <w:i/>
          <w:iCs/>
          <w:highlight w:val="white"/>
        </w:rPr>
        <w:t xml:space="preserve"> de </w:t>
      </w:r>
      <w:proofErr w:type="spellStart"/>
      <w:r w:rsidRPr="00187899">
        <w:rPr>
          <w:i/>
          <w:iCs/>
          <w:highlight w:val="white"/>
        </w:rPr>
        <w:t>Ansiedad</w:t>
      </w:r>
      <w:proofErr w:type="spellEnd"/>
      <w:r w:rsidRPr="00187899">
        <w:rPr>
          <w:i/>
          <w:iCs/>
          <w:highlight w:val="white"/>
        </w:rPr>
        <w:t xml:space="preserve"> Estado-</w:t>
      </w:r>
      <w:proofErr w:type="spellStart"/>
      <w:r w:rsidRPr="00187899">
        <w:rPr>
          <w:i/>
          <w:iCs/>
          <w:highlight w:val="white"/>
        </w:rPr>
        <w:t>Rasgo</w:t>
      </w:r>
      <w:proofErr w:type="spellEnd"/>
      <w:r w:rsidRPr="00187899">
        <w:rPr>
          <w:highlight w:val="white"/>
        </w:rPr>
        <w:t xml:space="preserve">. TEA </w:t>
      </w:r>
      <w:proofErr w:type="spellStart"/>
      <w:r w:rsidRPr="00187899">
        <w:rPr>
          <w:highlight w:val="white"/>
        </w:rPr>
        <w:t>Ediciones</w:t>
      </w:r>
      <w:proofErr w:type="spellEnd"/>
      <w:r w:rsidRPr="00187899">
        <w:rPr>
          <w:highlight w:val="white"/>
        </w:rPr>
        <w:t xml:space="preserve">. </w:t>
      </w:r>
      <w:hyperlink r:id="rId36" w:history="1">
        <w:r w:rsidRPr="00187899">
          <w:rPr>
            <w:rStyle w:val="Hipervnculo"/>
            <w:highlight w:val="white"/>
          </w:rPr>
          <w:t>http://pseaconsultores.com/sites/default/files/STAI_0.pdf</w:t>
        </w:r>
      </w:hyperlink>
      <w:r w:rsidRPr="00187899">
        <w:rPr>
          <w:highlight w:val="white"/>
        </w:rPr>
        <w:t xml:space="preserve"> </w:t>
      </w:r>
    </w:p>
    <w:p w14:paraId="6F6FDFD1" w14:textId="38A917BD" w:rsidR="007249B2" w:rsidRPr="007249B2" w:rsidRDefault="007249B2" w:rsidP="007B5480">
      <w:pPr>
        <w:pStyle w:val="Referencias"/>
        <w:spacing w:line="360" w:lineRule="auto"/>
        <w:ind w:left="0"/>
        <w:rPr>
          <w:highlight w:val="white"/>
        </w:rPr>
      </w:pPr>
      <w:proofErr w:type="spellStart"/>
      <w:r w:rsidRPr="00187899">
        <w:rPr>
          <w:highlight w:val="white"/>
        </w:rPr>
        <w:t>Starcevic</w:t>
      </w:r>
      <w:proofErr w:type="spellEnd"/>
      <w:r w:rsidRPr="00187899">
        <w:rPr>
          <w:highlight w:val="white"/>
        </w:rPr>
        <w:t xml:space="preserve">, V., Baggio, S., </w:t>
      </w:r>
      <w:proofErr w:type="spellStart"/>
      <w:r w:rsidRPr="00187899">
        <w:rPr>
          <w:highlight w:val="white"/>
        </w:rPr>
        <w:t>Berle</w:t>
      </w:r>
      <w:proofErr w:type="spellEnd"/>
      <w:r w:rsidRPr="00187899">
        <w:rPr>
          <w:highlight w:val="white"/>
        </w:rPr>
        <w:t xml:space="preserve">, D., </w:t>
      </w:r>
      <w:proofErr w:type="spellStart"/>
      <w:r w:rsidRPr="00187899">
        <w:rPr>
          <w:highlight w:val="white"/>
        </w:rPr>
        <w:t>Khazaal</w:t>
      </w:r>
      <w:proofErr w:type="spellEnd"/>
      <w:r w:rsidRPr="00187899">
        <w:rPr>
          <w:highlight w:val="white"/>
        </w:rPr>
        <w:t xml:space="preserve">, Y., &amp; </w:t>
      </w:r>
      <w:proofErr w:type="spellStart"/>
      <w:r w:rsidRPr="00187899">
        <w:rPr>
          <w:highlight w:val="white"/>
        </w:rPr>
        <w:t>Viswasam</w:t>
      </w:r>
      <w:proofErr w:type="spellEnd"/>
      <w:r w:rsidRPr="00187899">
        <w:rPr>
          <w:highlight w:val="white"/>
        </w:rPr>
        <w:t xml:space="preserve">, K. (2019). </w:t>
      </w:r>
      <w:r w:rsidRPr="007249B2">
        <w:rPr>
          <w:highlight w:val="white"/>
        </w:rPr>
        <w:t xml:space="preserve">Cyberchondria and its relationships with related constructs: A network analysis. </w:t>
      </w:r>
      <w:r w:rsidRPr="007249B2">
        <w:rPr>
          <w:i/>
          <w:iCs/>
          <w:highlight w:val="white"/>
        </w:rPr>
        <w:t>Psychiatric Quarterly</w:t>
      </w:r>
      <w:r w:rsidRPr="007249B2">
        <w:rPr>
          <w:highlight w:val="white"/>
        </w:rPr>
        <w:t xml:space="preserve">, </w:t>
      </w:r>
      <w:r w:rsidRPr="007249B2">
        <w:rPr>
          <w:i/>
          <w:iCs/>
          <w:highlight w:val="white"/>
        </w:rPr>
        <w:t>90</w:t>
      </w:r>
      <w:r>
        <w:rPr>
          <w:highlight w:val="white"/>
        </w:rPr>
        <w:t>(3), 491-</w:t>
      </w:r>
      <w:r w:rsidRPr="007249B2">
        <w:rPr>
          <w:highlight w:val="white"/>
        </w:rPr>
        <w:t xml:space="preserve">505. </w:t>
      </w:r>
      <w:hyperlink r:id="rId37" w:history="1">
        <w:r w:rsidRPr="009866DB">
          <w:rPr>
            <w:rStyle w:val="Hipervnculo"/>
            <w:highlight w:val="white"/>
          </w:rPr>
          <w:t>https://doi.org/10.1007/s11126-019-09640-5</w:t>
        </w:r>
      </w:hyperlink>
      <w:r>
        <w:rPr>
          <w:highlight w:val="white"/>
        </w:rPr>
        <w:t xml:space="preserve"> </w:t>
      </w:r>
    </w:p>
    <w:p w14:paraId="31EA57FA" w14:textId="6DC293FC" w:rsidR="007249B2" w:rsidRPr="007249B2" w:rsidRDefault="007249B2" w:rsidP="007B5480">
      <w:pPr>
        <w:pStyle w:val="Referencias"/>
        <w:spacing w:line="360" w:lineRule="auto"/>
        <w:ind w:left="0"/>
        <w:rPr>
          <w:highlight w:val="white"/>
        </w:rPr>
      </w:pPr>
      <w:proofErr w:type="spellStart"/>
      <w:r w:rsidRPr="007249B2">
        <w:rPr>
          <w:highlight w:val="white"/>
        </w:rPr>
        <w:t>Starcevic</w:t>
      </w:r>
      <w:proofErr w:type="spellEnd"/>
      <w:r w:rsidRPr="007249B2">
        <w:rPr>
          <w:highlight w:val="white"/>
        </w:rPr>
        <w:t xml:space="preserve">, V., &amp; </w:t>
      </w:r>
      <w:proofErr w:type="spellStart"/>
      <w:r w:rsidRPr="007249B2">
        <w:rPr>
          <w:highlight w:val="white"/>
        </w:rPr>
        <w:t>Berle</w:t>
      </w:r>
      <w:proofErr w:type="spellEnd"/>
      <w:r w:rsidRPr="007249B2">
        <w:rPr>
          <w:highlight w:val="white"/>
        </w:rPr>
        <w:t xml:space="preserve">, D. (2013). Cyberchondria: Towards a better understanding of excessive health-related Internet use. </w:t>
      </w:r>
      <w:r w:rsidRPr="007249B2">
        <w:rPr>
          <w:i/>
          <w:iCs/>
          <w:highlight w:val="white"/>
        </w:rPr>
        <w:t>Expert Review of Neurotherapeutics</w:t>
      </w:r>
      <w:r w:rsidRPr="007249B2">
        <w:rPr>
          <w:highlight w:val="white"/>
        </w:rPr>
        <w:t xml:space="preserve">, </w:t>
      </w:r>
      <w:r w:rsidRPr="007249B2">
        <w:rPr>
          <w:i/>
          <w:iCs/>
          <w:highlight w:val="white"/>
        </w:rPr>
        <w:t>13</w:t>
      </w:r>
      <w:r>
        <w:rPr>
          <w:highlight w:val="white"/>
        </w:rPr>
        <w:t>(2), 205-</w:t>
      </w:r>
      <w:r w:rsidRPr="007249B2">
        <w:rPr>
          <w:highlight w:val="white"/>
        </w:rPr>
        <w:t xml:space="preserve">213. </w:t>
      </w:r>
      <w:hyperlink r:id="rId38" w:history="1">
        <w:r w:rsidRPr="009866DB">
          <w:rPr>
            <w:rStyle w:val="Hipervnculo"/>
            <w:highlight w:val="white"/>
          </w:rPr>
          <w:t>https://doi.org/10.1586/ern.12.162</w:t>
        </w:r>
      </w:hyperlink>
      <w:r>
        <w:rPr>
          <w:highlight w:val="white"/>
        </w:rPr>
        <w:t xml:space="preserve"> </w:t>
      </w:r>
    </w:p>
    <w:p w14:paraId="063DDFD3" w14:textId="732719DA" w:rsidR="007249B2" w:rsidRPr="007249B2" w:rsidRDefault="007249B2" w:rsidP="007B5480">
      <w:pPr>
        <w:pStyle w:val="Referencias"/>
        <w:spacing w:line="360" w:lineRule="auto"/>
        <w:ind w:left="0"/>
        <w:rPr>
          <w:highlight w:val="white"/>
        </w:rPr>
      </w:pPr>
      <w:proofErr w:type="spellStart"/>
      <w:r w:rsidRPr="007249B2">
        <w:rPr>
          <w:highlight w:val="white"/>
        </w:rPr>
        <w:t>Starcevic</w:t>
      </w:r>
      <w:proofErr w:type="spellEnd"/>
      <w:r w:rsidRPr="007249B2">
        <w:rPr>
          <w:highlight w:val="white"/>
        </w:rPr>
        <w:t xml:space="preserve">, V., </w:t>
      </w:r>
      <w:proofErr w:type="spellStart"/>
      <w:r w:rsidRPr="007249B2">
        <w:rPr>
          <w:highlight w:val="white"/>
        </w:rPr>
        <w:t>Schimmenti</w:t>
      </w:r>
      <w:proofErr w:type="spellEnd"/>
      <w:r w:rsidRPr="007249B2">
        <w:rPr>
          <w:highlight w:val="white"/>
        </w:rPr>
        <w:t xml:space="preserve">, A., </w:t>
      </w:r>
      <w:proofErr w:type="spellStart"/>
      <w:r w:rsidRPr="007249B2">
        <w:rPr>
          <w:highlight w:val="white"/>
        </w:rPr>
        <w:t>Billieux</w:t>
      </w:r>
      <w:proofErr w:type="spellEnd"/>
      <w:r w:rsidRPr="007249B2">
        <w:rPr>
          <w:highlight w:val="white"/>
        </w:rPr>
        <w:t xml:space="preserve">, J., &amp; </w:t>
      </w:r>
      <w:proofErr w:type="spellStart"/>
      <w:r w:rsidRPr="007249B2">
        <w:rPr>
          <w:highlight w:val="white"/>
        </w:rPr>
        <w:t>Berle</w:t>
      </w:r>
      <w:proofErr w:type="spellEnd"/>
      <w:r w:rsidRPr="007249B2">
        <w:rPr>
          <w:highlight w:val="white"/>
        </w:rPr>
        <w:t xml:space="preserve">, D. (2020). Cyberchondria in the time of the COVID-19 pandemic. </w:t>
      </w:r>
      <w:r w:rsidRPr="007249B2">
        <w:rPr>
          <w:i/>
          <w:iCs/>
          <w:highlight w:val="white"/>
        </w:rPr>
        <w:t>Human Behavior and Emerging Technologies</w:t>
      </w:r>
      <w:r w:rsidRPr="007249B2">
        <w:rPr>
          <w:highlight w:val="white"/>
        </w:rPr>
        <w:t xml:space="preserve">, </w:t>
      </w:r>
      <w:r w:rsidRPr="007249B2">
        <w:rPr>
          <w:i/>
          <w:iCs/>
          <w:highlight w:val="white"/>
        </w:rPr>
        <w:t>October</w:t>
      </w:r>
      <w:r>
        <w:rPr>
          <w:highlight w:val="white"/>
        </w:rPr>
        <w:t>, 1-</w:t>
      </w:r>
      <w:r w:rsidRPr="007249B2">
        <w:rPr>
          <w:highlight w:val="white"/>
        </w:rPr>
        <w:t xml:space="preserve">10. </w:t>
      </w:r>
      <w:hyperlink r:id="rId39" w:history="1">
        <w:r w:rsidRPr="009866DB">
          <w:rPr>
            <w:rStyle w:val="Hipervnculo"/>
            <w:highlight w:val="white"/>
          </w:rPr>
          <w:t>https://doi.org/10.1002/hbe2.233</w:t>
        </w:r>
      </w:hyperlink>
      <w:r>
        <w:rPr>
          <w:highlight w:val="white"/>
        </w:rPr>
        <w:t xml:space="preserve"> </w:t>
      </w:r>
    </w:p>
    <w:p w14:paraId="0EC05881" w14:textId="7A510414" w:rsidR="007249B2" w:rsidRPr="007249B2" w:rsidRDefault="007249B2" w:rsidP="007B5480">
      <w:pPr>
        <w:pStyle w:val="Referencias"/>
        <w:spacing w:line="360" w:lineRule="auto"/>
        <w:ind w:left="0"/>
        <w:rPr>
          <w:highlight w:val="white"/>
        </w:rPr>
      </w:pPr>
      <w:r w:rsidRPr="007249B2">
        <w:rPr>
          <w:highlight w:val="white"/>
        </w:rPr>
        <w:t xml:space="preserve">Tapia, L. (2020). COVID-19 and fake news in the Dominican Republic. </w:t>
      </w:r>
      <w:r w:rsidRPr="007249B2">
        <w:rPr>
          <w:i/>
          <w:iCs/>
          <w:highlight w:val="white"/>
        </w:rPr>
        <w:t>American Journal of Tropical Medicine and Hygiene</w:t>
      </w:r>
      <w:r w:rsidRPr="007249B2">
        <w:rPr>
          <w:highlight w:val="white"/>
        </w:rPr>
        <w:t xml:space="preserve">, </w:t>
      </w:r>
      <w:r w:rsidRPr="007249B2">
        <w:rPr>
          <w:i/>
          <w:iCs/>
          <w:highlight w:val="white"/>
        </w:rPr>
        <w:t>102</w:t>
      </w:r>
      <w:r>
        <w:rPr>
          <w:highlight w:val="white"/>
        </w:rPr>
        <w:t>(6), 1172-</w:t>
      </w:r>
      <w:r w:rsidRPr="007249B2">
        <w:rPr>
          <w:highlight w:val="white"/>
        </w:rPr>
        <w:t xml:space="preserve">1174. </w:t>
      </w:r>
      <w:hyperlink r:id="rId40" w:history="1">
        <w:r w:rsidRPr="009866DB">
          <w:rPr>
            <w:rStyle w:val="Hipervnculo"/>
            <w:highlight w:val="white"/>
          </w:rPr>
          <w:t>https://doi.org/10.4269/ajtmh.20-0234</w:t>
        </w:r>
      </w:hyperlink>
      <w:r>
        <w:rPr>
          <w:highlight w:val="white"/>
        </w:rPr>
        <w:t xml:space="preserve"> </w:t>
      </w:r>
    </w:p>
    <w:p w14:paraId="040FFED8" w14:textId="2131B1CF" w:rsidR="007249B2" w:rsidRPr="007249B2" w:rsidRDefault="007249B2" w:rsidP="007B5480">
      <w:pPr>
        <w:pStyle w:val="Referencias"/>
        <w:spacing w:line="360" w:lineRule="auto"/>
        <w:ind w:left="0"/>
        <w:rPr>
          <w:highlight w:val="white"/>
        </w:rPr>
      </w:pPr>
      <w:proofErr w:type="spellStart"/>
      <w:r w:rsidRPr="007249B2">
        <w:rPr>
          <w:highlight w:val="white"/>
        </w:rPr>
        <w:t>Witthöft</w:t>
      </w:r>
      <w:proofErr w:type="spellEnd"/>
      <w:r w:rsidRPr="007249B2">
        <w:rPr>
          <w:highlight w:val="white"/>
        </w:rPr>
        <w:t xml:space="preserve">, M., &amp; Hiller, W. (2010). Psychological approaches to origins and treatments of somatoform disorders. </w:t>
      </w:r>
      <w:r w:rsidRPr="007249B2">
        <w:rPr>
          <w:i/>
          <w:iCs/>
          <w:highlight w:val="white"/>
        </w:rPr>
        <w:t>Annual Review of Clinical Psychology</w:t>
      </w:r>
      <w:r w:rsidRPr="007249B2">
        <w:rPr>
          <w:highlight w:val="white"/>
        </w:rPr>
        <w:t xml:space="preserve">, </w:t>
      </w:r>
      <w:r w:rsidRPr="007249B2">
        <w:rPr>
          <w:i/>
          <w:iCs/>
          <w:highlight w:val="white"/>
        </w:rPr>
        <w:t>6</w:t>
      </w:r>
      <w:r>
        <w:rPr>
          <w:highlight w:val="white"/>
        </w:rPr>
        <w:t>(February), 257-</w:t>
      </w:r>
      <w:r w:rsidRPr="007249B2">
        <w:rPr>
          <w:highlight w:val="white"/>
        </w:rPr>
        <w:t xml:space="preserve">283. </w:t>
      </w:r>
      <w:hyperlink r:id="rId41" w:history="1">
        <w:r w:rsidRPr="009866DB">
          <w:rPr>
            <w:rStyle w:val="Hipervnculo"/>
            <w:highlight w:val="white"/>
          </w:rPr>
          <w:t>https://doi.org/10.1146/annurev.clinpsy.121208.131505</w:t>
        </w:r>
      </w:hyperlink>
      <w:r>
        <w:rPr>
          <w:highlight w:val="white"/>
        </w:rPr>
        <w:t xml:space="preserve"> </w:t>
      </w:r>
    </w:p>
    <w:p w14:paraId="082F801D" w14:textId="550D6EE8" w:rsidR="00537714" w:rsidRDefault="007249B2" w:rsidP="007B5480">
      <w:pPr>
        <w:pStyle w:val="Referencias"/>
        <w:spacing w:line="360" w:lineRule="auto"/>
        <w:ind w:left="0"/>
      </w:pPr>
      <w:r w:rsidRPr="007249B2">
        <w:rPr>
          <w:highlight w:val="white"/>
        </w:rPr>
        <w:t xml:space="preserve">Wu, F., Zhao, S., Yu, B., Chen, Y.-M., Wang, W., Song, Z.-G., Hu, Y., Tao, Z.-W., Tian, J.-H., Pei, Y.-Y., Yuan, M.-L., Zhang, Y.-L., Dai, F.-H., Liu, Y., Wang, Q.-M., Zheng, J.-J., Xu, L., Holmes, E. C., &amp; Zhang, Y.-Z. (2020). A new coronavirus associated with human respiratory disease in China. </w:t>
      </w:r>
      <w:proofErr w:type="spellStart"/>
      <w:r w:rsidRPr="007249B2">
        <w:rPr>
          <w:i/>
          <w:iCs/>
          <w:highlight w:val="white"/>
          <w:lang w:val="es-AR"/>
        </w:rPr>
        <w:t>Nature</w:t>
      </w:r>
      <w:proofErr w:type="spellEnd"/>
      <w:r w:rsidRPr="007249B2">
        <w:rPr>
          <w:highlight w:val="white"/>
          <w:lang w:val="es-AR"/>
        </w:rPr>
        <w:t xml:space="preserve">, </w:t>
      </w:r>
      <w:r w:rsidRPr="007249B2">
        <w:rPr>
          <w:i/>
          <w:iCs/>
          <w:highlight w:val="white"/>
          <w:lang w:val="es-AR"/>
        </w:rPr>
        <w:t>579</w:t>
      </w:r>
      <w:r w:rsidRPr="007249B2">
        <w:rPr>
          <w:highlight w:val="white"/>
          <w:lang w:val="es-AR"/>
        </w:rPr>
        <w:t xml:space="preserve">, 265-269. </w:t>
      </w:r>
      <w:hyperlink r:id="rId42" w:history="1">
        <w:r w:rsidRPr="009866DB">
          <w:rPr>
            <w:rStyle w:val="Hipervnculo"/>
            <w:highlight w:val="white"/>
            <w:lang w:val="es-AR"/>
          </w:rPr>
          <w:t>https://doi.org/10.1038/s41586-020-2008-</w:t>
        </w:r>
        <w:r w:rsidRPr="009866DB">
          <w:rPr>
            <w:rStyle w:val="Hipervnculo"/>
            <w:lang w:val="es-AR"/>
          </w:rPr>
          <w:t>3</w:t>
        </w:r>
      </w:hyperlink>
      <w:r>
        <w:rPr>
          <w:lang w:val="es-AR"/>
        </w:rPr>
        <w:t xml:space="preserve"> </w:t>
      </w:r>
    </w:p>
    <w:p w14:paraId="4E4CDB4E" w14:textId="0DC95F6A" w:rsidR="00147EED" w:rsidRPr="009752F2" w:rsidRDefault="00147EED" w:rsidP="007B5480">
      <w:pPr>
        <w:shd w:val="clear" w:color="auto" w:fill="FFFFFF"/>
        <w:spacing w:line="360" w:lineRule="auto"/>
        <w:jc w:val="right"/>
        <w:rPr>
          <w:i/>
          <w:iCs/>
          <w:sz w:val="20"/>
          <w:szCs w:val="20"/>
        </w:rPr>
      </w:pPr>
      <w:r w:rsidRPr="009752F2">
        <w:rPr>
          <w:i/>
          <w:iCs/>
          <w:sz w:val="20"/>
          <w:szCs w:val="20"/>
          <w:lang w:val="en-US"/>
        </w:rPr>
        <w:t xml:space="preserve">Received: </w:t>
      </w:r>
      <w:r w:rsidR="009752F2" w:rsidRPr="009752F2">
        <w:rPr>
          <w:i/>
          <w:iCs/>
          <w:sz w:val="20"/>
          <w:szCs w:val="20"/>
        </w:rPr>
        <w:t>2021-10-23</w:t>
      </w:r>
    </w:p>
    <w:p w14:paraId="312A8921" w14:textId="183D684E" w:rsidR="00147EED" w:rsidRPr="00493400" w:rsidRDefault="00147EED" w:rsidP="007B5480">
      <w:pPr>
        <w:shd w:val="clear" w:color="auto" w:fill="FFFFFF"/>
        <w:spacing w:line="360" w:lineRule="auto"/>
        <w:jc w:val="right"/>
        <w:rPr>
          <w:i/>
          <w:iCs/>
          <w:sz w:val="20"/>
          <w:szCs w:val="20"/>
          <w:lang w:eastAsia="es-ES_tradnl"/>
        </w:rPr>
      </w:pPr>
      <w:r w:rsidRPr="009752F2">
        <w:rPr>
          <w:i/>
          <w:iCs/>
          <w:sz w:val="20"/>
          <w:szCs w:val="20"/>
          <w:lang w:val="en-US"/>
        </w:rPr>
        <w:t xml:space="preserve">Accepted: </w:t>
      </w:r>
      <w:r w:rsidR="009752F2" w:rsidRPr="009752F2">
        <w:rPr>
          <w:i/>
          <w:iCs/>
          <w:sz w:val="20"/>
          <w:szCs w:val="20"/>
          <w:lang w:eastAsia="es-ES_tradnl"/>
        </w:rPr>
        <w:t>2023-09-29</w:t>
      </w:r>
    </w:p>
    <w:sectPr w:rsidR="00147EED" w:rsidRPr="00493400" w:rsidSect="00686DA9">
      <w:headerReference w:type="even" r:id="rId43"/>
      <w:headerReference w:type="default" r:id="rId44"/>
      <w:footerReference w:type="even" r:id="rId45"/>
      <w:footerReference w:type="default" r:id="rId46"/>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77743" w14:textId="77777777" w:rsidR="003F5403" w:rsidRDefault="003F5403" w:rsidP="00C413D4">
      <w:r>
        <w:separator/>
      </w:r>
    </w:p>
  </w:endnote>
  <w:endnote w:type="continuationSeparator" w:id="0">
    <w:p w14:paraId="50C2843F" w14:textId="77777777" w:rsidR="003F5403" w:rsidRDefault="003F5403"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34EC612D" w:rsidR="00A6222A" w:rsidRDefault="00A6222A"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E901AC">
          <w:rPr>
            <w:rStyle w:val="Nmerodepgina"/>
            <w:rFonts w:ascii="Times" w:hAnsi="Times"/>
            <w:noProof/>
            <w:sz w:val="16"/>
            <w:szCs w:val="16"/>
          </w:rPr>
          <w:t>16</w:t>
        </w:r>
        <w:r w:rsidRPr="007F5913">
          <w:rPr>
            <w:rStyle w:val="Nmerodepgina"/>
            <w:rFonts w:ascii="Times" w:hAnsi="Times"/>
            <w:sz w:val="16"/>
            <w:szCs w:val="16"/>
          </w:rPr>
          <w:fldChar w:fldCharType="end"/>
        </w:r>
      </w:p>
    </w:sdtContent>
  </w:sdt>
  <w:p w14:paraId="4737EBA2" w14:textId="77777777" w:rsidR="00A6222A" w:rsidRDefault="00A622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463A2F2D" w:rsidR="00A6222A" w:rsidRDefault="00A6222A"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E901AC">
          <w:rPr>
            <w:rStyle w:val="Nmerodepgina"/>
            <w:rFonts w:ascii="Times" w:hAnsi="Times"/>
            <w:noProof/>
            <w:sz w:val="16"/>
            <w:szCs w:val="16"/>
          </w:rPr>
          <w:t>17</w:t>
        </w:r>
        <w:r w:rsidRPr="007F5913">
          <w:rPr>
            <w:rStyle w:val="Nmerodepgina"/>
            <w:rFonts w:ascii="Times" w:hAnsi="Times"/>
            <w:sz w:val="16"/>
            <w:szCs w:val="16"/>
          </w:rPr>
          <w:fldChar w:fldCharType="end"/>
        </w:r>
      </w:p>
    </w:sdtContent>
  </w:sdt>
  <w:p w14:paraId="420682C3" w14:textId="77777777" w:rsidR="00A6222A" w:rsidRDefault="00A622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37B14" w14:textId="77777777" w:rsidR="003F5403" w:rsidRDefault="003F5403" w:rsidP="00C413D4">
      <w:r>
        <w:separator/>
      </w:r>
    </w:p>
  </w:footnote>
  <w:footnote w:type="continuationSeparator" w:id="0">
    <w:p w14:paraId="448E4896" w14:textId="77777777" w:rsidR="003F5403" w:rsidRDefault="003F5403" w:rsidP="00C413D4">
      <w:r>
        <w:continuationSeparator/>
      </w:r>
    </w:p>
  </w:footnote>
  <w:footnote w:id="1">
    <w:p w14:paraId="5E153EE6" w14:textId="281E31E6" w:rsidR="00A6222A" w:rsidRPr="005E205D" w:rsidRDefault="00A6222A" w:rsidP="00D67E11">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w:t>
      </w:r>
      <w:r w:rsidR="00740283">
        <w:rPr>
          <w:rFonts w:ascii="Times" w:hAnsi="Times"/>
          <w:sz w:val="16"/>
          <w:szCs w:val="16"/>
          <w:lang w:val="en-US"/>
        </w:rPr>
        <w:t xml:space="preserve">his article should be addressed </w:t>
      </w:r>
      <w:proofErr w:type="spellStart"/>
      <w:r w:rsidR="00740283" w:rsidRPr="00740283">
        <w:rPr>
          <w:rFonts w:ascii="Times" w:hAnsi="Times"/>
          <w:b/>
          <w:bCs/>
          <w:sz w:val="16"/>
          <w:szCs w:val="16"/>
          <w:lang w:val="en-US"/>
        </w:rPr>
        <w:t>Gianluis</w:t>
      </w:r>
      <w:proofErr w:type="spellEnd"/>
      <w:r w:rsidR="00740283" w:rsidRPr="00740283">
        <w:rPr>
          <w:rFonts w:ascii="Times" w:hAnsi="Times"/>
          <w:b/>
          <w:bCs/>
          <w:sz w:val="16"/>
          <w:szCs w:val="16"/>
          <w:lang w:val="en-US"/>
        </w:rPr>
        <w:t xml:space="preserve"> Ortega </w:t>
      </w:r>
      <w:proofErr w:type="spellStart"/>
      <w:r w:rsidR="00740283" w:rsidRPr="00740283">
        <w:rPr>
          <w:rFonts w:ascii="Times" w:hAnsi="Times"/>
          <w:b/>
          <w:bCs/>
          <w:sz w:val="16"/>
          <w:szCs w:val="16"/>
          <w:lang w:val="en-US"/>
        </w:rPr>
        <w:t>Germosén</w:t>
      </w:r>
      <w:proofErr w:type="spellEnd"/>
      <w:r w:rsidRPr="00740283">
        <w:rPr>
          <w:rFonts w:ascii="Times" w:hAnsi="Times"/>
          <w:b/>
          <w:bCs/>
          <w:sz w:val="16"/>
          <w:szCs w:val="16"/>
          <w:lang w:val="en-US"/>
        </w:rPr>
        <w:t>:</w:t>
      </w:r>
      <w:r>
        <w:rPr>
          <w:rFonts w:ascii="Times" w:hAnsi="Times"/>
          <w:b/>
          <w:bCs/>
          <w:sz w:val="16"/>
          <w:szCs w:val="16"/>
          <w:lang w:val="en-US"/>
        </w:rPr>
        <w:t xml:space="preserve"> </w:t>
      </w:r>
      <w:hyperlink r:id="rId1" w:history="1">
        <w:r w:rsidR="00740283">
          <w:rPr>
            <w:rStyle w:val="Hipervnculo"/>
            <w:sz w:val="16"/>
            <w:szCs w:val="16"/>
            <w:lang w:val="en-GB"/>
          </w:rPr>
          <w:t>gortega@est.unibe.edu.do</w:t>
        </w:r>
      </w:hyperlink>
      <w:r>
        <w:rPr>
          <w:sz w:val="16"/>
          <w:szCs w:val="16"/>
          <w:lang w:val="en-GB"/>
        </w:rPr>
        <w:t xml:space="preserve"> </w:t>
      </w:r>
    </w:p>
  </w:footnote>
  <w:footnote w:id="2">
    <w:p w14:paraId="379CAF8A" w14:textId="4BF91772" w:rsidR="00A6222A" w:rsidRPr="00CC7D22" w:rsidRDefault="00A6222A" w:rsidP="00D67E11">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 w:id="3">
    <w:p w14:paraId="17B90BA8" w14:textId="77503621" w:rsidR="00D64E9D" w:rsidRPr="00470FB9" w:rsidRDefault="00D64E9D" w:rsidP="00D64E9D">
      <w:pPr>
        <w:pStyle w:val="Textonotapie"/>
        <w:jc w:val="both"/>
        <w:rPr>
          <w:lang w:val="es-AR"/>
        </w:rPr>
      </w:pPr>
      <w:r w:rsidRPr="00D64E9D">
        <w:rPr>
          <w:rStyle w:val="Refdenotaalpie"/>
          <w:b/>
          <w:bCs/>
        </w:rPr>
        <w:footnoteRef/>
      </w:r>
      <w:r w:rsidRPr="00D64E9D">
        <w:rPr>
          <w:lang w:val="es-AR"/>
        </w:rPr>
        <w:t xml:space="preserve"> </w:t>
      </w:r>
      <w:r w:rsidRPr="00D64E9D">
        <w:rPr>
          <w:b/>
          <w:bCs/>
          <w:i/>
          <w:iCs/>
          <w:sz w:val="16"/>
          <w:szCs w:val="16"/>
          <w:lang w:val="es-AR"/>
        </w:rPr>
        <w:t>Agradecimientos</w:t>
      </w:r>
      <w:r w:rsidR="00470FB9">
        <w:rPr>
          <w:b/>
          <w:bCs/>
          <w:i/>
          <w:iCs/>
          <w:sz w:val="16"/>
          <w:szCs w:val="16"/>
          <w:lang w:val="es-AR"/>
        </w:rPr>
        <w:t xml:space="preserve">: </w:t>
      </w:r>
      <w:r w:rsidR="00150710" w:rsidRPr="00150710">
        <w:rPr>
          <w:sz w:val="16"/>
          <w:szCs w:val="16"/>
          <w:lang w:val="es-AR"/>
        </w:rPr>
        <w:t>Agradecemos al profesor Carlos Ruiz-Matuk por su acompañamiento durante los análisis de datos.</w:t>
      </w:r>
    </w:p>
  </w:footnote>
  <w:footnote w:id="4">
    <w:p w14:paraId="11851234" w14:textId="77777777" w:rsidR="00C70CCB" w:rsidRPr="00DB3D70" w:rsidRDefault="00C70CCB" w:rsidP="00C70CCB">
      <w:pPr>
        <w:pStyle w:val="Textonotapie"/>
        <w:rPr>
          <w:lang w:val="es-ES"/>
        </w:rPr>
      </w:pPr>
      <w:r w:rsidRPr="00A94447">
        <w:rPr>
          <w:rStyle w:val="Refdenotaalpie"/>
        </w:rPr>
        <w:footnoteRef/>
      </w:r>
      <w:r w:rsidRPr="00D64E9D">
        <w:rPr>
          <w:lang w:val="en-US"/>
        </w:rPr>
        <w:t xml:space="preserve"> Copyright © 1968, 1977 </w:t>
      </w:r>
      <w:proofErr w:type="spellStart"/>
      <w:r w:rsidRPr="00D64E9D">
        <w:rPr>
          <w:lang w:val="en-US"/>
        </w:rPr>
        <w:t>por</w:t>
      </w:r>
      <w:proofErr w:type="spellEnd"/>
      <w:r w:rsidRPr="00D64E9D">
        <w:rPr>
          <w:lang w:val="en-US"/>
        </w:rPr>
        <w:t xml:space="preserve"> Charles D. Spielberger. </w:t>
      </w:r>
      <w:r w:rsidRPr="00DB3D70">
        <w:rPr>
          <w:lang w:val="es-ES"/>
        </w:rPr>
        <w:t xml:space="preserve">Todos los derechos reservados en todos los medios. Publicado por </w:t>
      </w:r>
      <w:proofErr w:type="spellStart"/>
      <w:r w:rsidRPr="00DB3D70">
        <w:rPr>
          <w:lang w:val="es-ES"/>
        </w:rPr>
        <w:t>Mind</w:t>
      </w:r>
      <w:proofErr w:type="spellEnd"/>
      <w:r w:rsidRPr="00DB3D70">
        <w:rPr>
          <w:lang w:val="es-ES"/>
        </w:rPr>
        <w:t xml:space="preserve"> Garden, Inc. www.mindgarden.com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788B5A9A" w:rsidR="00A6222A" w:rsidRPr="00714485" w:rsidRDefault="00C0006F" w:rsidP="00714485">
    <w:pPr>
      <w:pStyle w:val="Encabezado"/>
      <w:jc w:val="center"/>
      <w:rPr>
        <w:rFonts w:ascii="Times" w:hAnsi="Times" w:cs="Times New Roman (Body CS)"/>
        <w:b/>
        <w:bCs/>
        <w:smallCaps/>
        <w:sz w:val="20"/>
        <w:szCs w:val="20"/>
        <w:lang w:val="es-ES_tradnl"/>
      </w:rPr>
    </w:pPr>
    <w:r w:rsidRPr="00C0006F">
      <w:rPr>
        <w:rFonts w:ascii="Times" w:hAnsi="Times" w:cs="Times New Roman (Body CS)"/>
        <w:b/>
        <w:bCs/>
        <w:smallCaps/>
        <w:sz w:val="20"/>
        <w:szCs w:val="20"/>
        <w:lang w:val="es-AR"/>
      </w:rPr>
      <w:t>Germosén, Bello-Castillo, &amp; Sánchez-</w:t>
    </w:r>
    <w:proofErr w:type="spellStart"/>
    <w:r w:rsidRPr="00C0006F">
      <w:rPr>
        <w:rFonts w:ascii="Times" w:hAnsi="Times" w:cs="Times New Roman (Body CS)"/>
        <w:b/>
        <w:bCs/>
        <w:smallCaps/>
        <w:sz w:val="20"/>
        <w:szCs w:val="20"/>
        <w:lang w:val="es-AR"/>
      </w:rPr>
      <w:t>Vincitore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A6222A" w:rsidRDefault="00A6222A"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426DC302" w:rsidR="00A6222A" w:rsidRDefault="00A6222A" w:rsidP="00C413D4">
    <w:pPr>
      <w:pStyle w:val="Encabezado"/>
      <w:jc w:val="right"/>
      <w:rPr>
        <w:rFonts w:ascii="Times" w:hAnsi="Times"/>
        <w:i/>
        <w:sz w:val="18"/>
        <w:szCs w:val="18"/>
        <w:lang w:val="es-ES"/>
      </w:rPr>
    </w:pPr>
    <w:r>
      <w:rPr>
        <w:rFonts w:ascii="Times" w:hAnsi="Times"/>
        <w:i/>
        <w:sz w:val="18"/>
        <w:szCs w:val="18"/>
        <w:lang w:val="es-ES"/>
      </w:rPr>
      <w:t>2023, Vol., 57, No. 2, e1726</w:t>
    </w:r>
  </w:p>
  <w:p w14:paraId="1AAB67EA" w14:textId="77777777" w:rsidR="00A6222A" w:rsidRDefault="00A622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B1F2326"/>
    <w:multiLevelType w:val="hybridMultilevel"/>
    <w:tmpl w:val="138E7F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5AC3239C"/>
    <w:multiLevelType w:val="hybridMultilevel"/>
    <w:tmpl w:val="CE529A44"/>
    <w:lvl w:ilvl="0" w:tplc="C8B085C2">
      <w:start w:val="1"/>
      <w:numFmt w:val="decimal"/>
      <w:lvlText w:val="%1."/>
      <w:lvlJc w:val="left"/>
      <w:pPr>
        <w:ind w:left="501" w:hanging="360"/>
      </w:pPr>
      <w:rPr>
        <w:rFonts w:hint="default"/>
        <w:b/>
        <w:bCs/>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2"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D286557"/>
    <w:multiLevelType w:val="hybridMultilevel"/>
    <w:tmpl w:val="EE74956E"/>
    <w:lvl w:ilvl="0" w:tplc="99001B4E">
      <w:start w:val="1"/>
      <w:numFmt w:val="decimal"/>
      <w:lvlText w:val="%1."/>
      <w:lvlJc w:val="left"/>
      <w:pPr>
        <w:ind w:left="861" w:hanging="360"/>
      </w:pPr>
      <w:rPr>
        <w:rFonts w:hint="default"/>
      </w:rPr>
    </w:lvl>
    <w:lvl w:ilvl="1" w:tplc="080A0019" w:tentative="1">
      <w:start w:val="1"/>
      <w:numFmt w:val="lowerLetter"/>
      <w:lvlText w:val="%2."/>
      <w:lvlJc w:val="left"/>
      <w:pPr>
        <w:ind w:left="1581" w:hanging="360"/>
      </w:pPr>
    </w:lvl>
    <w:lvl w:ilvl="2" w:tplc="080A001B" w:tentative="1">
      <w:start w:val="1"/>
      <w:numFmt w:val="lowerRoman"/>
      <w:lvlText w:val="%3."/>
      <w:lvlJc w:val="right"/>
      <w:pPr>
        <w:ind w:left="2301" w:hanging="180"/>
      </w:pPr>
    </w:lvl>
    <w:lvl w:ilvl="3" w:tplc="080A000F" w:tentative="1">
      <w:start w:val="1"/>
      <w:numFmt w:val="decimal"/>
      <w:lvlText w:val="%4."/>
      <w:lvlJc w:val="left"/>
      <w:pPr>
        <w:ind w:left="3021" w:hanging="360"/>
      </w:pPr>
    </w:lvl>
    <w:lvl w:ilvl="4" w:tplc="080A0019" w:tentative="1">
      <w:start w:val="1"/>
      <w:numFmt w:val="lowerLetter"/>
      <w:lvlText w:val="%5."/>
      <w:lvlJc w:val="left"/>
      <w:pPr>
        <w:ind w:left="3741" w:hanging="360"/>
      </w:pPr>
    </w:lvl>
    <w:lvl w:ilvl="5" w:tplc="080A001B" w:tentative="1">
      <w:start w:val="1"/>
      <w:numFmt w:val="lowerRoman"/>
      <w:lvlText w:val="%6."/>
      <w:lvlJc w:val="right"/>
      <w:pPr>
        <w:ind w:left="4461" w:hanging="180"/>
      </w:pPr>
    </w:lvl>
    <w:lvl w:ilvl="6" w:tplc="080A000F" w:tentative="1">
      <w:start w:val="1"/>
      <w:numFmt w:val="decimal"/>
      <w:lvlText w:val="%7."/>
      <w:lvlJc w:val="left"/>
      <w:pPr>
        <w:ind w:left="5181" w:hanging="360"/>
      </w:pPr>
    </w:lvl>
    <w:lvl w:ilvl="7" w:tplc="080A0019" w:tentative="1">
      <w:start w:val="1"/>
      <w:numFmt w:val="lowerLetter"/>
      <w:lvlText w:val="%8."/>
      <w:lvlJc w:val="left"/>
      <w:pPr>
        <w:ind w:left="5901" w:hanging="360"/>
      </w:pPr>
    </w:lvl>
    <w:lvl w:ilvl="8" w:tplc="080A001B" w:tentative="1">
      <w:start w:val="1"/>
      <w:numFmt w:val="lowerRoman"/>
      <w:lvlText w:val="%9."/>
      <w:lvlJc w:val="right"/>
      <w:pPr>
        <w:ind w:left="6621" w:hanging="180"/>
      </w:pPr>
    </w:lvl>
  </w:abstractNum>
  <w:abstractNum w:abstractNumId="44"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7"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8"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085227658">
    <w:abstractNumId w:val="28"/>
  </w:num>
  <w:num w:numId="2" w16cid:durableId="1220943217">
    <w:abstractNumId w:val="48"/>
  </w:num>
  <w:num w:numId="3" w16cid:durableId="324819722">
    <w:abstractNumId w:val="14"/>
  </w:num>
  <w:num w:numId="4" w16cid:durableId="2024746085">
    <w:abstractNumId w:val="40"/>
  </w:num>
  <w:num w:numId="5" w16cid:durableId="848986012">
    <w:abstractNumId w:val="49"/>
  </w:num>
  <w:num w:numId="6" w16cid:durableId="821626223">
    <w:abstractNumId w:val="41"/>
  </w:num>
  <w:num w:numId="7" w16cid:durableId="580409559">
    <w:abstractNumId w:val="32"/>
  </w:num>
  <w:num w:numId="8" w16cid:durableId="1524980552">
    <w:abstractNumId w:val="36"/>
  </w:num>
  <w:num w:numId="9" w16cid:durableId="688331720">
    <w:abstractNumId w:val="44"/>
  </w:num>
  <w:num w:numId="10" w16cid:durableId="2015109454">
    <w:abstractNumId w:val="31"/>
  </w:num>
  <w:num w:numId="11" w16cid:durableId="1420977792">
    <w:abstractNumId w:val="25"/>
  </w:num>
  <w:num w:numId="12" w16cid:durableId="519515100">
    <w:abstractNumId w:val="12"/>
  </w:num>
  <w:num w:numId="13" w16cid:durableId="1148716052">
    <w:abstractNumId w:val="17"/>
  </w:num>
  <w:num w:numId="14" w16cid:durableId="2020811387">
    <w:abstractNumId w:val="19"/>
  </w:num>
  <w:num w:numId="15" w16cid:durableId="513766807">
    <w:abstractNumId w:val="24"/>
  </w:num>
  <w:num w:numId="16" w16cid:durableId="1045064530">
    <w:abstractNumId w:val="46"/>
  </w:num>
  <w:num w:numId="17" w16cid:durableId="1636136254">
    <w:abstractNumId w:val="21"/>
  </w:num>
  <w:num w:numId="18" w16cid:durableId="251209712">
    <w:abstractNumId w:val="13"/>
  </w:num>
  <w:num w:numId="19" w16cid:durableId="1745638655">
    <w:abstractNumId w:val="33"/>
  </w:num>
  <w:num w:numId="20" w16cid:durableId="1614441803">
    <w:abstractNumId w:val="10"/>
  </w:num>
  <w:num w:numId="21" w16cid:durableId="2082756242">
    <w:abstractNumId w:val="11"/>
  </w:num>
  <w:num w:numId="22" w16cid:durableId="1967276341">
    <w:abstractNumId w:val="26"/>
  </w:num>
  <w:num w:numId="23" w16cid:durableId="1902327667">
    <w:abstractNumId w:val="35"/>
  </w:num>
  <w:num w:numId="24" w16cid:durableId="1114209140">
    <w:abstractNumId w:val="4"/>
  </w:num>
  <w:num w:numId="25" w16cid:durableId="1718778477">
    <w:abstractNumId w:val="5"/>
  </w:num>
  <w:num w:numId="26" w16cid:durableId="956375593">
    <w:abstractNumId w:val="6"/>
  </w:num>
  <w:num w:numId="27" w16cid:durableId="225992886">
    <w:abstractNumId w:val="7"/>
  </w:num>
  <w:num w:numId="28" w16cid:durableId="1011493939">
    <w:abstractNumId w:val="9"/>
  </w:num>
  <w:num w:numId="29" w16cid:durableId="555169993">
    <w:abstractNumId w:val="0"/>
  </w:num>
  <w:num w:numId="30" w16cid:durableId="129977243">
    <w:abstractNumId w:val="1"/>
  </w:num>
  <w:num w:numId="31" w16cid:durableId="888567054">
    <w:abstractNumId w:val="2"/>
  </w:num>
  <w:num w:numId="32" w16cid:durableId="1289359212">
    <w:abstractNumId w:val="3"/>
  </w:num>
  <w:num w:numId="33" w16cid:durableId="1576697489">
    <w:abstractNumId w:val="8"/>
  </w:num>
  <w:num w:numId="34" w16cid:durableId="1518304377">
    <w:abstractNumId w:val="16"/>
  </w:num>
  <w:num w:numId="35" w16cid:durableId="1253709219">
    <w:abstractNumId w:val="22"/>
  </w:num>
  <w:num w:numId="36" w16cid:durableId="938637673">
    <w:abstractNumId w:val="20"/>
  </w:num>
  <w:num w:numId="37" w16cid:durableId="1408306578">
    <w:abstractNumId w:val="42"/>
  </w:num>
  <w:num w:numId="38" w16cid:durableId="1501849938">
    <w:abstractNumId w:val="23"/>
  </w:num>
  <w:num w:numId="39" w16cid:durableId="731388782">
    <w:abstractNumId w:val="18"/>
  </w:num>
  <w:num w:numId="40" w16cid:durableId="1952778207">
    <w:abstractNumId w:val="29"/>
  </w:num>
  <w:num w:numId="41" w16cid:durableId="32661541">
    <w:abstractNumId w:val="15"/>
  </w:num>
  <w:num w:numId="42" w16cid:durableId="689915267">
    <w:abstractNumId w:val="45"/>
  </w:num>
  <w:num w:numId="43" w16cid:durableId="527454869">
    <w:abstractNumId w:val="30"/>
  </w:num>
  <w:num w:numId="44" w16cid:durableId="402609875">
    <w:abstractNumId w:val="38"/>
  </w:num>
  <w:num w:numId="45" w16cid:durableId="1353070329">
    <w:abstractNumId w:val="27"/>
  </w:num>
  <w:num w:numId="46" w16cid:durableId="1588998575">
    <w:abstractNumId w:val="39"/>
  </w:num>
  <w:num w:numId="47" w16cid:durableId="385304668">
    <w:abstractNumId w:val="47"/>
  </w:num>
  <w:num w:numId="48" w16cid:durableId="1875386131">
    <w:abstractNumId w:val="37"/>
  </w:num>
  <w:num w:numId="49" w16cid:durableId="769156132">
    <w:abstractNumId w:val="43"/>
  </w:num>
  <w:num w:numId="50" w16cid:durableId="11424238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650C"/>
    <w:rsid w:val="000079B1"/>
    <w:rsid w:val="000104E5"/>
    <w:rsid w:val="00012352"/>
    <w:rsid w:val="000134B3"/>
    <w:rsid w:val="00020341"/>
    <w:rsid w:val="00027834"/>
    <w:rsid w:val="000378AF"/>
    <w:rsid w:val="00043604"/>
    <w:rsid w:val="0005428C"/>
    <w:rsid w:val="000547D8"/>
    <w:rsid w:val="00056CA1"/>
    <w:rsid w:val="00063582"/>
    <w:rsid w:val="000636EC"/>
    <w:rsid w:val="00064F18"/>
    <w:rsid w:val="00067898"/>
    <w:rsid w:val="000715BB"/>
    <w:rsid w:val="000733FA"/>
    <w:rsid w:val="00075F71"/>
    <w:rsid w:val="000815D5"/>
    <w:rsid w:val="000928CA"/>
    <w:rsid w:val="00094513"/>
    <w:rsid w:val="000A22C8"/>
    <w:rsid w:val="000A323A"/>
    <w:rsid w:val="000A6ECE"/>
    <w:rsid w:val="000A7BB5"/>
    <w:rsid w:val="000B01FD"/>
    <w:rsid w:val="000B1FE0"/>
    <w:rsid w:val="000B32F6"/>
    <w:rsid w:val="000B6BFA"/>
    <w:rsid w:val="000D111A"/>
    <w:rsid w:val="000D6953"/>
    <w:rsid w:val="000E2E0B"/>
    <w:rsid w:val="000E491F"/>
    <w:rsid w:val="000E6C79"/>
    <w:rsid w:val="000E759A"/>
    <w:rsid w:val="000F56BA"/>
    <w:rsid w:val="000F5A4E"/>
    <w:rsid w:val="001001E7"/>
    <w:rsid w:val="00100487"/>
    <w:rsid w:val="001006DE"/>
    <w:rsid w:val="00103F70"/>
    <w:rsid w:val="00105D4F"/>
    <w:rsid w:val="00106780"/>
    <w:rsid w:val="001127D1"/>
    <w:rsid w:val="001253E7"/>
    <w:rsid w:val="001264AC"/>
    <w:rsid w:val="00136F83"/>
    <w:rsid w:val="001444E3"/>
    <w:rsid w:val="0014506C"/>
    <w:rsid w:val="0014510D"/>
    <w:rsid w:val="00146254"/>
    <w:rsid w:val="001465A7"/>
    <w:rsid w:val="00147EED"/>
    <w:rsid w:val="00150710"/>
    <w:rsid w:val="001511AF"/>
    <w:rsid w:val="00151604"/>
    <w:rsid w:val="001537BA"/>
    <w:rsid w:val="00153CA7"/>
    <w:rsid w:val="001565EE"/>
    <w:rsid w:val="00156C30"/>
    <w:rsid w:val="00157647"/>
    <w:rsid w:val="00160E3C"/>
    <w:rsid w:val="00166DA0"/>
    <w:rsid w:val="00167A76"/>
    <w:rsid w:val="00171E35"/>
    <w:rsid w:val="001721EB"/>
    <w:rsid w:val="00173AA9"/>
    <w:rsid w:val="001761E7"/>
    <w:rsid w:val="00180590"/>
    <w:rsid w:val="00183417"/>
    <w:rsid w:val="0018535A"/>
    <w:rsid w:val="00187899"/>
    <w:rsid w:val="00191CBC"/>
    <w:rsid w:val="0019293F"/>
    <w:rsid w:val="001941FE"/>
    <w:rsid w:val="00194839"/>
    <w:rsid w:val="001949C9"/>
    <w:rsid w:val="00195707"/>
    <w:rsid w:val="00197853"/>
    <w:rsid w:val="001A2835"/>
    <w:rsid w:val="001A3023"/>
    <w:rsid w:val="001A4444"/>
    <w:rsid w:val="001A695F"/>
    <w:rsid w:val="001C41E9"/>
    <w:rsid w:val="001C4490"/>
    <w:rsid w:val="001C4E1C"/>
    <w:rsid w:val="001C7D0A"/>
    <w:rsid w:val="001D354F"/>
    <w:rsid w:val="001E0A61"/>
    <w:rsid w:val="001E1F5C"/>
    <w:rsid w:val="001E1F61"/>
    <w:rsid w:val="001E4251"/>
    <w:rsid w:val="001E4CD1"/>
    <w:rsid w:val="001E55FA"/>
    <w:rsid w:val="001F7920"/>
    <w:rsid w:val="001F7DA4"/>
    <w:rsid w:val="002012E8"/>
    <w:rsid w:val="00201E32"/>
    <w:rsid w:val="00203EC7"/>
    <w:rsid w:val="002100AC"/>
    <w:rsid w:val="00213397"/>
    <w:rsid w:val="00220223"/>
    <w:rsid w:val="00222862"/>
    <w:rsid w:val="00226282"/>
    <w:rsid w:val="002275FC"/>
    <w:rsid w:val="002334D9"/>
    <w:rsid w:val="0023574D"/>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7B47"/>
    <w:rsid w:val="00290C92"/>
    <w:rsid w:val="002927D7"/>
    <w:rsid w:val="00293DDA"/>
    <w:rsid w:val="00294547"/>
    <w:rsid w:val="0029543C"/>
    <w:rsid w:val="00295FF8"/>
    <w:rsid w:val="002A0D91"/>
    <w:rsid w:val="002A2C68"/>
    <w:rsid w:val="002B04BE"/>
    <w:rsid w:val="002B307F"/>
    <w:rsid w:val="002B7F65"/>
    <w:rsid w:val="002C1EB1"/>
    <w:rsid w:val="002C60F5"/>
    <w:rsid w:val="002C7DF0"/>
    <w:rsid w:val="002D0207"/>
    <w:rsid w:val="002D1053"/>
    <w:rsid w:val="002D5827"/>
    <w:rsid w:val="002D6B30"/>
    <w:rsid w:val="002E2011"/>
    <w:rsid w:val="002E2799"/>
    <w:rsid w:val="002E5EA3"/>
    <w:rsid w:val="002E6BEF"/>
    <w:rsid w:val="002E6EC1"/>
    <w:rsid w:val="002F070D"/>
    <w:rsid w:val="002F0CE9"/>
    <w:rsid w:val="002F257B"/>
    <w:rsid w:val="002F38C8"/>
    <w:rsid w:val="00302C5C"/>
    <w:rsid w:val="003128A7"/>
    <w:rsid w:val="00315976"/>
    <w:rsid w:val="003164A5"/>
    <w:rsid w:val="00333677"/>
    <w:rsid w:val="00340FA8"/>
    <w:rsid w:val="0034107D"/>
    <w:rsid w:val="00342F6D"/>
    <w:rsid w:val="003507BC"/>
    <w:rsid w:val="00350F12"/>
    <w:rsid w:val="00351BE1"/>
    <w:rsid w:val="00354AA6"/>
    <w:rsid w:val="003664A7"/>
    <w:rsid w:val="00366950"/>
    <w:rsid w:val="00367B6E"/>
    <w:rsid w:val="00367C23"/>
    <w:rsid w:val="0037284D"/>
    <w:rsid w:val="00380346"/>
    <w:rsid w:val="003839C1"/>
    <w:rsid w:val="00384E6B"/>
    <w:rsid w:val="0039161E"/>
    <w:rsid w:val="00393ECF"/>
    <w:rsid w:val="003A1180"/>
    <w:rsid w:val="003A7DA9"/>
    <w:rsid w:val="003B2D88"/>
    <w:rsid w:val="003B3A06"/>
    <w:rsid w:val="003B4EFF"/>
    <w:rsid w:val="003C2CEE"/>
    <w:rsid w:val="003C4AA4"/>
    <w:rsid w:val="003C53B0"/>
    <w:rsid w:val="003C628B"/>
    <w:rsid w:val="003D1DE2"/>
    <w:rsid w:val="003D75C9"/>
    <w:rsid w:val="003E7618"/>
    <w:rsid w:val="003F0308"/>
    <w:rsid w:val="003F1F0B"/>
    <w:rsid w:val="003F5403"/>
    <w:rsid w:val="00403B8B"/>
    <w:rsid w:val="00406054"/>
    <w:rsid w:val="004071D5"/>
    <w:rsid w:val="0041371A"/>
    <w:rsid w:val="00414BBB"/>
    <w:rsid w:val="00415451"/>
    <w:rsid w:val="00417776"/>
    <w:rsid w:val="00420DE6"/>
    <w:rsid w:val="00432090"/>
    <w:rsid w:val="004411CE"/>
    <w:rsid w:val="00441E83"/>
    <w:rsid w:val="00444BAD"/>
    <w:rsid w:val="00447E89"/>
    <w:rsid w:val="00457107"/>
    <w:rsid w:val="00462135"/>
    <w:rsid w:val="00462BA7"/>
    <w:rsid w:val="00464F73"/>
    <w:rsid w:val="00465507"/>
    <w:rsid w:val="00470FB9"/>
    <w:rsid w:val="00471F54"/>
    <w:rsid w:val="0047234C"/>
    <w:rsid w:val="00475708"/>
    <w:rsid w:val="00476CF4"/>
    <w:rsid w:val="00482F3F"/>
    <w:rsid w:val="00490278"/>
    <w:rsid w:val="00491015"/>
    <w:rsid w:val="00491D3A"/>
    <w:rsid w:val="00493400"/>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2DE8"/>
    <w:rsid w:val="00507543"/>
    <w:rsid w:val="00513E4D"/>
    <w:rsid w:val="005209EF"/>
    <w:rsid w:val="00527A99"/>
    <w:rsid w:val="0053418A"/>
    <w:rsid w:val="00537714"/>
    <w:rsid w:val="00541F7B"/>
    <w:rsid w:val="0054384D"/>
    <w:rsid w:val="00552412"/>
    <w:rsid w:val="005544E5"/>
    <w:rsid w:val="00564CD9"/>
    <w:rsid w:val="00565DA0"/>
    <w:rsid w:val="00582881"/>
    <w:rsid w:val="00585FC4"/>
    <w:rsid w:val="0059034C"/>
    <w:rsid w:val="00590387"/>
    <w:rsid w:val="00591A0D"/>
    <w:rsid w:val="00595C9D"/>
    <w:rsid w:val="00596425"/>
    <w:rsid w:val="00596803"/>
    <w:rsid w:val="005A0ADC"/>
    <w:rsid w:val="005A12F4"/>
    <w:rsid w:val="005A1F72"/>
    <w:rsid w:val="005A32E2"/>
    <w:rsid w:val="005B5455"/>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23C7A"/>
    <w:rsid w:val="006250A6"/>
    <w:rsid w:val="00625A9A"/>
    <w:rsid w:val="0063089C"/>
    <w:rsid w:val="00633E2D"/>
    <w:rsid w:val="006348EE"/>
    <w:rsid w:val="00644037"/>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85"/>
    <w:rsid w:val="006A0FB1"/>
    <w:rsid w:val="006A1BA2"/>
    <w:rsid w:val="006A23D2"/>
    <w:rsid w:val="006B0812"/>
    <w:rsid w:val="006B2988"/>
    <w:rsid w:val="006B4DA3"/>
    <w:rsid w:val="006B67C9"/>
    <w:rsid w:val="006B740C"/>
    <w:rsid w:val="006C2146"/>
    <w:rsid w:val="006C21BC"/>
    <w:rsid w:val="006C34E9"/>
    <w:rsid w:val="006D0B2B"/>
    <w:rsid w:val="006D1F88"/>
    <w:rsid w:val="006D330D"/>
    <w:rsid w:val="006E0173"/>
    <w:rsid w:val="006E0541"/>
    <w:rsid w:val="006E1236"/>
    <w:rsid w:val="006E4870"/>
    <w:rsid w:val="006F51A0"/>
    <w:rsid w:val="006F5633"/>
    <w:rsid w:val="006F7E7E"/>
    <w:rsid w:val="00705B8A"/>
    <w:rsid w:val="00714485"/>
    <w:rsid w:val="00715EFB"/>
    <w:rsid w:val="00720420"/>
    <w:rsid w:val="007249B2"/>
    <w:rsid w:val="00724F5C"/>
    <w:rsid w:val="00727BD0"/>
    <w:rsid w:val="00732778"/>
    <w:rsid w:val="00732EF8"/>
    <w:rsid w:val="00734F22"/>
    <w:rsid w:val="00737F3E"/>
    <w:rsid w:val="00740283"/>
    <w:rsid w:val="00741238"/>
    <w:rsid w:val="007421EE"/>
    <w:rsid w:val="00742E4A"/>
    <w:rsid w:val="00743177"/>
    <w:rsid w:val="007444EE"/>
    <w:rsid w:val="0074640C"/>
    <w:rsid w:val="00746FB3"/>
    <w:rsid w:val="00750D6C"/>
    <w:rsid w:val="00753223"/>
    <w:rsid w:val="00754227"/>
    <w:rsid w:val="00770AE4"/>
    <w:rsid w:val="00772128"/>
    <w:rsid w:val="007741C9"/>
    <w:rsid w:val="007757C7"/>
    <w:rsid w:val="00781E79"/>
    <w:rsid w:val="007848F7"/>
    <w:rsid w:val="00785339"/>
    <w:rsid w:val="007858E4"/>
    <w:rsid w:val="00795D57"/>
    <w:rsid w:val="007A015E"/>
    <w:rsid w:val="007A7C7C"/>
    <w:rsid w:val="007B5480"/>
    <w:rsid w:val="007B5DA8"/>
    <w:rsid w:val="007B686A"/>
    <w:rsid w:val="007B6A7D"/>
    <w:rsid w:val="007C07C7"/>
    <w:rsid w:val="007C1F01"/>
    <w:rsid w:val="007C4A34"/>
    <w:rsid w:val="007C5CB5"/>
    <w:rsid w:val="007D0BA9"/>
    <w:rsid w:val="007D22E8"/>
    <w:rsid w:val="007D6A4D"/>
    <w:rsid w:val="007D7E6B"/>
    <w:rsid w:val="007E1038"/>
    <w:rsid w:val="007E129F"/>
    <w:rsid w:val="007E4C07"/>
    <w:rsid w:val="007F2F33"/>
    <w:rsid w:val="007F3115"/>
    <w:rsid w:val="007F38FD"/>
    <w:rsid w:val="007F3B72"/>
    <w:rsid w:val="007F5FDB"/>
    <w:rsid w:val="00800313"/>
    <w:rsid w:val="00802DB3"/>
    <w:rsid w:val="00804C60"/>
    <w:rsid w:val="0081083B"/>
    <w:rsid w:val="008114AC"/>
    <w:rsid w:val="008148CC"/>
    <w:rsid w:val="00814EE3"/>
    <w:rsid w:val="008204EF"/>
    <w:rsid w:val="008212B4"/>
    <w:rsid w:val="008225BA"/>
    <w:rsid w:val="0082341F"/>
    <w:rsid w:val="0082531B"/>
    <w:rsid w:val="00840AC4"/>
    <w:rsid w:val="00845659"/>
    <w:rsid w:val="008547C7"/>
    <w:rsid w:val="008565A0"/>
    <w:rsid w:val="00861A27"/>
    <w:rsid w:val="00861D2F"/>
    <w:rsid w:val="00864F59"/>
    <w:rsid w:val="00872EFD"/>
    <w:rsid w:val="00876D90"/>
    <w:rsid w:val="00886B3C"/>
    <w:rsid w:val="00886D8B"/>
    <w:rsid w:val="00887460"/>
    <w:rsid w:val="00891C98"/>
    <w:rsid w:val="00897638"/>
    <w:rsid w:val="008A0FFC"/>
    <w:rsid w:val="008B0F10"/>
    <w:rsid w:val="008B1447"/>
    <w:rsid w:val="008B19BA"/>
    <w:rsid w:val="008B251F"/>
    <w:rsid w:val="008B4B3A"/>
    <w:rsid w:val="008B5E31"/>
    <w:rsid w:val="008C0DE4"/>
    <w:rsid w:val="008C0E7E"/>
    <w:rsid w:val="008C0EB9"/>
    <w:rsid w:val="008C15A4"/>
    <w:rsid w:val="008C26F9"/>
    <w:rsid w:val="008C3A89"/>
    <w:rsid w:val="008C409A"/>
    <w:rsid w:val="008C60E1"/>
    <w:rsid w:val="008D2794"/>
    <w:rsid w:val="008D4ADD"/>
    <w:rsid w:val="008D509E"/>
    <w:rsid w:val="008D6A06"/>
    <w:rsid w:val="008E17AF"/>
    <w:rsid w:val="008E2DA6"/>
    <w:rsid w:val="008E54A6"/>
    <w:rsid w:val="008E5E6A"/>
    <w:rsid w:val="008F4B8A"/>
    <w:rsid w:val="009014AC"/>
    <w:rsid w:val="0090320C"/>
    <w:rsid w:val="009032D5"/>
    <w:rsid w:val="00903DEB"/>
    <w:rsid w:val="00922B3A"/>
    <w:rsid w:val="00923438"/>
    <w:rsid w:val="00923446"/>
    <w:rsid w:val="009246B9"/>
    <w:rsid w:val="009401BC"/>
    <w:rsid w:val="00943B5C"/>
    <w:rsid w:val="009446F0"/>
    <w:rsid w:val="00950BD4"/>
    <w:rsid w:val="0095579B"/>
    <w:rsid w:val="00964CC6"/>
    <w:rsid w:val="009703F5"/>
    <w:rsid w:val="00970D91"/>
    <w:rsid w:val="00971421"/>
    <w:rsid w:val="009752F2"/>
    <w:rsid w:val="00986BF6"/>
    <w:rsid w:val="00990AFE"/>
    <w:rsid w:val="00993315"/>
    <w:rsid w:val="009A0192"/>
    <w:rsid w:val="009A22B9"/>
    <w:rsid w:val="009A5FA1"/>
    <w:rsid w:val="009B3E5E"/>
    <w:rsid w:val="009B4D60"/>
    <w:rsid w:val="009C307F"/>
    <w:rsid w:val="009C43B4"/>
    <w:rsid w:val="009C4CF0"/>
    <w:rsid w:val="009D2551"/>
    <w:rsid w:val="009D71FD"/>
    <w:rsid w:val="009F3E43"/>
    <w:rsid w:val="009F58C4"/>
    <w:rsid w:val="009F7B75"/>
    <w:rsid w:val="00A03605"/>
    <w:rsid w:val="00A03E89"/>
    <w:rsid w:val="00A07574"/>
    <w:rsid w:val="00A07982"/>
    <w:rsid w:val="00A114D6"/>
    <w:rsid w:val="00A12C89"/>
    <w:rsid w:val="00A13797"/>
    <w:rsid w:val="00A15339"/>
    <w:rsid w:val="00A234ED"/>
    <w:rsid w:val="00A411A9"/>
    <w:rsid w:val="00A457D0"/>
    <w:rsid w:val="00A516C7"/>
    <w:rsid w:val="00A61B22"/>
    <w:rsid w:val="00A6222A"/>
    <w:rsid w:val="00A64E60"/>
    <w:rsid w:val="00A70AE3"/>
    <w:rsid w:val="00A72239"/>
    <w:rsid w:val="00A80283"/>
    <w:rsid w:val="00A85C05"/>
    <w:rsid w:val="00A92F49"/>
    <w:rsid w:val="00A95630"/>
    <w:rsid w:val="00A97C99"/>
    <w:rsid w:val="00AA735D"/>
    <w:rsid w:val="00AB1AC5"/>
    <w:rsid w:val="00AB277A"/>
    <w:rsid w:val="00AB2CE6"/>
    <w:rsid w:val="00AB3BF6"/>
    <w:rsid w:val="00AB45ED"/>
    <w:rsid w:val="00AB5679"/>
    <w:rsid w:val="00AC3E22"/>
    <w:rsid w:val="00AC590B"/>
    <w:rsid w:val="00AC6029"/>
    <w:rsid w:val="00AC7994"/>
    <w:rsid w:val="00AD09AE"/>
    <w:rsid w:val="00AD0AE0"/>
    <w:rsid w:val="00AD3238"/>
    <w:rsid w:val="00AD374A"/>
    <w:rsid w:val="00AE2924"/>
    <w:rsid w:val="00AE48D4"/>
    <w:rsid w:val="00AF2B1C"/>
    <w:rsid w:val="00B054C8"/>
    <w:rsid w:val="00B06283"/>
    <w:rsid w:val="00B07ECE"/>
    <w:rsid w:val="00B105AD"/>
    <w:rsid w:val="00B114CD"/>
    <w:rsid w:val="00B114F3"/>
    <w:rsid w:val="00B12740"/>
    <w:rsid w:val="00B2208A"/>
    <w:rsid w:val="00B35B61"/>
    <w:rsid w:val="00B42559"/>
    <w:rsid w:val="00B44BB1"/>
    <w:rsid w:val="00B461DC"/>
    <w:rsid w:val="00B511FB"/>
    <w:rsid w:val="00B5244C"/>
    <w:rsid w:val="00B52DF1"/>
    <w:rsid w:val="00B546B7"/>
    <w:rsid w:val="00B5485E"/>
    <w:rsid w:val="00B56D7D"/>
    <w:rsid w:val="00B60E75"/>
    <w:rsid w:val="00B628F1"/>
    <w:rsid w:val="00B6329B"/>
    <w:rsid w:val="00B63E3C"/>
    <w:rsid w:val="00B6522A"/>
    <w:rsid w:val="00B67695"/>
    <w:rsid w:val="00B7158B"/>
    <w:rsid w:val="00B73881"/>
    <w:rsid w:val="00B74BFD"/>
    <w:rsid w:val="00B74D71"/>
    <w:rsid w:val="00B75E4E"/>
    <w:rsid w:val="00B75E90"/>
    <w:rsid w:val="00B775DB"/>
    <w:rsid w:val="00B821DD"/>
    <w:rsid w:val="00B83BA0"/>
    <w:rsid w:val="00B845A1"/>
    <w:rsid w:val="00B84E95"/>
    <w:rsid w:val="00B87BAC"/>
    <w:rsid w:val="00B92519"/>
    <w:rsid w:val="00B934E6"/>
    <w:rsid w:val="00B958C9"/>
    <w:rsid w:val="00B9678D"/>
    <w:rsid w:val="00BA0C30"/>
    <w:rsid w:val="00BA3FA7"/>
    <w:rsid w:val="00BA41EF"/>
    <w:rsid w:val="00BA6E73"/>
    <w:rsid w:val="00BA79C8"/>
    <w:rsid w:val="00BB50C1"/>
    <w:rsid w:val="00BB521A"/>
    <w:rsid w:val="00BC1671"/>
    <w:rsid w:val="00BC2AFB"/>
    <w:rsid w:val="00BC3980"/>
    <w:rsid w:val="00BC764F"/>
    <w:rsid w:val="00BD26F5"/>
    <w:rsid w:val="00BD2994"/>
    <w:rsid w:val="00BD3521"/>
    <w:rsid w:val="00BE1FBF"/>
    <w:rsid w:val="00BE399B"/>
    <w:rsid w:val="00BF2953"/>
    <w:rsid w:val="00BF6737"/>
    <w:rsid w:val="00BF6A48"/>
    <w:rsid w:val="00C0006F"/>
    <w:rsid w:val="00C01611"/>
    <w:rsid w:val="00C02FC7"/>
    <w:rsid w:val="00C06D6D"/>
    <w:rsid w:val="00C12A53"/>
    <w:rsid w:val="00C14765"/>
    <w:rsid w:val="00C2267F"/>
    <w:rsid w:val="00C413D4"/>
    <w:rsid w:val="00C45E73"/>
    <w:rsid w:val="00C51C25"/>
    <w:rsid w:val="00C55B07"/>
    <w:rsid w:val="00C57D5C"/>
    <w:rsid w:val="00C672C3"/>
    <w:rsid w:val="00C70CCB"/>
    <w:rsid w:val="00C71414"/>
    <w:rsid w:val="00C7239B"/>
    <w:rsid w:val="00C86D23"/>
    <w:rsid w:val="00C92787"/>
    <w:rsid w:val="00CA4236"/>
    <w:rsid w:val="00CA4688"/>
    <w:rsid w:val="00CB3863"/>
    <w:rsid w:val="00CB62C5"/>
    <w:rsid w:val="00CC05DE"/>
    <w:rsid w:val="00CC4527"/>
    <w:rsid w:val="00CC7D22"/>
    <w:rsid w:val="00CD3708"/>
    <w:rsid w:val="00CE5B1D"/>
    <w:rsid w:val="00CF3DAF"/>
    <w:rsid w:val="00CF44A4"/>
    <w:rsid w:val="00CF4B56"/>
    <w:rsid w:val="00CF5D21"/>
    <w:rsid w:val="00D10390"/>
    <w:rsid w:val="00D10976"/>
    <w:rsid w:val="00D13238"/>
    <w:rsid w:val="00D14026"/>
    <w:rsid w:val="00D224FA"/>
    <w:rsid w:val="00D33385"/>
    <w:rsid w:val="00D347EE"/>
    <w:rsid w:val="00D43347"/>
    <w:rsid w:val="00D441A1"/>
    <w:rsid w:val="00D45408"/>
    <w:rsid w:val="00D553C9"/>
    <w:rsid w:val="00D5546B"/>
    <w:rsid w:val="00D56255"/>
    <w:rsid w:val="00D600FE"/>
    <w:rsid w:val="00D609BB"/>
    <w:rsid w:val="00D63FEC"/>
    <w:rsid w:val="00D64E9D"/>
    <w:rsid w:val="00D67E11"/>
    <w:rsid w:val="00D70EF7"/>
    <w:rsid w:val="00D763CF"/>
    <w:rsid w:val="00D806AD"/>
    <w:rsid w:val="00D94A3F"/>
    <w:rsid w:val="00D95614"/>
    <w:rsid w:val="00DA1097"/>
    <w:rsid w:val="00DA1867"/>
    <w:rsid w:val="00DA59E6"/>
    <w:rsid w:val="00DA5C0E"/>
    <w:rsid w:val="00DA67C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29D2"/>
    <w:rsid w:val="00DF37F2"/>
    <w:rsid w:val="00DF799A"/>
    <w:rsid w:val="00E04437"/>
    <w:rsid w:val="00E07DEA"/>
    <w:rsid w:val="00E16C65"/>
    <w:rsid w:val="00E20108"/>
    <w:rsid w:val="00E22318"/>
    <w:rsid w:val="00E24012"/>
    <w:rsid w:val="00E24283"/>
    <w:rsid w:val="00E2493C"/>
    <w:rsid w:val="00E26D7E"/>
    <w:rsid w:val="00E272F5"/>
    <w:rsid w:val="00E31885"/>
    <w:rsid w:val="00E32976"/>
    <w:rsid w:val="00E3741F"/>
    <w:rsid w:val="00E4068E"/>
    <w:rsid w:val="00E43535"/>
    <w:rsid w:val="00E51EA2"/>
    <w:rsid w:val="00E5202D"/>
    <w:rsid w:val="00E52901"/>
    <w:rsid w:val="00E53313"/>
    <w:rsid w:val="00E62B05"/>
    <w:rsid w:val="00E70B5F"/>
    <w:rsid w:val="00E72E8C"/>
    <w:rsid w:val="00E74675"/>
    <w:rsid w:val="00E76958"/>
    <w:rsid w:val="00E7723C"/>
    <w:rsid w:val="00E81056"/>
    <w:rsid w:val="00E8359E"/>
    <w:rsid w:val="00E901AC"/>
    <w:rsid w:val="00E92FE9"/>
    <w:rsid w:val="00E93526"/>
    <w:rsid w:val="00E976E9"/>
    <w:rsid w:val="00E97D42"/>
    <w:rsid w:val="00EA2F07"/>
    <w:rsid w:val="00EA541A"/>
    <w:rsid w:val="00EA59EE"/>
    <w:rsid w:val="00EB10D8"/>
    <w:rsid w:val="00EB1572"/>
    <w:rsid w:val="00EB4DC6"/>
    <w:rsid w:val="00EC31A6"/>
    <w:rsid w:val="00EC5657"/>
    <w:rsid w:val="00EC6B8F"/>
    <w:rsid w:val="00ED0CF5"/>
    <w:rsid w:val="00ED194B"/>
    <w:rsid w:val="00ED7BBA"/>
    <w:rsid w:val="00EE0656"/>
    <w:rsid w:val="00EE0F35"/>
    <w:rsid w:val="00EE37DB"/>
    <w:rsid w:val="00EF7170"/>
    <w:rsid w:val="00F07162"/>
    <w:rsid w:val="00F07C9C"/>
    <w:rsid w:val="00F07D24"/>
    <w:rsid w:val="00F12770"/>
    <w:rsid w:val="00F157E5"/>
    <w:rsid w:val="00F17BC5"/>
    <w:rsid w:val="00F2312F"/>
    <w:rsid w:val="00F25DD5"/>
    <w:rsid w:val="00F27CB5"/>
    <w:rsid w:val="00F31F4A"/>
    <w:rsid w:val="00F3641B"/>
    <w:rsid w:val="00F42476"/>
    <w:rsid w:val="00F4526C"/>
    <w:rsid w:val="00F51115"/>
    <w:rsid w:val="00F65680"/>
    <w:rsid w:val="00F70FFE"/>
    <w:rsid w:val="00F7184A"/>
    <w:rsid w:val="00F746C5"/>
    <w:rsid w:val="00F811DD"/>
    <w:rsid w:val="00F824D6"/>
    <w:rsid w:val="00F92967"/>
    <w:rsid w:val="00FA7CFE"/>
    <w:rsid w:val="00FB1095"/>
    <w:rsid w:val="00FB1587"/>
    <w:rsid w:val="00FB41B3"/>
    <w:rsid w:val="00FC099C"/>
    <w:rsid w:val="00FC66DA"/>
    <w:rsid w:val="00FD2956"/>
    <w:rsid w:val="00FD2D27"/>
    <w:rsid w:val="00FD2D62"/>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5"/>
    <w:unhideWhenUsed/>
    <w:qFormat/>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aliases w:val="No Indent"/>
    <w:uiPriority w:val="3"/>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paragraph" w:styleId="Fecha">
    <w:name w:val="Date"/>
    <w:basedOn w:val="Normal"/>
    <w:next w:val="Normal"/>
    <w:link w:val="FechaCar"/>
    <w:uiPriority w:val="99"/>
    <w:semiHidden/>
    <w:unhideWhenUsed/>
    <w:rsid w:val="007249B2"/>
  </w:style>
  <w:style w:type="character" w:customStyle="1" w:styleId="FechaCar">
    <w:name w:val="Fecha Car"/>
    <w:basedOn w:val="Fuentedeprrafopredeter"/>
    <w:link w:val="Fecha"/>
    <w:uiPriority w:val="99"/>
    <w:semiHidden/>
    <w:rsid w:val="007249B2"/>
    <w:rPr>
      <w:rFonts w:ascii="Times New Roman" w:eastAsia="Times New Roman" w:hAnsi="Times New Roman" w:cs="Times New Roman"/>
      <w:lang w:val="es-AR"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3791-2850" TargetMode="External"/><Relationship Id="rId18" Type="http://schemas.openxmlformats.org/officeDocument/2006/relationships/image" Target="media/image4.svg"/><Relationship Id="rId26" Type="http://schemas.openxmlformats.org/officeDocument/2006/relationships/hyperlink" Target="https://www.iupsys.net/about/governance/universal-declaration-of-ethical-principles-for-psychologists.html" TargetMode="External"/><Relationship Id="rId39" Type="http://schemas.openxmlformats.org/officeDocument/2006/relationships/hyperlink" Target="https://doi.org/10.1002/hbe2.233" TargetMode="External"/><Relationship Id="rId21" Type="http://schemas.openxmlformats.org/officeDocument/2006/relationships/hyperlink" Target="https://doi.org/10.1080/15287390801985562" TargetMode="External"/><Relationship Id="rId34" Type="http://schemas.openxmlformats.org/officeDocument/2006/relationships/hyperlink" Target="https://doi.org/10.1186/s12992-020-00589-w" TargetMode="External"/><Relationship Id="rId42" Type="http://schemas.openxmlformats.org/officeDocument/2006/relationships/hyperlink" Target="https://doi.org/10.1038/s41586-020-2008-3"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sych.org/" TargetMode="External"/><Relationship Id="rId29" Type="http://schemas.openxmlformats.org/officeDocument/2006/relationships/hyperlink" Target="https://doi.org/10.1089/cyber.2018.06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0000-0001-7389-3178" TargetMode="External"/><Relationship Id="rId24" Type="http://schemas.openxmlformats.org/officeDocument/2006/relationships/hyperlink" Target="https://doi.org/10.1016/S0887-6185(01)00060-3" TargetMode="External"/><Relationship Id="rId32" Type="http://schemas.openxmlformats.org/officeDocument/2006/relationships/hyperlink" Target="https://doi.org/10.4103/psychiatry.IndianJPsychiatry_1047_20" TargetMode="External"/><Relationship Id="rId37" Type="http://schemas.openxmlformats.org/officeDocument/2006/relationships/hyperlink" Target="https://doi.org/10.1007/s11126-019-09640-5" TargetMode="External"/><Relationship Id="rId40" Type="http://schemas.openxmlformats.org/officeDocument/2006/relationships/hyperlink" Target="https://doi.org/10.4269/ajtmh.20-0234"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orcid.org/0000-0002-6343-1217" TargetMode="External"/><Relationship Id="rId23" Type="http://schemas.openxmlformats.org/officeDocument/2006/relationships/hyperlink" Target="https://doi.org/10.1016/S1473-3099(20)30120-1" TargetMode="External"/><Relationship Id="rId28" Type="http://schemas.openxmlformats.org/officeDocument/2006/relationships/hyperlink" Target="https://doi.org/10.3389/fpubh.2020.00236" TargetMode="External"/><Relationship Id="rId36" Type="http://schemas.openxmlformats.org/officeDocument/2006/relationships/hyperlink" Target="http://pseaconsultores.com/sites/default/files/STAI_0.pdf" TargetMode="External"/><Relationship Id="rId10" Type="http://schemas.openxmlformats.org/officeDocument/2006/relationships/hyperlink" Target="https://orcid.org/0000-0001-9453-7586" TargetMode="External"/><Relationship Id="rId19" Type="http://schemas.openxmlformats.org/officeDocument/2006/relationships/hyperlink" Target="https://doi.org/10.1016/j.janxdis.2012.10.009" TargetMode="External"/><Relationship Id="rId31" Type="http://schemas.openxmlformats.org/officeDocument/2006/relationships/hyperlink" Target="https://doi.org/10.31005/iajmh.v3i0.104"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1-6647-4696" TargetMode="External"/><Relationship Id="rId22" Type="http://schemas.openxmlformats.org/officeDocument/2006/relationships/hyperlink" Target="https://cioms.ch/wp-content/uploads/2017/12/CIOMS-EthicalGuideline_SP_INTERIOR-FINAL.pdf" TargetMode="External"/><Relationship Id="rId27" Type="http://schemas.openxmlformats.org/officeDocument/2006/relationships/hyperlink" Target="https://archive.org/details/sip-2019-declaracion-experticia-en-salud-mental" TargetMode="External"/><Relationship Id="rId30" Type="http://schemas.openxmlformats.org/officeDocument/2006/relationships/hyperlink" Target="https://doi.org/10.1016/j.jad.2018.11.037" TargetMode="External"/><Relationship Id="rId35" Type="http://schemas.openxmlformats.org/officeDocument/2006/relationships/hyperlink" Target="https://doi.org/10.1038/s41598-020-68008-z"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https://doi.org/10.30849/ripijp.v57i2.1726"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s://doi.org/10.3389/fpsyg.2020.567505" TargetMode="External"/><Relationship Id="rId33" Type="http://schemas.openxmlformats.org/officeDocument/2006/relationships/hyperlink" Target="https://doi.org/10.47307/GMC.2020.128.s2.10" TargetMode="External"/><Relationship Id="rId38" Type="http://schemas.openxmlformats.org/officeDocument/2006/relationships/hyperlink" Target="https://doi.org/10.1586/ern.12.162" TargetMode="External"/><Relationship Id="rId46" Type="http://schemas.openxmlformats.org/officeDocument/2006/relationships/footer" Target="footer2.xml"/><Relationship Id="rId20" Type="http://schemas.openxmlformats.org/officeDocument/2006/relationships/hyperlink" Target="https://doi.org/10.1016/j.ijchp.2019.05.003" TargetMode="External"/><Relationship Id="rId41" Type="http://schemas.openxmlformats.org/officeDocument/2006/relationships/hyperlink" Target="https://doi.org/10.1146/annurev.clinpsy.121208.13150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gortega@est.unibe.edu.do?subject=RIP/IJP:Cibercondr&#237;a%20durante%20la%20pandemia%20del%20COVID-19:%20Su%20relaci&#243;n%20con%20la%20ansiedad%20por%20salud,%20ansiedad%20rasgo%20y%20ansiedad%20estad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2A92C-769A-47E1-ADC9-9F4E44FC9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21690</Words>
  <Characters>119298</Characters>
  <Application>Microsoft Office Word</Application>
  <DocSecurity>0</DocSecurity>
  <Lines>994</Lines>
  <Paragraphs>281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6</cp:revision>
  <cp:lastPrinted>2020-05-06T22:26:00Z</cp:lastPrinted>
  <dcterms:created xsi:type="dcterms:W3CDTF">2023-10-19T23:07:00Z</dcterms:created>
  <dcterms:modified xsi:type="dcterms:W3CDTF">2023-10-26T19:04:00Z</dcterms:modified>
</cp:coreProperties>
</file>