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42DCA" w14:textId="0AE40FD0" w:rsidR="00B845A1" w:rsidRPr="001548F4" w:rsidRDefault="00D041DE" w:rsidP="001548F4">
      <w:pPr>
        <w:pStyle w:val="Titulodeartculo"/>
        <w:rPr>
          <w:i/>
        </w:rPr>
      </w:pPr>
      <w:r w:rsidRPr="001548F4">
        <w:t>Reliability and validity of the instrument Recovery Self-Assessment (RSA-R) Person in Recovery and Famil</w:t>
      </w:r>
      <w:r w:rsidR="004C6EAB" w:rsidRPr="001548F4">
        <w:t>y</w:t>
      </w:r>
      <w:r w:rsidRPr="001548F4">
        <w:t xml:space="preserve"> members versions for Brazilian Portuguese (Pt/Br)</w:t>
      </w:r>
    </w:p>
    <w:p w14:paraId="0BAD9FA3" w14:textId="098C1666" w:rsidR="00C413D4" w:rsidRPr="00082D68" w:rsidRDefault="00C413D4" w:rsidP="00C413D4">
      <w:pPr>
        <w:rPr>
          <w:rFonts w:ascii="Times" w:hAnsi="Times"/>
          <w:i/>
          <w:sz w:val="28"/>
          <w:szCs w:val="28"/>
          <w:lang w:val="es-AR"/>
        </w:rPr>
      </w:pPr>
      <w:r w:rsidRPr="00E25900">
        <w:rPr>
          <w:noProof/>
          <w:lang w:val="pt-BR" w:eastAsia="pt-BR"/>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D041DE" w:rsidRDefault="00C413D4" w:rsidP="00D041DE">
      <w:pPr>
        <w:pStyle w:val="TtuloResumen"/>
      </w:pPr>
      <w:r w:rsidRPr="00D041DE">
        <w:t>Abstract</w:t>
      </w:r>
    </w:p>
    <w:p w14:paraId="547103FF" w14:textId="61140F05" w:rsidR="00C413D4" w:rsidRPr="00D041DE" w:rsidRDefault="00D041DE" w:rsidP="00D041DE">
      <w:pPr>
        <w:jc w:val="both"/>
        <w:rPr>
          <w:lang w:val="es-AR"/>
        </w:rPr>
      </w:pPr>
      <w:r w:rsidRPr="00D041DE">
        <w:rPr>
          <w:lang w:val="en-US"/>
        </w:rPr>
        <w:t>We present psychometric tests of reliability and validity of the instrument Recovery Self-Assessment (RSA-</w:t>
      </w:r>
      <w:r w:rsidR="004C6EAB">
        <w:rPr>
          <w:lang w:val="en-US"/>
        </w:rPr>
        <w:t>R) Person in Recovery and Family</w:t>
      </w:r>
      <w:r w:rsidRPr="00D041DE">
        <w:rPr>
          <w:lang w:val="en-US"/>
        </w:rPr>
        <w:t xml:space="preserve"> members versions cross-culturally adapted to Brazilian Portuguese (Pt/Br). The fieldwork took place in the city of Campinas (Brazil) between April and July 2018, with 15 interviewers, 207 users, and 206 relatives participating in the study, in 12 community mental health services. Regarding the reliability of the instrument, we can consider it poorly reliable, since in both the Intraclass Correlation Coefficient (ICC) of the items and the Cronbach’s alpha of the domains we had unsatisfactory results, and consequently the confirmatory factor analysis (CFA) was</w:t>
      </w:r>
      <w:r>
        <w:rPr>
          <w:lang w:val="en-US"/>
        </w:rPr>
        <w:t xml:space="preserve"> </w:t>
      </w:r>
      <w:r w:rsidRPr="00D041DE">
        <w:rPr>
          <w:lang w:val="en-US"/>
        </w:rPr>
        <w:t>also unsatisfactory in this sample. Results of the exploratory factor analysis (EFA) suggest a model with 20 items, distributed in 3 domains, with satisfactory Cronbach’s alpha. Although the original version of RSA is widely used in different countries, its revised version still lacks an in-depth psychometric research. Therefore, our research becomes important for Brazil, in addition to contributing to other countries for investigating and deepening validation studies on RSA-R.</w:t>
      </w:r>
    </w:p>
    <w:p w14:paraId="0EB33005" w14:textId="77777777" w:rsidR="00C413D4" w:rsidRPr="00D041DE" w:rsidRDefault="00C413D4" w:rsidP="00C413D4">
      <w:pPr>
        <w:rPr>
          <w:b/>
          <w:lang w:val="en-US"/>
        </w:rPr>
      </w:pPr>
      <w:r w:rsidRPr="00D041DE">
        <w:rPr>
          <w:b/>
          <w:lang w:val="en-US"/>
        </w:rPr>
        <w:t>Keywords</w:t>
      </w:r>
    </w:p>
    <w:p w14:paraId="3C2A8692" w14:textId="2A56656E" w:rsidR="00153DC5" w:rsidRDefault="00D041DE" w:rsidP="007A7C7C">
      <w:pPr>
        <w:jc w:val="both"/>
      </w:pPr>
      <w:r>
        <w:t>validation study, mental health, recovery, health evaluation</w:t>
      </w:r>
    </w:p>
    <w:p w14:paraId="0AD21504" w14:textId="77777777" w:rsidR="00D041DE" w:rsidRPr="00E25900" w:rsidRDefault="00D041DE" w:rsidP="007A7C7C">
      <w:pPr>
        <w:jc w:val="both"/>
        <w:rPr>
          <w:bCs/>
          <w:sz w:val="20"/>
          <w:szCs w:val="20"/>
          <w:lang w:val="en-US"/>
        </w:rPr>
      </w:pPr>
    </w:p>
    <w:p w14:paraId="7C35B110" w14:textId="36CE0D1E" w:rsidR="00153DC5" w:rsidRPr="00082D68" w:rsidRDefault="00153DC5" w:rsidP="00D041DE">
      <w:pPr>
        <w:pStyle w:val="TtuloResumen"/>
      </w:pPr>
      <w:r w:rsidRPr="00082D68">
        <w:t>Resum</w:t>
      </w:r>
      <w:r w:rsidR="00082D68" w:rsidRPr="00082D68">
        <w:t>o</w:t>
      </w:r>
    </w:p>
    <w:p w14:paraId="6FAC1C5D" w14:textId="6964FC72" w:rsidR="0027261B" w:rsidRPr="00D041DE" w:rsidRDefault="00D041DE" w:rsidP="005B5614">
      <w:pPr>
        <w:jc w:val="both"/>
        <w:rPr>
          <w:i/>
          <w:lang w:val="pt-BR"/>
        </w:rPr>
      </w:pPr>
      <w:r w:rsidRPr="00D041DE">
        <w:rPr>
          <w:lang w:val="pt-BR"/>
        </w:rPr>
        <w:t>Apresentamos testes psicométricos de confiabilidade e validade do instrumento Recovery Self-Assessment (RSA-R) Person in Recovery e versões de membros de famílias adaptadas transculturalmente para o português brasileiro (Pt / Br). O trabalho de campo ocorreu na cidade de Campinas (Brasil) entre abril e julho de 2018, com 15 entrevistadores e 207 usuários e 206 familiares participantes do estudo, em 12 serviços comunitários de saúde mental. Quanto à confiabilidade do instrumento, podemos considerá-lo pouco confiável, visto que tanto no Coeficiente de Correlação Intraclasse (ICC) dos itens quanto no alfa de Cronbach dos domínios obtivemos resultados insatisfatórios, e consequentemente a análise fatorial confirmatória (CFA) também foi insatisfatório nesta amostra. Os resultados da análise fatorial exploratória (AFE) sugerem um modelo com 20 itens, distribuídos em 3 domínios, com alfa de Cronbach satisfatório. Embora a versão original do RSA seja amplamente utilizada em diferentes países, sua versão revisada ainda carece de uma pesquisa psicométrica aprofundada. Portanto, nossa pesquisa torna-se importante para o Brasil, além de contribuir com outros países para a investigação e aprofundamento dos estudos de validação do RSA-R.</w:t>
      </w:r>
    </w:p>
    <w:p w14:paraId="52B41A5E" w14:textId="5557E726" w:rsidR="00153DC5" w:rsidRPr="00D041DE" w:rsidRDefault="00082D68" w:rsidP="00153DC5">
      <w:pPr>
        <w:jc w:val="both"/>
        <w:rPr>
          <w:b/>
          <w:lang w:val="pt-BR"/>
        </w:rPr>
      </w:pPr>
      <w:r w:rsidRPr="00D041DE">
        <w:rPr>
          <w:b/>
          <w:bCs/>
          <w:lang w:val="pt-BR"/>
        </w:rPr>
        <w:t>Palavras-chave</w:t>
      </w:r>
    </w:p>
    <w:p w14:paraId="7189B82D" w14:textId="587F9F2A" w:rsidR="00E55124" w:rsidRPr="00D041DE" w:rsidRDefault="00E55124" w:rsidP="007A7C7C">
      <w:pPr>
        <w:jc w:val="both"/>
        <w:rPr>
          <w:bCs/>
          <w:lang w:val="pt-BR"/>
        </w:rPr>
      </w:pPr>
      <w:r w:rsidRPr="00D041DE">
        <w:rPr>
          <w:bCs/>
          <w:noProof/>
          <w:lang w:val="pt-BR" w:eastAsia="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D041DE" w:rsidRPr="00D041DE">
        <w:rPr>
          <w:bCs/>
          <w:lang w:val="pt-BR"/>
        </w:rPr>
        <w:t>estudo de validação, saúde mental, recuperação, avaliação em saúde</w:t>
      </w:r>
    </w:p>
    <w:p w14:paraId="3B35E00C" w14:textId="77777777" w:rsidR="00483D6B" w:rsidRPr="00082D68" w:rsidRDefault="00483D6B" w:rsidP="00B6522A">
      <w:pPr>
        <w:rPr>
          <w:b/>
          <w:lang w:val="pt-BR"/>
        </w:rPr>
      </w:pPr>
    </w:p>
    <w:p w14:paraId="40B39100" w14:textId="0D3CBCEE" w:rsidR="00082D68" w:rsidRPr="00082D68" w:rsidRDefault="0059034C" w:rsidP="00082D68">
      <w:pPr>
        <w:pStyle w:val="Ttuloprincipiodeartculo"/>
      </w:pPr>
      <w:r w:rsidRPr="00082D68">
        <w:br w:type="page"/>
      </w:r>
      <w:r w:rsidR="004C6EAB" w:rsidRPr="004C6EAB">
        <w:lastRenderedPageBreak/>
        <w:t>Confiabilidade e validade do instrumento Recov</w:t>
      </w:r>
      <w:r w:rsidR="004C6EAB">
        <w:t>ery Self-Assessment (RSA-R) v</w:t>
      </w:r>
      <w:r w:rsidR="004C6EAB" w:rsidRPr="004C6EAB">
        <w:t xml:space="preserve">ersões </w:t>
      </w:r>
      <w:r w:rsidR="004C6EAB">
        <w:t xml:space="preserve">da </w:t>
      </w:r>
      <w:r w:rsidR="004C6EAB" w:rsidRPr="004C6EAB">
        <w:t xml:space="preserve">Pessoa em Recuperação e </w:t>
      </w:r>
      <w:r w:rsidR="004C6EAB">
        <w:t xml:space="preserve">dos </w:t>
      </w:r>
      <w:r w:rsidR="004C6EAB" w:rsidRPr="004C6EAB">
        <w:t>Familiares para o Português Brasileiro (Pt/Br)</w:t>
      </w:r>
    </w:p>
    <w:p w14:paraId="4FA726CB" w14:textId="73888346" w:rsidR="006A1BA2" w:rsidRPr="00082D68" w:rsidRDefault="008F0A77" w:rsidP="00CE7D65">
      <w:pPr>
        <w:pStyle w:val="Ttulosinternos"/>
        <w:rPr>
          <w:bCs/>
          <w:lang w:val="es-AR"/>
        </w:rPr>
      </w:pPr>
      <w:r w:rsidRPr="00EF6B7D">
        <w:rPr>
          <w:bCs/>
        </w:rPr>
        <w:t>Introduction</w:t>
      </w:r>
    </w:p>
    <w:p w14:paraId="2BBD1AB1" w14:textId="77777777" w:rsidR="004C6EAB" w:rsidRDefault="004C6EAB" w:rsidP="004C6EAB">
      <w:pPr>
        <w:spacing w:line="360" w:lineRule="auto"/>
        <w:ind w:left="-283" w:right="-267" w:firstLine="283"/>
        <w:jc w:val="both"/>
      </w:pPr>
      <w:r>
        <w:t>We start considering the importance of evaluating services and practices focused on and dedicated to the most primary needs of people with psychic disorders, needs which require global strategies and guaranteeing rights, without, however, disqualifying the personal experience of each person in their individual recovery process. To do so, we question: How can we have an instrument that evaluates mental health services in Brazil regarding the recovery of people in treatment, maintaining dialogue with other countries?</w:t>
      </w:r>
    </w:p>
    <w:p w14:paraId="2CE69203" w14:textId="24C645B1" w:rsidR="004C6EAB" w:rsidRDefault="004C6EAB" w:rsidP="004C6EAB">
      <w:pPr>
        <w:spacing w:line="360" w:lineRule="auto"/>
        <w:ind w:left="-283" w:right="-267" w:firstLine="283"/>
        <w:jc w:val="both"/>
      </w:pPr>
      <w:r>
        <w:t>We understand recovery in mental health as the possibility of a satisfactory life, hopeful and significant, even though there are some limitations that the illness may entail</w:t>
      </w:r>
      <w:r w:rsidR="00EF6B7D">
        <w:t xml:space="preserve"> </w:t>
      </w:r>
      <w:r w:rsidR="00EF6B7D">
        <w:fldChar w:fldCharType="begin" w:fldLock="1"/>
      </w:r>
      <w:r w:rsidR="00EF6B7D">
        <w:instrText>ADDIN CSL_CITATION {"citationItems":[{"id":"ITEM-1","itemData":{"author":[{"dropping-particle":"","family":"Assis","given":"Jorge Cândido","non-dropping-particle":"","parse-names":false,"suffix":""},{"dropping-particle":"","family":"Villares","given":"Cecília Cruz","non-dropping-particle":"","parse-names":false,"suffix":""},{"dropping-particle":"","family":"Bressan","given":"Rodrigo Affonseca","non-dropping-particle":"","parse-names":false,"suffix":""}],"edition":"2","editor":[{"dropping-particle":"","family":"Artmed","given":"","non-dropping-particle":"","parse-names":false,"suffix":""}],"id":"ITEM-1","issued":{"date-parts":[["2013"]]},"number-of-pages":"228","publisher-place":"São Paulo","title":"Entre a Razão e a Ilusão: Desmistificando a Esquizofrenia","type":"book"},"uris":["http://www.mendeley.com/documents/?uuid=ab0f4884-409d-33dc-8b37-0852d927420d"]},{"id":"ITEM-2","itemData":{"ISBN":"9780814719428","abstract":"Is There an Outside to Mental Illness? / With Maria O'Connell, David Sells, and Martha Staeheli -- Eliciting Narratives -- Understanding Narratives -- Living Inside Schizophrenia -- Living Outside Schizophrenia.","author":[{"dropping-particle":"","family":"Davidson","given":"Larry.","non-dropping-particle":"","parse-names":false,"suffix":""}],"id":"ITEM-2","issued":{"date-parts":[["2003"]]},"number-of-pages":"227","publisher":"New York University Press","title":"Living outside mental illness : qualitative studies of recovery in schizophrenia","type":"book"},"uris":["http://www.mendeley.com/documents/?uuid=004dd2bc-c58a-36f5-932a-b83e6e6365ff"]}],"mendeley":{"formattedCitation":"(Assis, Villares, &amp; Bressan, 2013; Davidson, 2003)","plainTextFormattedCitation":"(Assis, Villares, &amp; Bressan, 2013; Davidson, 2003)","previouslyFormattedCitation":"(Assis, Villares, &amp; Bressan, 2013; Davidson, 2003)"},"properties":{"noteIndex":0},"schema":"https://github.com/citation-style-language/schema/raw/master/csl-citation.json"}</w:instrText>
      </w:r>
      <w:r w:rsidR="00EF6B7D">
        <w:fldChar w:fldCharType="separate"/>
      </w:r>
      <w:r w:rsidR="00EF6B7D" w:rsidRPr="00EF6B7D">
        <w:rPr>
          <w:noProof/>
        </w:rPr>
        <w:t>(Assis, Villares, &amp; Bressan, 2013; Davidson, 2003)</w:t>
      </w:r>
      <w:r w:rsidR="00EF6B7D">
        <w:fldChar w:fldCharType="end"/>
      </w:r>
      <w:r w:rsidR="00EF6B7D">
        <w:t>.</w:t>
      </w:r>
      <w:r>
        <w:t xml:space="preserve"> It does not correspond to the remission of symptoms, nor is it understood as a final product or a static result </w:t>
      </w:r>
      <w:r w:rsidR="00EF6B7D">
        <w:fldChar w:fldCharType="begin" w:fldLock="1"/>
      </w:r>
      <w:r w:rsidR="00EF6B7D">
        <w:instrText>ADDIN CSL_CITATION {"citationItems":[{"id":"ITEM-1","itemData":{"DOI":"10.1037/h0099565","ISSN":"0147-5622","author":[{"dropping-particle":"","family":"Deegan","given":"Patricia E.","non-dropping-particle":"","parse-names":false,"suffix":""}],"container-title":"Psychosocial Rehabilitation Journal","id":"ITEM-1","issue":"4","issued":{"date-parts":[["1988"]]},"page":"11-19","title":"Recovery: The lived experience of rehabilitation.","type":"article-journal","volume":"11"},"uris":["http://www.mendeley.com/documents/?uuid=4f47527e-5e94-3c85-9ccb-3b3b5b878e67"]}],"mendeley":{"formattedCitation":"(Deegan, 1988)","plainTextFormattedCitation":"(Deegan, 1988)","previouslyFormattedCitation":"(Deegan, 1988)"},"properties":{"noteIndex":0},"schema":"https://github.com/citation-style-language/schema/raw/master/csl-citation.json"}</w:instrText>
      </w:r>
      <w:r w:rsidR="00EF6B7D">
        <w:fldChar w:fldCharType="separate"/>
      </w:r>
      <w:r w:rsidR="00EF6B7D" w:rsidRPr="00EF6B7D">
        <w:rPr>
          <w:noProof/>
        </w:rPr>
        <w:t>(Deegan, 1988)</w:t>
      </w:r>
      <w:r w:rsidR="00EF6B7D">
        <w:fldChar w:fldCharType="end"/>
      </w:r>
      <w:r>
        <w:t>. It is usually defined as a process, a daily challenge, and regaining hope, personal trust, social participation, and control over life itself</w:t>
      </w:r>
      <w:r w:rsidR="00EF6B7D">
        <w:t xml:space="preserve"> </w:t>
      </w:r>
      <w:r w:rsidR="00EF6B7D">
        <w:fldChar w:fldCharType="begin" w:fldLock="1"/>
      </w:r>
      <w:r w:rsidR="00EF6B7D">
        <w:instrText>ADDIN CSL_CITATION {"citationItems":[{"id":"ITEM-1","itemData":{"DOI":"10.1037/h0099565","ISSN":"0147-5622","author":[{"dropping-particle":"","family":"Deegan","given":"Patricia E.","non-dropping-particle":"","parse-names":false,"suffix":""}],"container-title":"Psychosocial Rehabilitation Journal","id":"ITEM-1","issue":"4","issued":{"date-parts":[["1988"]]},"page":"11-19","title":"Recovery: The lived experience of rehabilitation.","type":"article-journal","volume":"11"},"uris":["http://www.mendeley.com/documents/?uuid=4f47527e-5e94-3c85-9ccb-3b3b5b878e67"]},{"id":"ITEM-2","itemData":{"DOI":"10.1023/A:1001917516869","ISSN":"00103853","author":[{"dropping-particle":"","family":"Mead","given":"Shery","non-dropping-particle":"","parse-names":false,"suffix":""},{"dropping-particle":"","family":"Copeland","given":"Mary Ellen","non-dropping-particle":"","parse-names":false,"suffix":""}],"container-title":"Community Mental Health Journal","id":"ITEM-2","issue":"3","issued":{"date-parts":[["2000"]]},"page":"315-328","publisher":"Kluwer Academic Publishers-Plenum Publishers","title":"What Recovery Means to Us: Consumers' Perspectives","type":"article-journal","volume":"36"},"uris":["http://www.mendeley.com/documents/?uuid=94b296ff-ea8e-3452-a701-dcae1cdb71a2"]}],"mendeley":{"formattedCitation":"(Deegan, 1988; Mead &amp; Copeland, 2000)","plainTextFormattedCitation":"(Deegan, 1988; Mead &amp; Copeland, 2000)","previouslyFormattedCitation":"(Deegan, 1988; Mead &amp; Copeland, 2000)"},"properties":{"noteIndex":0},"schema":"https://github.com/citation-style-language/schema/raw/master/csl-citation.json"}</w:instrText>
      </w:r>
      <w:r w:rsidR="00EF6B7D">
        <w:fldChar w:fldCharType="separate"/>
      </w:r>
      <w:r w:rsidR="00EF6B7D" w:rsidRPr="00EF6B7D">
        <w:rPr>
          <w:noProof/>
        </w:rPr>
        <w:t>(Deegan, 1988; Mead &amp; Copeland, 2000)</w:t>
      </w:r>
      <w:r w:rsidR="00EF6B7D">
        <w:fldChar w:fldCharType="end"/>
      </w:r>
      <w:r w:rsidR="00EF6B7D">
        <w:t>.</w:t>
      </w:r>
    </w:p>
    <w:p w14:paraId="247C3583" w14:textId="158A274F" w:rsidR="004C6EAB" w:rsidRDefault="004C6EAB" w:rsidP="004C6EAB">
      <w:pPr>
        <w:spacing w:line="360" w:lineRule="auto"/>
        <w:ind w:left="-283" w:right="-267" w:firstLine="283"/>
        <w:jc w:val="both"/>
      </w:pPr>
      <w:r>
        <w:t xml:space="preserve">Subjective phenomena may and should be measured </w:t>
      </w:r>
      <w:r w:rsidR="00EF6B7D">
        <w:fldChar w:fldCharType="begin" w:fldLock="1"/>
      </w:r>
      <w:r w:rsidR="00EF6B7D">
        <w:instrText>ADDIN CSL_CITATION {"citationItems":[{"id":"ITEM-1","itemData":{"DOI":"10.5123/S1679-49742017000300022","author":[{"dropping-particle":"de","family":"Souza","given":"Ana Cláudia","non-dropping-particle":"","parse-names":false,"suffix":""},{"dropping-particle":"","family":"Alexandre","given":"Neusa Maria Costa","non-dropping-particle":"","parse-names":false,"suffix":""},{"dropping-particle":"","family":"Guirardello","given":"Edinêis de Brito","non-dropping-particle":"","parse-names":false,"suffix":""}],"container-title":"Epidemiologia e Serviços de Saúde","id":"ITEM-1","issue":"3","issued":{"date-parts":[["2017","7"]]},"page":"649-659","title":"Propriedades psicométricas na avaliação de instrumentos: avaliação da confiabilidade e da validade","type":"article-journal","volume":"26"},"uris":["http://www.mendeley.com/documents/?uuid=bc50d73e-3c73-33da-80c5-dcec2d0f043c"]},{"id":"ITEM-2","itemData":{"DOI":"10.5216/ree.v15i3.20776","ISSN":"1518-1944","abstract":"ABSTRACT    The evaluation of interventions and treatments currently seeks to comprise subjective variables, highlighting the importance of the patient’s perspective regarding the disease and treatment effects. These measurements must be reliable and meet basic properties such as validity, reliability, sensitivity and responsiveness, which represent a broad and extensive methodological evaluation repertoire. The objective was to perform a literature review regarding the concept and methods of evaluating the reliability of measurement instruments, through a bibliographic search on the main databases in the health field. After selecting and analyzing the texts, the information was organized, and a presentation was made of the conceptual bases and methods used to evaluate the reliability of those instruments, including stability, equivalence and internal consistency. It is essential to establish reliability to demonstrate the methodological quality of measurement instruments. Furthermore, the other psychometric properties of an instrument must be verified, thus guaranteeing the trustworthiness of the evaluation process.   Descriptors:  Validation Studies; Psychometrics; Reproducibility of Results; Questionnaires.","author":[{"dropping-particle":"","family":"Alexandre","given":"Neusa Maria Costa","non-dropping-particle":"","parse-names":false,"suffix":""},{"dropping-particle":"","family":"Gallasch","given":"Cristiane Helena","non-dropping-particle":"","parse-names":false,"suffix":""},{"dropping-particle":"","family":"Lima","given":"Maria Helena Melo","non-dropping-particle":"","parse-names":false,"suffix":""},{"dropping-particle":"","family":"Rodrigues","given":"Roberta Cunha Matheus","non-dropping-particle":"","parse-names":false,"suffix":""}],"container-title":"Revista Eletrônica de Enfermagem","id":"ITEM-2","issue":"3","issued":{"date-parts":[["2013","9","30"]]},"page":"800-7","title":"A confiabilidade no desenvolvimento e avaliação de instrumentos de medida na área da saúde","type":"article-journal","volume":"15"},"uris":["http://www.mendeley.com/documents/?uuid=02ada952-f15b-3310-91f1-9760b13e30c9"]}],"mendeley":{"formattedCitation":"(Alexandre, Gallasch, Lima, &amp; Rodrigues, 2013; Souza, Alexandre, &amp; Guirardello, 2017)","plainTextFormattedCitation":"(Alexandre, Gallasch, Lima, &amp; Rodrigues, 2013; Souza, Alexandre, &amp; Guirardello, 2017)","previouslyFormattedCitation":"(Alexandre, Gallasch, Lima, &amp; Rodrigues, 2013; Souza, Alexandre, &amp; Guirardello, 2017)"},"properties":{"noteIndex":0},"schema":"https://github.com/citation-style-language/schema/raw/master/csl-citation.json"}</w:instrText>
      </w:r>
      <w:r w:rsidR="00EF6B7D">
        <w:fldChar w:fldCharType="separate"/>
      </w:r>
      <w:r w:rsidR="00EF6B7D" w:rsidRPr="00EF6B7D">
        <w:rPr>
          <w:noProof/>
        </w:rPr>
        <w:t>(Alexandre, Gallasch, Lima, &amp; Rodrigues, 2013; Souza, Alexandre, &amp; Guirardello, 2017)</w:t>
      </w:r>
      <w:r w:rsidR="00EF6B7D">
        <w:fldChar w:fldCharType="end"/>
      </w:r>
      <w:r>
        <w:t xml:space="preserve">. Questionnaires, surveys, tests, scales, and instruments to measure subjective attributes are sometimes deemed inadequate, because they supposedly disregard people’s subjectivity and distort the results. If there are limitations in the use of these tools that should not be minimized, there are, on the other hand, some advantages attributed to the use of measuring instruments </w:t>
      </w:r>
      <w:r w:rsidR="00EF6B7D">
        <w:fldChar w:fldCharType="begin" w:fldLock="1"/>
      </w:r>
      <w:r w:rsidR="00233A30">
        <w:instrText>ADDIN CSL_CITATION {"citationItems":[{"id":"ITEM-1","itemData":{"DOI":"10.1007/s11136-010-9606-8","ISSN":"0962-9343","author":[{"dropping-particle":"","family":"Mokkink","given":"Lidwine B.","non-dropping-particle":"","parse-names":false,"suffix":""},{"dropping-particle":"","family":"Terwee","given":"Caroline B.","non-dropping-particle":"","parse-names":false,"suffix":""},{"dropping-particle":"","family":"Patrick","given":"Donald L.","non-dropping-particle":"","parse-names":false,"suffix":""},{"dropping-particle":"","family":"Alonso","given":"Jordi","non-dropping-particle":"","parse-names":false,"suffix":""},{"dropping-particle":"","family":"Stratford","given":"Paul W.","non-dropping-particle":"","parse-names":false,"suffix":""},{"dropping-particle":"","family":"Knol","given":"Dirk L.","non-dropping-particle":"","parse-names":false,"suffix":""},{"dropping-particle":"","family":"Bouter","given":"Lex M.","non-dropping-particle":"","parse-names":false,"suffix":""},{"dropping-particle":"","family":"Vet","given":"Henrica C. W.","non-dropping-particle":"de","parse-names":false,"suffix":""}],"container-title":"Quality of Life Research","id":"ITEM-1","issue":"4","issued":{"date-parts":[["2010","5","19"]]},"page":"539-549","publisher":"Springer Netherlands","title":"The COSMIN checklist for assessing the methodological quality of studies on measurement properties of health status measurement instruments: an international Delphi study","type":"article-journal","volume":"19"},"uris":["http://www.mendeley.com/documents/?uuid=37ef4886-00ab-3d9e-92b0-12da39b00474"]},{"id":"ITEM-2","itemData":{"DOI":"10.1002/nur.20147","ISSN":"0160-6891","PMID":"16977646","abstract":"Scale developers often provide evidence of content validity by computing a content validity index (CVI), using ratings of item relevance by content experts. We analyzed how nurse researchers have defined and calculated the CVI, and found considerable consistency for item-level CVIs (I-CVIs). However, there are two alternative, but unacknowledged, methods of computing the scale-level index (S-CVI). One method requires universal agreement among experts, but a less conservative method averages the item-level CVIs. Using backward inference with a purposive sample of scale development studies, we found that both methods are being used by nurse researchers, although it was not always possible to infer the calculation method. The two approaches can lead to different values, making it risky to draw conclusions about content validity. Scale developers should indicate which method was used to provide readers with interpretable content validity information.","author":[{"dropping-particle":"","family":"Polit","given":"Denise F.","non-dropping-particle":"","parse-names":false,"suffix":""},{"dropping-particle":"","family":"Beck","given":"Cheryl Tatano","non-dropping-particle":"","parse-names":false,"suffix":""}],"container-title":"Research in Nursing &amp; Health","id":"ITEM-2","issue":"5","issued":{"date-parts":[["2006","10"]]},"page":"489-497","title":"The content validity index: Are you sure you know what's being reported? critique and recommendations","type":"article-journal","volume":"29"},"uris":["http://www.mendeley.com/documents/?uuid=de280d41-0581-35b7-aa2b-d7d92ce69c7a"]}],"mendeley":{"formattedCitation":"(Mokkink, Terwee, Patrick, et al., 2010; Polit &amp; Beck, 2006)","plainTextFormattedCitation":"(Mokkink, Terwee, Patrick, et al., 2010; Polit &amp; Beck, 2006)","previouslyFormattedCitation":"(Mokkink, Terwee, Patrick, et al., 2010; Polit &amp; Beck, 2006)"},"properties":{"noteIndex":0},"schema":"https://github.com/citation-style-language/schema/raw/master/csl-citation.json"}</w:instrText>
      </w:r>
      <w:r w:rsidR="00EF6B7D">
        <w:fldChar w:fldCharType="separate"/>
      </w:r>
      <w:r w:rsidR="00233A30" w:rsidRPr="00233A30">
        <w:rPr>
          <w:noProof/>
        </w:rPr>
        <w:t>(Mokkink, Terwee, Patrick, et al., 2010; Polit &amp; Beck, 2006)</w:t>
      </w:r>
      <w:r w:rsidR="00EF6B7D">
        <w:fldChar w:fldCharType="end"/>
      </w:r>
      <w:r>
        <w:t xml:space="preserve">. </w:t>
      </w:r>
    </w:p>
    <w:p w14:paraId="4C1DB3D0" w14:textId="40214B8D" w:rsidR="004C6EAB" w:rsidRDefault="004C6EAB" w:rsidP="004C6EAB">
      <w:pPr>
        <w:spacing w:line="360" w:lineRule="auto"/>
        <w:ind w:left="-283" w:right="-267" w:firstLine="283"/>
        <w:jc w:val="both"/>
      </w:pPr>
      <w:r>
        <w:t xml:space="preserve">Investigated subjects are exposed to the same questions and the same conditions of approach; data are quickly known and can be compared, and their use may accelerate the acquisition of knowledge of a given experience, although this type of approach is still a challenge for scientific research and clinical practice in the healthcare field </w:t>
      </w:r>
      <w:r w:rsidR="00EF6B7D">
        <w:fldChar w:fldCharType="begin" w:fldLock="1"/>
      </w:r>
      <w:r w:rsidR="00EF6B7D">
        <w:instrText>ADDIN CSL_CITATION {"citationItems":[{"id":"ITEM-1","itemData":{"author":[{"dropping-particle":"","family":"Mota","given":"Dálete Delalibera Correa de Faria","non-dropping-particle":"","parse-names":false,"suffix":""},{"dropping-particle":"","family":"Pimenta","given":"Cibele Andrucioli de Mattos","non-dropping-particle":"","parse-names":false,"suffix":""}],"container-title":"Rev. gaúch. enferm","id":"ITEM-1","issue":"3","issued":{"date-parts":[["2007"]]},"page":"309-314","title":"Avaliação e mensuração de variáveis psicossociais: desafio para pesquisa e clínica de enfermagem","type":"article-journal","volume":"28"},"uris":["http://www.mendeley.com/documents/?uuid=bf491135-3ed6-3060-83e1-e0cc323e24aa"]}],"mendeley":{"formattedCitation":"(Mota &amp; Pimenta, 2007)","plainTextFormattedCitation":"(Mota &amp; Pimenta, 2007)","previouslyFormattedCitation":"(Mota &amp; Pimenta, 2007)"},"properties":{"noteIndex":0},"schema":"https://github.com/citation-style-language/schema/raw/master/csl-citation.json"}</w:instrText>
      </w:r>
      <w:r w:rsidR="00EF6B7D">
        <w:fldChar w:fldCharType="separate"/>
      </w:r>
      <w:r w:rsidR="00EF6B7D" w:rsidRPr="00EF6B7D">
        <w:rPr>
          <w:noProof/>
        </w:rPr>
        <w:t>(Mota &amp; Pimenta, 2007)</w:t>
      </w:r>
      <w:r w:rsidR="00EF6B7D">
        <w:fldChar w:fldCharType="end"/>
      </w:r>
      <w:r>
        <w:t>.</w:t>
      </w:r>
    </w:p>
    <w:p w14:paraId="2A880882" w14:textId="18ADFB65" w:rsidR="004C6EAB" w:rsidRDefault="004C6EAB" w:rsidP="004C6EAB">
      <w:pPr>
        <w:spacing w:line="360" w:lineRule="auto"/>
        <w:ind w:left="-283" w:right="-267" w:firstLine="283"/>
        <w:jc w:val="both"/>
      </w:pPr>
      <w:r>
        <w:t xml:space="preserve">Thus, we chose to cross-culturally adapt and validate the revised Recovery Self-Assessment (RSA-R) Person in Recovery and Family members versions, developed by the Department of Mental Health and Addiction Services (DMHAS), in partnership with the Program for Recovery and Community Health (PRCH) of Yale University. RSA-R assesses the degree to which healthcare programs and services implement practices aimed at the recovery process, being a tool designed to identify strengths and target aspects for improvement in healthcare systems and services that provide recovery-oriented </w:t>
      </w:r>
      <w:r>
        <w:lastRenderedPageBreak/>
        <w:t>treatments</w:t>
      </w:r>
      <w:r w:rsidR="00EF6B7D">
        <w:t xml:space="preserve"> </w:t>
      </w:r>
      <w:r w:rsidR="00EF6B7D">
        <w:fldChar w:fldCharType="begin" w:fldLock="1"/>
      </w:r>
      <w:r w:rsidR="00A06E0D">
        <w:instrText>ADDIN CSL_CITATION {"citationItems":[{"id":"ITEM-1","itemData":{"author":[{"dropping-particle":"","family":"O'Connell","given":"MJ","non-dropping-particle":"","parse-names":false,"suffix":""},{"dropping-particle":"","family":"Tondora","given":"J","non-dropping-particle":"","parse-names":false,"suffix":""},{"dropping-particle":"","family":"Kidd","given":"SA","non-dropping-particle":"","parse-names":false,"suffix":""},{"dropping-particle":"","family":"Stayner","given":"D","non-dropping-particle":"","parse-names":false,"suffix":""}],"id":"ITEM-1","issued":{"date-parts":[["2007"]]},"title":"RSA-R, person in recovery, family member/significant other, administrator/manager, and provider versions","type":"article-journal"},"uris":["http://www.mendeley.com/documents/?uuid=fe54a721-3722-37a8-a8bf-b508e623816d"]},{"id":"ITEM-2","itemData":{"author":[{"dropping-particle":"","family":"O'Connell","given":"M Maria","non-dropping-particle":"","parse-names":false,"suffix":""},{"dropping-particle":"","family":"Tondora","given":"Janis","non-dropping-particle":"","parse-names":false,"suffix":""},{"dropping-particle":"","family":"Croog","given":"Gerald","non-dropping-particle":"","parse-names":false,"suffix":""},{"dropping-particle":"","family":"Evans","given":"Arthur","non-dropping-particle":"","parse-names":false,"suffix":""},{"dropping-particle":"","family":"Davidson","given":"Larry","non-dropping-particle":"","parse-names":false,"suffix":""}],"container-title":"Psychiatric Rehabilitation Journal","id":"ITEM-2","issue":"4","issued":{"date-parts":[["2005"]]},"page":"378-386","title":"From Rhetoric to Routine: Assessing Perceptions of Recovery-Oriented Practices in a State Mental Health and Addiction System","type":"article-journal","volume":"28"},"uris":["http://www.mendeley.com/documents/?uuid=719880e0-20d6-3b6f-99e5-39b03301270a"]}],"mendeley":{"formattedCitation":"(M. M. O’Connell, Tondora, Croog, Evans, &amp; Davidson, 2005; M. O’Connell, Tondora, Kidd, &amp; Stayner, 2007)","manualFormatting":"(O’Connell, Tondora, Croog, Evans, &amp; Davidson, 2005; O’Connell, Tondora, Kidd, &amp; Stayner, 2007)","plainTextFormattedCitation":"(M. M. O’Connell, Tondora, Croog, Evans, &amp; Davidson, 2005; M. O’Connell, Tondora, Kidd, &amp; Stayner, 2007)","previouslyFormattedCitation":"(M. M. O’Connell, Tondora, Croog, Evans, &amp; Davidson, 2005; M. O’Connell, Tondora, Kidd, &amp; Stayner, 2007)"},"properties":{"noteIndex":0},"schema":"https://github.com/citation-style-language/schema/raw/master/csl-citation.json"}</w:instrText>
      </w:r>
      <w:r w:rsidR="00EF6B7D">
        <w:fldChar w:fldCharType="separate"/>
      </w:r>
      <w:r w:rsidR="00A06E0D">
        <w:rPr>
          <w:noProof/>
        </w:rPr>
        <w:t>(</w:t>
      </w:r>
      <w:r w:rsidR="00EF6B7D" w:rsidRPr="00EF6B7D">
        <w:rPr>
          <w:noProof/>
        </w:rPr>
        <w:t>O’Connell, Tondora, Cro</w:t>
      </w:r>
      <w:r w:rsidR="00A06E0D">
        <w:rPr>
          <w:noProof/>
        </w:rPr>
        <w:t xml:space="preserve">og, Evans, &amp; Davidson, 2005; </w:t>
      </w:r>
      <w:r w:rsidR="00EF6B7D" w:rsidRPr="00EF6B7D">
        <w:rPr>
          <w:noProof/>
        </w:rPr>
        <w:t>O’Connell, Tondora, Kidd, &amp; Stayner, 2007)</w:t>
      </w:r>
      <w:r w:rsidR="00EF6B7D">
        <w:fldChar w:fldCharType="end"/>
      </w:r>
      <w:r>
        <w:t>.</w:t>
      </w:r>
    </w:p>
    <w:p w14:paraId="0FC1E50C" w14:textId="2B2BCD7B" w:rsidR="00A06E0D" w:rsidRPr="00A06E0D" w:rsidRDefault="004C6EAB" w:rsidP="004C6EAB">
      <w:pPr>
        <w:spacing w:line="360" w:lineRule="auto"/>
        <w:ind w:left="-283" w:right="-267" w:firstLine="283"/>
        <w:jc w:val="both"/>
      </w:pPr>
      <w:r>
        <w:t xml:space="preserve">The instrument stimulates the evaluation of recovery, being a self-analysis tool, to the extent it is divided into four versions directed to stakeholders: Person in recovery (people in recovery process), Family member/advocate (family members/community), Provider (professionals/staff), and Administrator/manager (managers); and demonstrated good validity and accuracy where it was developed </w:t>
      </w:r>
      <w:r w:rsidR="00A06E0D">
        <w:fldChar w:fldCharType="begin" w:fldLock="1"/>
      </w:r>
      <w:r w:rsidR="00470699">
        <w:instrText>ADDIN CSL_CITATION {"citationItems":[{"id":"ITEM-1","itemData":{"author":[{"dropping-particle":"","family":"O'Connell","given":"MJ","non-dropping-particle":"","parse-names":false,"suffix":""},{"dropping-particle":"","family":"Tondora","given":"J","non-dropping-particle":"","parse-names":false,"suffix":""},{"dropping-particle":"","family":"Kidd","given":"SA","non-dropping-particle":"","parse-names":false,"suffix":""},{"dropping-particle":"","family":"Stayner","given":"D","non-dropping-particle":"","parse-names":false,"suffix":""}],"id":"ITEM-1","issued":{"date-parts":[["2007"]]},"title":"RSA-R, person in recovery, family member/significant other, administrator/manager, and provider versions","type":"article-journal"},"uris":["http://www.mendeley.com/documents/?uuid=fe54a721-3722-37a8-a8bf-b508e623816d"]},{"id":"ITEM-2","itemData":{"author":[{"dropping-particle":"","family":"O'Connell","given":"M Maria","non-dropping-particle":"","parse-names":false,"suffix":""},{"dropping-particle":"","family":"Tondora","given":"Janis","non-dropping-particle":"","parse-names":false,"suffix":""},{"dropping-particle":"","family":"Croog","given":"Gerald","non-dropping-particle":"","parse-names":false,"suffix":""},{"dropping-particle":"","family":"Evans","given":"Arthur","non-dropping-particle":"","parse-names":false,"suffix":""},{"dropping-particle":"","family":"Davidson","given":"Larry","non-dropping-particle":"","parse-names":false,"suffix":""}],"container-title":"Psychiatric Rehabilitation Journal","id":"ITEM-2","issue":"4","issued":{"date-parts":[["2005"]]},"page":"378-386","title":"From Rhetoric to Routine: Assessing Perceptions of Recovery-Oriented Practices in a State Mental Health and Addiction System","type":"article-journal","volume":"28"},"uris":["http://www.mendeley.com/documents/?uuid=719880e0-20d6-3b6f-99e5-39b03301270a"]}],"mendeley":{"formattedCitation":"(M. M. O’Connell et al., 2005; M. O’Connell et al., 2007)","manualFormatting":"(O’Connell et al., 2005; O’Connell et al., 2007)","plainTextFormattedCitation":"(M. M. O’Connell et al., 2005; M. O’Connell et al., 2007)","previouslyFormattedCitation":"(M. M. O’Connell et al., 2005; M. O’Connell et al., 2007)"},"properties":{"noteIndex":0},"schema":"https://github.com/citation-style-language/schema/raw/master/csl-citation.json"}</w:instrText>
      </w:r>
      <w:r w:rsidR="00A06E0D">
        <w:fldChar w:fldCharType="separate"/>
      </w:r>
      <w:r w:rsidR="00A06E0D">
        <w:rPr>
          <w:noProof/>
        </w:rPr>
        <w:t>(O’Connell et al., 2005;</w:t>
      </w:r>
      <w:r w:rsidR="00A06E0D" w:rsidRPr="00A06E0D">
        <w:rPr>
          <w:noProof/>
        </w:rPr>
        <w:t xml:space="preserve"> O’Connell et al., 2007)</w:t>
      </w:r>
      <w:r w:rsidR="00A06E0D">
        <w:fldChar w:fldCharType="end"/>
      </w:r>
      <w:r>
        <w:t xml:space="preserve">. The RSA-R significantly contributes to the emerging field of recovery-oriented standards, guidelines, and practices </w:t>
      </w:r>
      <w:r w:rsidR="00A06E0D" w:rsidRPr="00A06E0D">
        <w:rPr>
          <w:vertAlign w:val="superscript"/>
        </w:rPr>
        <w:fldChar w:fldCharType="begin" w:fldLock="1"/>
      </w:r>
      <w:r w:rsidR="00A06E0D">
        <w:rPr>
          <w:vertAlign w:val="superscript"/>
        </w:rPr>
        <w:instrText>ADDIN CSL_CITATION {"citationItems":[{"id":"ITEM-1","itemData":{"DOI":"10.2975/31.1.2007.23.31","ISSN":"1559-3126","author":[{"dropping-particle":"","family":"Davidson","given":"Larry","non-dropping-particle":"","parse-names":false,"suffix":""},{"dropping-particle":"","family":"Tondora","given":"Janis","non-dropping-particle":"","parse-names":false,"suffix":""},{"dropping-particle":"","family":"O'Connell","given":"Maria J.","non-dropping-particle":"","parse-names":false,"suffix":""},{"dropping-particle":"","family":"Kirk","given":"Thomas","non-dropping-particle":"","parse-names":false,"suffix":""},{"dropping-particle":"","family":"Rockholz","given":"Peter","non-dropping-particle":"","parse-names":false,"suffix":""},{"dropping-particle":"","family":"Evans","given":"Arthur C.","non-dropping-particle":"","parse-names":false,"suffix":""}],"container-title":"Psychiatric Rehabilitation Journal","id":"ITEM-1","issue":"1","issued":{"date-parts":[["2007"]]},"page":"23-31","title":"Creating a recovery-oriented system of behavioral health care: Moving from concept to reality.","type":"article-journal","volume":"31"},"uris":["http://www.mendeley.com/documents/?uuid=a8e09f1a-ddb6-398a-bfd8-18cbc3ef9f6c"]}],"mendeley":{"formattedCitation":"(Davidson et al., 2007)","plainTextFormattedCitation":"(Davidson et al., 2007)","previouslyFormattedCitation":"(Davidson et al., 2007)"},"properties":{"noteIndex":0},"schema":"https://github.com/citation-style-language/schema/raw/master/csl-citation.json"}</w:instrText>
      </w:r>
      <w:r w:rsidR="00A06E0D" w:rsidRPr="00A06E0D">
        <w:rPr>
          <w:vertAlign w:val="superscript"/>
        </w:rPr>
        <w:fldChar w:fldCharType="separate"/>
      </w:r>
      <w:r w:rsidR="00A06E0D" w:rsidRPr="00A06E0D">
        <w:rPr>
          <w:noProof/>
        </w:rPr>
        <w:t>(Davidson et al., 2007)</w:t>
      </w:r>
      <w:r w:rsidR="00A06E0D" w:rsidRPr="00A06E0D">
        <w:rPr>
          <w:vertAlign w:val="superscript"/>
        </w:rPr>
        <w:fldChar w:fldCharType="end"/>
      </w:r>
      <w:r w:rsidR="00A06E0D">
        <w:t>.</w:t>
      </w:r>
    </w:p>
    <w:p w14:paraId="7A751BF9" w14:textId="1C7CB050" w:rsidR="004C6EAB" w:rsidRDefault="004C6EAB" w:rsidP="004C6EAB">
      <w:pPr>
        <w:spacing w:line="360" w:lineRule="auto"/>
        <w:ind w:left="-283" w:right="-267" w:firstLine="283"/>
        <w:jc w:val="both"/>
      </w:pPr>
      <w:r>
        <w:t xml:space="preserve">The </w:t>
      </w:r>
      <w:r>
        <w:rPr>
          <w:i/>
        </w:rPr>
        <w:t>RSA-R Person on recovery and Family</w:t>
      </w:r>
      <w:r>
        <w:t xml:space="preserve"> members versions were cross-culturally adapted to Brazil in preliminary studies, which presented good validity evidence based on test content [</w:t>
      </w:r>
      <w:r w:rsidRPr="004C6EAB">
        <w:t>omitted for double blind evaluation</w:t>
      </w:r>
      <w:r>
        <w:t>]</w:t>
      </w:r>
      <w:r>
        <w:rPr>
          <w:color w:val="FF0000"/>
        </w:rPr>
        <w:t xml:space="preserve">. </w:t>
      </w:r>
      <w:r>
        <w:t>Due to the differences found between the target culture and destination in the adaptation of the scale, modifications were necessary in terms of the scale's administration, writing of the items and response scale for a more accessible language for the target population. The creator of the instrument has authorized these changes to the Brazilian reality, aware of our commitment to create an instruction manual for interviewers applying the instrument.</w:t>
      </w:r>
    </w:p>
    <w:p w14:paraId="3CA5C25A" w14:textId="307E6AC2" w:rsidR="00107993" w:rsidRDefault="004C6EAB" w:rsidP="004C6EAB">
      <w:pPr>
        <w:spacing w:line="360" w:lineRule="auto"/>
        <w:ind w:left="-283" w:right="-267" w:firstLine="283"/>
        <w:jc w:val="both"/>
      </w:pPr>
      <w:r>
        <w:t>Based on these researches, with the present study, we aimed to evaluate the reliability and validity of the Recovery Self-Assessment (RSA-R) Person in Recovery and Family members versions, cross-culturally adapted to Brazilian Portuguese (Pt/Br) by the Research Group [</w:t>
      </w:r>
      <w:r w:rsidRPr="004C6EAB">
        <w:t>omitted for double blind evaluation</w:t>
      </w:r>
      <w:r>
        <w:t>].</w:t>
      </w:r>
    </w:p>
    <w:p w14:paraId="65D76F41" w14:textId="77777777" w:rsidR="001F3495" w:rsidRPr="004C6EAB" w:rsidRDefault="001F3495" w:rsidP="004C6EAB">
      <w:pPr>
        <w:spacing w:line="360" w:lineRule="auto"/>
        <w:ind w:left="-283" w:right="-267" w:firstLine="283"/>
        <w:jc w:val="both"/>
      </w:pPr>
    </w:p>
    <w:p w14:paraId="2254AC27" w14:textId="54C25738" w:rsidR="006F7E7E" w:rsidRPr="00AF6F4D" w:rsidRDefault="001516ED" w:rsidP="001516ED">
      <w:pPr>
        <w:pStyle w:val="Ttulosinternos"/>
      </w:pPr>
      <w:r w:rsidRPr="00AF6F4D">
        <w:t>M</w:t>
      </w:r>
      <w:r w:rsidR="008F0A77">
        <w:t>ethod</w:t>
      </w:r>
    </w:p>
    <w:p w14:paraId="0EDFE1AF" w14:textId="190205AC" w:rsidR="00AF6F4D" w:rsidRDefault="00AF6F4D" w:rsidP="00AF6F4D">
      <w:pPr>
        <w:keepNext/>
        <w:spacing w:line="360" w:lineRule="auto"/>
        <w:ind w:left="-283" w:right="-267" w:firstLine="283"/>
        <w:jc w:val="both"/>
      </w:pPr>
      <w:r>
        <w:rPr>
          <w:highlight w:val="white"/>
        </w:rPr>
        <w:lastRenderedPageBreak/>
        <w:t>A cross-sectional study was carried out with convenience sampling. The number of subjects for the sample in the validation process of the instrument needs to be large and variable. It recommended the largest possible number and the use of 5 to 10 subjects per item of the instrument</w:t>
      </w:r>
      <w:r w:rsidR="00A06E0D">
        <w:rPr>
          <w:highlight w:val="white"/>
        </w:rPr>
        <w:t xml:space="preserve"> </w:t>
      </w:r>
      <w:r w:rsidR="00A06E0D">
        <w:rPr>
          <w:highlight w:val="white"/>
        </w:rPr>
        <w:fldChar w:fldCharType="begin" w:fldLock="1"/>
      </w:r>
      <w:r w:rsidR="00233A30">
        <w:rPr>
          <w:highlight w:val="white"/>
        </w:rPr>
        <w:instrText>ADDIN CSL_CITATION {"citationItems":[{"id":"ITEM-1","itemData":{"DOI":"10.1007/s11136-010-9606-8","ISSN":"0962-9343","author":[{"dropping-particle":"","family":"Mokkink","given":"Lidwine B.","non-dropping-particle":"","parse-names":false,"suffix":""},{"dropping-particle":"","family":"Terwee","given":"Caroline B.","non-dropping-particle":"","parse-names":false,"suffix":""},{"dropping-particle":"","family":"Patrick","given":"Donald L.","non-dropping-particle":"","parse-names":false,"suffix":""},{"dropping-particle":"","family":"Alonso","given":"Jordi","non-dropping-particle":"","parse-names":false,"suffix":""},{"dropping-particle":"","family":"Stratford","given":"Paul W.","non-dropping-particle":"","parse-names":false,"suffix":""},{"dropping-particle":"","family":"Knol","given":"Dirk L.","non-dropping-particle":"","parse-names":false,"suffix":""},{"dropping-particle":"","family":"Bouter","given":"Lex M.","non-dropping-particle":"","parse-names":false,"suffix":""},{"dropping-particle":"","family":"Vet","given":"Henrica C. W.","non-dropping-particle":"de","parse-names":false,"suffix":""}],"container-title":"Quality of Life Research","id":"ITEM-1","issue":"4","issued":{"date-parts":[["2010","5","19"]]},"page":"539-549","publisher":"Springer Netherlands","title":"The COSMIN checklist for assessing the methodological quality of studies on measurement properties of health status measurement instruments: an international Delphi study","type":"article-journal","volume":"19"},"uris":["http://www.mendeley.com/documents/?uuid=37ef4886-00ab-3d9e-92b0-12da39b00474"]},{"id":"ITEM-2","itemData":{"DOI":"10.1002/nur.20147","ISSN":"0160-6891","PMID":"16977646","abstract":"Scale developers often provide evidence of content validity by computing a content validity index (CVI), using ratings of item relevance by content experts. We analyzed how nurse researchers have defined and calculated the CVI, and found considerable consistency for item-level CVIs (I-CVIs). However, there are two alternative, but unacknowledged, methods of computing the scale-level index (S-CVI). One method requires universal agreement among experts, but a less conservative method averages the item-level CVIs. Using backward inference with a purposive sample of scale development studies, we found that both methods are being used by nurse researchers, although it was not always possible to infer the calculation method. The two approaches can lead to different values, making it risky to draw conclusions about content validity. Scale developers should indicate which method was used to provide readers with interpretable content validity information.","author":[{"dropping-particle":"","family":"Polit","given":"Denise F.","non-dropping-particle":"","parse-names":false,"suffix":""},{"dropping-particle":"","family":"Beck","given":"Cheryl Tatano","non-dropping-particle":"","parse-names":false,"suffix":""}],"container-title":"Research in Nursing &amp; Health","id":"ITEM-2","issue":"5","issued":{"date-parts":[["2006","10"]]},"page":"489-497","title":"The content validity index: Are you sure you know what's being reported? critique and recommendations","type":"article-journal","volume":"29"},"uris":["http://www.mendeley.com/documents/?uuid=de280d41-0581-35b7-aa2b-d7d92ce69c7a"]}],"mendeley":{"formattedCitation":"(Mokkink, Terwee, Patrick, et al., 2010; Polit &amp; Beck, 2006)","plainTextFormattedCitation":"(Mokkink, Terwee, Patrick, et al., 2010; Polit &amp; Beck, 2006)","previouslyFormattedCitation":"(Mokkink, Terwee, Patrick, et al., 2010; Polit &amp; Beck, 2006)"},"properties":{"noteIndex":0},"schema":"https://github.com/citation-style-language/schema/raw/master/csl-citation.json"}</w:instrText>
      </w:r>
      <w:r w:rsidR="00A06E0D">
        <w:rPr>
          <w:highlight w:val="white"/>
        </w:rPr>
        <w:fldChar w:fldCharType="separate"/>
      </w:r>
      <w:r w:rsidR="00233A30" w:rsidRPr="00233A30">
        <w:rPr>
          <w:noProof/>
          <w:highlight w:val="white"/>
        </w:rPr>
        <w:t>(Mokkink, Terwee, Patrick, et al., 2010; Polit &amp; Beck, 2006)</w:t>
      </w:r>
      <w:r w:rsidR="00A06E0D">
        <w:rPr>
          <w:highlight w:val="white"/>
        </w:rPr>
        <w:fldChar w:fldCharType="end"/>
      </w:r>
      <w:r w:rsidR="00A06E0D">
        <w:rPr>
          <w:highlight w:val="white"/>
        </w:rPr>
        <w:t xml:space="preserve">. </w:t>
      </w:r>
      <w:r>
        <w:rPr>
          <w:highlight w:val="white"/>
        </w:rPr>
        <w:t>For this study, participated 207 users and 206 family members of users served at 15 community mental health services: 6 Psychosocial Support Centers (</w:t>
      </w:r>
      <w:r>
        <w:rPr>
          <w:i/>
          <w:highlight w:val="white"/>
        </w:rPr>
        <w:t xml:space="preserve">Centros de Atenção Psicossocial </w:t>
      </w:r>
      <w:r>
        <w:rPr>
          <w:highlight w:val="white"/>
        </w:rPr>
        <w:t>– CAPS)</w:t>
      </w:r>
      <w:r w:rsidR="00A06E0D">
        <w:rPr>
          <w:highlight w:val="white"/>
        </w:rPr>
        <w:t xml:space="preserve">, 5 </w:t>
      </w:r>
      <w:r>
        <w:rPr>
          <w:highlight w:val="white"/>
        </w:rPr>
        <w:t>Alcohol and Drugs Psychosocial Support Centers (CAPS AD), 4 Community Centers (</w:t>
      </w:r>
      <w:r>
        <w:rPr>
          <w:i/>
          <w:highlight w:val="white"/>
        </w:rPr>
        <w:t xml:space="preserve">Centros de Convivência </w:t>
      </w:r>
      <w:r>
        <w:rPr>
          <w:highlight w:val="white"/>
        </w:rPr>
        <w:t xml:space="preserve">– CECOs), and 1 Center for Work </w:t>
      </w:r>
      <w:r>
        <w:t>Rehabilitation (</w:t>
      </w:r>
      <w:r>
        <w:rPr>
          <w:i/>
        </w:rPr>
        <w:t xml:space="preserve">Núcleo </w:t>
      </w:r>
      <w:r>
        <w:rPr>
          <w:i/>
          <w:highlight w:val="white"/>
        </w:rPr>
        <w:t>das Oficinas de trabalho</w:t>
      </w:r>
      <w:r w:rsidR="00A06E0D">
        <w:rPr>
          <w:highlight w:val="white"/>
        </w:rPr>
        <w:t xml:space="preserve"> – </w:t>
      </w:r>
      <w:r>
        <w:rPr>
          <w:highlight w:val="white"/>
        </w:rPr>
        <w:t xml:space="preserve">NOT). A subsample of 63 </w:t>
      </w:r>
      <w:r>
        <w:t xml:space="preserve">participating users and </w:t>
      </w:r>
      <w:r>
        <w:rPr>
          <w:highlight w:val="white"/>
        </w:rPr>
        <w:t>70 family members answered the questionnaire twice, after two weeks.</w:t>
      </w:r>
    </w:p>
    <w:p w14:paraId="1072DA67" w14:textId="77777777" w:rsidR="008F0A77" w:rsidRDefault="008F0A77" w:rsidP="00AF6F4D">
      <w:pPr>
        <w:keepNext/>
        <w:spacing w:line="360" w:lineRule="auto"/>
        <w:ind w:left="-283" w:right="-267" w:firstLine="283"/>
        <w:jc w:val="both"/>
      </w:pPr>
    </w:p>
    <w:p w14:paraId="11964FBC" w14:textId="24830840" w:rsidR="00082D68" w:rsidRPr="00AF6F4D" w:rsidRDefault="008F0A77" w:rsidP="008F0A77">
      <w:pPr>
        <w:pStyle w:val="SubtituloInterno"/>
        <w:spacing w:before="0" w:beforeAutospacing="0" w:after="0" w:afterAutospacing="0"/>
      </w:pPr>
      <w:r>
        <w:t>Participants</w:t>
      </w:r>
    </w:p>
    <w:p w14:paraId="685C32E6" w14:textId="77777777" w:rsidR="00AF6F4D" w:rsidRDefault="00AF6F4D" w:rsidP="00AF6F4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right="-267" w:firstLine="283"/>
        <w:jc w:val="both"/>
      </w:pPr>
      <w:r>
        <w:t>For the users participants, the inclusion criteria were: aging 18 years or over; being in treatment for at least 3 months in one of the participating services, without restriction of diagnosis. Exclusion criteria were: having disagreed in participating in the research; and having severe cognitive impairment that prevented them from participating and answering the questions. Users were invited at the services, or during the therapeutic groups and others indicated by the staff.</w:t>
      </w:r>
      <w:r>
        <w:rPr>
          <w:color w:val="FF0000"/>
        </w:rPr>
        <w:t xml:space="preserve"> </w:t>
      </w:r>
      <w:r>
        <w:t xml:space="preserve"> For family members, the inclusion criteria were: To be family members of users who were attending community mental health services for a period longer than three months, over the age of 18 years, able to communicate in Brazilian Portuguese, and without cognitive impairments.</w:t>
      </w:r>
    </w:p>
    <w:p w14:paraId="24F8A929" w14:textId="77777777" w:rsidR="008F0A77" w:rsidRDefault="008F0A77" w:rsidP="00AF6F4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right="-267" w:firstLine="283"/>
        <w:jc w:val="both"/>
      </w:pPr>
    </w:p>
    <w:p w14:paraId="398DBE32" w14:textId="219974A6" w:rsidR="00082D68" w:rsidRPr="00D041DE" w:rsidRDefault="008F0A77" w:rsidP="008F0A77">
      <w:pPr>
        <w:pStyle w:val="SubtituloInterno"/>
        <w:spacing w:before="0" w:beforeAutospacing="0" w:after="0" w:afterAutospacing="0"/>
      </w:pPr>
      <w:r>
        <w:t>Materials</w:t>
      </w:r>
    </w:p>
    <w:p w14:paraId="40907600" w14:textId="77777777" w:rsidR="00AF6F4D" w:rsidRDefault="00082D68" w:rsidP="00AF6F4D">
      <w:pPr>
        <w:keepNext/>
        <w:spacing w:line="360" w:lineRule="auto"/>
        <w:ind w:left="-283" w:right="-267"/>
        <w:jc w:val="both"/>
        <w:rPr>
          <w:b/>
        </w:rPr>
      </w:pPr>
      <w:r w:rsidRPr="00AF6F4D">
        <w:rPr>
          <w:rFonts w:eastAsia="Calibri"/>
          <w:lang w:val="en-US"/>
        </w:rPr>
        <w:tab/>
      </w:r>
      <w:r w:rsidR="00AF6F4D">
        <w:rPr>
          <w:b/>
        </w:rPr>
        <w:t>The sociodemographic questionnaire</w:t>
      </w:r>
    </w:p>
    <w:p w14:paraId="010BAE7A" w14:textId="77777777" w:rsidR="00AF6F4D" w:rsidRDefault="00AF6F4D" w:rsidP="00AF6F4D">
      <w:pPr>
        <w:keepNext/>
        <w:spacing w:line="360" w:lineRule="auto"/>
        <w:ind w:left="-283" w:right="-267" w:firstLine="283"/>
        <w:jc w:val="both"/>
      </w:pPr>
      <w:r>
        <w:t xml:space="preserve">A questionnaire was used to assess the characteristics of the research participants. The variables included in the questionnaire were: age, sex, race, education and income, diagnosis, </w:t>
      </w:r>
      <w:sdt>
        <w:sdtPr>
          <w:tag w:val="goog_rdk_3"/>
          <w:id w:val="1216470502"/>
        </w:sdtPr>
        <w:sdtContent/>
      </w:sdt>
      <w:sdt>
        <w:sdtPr>
          <w:tag w:val="goog_rdk_4"/>
          <w:id w:val="951059631"/>
        </w:sdtPr>
        <w:sdtContent/>
      </w:sdt>
      <w:r>
        <w:t xml:space="preserve">length of treatment, service attended. </w:t>
      </w:r>
    </w:p>
    <w:p w14:paraId="383134F2" w14:textId="77777777" w:rsidR="00AF6F4D" w:rsidRDefault="00AF6F4D" w:rsidP="00AF6F4D">
      <w:pPr>
        <w:keepNext/>
        <w:spacing w:line="360" w:lineRule="auto"/>
        <w:ind w:left="-283" w:right="-267" w:firstLine="283"/>
        <w:jc w:val="both"/>
        <w:rPr>
          <w:b/>
        </w:rPr>
      </w:pPr>
      <w:r>
        <w:rPr>
          <w:b/>
        </w:rPr>
        <w:t>Recovery Self-Assessment (RSA-R)</w:t>
      </w:r>
    </w:p>
    <w:p w14:paraId="52C8EB5A" w14:textId="5E1C915A" w:rsidR="00AF6F4D" w:rsidRDefault="00AF6F4D" w:rsidP="00AF6F4D">
      <w:pPr>
        <w:keepNext/>
        <w:spacing w:line="360" w:lineRule="auto"/>
        <w:ind w:left="-283" w:right="-267" w:firstLine="283"/>
        <w:jc w:val="both"/>
      </w:pPr>
      <w:r>
        <w:t xml:space="preserve">We used the revised Recovery Self-Assessment (RSA-R) Person in Recovery and Family members versions. The RSA-R assesses recovery-oriented practices on community mental health services. It consists of 32 items with five response options to be chosen: 1 (Strongly Disagree) to 5 (Strongly Agree) and two additional alternatives D/K (do not know) and N/A (not applicable), which should be coded as </w:t>
      </w:r>
      <w:r>
        <w:lastRenderedPageBreak/>
        <w:t>missing, constituting a 5-point Likert scale</w:t>
      </w:r>
      <w:r w:rsidR="00A06E0D">
        <w:t xml:space="preserve"> </w:t>
      </w:r>
      <w:r w:rsidR="00470699">
        <w:fldChar w:fldCharType="begin" w:fldLock="1"/>
      </w:r>
      <w:r w:rsidR="00470699">
        <w:instrText>ADDIN CSL_CITATION {"citationItems":[{"id":"ITEM-1","itemData":{"author":[{"dropping-particle":"","family":"O'Connell","given":"M Maria","non-dropping-particle":"","parse-names":false,"suffix":""},{"dropping-particle":"","family":"Tondora","given":"Janis","non-dropping-particle":"","parse-names":false,"suffix":""},{"dropping-particle":"","family":"Croog","given":"Gerald","non-dropping-particle":"","parse-names":false,"suffix":""},{"dropping-particle":"","family":"Evans","given":"Arthur","non-dropping-particle":"","parse-names":false,"suffix":""},{"dropping-particle":"","family":"Davidson","given":"Larry","non-dropping-particle":"","parse-names":false,"suffix":""}],"container-title":"Psychiatric Rehabilitation Journal","id":"ITEM-1","issue":"4","issued":{"date-parts":[["2005"]]},"page":"378-386","title":"From Rhetoric to Routine: Assessing Perceptions of Recovery-Oriented Practices in a State Mental Health and Addiction System","type":"article-journal","volume":"28"},"uris":["http://www.mendeley.com/documents/?uuid=719880e0-20d6-3b6f-99e5-39b03301270a"]},{"id":"ITEM-2","itemData":{"author":[{"dropping-particle":"","family":"O'Connell","given":"MJ","non-dropping-particle":"","parse-names":false,"suffix":""},{"dropping-particle":"","family":"Tondora","given":"J","non-dropping-particle":"","parse-names":false,"suffix":""},{"dropping-particle":"","family":"Kidd","given":"SA","non-dropping-particle":"","parse-names":false,"suffix":""},{"dropping-particle":"","family":"Stayner","given":"D","non-dropping-particle":"","parse-names":false,"suffix":""}],"id":"ITEM-2","issued":{"date-parts":[["2007"]]},"title":"RSA-R, person in recovery, family member/significant other, administrator/manager, and provider versions","type":"article-journal"},"uris":["http://www.mendeley.com/documents/?uuid=fe54a721-3722-37a8-a8bf-b508e623816d"]}],"mendeley":{"formattedCitation":"(M. M. O’Connell et al., 2005; M. O’Connell et al., 2007)","manualFormatting":"(O’Connell et al., 2005; O’Connell et al., 2007)","plainTextFormattedCitation":"(M. M. O’Connell et al., 2005; M. O’Connell et al., 2007)","previouslyFormattedCitation":"(M. M. O’Connell et al., 2005; M. O’Connell et al., 2007)"},"properties":{"noteIndex":0},"schema":"https://github.com/citation-style-language/schema/raw/master/csl-citation.json"}</w:instrText>
      </w:r>
      <w:r w:rsidR="00470699">
        <w:fldChar w:fldCharType="separate"/>
      </w:r>
      <w:r w:rsidR="00470699">
        <w:rPr>
          <w:noProof/>
        </w:rPr>
        <w:t xml:space="preserve">(O’Connell et al., 2005; </w:t>
      </w:r>
      <w:r w:rsidR="00470699" w:rsidRPr="00470699">
        <w:rPr>
          <w:noProof/>
        </w:rPr>
        <w:t>O’Connell et al., 2007)</w:t>
      </w:r>
      <w:r w:rsidR="00470699">
        <w:fldChar w:fldCharType="end"/>
      </w:r>
      <w:r>
        <w:t>.  In the RSA-R family members version, the instrument has 8 additional items that are deemed appendixes.</w:t>
      </w:r>
    </w:p>
    <w:p w14:paraId="00F9ACEC" w14:textId="4BC46238" w:rsidR="00AF6F4D" w:rsidRPr="00BD0824" w:rsidRDefault="00EF6B7D" w:rsidP="00AF6F4D">
      <w:pPr>
        <w:spacing w:line="360" w:lineRule="auto"/>
        <w:ind w:left="-283" w:right="-267" w:firstLine="283"/>
        <w:jc w:val="both"/>
      </w:pPr>
      <w:sdt>
        <w:sdtPr>
          <w:tag w:val="goog_rdk_7"/>
          <w:id w:val="1959448368"/>
        </w:sdtPr>
        <w:sdtContent/>
      </w:sdt>
      <w:r w:rsidR="00AF6F4D">
        <w:t xml:space="preserve">The items were categorized and grouped into 6 domains as follows: </w:t>
      </w:r>
      <w:r w:rsidR="00AF6F4D" w:rsidRPr="00BD0824">
        <w:t>1 (Life Goals); 2 (Involvement); 3 (Diversity of Treatment Options; 4 (Choice); 5 (Individually-tailored Services); 6 (Inviting Domain)</w:t>
      </w:r>
      <w:r w:rsidR="00470699">
        <w:t xml:space="preserve"> </w:t>
      </w:r>
      <w:r w:rsidR="00470699">
        <w:fldChar w:fldCharType="begin" w:fldLock="1"/>
      </w:r>
      <w:r w:rsidR="00470699">
        <w:instrText>ADDIN CSL_CITATION {"citationItems":[{"id":"ITEM-1","itemData":{"author":[{"dropping-particle":"","family":"O'Connell","given":"M Maria","non-dropping-particle":"","parse-names":false,"suffix":""},{"dropping-particle":"","family":"Tondora","given":"Janis","non-dropping-particle":"","parse-names":false,"suffix":""},{"dropping-particle":"","family":"Croog","given":"Gerald","non-dropping-particle":"","parse-names":false,"suffix":""},{"dropping-particle":"","family":"Evans","given":"Arthur","non-dropping-particle":"","parse-names":false,"suffix":""},{"dropping-particle":"","family":"Davidson","given":"Larry","non-dropping-particle":"","parse-names":false,"suffix":""}],"container-title":"Psychiatric Rehabilitation Journal","id":"ITEM-1","issue":"4","issued":{"date-parts":[["2005"]]},"page":"378-386","title":"From Rhetoric to Routine: Assessing Perceptions of Recovery-Oriented Practices in a State Mental Health and Addiction System","type":"article-journal","volume":"28"},"uris":["http://www.mendeley.com/documents/?uuid=719880e0-20d6-3b6f-99e5-39b03301270a"]},{"id":"ITEM-2","itemData":{"author":[{"dropping-particle":"","family":"O'Connell","given":"MJ","non-dropping-particle":"","parse-names":false,"suffix":""},{"dropping-particle":"","family":"Tondora","given":"J","non-dropping-particle":"","parse-names":false,"suffix":""},{"dropping-particle":"","family":"Kidd","given":"SA","non-dropping-particle":"","parse-names":false,"suffix":""},{"dropping-particle":"","family":"Stayner","given":"D","non-dropping-particle":"","parse-names":false,"suffix":""}],"id":"ITEM-2","issued":{"date-parts":[["2007"]]},"title":"RSA-R, person in recovery, family member/significant other, administrator/manager, and provider versions","type":"article-journal"},"uris":["http://www.mendeley.com/documents/?uuid=fe54a721-3722-37a8-a8bf-b508e623816d"]}],"mendeley":{"formattedCitation":"(M. M. O’Connell et al., 2005; M. O’Connell et al., 2007)","manualFormatting":"(O’Connell et al., 2005; O’Connell et al., 2007)","plainTextFormattedCitation":"(M. M. O’Connell et al., 2005; M. O’Connell et al., 2007)","previouslyFormattedCitation":"(M. M. O’Connell et al., 2005; M. O’Connell et al., 2007)"},"properties":{"noteIndex":0},"schema":"https://github.com/citation-style-language/schema/raw/master/csl-citation.json"}</w:instrText>
      </w:r>
      <w:r w:rsidR="00470699">
        <w:fldChar w:fldCharType="separate"/>
      </w:r>
      <w:r w:rsidR="00470699">
        <w:rPr>
          <w:noProof/>
        </w:rPr>
        <w:t xml:space="preserve">(O’Connell et al., 2005; </w:t>
      </w:r>
      <w:r w:rsidR="00470699" w:rsidRPr="00470699">
        <w:rPr>
          <w:noProof/>
        </w:rPr>
        <w:t>O’Connell et al., 2007)</w:t>
      </w:r>
      <w:r w:rsidR="00470699">
        <w:fldChar w:fldCharType="end"/>
      </w:r>
      <w:r w:rsidR="00AF6F4D" w:rsidRPr="00BD0824">
        <w:t>.</w:t>
      </w:r>
    </w:p>
    <w:p w14:paraId="056B8951" w14:textId="496777D9" w:rsidR="00AF6F4D" w:rsidRDefault="00AF6F4D" w:rsidP="00AF6F4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right="-267" w:firstLine="283"/>
        <w:jc w:val="both"/>
      </w:pPr>
      <w:r>
        <w:t>The instrument was cross-culturally adapted following the methodology indicated in the literature to achieve equivalence between source and target languages</w:t>
      </w:r>
      <w:r w:rsidR="00470699">
        <w:t xml:space="preserve"> </w:t>
      </w:r>
      <w:r w:rsidR="00470699">
        <w:fldChar w:fldCharType="begin" w:fldLock="1"/>
      </w:r>
      <w:r w:rsidR="00470699">
        <w:instrText>ADDIN CSL_CITATION {"citationItems":[{"id":"ITEM-1","itemData":{"DOI":"10.1111/j.1524-4733.2005.04054.x","ISSN":"10983015","author":[{"dropping-particle":"","family":"Wild","given":"Diane","non-dropping-particle":"","parse-names":false,"suffix":""},{"dropping-particle":"","family":"Grove","given":"Alyson","non-dropping-particle":"","parse-names":false,"suffix":""},{"dropping-particle":"","family":"Martin","given":"Mona","non-dropping-particle":"","parse-names":false,"suffix":""},{"dropping-particle":"","family":"Eremenco","given":"Sonya","non-dropping-particle":"","parse-names":false,"suffix":""},{"dropping-particle":"","family":"McElroy","given":"Sandra","non-dropping-particle":"","parse-names":false,"suffix":""},{"dropping-particle":"","family":"Verjee-Lorenz","given":"Aneesa","non-dropping-particle":"","parse-names":false,"suffix":""},{"dropping-particle":"","family":"Erikson","given":"Pennifer","non-dropping-particle":"","parse-names":false,"suffix":""}],"container-title":"Value in Health","id":"ITEM-1","issue":"2","issued":{"date-parts":[["2005","3","1"]]},"page":"94-104","publisher":"Blackwell Science Inc","title":"Principles of Good Practice for the Translation and Cultural Adaptation Process for Patient-Reported Outcomes (PRO) Measures: Report of the ISPOR Task Force for Translation and Cultural Adaptation","type":"article-journal","volume":"8"},"uris":["http://www.mendeley.com/documents/?uuid=ae1e4215-884a-35dc-bb65-91b9a06e441e"]},{"id":"ITEM-2","itemData":{"author":[{"dropping-particle":"","family":"Beaton","given":"Dorcas","non-dropping-particle":"","parse-names":false,"suffix":""},{"dropping-particle":"","family":"Bombardier","given":"Claire","non-dropping-particle":"","parse-names":false,"suffix":""},{"dropping-particle":"","family":"Guillemin","given":"Francis","non-dropping-particle":"","parse-names":false,"suffix":""},{"dropping-particle":"","family":"Ferraz","given":"Marcos Bosi","non-dropping-particle":"","parse-names":false,"suffix":""}],"id":"ITEM-2","issued":{"date-parts":[["2007"]]},"number-of-pages":"45","title":"Recommendations for the Cross-Cultural Adaptation of the DASH &amp;amp; QuickDASH Outcome Measures","type":"report"},"uris":["http://www.mendeley.com/documents/?uuid=deb905aa-02b5-3bf3-bdca-1868c16a040b"]}],"mendeley":{"formattedCitation":"(Beaton, Bombardier, Guillemin, &amp; Ferraz, 2007; Wild et al., 2005)","plainTextFormattedCitation":"(Beaton, Bombardier, Guillemin, &amp; Ferraz, 2007; Wild et al., 2005)","previouslyFormattedCitation":"(Beaton, Bombardier, Guillemin, &amp; Ferraz, 2007; Wild et al., 2005)"},"properties":{"noteIndex":0},"schema":"https://github.com/citation-style-language/schema/raw/master/csl-citation.json"}</w:instrText>
      </w:r>
      <w:r w:rsidR="00470699">
        <w:fldChar w:fldCharType="separate"/>
      </w:r>
      <w:r w:rsidR="00470699" w:rsidRPr="00470699">
        <w:rPr>
          <w:noProof/>
        </w:rPr>
        <w:t>(Beaton, Bombardier, Guillemin, &amp; Ferraz, 2007; Wild et al., 2005)</w:t>
      </w:r>
      <w:r w:rsidR="00470699">
        <w:fldChar w:fldCharType="end"/>
      </w:r>
      <w:r>
        <w:t>. Items were linguistically translated and cross-culturally adapted to maintain the validity of the content</w:t>
      </w:r>
      <w:r w:rsidR="00470699">
        <w:t xml:space="preserve"> </w:t>
      </w:r>
      <w:r w:rsidR="00470699">
        <w:fldChar w:fldCharType="begin" w:fldLock="1"/>
      </w:r>
      <w:r w:rsidR="00470699">
        <w:instrText>ADDIN CSL_CITATION {"citationItems":[{"id":"ITEM-1","itemData":{"author":[{"dropping-particle":"","family":"Beaton","given":"Dorcas","non-dropping-particle":"","parse-names":false,"suffix":""},{"dropping-particle":"","family":"Bombardier","given":"Claire","non-dropping-particle":"","parse-names":false,"suffix":""},{"dropping-particle":"","family":"Guillemin","given":"Francis","non-dropping-particle":"","parse-names":false,"suffix":""},{"dropping-particle":"","family":"Ferraz","given":"Marcos Bosi","non-dropping-particle":"","parse-names":false,"suffix":""}],"id":"ITEM-1","issued":{"date-parts":[["2007"]]},"number-of-pages":"45","title":"Recommendations for the Cross-Cultural Adaptation of the DASH &amp;amp; QuickDASH Outcome Measures","type":"report"},"uris":["http://www.mendeley.com/documents/?uuid=deb905aa-02b5-3bf3-bdca-1868c16a040b"]},{"id":"ITEM-2","itemData":{"DOI":"10.3109/03009749509099285","ISSN":"0300-9742","author":[{"dropping-particle":"","family":"Guillemin","given":"F.","non-dropping-particle":"","parse-names":false,"suffix":""}],"container-title":"Scandinavian Journal of Rheumatology","id":"ITEM-2","issue":"2","issued":{"date-parts":[["1995","1","12"]]},"page":"61-63","publisher":"Taylor &amp; Francis","title":"Cross-cultural Adaptation and Validation of Heatth Status Measures","type":"article-journal","volume":"24"},"uris":["http://www.mendeley.com/documents/?uuid=a0410453-c589-363f-a3d2-38ca8e96af7a"]}],"mendeley":{"formattedCitation":"(Beaton et al., 2007; Guillemin, 1995)","plainTextFormattedCitation":"(Beaton et al., 2007; Guillemin, 1995)","previouslyFormattedCitation":"(Beaton et al., 2007; Guillemin, 1995)"},"properties":{"noteIndex":0},"schema":"https://github.com/citation-style-language/schema/raw/master/csl-citation.json"}</w:instrText>
      </w:r>
      <w:r w:rsidR="00470699">
        <w:fldChar w:fldCharType="separate"/>
      </w:r>
      <w:r w:rsidR="00470699" w:rsidRPr="00470699">
        <w:rPr>
          <w:noProof/>
        </w:rPr>
        <w:t>(Beaton et al., 2007; Guillemin, 1995)</w:t>
      </w:r>
      <w:r w:rsidR="00470699">
        <w:fldChar w:fldCharType="end"/>
      </w:r>
      <w:r>
        <w:t xml:space="preserve"> </w:t>
      </w:r>
      <w:r w:rsidR="008F0A77">
        <w:t>[</w:t>
      </w:r>
      <w:r w:rsidR="008F0A77" w:rsidRPr="004C6EAB">
        <w:t>omitted for double blind evaluation</w:t>
      </w:r>
      <w:r w:rsidR="008F0A77">
        <w:t>].</w:t>
      </w:r>
    </w:p>
    <w:p w14:paraId="3CFA60EF" w14:textId="77777777" w:rsidR="008F0A77" w:rsidRDefault="008F0A77" w:rsidP="00AF6F4D">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360" w:lineRule="auto"/>
        <w:ind w:left="-283" w:right="-267" w:firstLine="283"/>
        <w:jc w:val="both"/>
      </w:pPr>
    </w:p>
    <w:p w14:paraId="6FA8A20D" w14:textId="46B18393" w:rsidR="00082D68" w:rsidRPr="00D041DE" w:rsidRDefault="008F0A77" w:rsidP="008F0A77">
      <w:pPr>
        <w:pStyle w:val="SubtituloInterno"/>
        <w:spacing w:before="0" w:beforeAutospacing="0" w:after="0" w:afterAutospacing="0"/>
      </w:pPr>
      <w:r>
        <w:t>Process</w:t>
      </w:r>
    </w:p>
    <w:p w14:paraId="0183D375" w14:textId="77777777" w:rsidR="00AF6F4D" w:rsidRPr="00AF6F4D" w:rsidRDefault="00AF6F4D" w:rsidP="00AF6F4D">
      <w:pPr>
        <w:keepNext/>
        <w:spacing w:line="360" w:lineRule="auto"/>
        <w:ind w:left="-283" w:right="-267" w:firstLine="283"/>
        <w:jc w:val="both"/>
      </w:pPr>
      <w:r w:rsidRPr="00AF6F4D">
        <w:t>Interviews were conducted by students of the Multiprofessional Residency in Mental Health at the University of Campinas (UNICAMP) and postgraduate students of the Public Health and Mental Health Interfaces Research Group at UNICAMP. Interviewers were preselected and qualified to apply the instrument by the research team. Training occurred in two meetings, 2h/each, in which we thoroughly discussed the instrument, management during invitations, application, and rules of retest. We also have a closed virtual group, in which everyone could share their doubts in real time, being solved by the researchers.</w:t>
      </w:r>
    </w:p>
    <w:p w14:paraId="2CD9BC78" w14:textId="77777777" w:rsidR="00082D68" w:rsidRPr="00AF6F4D" w:rsidRDefault="00082D68" w:rsidP="00082D68">
      <w:pPr>
        <w:pStyle w:val="Prrafocomn"/>
        <w:rPr>
          <w:rFonts w:eastAsia="Calibri"/>
          <w:i/>
          <w:iCs/>
          <w:lang w:val="es-ES_tradnl"/>
        </w:rPr>
      </w:pPr>
    </w:p>
    <w:p w14:paraId="382015AB" w14:textId="58837503" w:rsidR="00082D68" w:rsidRPr="00D041DE" w:rsidRDefault="008F0A77" w:rsidP="008F0A77">
      <w:pPr>
        <w:pStyle w:val="SubtituloInterno"/>
        <w:spacing w:before="0" w:beforeAutospacing="0" w:after="0" w:afterAutospacing="0"/>
      </w:pPr>
      <w:r>
        <w:t>Data analysis</w:t>
      </w:r>
    </w:p>
    <w:p w14:paraId="020B1163" w14:textId="0B643B6F" w:rsidR="00AF6F4D" w:rsidRDefault="00AF6F4D" w:rsidP="008F0A77">
      <w:pPr>
        <w:spacing w:line="360" w:lineRule="auto"/>
        <w:ind w:left="-283" w:right="-267" w:firstLine="283"/>
        <w:jc w:val="both"/>
      </w:pPr>
      <w:r>
        <w:t xml:space="preserve">The database for inserting responses of the sociodemographic questionnaire, test, and retest was typed using the form built in Google forms, to aid in the control of errors, generating a standard Excel® file, which was subsequently transferred and analyzed. We used the </w:t>
      </w:r>
      <w:r>
        <w:rPr>
          <w:i/>
        </w:rPr>
        <w:t xml:space="preserve">SAS System for Windows (Statistical Analysis System) </w:t>
      </w:r>
      <w:r>
        <w:t>version 9.4. SAS® Institute Inc, Cary, NC, USA</w:t>
      </w:r>
      <w:r w:rsidR="00470699">
        <w:t xml:space="preserve"> </w:t>
      </w:r>
      <w:r w:rsidR="00470699">
        <w:fldChar w:fldCharType="begin" w:fldLock="1"/>
      </w:r>
      <w:r w:rsidR="00470699">
        <w:instrText>ADDIN CSL_CITATION {"citationItems":[{"id":"ITEM-1","itemData":{"author":[{"dropping-particle":"","family":"The SAS System","given":"","non-dropping-particle":"","parse-names":false,"suffix":""}],"id":"ITEM-1","issued":{"date-parts":[["2013"]]},"title":"The SAS System for Windows (Statistical Analysis System), versão 9.4. SAS Institute Inc, Cary, NC, USA","type":"article"},"uris":["http://www.mendeley.com/documents/?uuid=23c0b9b1-9a10-450a-83d4-1c0332411a94"]}],"mendeley":{"formattedCitation":"(The SAS System, 2013)","plainTextFormattedCitation":"(The SAS System, 2013)","previouslyFormattedCitation":"(The SAS System, 2013)"},"properties":{"noteIndex":0},"schema":"https://github.com/citation-style-language/schema/raw/master/csl-citation.json"}</w:instrText>
      </w:r>
      <w:r w:rsidR="00470699">
        <w:fldChar w:fldCharType="separate"/>
      </w:r>
      <w:r w:rsidR="00470699" w:rsidRPr="00470699">
        <w:rPr>
          <w:noProof/>
        </w:rPr>
        <w:t>(The SAS System, 2013)</w:t>
      </w:r>
      <w:r w:rsidR="00470699">
        <w:fldChar w:fldCharType="end"/>
      </w:r>
      <w:r>
        <w:t>.</w:t>
      </w:r>
    </w:p>
    <w:p w14:paraId="7DA6C739" w14:textId="77777777" w:rsidR="00AF6F4D" w:rsidRDefault="00AF6F4D" w:rsidP="00AF6F4D">
      <w:pPr>
        <w:spacing w:line="360" w:lineRule="auto"/>
        <w:ind w:left="-283" w:right="-267" w:firstLine="283"/>
        <w:jc w:val="both"/>
      </w:pPr>
      <w:r>
        <w:t xml:space="preserve">The sociodemographic questionnaire was analyzed using descriptive statistics; frequencies and percentages of categorical variables, and the measures of central tendency and dispersion for numerical variables were calculated. </w:t>
      </w:r>
    </w:p>
    <w:p w14:paraId="0235C1C3" w14:textId="266C5E95" w:rsidR="00AF6F4D" w:rsidRDefault="00AF6F4D" w:rsidP="00AF6F4D">
      <w:pPr>
        <w:spacing w:line="360" w:lineRule="auto"/>
        <w:ind w:left="-283" w:right="-267" w:firstLine="283"/>
        <w:jc w:val="both"/>
      </w:pPr>
      <w:r>
        <w:t xml:space="preserve">Reliability verifies homogeneity, redundancy, or heterogeneity of an instrument, by the ability to reproduce results, even under different conditions such as in the use of different items for a similar group of individuals (internal consistency – calculated by the α-Cr) over time (test-retest calculated by the ICC) </w:t>
      </w:r>
      <w:r w:rsidR="00470699">
        <w:fldChar w:fldCharType="begin" w:fldLock="1"/>
      </w:r>
      <w:r w:rsidR="00470699">
        <w:instrText>ADDIN CSL_CITATION {"citationItems":[{"id":"ITEM-1","itemData":{"ISBN":"9780470023563","abstract":"2nd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-1","issued":{"date-parts":[["2006"]]},"number-of-pages":"455","publisher":"John Wiley","publisher-place":"London","title":"Applied mixed models in medicine","type":"book"},"uris":["http://www.mendeley.com/documents/?uuid=dd501664-a02c-38a5-8333-2706c2908d06"]}],"mendeley":{"formattedCitation":"(Brown &amp; Prescott, 2006)","plainTextFormattedCitation":"(Brown &amp; Prescott, 2006)","previouslyFormattedCitation":"(Brown &amp; Prescott, 2006)"},"properties":{"noteIndex":0},"schema":"https://github.com/citation-style-language/schema/raw/master/csl-citation.json"}</w:instrText>
      </w:r>
      <w:r w:rsidR="00470699">
        <w:fldChar w:fldCharType="separate"/>
      </w:r>
      <w:r w:rsidR="00470699" w:rsidRPr="00470699">
        <w:rPr>
          <w:noProof/>
        </w:rPr>
        <w:t>(Brown &amp; Prescott, 2006)</w:t>
      </w:r>
      <w:r w:rsidR="00470699">
        <w:fldChar w:fldCharType="end"/>
      </w:r>
      <w:r>
        <w:t xml:space="preserve">. For RSA-R Person in Recovery and Family member versions, the </w:t>
      </w:r>
      <w:r>
        <w:lastRenderedPageBreak/>
        <w:t>reliability was assessed considering the six domains of the original US scale</w:t>
      </w:r>
      <w:r w:rsidR="00470699">
        <w:t xml:space="preserve"> </w:t>
      </w:r>
      <w:r w:rsidR="00470699">
        <w:fldChar w:fldCharType="begin" w:fldLock="1"/>
      </w:r>
      <w:r w:rsidR="00470699">
        <w:instrText>ADDIN CSL_CITATION {"citationItems":[{"id":"ITEM-1","itemData":{"author":[{"dropping-particle":"","family":"O'Connell","given":"M Maria","non-dropping-particle":"","parse-names":false,"suffix":""},{"dropping-particle":"","family":"Tondora","given":"Janis","non-dropping-particle":"","parse-names":false,"suffix":""},{"dropping-particle":"","family":"Croog","given":"Gerald","non-dropping-particle":"","parse-names":false,"suffix":""},{"dropping-particle":"","family":"Evans","given":"Arthur","non-dropping-particle":"","parse-names":false,"suffix":""},{"dropping-particle":"","family":"Davidson","given":"Larry","non-dropping-particle":"","parse-names":false,"suffix":""}],"container-title":"Psychiatric Rehabilitation Journal","id":"ITEM-1","issue":"4","issued":{"date-parts":[["2005"]]},"page":"378-386","title":"From Rhetoric to Routine: Assessing Perceptions of Recovery-Oriented Practices in a State Mental Health and Addiction System","type":"article-journal","volume":"28"},"uris":["http://www.mendeley.com/documents/?uuid=719880e0-20d6-3b6f-99e5-39b03301270a"]},{"id":"ITEM-2","itemData":{"author":[{"dropping-particle":"","family":"O'Connell","given":"MJ","non-dropping-particle":"","parse-names":false,"suffix":""},{"dropping-particle":"","family":"Tondora","given":"J","non-dropping-particle":"","parse-names":false,"suffix":""},{"dropping-particle":"","family":"Kidd","given":"SA","non-dropping-particle":"","parse-names":false,"suffix":""},{"dropping-particle":"","family":"Stayner","given":"D","non-dropping-particle":"","parse-names":false,"suffix":""}],"id":"ITEM-2","issued":{"date-parts":[["2007"]]},"title":"RSA-R, person in recovery, family member/significant other, administrator/manager, and provider versions","type":"article-journal"},"uris":["http://www.mendeley.com/documents/?uuid=fe54a721-3722-37a8-a8bf-b508e623816d"]}],"mendeley":{"formattedCitation":"(M. M. O’Connell et al., 2005; M. O’Connell et al., 2007)","manualFormatting":"(O’Connell et al., 2005; O’Connell et al., 2007)","plainTextFormattedCitation":"(M. M. O’Connell et al., 2005; M. O’Connell et al., 2007)","previouslyFormattedCitation":"(M. M. O’Connell et al., 2005; M. O’Connell et al., 2007)"},"properties":{"noteIndex":0},"schema":"https://github.com/citation-style-language/schema/raw/master/csl-citation.json"}</w:instrText>
      </w:r>
      <w:r w:rsidR="00470699">
        <w:fldChar w:fldCharType="separate"/>
      </w:r>
      <w:r w:rsidR="00470699">
        <w:rPr>
          <w:noProof/>
        </w:rPr>
        <w:t xml:space="preserve">(O’Connell et al., 2005; </w:t>
      </w:r>
      <w:r w:rsidR="00470699" w:rsidRPr="00470699">
        <w:rPr>
          <w:noProof/>
        </w:rPr>
        <w:t>O’Connell et al., 2007)</w:t>
      </w:r>
      <w:r w:rsidR="00470699">
        <w:fldChar w:fldCharType="end"/>
      </w:r>
      <w:r>
        <w:t>.</w:t>
      </w:r>
      <w:sdt>
        <w:sdtPr>
          <w:tag w:val="goog_rdk_10"/>
          <w:id w:val="-1720894831"/>
        </w:sdtPr>
        <w:sdtContent>
          <w:r>
            <w:rPr>
              <w:rFonts w:ascii="Cardo" w:eastAsia="Cardo" w:hAnsi="Cardo" w:cs="Cardo"/>
            </w:rPr>
            <w:t xml:space="preserve"> Internal consistency was calculated using the Cronbach’s alpha coefficient (α-Cr), and temporal stability was estimated using the Intraclass Correlation Coefficient (ICC). A value of ≥ 0.70 was considered adequate for both measures </w:t>
          </w:r>
        </w:sdtContent>
      </w:sdt>
      <w:sdt>
        <w:sdtPr>
          <w:tag w:val="goog_rdk_9"/>
          <w:id w:val="695351295"/>
        </w:sdtPr>
        <w:sdtContent/>
      </w:sdt>
      <w:r w:rsidR="00470699">
        <w:fldChar w:fldCharType="begin" w:fldLock="1"/>
      </w:r>
      <w:r w:rsidR="00233A30">
        <w:instrText>ADDIN CSL_CITATION {"citationItems":[{"id":"ITEM-1","itemData":{"DOI":"10.1186/S13063-016-1555-2","ISSN":"1745-6215","abstract":"In cooperation with the Core Outcome Measures in Effectiveness Trials (COMET) initiative, the COnsensus-based Standards for the selection of health Measurement INstruments (COSMIN) initiative aimed to develop a guideline on how to select outcome measurement instruments for outcomes (i.e., constructs or domains) included in a “Core Outcome Set” (COS). A COS is an agreed minimum set of outcomes that should be measured and reported in all clinical trials of a specific disease or trial population. Informed by a literature review to identify potentially relevant tasks on outcome measurement instrument selection, a Delphi study was performed among a panel of international experts, representing diverse stakeholders. In three consecutive rounds, panelists were asked to rate the importance of different tasks in the selection of outcome measurement instruments, to justify their choices, and to add other relevant tasks. Consensus was defined as being achieved when 70 % or more of the panelists agreed and when fewer than 15 % of the panelists disagreed. Of the 481 invited experts, 120 agreed to participate of whom 95 (79 %) completed the first Delphi questionnaire. We reached consensus on four main steps in the selection of outcome measurement instruments for COS: Step 1, conceptual considerations; Step 2, finding existing outcome measurement instruments, by means of a systematic review and/or a literature search; Step 3, quality assessment of outcome measurement instruments, by means of the evaluation of the measurement properties and feasibility aspects of outcome measurement instruments; and Step 4, generic recommendations on the selection of outcome measurement instruments for outcomes included in a COS (consensus ranged from 70 to 99 %). This study resulted in a consensus-based guideline on the methods for selecting outcome measurement instruments for outcomes included in a COS. This guideline can be used by COS developers in defining how to measure core outcomes.","author":[{"dropping-particle":"","family":"Prinsen","given":"Cecilia A. C.","non-dropping-particle":"","parse-names":false,"suffix":""},{"dropping-particle":"","family":"Vohra","given":"Sunita","non-dropping-particle":"","parse-names":false,"suffix":""},{"dropping-particle":"","family":"Rose","given":"Michael R.","non-dropping-particle":"","parse-names":false,"suffix":""},{"dropping-particle":"","family":"Boers","given":"Maarten","non-dropping-particle":"","parse-names":false,"suffix":""},{"dropping-particle":"","family":"Tugwell","given":"Peter","non-dropping-particle":"","parse-names":false,"suffix":""},{"dropping-particle":"","family":"Clarke","given":"Mike","non-dropping-particle":"","parse-names":false,"suffix":""},{"dropping-particle":"","family":"Williamson","given":"Paula R.","non-dropping-particle":"","parse-names":false,"suffix":""},{"dropping-particle":"","family":"Terwee","given":"Caroline B.","non-dropping-particle":"","parse-names":false,"suffix":""}],"container-title":"Trials 2016 17:1","id":"ITEM-1","issue":"1","issued":{"date-parts":[["2016","9","13"]]},"page":"1-10","publisher":"BioMed Central","title":"How to select outcome measurement instruments for outcomes included in a “Core Outcome Set” – a practical guideline","type":"article-journal","volume":"17"},"uris":["http://www.mendeley.com/documents/?uuid=39de842b-ee7a-318b-a3d7-37faa69a5a71"]}],"mendeley":{"formattedCitation":"(Prinsen et al., 2016)","plainTextFormattedCitation":"(Prinsen et al., 2016)","previouslyFormattedCitation":"(Prinsen et al., 2016)"},"properties":{"noteIndex":0},"schema":"https://github.com/citation-style-language/schema/raw/master/csl-citation.json"}</w:instrText>
      </w:r>
      <w:r w:rsidR="00470699">
        <w:fldChar w:fldCharType="separate"/>
      </w:r>
      <w:r w:rsidR="00470699" w:rsidRPr="00470699">
        <w:rPr>
          <w:noProof/>
        </w:rPr>
        <w:t>(Prinsen et al., 2016)</w:t>
      </w:r>
      <w:r w:rsidR="00470699">
        <w:fldChar w:fldCharType="end"/>
      </w:r>
      <w:r w:rsidR="00233A30">
        <w:t xml:space="preserve">. </w:t>
      </w:r>
      <w:r>
        <w:t xml:space="preserve">The level of significance adopted for the study was 5%. </w:t>
      </w:r>
    </w:p>
    <w:p w14:paraId="6356F72E" w14:textId="7BF377A2" w:rsidR="00AF6F4D" w:rsidRDefault="00AF6F4D" w:rsidP="00AF6F4D">
      <w:pPr>
        <w:spacing w:line="360" w:lineRule="auto"/>
        <w:ind w:left="-283" w:right="-267" w:firstLine="283"/>
        <w:jc w:val="both"/>
      </w:pPr>
      <w:r>
        <w:t>Confirmatory factor analysis was used to verify the structure of the instrument RSA-R person in recovery, using the Polychoric correlation matrix</w:t>
      </w:r>
      <w:r w:rsidR="00233A30">
        <w:t xml:space="preserve"> </w:t>
      </w:r>
      <w:r w:rsidR="00233A30">
        <w:fldChar w:fldCharType="begin" w:fldLock="1"/>
      </w:r>
      <w:r w:rsidR="00233A30">
        <w:instrText>ADDIN CSL_CITATION {"citationItems":[{"id":"ITEM-1","itemData":{"author":[{"dropping-particle":"","family":"Damásio","given":"Bruno Figueiredo","non-dropping-particle":"","parse-names":false,"suffix":""}],"id":"ITEM-1","issue":"2","issued":{"date-parts":[["2012"]]},"number-of-pages":"213-228","title":"Uso da análise fatorial exploratória em psicologia","type":"report","volume":"11"},"uris":["http://www.mendeley.com/documents/?uuid=fcea6c34-f9dd-336c-bcd7-e9344ad60ac1"]},{"id":"ITEM-2","itemData":{"ISBN":"9780470023563","abstract":"2nd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-2","issued":{"date-parts":[["2006"]]},"number-of-pages":"455","publisher":"John Wiley","publisher-place":"London","title":"Applied mixed models in medicine","type":"book"},"uris":["http://www.mendeley.com/documents/?uuid=dd501664-a02c-38a5-8333-2706c2908d06"]}],"mendeley":{"formattedCitation":"(Brown &amp; Prescott, 2006; Damásio, 2012)","plainTextFormattedCitation":"(Brown &amp; Prescott, 2006; Damásio, 2012)","previouslyFormattedCitation":"(Brown &amp; Prescott, 2006; Damásio, 2012)"},"properties":{"noteIndex":0},"schema":"https://github.com/citation-style-language/schema/raw/master/csl-citation.json"}</w:instrText>
      </w:r>
      <w:r w:rsidR="00233A30">
        <w:fldChar w:fldCharType="separate"/>
      </w:r>
      <w:r w:rsidR="00233A30" w:rsidRPr="00233A30">
        <w:rPr>
          <w:noProof/>
        </w:rPr>
        <w:t>(Brown &amp; Prescott, 2006; Damásio, 2012)</w:t>
      </w:r>
      <w:r w:rsidR="00233A30">
        <w:fldChar w:fldCharType="end"/>
      </w:r>
      <w:r>
        <w:t>. Due to the high percentage of items without information (N/A and D/K), it was not possible to carry out the analysis of the validity of the factor structure of the RSA-R Family/Brazil.  For adjustment quality indexes we used Goodness of Fit Index (GFI), Adjusted GFI (AGFI), Bentler Comparative Fit Index, Bentler-Bonett (NFI), and RMSEA Estimate</w:t>
      </w:r>
      <w:r w:rsidR="00233A30">
        <w:t xml:space="preserve"> </w:t>
      </w:r>
      <w:r w:rsidR="00233A30">
        <w:fldChar w:fldCharType="begin" w:fldLock="1"/>
      </w:r>
      <w:r w:rsidR="00233A30">
        <w:instrText>ADDIN CSL_CITATION {"citationItems":[{"id":"ITEM-1","itemData":{"ISBN":"9788577805341","author":[{"dropping-particle":"","family":"Hair","given":"Jr. Joseph F.","non-dropping-particle":"","parse-names":false,"suffix":""},{"dropping-particle":"","family":"Andreson","given":"R.","non-dropping-particle":"","parse-names":false,"suffix":""},{"dropping-particle":"","family":"Tatham","given":"R.","non-dropping-particle":"","parse-names":false,"suffix":""},{"dropping-particle":"","family":"Black","given":"William C.","non-dropping-particle":"","parse-names":false,"suffix":""}],"edition":"5","editor":[{"dropping-particle":"","family":"Bookman","given":"","non-dropping-particle":"","parse-names":false,"suffix":""}],"id":"ITEM-1","issued":{"date-parts":[["2005"]]},"number-of-pages":"593","publisher":"Grupo A - Bookman","publisher-place":"Porto Alegre","title":"Análise multivariada de dados","type":"book"},"uris":["http://www.mendeley.com/documents/?uuid=26f5c26c-d612-3d22-86e6-177d4828a8c2"]},{"id":"ITEM-2","itemData":{"ISBN":"9780470023563","abstract":"2nd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-2","issued":{"date-parts":[["2006"]]},"number-of-pages":"455","publisher":"John Wiley","publisher-place":"London","title":"Applied mixed models in medicine","type":"book"},"uris":["http://www.mendeley.com/documents/?uuid=dd501664-a02c-38a5-8333-2706c2908d06"]}],"mendeley":{"formattedCitation":"(Brown &amp; Prescott, 2006; Hair, Andreson, Tatham, &amp; Black, 2005)","plainTextFormattedCitation":"(Brown &amp; Prescott, 2006; Hair, Andreson, Tatham, &amp; Black, 2005)","previouslyFormattedCitation":"(Brown &amp; Prescott, 2006; Hair, Andreson, Tatham, &amp; Black, 2005)"},"properties":{"noteIndex":0},"schema":"https://github.com/citation-style-language/schema/raw/master/csl-citation.json"}</w:instrText>
      </w:r>
      <w:r w:rsidR="00233A30">
        <w:fldChar w:fldCharType="separate"/>
      </w:r>
      <w:r w:rsidR="00233A30" w:rsidRPr="00233A30">
        <w:rPr>
          <w:noProof/>
        </w:rPr>
        <w:t>(Brown &amp; Prescott, 2006; Hair, Andreson, Tatham, &amp; Black, 2005)</w:t>
      </w:r>
      <w:r w:rsidR="00233A30">
        <w:fldChar w:fldCharType="end"/>
      </w:r>
      <w:r>
        <w:t xml:space="preserve">.  The level of significance adopted for the statistical tests was 5%, i.e., </w:t>
      </w:r>
      <w:r>
        <w:rPr>
          <w:i/>
        </w:rPr>
        <w:t>p</w:t>
      </w:r>
      <w:r>
        <w:t>-value &lt; 0.05.</w:t>
      </w:r>
    </w:p>
    <w:p w14:paraId="792564A3" w14:textId="77777777" w:rsidR="001548F4" w:rsidRDefault="00EF6B7D" w:rsidP="008F0A77">
      <w:pPr>
        <w:spacing w:line="360" w:lineRule="auto"/>
        <w:ind w:left="-283" w:right="-267" w:firstLine="283"/>
        <w:jc w:val="both"/>
      </w:pPr>
      <w:sdt>
        <w:sdtPr>
          <w:tag w:val="goog_rdk_11"/>
          <w:id w:val="1990749630"/>
        </w:sdtPr>
        <w:sdtContent/>
      </w:sdt>
      <w:r w:rsidR="00AF6F4D" w:rsidRPr="00AF6F4D">
        <w:t xml:space="preserve">It is recommended to verify validity of subjective constructs using exploratory factor analysis EFA). EFA provides the researcher with the amount of factors needed to represent the data, i.e., it is a tool for exploring the dimensionality of a set of </w:t>
      </w:r>
      <w:r w:rsidR="00233A30">
        <w:t xml:space="preserve">items </w:t>
      </w:r>
      <w:r w:rsidR="00233A30">
        <w:fldChar w:fldCharType="begin" w:fldLock="1"/>
      </w:r>
      <w:r w:rsidR="00233A30">
        <w:instrText>ADDIN CSL_CITATION {"citationItems":[{"id":"ITEM-1","itemData":{"DOI":"10.1016/J.IJNURSTU.2015.07.002","ISSN":"0020-7489","abstract":"BACKGROUND\nPsychometric concepts have undergone a transformation in health fields, as articulated in a consensus report by an international panel of health measurement experts: COSMIN, the COnsensus-based Standards for the selection of health Measurement INstruments. \n\nOBJECTIVES\nThe aims of this paper are to describe emerging ideas relating to the development and testing of new measures in health fields, to present a revised measurement taxonomy that builds upon COSMIN, and to explore the extent to which the new measurement concepts have played a role in psychometric assessments in nursing. \n\nDESIGN\nA descriptive analysis of a sample of psychometric papers published in three major nursing journals was undertaken. \n\nMETHODS\nA new measurement taxonomy is presented and explained. A sample of 105 studies, representing a consecutive sample of psychometric studies published in the International Journal of Nursing Studies, Nursing Research, and Research in Nursing &amp; Health between 2010 and 2014 was reviewed to ascertain the extent to which psychometric assessments in nursing map onto the new taxonomy. \n\nRESULTS\nMost nursing studies reviewed adhered to traditional concepts of psychometric assessment, which focus on reliability and validity. The studies in the sample rarely involved assessments of longitudinal measurement aspects, namely the reliability and validity of change scores (responsiveness). \n\nCONCLUSIONS\nMany constructs of interest to nurse researchers are amenable to change—and these constructs are frequently the target of nursing interventions designed to foster change. Future psychometric work by nurse researchers would benefit from assessments of the psychometric adequacy of change scores.","author":[{"dropping-particle":"","family":"Polit","given":"Denise F.","non-dropping-particle":"","parse-names":false,"suffix":""}],"container-title":"International Journal of Nursing Studies","id":"ITEM-1","issue":"11","issued":{"date-parts":[["2015","11","1"]]},"page":"1746-1753","publisher":"Pergamon","title":"Assessing measurement in health: Beyond reliability and validity","type":"article-journal","volume":"52"},"uris":["http://www.mendeley.com/documents/?uuid=5e48941a-cb3d-3a1c-85a7-8da52765cf1f"]},{"id":"ITEM-2","itemData":{"DOI":"10.1186/1471-2288-10-22","ISSN":"1471-2288","abstract":"The COSMIN checklist (COnsensus-based Standards for the selection of health status Measurement INstruments) was developed in an international Delphi study to evaluate the methodological quality of studies on measurement properties of health-related patient reported outcomes (HR-PROs). In this paper, we explain our choices for the design requirements and preferred statistical methods for which no evidence is available in the literature or on which the Delphi panel members had substantial discussion. The issues described in this paper are a reflection of the Delphi process in which 43 panel members participated. The topics discussed are internal consistency (relevance for reflective and formative models, and distinction with unidimensionality), content validity (judging relevance and comprehensiveness), hypotheses testing as an aspect of construct validity (specificity of hypotheses), criterion validity (relevance for PROs), and responsiveness (concept and relation to validity, and (in) appropriate measures). We expect that this paper will contribute to a better understanding of the rationale behind the items, thereby enhancing the acceptance and use of the COSMIN checklist.","author":[{"dropping-particle":"","family":"Mokkink","given":"Lidwine B","non-dropping-particle":"","parse-names":false,"suffix":""},{"dropping-particle":"","family":"Terwee","given":"Caroline B","non-dropping-particle":"","parse-names":false,"suffix":""},{"dropping-particle":"","family":"Knol","given":"Dirk L","non-dropping-particle":"","parse-names":false,"suffix":""},{"dropping-particle":"","family":"Stratford","given":"Paul W","non-dropping-particle":"","parse-names":false,"suffix":""},{"dropping-particle":"","family":"Alonso","given":"Jordi","non-dropping-particle":"","parse-names":false,"suffix":""},{"dropping-particle":"","family":"Patrick","given":"Donald L","non-dropping-particle":"","parse-names":false,"suffix":""},{"dropping-particle":"","family":"Bouter","given":"Lex M","non-dropping-particle":"","parse-names":false,"suffix":""},{"dropping-particle":"","family":"Vet","given":"Henrica CW","non-dropping-particle":"de","parse-names":false,"suffix":""}],"container-title":"BMC Medical Research Methodology","id":"ITEM-2","issue":"1","issued":{"date-parts":[["2010","12","18"]]},"page":"22","publisher":"BioMed Central","title":"The COSMIN checklist for evaluating the methodological quality of studies on measurement properties: A clarification of its content","type":"article-journal","volume":"10"},"uris":["http://www.mendeley.com/documents/?uuid=f68bab56-079f-37e1-be83-bfa60c9c3f67"]}],"mendeley":{"formattedCitation":"(Mokkink, Terwee, Knol, et al., 2010; Polit, 2015)","plainTextFormattedCitation":"(Mokkink, Terwee, Knol, et al., 2010; Polit, 2015)","previouslyFormattedCitation":"(Mokkink, Terwee, Knol, et al., 2010; Polit, 2015)"},"properties":{"noteIndex":0},"schema":"https://github.com/citation-style-language/schema/raw/master/csl-citation.json"}</w:instrText>
      </w:r>
      <w:r w:rsidR="00233A30">
        <w:fldChar w:fldCharType="separate"/>
      </w:r>
      <w:r w:rsidR="00233A30" w:rsidRPr="00233A30">
        <w:rPr>
          <w:noProof/>
        </w:rPr>
        <w:t>(Mokkink, Terwee, Knol, et al., 2010; Polit, 2015)</w:t>
      </w:r>
      <w:r w:rsidR="00233A30">
        <w:fldChar w:fldCharType="end"/>
      </w:r>
      <w:r w:rsidR="00AF6F4D" w:rsidRPr="00AF6F4D">
        <w:t>. In EFA, variables produce loads for all factors, contributing to the analysis of items and their loads concerning the construct</w:t>
      </w:r>
      <w:r w:rsidR="00233A30">
        <w:t xml:space="preserve"> </w:t>
      </w:r>
      <w:r w:rsidR="00233A30">
        <w:fldChar w:fldCharType="begin" w:fldLock="1"/>
      </w:r>
      <w:r w:rsidR="00233A30">
        <w:instrText>ADDIN CSL_CITATION {"citationItems":[{"id":"ITEM-1","itemData":{"author":[{"dropping-particle":"","family":"Damásio","given":"Bruno Figueiredo","non-dropping-particle":"","parse-names":false,"suffix":""}],"id":"ITEM-1","issue":"2","issued":{"date-parts":[["2012"]]},"number-of-pages":"213-228","title":"Uso da análise fatorial exploratória em psicologia","type":"report","volume":"11"},"uris":["http://www.mendeley.com/documents/?uuid=fcea6c34-f9dd-336c-bcd7-e9344ad60ac1"]}],"mendeley":{"formattedCitation":"(Damásio, 2012)","plainTextFormattedCitation":"(Damásio, 2012)","previouslyFormattedCitation":"(Damásio, 2012)"},"properties":{"noteIndex":0},"schema":"https://github.com/citation-style-language/schema/raw/master/csl-citation.json"}</w:instrText>
      </w:r>
      <w:r w:rsidR="00233A30">
        <w:fldChar w:fldCharType="separate"/>
      </w:r>
      <w:r w:rsidR="00233A30" w:rsidRPr="00233A30">
        <w:rPr>
          <w:noProof/>
        </w:rPr>
        <w:t>(Damásio, 2012)</w:t>
      </w:r>
      <w:r w:rsidR="00233A30">
        <w:fldChar w:fldCharType="end"/>
      </w:r>
      <w:r w:rsidR="00AF6F4D" w:rsidRPr="00AF6F4D">
        <w:t xml:space="preserve">. EFA is usually conducted when the researcher wants to confirm or refute the factorial structure of a given instrument </w:t>
      </w:r>
      <w:r w:rsidR="00233A30">
        <w:fldChar w:fldCharType="begin" w:fldLock="1"/>
      </w:r>
      <w:r w:rsidR="0030246C">
        <w:instrText>ADDIN CSL_CITATION {"citationItems":[{"id":"ITEM-1","itemData":{"ISBN":"9780470023563","abstract":"2nd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-1","issued":{"date-parts":[["2006"]]},"number-of-pages":"455","publisher":"John Wiley","publisher-place":"London","title":"Applied mixed models in medicine","type":"book"},"uris":["http://www.mendeley.com/documents/?uuid=dd501664-a02c-38a5-8333-2706c2908d06"]}],"mendeley":{"formattedCitation":"(Brown &amp; Prescott, 2006)","plainTextFormattedCitation":"(Brown &amp; Prescott, 2006)","previouslyFormattedCitation":"(Brown &amp; Prescott, 2006)"},"properties":{"noteIndex":0},"schema":"https://github.com/citation-style-language/schema/raw/master/csl-citation.json"}</w:instrText>
      </w:r>
      <w:r w:rsidR="00233A30">
        <w:fldChar w:fldCharType="separate"/>
      </w:r>
      <w:r w:rsidR="00233A30" w:rsidRPr="00233A30">
        <w:rPr>
          <w:noProof/>
        </w:rPr>
        <w:t>(Brown &amp; Prescott, 2006)</w:t>
      </w:r>
      <w:r w:rsidR="00233A30">
        <w:fldChar w:fldCharType="end"/>
      </w:r>
      <w:r w:rsidR="00AF6F4D" w:rsidRPr="00AF6F4D">
        <w:rPr>
          <w:highlight w:val="white"/>
        </w:rPr>
        <w:t xml:space="preserve">. </w:t>
      </w:r>
    </w:p>
    <w:p w14:paraId="1E998B3D" w14:textId="2A92A8D8" w:rsidR="008F0A77" w:rsidRDefault="00AF6F4D" w:rsidP="008F0A77">
      <w:pPr>
        <w:spacing w:line="360" w:lineRule="auto"/>
        <w:ind w:left="-283" w:right="-267" w:firstLine="283"/>
        <w:jc w:val="both"/>
      </w:pPr>
      <w:r w:rsidRPr="00AF6F4D">
        <w:t>The EFA in this study was evaluated by the method of principal components and Varimax orthogonal rotation. The following criteria were considered: (1) Kaiser – Meyer – Olkin measure of sample adequacy (KMO) &gt; 0.60 and Bartlett's sphericity test with p &lt; 0.05; (2) eigenvalue &gt; 1 in line with the Scree Plot plot and the explained percentage variance; (3) loading variables &gt; 0.40; (4) substantive meaning of item in each factor</w:t>
      </w:r>
      <w:r w:rsidR="00233A30">
        <w:t xml:space="preserve"> </w:t>
      </w:r>
      <w:r w:rsidR="0030246C">
        <w:fldChar w:fldCharType="begin" w:fldLock="1"/>
      </w:r>
      <w:r w:rsidR="0030246C">
        <w:instrText>ADDIN CSL_CITATION {"citationItems":[{"id":"ITEM-1","itemData":{"author":[{"dropping-particle":"","family":"Pituch KA","given":"Stevens JP.","non-dropping-particle":"","parse-names":false,"suffix":""}],"edition":"6th ed. Ro","editor":[{"dropping-particle":"","family":"Francis","given":"New York: Taylor &amp;","non-dropping-particle":"","parse-names":false,"suffix":""}],"id":"ITEM-1","issued":{"date-parts":[["2016"]]},"number-of-pages":"814","title":"Applied multivariate statistics for the social sciences: Analyses with SAS and IBM’s SPSS.","type":"book"},"uris":["http://www.mendeley.com/documents/?uuid=8ec85a88-b02b-442e-8f7e-23233bbce32b"]}],"mendeley":{"formattedCitation":"(Pituch KA, 2016)","plainTextFormattedCitation":"(Pituch KA, 2016)","previouslyFormattedCitation":"(Pituch KA, 2016)"},"properties":{"noteIndex":0},"schema":"https://github.com/citation-style-language/schema/raw/master/csl-citation.json"}</w:instrText>
      </w:r>
      <w:r w:rsidR="0030246C">
        <w:fldChar w:fldCharType="separate"/>
      </w:r>
      <w:r w:rsidR="0030246C" w:rsidRPr="0030246C">
        <w:rPr>
          <w:noProof/>
        </w:rPr>
        <w:t>(Pituch KA, 2016)</w:t>
      </w:r>
      <w:r w:rsidR="0030246C">
        <w:fldChar w:fldCharType="end"/>
      </w:r>
      <w:r w:rsidRPr="00AF6F4D">
        <w:t>. The level of significance adopted for the statistical tests was 5%.</w:t>
      </w:r>
    </w:p>
    <w:p w14:paraId="16B977DF" w14:textId="77777777" w:rsidR="008F0A77" w:rsidRDefault="008F0A77" w:rsidP="008F0A77">
      <w:pPr>
        <w:spacing w:line="360" w:lineRule="auto"/>
        <w:ind w:left="-283" w:right="-267" w:firstLine="283"/>
        <w:jc w:val="both"/>
        <w:rPr>
          <w:rFonts w:eastAsia="Calibri"/>
          <w:b/>
        </w:rPr>
      </w:pPr>
    </w:p>
    <w:p w14:paraId="6438628D" w14:textId="1D60135C" w:rsidR="008F0A77" w:rsidRDefault="008F0A77" w:rsidP="008F0A77">
      <w:pPr>
        <w:spacing w:line="360" w:lineRule="auto"/>
        <w:ind w:left="-283" w:right="-267" w:firstLine="283"/>
        <w:jc w:val="both"/>
        <w:rPr>
          <w:rFonts w:eastAsia="Calibri"/>
          <w:b/>
        </w:rPr>
      </w:pPr>
      <w:r w:rsidRPr="008F0A77">
        <w:rPr>
          <w:rFonts w:eastAsia="Calibri"/>
          <w:b/>
        </w:rPr>
        <w:t>Ethical Considerations</w:t>
      </w:r>
    </w:p>
    <w:p w14:paraId="7E248FC2" w14:textId="2174BE69" w:rsidR="00AF6F4D" w:rsidRPr="008F0A77" w:rsidRDefault="00AF6F4D" w:rsidP="008F0A77">
      <w:pPr>
        <w:spacing w:line="360" w:lineRule="auto"/>
        <w:ind w:left="-283" w:right="-267" w:firstLine="283"/>
        <w:jc w:val="both"/>
      </w:pPr>
      <w:r>
        <w:t xml:space="preserve">This research is part of a larger project titled: </w:t>
      </w:r>
      <w:r>
        <w:rPr>
          <w:i/>
        </w:rPr>
        <w:t>Recovery:</w:t>
      </w:r>
      <w:r>
        <w:t xml:space="preserve"> </w:t>
      </w:r>
      <w:r>
        <w:rPr>
          <w:i/>
        </w:rPr>
        <w:t>Instrumentos para sua aferição na realidade brasileira</w:t>
      </w:r>
      <w:r>
        <w:t xml:space="preserve"> [Recovery: Instruments for measuring it within the Brazilian reality], approved by the Research Ethics Committee (CEP) with opinion no. 60826616.6.0000.5404, in March 2017, with an Informed Consent Form. Permission was obtained from the head of the fifteen community mental health centers included in the research. All participants signed an informed consent to participate in the study.</w:t>
      </w:r>
    </w:p>
    <w:p w14:paraId="2D160599" w14:textId="0F8FDEB9" w:rsidR="008F0A77" w:rsidRDefault="005B5614" w:rsidP="008F0A77">
      <w:pPr>
        <w:pStyle w:val="Ttulosinternos"/>
        <w:rPr>
          <w:lang w:val="es-ES_tradnl"/>
        </w:rPr>
      </w:pPr>
      <w:r w:rsidRPr="005B24FF">
        <w:rPr>
          <w:lang w:val="es-ES_tradnl"/>
        </w:rPr>
        <w:lastRenderedPageBreak/>
        <w:t>Result</w:t>
      </w:r>
      <w:r w:rsidR="005B24FF" w:rsidRPr="005B24FF">
        <w:rPr>
          <w:lang w:val="es-ES_tradnl"/>
        </w:rPr>
        <w:t>s</w:t>
      </w:r>
    </w:p>
    <w:p w14:paraId="2545EB16" w14:textId="77777777" w:rsidR="008F0A77" w:rsidRDefault="008F0A77" w:rsidP="008F0A77">
      <w:pPr>
        <w:spacing w:line="360" w:lineRule="auto"/>
        <w:ind w:left="-283" w:right="-267" w:firstLine="283"/>
        <w:jc w:val="both"/>
        <w:rPr>
          <w:b/>
        </w:rPr>
      </w:pPr>
      <w:r>
        <w:rPr>
          <w:b/>
        </w:rPr>
        <w:t>Sociodemographic profile</w:t>
      </w:r>
    </w:p>
    <w:p w14:paraId="06587819" w14:textId="77777777" w:rsidR="008F0A77" w:rsidRDefault="008F0A77" w:rsidP="008F0A77">
      <w:pPr>
        <w:spacing w:line="360" w:lineRule="auto"/>
        <w:ind w:left="-283" w:right="-267" w:firstLine="283"/>
        <w:jc w:val="both"/>
      </w:pPr>
      <w:r>
        <w:t xml:space="preserve">Table 1 shows the descriptive data of the samples of users and family members. 207 service users participated, mostly of CAPS e CAPS AD (72.4%); 6 years of treatment or over (54.6%); men (56.2%); The mean age was 47.56 year (±13.85) ranging from 20 to 101 years; white color/ethnicity (42.5%); single (79.7%); receiving some kind of benefit (62.8%) with family income between 2 and 3 minimum wage (40.6) and diagnosis of schizophrenia (29.0%) e mood disorders (30.0%). </w:t>
      </w:r>
    </w:p>
    <w:p w14:paraId="0B04070A" w14:textId="77777777" w:rsidR="008F0A77" w:rsidRDefault="008F0A77" w:rsidP="008F0A77">
      <w:pPr>
        <w:spacing w:line="360" w:lineRule="auto"/>
        <w:ind w:left="-283" w:right="-267" w:firstLine="283"/>
        <w:jc w:val="both"/>
      </w:pPr>
      <w:r>
        <w:t xml:space="preserve">Concerning the participating family members, the most were women (82.0%) with a mean age was 54.94 years (± 13.14) ranging from 21 to 84 years, married (54.9%), white (53.9%), with family income between less than 1 minimum wage and 2 minimum wages (64.9%). Regarding the degree of kinship, fathers/mothers were identified as the main caregivers of patients (53.4%). Of the total interviews, 123 (59.7%) were conducted at CAPS, 49 (23.8%) at CAPS AD, and 33 (16.5%) at other services. </w:t>
      </w:r>
    </w:p>
    <w:p w14:paraId="3D0F2B04" w14:textId="77777777" w:rsidR="008F0A77" w:rsidRDefault="008F0A77" w:rsidP="008F0A77">
      <w:pPr>
        <w:keepNext/>
        <w:pBdr>
          <w:top w:val="nil"/>
          <w:left w:val="nil"/>
          <w:bottom w:val="nil"/>
          <w:right w:val="nil"/>
          <w:between w:val="nil"/>
        </w:pBdr>
        <w:ind w:left="284"/>
        <w:rPr>
          <w:b/>
        </w:rPr>
      </w:pPr>
    </w:p>
    <w:p w14:paraId="66CEE30C" w14:textId="77777777" w:rsidR="008F0A77" w:rsidRPr="00BD0824" w:rsidRDefault="008F0A77" w:rsidP="008F0A77">
      <w:pPr>
        <w:keepNext/>
        <w:pBdr>
          <w:top w:val="nil"/>
          <w:left w:val="nil"/>
          <w:bottom w:val="nil"/>
          <w:right w:val="nil"/>
          <w:between w:val="nil"/>
        </w:pBdr>
        <w:ind w:left="284"/>
      </w:pPr>
      <w:r w:rsidRPr="00AF6DCE">
        <w:rPr>
          <w:b/>
        </w:rPr>
        <w:t>Table 1:</w:t>
      </w:r>
      <w:r w:rsidRPr="00BD0824">
        <w:t xml:space="preserve"> Sociodemographic Characteristics of the Participants in the Test of the RSA-R Person in Recovery and Family Members. Brazil 2018.</w:t>
      </w:r>
    </w:p>
    <w:tbl>
      <w:tblPr>
        <w:tblW w:w="8426" w:type="dxa"/>
        <w:jc w:val="center"/>
        <w:tblLayout w:type="fixed"/>
        <w:tblLook w:val="0400" w:firstRow="0" w:lastRow="0" w:firstColumn="0" w:lastColumn="0" w:noHBand="0" w:noVBand="1"/>
      </w:tblPr>
      <w:tblGrid>
        <w:gridCol w:w="3975"/>
        <w:gridCol w:w="2067"/>
        <w:gridCol w:w="2384"/>
      </w:tblGrid>
      <w:tr w:rsidR="008F0A77" w14:paraId="01577A09" w14:textId="77777777" w:rsidTr="00EF6B7D">
        <w:trPr>
          <w:jc w:val="center"/>
        </w:trPr>
        <w:tc>
          <w:tcPr>
            <w:tcW w:w="3544" w:type="dxa"/>
            <w:tcBorders>
              <w:top w:val="single" w:sz="4" w:space="0" w:color="000000"/>
              <w:left w:val="nil"/>
              <w:bottom w:val="single" w:sz="4" w:space="0" w:color="000000"/>
              <w:right w:val="nil"/>
            </w:tcBorders>
            <w:shd w:val="clear" w:color="auto" w:fill="auto"/>
            <w:vAlign w:val="center"/>
          </w:tcPr>
          <w:p w14:paraId="29E93DA5" w14:textId="77777777" w:rsidR="008F0A77" w:rsidRDefault="008F0A77" w:rsidP="00EF6B7D">
            <w:pPr>
              <w:jc w:val="center"/>
              <w:rPr>
                <w:b/>
                <w:sz w:val="18"/>
                <w:szCs w:val="18"/>
              </w:rPr>
            </w:pPr>
            <w:r>
              <w:rPr>
                <w:b/>
                <w:sz w:val="18"/>
                <w:szCs w:val="18"/>
              </w:rPr>
              <w:t>Variables</w:t>
            </w:r>
          </w:p>
        </w:tc>
        <w:tc>
          <w:tcPr>
            <w:tcW w:w="1843" w:type="dxa"/>
            <w:tcBorders>
              <w:top w:val="single" w:sz="4" w:space="0" w:color="000000"/>
              <w:left w:val="nil"/>
              <w:bottom w:val="single" w:sz="4" w:space="0" w:color="000000"/>
              <w:right w:val="nil"/>
            </w:tcBorders>
            <w:shd w:val="clear" w:color="auto" w:fill="auto"/>
            <w:vAlign w:val="center"/>
          </w:tcPr>
          <w:p w14:paraId="73EEA733" w14:textId="77777777" w:rsidR="008F0A77" w:rsidRDefault="008F0A77" w:rsidP="00EF6B7D">
            <w:pPr>
              <w:jc w:val="center"/>
              <w:rPr>
                <w:b/>
                <w:sz w:val="18"/>
                <w:szCs w:val="18"/>
              </w:rPr>
            </w:pPr>
            <w:r>
              <w:rPr>
                <w:b/>
                <w:sz w:val="18"/>
                <w:szCs w:val="18"/>
              </w:rPr>
              <w:t>Users</w:t>
            </w:r>
          </w:p>
          <w:p w14:paraId="25913B93" w14:textId="77777777" w:rsidR="008F0A77" w:rsidRDefault="008F0A77" w:rsidP="00EF6B7D">
            <w:pPr>
              <w:jc w:val="center"/>
              <w:rPr>
                <w:b/>
                <w:sz w:val="18"/>
                <w:szCs w:val="18"/>
              </w:rPr>
            </w:pPr>
            <w:r>
              <w:rPr>
                <w:b/>
                <w:sz w:val="18"/>
                <w:szCs w:val="18"/>
              </w:rPr>
              <w:t>(n=207)</w:t>
            </w:r>
          </w:p>
          <w:p w14:paraId="4FA74D8B" w14:textId="77777777" w:rsidR="008F0A77" w:rsidRDefault="008F0A77" w:rsidP="00EF6B7D">
            <w:pPr>
              <w:jc w:val="center"/>
              <w:rPr>
                <w:b/>
                <w:sz w:val="18"/>
                <w:szCs w:val="18"/>
              </w:rPr>
            </w:pPr>
            <w:r>
              <w:rPr>
                <w:b/>
                <w:sz w:val="18"/>
                <w:szCs w:val="18"/>
              </w:rPr>
              <w:t>n (%)</w:t>
            </w:r>
          </w:p>
        </w:tc>
        <w:tc>
          <w:tcPr>
            <w:tcW w:w="2126" w:type="dxa"/>
            <w:tcBorders>
              <w:top w:val="single" w:sz="4" w:space="0" w:color="000000"/>
              <w:left w:val="nil"/>
              <w:bottom w:val="single" w:sz="4" w:space="0" w:color="000000"/>
              <w:right w:val="nil"/>
            </w:tcBorders>
            <w:shd w:val="clear" w:color="auto" w:fill="auto"/>
            <w:vAlign w:val="center"/>
          </w:tcPr>
          <w:p w14:paraId="6056B0D9" w14:textId="77777777" w:rsidR="008F0A77" w:rsidRDefault="008F0A77" w:rsidP="00EF6B7D">
            <w:pPr>
              <w:jc w:val="center"/>
              <w:rPr>
                <w:b/>
                <w:sz w:val="18"/>
                <w:szCs w:val="18"/>
              </w:rPr>
            </w:pPr>
            <w:r>
              <w:rPr>
                <w:b/>
                <w:sz w:val="18"/>
                <w:szCs w:val="18"/>
              </w:rPr>
              <w:t>Family members</w:t>
            </w:r>
          </w:p>
          <w:p w14:paraId="78CB6F7D" w14:textId="77777777" w:rsidR="008F0A77" w:rsidRDefault="008F0A77" w:rsidP="00EF6B7D">
            <w:pPr>
              <w:jc w:val="center"/>
              <w:rPr>
                <w:b/>
                <w:sz w:val="18"/>
                <w:szCs w:val="18"/>
              </w:rPr>
            </w:pPr>
            <w:r>
              <w:rPr>
                <w:b/>
                <w:sz w:val="18"/>
                <w:szCs w:val="18"/>
              </w:rPr>
              <w:t>(n=206)</w:t>
            </w:r>
          </w:p>
          <w:p w14:paraId="2F80F583" w14:textId="77777777" w:rsidR="008F0A77" w:rsidRDefault="008F0A77" w:rsidP="00EF6B7D">
            <w:pPr>
              <w:jc w:val="center"/>
              <w:rPr>
                <w:b/>
                <w:sz w:val="18"/>
                <w:szCs w:val="18"/>
              </w:rPr>
            </w:pPr>
            <w:r>
              <w:rPr>
                <w:b/>
                <w:sz w:val="18"/>
                <w:szCs w:val="18"/>
              </w:rPr>
              <w:t>n (%)</w:t>
            </w:r>
          </w:p>
        </w:tc>
      </w:tr>
      <w:tr w:rsidR="008F0A77" w14:paraId="2E2F76D8" w14:textId="77777777" w:rsidTr="00EF6B7D">
        <w:trPr>
          <w:jc w:val="center"/>
        </w:trPr>
        <w:tc>
          <w:tcPr>
            <w:tcW w:w="3544" w:type="dxa"/>
            <w:tcBorders>
              <w:top w:val="single" w:sz="4" w:space="0" w:color="000000"/>
            </w:tcBorders>
            <w:shd w:val="clear" w:color="auto" w:fill="auto"/>
          </w:tcPr>
          <w:p w14:paraId="13F15DC6" w14:textId="77777777" w:rsidR="008F0A77" w:rsidRDefault="008F0A77" w:rsidP="00EF6B7D">
            <w:pPr>
              <w:tabs>
                <w:tab w:val="left" w:pos="34"/>
                <w:tab w:val="left" w:pos="176"/>
              </w:tabs>
              <w:rPr>
                <w:b/>
                <w:sz w:val="18"/>
                <w:szCs w:val="18"/>
              </w:rPr>
            </w:pPr>
            <w:r>
              <w:rPr>
                <w:b/>
                <w:sz w:val="18"/>
                <w:szCs w:val="18"/>
              </w:rPr>
              <w:t xml:space="preserve">Age* </w:t>
            </w:r>
          </w:p>
        </w:tc>
        <w:tc>
          <w:tcPr>
            <w:tcW w:w="1843" w:type="dxa"/>
            <w:tcBorders>
              <w:top w:val="single" w:sz="4" w:space="0" w:color="000000"/>
            </w:tcBorders>
            <w:shd w:val="clear" w:color="auto" w:fill="auto"/>
          </w:tcPr>
          <w:p w14:paraId="2DA738BE" w14:textId="77777777" w:rsidR="008F0A77" w:rsidRDefault="008F0A77" w:rsidP="00EF6B7D">
            <w:pPr>
              <w:pBdr>
                <w:top w:val="nil"/>
                <w:left w:val="nil"/>
                <w:bottom w:val="nil"/>
                <w:right w:val="nil"/>
                <w:between w:val="nil"/>
              </w:pBdr>
              <w:jc w:val="center"/>
              <w:rPr>
                <w:color w:val="000000"/>
                <w:sz w:val="18"/>
                <w:szCs w:val="18"/>
              </w:rPr>
            </w:pPr>
          </w:p>
        </w:tc>
        <w:tc>
          <w:tcPr>
            <w:tcW w:w="2126" w:type="dxa"/>
            <w:tcBorders>
              <w:top w:val="single" w:sz="4" w:space="0" w:color="000000"/>
            </w:tcBorders>
            <w:shd w:val="clear" w:color="auto" w:fill="auto"/>
            <w:vAlign w:val="bottom"/>
          </w:tcPr>
          <w:p w14:paraId="03389EC4" w14:textId="77777777" w:rsidR="008F0A77" w:rsidRDefault="008F0A77" w:rsidP="00EF6B7D">
            <w:pPr>
              <w:pBdr>
                <w:top w:val="nil"/>
                <w:left w:val="nil"/>
                <w:bottom w:val="nil"/>
                <w:right w:val="nil"/>
                <w:between w:val="nil"/>
              </w:pBdr>
              <w:jc w:val="center"/>
              <w:rPr>
                <w:color w:val="000000"/>
                <w:sz w:val="18"/>
                <w:szCs w:val="18"/>
              </w:rPr>
            </w:pPr>
          </w:p>
        </w:tc>
      </w:tr>
      <w:tr w:rsidR="008F0A77" w14:paraId="4771A695" w14:textId="77777777" w:rsidTr="00EF6B7D">
        <w:trPr>
          <w:jc w:val="center"/>
        </w:trPr>
        <w:tc>
          <w:tcPr>
            <w:tcW w:w="3544" w:type="dxa"/>
            <w:shd w:val="clear" w:color="auto" w:fill="auto"/>
          </w:tcPr>
          <w:p w14:paraId="6DEF100D" w14:textId="77777777" w:rsidR="008F0A77" w:rsidRDefault="008F0A77" w:rsidP="00EF6B7D">
            <w:pPr>
              <w:tabs>
                <w:tab w:val="left" w:pos="176"/>
              </w:tabs>
              <w:rPr>
                <w:b/>
                <w:sz w:val="18"/>
                <w:szCs w:val="18"/>
              </w:rPr>
            </w:pPr>
            <w:r>
              <w:rPr>
                <w:sz w:val="18"/>
                <w:szCs w:val="18"/>
              </w:rPr>
              <w:t xml:space="preserve">   Mean ± SD</w:t>
            </w:r>
          </w:p>
        </w:tc>
        <w:tc>
          <w:tcPr>
            <w:tcW w:w="1843" w:type="dxa"/>
            <w:shd w:val="clear" w:color="auto" w:fill="auto"/>
          </w:tcPr>
          <w:p w14:paraId="0747B82D"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47.56 (±13.85)</w:t>
            </w:r>
          </w:p>
        </w:tc>
        <w:tc>
          <w:tcPr>
            <w:tcW w:w="2126" w:type="dxa"/>
            <w:shd w:val="clear" w:color="auto" w:fill="auto"/>
          </w:tcPr>
          <w:p w14:paraId="6571525D"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54.94 (±13.11)</w:t>
            </w:r>
          </w:p>
        </w:tc>
      </w:tr>
      <w:tr w:rsidR="008F0A77" w14:paraId="776DCC6B" w14:textId="77777777" w:rsidTr="00EF6B7D">
        <w:trPr>
          <w:jc w:val="center"/>
        </w:trPr>
        <w:tc>
          <w:tcPr>
            <w:tcW w:w="3544" w:type="dxa"/>
            <w:shd w:val="clear" w:color="auto" w:fill="auto"/>
          </w:tcPr>
          <w:p w14:paraId="6E107213" w14:textId="77777777" w:rsidR="008F0A77" w:rsidRDefault="008F0A77" w:rsidP="00EF6B7D">
            <w:pPr>
              <w:tabs>
                <w:tab w:val="left" w:pos="176"/>
                <w:tab w:val="left" w:pos="459"/>
              </w:tabs>
              <w:ind w:left="176" w:hanging="176"/>
              <w:rPr>
                <w:b/>
                <w:sz w:val="18"/>
                <w:szCs w:val="18"/>
              </w:rPr>
            </w:pPr>
            <w:r>
              <w:rPr>
                <w:sz w:val="18"/>
                <w:szCs w:val="18"/>
              </w:rPr>
              <w:t xml:space="preserve">   Median (25</w:t>
            </w:r>
            <w:r>
              <w:rPr>
                <w:sz w:val="18"/>
                <w:szCs w:val="18"/>
                <w:vertAlign w:val="superscript"/>
              </w:rPr>
              <w:t>th</w:t>
            </w:r>
            <w:r>
              <w:rPr>
                <w:sz w:val="18"/>
                <w:szCs w:val="18"/>
              </w:rPr>
              <w:t xml:space="preserve"> and 75</w:t>
            </w:r>
            <w:r>
              <w:rPr>
                <w:sz w:val="18"/>
                <w:szCs w:val="18"/>
                <w:vertAlign w:val="superscript"/>
              </w:rPr>
              <w:t>th</w:t>
            </w:r>
            <w:r>
              <w:rPr>
                <w:sz w:val="18"/>
                <w:szCs w:val="18"/>
              </w:rPr>
              <w:t xml:space="preserve">   percentiles)</w:t>
            </w:r>
          </w:p>
        </w:tc>
        <w:tc>
          <w:tcPr>
            <w:tcW w:w="1843" w:type="dxa"/>
            <w:shd w:val="clear" w:color="auto" w:fill="auto"/>
          </w:tcPr>
          <w:p w14:paraId="07F53BD7"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49.00 (38–57.0)</w:t>
            </w:r>
          </w:p>
        </w:tc>
        <w:tc>
          <w:tcPr>
            <w:tcW w:w="2126" w:type="dxa"/>
            <w:shd w:val="clear" w:color="auto" w:fill="auto"/>
          </w:tcPr>
          <w:p w14:paraId="6605612C"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56.50 (47–65.3)</w:t>
            </w:r>
          </w:p>
        </w:tc>
      </w:tr>
      <w:tr w:rsidR="008F0A77" w14:paraId="7689A69A" w14:textId="77777777" w:rsidTr="00EF6B7D">
        <w:trPr>
          <w:jc w:val="center"/>
        </w:trPr>
        <w:tc>
          <w:tcPr>
            <w:tcW w:w="3544" w:type="dxa"/>
            <w:shd w:val="clear" w:color="auto" w:fill="auto"/>
          </w:tcPr>
          <w:p w14:paraId="4A48133D" w14:textId="77777777" w:rsidR="008F0A77" w:rsidRDefault="008F0A77" w:rsidP="00EF6B7D">
            <w:pPr>
              <w:tabs>
                <w:tab w:val="left" w:pos="34"/>
                <w:tab w:val="left" w:pos="176"/>
              </w:tabs>
              <w:rPr>
                <w:sz w:val="18"/>
                <w:szCs w:val="18"/>
              </w:rPr>
            </w:pPr>
            <w:r>
              <w:rPr>
                <w:sz w:val="18"/>
                <w:szCs w:val="18"/>
              </w:rPr>
              <w:t xml:space="preserve">   Minimum</w:t>
            </w:r>
          </w:p>
        </w:tc>
        <w:tc>
          <w:tcPr>
            <w:tcW w:w="1843" w:type="dxa"/>
            <w:shd w:val="clear" w:color="auto" w:fill="auto"/>
          </w:tcPr>
          <w:p w14:paraId="4A16FA6E"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20</w:t>
            </w:r>
          </w:p>
        </w:tc>
        <w:tc>
          <w:tcPr>
            <w:tcW w:w="2126" w:type="dxa"/>
            <w:shd w:val="clear" w:color="auto" w:fill="auto"/>
          </w:tcPr>
          <w:p w14:paraId="6E921DAF"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21</w:t>
            </w:r>
          </w:p>
        </w:tc>
      </w:tr>
      <w:tr w:rsidR="008F0A77" w14:paraId="6DE0CB83" w14:textId="77777777" w:rsidTr="00EF6B7D">
        <w:trPr>
          <w:jc w:val="center"/>
        </w:trPr>
        <w:tc>
          <w:tcPr>
            <w:tcW w:w="3544" w:type="dxa"/>
            <w:tcBorders>
              <w:bottom w:val="single" w:sz="4" w:space="0" w:color="000000"/>
            </w:tcBorders>
            <w:shd w:val="clear" w:color="auto" w:fill="auto"/>
          </w:tcPr>
          <w:p w14:paraId="19C94EAB" w14:textId="77777777" w:rsidR="008F0A77" w:rsidRDefault="008F0A77" w:rsidP="00EF6B7D">
            <w:pPr>
              <w:tabs>
                <w:tab w:val="left" w:pos="34"/>
                <w:tab w:val="left" w:pos="176"/>
              </w:tabs>
              <w:rPr>
                <w:sz w:val="18"/>
                <w:szCs w:val="18"/>
              </w:rPr>
            </w:pPr>
            <w:r>
              <w:rPr>
                <w:sz w:val="18"/>
                <w:szCs w:val="18"/>
              </w:rPr>
              <w:t xml:space="preserve">   Maximum</w:t>
            </w:r>
          </w:p>
        </w:tc>
        <w:tc>
          <w:tcPr>
            <w:tcW w:w="1843" w:type="dxa"/>
            <w:tcBorders>
              <w:bottom w:val="single" w:sz="4" w:space="0" w:color="000000"/>
            </w:tcBorders>
            <w:shd w:val="clear" w:color="auto" w:fill="auto"/>
          </w:tcPr>
          <w:p w14:paraId="5ADBBF2D"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101</w:t>
            </w:r>
          </w:p>
        </w:tc>
        <w:tc>
          <w:tcPr>
            <w:tcW w:w="2126" w:type="dxa"/>
            <w:tcBorders>
              <w:bottom w:val="single" w:sz="4" w:space="0" w:color="000000"/>
            </w:tcBorders>
            <w:shd w:val="clear" w:color="auto" w:fill="auto"/>
          </w:tcPr>
          <w:p w14:paraId="3B41FF02" w14:textId="77777777" w:rsidR="008F0A77" w:rsidRDefault="008F0A77" w:rsidP="00EF6B7D">
            <w:pPr>
              <w:pBdr>
                <w:top w:val="nil"/>
                <w:left w:val="nil"/>
                <w:bottom w:val="nil"/>
                <w:right w:val="nil"/>
                <w:between w:val="nil"/>
              </w:pBdr>
              <w:jc w:val="center"/>
              <w:rPr>
                <w:color w:val="000000"/>
                <w:sz w:val="18"/>
                <w:szCs w:val="18"/>
              </w:rPr>
            </w:pPr>
            <w:r>
              <w:rPr>
                <w:color w:val="000000"/>
                <w:sz w:val="18"/>
                <w:szCs w:val="18"/>
              </w:rPr>
              <w:t>84</w:t>
            </w:r>
          </w:p>
        </w:tc>
      </w:tr>
      <w:tr w:rsidR="008F0A77" w14:paraId="52C61569" w14:textId="77777777" w:rsidTr="00EF6B7D">
        <w:trPr>
          <w:jc w:val="center"/>
        </w:trPr>
        <w:tc>
          <w:tcPr>
            <w:tcW w:w="3544" w:type="dxa"/>
            <w:tcBorders>
              <w:top w:val="single" w:sz="4" w:space="0" w:color="000000"/>
              <w:left w:val="nil"/>
              <w:bottom w:val="single" w:sz="4" w:space="0" w:color="000000"/>
              <w:right w:val="nil"/>
            </w:tcBorders>
          </w:tcPr>
          <w:p w14:paraId="63EC4DFC" w14:textId="77777777" w:rsidR="008F0A77" w:rsidRDefault="008F0A77" w:rsidP="00EF6B7D">
            <w:pPr>
              <w:tabs>
                <w:tab w:val="left" w:pos="34"/>
                <w:tab w:val="left" w:pos="176"/>
              </w:tabs>
              <w:rPr>
                <w:b/>
                <w:sz w:val="18"/>
                <w:szCs w:val="18"/>
              </w:rPr>
            </w:pPr>
            <w:r>
              <w:rPr>
                <w:b/>
                <w:sz w:val="18"/>
                <w:szCs w:val="18"/>
              </w:rPr>
              <w:t>Sex</w:t>
            </w:r>
          </w:p>
          <w:p w14:paraId="7B789DE0" w14:textId="77777777" w:rsidR="008F0A77" w:rsidRDefault="008F0A77" w:rsidP="00EF6B7D">
            <w:pPr>
              <w:tabs>
                <w:tab w:val="left" w:pos="34"/>
                <w:tab w:val="left" w:pos="176"/>
              </w:tabs>
              <w:ind w:left="176"/>
              <w:rPr>
                <w:sz w:val="18"/>
                <w:szCs w:val="18"/>
              </w:rPr>
            </w:pPr>
            <w:r>
              <w:rPr>
                <w:sz w:val="18"/>
                <w:szCs w:val="18"/>
              </w:rPr>
              <w:t>Women</w:t>
            </w:r>
          </w:p>
          <w:p w14:paraId="5D4D98B4" w14:textId="77777777" w:rsidR="008F0A77" w:rsidRDefault="008F0A77" w:rsidP="00EF6B7D">
            <w:pPr>
              <w:tabs>
                <w:tab w:val="left" w:pos="34"/>
                <w:tab w:val="left" w:pos="176"/>
              </w:tabs>
              <w:ind w:left="176"/>
              <w:rPr>
                <w:sz w:val="18"/>
                <w:szCs w:val="18"/>
              </w:rPr>
            </w:pPr>
            <w:r>
              <w:rPr>
                <w:sz w:val="18"/>
                <w:szCs w:val="18"/>
              </w:rPr>
              <w:t>Men</w:t>
            </w:r>
          </w:p>
          <w:p w14:paraId="04E814D3" w14:textId="77777777" w:rsidR="008F0A77" w:rsidRDefault="008F0A77" w:rsidP="00EF6B7D">
            <w:pPr>
              <w:tabs>
                <w:tab w:val="left" w:pos="34"/>
                <w:tab w:val="left" w:pos="176"/>
              </w:tabs>
              <w:ind w:left="176"/>
              <w:rPr>
                <w:sz w:val="18"/>
                <w:szCs w:val="18"/>
              </w:rPr>
            </w:pPr>
            <w:r>
              <w:rPr>
                <w:sz w:val="18"/>
                <w:szCs w:val="18"/>
              </w:rPr>
              <w:t>missing</w:t>
            </w:r>
          </w:p>
        </w:tc>
        <w:tc>
          <w:tcPr>
            <w:tcW w:w="1843" w:type="dxa"/>
            <w:tcBorders>
              <w:top w:val="single" w:sz="4" w:space="0" w:color="000000"/>
              <w:left w:val="nil"/>
              <w:bottom w:val="single" w:sz="4" w:space="0" w:color="000000"/>
              <w:right w:val="nil"/>
            </w:tcBorders>
          </w:tcPr>
          <w:p w14:paraId="5673978D" w14:textId="77777777" w:rsidR="008F0A77" w:rsidRDefault="008F0A77" w:rsidP="00EF6B7D">
            <w:pPr>
              <w:tabs>
                <w:tab w:val="left" w:pos="318"/>
              </w:tabs>
              <w:jc w:val="center"/>
              <w:rPr>
                <w:color w:val="FF0000"/>
                <w:sz w:val="18"/>
                <w:szCs w:val="18"/>
              </w:rPr>
            </w:pPr>
          </w:p>
          <w:p w14:paraId="2B89DF34" w14:textId="77777777" w:rsidR="008F0A77" w:rsidRDefault="008F0A77" w:rsidP="00EF6B7D">
            <w:pPr>
              <w:tabs>
                <w:tab w:val="left" w:pos="318"/>
              </w:tabs>
              <w:jc w:val="center"/>
              <w:rPr>
                <w:sz w:val="18"/>
                <w:szCs w:val="18"/>
              </w:rPr>
            </w:pPr>
            <w:r>
              <w:rPr>
                <w:sz w:val="18"/>
                <w:szCs w:val="18"/>
              </w:rPr>
              <w:t>88 (42.7)</w:t>
            </w:r>
          </w:p>
          <w:p w14:paraId="6344A5B4" w14:textId="77777777" w:rsidR="008F0A77" w:rsidRDefault="008F0A77" w:rsidP="00EF6B7D">
            <w:pPr>
              <w:tabs>
                <w:tab w:val="left" w:pos="318"/>
              </w:tabs>
              <w:jc w:val="center"/>
              <w:rPr>
                <w:sz w:val="18"/>
                <w:szCs w:val="18"/>
              </w:rPr>
            </w:pPr>
            <w:r>
              <w:rPr>
                <w:sz w:val="18"/>
                <w:szCs w:val="18"/>
              </w:rPr>
              <w:t>118 (56.2)</w:t>
            </w:r>
          </w:p>
          <w:p w14:paraId="5B95E619" w14:textId="77777777" w:rsidR="008F0A77" w:rsidRDefault="008F0A77" w:rsidP="00EF6B7D">
            <w:pPr>
              <w:tabs>
                <w:tab w:val="left" w:pos="318"/>
              </w:tabs>
              <w:jc w:val="center"/>
              <w:rPr>
                <w:color w:val="FF0000"/>
                <w:sz w:val="18"/>
                <w:szCs w:val="18"/>
              </w:rPr>
            </w:pPr>
            <w:r>
              <w:rPr>
                <w:sz w:val="18"/>
                <w:szCs w:val="18"/>
              </w:rPr>
              <w:t>1 (0,5)</w:t>
            </w:r>
          </w:p>
        </w:tc>
        <w:tc>
          <w:tcPr>
            <w:tcW w:w="2126" w:type="dxa"/>
            <w:tcBorders>
              <w:top w:val="single" w:sz="4" w:space="0" w:color="000000"/>
              <w:left w:val="nil"/>
              <w:bottom w:val="single" w:sz="4" w:space="0" w:color="000000"/>
              <w:right w:val="nil"/>
            </w:tcBorders>
          </w:tcPr>
          <w:p w14:paraId="20A922A7" w14:textId="77777777" w:rsidR="008F0A77" w:rsidRDefault="008F0A77" w:rsidP="00EF6B7D">
            <w:pPr>
              <w:tabs>
                <w:tab w:val="left" w:pos="318"/>
              </w:tabs>
              <w:jc w:val="center"/>
              <w:rPr>
                <w:sz w:val="18"/>
                <w:szCs w:val="18"/>
              </w:rPr>
            </w:pPr>
          </w:p>
          <w:p w14:paraId="13A324C8" w14:textId="77777777" w:rsidR="008F0A77" w:rsidRDefault="008F0A77" w:rsidP="00EF6B7D">
            <w:pPr>
              <w:tabs>
                <w:tab w:val="left" w:pos="318"/>
              </w:tabs>
              <w:jc w:val="center"/>
              <w:rPr>
                <w:sz w:val="18"/>
                <w:szCs w:val="18"/>
              </w:rPr>
            </w:pPr>
            <w:r>
              <w:rPr>
                <w:sz w:val="18"/>
                <w:szCs w:val="18"/>
              </w:rPr>
              <w:t>169 (82.0)</w:t>
            </w:r>
          </w:p>
          <w:p w14:paraId="74C6C466" w14:textId="77777777" w:rsidR="008F0A77" w:rsidRDefault="008F0A77" w:rsidP="00EF6B7D">
            <w:pPr>
              <w:tabs>
                <w:tab w:val="left" w:pos="318"/>
              </w:tabs>
              <w:jc w:val="center"/>
              <w:rPr>
                <w:sz w:val="18"/>
                <w:szCs w:val="18"/>
              </w:rPr>
            </w:pPr>
            <w:r>
              <w:rPr>
                <w:sz w:val="18"/>
                <w:szCs w:val="18"/>
              </w:rPr>
              <w:t>37 (18.0)</w:t>
            </w:r>
          </w:p>
          <w:p w14:paraId="086982A8" w14:textId="77777777" w:rsidR="008F0A77" w:rsidRDefault="008F0A77" w:rsidP="00EF6B7D">
            <w:pPr>
              <w:tabs>
                <w:tab w:val="left" w:pos="318"/>
              </w:tabs>
              <w:jc w:val="center"/>
              <w:rPr>
                <w:sz w:val="18"/>
                <w:szCs w:val="18"/>
              </w:rPr>
            </w:pPr>
            <w:r>
              <w:rPr>
                <w:sz w:val="18"/>
                <w:szCs w:val="18"/>
              </w:rPr>
              <w:t xml:space="preserve">0 </w:t>
            </w:r>
          </w:p>
        </w:tc>
      </w:tr>
      <w:tr w:rsidR="008F0A77" w14:paraId="6164A124" w14:textId="77777777" w:rsidTr="00EF6B7D">
        <w:trPr>
          <w:jc w:val="center"/>
        </w:trPr>
        <w:tc>
          <w:tcPr>
            <w:tcW w:w="3544" w:type="dxa"/>
            <w:tcBorders>
              <w:top w:val="single" w:sz="4" w:space="0" w:color="000000"/>
              <w:left w:val="nil"/>
              <w:bottom w:val="single" w:sz="4" w:space="0" w:color="000000"/>
              <w:right w:val="nil"/>
            </w:tcBorders>
          </w:tcPr>
          <w:p w14:paraId="143047B2" w14:textId="77777777" w:rsidR="008F0A77" w:rsidRDefault="008F0A77" w:rsidP="00EF6B7D">
            <w:pPr>
              <w:tabs>
                <w:tab w:val="left" w:pos="34"/>
              </w:tabs>
              <w:ind w:left="318" w:hanging="284"/>
              <w:rPr>
                <w:b/>
                <w:sz w:val="18"/>
                <w:szCs w:val="18"/>
              </w:rPr>
            </w:pPr>
            <w:r>
              <w:rPr>
                <w:b/>
                <w:sz w:val="18"/>
                <w:szCs w:val="18"/>
              </w:rPr>
              <w:t>Marital status</w:t>
            </w:r>
          </w:p>
          <w:p w14:paraId="1B3B3662" w14:textId="77777777" w:rsidR="008F0A77" w:rsidRDefault="008F0A77" w:rsidP="00EF6B7D">
            <w:pPr>
              <w:tabs>
                <w:tab w:val="left" w:pos="34"/>
                <w:tab w:val="left" w:pos="176"/>
              </w:tabs>
              <w:ind w:left="176"/>
              <w:rPr>
                <w:sz w:val="18"/>
                <w:szCs w:val="18"/>
              </w:rPr>
            </w:pPr>
            <w:r>
              <w:rPr>
                <w:sz w:val="18"/>
                <w:szCs w:val="18"/>
              </w:rPr>
              <w:t>Have a partner</w:t>
            </w:r>
          </w:p>
          <w:p w14:paraId="49A2025A" w14:textId="77777777" w:rsidR="008F0A77" w:rsidRDefault="008F0A77" w:rsidP="00EF6B7D">
            <w:pPr>
              <w:tabs>
                <w:tab w:val="left" w:pos="34"/>
                <w:tab w:val="left" w:pos="176"/>
              </w:tabs>
              <w:ind w:left="176"/>
              <w:rPr>
                <w:sz w:val="18"/>
                <w:szCs w:val="18"/>
              </w:rPr>
            </w:pPr>
            <w:r>
              <w:rPr>
                <w:sz w:val="18"/>
                <w:szCs w:val="18"/>
              </w:rPr>
              <w:t>Single</w:t>
            </w:r>
          </w:p>
          <w:p w14:paraId="67410BBD" w14:textId="77777777" w:rsidR="008F0A77" w:rsidRDefault="008F0A77" w:rsidP="00EF6B7D">
            <w:pPr>
              <w:tabs>
                <w:tab w:val="left" w:pos="34"/>
                <w:tab w:val="left" w:pos="176"/>
              </w:tabs>
              <w:ind w:left="176"/>
              <w:rPr>
                <w:sz w:val="18"/>
                <w:szCs w:val="18"/>
              </w:rPr>
            </w:pPr>
            <w:r>
              <w:rPr>
                <w:sz w:val="18"/>
                <w:szCs w:val="18"/>
              </w:rPr>
              <w:t xml:space="preserve">Missing </w:t>
            </w:r>
          </w:p>
        </w:tc>
        <w:tc>
          <w:tcPr>
            <w:tcW w:w="1843" w:type="dxa"/>
            <w:tcBorders>
              <w:top w:val="single" w:sz="4" w:space="0" w:color="000000"/>
              <w:left w:val="nil"/>
              <w:bottom w:val="single" w:sz="4" w:space="0" w:color="000000"/>
              <w:right w:val="nil"/>
            </w:tcBorders>
          </w:tcPr>
          <w:p w14:paraId="456C31B8" w14:textId="77777777" w:rsidR="008F0A77" w:rsidRDefault="008F0A77" w:rsidP="00EF6B7D">
            <w:pPr>
              <w:tabs>
                <w:tab w:val="left" w:pos="318"/>
              </w:tabs>
              <w:jc w:val="center"/>
              <w:rPr>
                <w:color w:val="FF0000"/>
                <w:sz w:val="18"/>
                <w:szCs w:val="18"/>
              </w:rPr>
            </w:pPr>
          </w:p>
          <w:p w14:paraId="62BC3470" w14:textId="77777777" w:rsidR="008F0A77" w:rsidRDefault="008F0A77" w:rsidP="00EF6B7D">
            <w:pPr>
              <w:tabs>
                <w:tab w:val="left" w:pos="318"/>
              </w:tabs>
              <w:jc w:val="center"/>
              <w:rPr>
                <w:sz w:val="18"/>
                <w:szCs w:val="18"/>
              </w:rPr>
            </w:pPr>
            <w:r>
              <w:rPr>
                <w:sz w:val="18"/>
                <w:szCs w:val="18"/>
              </w:rPr>
              <w:t>41 (19.8)</w:t>
            </w:r>
          </w:p>
          <w:p w14:paraId="6934894C" w14:textId="77777777" w:rsidR="008F0A77" w:rsidRDefault="008F0A77" w:rsidP="00EF6B7D">
            <w:pPr>
              <w:tabs>
                <w:tab w:val="left" w:pos="318"/>
              </w:tabs>
              <w:jc w:val="center"/>
              <w:rPr>
                <w:sz w:val="18"/>
                <w:szCs w:val="18"/>
              </w:rPr>
            </w:pPr>
            <w:r>
              <w:rPr>
                <w:sz w:val="18"/>
                <w:szCs w:val="18"/>
              </w:rPr>
              <w:t>165 (79.7)</w:t>
            </w:r>
          </w:p>
          <w:p w14:paraId="1F8415EF" w14:textId="77777777" w:rsidR="008F0A77" w:rsidRDefault="008F0A77" w:rsidP="00EF6B7D">
            <w:pPr>
              <w:tabs>
                <w:tab w:val="left" w:pos="318"/>
              </w:tabs>
              <w:jc w:val="center"/>
              <w:rPr>
                <w:color w:val="FF0000"/>
                <w:sz w:val="18"/>
                <w:szCs w:val="18"/>
              </w:rPr>
            </w:pPr>
            <w:r>
              <w:rPr>
                <w:sz w:val="18"/>
                <w:szCs w:val="18"/>
              </w:rPr>
              <w:t>1 (0,5)</w:t>
            </w:r>
          </w:p>
        </w:tc>
        <w:tc>
          <w:tcPr>
            <w:tcW w:w="2126" w:type="dxa"/>
            <w:tcBorders>
              <w:top w:val="single" w:sz="4" w:space="0" w:color="000000"/>
              <w:left w:val="nil"/>
              <w:bottom w:val="single" w:sz="4" w:space="0" w:color="000000"/>
              <w:right w:val="nil"/>
            </w:tcBorders>
          </w:tcPr>
          <w:p w14:paraId="294A25D3" w14:textId="77777777" w:rsidR="008F0A77" w:rsidRDefault="008F0A77" w:rsidP="00EF6B7D">
            <w:pPr>
              <w:tabs>
                <w:tab w:val="left" w:pos="318"/>
              </w:tabs>
              <w:jc w:val="center"/>
              <w:rPr>
                <w:sz w:val="18"/>
                <w:szCs w:val="18"/>
                <w:highlight w:val="yellow"/>
              </w:rPr>
            </w:pPr>
          </w:p>
          <w:p w14:paraId="1C99EBBE" w14:textId="77777777" w:rsidR="008F0A77" w:rsidRDefault="008F0A77" w:rsidP="00EF6B7D">
            <w:pPr>
              <w:tabs>
                <w:tab w:val="left" w:pos="318"/>
              </w:tabs>
              <w:jc w:val="center"/>
              <w:rPr>
                <w:sz w:val="18"/>
                <w:szCs w:val="18"/>
              </w:rPr>
            </w:pPr>
            <w:r>
              <w:rPr>
                <w:sz w:val="18"/>
                <w:szCs w:val="18"/>
              </w:rPr>
              <w:t>113 (54.9)</w:t>
            </w:r>
          </w:p>
          <w:p w14:paraId="57F59490" w14:textId="77777777" w:rsidR="008F0A77" w:rsidRDefault="008F0A77" w:rsidP="00EF6B7D">
            <w:pPr>
              <w:tabs>
                <w:tab w:val="left" w:pos="318"/>
              </w:tabs>
              <w:jc w:val="center"/>
              <w:rPr>
                <w:sz w:val="18"/>
                <w:szCs w:val="18"/>
              </w:rPr>
            </w:pPr>
            <w:r>
              <w:rPr>
                <w:sz w:val="18"/>
                <w:szCs w:val="18"/>
              </w:rPr>
              <w:t>93 (45.1)</w:t>
            </w:r>
          </w:p>
          <w:p w14:paraId="03514F87" w14:textId="77777777" w:rsidR="008F0A77" w:rsidRDefault="008F0A77" w:rsidP="00EF6B7D">
            <w:pPr>
              <w:tabs>
                <w:tab w:val="left" w:pos="318"/>
              </w:tabs>
              <w:jc w:val="center"/>
              <w:rPr>
                <w:sz w:val="18"/>
                <w:szCs w:val="18"/>
                <w:highlight w:val="yellow"/>
              </w:rPr>
            </w:pPr>
            <w:r>
              <w:rPr>
                <w:sz w:val="18"/>
                <w:szCs w:val="18"/>
              </w:rPr>
              <w:t>0</w:t>
            </w:r>
          </w:p>
        </w:tc>
      </w:tr>
      <w:tr w:rsidR="008F0A77" w14:paraId="5176217F" w14:textId="77777777" w:rsidTr="00EF6B7D">
        <w:trPr>
          <w:jc w:val="center"/>
        </w:trPr>
        <w:tc>
          <w:tcPr>
            <w:tcW w:w="3544" w:type="dxa"/>
            <w:tcBorders>
              <w:top w:val="single" w:sz="4" w:space="0" w:color="000000"/>
              <w:left w:val="nil"/>
              <w:bottom w:val="single" w:sz="4" w:space="0" w:color="000000"/>
              <w:right w:val="nil"/>
            </w:tcBorders>
          </w:tcPr>
          <w:p w14:paraId="6C86DDA3" w14:textId="77777777" w:rsidR="008F0A77" w:rsidRDefault="008F0A77" w:rsidP="00EF6B7D">
            <w:pPr>
              <w:tabs>
                <w:tab w:val="left" w:pos="34"/>
              </w:tabs>
              <w:ind w:left="318" w:hanging="284"/>
              <w:rPr>
                <w:b/>
                <w:sz w:val="18"/>
                <w:szCs w:val="18"/>
              </w:rPr>
            </w:pPr>
            <w:r>
              <w:rPr>
                <w:b/>
                <w:sz w:val="18"/>
                <w:szCs w:val="18"/>
              </w:rPr>
              <w:t>Skin color</w:t>
            </w:r>
          </w:p>
          <w:p w14:paraId="0CF194DA" w14:textId="77777777" w:rsidR="008F0A77" w:rsidRDefault="008F0A77" w:rsidP="00EF6B7D">
            <w:pPr>
              <w:tabs>
                <w:tab w:val="left" w:pos="34"/>
                <w:tab w:val="left" w:pos="176"/>
              </w:tabs>
              <w:ind w:left="176"/>
              <w:rPr>
                <w:sz w:val="18"/>
                <w:szCs w:val="18"/>
              </w:rPr>
            </w:pPr>
            <w:r>
              <w:rPr>
                <w:sz w:val="18"/>
                <w:szCs w:val="18"/>
              </w:rPr>
              <w:t>White</w:t>
            </w:r>
          </w:p>
          <w:p w14:paraId="2AE8328F" w14:textId="77777777" w:rsidR="008F0A77" w:rsidRDefault="008F0A77" w:rsidP="00EF6B7D">
            <w:pPr>
              <w:tabs>
                <w:tab w:val="left" w:pos="34"/>
                <w:tab w:val="left" w:pos="176"/>
              </w:tabs>
              <w:rPr>
                <w:sz w:val="18"/>
                <w:szCs w:val="18"/>
              </w:rPr>
            </w:pPr>
            <w:r>
              <w:rPr>
                <w:sz w:val="18"/>
                <w:szCs w:val="18"/>
              </w:rPr>
              <w:t xml:space="preserve">    Black </w:t>
            </w:r>
          </w:p>
          <w:p w14:paraId="28E856BE" w14:textId="77777777" w:rsidR="008F0A77" w:rsidRDefault="008F0A77" w:rsidP="00EF6B7D">
            <w:pPr>
              <w:tabs>
                <w:tab w:val="left" w:pos="34"/>
                <w:tab w:val="left" w:pos="176"/>
              </w:tabs>
              <w:rPr>
                <w:sz w:val="18"/>
                <w:szCs w:val="18"/>
              </w:rPr>
            </w:pPr>
            <w:r>
              <w:rPr>
                <w:sz w:val="18"/>
                <w:szCs w:val="18"/>
              </w:rPr>
              <w:t xml:space="preserve">    Mixed-race</w:t>
            </w:r>
          </w:p>
          <w:p w14:paraId="745472BD" w14:textId="77777777" w:rsidR="008F0A77" w:rsidRDefault="008F0A77" w:rsidP="00EF6B7D">
            <w:pPr>
              <w:tabs>
                <w:tab w:val="left" w:pos="34"/>
                <w:tab w:val="left" w:pos="176"/>
              </w:tabs>
              <w:rPr>
                <w:sz w:val="18"/>
                <w:szCs w:val="18"/>
              </w:rPr>
            </w:pPr>
            <w:r>
              <w:rPr>
                <w:sz w:val="18"/>
                <w:szCs w:val="18"/>
              </w:rPr>
              <w:t xml:space="preserve">    Other</w:t>
            </w:r>
          </w:p>
          <w:p w14:paraId="66C2B3F2" w14:textId="77777777" w:rsidR="008F0A77" w:rsidRDefault="008F0A77" w:rsidP="00EF6B7D">
            <w:pPr>
              <w:tabs>
                <w:tab w:val="left" w:pos="34"/>
                <w:tab w:val="left" w:pos="176"/>
              </w:tabs>
              <w:rPr>
                <w:b/>
                <w:sz w:val="18"/>
                <w:szCs w:val="18"/>
              </w:rPr>
            </w:pPr>
            <w:r>
              <w:rPr>
                <w:sz w:val="18"/>
                <w:szCs w:val="18"/>
              </w:rPr>
              <w:t xml:space="preserve">    Missing</w:t>
            </w:r>
          </w:p>
        </w:tc>
        <w:tc>
          <w:tcPr>
            <w:tcW w:w="1843" w:type="dxa"/>
            <w:tcBorders>
              <w:top w:val="single" w:sz="4" w:space="0" w:color="000000"/>
              <w:left w:val="nil"/>
              <w:bottom w:val="single" w:sz="4" w:space="0" w:color="000000"/>
              <w:right w:val="nil"/>
            </w:tcBorders>
          </w:tcPr>
          <w:p w14:paraId="567E2B59" w14:textId="77777777" w:rsidR="008F0A77" w:rsidRDefault="008F0A77" w:rsidP="00EF6B7D">
            <w:pPr>
              <w:tabs>
                <w:tab w:val="left" w:pos="318"/>
              </w:tabs>
              <w:jc w:val="center"/>
              <w:rPr>
                <w:color w:val="FF0000"/>
                <w:sz w:val="18"/>
                <w:szCs w:val="18"/>
              </w:rPr>
            </w:pPr>
          </w:p>
          <w:p w14:paraId="4151C668" w14:textId="77777777" w:rsidR="008F0A77" w:rsidRDefault="008F0A77" w:rsidP="00EF6B7D">
            <w:pPr>
              <w:tabs>
                <w:tab w:val="left" w:pos="318"/>
              </w:tabs>
              <w:jc w:val="center"/>
              <w:rPr>
                <w:color w:val="000000"/>
                <w:sz w:val="18"/>
                <w:szCs w:val="18"/>
              </w:rPr>
            </w:pPr>
            <w:r>
              <w:rPr>
                <w:color w:val="000000"/>
                <w:sz w:val="18"/>
                <w:szCs w:val="18"/>
              </w:rPr>
              <w:t>88 (42,5)</w:t>
            </w:r>
          </w:p>
          <w:p w14:paraId="79354BC9" w14:textId="77777777" w:rsidR="008F0A77" w:rsidRDefault="008F0A77" w:rsidP="00EF6B7D">
            <w:pPr>
              <w:tabs>
                <w:tab w:val="left" w:pos="318"/>
              </w:tabs>
              <w:jc w:val="center"/>
              <w:rPr>
                <w:color w:val="000000"/>
                <w:sz w:val="18"/>
                <w:szCs w:val="18"/>
              </w:rPr>
            </w:pPr>
            <w:r>
              <w:rPr>
                <w:color w:val="000000"/>
                <w:sz w:val="18"/>
                <w:szCs w:val="18"/>
              </w:rPr>
              <w:t>30 (14,5)</w:t>
            </w:r>
          </w:p>
          <w:p w14:paraId="0CA94D37" w14:textId="77777777" w:rsidR="008F0A77" w:rsidRDefault="008F0A77" w:rsidP="00EF6B7D">
            <w:pPr>
              <w:tabs>
                <w:tab w:val="left" w:pos="318"/>
              </w:tabs>
              <w:jc w:val="center"/>
              <w:rPr>
                <w:color w:val="000000"/>
                <w:sz w:val="18"/>
                <w:szCs w:val="18"/>
              </w:rPr>
            </w:pPr>
            <w:r>
              <w:rPr>
                <w:color w:val="000000"/>
                <w:sz w:val="18"/>
                <w:szCs w:val="18"/>
              </w:rPr>
              <w:t>73 (35,3)</w:t>
            </w:r>
          </w:p>
          <w:p w14:paraId="5603FFBC" w14:textId="77777777" w:rsidR="008F0A77" w:rsidRDefault="008F0A77" w:rsidP="00EF6B7D">
            <w:pPr>
              <w:tabs>
                <w:tab w:val="left" w:pos="318"/>
              </w:tabs>
              <w:jc w:val="center"/>
              <w:rPr>
                <w:color w:val="000000"/>
                <w:sz w:val="18"/>
                <w:szCs w:val="18"/>
              </w:rPr>
            </w:pPr>
            <w:r>
              <w:rPr>
                <w:color w:val="000000"/>
                <w:sz w:val="18"/>
                <w:szCs w:val="18"/>
              </w:rPr>
              <w:t>5 (2,4)</w:t>
            </w:r>
          </w:p>
          <w:p w14:paraId="7276B772" w14:textId="77777777" w:rsidR="008F0A77" w:rsidRDefault="008F0A77" w:rsidP="00EF6B7D">
            <w:pPr>
              <w:tabs>
                <w:tab w:val="left" w:pos="318"/>
              </w:tabs>
              <w:jc w:val="center"/>
              <w:rPr>
                <w:color w:val="FF0000"/>
                <w:sz w:val="18"/>
                <w:szCs w:val="18"/>
              </w:rPr>
            </w:pPr>
            <w:r>
              <w:rPr>
                <w:color w:val="000000"/>
                <w:sz w:val="18"/>
                <w:szCs w:val="18"/>
              </w:rPr>
              <w:t>11 (5, 3)</w:t>
            </w:r>
          </w:p>
        </w:tc>
        <w:tc>
          <w:tcPr>
            <w:tcW w:w="2126" w:type="dxa"/>
            <w:tcBorders>
              <w:top w:val="single" w:sz="4" w:space="0" w:color="000000"/>
              <w:left w:val="nil"/>
              <w:bottom w:val="single" w:sz="4" w:space="0" w:color="000000"/>
              <w:right w:val="nil"/>
            </w:tcBorders>
          </w:tcPr>
          <w:p w14:paraId="4F687CAF" w14:textId="77777777" w:rsidR="008F0A77" w:rsidRDefault="008F0A77" w:rsidP="00EF6B7D">
            <w:pPr>
              <w:tabs>
                <w:tab w:val="left" w:pos="318"/>
              </w:tabs>
              <w:jc w:val="center"/>
              <w:rPr>
                <w:sz w:val="18"/>
                <w:szCs w:val="18"/>
                <w:highlight w:val="yellow"/>
              </w:rPr>
            </w:pPr>
          </w:p>
          <w:p w14:paraId="7684318B" w14:textId="77777777" w:rsidR="008F0A77" w:rsidRDefault="008F0A77" w:rsidP="00EF6B7D">
            <w:pPr>
              <w:tabs>
                <w:tab w:val="left" w:pos="318"/>
              </w:tabs>
              <w:jc w:val="center"/>
              <w:rPr>
                <w:sz w:val="18"/>
                <w:szCs w:val="18"/>
              </w:rPr>
            </w:pPr>
            <w:r>
              <w:rPr>
                <w:sz w:val="18"/>
                <w:szCs w:val="18"/>
              </w:rPr>
              <w:t>109 (52.9)</w:t>
            </w:r>
          </w:p>
          <w:p w14:paraId="486D97E2" w14:textId="77777777" w:rsidR="008F0A77" w:rsidRDefault="008F0A77" w:rsidP="00EF6B7D">
            <w:pPr>
              <w:tabs>
                <w:tab w:val="left" w:pos="318"/>
              </w:tabs>
              <w:jc w:val="center"/>
              <w:rPr>
                <w:sz w:val="18"/>
                <w:szCs w:val="18"/>
              </w:rPr>
            </w:pPr>
            <w:r>
              <w:rPr>
                <w:sz w:val="18"/>
                <w:szCs w:val="18"/>
              </w:rPr>
              <w:t>29 (14.5)</w:t>
            </w:r>
          </w:p>
          <w:p w14:paraId="2F6892A4" w14:textId="77777777" w:rsidR="008F0A77" w:rsidRDefault="008F0A77" w:rsidP="00EF6B7D">
            <w:pPr>
              <w:tabs>
                <w:tab w:val="left" w:pos="318"/>
              </w:tabs>
              <w:jc w:val="center"/>
              <w:rPr>
                <w:sz w:val="18"/>
                <w:szCs w:val="18"/>
              </w:rPr>
            </w:pPr>
            <w:r>
              <w:rPr>
                <w:sz w:val="18"/>
                <w:szCs w:val="18"/>
              </w:rPr>
              <w:t>63 (30.6)</w:t>
            </w:r>
          </w:p>
          <w:p w14:paraId="59CE79BD" w14:textId="77777777" w:rsidR="008F0A77" w:rsidRDefault="008F0A77" w:rsidP="00EF6B7D">
            <w:pPr>
              <w:tabs>
                <w:tab w:val="left" w:pos="318"/>
              </w:tabs>
              <w:jc w:val="center"/>
              <w:rPr>
                <w:sz w:val="18"/>
                <w:szCs w:val="18"/>
              </w:rPr>
            </w:pPr>
            <w:r>
              <w:rPr>
                <w:sz w:val="18"/>
                <w:szCs w:val="18"/>
              </w:rPr>
              <w:t>5 (2.4)</w:t>
            </w:r>
          </w:p>
          <w:p w14:paraId="61213188" w14:textId="77777777" w:rsidR="008F0A77" w:rsidRDefault="008F0A77" w:rsidP="00EF6B7D">
            <w:pPr>
              <w:tabs>
                <w:tab w:val="left" w:pos="318"/>
              </w:tabs>
              <w:jc w:val="center"/>
              <w:rPr>
                <w:sz w:val="18"/>
                <w:szCs w:val="18"/>
                <w:highlight w:val="yellow"/>
              </w:rPr>
            </w:pPr>
            <w:r>
              <w:rPr>
                <w:sz w:val="18"/>
                <w:szCs w:val="18"/>
              </w:rPr>
              <w:t>0 (0.0)</w:t>
            </w:r>
          </w:p>
        </w:tc>
      </w:tr>
      <w:tr w:rsidR="008F0A77" w14:paraId="2B09A2ED" w14:textId="77777777" w:rsidTr="00EF6B7D">
        <w:trPr>
          <w:jc w:val="center"/>
        </w:trPr>
        <w:tc>
          <w:tcPr>
            <w:tcW w:w="3544" w:type="dxa"/>
            <w:tcBorders>
              <w:top w:val="single" w:sz="4" w:space="0" w:color="000000"/>
              <w:left w:val="nil"/>
              <w:bottom w:val="single" w:sz="4" w:space="0" w:color="000000"/>
              <w:right w:val="nil"/>
            </w:tcBorders>
          </w:tcPr>
          <w:p w14:paraId="3BEFDEFA" w14:textId="77777777" w:rsidR="008F0A77" w:rsidRDefault="008F0A77" w:rsidP="00EF6B7D">
            <w:pPr>
              <w:tabs>
                <w:tab w:val="left" w:pos="34"/>
                <w:tab w:val="left" w:pos="176"/>
              </w:tabs>
              <w:rPr>
                <w:b/>
                <w:sz w:val="18"/>
                <w:szCs w:val="18"/>
              </w:rPr>
            </w:pPr>
            <w:r>
              <w:rPr>
                <w:b/>
                <w:sz w:val="18"/>
                <w:szCs w:val="18"/>
              </w:rPr>
              <w:t>Education level</w:t>
            </w:r>
          </w:p>
          <w:p w14:paraId="7C49EE7D" w14:textId="77777777" w:rsidR="008F0A77" w:rsidRDefault="008F0A77" w:rsidP="00EF6B7D">
            <w:pPr>
              <w:tabs>
                <w:tab w:val="left" w:pos="34"/>
                <w:tab w:val="left" w:pos="176"/>
              </w:tabs>
              <w:ind w:left="176"/>
              <w:rPr>
                <w:sz w:val="18"/>
                <w:szCs w:val="18"/>
              </w:rPr>
            </w:pPr>
            <w:r>
              <w:rPr>
                <w:sz w:val="18"/>
                <w:szCs w:val="18"/>
              </w:rPr>
              <w:t>0 to 4 years of study</w:t>
            </w:r>
          </w:p>
          <w:p w14:paraId="3B4F312A" w14:textId="77777777" w:rsidR="008F0A77" w:rsidRDefault="008F0A77" w:rsidP="00EF6B7D">
            <w:pPr>
              <w:tabs>
                <w:tab w:val="left" w:pos="34"/>
                <w:tab w:val="left" w:pos="176"/>
              </w:tabs>
              <w:ind w:left="176"/>
              <w:rPr>
                <w:sz w:val="18"/>
                <w:szCs w:val="18"/>
              </w:rPr>
            </w:pPr>
            <w:r>
              <w:rPr>
                <w:sz w:val="18"/>
                <w:szCs w:val="18"/>
              </w:rPr>
              <w:t>Between 5 and 8 years of study</w:t>
            </w:r>
          </w:p>
          <w:p w14:paraId="681DE68E" w14:textId="77777777" w:rsidR="008F0A77" w:rsidRDefault="008F0A77" w:rsidP="00EF6B7D">
            <w:pPr>
              <w:tabs>
                <w:tab w:val="left" w:pos="34"/>
                <w:tab w:val="left" w:pos="176"/>
              </w:tabs>
              <w:ind w:left="176"/>
              <w:rPr>
                <w:sz w:val="18"/>
                <w:szCs w:val="18"/>
              </w:rPr>
            </w:pPr>
            <w:r>
              <w:rPr>
                <w:sz w:val="18"/>
                <w:szCs w:val="18"/>
              </w:rPr>
              <w:t>Between 9 and 11 years of study</w:t>
            </w:r>
          </w:p>
          <w:p w14:paraId="5E22CEAB" w14:textId="77777777" w:rsidR="008F0A77" w:rsidRDefault="008F0A77" w:rsidP="00EF6B7D">
            <w:pPr>
              <w:tabs>
                <w:tab w:val="left" w:pos="34"/>
                <w:tab w:val="left" w:pos="176"/>
              </w:tabs>
              <w:ind w:left="176"/>
              <w:rPr>
                <w:sz w:val="18"/>
                <w:szCs w:val="18"/>
              </w:rPr>
            </w:pPr>
            <w:r>
              <w:rPr>
                <w:sz w:val="18"/>
                <w:szCs w:val="18"/>
              </w:rPr>
              <w:t>Over 12 years of study</w:t>
            </w:r>
          </w:p>
        </w:tc>
        <w:tc>
          <w:tcPr>
            <w:tcW w:w="1843" w:type="dxa"/>
            <w:tcBorders>
              <w:top w:val="single" w:sz="4" w:space="0" w:color="000000"/>
              <w:left w:val="nil"/>
              <w:bottom w:val="single" w:sz="4" w:space="0" w:color="000000"/>
              <w:right w:val="nil"/>
            </w:tcBorders>
          </w:tcPr>
          <w:p w14:paraId="785F6456" w14:textId="77777777" w:rsidR="008F0A77" w:rsidRDefault="008F0A77" w:rsidP="00EF6B7D">
            <w:pPr>
              <w:tabs>
                <w:tab w:val="left" w:pos="318"/>
              </w:tabs>
              <w:jc w:val="center"/>
              <w:rPr>
                <w:color w:val="FF0000"/>
                <w:sz w:val="18"/>
                <w:szCs w:val="18"/>
              </w:rPr>
            </w:pPr>
          </w:p>
          <w:p w14:paraId="7E993EDC" w14:textId="77777777" w:rsidR="008F0A77" w:rsidRDefault="008F0A77" w:rsidP="00EF6B7D">
            <w:pPr>
              <w:tabs>
                <w:tab w:val="left" w:pos="318"/>
              </w:tabs>
              <w:jc w:val="center"/>
              <w:rPr>
                <w:sz w:val="18"/>
                <w:szCs w:val="18"/>
              </w:rPr>
            </w:pPr>
            <w:r>
              <w:rPr>
                <w:sz w:val="18"/>
                <w:szCs w:val="18"/>
              </w:rPr>
              <w:t>46 (22.2)</w:t>
            </w:r>
          </w:p>
          <w:p w14:paraId="580D756E" w14:textId="77777777" w:rsidR="008F0A77" w:rsidRDefault="008F0A77" w:rsidP="00EF6B7D">
            <w:pPr>
              <w:tabs>
                <w:tab w:val="left" w:pos="318"/>
              </w:tabs>
              <w:jc w:val="center"/>
              <w:rPr>
                <w:sz w:val="18"/>
                <w:szCs w:val="18"/>
              </w:rPr>
            </w:pPr>
            <w:r>
              <w:rPr>
                <w:sz w:val="18"/>
                <w:szCs w:val="18"/>
              </w:rPr>
              <w:t>51 (24.6)</w:t>
            </w:r>
          </w:p>
          <w:p w14:paraId="175EF260" w14:textId="77777777" w:rsidR="008F0A77" w:rsidRDefault="008F0A77" w:rsidP="00EF6B7D">
            <w:pPr>
              <w:tabs>
                <w:tab w:val="left" w:pos="318"/>
              </w:tabs>
              <w:jc w:val="center"/>
              <w:rPr>
                <w:sz w:val="18"/>
                <w:szCs w:val="18"/>
              </w:rPr>
            </w:pPr>
            <w:r>
              <w:rPr>
                <w:sz w:val="18"/>
                <w:szCs w:val="18"/>
              </w:rPr>
              <w:t>84 (40.6)</w:t>
            </w:r>
          </w:p>
          <w:p w14:paraId="3085188E" w14:textId="77777777" w:rsidR="008F0A77" w:rsidRDefault="008F0A77" w:rsidP="00EF6B7D">
            <w:pPr>
              <w:tabs>
                <w:tab w:val="left" w:pos="318"/>
              </w:tabs>
              <w:jc w:val="center"/>
              <w:rPr>
                <w:color w:val="FF0000"/>
                <w:sz w:val="18"/>
                <w:szCs w:val="18"/>
              </w:rPr>
            </w:pPr>
            <w:r>
              <w:rPr>
                <w:sz w:val="18"/>
                <w:szCs w:val="18"/>
              </w:rPr>
              <w:t>26 (12.6)</w:t>
            </w:r>
          </w:p>
        </w:tc>
        <w:tc>
          <w:tcPr>
            <w:tcW w:w="2126" w:type="dxa"/>
            <w:tcBorders>
              <w:top w:val="single" w:sz="4" w:space="0" w:color="000000"/>
              <w:left w:val="nil"/>
              <w:bottom w:val="single" w:sz="4" w:space="0" w:color="000000"/>
              <w:right w:val="nil"/>
            </w:tcBorders>
          </w:tcPr>
          <w:p w14:paraId="7D0BC497" w14:textId="77777777" w:rsidR="008F0A77" w:rsidRDefault="008F0A77" w:rsidP="00EF6B7D">
            <w:pPr>
              <w:tabs>
                <w:tab w:val="left" w:pos="318"/>
              </w:tabs>
              <w:jc w:val="center"/>
              <w:rPr>
                <w:sz w:val="18"/>
                <w:szCs w:val="18"/>
                <w:highlight w:val="yellow"/>
              </w:rPr>
            </w:pPr>
          </w:p>
          <w:p w14:paraId="4781E039" w14:textId="77777777" w:rsidR="008F0A77" w:rsidRDefault="008F0A77" w:rsidP="00EF6B7D">
            <w:pPr>
              <w:tabs>
                <w:tab w:val="left" w:pos="318"/>
              </w:tabs>
              <w:jc w:val="center"/>
              <w:rPr>
                <w:sz w:val="18"/>
                <w:szCs w:val="18"/>
              </w:rPr>
            </w:pPr>
            <w:r>
              <w:rPr>
                <w:sz w:val="18"/>
                <w:szCs w:val="18"/>
              </w:rPr>
              <w:t>44 (21.4)</w:t>
            </w:r>
          </w:p>
          <w:p w14:paraId="5C83BEDA" w14:textId="77777777" w:rsidR="008F0A77" w:rsidRDefault="008F0A77" w:rsidP="00EF6B7D">
            <w:pPr>
              <w:tabs>
                <w:tab w:val="left" w:pos="318"/>
              </w:tabs>
              <w:jc w:val="center"/>
              <w:rPr>
                <w:sz w:val="18"/>
                <w:szCs w:val="18"/>
              </w:rPr>
            </w:pPr>
            <w:r>
              <w:rPr>
                <w:sz w:val="18"/>
                <w:szCs w:val="18"/>
              </w:rPr>
              <w:t>40 (19.4)</w:t>
            </w:r>
          </w:p>
          <w:p w14:paraId="453D8A5C" w14:textId="77777777" w:rsidR="008F0A77" w:rsidRDefault="008F0A77" w:rsidP="00EF6B7D">
            <w:pPr>
              <w:tabs>
                <w:tab w:val="left" w:pos="318"/>
              </w:tabs>
              <w:jc w:val="center"/>
              <w:rPr>
                <w:sz w:val="18"/>
                <w:szCs w:val="18"/>
              </w:rPr>
            </w:pPr>
            <w:r>
              <w:rPr>
                <w:sz w:val="18"/>
                <w:szCs w:val="18"/>
              </w:rPr>
              <w:t>88 (42.7)</w:t>
            </w:r>
          </w:p>
          <w:p w14:paraId="64F1CB1A" w14:textId="77777777" w:rsidR="008F0A77" w:rsidRDefault="008F0A77" w:rsidP="00EF6B7D">
            <w:pPr>
              <w:tabs>
                <w:tab w:val="left" w:pos="318"/>
              </w:tabs>
              <w:jc w:val="center"/>
              <w:rPr>
                <w:sz w:val="18"/>
                <w:szCs w:val="18"/>
                <w:highlight w:val="yellow"/>
              </w:rPr>
            </w:pPr>
            <w:r>
              <w:rPr>
                <w:sz w:val="18"/>
                <w:szCs w:val="18"/>
              </w:rPr>
              <w:t>34 (16.5)</w:t>
            </w:r>
          </w:p>
        </w:tc>
      </w:tr>
      <w:tr w:rsidR="008F0A77" w14:paraId="39778847" w14:textId="77777777" w:rsidTr="00EF6B7D">
        <w:trPr>
          <w:jc w:val="center"/>
        </w:trPr>
        <w:tc>
          <w:tcPr>
            <w:tcW w:w="3544" w:type="dxa"/>
            <w:tcBorders>
              <w:top w:val="single" w:sz="4" w:space="0" w:color="000000"/>
              <w:left w:val="nil"/>
              <w:bottom w:val="single" w:sz="4" w:space="0" w:color="000000"/>
              <w:right w:val="nil"/>
            </w:tcBorders>
          </w:tcPr>
          <w:p w14:paraId="2BBC28F4" w14:textId="77777777" w:rsidR="008F0A77" w:rsidRDefault="008F0A77" w:rsidP="00EF6B7D">
            <w:pPr>
              <w:tabs>
                <w:tab w:val="left" w:pos="34"/>
              </w:tabs>
              <w:ind w:left="318" w:hanging="284"/>
              <w:rPr>
                <w:b/>
                <w:sz w:val="18"/>
                <w:szCs w:val="18"/>
                <w:vertAlign w:val="superscript"/>
              </w:rPr>
            </w:pPr>
            <w:r>
              <w:rPr>
                <w:b/>
                <w:sz w:val="18"/>
                <w:szCs w:val="18"/>
              </w:rPr>
              <w:t>Family Income (MW)</w:t>
            </w:r>
            <w:r>
              <w:rPr>
                <w:b/>
                <w:sz w:val="18"/>
                <w:szCs w:val="18"/>
                <w:vertAlign w:val="superscript"/>
              </w:rPr>
              <w:t>2</w:t>
            </w:r>
          </w:p>
          <w:p w14:paraId="6C7BDDB9" w14:textId="77777777" w:rsidR="008F0A77" w:rsidRDefault="008F0A77" w:rsidP="00EF6B7D">
            <w:pPr>
              <w:tabs>
                <w:tab w:val="left" w:pos="34"/>
                <w:tab w:val="left" w:pos="176"/>
              </w:tabs>
              <w:ind w:left="176"/>
              <w:rPr>
                <w:sz w:val="18"/>
                <w:szCs w:val="18"/>
              </w:rPr>
            </w:pPr>
            <w:r>
              <w:rPr>
                <w:sz w:val="18"/>
                <w:szCs w:val="18"/>
              </w:rPr>
              <w:t>Less than 1 MW</w:t>
            </w:r>
          </w:p>
          <w:p w14:paraId="66F5EE2D" w14:textId="77777777" w:rsidR="008F0A77" w:rsidRDefault="008F0A77" w:rsidP="00EF6B7D">
            <w:pPr>
              <w:tabs>
                <w:tab w:val="left" w:pos="34"/>
                <w:tab w:val="left" w:pos="176"/>
              </w:tabs>
              <w:ind w:left="176"/>
              <w:rPr>
                <w:sz w:val="18"/>
                <w:szCs w:val="18"/>
              </w:rPr>
            </w:pPr>
            <w:r>
              <w:rPr>
                <w:sz w:val="18"/>
                <w:szCs w:val="18"/>
              </w:rPr>
              <w:t>From 1 to 2 MW</w:t>
            </w:r>
          </w:p>
          <w:p w14:paraId="03BF2AD0" w14:textId="77777777" w:rsidR="008F0A77" w:rsidRDefault="008F0A77" w:rsidP="00EF6B7D">
            <w:pPr>
              <w:tabs>
                <w:tab w:val="left" w:pos="34"/>
                <w:tab w:val="left" w:pos="176"/>
              </w:tabs>
              <w:ind w:left="176"/>
              <w:rPr>
                <w:sz w:val="18"/>
                <w:szCs w:val="18"/>
              </w:rPr>
            </w:pPr>
            <w:r>
              <w:rPr>
                <w:sz w:val="18"/>
                <w:szCs w:val="18"/>
              </w:rPr>
              <w:t>From 2 to 3 MW</w:t>
            </w:r>
          </w:p>
          <w:p w14:paraId="57DA27B5" w14:textId="77777777" w:rsidR="008F0A77" w:rsidRDefault="008F0A77" w:rsidP="00EF6B7D">
            <w:pPr>
              <w:tabs>
                <w:tab w:val="left" w:pos="34"/>
                <w:tab w:val="left" w:pos="176"/>
              </w:tabs>
              <w:rPr>
                <w:b/>
                <w:sz w:val="18"/>
                <w:szCs w:val="18"/>
              </w:rPr>
            </w:pPr>
            <w:r>
              <w:rPr>
                <w:sz w:val="18"/>
                <w:szCs w:val="18"/>
              </w:rPr>
              <w:t xml:space="preserve">    More than 3 MW</w:t>
            </w:r>
          </w:p>
        </w:tc>
        <w:tc>
          <w:tcPr>
            <w:tcW w:w="1843" w:type="dxa"/>
            <w:tcBorders>
              <w:top w:val="single" w:sz="4" w:space="0" w:color="000000"/>
              <w:left w:val="nil"/>
              <w:bottom w:val="single" w:sz="4" w:space="0" w:color="000000"/>
              <w:right w:val="nil"/>
            </w:tcBorders>
          </w:tcPr>
          <w:p w14:paraId="673222CB" w14:textId="77777777" w:rsidR="008F0A77" w:rsidRDefault="008F0A77" w:rsidP="00EF6B7D">
            <w:pPr>
              <w:tabs>
                <w:tab w:val="left" w:pos="318"/>
              </w:tabs>
              <w:jc w:val="center"/>
              <w:rPr>
                <w:sz w:val="18"/>
                <w:szCs w:val="18"/>
              </w:rPr>
            </w:pPr>
          </w:p>
          <w:p w14:paraId="096DB000" w14:textId="77777777" w:rsidR="008F0A77" w:rsidRDefault="008F0A77" w:rsidP="00EF6B7D">
            <w:pPr>
              <w:tabs>
                <w:tab w:val="left" w:pos="318"/>
              </w:tabs>
              <w:jc w:val="center"/>
              <w:rPr>
                <w:sz w:val="18"/>
                <w:szCs w:val="18"/>
              </w:rPr>
            </w:pPr>
            <w:r>
              <w:rPr>
                <w:sz w:val="18"/>
                <w:szCs w:val="18"/>
              </w:rPr>
              <w:t>46 (22,2)</w:t>
            </w:r>
          </w:p>
          <w:p w14:paraId="500592D7" w14:textId="77777777" w:rsidR="008F0A77" w:rsidRDefault="008F0A77" w:rsidP="00EF6B7D">
            <w:pPr>
              <w:tabs>
                <w:tab w:val="left" w:pos="318"/>
              </w:tabs>
              <w:jc w:val="center"/>
              <w:rPr>
                <w:sz w:val="18"/>
                <w:szCs w:val="18"/>
              </w:rPr>
            </w:pPr>
            <w:r>
              <w:rPr>
                <w:sz w:val="18"/>
                <w:szCs w:val="18"/>
              </w:rPr>
              <w:t>51 (24,6)</w:t>
            </w:r>
          </w:p>
          <w:p w14:paraId="00DF2DB5" w14:textId="77777777" w:rsidR="008F0A77" w:rsidRDefault="008F0A77" w:rsidP="00EF6B7D">
            <w:pPr>
              <w:tabs>
                <w:tab w:val="left" w:pos="318"/>
              </w:tabs>
              <w:jc w:val="center"/>
              <w:rPr>
                <w:sz w:val="18"/>
                <w:szCs w:val="18"/>
              </w:rPr>
            </w:pPr>
            <w:r>
              <w:rPr>
                <w:sz w:val="18"/>
                <w:szCs w:val="18"/>
              </w:rPr>
              <w:t>84 (40,6)</w:t>
            </w:r>
          </w:p>
          <w:p w14:paraId="0CE925F0" w14:textId="77777777" w:rsidR="008F0A77" w:rsidRDefault="008F0A77" w:rsidP="00EF6B7D">
            <w:pPr>
              <w:tabs>
                <w:tab w:val="left" w:pos="318"/>
              </w:tabs>
              <w:jc w:val="center"/>
              <w:rPr>
                <w:color w:val="FF0000"/>
                <w:sz w:val="18"/>
                <w:szCs w:val="18"/>
              </w:rPr>
            </w:pPr>
            <w:r>
              <w:rPr>
                <w:sz w:val="18"/>
                <w:szCs w:val="18"/>
              </w:rPr>
              <w:t>26 (12,6)</w:t>
            </w:r>
          </w:p>
        </w:tc>
        <w:tc>
          <w:tcPr>
            <w:tcW w:w="2126" w:type="dxa"/>
            <w:tcBorders>
              <w:top w:val="single" w:sz="4" w:space="0" w:color="000000"/>
              <w:left w:val="nil"/>
              <w:bottom w:val="single" w:sz="4" w:space="0" w:color="000000"/>
              <w:right w:val="nil"/>
            </w:tcBorders>
          </w:tcPr>
          <w:p w14:paraId="67612FF8" w14:textId="77777777" w:rsidR="008F0A77" w:rsidRDefault="008F0A77" w:rsidP="00EF6B7D">
            <w:pPr>
              <w:tabs>
                <w:tab w:val="left" w:pos="318"/>
              </w:tabs>
              <w:jc w:val="center"/>
              <w:rPr>
                <w:sz w:val="18"/>
                <w:szCs w:val="18"/>
                <w:highlight w:val="yellow"/>
              </w:rPr>
            </w:pPr>
          </w:p>
          <w:p w14:paraId="167A22E3" w14:textId="77777777" w:rsidR="008F0A77" w:rsidRDefault="008F0A77" w:rsidP="00EF6B7D">
            <w:pPr>
              <w:tabs>
                <w:tab w:val="left" w:pos="318"/>
              </w:tabs>
              <w:jc w:val="center"/>
              <w:rPr>
                <w:sz w:val="18"/>
                <w:szCs w:val="18"/>
              </w:rPr>
            </w:pPr>
            <w:r>
              <w:rPr>
                <w:sz w:val="18"/>
                <w:szCs w:val="18"/>
              </w:rPr>
              <w:t>55 (28.8)</w:t>
            </w:r>
          </w:p>
          <w:p w14:paraId="66991BE7" w14:textId="77777777" w:rsidR="008F0A77" w:rsidRDefault="008F0A77" w:rsidP="00EF6B7D">
            <w:pPr>
              <w:tabs>
                <w:tab w:val="left" w:pos="318"/>
              </w:tabs>
              <w:jc w:val="center"/>
              <w:rPr>
                <w:sz w:val="18"/>
                <w:szCs w:val="18"/>
              </w:rPr>
            </w:pPr>
            <w:r>
              <w:rPr>
                <w:sz w:val="18"/>
                <w:szCs w:val="18"/>
              </w:rPr>
              <w:t>69 (36.1)</w:t>
            </w:r>
          </w:p>
          <w:p w14:paraId="1AD06B06" w14:textId="77777777" w:rsidR="008F0A77" w:rsidRDefault="008F0A77" w:rsidP="00EF6B7D">
            <w:pPr>
              <w:tabs>
                <w:tab w:val="left" w:pos="318"/>
              </w:tabs>
              <w:jc w:val="center"/>
              <w:rPr>
                <w:sz w:val="18"/>
                <w:szCs w:val="18"/>
              </w:rPr>
            </w:pPr>
            <w:r>
              <w:rPr>
                <w:sz w:val="18"/>
                <w:szCs w:val="18"/>
              </w:rPr>
              <w:t>37 (19.4)</w:t>
            </w:r>
          </w:p>
          <w:p w14:paraId="48A6938E" w14:textId="77777777" w:rsidR="008F0A77" w:rsidRDefault="008F0A77" w:rsidP="00EF6B7D">
            <w:pPr>
              <w:tabs>
                <w:tab w:val="left" w:pos="318"/>
              </w:tabs>
              <w:jc w:val="center"/>
              <w:rPr>
                <w:sz w:val="18"/>
                <w:szCs w:val="18"/>
                <w:highlight w:val="yellow"/>
              </w:rPr>
            </w:pPr>
            <w:r>
              <w:rPr>
                <w:sz w:val="18"/>
                <w:szCs w:val="18"/>
              </w:rPr>
              <w:t>30 (15.7)</w:t>
            </w:r>
          </w:p>
        </w:tc>
      </w:tr>
      <w:tr w:rsidR="008F0A77" w14:paraId="5904FD03" w14:textId="77777777" w:rsidTr="00EF6B7D">
        <w:trPr>
          <w:jc w:val="center"/>
        </w:trPr>
        <w:tc>
          <w:tcPr>
            <w:tcW w:w="3544" w:type="dxa"/>
            <w:tcBorders>
              <w:top w:val="single" w:sz="4" w:space="0" w:color="000000"/>
              <w:left w:val="nil"/>
              <w:bottom w:val="single" w:sz="4" w:space="0" w:color="000000"/>
              <w:right w:val="nil"/>
            </w:tcBorders>
          </w:tcPr>
          <w:p w14:paraId="39B3CF87" w14:textId="77777777" w:rsidR="008F0A77" w:rsidRDefault="008F0A77" w:rsidP="00EF6B7D">
            <w:pPr>
              <w:tabs>
                <w:tab w:val="left" w:pos="34"/>
                <w:tab w:val="left" w:pos="176"/>
              </w:tabs>
              <w:rPr>
                <w:b/>
                <w:sz w:val="18"/>
                <w:szCs w:val="18"/>
              </w:rPr>
            </w:pPr>
            <w:r>
              <w:rPr>
                <w:b/>
                <w:sz w:val="18"/>
                <w:szCs w:val="18"/>
              </w:rPr>
              <w:t>Receives benefit</w:t>
            </w:r>
          </w:p>
          <w:p w14:paraId="422D4FAD" w14:textId="77777777" w:rsidR="008F0A77" w:rsidRDefault="008F0A77" w:rsidP="00EF6B7D">
            <w:pPr>
              <w:tabs>
                <w:tab w:val="left" w:pos="34"/>
                <w:tab w:val="left" w:pos="176"/>
              </w:tabs>
              <w:ind w:left="176"/>
              <w:rPr>
                <w:sz w:val="18"/>
                <w:szCs w:val="18"/>
              </w:rPr>
            </w:pPr>
            <w:r>
              <w:rPr>
                <w:sz w:val="18"/>
                <w:szCs w:val="18"/>
              </w:rPr>
              <w:lastRenderedPageBreak/>
              <w:t>Yes</w:t>
            </w:r>
          </w:p>
          <w:p w14:paraId="5F566D52" w14:textId="77777777" w:rsidR="008F0A77" w:rsidRDefault="008F0A77" w:rsidP="00EF6B7D">
            <w:pPr>
              <w:tabs>
                <w:tab w:val="left" w:pos="34"/>
                <w:tab w:val="left" w:pos="176"/>
              </w:tabs>
              <w:ind w:left="176"/>
              <w:rPr>
                <w:sz w:val="18"/>
                <w:szCs w:val="18"/>
              </w:rPr>
            </w:pPr>
            <w:r>
              <w:rPr>
                <w:sz w:val="18"/>
                <w:szCs w:val="18"/>
              </w:rPr>
              <w:t>No</w:t>
            </w:r>
          </w:p>
          <w:p w14:paraId="11ACDBF4" w14:textId="77777777" w:rsidR="008F0A77" w:rsidRDefault="008F0A77" w:rsidP="00EF6B7D">
            <w:pPr>
              <w:tabs>
                <w:tab w:val="left" w:pos="34"/>
                <w:tab w:val="left" w:pos="176"/>
              </w:tabs>
              <w:ind w:left="176"/>
              <w:rPr>
                <w:sz w:val="18"/>
                <w:szCs w:val="18"/>
              </w:rPr>
            </w:pPr>
            <w:r>
              <w:rPr>
                <w:sz w:val="18"/>
                <w:szCs w:val="18"/>
              </w:rPr>
              <w:t>missing</w:t>
            </w:r>
          </w:p>
        </w:tc>
        <w:tc>
          <w:tcPr>
            <w:tcW w:w="1843" w:type="dxa"/>
            <w:tcBorders>
              <w:top w:val="single" w:sz="4" w:space="0" w:color="000000"/>
              <w:left w:val="nil"/>
              <w:bottom w:val="single" w:sz="4" w:space="0" w:color="000000"/>
              <w:right w:val="nil"/>
            </w:tcBorders>
          </w:tcPr>
          <w:p w14:paraId="2F7EC81A" w14:textId="77777777" w:rsidR="008F0A77" w:rsidRDefault="008F0A77" w:rsidP="00EF6B7D">
            <w:pPr>
              <w:tabs>
                <w:tab w:val="left" w:pos="318"/>
              </w:tabs>
              <w:jc w:val="center"/>
              <w:rPr>
                <w:color w:val="FF0000"/>
                <w:sz w:val="18"/>
                <w:szCs w:val="18"/>
                <w:highlight w:val="yellow"/>
              </w:rPr>
            </w:pPr>
          </w:p>
          <w:p w14:paraId="2DCF6A95" w14:textId="77777777" w:rsidR="008F0A77" w:rsidRDefault="008F0A77" w:rsidP="00EF6B7D">
            <w:pPr>
              <w:tabs>
                <w:tab w:val="left" w:pos="318"/>
              </w:tabs>
              <w:jc w:val="center"/>
              <w:rPr>
                <w:sz w:val="18"/>
                <w:szCs w:val="18"/>
              </w:rPr>
            </w:pPr>
            <w:r>
              <w:rPr>
                <w:sz w:val="18"/>
                <w:szCs w:val="18"/>
              </w:rPr>
              <w:lastRenderedPageBreak/>
              <w:t>130 (62.8)</w:t>
            </w:r>
          </w:p>
          <w:p w14:paraId="0938A781" w14:textId="77777777" w:rsidR="008F0A77" w:rsidRDefault="008F0A77" w:rsidP="00EF6B7D">
            <w:pPr>
              <w:tabs>
                <w:tab w:val="left" w:pos="318"/>
              </w:tabs>
              <w:jc w:val="center"/>
              <w:rPr>
                <w:sz w:val="18"/>
                <w:szCs w:val="18"/>
              </w:rPr>
            </w:pPr>
            <w:r>
              <w:rPr>
                <w:sz w:val="18"/>
                <w:szCs w:val="18"/>
              </w:rPr>
              <w:t>73 (35.3)</w:t>
            </w:r>
          </w:p>
          <w:p w14:paraId="5D7EBD61" w14:textId="77777777" w:rsidR="008F0A77" w:rsidRDefault="008F0A77" w:rsidP="00EF6B7D">
            <w:pPr>
              <w:tabs>
                <w:tab w:val="left" w:pos="318"/>
              </w:tabs>
              <w:jc w:val="center"/>
              <w:rPr>
                <w:color w:val="FF0000"/>
                <w:sz w:val="18"/>
                <w:szCs w:val="18"/>
                <w:highlight w:val="yellow"/>
              </w:rPr>
            </w:pPr>
            <w:r>
              <w:rPr>
                <w:sz w:val="18"/>
                <w:szCs w:val="18"/>
              </w:rPr>
              <w:t>4 (1.9)</w:t>
            </w:r>
          </w:p>
        </w:tc>
        <w:tc>
          <w:tcPr>
            <w:tcW w:w="2126" w:type="dxa"/>
            <w:tcBorders>
              <w:top w:val="single" w:sz="4" w:space="0" w:color="000000"/>
              <w:left w:val="nil"/>
              <w:bottom w:val="single" w:sz="4" w:space="0" w:color="000000"/>
              <w:right w:val="nil"/>
            </w:tcBorders>
          </w:tcPr>
          <w:p w14:paraId="623410F2" w14:textId="77777777" w:rsidR="008F0A77" w:rsidRDefault="008F0A77" w:rsidP="00EF6B7D">
            <w:pPr>
              <w:tabs>
                <w:tab w:val="left" w:pos="318"/>
              </w:tabs>
              <w:jc w:val="center"/>
              <w:rPr>
                <w:sz w:val="18"/>
                <w:szCs w:val="18"/>
                <w:highlight w:val="yellow"/>
              </w:rPr>
            </w:pPr>
          </w:p>
          <w:p w14:paraId="027B0489" w14:textId="77777777" w:rsidR="008F0A77" w:rsidRDefault="008F0A77" w:rsidP="00EF6B7D">
            <w:pPr>
              <w:tabs>
                <w:tab w:val="left" w:pos="318"/>
              </w:tabs>
              <w:jc w:val="center"/>
              <w:rPr>
                <w:sz w:val="18"/>
                <w:szCs w:val="18"/>
              </w:rPr>
            </w:pPr>
            <w:r>
              <w:rPr>
                <w:sz w:val="18"/>
                <w:szCs w:val="18"/>
              </w:rPr>
              <w:lastRenderedPageBreak/>
              <w:t>95 (46.1)</w:t>
            </w:r>
          </w:p>
          <w:p w14:paraId="4469AF78" w14:textId="77777777" w:rsidR="008F0A77" w:rsidRDefault="008F0A77" w:rsidP="00EF6B7D">
            <w:pPr>
              <w:tabs>
                <w:tab w:val="left" w:pos="318"/>
              </w:tabs>
              <w:jc w:val="center"/>
              <w:rPr>
                <w:sz w:val="18"/>
                <w:szCs w:val="18"/>
              </w:rPr>
            </w:pPr>
            <w:r>
              <w:rPr>
                <w:sz w:val="18"/>
                <w:szCs w:val="18"/>
              </w:rPr>
              <w:t>105 (51.0)</w:t>
            </w:r>
          </w:p>
          <w:p w14:paraId="257D752D" w14:textId="77777777" w:rsidR="008F0A77" w:rsidRDefault="008F0A77" w:rsidP="00EF6B7D">
            <w:pPr>
              <w:tabs>
                <w:tab w:val="left" w:pos="318"/>
              </w:tabs>
              <w:jc w:val="center"/>
              <w:rPr>
                <w:sz w:val="18"/>
                <w:szCs w:val="18"/>
                <w:highlight w:val="yellow"/>
              </w:rPr>
            </w:pPr>
            <w:r>
              <w:rPr>
                <w:sz w:val="18"/>
                <w:szCs w:val="18"/>
              </w:rPr>
              <w:t>6 (2.9)</w:t>
            </w:r>
          </w:p>
        </w:tc>
      </w:tr>
      <w:tr w:rsidR="008F0A77" w14:paraId="50F12E55" w14:textId="77777777" w:rsidTr="00EF6B7D">
        <w:trPr>
          <w:jc w:val="center"/>
        </w:trPr>
        <w:tc>
          <w:tcPr>
            <w:tcW w:w="3544" w:type="dxa"/>
            <w:tcBorders>
              <w:top w:val="single" w:sz="4" w:space="0" w:color="000000"/>
              <w:left w:val="nil"/>
              <w:bottom w:val="single" w:sz="4" w:space="0" w:color="000000"/>
              <w:right w:val="nil"/>
            </w:tcBorders>
          </w:tcPr>
          <w:p w14:paraId="2F6B48BD" w14:textId="77777777" w:rsidR="008F0A77" w:rsidRDefault="008F0A77" w:rsidP="00EF6B7D">
            <w:pPr>
              <w:tabs>
                <w:tab w:val="left" w:pos="34"/>
              </w:tabs>
              <w:ind w:left="318" w:hanging="284"/>
              <w:rPr>
                <w:sz w:val="18"/>
                <w:szCs w:val="18"/>
              </w:rPr>
            </w:pPr>
            <w:r>
              <w:rPr>
                <w:b/>
                <w:sz w:val="18"/>
                <w:szCs w:val="18"/>
              </w:rPr>
              <w:lastRenderedPageBreak/>
              <w:t>User’s diagnosis</w:t>
            </w:r>
          </w:p>
          <w:p w14:paraId="41D23CAC" w14:textId="77777777" w:rsidR="008F0A77" w:rsidRDefault="008F0A77" w:rsidP="00EF6B7D">
            <w:pPr>
              <w:tabs>
                <w:tab w:val="left" w:pos="34"/>
                <w:tab w:val="left" w:pos="176"/>
              </w:tabs>
              <w:ind w:left="176"/>
              <w:rPr>
                <w:sz w:val="18"/>
                <w:szCs w:val="18"/>
              </w:rPr>
            </w:pPr>
            <w:r>
              <w:rPr>
                <w:sz w:val="18"/>
                <w:szCs w:val="18"/>
              </w:rPr>
              <w:t>Schizophrenia</w:t>
            </w:r>
          </w:p>
          <w:p w14:paraId="396E6D4C" w14:textId="77777777" w:rsidR="008F0A77" w:rsidRDefault="008F0A77" w:rsidP="00EF6B7D">
            <w:pPr>
              <w:tabs>
                <w:tab w:val="left" w:pos="34"/>
                <w:tab w:val="left" w:pos="176"/>
              </w:tabs>
              <w:ind w:left="176"/>
              <w:rPr>
                <w:sz w:val="18"/>
                <w:szCs w:val="18"/>
              </w:rPr>
            </w:pPr>
            <w:r>
              <w:rPr>
                <w:sz w:val="18"/>
                <w:szCs w:val="18"/>
              </w:rPr>
              <w:t>Alcohol/Drugs</w:t>
            </w:r>
          </w:p>
          <w:p w14:paraId="5C63DC24" w14:textId="77777777" w:rsidR="008F0A77" w:rsidRDefault="008F0A77" w:rsidP="00EF6B7D">
            <w:pPr>
              <w:tabs>
                <w:tab w:val="left" w:pos="34"/>
                <w:tab w:val="left" w:pos="176"/>
              </w:tabs>
              <w:ind w:left="176"/>
              <w:rPr>
                <w:sz w:val="18"/>
                <w:szCs w:val="18"/>
              </w:rPr>
            </w:pPr>
            <w:r>
              <w:rPr>
                <w:sz w:val="18"/>
                <w:szCs w:val="18"/>
              </w:rPr>
              <w:t>Mood Disorder</w:t>
            </w:r>
          </w:p>
          <w:p w14:paraId="7E01419E" w14:textId="77777777" w:rsidR="008F0A77" w:rsidRDefault="008F0A77" w:rsidP="00EF6B7D">
            <w:pPr>
              <w:tabs>
                <w:tab w:val="left" w:pos="34"/>
                <w:tab w:val="left" w:pos="176"/>
              </w:tabs>
              <w:ind w:left="176"/>
              <w:rPr>
                <w:sz w:val="18"/>
                <w:szCs w:val="18"/>
              </w:rPr>
            </w:pPr>
            <w:r>
              <w:rPr>
                <w:sz w:val="18"/>
                <w:szCs w:val="18"/>
              </w:rPr>
              <w:t>Other</w:t>
            </w:r>
          </w:p>
          <w:p w14:paraId="113F43DC" w14:textId="77777777" w:rsidR="008F0A77" w:rsidRDefault="008F0A77" w:rsidP="00EF6B7D">
            <w:pPr>
              <w:tabs>
                <w:tab w:val="left" w:pos="34"/>
                <w:tab w:val="left" w:pos="176"/>
              </w:tabs>
              <w:ind w:left="176"/>
              <w:rPr>
                <w:sz w:val="18"/>
                <w:szCs w:val="18"/>
              </w:rPr>
            </w:pPr>
            <w:r>
              <w:rPr>
                <w:sz w:val="18"/>
                <w:szCs w:val="18"/>
              </w:rPr>
              <w:t xml:space="preserve">Missing </w:t>
            </w:r>
          </w:p>
        </w:tc>
        <w:tc>
          <w:tcPr>
            <w:tcW w:w="1843" w:type="dxa"/>
            <w:tcBorders>
              <w:top w:val="single" w:sz="4" w:space="0" w:color="000000"/>
              <w:left w:val="nil"/>
              <w:bottom w:val="single" w:sz="4" w:space="0" w:color="000000"/>
              <w:right w:val="nil"/>
            </w:tcBorders>
            <w:shd w:val="clear" w:color="auto" w:fill="auto"/>
          </w:tcPr>
          <w:p w14:paraId="431B1355" w14:textId="77777777" w:rsidR="008F0A77" w:rsidRDefault="008F0A77" w:rsidP="00EF6B7D">
            <w:pPr>
              <w:tabs>
                <w:tab w:val="left" w:pos="318"/>
              </w:tabs>
              <w:jc w:val="center"/>
              <w:rPr>
                <w:sz w:val="18"/>
                <w:szCs w:val="18"/>
              </w:rPr>
            </w:pPr>
          </w:p>
          <w:p w14:paraId="00C17781" w14:textId="77777777" w:rsidR="008F0A77" w:rsidRDefault="008F0A77" w:rsidP="00EF6B7D">
            <w:pPr>
              <w:tabs>
                <w:tab w:val="left" w:pos="318"/>
              </w:tabs>
              <w:jc w:val="center"/>
              <w:rPr>
                <w:sz w:val="18"/>
                <w:szCs w:val="18"/>
              </w:rPr>
            </w:pPr>
            <w:r>
              <w:rPr>
                <w:sz w:val="18"/>
                <w:szCs w:val="18"/>
              </w:rPr>
              <w:t>60 (29.0)</w:t>
            </w:r>
          </w:p>
          <w:p w14:paraId="19123841" w14:textId="77777777" w:rsidR="008F0A77" w:rsidRDefault="008F0A77" w:rsidP="00EF6B7D">
            <w:pPr>
              <w:tabs>
                <w:tab w:val="left" w:pos="318"/>
              </w:tabs>
              <w:jc w:val="center"/>
              <w:rPr>
                <w:sz w:val="18"/>
                <w:szCs w:val="18"/>
              </w:rPr>
            </w:pPr>
            <w:r>
              <w:rPr>
                <w:sz w:val="18"/>
                <w:szCs w:val="18"/>
              </w:rPr>
              <w:t>22 (10.6)</w:t>
            </w:r>
          </w:p>
          <w:p w14:paraId="6B04C56B" w14:textId="77777777" w:rsidR="008F0A77" w:rsidRDefault="008F0A77" w:rsidP="00EF6B7D">
            <w:pPr>
              <w:tabs>
                <w:tab w:val="left" w:pos="318"/>
              </w:tabs>
              <w:jc w:val="center"/>
              <w:rPr>
                <w:sz w:val="18"/>
                <w:szCs w:val="18"/>
              </w:rPr>
            </w:pPr>
            <w:r>
              <w:rPr>
                <w:sz w:val="18"/>
                <w:szCs w:val="18"/>
              </w:rPr>
              <w:t>62 (30.0)</w:t>
            </w:r>
          </w:p>
          <w:p w14:paraId="31167ADE" w14:textId="77777777" w:rsidR="008F0A77" w:rsidRDefault="008F0A77" w:rsidP="00EF6B7D">
            <w:pPr>
              <w:tabs>
                <w:tab w:val="left" w:pos="318"/>
              </w:tabs>
              <w:jc w:val="center"/>
              <w:rPr>
                <w:sz w:val="18"/>
                <w:szCs w:val="18"/>
              </w:rPr>
            </w:pPr>
            <w:r>
              <w:rPr>
                <w:sz w:val="18"/>
                <w:szCs w:val="18"/>
              </w:rPr>
              <w:t>10 (4.8)</w:t>
            </w:r>
          </w:p>
          <w:p w14:paraId="4674628D" w14:textId="77777777" w:rsidR="008F0A77" w:rsidRDefault="008F0A77" w:rsidP="00EF6B7D">
            <w:pPr>
              <w:tabs>
                <w:tab w:val="left" w:pos="318"/>
              </w:tabs>
              <w:jc w:val="center"/>
              <w:rPr>
                <w:sz w:val="18"/>
                <w:szCs w:val="18"/>
              </w:rPr>
            </w:pPr>
            <w:r>
              <w:rPr>
                <w:sz w:val="18"/>
                <w:szCs w:val="18"/>
              </w:rPr>
              <w:t>53 (25,6)</w:t>
            </w:r>
          </w:p>
        </w:tc>
        <w:tc>
          <w:tcPr>
            <w:tcW w:w="2126" w:type="dxa"/>
            <w:tcBorders>
              <w:top w:val="single" w:sz="4" w:space="0" w:color="000000"/>
              <w:left w:val="nil"/>
              <w:bottom w:val="single" w:sz="4" w:space="0" w:color="000000"/>
              <w:right w:val="nil"/>
            </w:tcBorders>
          </w:tcPr>
          <w:p w14:paraId="79F59522" w14:textId="77777777" w:rsidR="008F0A77" w:rsidRDefault="008F0A77" w:rsidP="00EF6B7D">
            <w:pPr>
              <w:tabs>
                <w:tab w:val="left" w:pos="318"/>
              </w:tabs>
              <w:jc w:val="center"/>
              <w:rPr>
                <w:sz w:val="18"/>
                <w:szCs w:val="18"/>
                <w:highlight w:val="yellow"/>
              </w:rPr>
            </w:pPr>
          </w:p>
          <w:p w14:paraId="5D67385B" w14:textId="77777777" w:rsidR="008F0A77" w:rsidRDefault="008F0A77" w:rsidP="00EF6B7D">
            <w:pPr>
              <w:tabs>
                <w:tab w:val="left" w:pos="318"/>
              </w:tabs>
              <w:jc w:val="center"/>
              <w:rPr>
                <w:sz w:val="18"/>
                <w:szCs w:val="18"/>
              </w:rPr>
            </w:pPr>
            <w:r>
              <w:rPr>
                <w:sz w:val="18"/>
                <w:szCs w:val="18"/>
              </w:rPr>
              <w:t>94 (45.6)</w:t>
            </w:r>
          </w:p>
          <w:p w14:paraId="5BE9D067" w14:textId="77777777" w:rsidR="008F0A77" w:rsidRDefault="008F0A77" w:rsidP="00EF6B7D">
            <w:pPr>
              <w:tabs>
                <w:tab w:val="left" w:pos="318"/>
              </w:tabs>
              <w:jc w:val="center"/>
              <w:rPr>
                <w:sz w:val="18"/>
                <w:szCs w:val="18"/>
              </w:rPr>
            </w:pPr>
            <w:r>
              <w:rPr>
                <w:sz w:val="18"/>
                <w:szCs w:val="18"/>
              </w:rPr>
              <w:t>38 (18.5)</w:t>
            </w:r>
          </w:p>
          <w:p w14:paraId="33ECD4FD" w14:textId="77777777" w:rsidR="008F0A77" w:rsidRDefault="008F0A77" w:rsidP="00EF6B7D">
            <w:pPr>
              <w:tabs>
                <w:tab w:val="left" w:pos="318"/>
              </w:tabs>
              <w:jc w:val="center"/>
              <w:rPr>
                <w:sz w:val="18"/>
                <w:szCs w:val="18"/>
              </w:rPr>
            </w:pPr>
            <w:r>
              <w:rPr>
                <w:sz w:val="18"/>
                <w:szCs w:val="18"/>
              </w:rPr>
              <w:t>34 (16.5)</w:t>
            </w:r>
          </w:p>
          <w:p w14:paraId="1FB3B206" w14:textId="77777777" w:rsidR="008F0A77" w:rsidRDefault="008F0A77" w:rsidP="00EF6B7D">
            <w:pPr>
              <w:tabs>
                <w:tab w:val="left" w:pos="318"/>
              </w:tabs>
              <w:jc w:val="center"/>
              <w:rPr>
                <w:sz w:val="18"/>
                <w:szCs w:val="18"/>
              </w:rPr>
            </w:pPr>
            <w:r>
              <w:rPr>
                <w:sz w:val="18"/>
                <w:szCs w:val="18"/>
              </w:rPr>
              <w:t>40 (19.4)</w:t>
            </w:r>
          </w:p>
          <w:p w14:paraId="4BC147ED" w14:textId="77777777" w:rsidR="008F0A77" w:rsidRDefault="008F0A77" w:rsidP="00EF6B7D">
            <w:pPr>
              <w:tabs>
                <w:tab w:val="left" w:pos="318"/>
              </w:tabs>
              <w:jc w:val="center"/>
              <w:rPr>
                <w:sz w:val="18"/>
                <w:szCs w:val="18"/>
              </w:rPr>
            </w:pPr>
            <w:r>
              <w:rPr>
                <w:sz w:val="18"/>
                <w:szCs w:val="18"/>
              </w:rPr>
              <w:t>0</w:t>
            </w:r>
          </w:p>
        </w:tc>
      </w:tr>
      <w:tr w:rsidR="008F0A77" w14:paraId="672BF409" w14:textId="77777777" w:rsidTr="00EF6B7D">
        <w:trPr>
          <w:jc w:val="center"/>
        </w:trPr>
        <w:tc>
          <w:tcPr>
            <w:tcW w:w="3544" w:type="dxa"/>
            <w:tcBorders>
              <w:top w:val="single" w:sz="4" w:space="0" w:color="000000"/>
              <w:left w:val="nil"/>
              <w:bottom w:val="single" w:sz="4" w:space="0" w:color="000000"/>
              <w:right w:val="nil"/>
            </w:tcBorders>
          </w:tcPr>
          <w:p w14:paraId="4F8B478C" w14:textId="77777777" w:rsidR="008F0A77" w:rsidRDefault="008F0A77" w:rsidP="00EF6B7D">
            <w:pPr>
              <w:tabs>
                <w:tab w:val="left" w:pos="34"/>
              </w:tabs>
              <w:ind w:left="318" w:hanging="284"/>
              <w:rPr>
                <w:sz w:val="18"/>
                <w:szCs w:val="18"/>
              </w:rPr>
            </w:pPr>
            <w:r>
              <w:rPr>
                <w:b/>
                <w:sz w:val="18"/>
                <w:szCs w:val="18"/>
              </w:rPr>
              <w:t>Service</w:t>
            </w:r>
          </w:p>
          <w:p w14:paraId="2D44A971" w14:textId="77777777" w:rsidR="008F0A77" w:rsidRDefault="008F0A77" w:rsidP="00EF6B7D">
            <w:pPr>
              <w:tabs>
                <w:tab w:val="left" w:pos="34"/>
                <w:tab w:val="left" w:pos="176"/>
              </w:tabs>
              <w:ind w:left="176"/>
              <w:rPr>
                <w:sz w:val="18"/>
                <w:szCs w:val="18"/>
              </w:rPr>
            </w:pPr>
            <w:r>
              <w:rPr>
                <w:sz w:val="18"/>
                <w:szCs w:val="18"/>
              </w:rPr>
              <w:t>CAPS</w:t>
            </w:r>
          </w:p>
          <w:p w14:paraId="3E2516E3" w14:textId="77777777" w:rsidR="008F0A77" w:rsidRDefault="008F0A77" w:rsidP="00EF6B7D">
            <w:pPr>
              <w:tabs>
                <w:tab w:val="left" w:pos="34"/>
                <w:tab w:val="left" w:pos="176"/>
              </w:tabs>
              <w:ind w:left="176"/>
              <w:rPr>
                <w:sz w:val="18"/>
                <w:szCs w:val="18"/>
              </w:rPr>
            </w:pPr>
            <w:r>
              <w:rPr>
                <w:sz w:val="18"/>
                <w:szCs w:val="18"/>
              </w:rPr>
              <w:t>CAPS AD</w:t>
            </w:r>
          </w:p>
          <w:p w14:paraId="2FEBDD34" w14:textId="77777777" w:rsidR="008F0A77" w:rsidRDefault="008F0A77" w:rsidP="00EF6B7D">
            <w:pPr>
              <w:tabs>
                <w:tab w:val="left" w:pos="34"/>
                <w:tab w:val="left" w:pos="176"/>
              </w:tabs>
              <w:ind w:left="176"/>
              <w:rPr>
                <w:sz w:val="18"/>
                <w:szCs w:val="18"/>
              </w:rPr>
            </w:pPr>
            <w:r>
              <w:rPr>
                <w:sz w:val="18"/>
                <w:szCs w:val="18"/>
              </w:rPr>
              <w:t>Others</w:t>
            </w:r>
            <w:r>
              <w:rPr>
                <w:sz w:val="18"/>
                <w:szCs w:val="18"/>
                <w:vertAlign w:val="superscript"/>
              </w:rPr>
              <w:t xml:space="preserve"> </w:t>
            </w:r>
            <w:r>
              <w:rPr>
                <w:sz w:val="18"/>
                <w:szCs w:val="18"/>
              </w:rPr>
              <w:t>(CECO and NOT)</w:t>
            </w:r>
          </w:p>
        </w:tc>
        <w:tc>
          <w:tcPr>
            <w:tcW w:w="1843" w:type="dxa"/>
            <w:tcBorders>
              <w:top w:val="single" w:sz="4" w:space="0" w:color="000000"/>
              <w:left w:val="nil"/>
              <w:bottom w:val="single" w:sz="4" w:space="0" w:color="000000"/>
              <w:right w:val="nil"/>
            </w:tcBorders>
          </w:tcPr>
          <w:p w14:paraId="0691EC76" w14:textId="77777777" w:rsidR="008F0A77" w:rsidRDefault="008F0A77" w:rsidP="00EF6B7D">
            <w:pPr>
              <w:tabs>
                <w:tab w:val="left" w:pos="318"/>
              </w:tabs>
              <w:rPr>
                <w:color w:val="FF0000"/>
                <w:sz w:val="18"/>
                <w:szCs w:val="18"/>
              </w:rPr>
            </w:pPr>
          </w:p>
          <w:p w14:paraId="272912CE" w14:textId="77777777" w:rsidR="008F0A77" w:rsidRDefault="008F0A77" w:rsidP="00EF6B7D">
            <w:pPr>
              <w:tabs>
                <w:tab w:val="left" w:pos="318"/>
              </w:tabs>
              <w:jc w:val="center"/>
              <w:rPr>
                <w:sz w:val="18"/>
                <w:szCs w:val="18"/>
              </w:rPr>
            </w:pPr>
            <w:r>
              <w:rPr>
                <w:sz w:val="18"/>
                <w:szCs w:val="18"/>
              </w:rPr>
              <w:t>76 (36.7)</w:t>
            </w:r>
          </w:p>
          <w:p w14:paraId="6DC33B8E" w14:textId="77777777" w:rsidR="008F0A77" w:rsidRDefault="008F0A77" w:rsidP="00EF6B7D">
            <w:pPr>
              <w:tabs>
                <w:tab w:val="left" w:pos="318"/>
              </w:tabs>
              <w:jc w:val="center"/>
              <w:rPr>
                <w:sz w:val="18"/>
                <w:szCs w:val="18"/>
              </w:rPr>
            </w:pPr>
            <w:r>
              <w:rPr>
                <w:sz w:val="18"/>
                <w:szCs w:val="18"/>
              </w:rPr>
              <w:t>74 (35.7)</w:t>
            </w:r>
          </w:p>
          <w:p w14:paraId="75D0A4CD" w14:textId="77777777" w:rsidR="008F0A77" w:rsidRDefault="008F0A77" w:rsidP="00EF6B7D">
            <w:pPr>
              <w:tabs>
                <w:tab w:val="left" w:pos="318"/>
              </w:tabs>
              <w:jc w:val="center"/>
              <w:rPr>
                <w:color w:val="FF0000"/>
                <w:sz w:val="18"/>
                <w:szCs w:val="18"/>
              </w:rPr>
            </w:pPr>
            <w:r>
              <w:rPr>
                <w:sz w:val="18"/>
                <w:szCs w:val="18"/>
              </w:rPr>
              <w:t>57 (27.5)</w:t>
            </w:r>
          </w:p>
        </w:tc>
        <w:tc>
          <w:tcPr>
            <w:tcW w:w="2126" w:type="dxa"/>
            <w:tcBorders>
              <w:top w:val="single" w:sz="4" w:space="0" w:color="000000"/>
              <w:left w:val="nil"/>
              <w:bottom w:val="single" w:sz="4" w:space="0" w:color="000000"/>
              <w:right w:val="nil"/>
            </w:tcBorders>
          </w:tcPr>
          <w:p w14:paraId="604F542B" w14:textId="77777777" w:rsidR="008F0A77" w:rsidRDefault="008F0A77" w:rsidP="00EF6B7D">
            <w:pPr>
              <w:tabs>
                <w:tab w:val="left" w:pos="318"/>
              </w:tabs>
              <w:jc w:val="center"/>
              <w:rPr>
                <w:sz w:val="18"/>
                <w:szCs w:val="18"/>
              </w:rPr>
            </w:pPr>
          </w:p>
          <w:p w14:paraId="5E5CCDA9" w14:textId="77777777" w:rsidR="008F0A77" w:rsidRDefault="008F0A77" w:rsidP="00EF6B7D">
            <w:pPr>
              <w:tabs>
                <w:tab w:val="left" w:pos="318"/>
              </w:tabs>
              <w:jc w:val="center"/>
              <w:rPr>
                <w:sz w:val="18"/>
                <w:szCs w:val="18"/>
              </w:rPr>
            </w:pPr>
            <w:r>
              <w:rPr>
                <w:sz w:val="18"/>
                <w:szCs w:val="18"/>
              </w:rPr>
              <w:t>123 (59.7)</w:t>
            </w:r>
          </w:p>
          <w:p w14:paraId="294AB6A5" w14:textId="77777777" w:rsidR="008F0A77" w:rsidRDefault="008F0A77" w:rsidP="00EF6B7D">
            <w:pPr>
              <w:tabs>
                <w:tab w:val="left" w:pos="318"/>
              </w:tabs>
              <w:jc w:val="center"/>
              <w:rPr>
                <w:sz w:val="18"/>
                <w:szCs w:val="18"/>
              </w:rPr>
            </w:pPr>
            <w:r>
              <w:rPr>
                <w:sz w:val="18"/>
                <w:szCs w:val="18"/>
              </w:rPr>
              <w:t>49 (23.8)</w:t>
            </w:r>
          </w:p>
          <w:p w14:paraId="324DA126" w14:textId="77777777" w:rsidR="008F0A77" w:rsidRDefault="008F0A77" w:rsidP="00EF6B7D">
            <w:pPr>
              <w:tabs>
                <w:tab w:val="left" w:pos="318"/>
              </w:tabs>
              <w:jc w:val="center"/>
              <w:rPr>
                <w:b/>
                <w:sz w:val="18"/>
                <w:szCs w:val="18"/>
              </w:rPr>
            </w:pPr>
            <w:r>
              <w:rPr>
                <w:sz w:val="18"/>
                <w:szCs w:val="18"/>
              </w:rPr>
              <w:t>34 (16.5)</w:t>
            </w:r>
          </w:p>
        </w:tc>
      </w:tr>
      <w:tr w:rsidR="008F0A77" w14:paraId="59667DE4" w14:textId="77777777" w:rsidTr="00EF6B7D">
        <w:trPr>
          <w:jc w:val="center"/>
        </w:trPr>
        <w:tc>
          <w:tcPr>
            <w:tcW w:w="3544" w:type="dxa"/>
            <w:tcBorders>
              <w:top w:val="single" w:sz="4" w:space="0" w:color="000000"/>
              <w:left w:val="nil"/>
              <w:bottom w:val="single" w:sz="4" w:space="0" w:color="000000"/>
              <w:right w:val="nil"/>
            </w:tcBorders>
          </w:tcPr>
          <w:p w14:paraId="1C3DF72E" w14:textId="77777777" w:rsidR="008F0A77" w:rsidRDefault="008F0A77" w:rsidP="00EF6B7D">
            <w:pPr>
              <w:tabs>
                <w:tab w:val="left" w:pos="34"/>
              </w:tabs>
              <w:ind w:left="318" w:hanging="284"/>
              <w:rPr>
                <w:b/>
                <w:sz w:val="18"/>
                <w:szCs w:val="18"/>
              </w:rPr>
            </w:pPr>
            <w:r>
              <w:rPr>
                <w:b/>
                <w:sz w:val="18"/>
                <w:szCs w:val="18"/>
              </w:rPr>
              <w:t>Treatment time</w:t>
            </w:r>
          </w:p>
          <w:p w14:paraId="1040677F" w14:textId="77777777" w:rsidR="008F0A77" w:rsidRDefault="008F0A77" w:rsidP="00EF6B7D">
            <w:pPr>
              <w:tabs>
                <w:tab w:val="left" w:pos="34"/>
                <w:tab w:val="left" w:pos="176"/>
              </w:tabs>
              <w:ind w:left="176"/>
              <w:rPr>
                <w:sz w:val="18"/>
                <w:szCs w:val="18"/>
              </w:rPr>
            </w:pPr>
            <w:r>
              <w:rPr>
                <w:sz w:val="18"/>
                <w:szCs w:val="18"/>
              </w:rPr>
              <w:t>Less than 1 year</w:t>
            </w:r>
          </w:p>
          <w:p w14:paraId="11CF2711" w14:textId="77777777" w:rsidR="008F0A77" w:rsidRDefault="008F0A77" w:rsidP="00EF6B7D">
            <w:pPr>
              <w:tabs>
                <w:tab w:val="left" w:pos="34"/>
                <w:tab w:val="left" w:pos="176"/>
              </w:tabs>
              <w:ind w:left="176"/>
              <w:rPr>
                <w:sz w:val="18"/>
                <w:szCs w:val="18"/>
              </w:rPr>
            </w:pPr>
            <w:r>
              <w:rPr>
                <w:sz w:val="18"/>
                <w:szCs w:val="18"/>
              </w:rPr>
              <w:t>1 to 3 years</w:t>
            </w:r>
          </w:p>
          <w:p w14:paraId="531A65EE" w14:textId="77777777" w:rsidR="008F0A77" w:rsidRDefault="008F0A77" w:rsidP="00EF6B7D">
            <w:pPr>
              <w:tabs>
                <w:tab w:val="left" w:pos="34"/>
                <w:tab w:val="left" w:pos="176"/>
              </w:tabs>
              <w:ind w:left="176"/>
              <w:rPr>
                <w:sz w:val="18"/>
                <w:szCs w:val="18"/>
              </w:rPr>
            </w:pPr>
            <w:r>
              <w:rPr>
                <w:sz w:val="18"/>
                <w:szCs w:val="18"/>
              </w:rPr>
              <w:t>3 to 6 years</w:t>
            </w:r>
          </w:p>
          <w:p w14:paraId="36C5427D" w14:textId="77777777" w:rsidR="008F0A77" w:rsidRDefault="008F0A77" w:rsidP="00EF6B7D">
            <w:pPr>
              <w:tabs>
                <w:tab w:val="left" w:pos="34"/>
                <w:tab w:val="left" w:pos="176"/>
              </w:tabs>
              <w:ind w:left="176"/>
              <w:rPr>
                <w:sz w:val="18"/>
                <w:szCs w:val="18"/>
              </w:rPr>
            </w:pPr>
            <w:r>
              <w:rPr>
                <w:sz w:val="18"/>
                <w:szCs w:val="18"/>
              </w:rPr>
              <w:t>Over 6 years</w:t>
            </w:r>
          </w:p>
        </w:tc>
        <w:tc>
          <w:tcPr>
            <w:tcW w:w="1843" w:type="dxa"/>
            <w:tcBorders>
              <w:top w:val="single" w:sz="4" w:space="0" w:color="000000"/>
              <w:left w:val="nil"/>
              <w:bottom w:val="single" w:sz="4" w:space="0" w:color="000000"/>
              <w:right w:val="nil"/>
            </w:tcBorders>
          </w:tcPr>
          <w:p w14:paraId="489485E2" w14:textId="77777777" w:rsidR="008F0A77" w:rsidRDefault="008F0A77" w:rsidP="00EF6B7D">
            <w:pPr>
              <w:tabs>
                <w:tab w:val="left" w:pos="318"/>
              </w:tabs>
              <w:jc w:val="center"/>
              <w:rPr>
                <w:color w:val="FF0000"/>
                <w:sz w:val="18"/>
                <w:szCs w:val="18"/>
                <w:highlight w:val="yellow"/>
              </w:rPr>
            </w:pPr>
          </w:p>
          <w:p w14:paraId="04E10C17" w14:textId="77777777" w:rsidR="008F0A77" w:rsidRDefault="008F0A77" w:rsidP="00EF6B7D">
            <w:pPr>
              <w:tabs>
                <w:tab w:val="left" w:pos="318"/>
              </w:tabs>
              <w:jc w:val="center"/>
              <w:rPr>
                <w:sz w:val="18"/>
                <w:szCs w:val="18"/>
              </w:rPr>
            </w:pPr>
            <w:r>
              <w:rPr>
                <w:sz w:val="18"/>
                <w:szCs w:val="18"/>
              </w:rPr>
              <w:t>16 (7.7)</w:t>
            </w:r>
          </w:p>
          <w:p w14:paraId="489991CA" w14:textId="77777777" w:rsidR="008F0A77" w:rsidRDefault="008F0A77" w:rsidP="00EF6B7D">
            <w:pPr>
              <w:tabs>
                <w:tab w:val="left" w:pos="318"/>
              </w:tabs>
              <w:jc w:val="center"/>
              <w:rPr>
                <w:sz w:val="18"/>
                <w:szCs w:val="18"/>
              </w:rPr>
            </w:pPr>
            <w:r>
              <w:rPr>
                <w:sz w:val="18"/>
                <w:szCs w:val="18"/>
              </w:rPr>
              <w:t>36 (17.4)</w:t>
            </w:r>
          </w:p>
          <w:p w14:paraId="467ADE81" w14:textId="77777777" w:rsidR="008F0A77" w:rsidRDefault="008F0A77" w:rsidP="00EF6B7D">
            <w:pPr>
              <w:tabs>
                <w:tab w:val="left" w:pos="318"/>
              </w:tabs>
              <w:jc w:val="center"/>
              <w:rPr>
                <w:sz w:val="18"/>
                <w:szCs w:val="18"/>
              </w:rPr>
            </w:pPr>
            <w:r>
              <w:rPr>
                <w:sz w:val="18"/>
                <w:szCs w:val="18"/>
              </w:rPr>
              <w:t>42 (20.3)</w:t>
            </w:r>
          </w:p>
          <w:p w14:paraId="72B6D8D2" w14:textId="77777777" w:rsidR="008F0A77" w:rsidRDefault="008F0A77" w:rsidP="00EF6B7D">
            <w:pPr>
              <w:tabs>
                <w:tab w:val="left" w:pos="318"/>
              </w:tabs>
              <w:jc w:val="center"/>
              <w:rPr>
                <w:color w:val="FF0000"/>
                <w:sz w:val="18"/>
                <w:szCs w:val="18"/>
              </w:rPr>
            </w:pPr>
            <w:r>
              <w:rPr>
                <w:sz w:val="18"/>
                <w:szCs w:val="18"/>
              </w:rPr>
              <w:t>113 (54.6)</w:t>
            </w:r>
          </w:p>
        </w:tc>
        <w:tc>
          <w:tcPr>
            <w:tcW w:w="2126" w:type="dxa"/>
            <w:tcBorders>
              <w:top w:val="single" w:sz="4" w:space="0" w:color="000000"/>
              <w:left w:val="nil"/>
              <w:bottom w:val="single" w:sz="4" w:space="0" w:color="000000"/>
              <w:right w:val="nil"/>
            </w:tcBorders>
          </w:tcPr>
          <w:p w14:paraId="6BA8E7F2" w14:textId="77777777" w:rsidR="008F0A77" w:rsidRDefault="008F0A77" w:rsidP="00EF6B7D">
            <w:pPr>
              <w:tabs>
                <w:tab w:val="left" w:pos="318"/>
              </w:tabs>
              <w:jc w:val="center"/>
              <w:rPr>
                <w:sz w:val="18"/>
                <w:szCs w:val="18"/>
                <w:highlight w:val="yellow"/>
              </w:rPr>
            </w:pPr>
          </w:p>
          <w:p w14:paraId="49D73243" w14:textId="77777777" w:rsidR="008F0A77" w:rsidRDefault="008F0A77" w:rsidP="00EF6B7D">
            <w:pPr>
              <w:tabs>
                <w:tab w:val="left" w:pos="318"/>
              </w:tabs>
              <w:jc w:val="center"/>
              <w:rPr>
                <w:sz w:val="18"/>
                <w:szCs w:val="18"/>
              </w:rPr>
            </w:pPr>
            <w:r>
              <w:rPr>
                <w:sz w:val="18"/>
                <w:szCs w:val="18"/>
              </w:rPr>
              <w:t>24 (11.7)</w:t>
            </w:r>
          </w:p>
          <w:p w14:paraId="5FB01E36" w14:textId="77777777" w:rsidR="008F0A77" w:rsidRDefault="008F0A77" w:rsidP="00EF6B7D">
            <w:pPr>
              <w:tabs>
                <w:tab w:val="left" w:pos="318"/>
              </w:tabs>
              <w:jc w:val="center"/>
              <w:rPr>
                <w:sz w:val="18"/>
                <w:szCs w:val="18"/>
              </w:rPr>
            </w:pPr>
            <w:r>
              <w:rPr>
                <w:sz w:val="18"/>
                <w:szCs w:val="18"/>
              </w:rPr>
              <w:t>60 (29.3)</w:t>
            </w:r>
          </w:p>
          <w:p w14:paraId="0283F0B6" w14:textId="77777777" w:rsidR="008F0A77" w:rsidRDefault="008F0A77" w:rsidP="00EF6B7D">
            <w:pPr>
              <w:tabs>
                <w:tab w:val="left" w:pos="318"/>
              </w:tabs>
              <w:jc w:val="center"/>
              <w:rPr>
                <w:sz w:val="18"/>
                <w:szCs w:val="18"/>
              </w:rPr>
            </w:pPr>
            <w:r>
              <w:rPr>
                <w:sz w:val="18"/>
                <w:szCs w:val="18"/>
              </w:rPr>
              <w:t>48 (23.4)</w:t>
            </w:r>
          </w:p>
          <w:p w14:paraId="1AB62998" w14:textId="77777777" w:rsidR="008F0A77" w:rsidRDefault="008F0A77" w:rsidP="00EF6B7D">
            <w:pPr>
              <w:tabs>
                <w:tab w:val="left" w:pos="318"/>
              </w:tabs>
              <w:jc w:val="center"/>
              <w:rPr>
                <w:sz w:val="18"/>
                <w:szCs w:val="18"/>
                <w:highlight w:val="yellow"/>
              </w:rPr>
            </w:pPr>
            <w:r>
              <w:rPr>
                <w:sz w:val="18"/>
                <w:szCs w:val="18"/>
              </w:rPr>
              <w:t>73 (35.6)</w:t>
            </w:r>
          </w:p>
        </w:tc>
      </w:tr>
      <w:tr w:rsidR="008F0A77" w14:paraId="2A37E313" w14:textId="77777777" w:rsidTr="00EF6B7D">
        <w:trPr>
          <w:jc w:val="center"/>
        </w:trPr>
        <w:tc>
          <w:tcPr>
            <w:tcW w:w="3544" w:type="dxa"/>
            <w:tcBorders>
              <w:top w:val="single" w:sz="4" w:space="0" w:color="000000"/>
              <w:left w:val="nil"/>
              <w:bottom w:val="single" w:sz="4" w:space="0" w:color="000000"/>
              <w:right w:val="nil"/>
            </w:tcBorders>
          </w:tcPr>
          <w:p w14:paraId="4BF88438" w14:textId="77777777" w:rsidR="008F0A77" w:rsidRDefault="008F0A77" w:rsidP="00EF6B7D">
            <w:pPr>
              <w:tabs>
                <w:tab w:val="left" w:pos="34"/>
              </w:tabs>
              <w:ind w:left="318" w:hanging="284"/>
              <w:rPr>
                <w:b/>
                <w:sz w:val="18"/>
                <w:szCs w:val="18"/>
              </w:rPr>
            </w:pPr>
            <w:r>
              <w:rPr>
                <w:b/>
                <w:sz w:val="18"/>
                <w:szCs w:val="18"/>
              </w:rPr>
              <w:t>Kinship</w:t>
            </w:r>
          </w:p>
          <w:p w14:paraId="17F543DE" w14:textId="77777777" w:rsidR="008F0A77" w:rsidRDefault="008F0A77" w:rsidP="00EF6B7D">
            <w:pPr>
              <w:tabs>
                <w:tab w:val="left" w:pos="34"/>
                <w:tab w:val="left" w:pos="176"/>
              </w:tabs>
              <w:ind w:left="176"/>
              <w:rPr>
                <w:sz w:val="18"/>
                <w:szCs w:val="18"/>
              </w:rPr>
            </w:pPr>
            <w:r>
              <w:rPr>
                <w:sz w:val="18"/>
                <w:szCs w:val="18"/>
              </w:rPr>
              <w:t>Mother/Father</w:t>
            </w:r>
          </w:p>
          <w:p w14:paraId="3739683A" w14:textId="77777777" w:rsidR="008F0A77" w:rsidRDefault="008F0A77" w:rsidP="00EF6B7D">
            <w:pPr>
              <w:tabs>
                <w:tab w:val="left" w:pos="34"/>
                <w:tab w:val="left" w:pos="176"/>
              </w:tabs>
              <w:ind w:left="176"/>
              <w:rPr>
                <w:sz w:val="18"/>
                <w:szCs w:val="18"/>
              </w:rPr>
            </w:pPr>
            <w:r>
              <w:rPr>
                <w:sz w:val="18"/>
                <w:szCs w:val="18"/>
              </w:rPr>
              <w:t>Brother (sister)</w:t>
            </w:r>
          </w:p>
          <w:p w14:paraId="306044F9" w14:textId="77777777" w:rsidR="008F0A77" w:rsidRDefault="008F0A77" w:rsidP="00EF6B7D">
            <w:pPr>
              <w:tabs>
                <w:tab w:val="left" w:pos="34"/>
                <w:tab w:val="left" w:pos="176"/>
              </w:tabs>
              <w:ind w:left="176"/>
              <w:rPr>
                <w:sz w:val="18"/>
                <w:szCs w:val="18"/>
              </w:rPr>
            </w:pPr>
            <w:r>
              <w:rPr>
                <w:sz w:val="18"/>
                <w:szCs w:val="18"/>
              </w:rPr>
              <w:t>Spouse</w:t>
            </w:r>
          </w:p>
          <w:p w14:paraId="7842DE5E" w14:textId="77777777" w:rsidR="008F0A77" w:rsidRDefault="008F0A77" w:rsidP="00EF6B7D">
            <w:pPr>
              <w:tabs>
                <w:tab w:val="left" w:pos="34"/>
                <w:tab w:val="left" w:pos="176"/>
              </w:tabs>
              <w:ind w:left="176"/>
              <w:rPr>
                <w:sz w:val="18"/>
                <w:szCs w:val="18"/>
              </w:rPr>
            </w:pPr>
            <w:r>
              <w:rPr>
                <w:sz w:val="18"/>
                <w:szCs w:val="18"/>
              </w:rPr>
              <w:t>Child</w:t>
            </w:r>
          </w:p>
          <w:p w14:paraId="3859BB27" w14:textId="77777777" w:rsidR="008F0A77" w:rsidRDefault="008F0A77" w:rsidP="00EF6B7D">
            <w:pPr>
              <w:tabs>
                <w:tab w:val="left" w:pos="34"/>
              </w:tabs>
              <w:ind w:left="318" w:hanging="284"/>
              <w:rPr>
                <w:b/>
                <w:sz w:val="18"/>
                <w:szCs w:val="18"/>
              </w:rPr>
            </w:pPr>
            <w:r>
              <w:rPr>
                <w:sz w:val="18"/>
                <w:szCs w:val="18"/>
              </w:rPr>
              <w:t xml:space="preserve">   Other</w:t>
            </w:r>
          </w:p>
        </w:tc>
        <w:tc>
          <w:tcPr>
            <w:tcW w:w="1843" w:type="dxa"/>
            <w:tcBorders>
              <w:top w:val="single" w:sz="4" w:space="0" w:color="000000"/>
              <w:left w:val="nil"/>
              <w:bottom w:val="single" w:sz="4" w:space="0" w:color="000000"/>
              <w:right w:val="nil"/>
            </w:tcBorders>
          </w:tcPr>
          <w:p w14:paraId="656D9C82" w14:textId="77777777" w:rsidR="008F0A77" w:rsidRDefault="008F0A77" w:rsidP="00EF6B7D">
            <w:pPr>
              <w:tabs>
                <w:tab w:val="left" w:pos="318"/>
              </w:tabs>
              <w:jc w:val="center"/>
              <w:rPr>
                <w:color w:val="FF0000"/>
                <w:sz w:val="18"/>
                <w:szCs w:val="18"/>
                <w:highlight w:val="yellow"/>
              </w:rPr>
            </w:pPr>
          </w:p>
        </w:tc>
        <w:tc>
          <w:tcPr>
            <w:tcW w:w="2126" w:type="dxa"/>
            <w:tcBorders>
              <w:top w:val="single" w:sz="4" w:space="0" w:color="000000"/>
              <w:left w:val="nil"/>
              <w:bottom w:val="single" w:sz="4" w:space="0" w:color="000000"/>
              <w:right w:val="nil"/>
            </w:tcBorders>
          </w:tcPr>
          <w:p w14:paraId="391A2329" w14:textId="77777777" w:rsidR="008F0A77" w:rsidRDefault="008F0A77" w:rsidP="00EF6B7D">
            <w:pPr>
              <w:tabs>
                <w:tab w:val="left" w:pos="318"/>
              </w:tabs>
              <w:jc w:val="center"/>
              <w:rPr>
                <w:sz w:val="18"/>
                <w:szCs w:val="18"/>
                <w:highlight w:val="yellow"/>
              </w:rPr>
            </w:pPr>
          </w:p>
          <w:p w14:paraId="3AC3A001" w14:textId="77777777" w:rsidR="008F0A77" w:rsidRDefault="008F0A77" w:rsidP="00EF6B7D">
            <w:pPr>
              <w:tabs>
                <w:tab w:val="left" w:pos="318"/>
              </w:tabs>
              <w:jc w:val="center"/>
              <w:rPr>
                <w:sz w:val="18"/>
                <w:szCs w:val="18"/>
              </w:rPr>
            </w:pPr>
            <w:r>
              <w:rPr>
                <w:sz w:val="18"/>
                <w:szCs w:val="18"/>
              </w:rPr>
              <w:t>110 (53.4)</w:t>
            </w:r>
          </w:p>
          <w:p w14:paraId="7DDE2478" w14:textId="77777777" w:rsidR="008F0A77" w:rsidRDefault="008F0A77" w:rsidP="00EF6B7D">
            <w:pPr>
              <w:tabs>
                <w:tab w:val="left" w:pos="318"/>
              </w:tabs>
              <w:jc w:val="center"/>
              <w:rPr>
                <w:sz w:val="18"/>
                <w:szCs w:val="18"/>
              </w:rPr>
            </w:pPr>
            <w:r>
              <w:rPr>
                <w:sz w:val="18"/>
                <w:szCs w:val="18"/>
              </w:rPr>
              <w:t>34 (16.5)</w:t>
            </w:r>
          </w:p>
          <w:p w14:paraId="4E2A1531" w14:textId="77777777" w:rsidR="008F0A77" w:rsidRDefault="008F0A77" w:rsidP="00EF6B7D">
            <w:pPr>
              <w:tabs>
                <w:tab w:val="left" w:pos="318"/>
              </w:tabs>
              <w:jc w:val="center"/>
              <w:rPr>
                <w:sz w:val="18"/>
                <w:szCs w:val="18"/>
              </w:rPr>
            </w:pPr>
            <w:r>
              <w:rPr>
                <w:sz w:val="18"/>
                <w:szCs w:val="18"/>
              </w:rPr>
              <w:t>25 (12.1)</w:t>
            </w:r>
          </w:p>
          <w:p w14:paraId="3F7BCD8C" w14:textId="77777777" w:rsidR="008F0A77" w:rsidRDefault="008F0A77" w:rsidP="00EF6B7D">
            <w:pPr>
              <w:tabs>
                <w:tab w:val="left" w:pos="318"/>
              </w:tabs>
              <w:jc w:val="center"/>
              <w:rPr>
                <w:sz w:val="18"/>
                <w:szCs w:val="18"/>
              </w:rPr>
            </w:pPr>
            <w:r>
              <w:rPr>
                <w:sz w:val="18"/>
                <w:szCs w:val="18"/>
              </w:rPr>
              <w:t>14 (6.8)</w:t>
            </w:r>
          </w:p>
          <w:p w14:paraId="0B89380C" w14:textId="77777777" w:rsidR="008F0A77" w:rsidRDefault="008F0A77" w:rsidP="00EF6B7D">
            <w:pPr>
              <w:tabs>
                <w:tab w:val="left" w:pos="318"/>
              </w:tabs>
              <w:jc w:val="center"/>
              <w:rPr>
                <w:sz w:val="18"/>
                <w:szCs w:val="18"/>
                <w:highlight w:val="yellow"/>
              </w:rPr>
            </w:pPr>
            <w:r>
              <w:rPr>
                <w:sz w:val="18"/>
                <w:szCs w:val="18"/>
              </w:rPr>
              <w:t>23 (11.2)</w:t>
            </w:r>
          </w:p>
        </w:tc>
      </w:tr>
    </w:tbl>
    <w:p w14:paraId="348EC7B3" w14:textId="77777777" w:rsidR="008F0A77" w:rsidRDefault="008F0A77" w:rsidP="008F0A77">
      <w:pPr>
        <w:spacing w:line="360" w:lineRule="auto"/>
        <w:ind w:left="-283" w:right="-267" w:firstLine="283"/>
        <w:jc w:val="both"/>
      </w:pPr>
    </w:p>
    <w:p w14:paraId="040E6DF3" w14:textId="77777777" w:rsidR="008F0A77" w:rsidRDefault="008F0A77" w:rsidP="008F0A77">
      <w:pPr>
        <w:spacing w:line="360" w:lineRule="auto"/>
        <w:ind w:left="-283" w:right="-267"/>
        <w:jc w:val="both"/>
        <w:rPr>
          <w:b/>
        </w:rPr>
      </w:pPr>
      <w:r>
        <w:rPr>
          <w:b/>
        </w:rPr>
        <w:t>Reliability study</w:t>
      </w:r>
    </w:p>
    <w:p w14:paraId="389CC225" w14:textId="77777777" w:rsidR="008F0A77" w:rsidRDefault="008F0A77" w:rsidP="008F0A77">
      <w:pPr>
        <w:spacing w:line="360" w:lineRule="auto"/>
        <w:ind w:left="-283" w:right="-267"/>
        <w:jc w:val="both"/>
        <w:rPr>
          <w:b/>
          <w:i/>
        </w:rPr>
      </w:pPr>
      <w:r>
        <w:rPr>
          <w:b/>
          <w:i/>
        </w:rPr>
        <w:t>Internal consistency</w:t>
      </w:r>
    </w:p>
    <w:p w14:paraId="70D0C820" w14:textId="3F9D261E" w:rsidR="008F0A77" w:rsidRDefault="008F0A77" w:rsidP="008F0A77">
      <w:pPr>
        <w:spacing w:line="360" w:lineRule="auto"/>
        <w:ind w:left="-283" w:right="-267" w:firstLine="283"/>
        <w:jc w:val="both"/>
      </w:pPr>
      <w:r>
        <w:t>In the RSA-R Person in Recovery version</w:t>
      </w:r>
      <w:r>
        <w:rPr>
          <w:i/>
        </w:rPr>
        <w:t xml:space="preserve"> </w:t>
      </w:r>
      <w:r>
        <w:t xml:space="preserve">were found three satisfactory domains, α-Cr &gt; 0.7 (life goal, involvement and Individually-tailored services), two acceptable domains (Diversity of treatment options and Choices), </w:t>
      </w:r>
      <w:r>
        <w:rPr>
          <w:highlight w:val="white"/>
        </w:rPr>
        <w:t>For domain 6, we could not calculate the alpha value by the number of items and, according to the literature, at least three to four items are accepted per domain</w:t>
      </w:r>
      <w:r w:rsidR="0030246C">
        <w:rPr>
          <w:highlight w:val="white"/>
        </w:rPr>
        <w:t xml:space="preserve"> </w:t>
      </w:r>
      <w:r w:rsidR="0030246C">
        <w:rPr>
          <w:highlight w:val="white"/>
        </w:rPr>
        <w:fldChar w:fldCharType="begin" w:fldLock="1"/>
      </w:r>
      <w:r w:rsidR="0030246C">
        <w:rPr>
          <w:highlight w:val="white"/>
        </w:rPr>
        <w:instrText>ADDIN CSL_CITATION {"citationItems":[{"id":"ITEM-1","itemData":{"DOI":"10.1002/nur.20147","ISSN":"0160-6891","PMID":"16977646","abstract":"Scale developers often provide evidence of content validity by computing a content validity index (CVI), using ratings of item relevance by content experts. We analyzed how nurse researchers have defined and calculated the CVI, and found considerable consistency for item-level CVIs (I-CVIs). However, there are two alternative, but unacknowledged, methods of computing the scale-level index (S-CVI). One method requires universal agreement among experts, but a less conservative method averages the item-level CVIs. Using backward inference with a purposive sample of scale development studies, we found that both methods are being used by nurse researchers, although it was not always possible to infer the calculation method. The two approaches can lead to different values, making it risky to draw conclusions about content validity. Scale developers should indicate which method was used to provide readers with interpretable content validity information.","author":[{"dropping-particle":"","family":"Polit","given":"Denise F.","non-dropping-particle":"","parse-names":false,"suffix":""},{"dropping-particle":"","family":"Beck","given":"Cheryl Tatano","non-dropping-particle":"","parse-names":false,"suffix":""}],"container-title":"Research in Nursing &amp; Health","id":"ITEM-1","issue":"5","issued":{"date-parts":[["2006","10"]]},"page":"489-497","title":"The content validity index: Are you sure you know what's being reported? critique and recommendations","type":"article-journal","volume":"29"},"uris":["http://www.mendeley.com/documents/?uuid=de280d41-0581-35b7-aa2b-d7d92ce69c7a"]},{"id":"ITEM-2","itemData":{"ISBN":"9788577805341","author":[{"dropping-particle":"","family":"Hair","given":"Jr. Joseph F.","non-dropping-particle":"","parse-names":false,"suffix":""},{"dropping-particle":"","family":"Andreson","given":"R.","non-dropping-particle":"","parse-names":false,"suffix":""},{"dropping-particle":"","family":"Tatham","given":"R.","non-dropping-particle":"","parse-names":false,"suffix":""},{"dropping-particle":"","family":"Black","given":"William C.","non-dropping-particle":"","parse-names":false,"suffix":""}],"edition":"5","editor":[{"dropping-particle":"","family":"Bookman","given":"","non-dropping-particle":"","parse-names":false,"suffix":""}],"id":"ITEM-2","issued":{"date-parts":[["2005"]]},"number-of-pages":"593","publisher":"Grupo A - Bookman","publisher-place":"Porto Alegre","title":"Análise multivariada de dados","type":"book"},"uris":["http://www.mendeley.com/documents/?uuid=26f5c26c-d612-3d22-86e6-177d4828a8c2"]}],"mendeley":{"formattedCitation":"(Hair et al., 2005; Polit &amp; Beck, 2006)","plainTextFormattedCitation":"(Hair et al., 2005; Polit &amp; Beck, 2006)","previouslyFormattedCitation":"(Hair et al., 2005; Polit &amp; Beck, 2006)"},"properties":{"noteIndex":0},"schema":"https://github.com/citation-style-language/schema/raw/master/csl-citation.json"}</w:instrText>
      </w:r>
      <w:r w:rsidR="0030246C">
        <w:rPr>
          <w:highlight w:val="white"/>
        </w:rPr>
        <w:fldChar w:fldCharType="separate"/>
      </w:r>
      <w:r w:rsidR="0030246C" w:rsidRPr="0030246C">
        <w:rPr>
          <w:noProof/>
          <w:highlight w:val="white"/>
        </w:rPr>
        <w:t>(Hair et al., 2005; Polit &amp; Beck, 2006)</w:t>
      </w:r>
      <w:r w:rsidR="0030246C">
        <w:rPr>
          <w:highlight w:val="white"/>
        </w:rPr>
        <w:fldChar w:fldCharType="end"/>
      </w:r>
      <w:r w:rsidR="0030246C">
        <w:t>.</w:t>
      </w:r>
      <w:r>
        <w:t xml:space="preserve"> Overall, the instrument accounts for α-Cr = 0.9338 (Table 2). </w:t>
      </w:r>
    </w:p>
    <w:p w14:paraId="149A66CB" w14:textId="77777777" w:rsidR="008F0A77" w:rsidRDefault="008F0A77" w:rsidP="008F0A77">
      <w:pPr>
        <w:spacing w:line="360" w:lineRule="auto"/>
        <w:ind w:left="-283" w:right="-267" w:firstLine="283"/>
        <w:jc w:val="both"/>
      </w:pPr>
    </w:p>
    <w:p w14:paraId="02663445" w14:textId="77777777" w:rsidR="008F0A77" w:rsidRPr="006C33D0" w:rsidRDefault="008F0A77" w:rsidP="008F0A77">
      <w:pPr>
        <w:keepNext/>
        <w:pBdr>
          <w:top w:val="nil"/>
          <w:left w:val="nil"/>
          <w:bottom w:val="nil"/>
          <w:right w:val="nil"/>
          <w:between w:val="nil"/>
        </w:pBdr>
      </w:pPr>
      <w:r w:rsidRPr="00AF6DCE">
        <w:rPr>
          <w:b/>
        </w:rPr>
        <w:t>Table 2:</w:t>
      </w:r>
      <w:r w:rsidRPr="006C33D0">
        <w:t xml:space="preserve"> Cronbach’s alpha coefficient of the RSA-R Person in recovery and Family members versions. Brazil 2018.</w:t>
      </w:r>
    </w:p>
    <w:tbl>
      <w:tblPr>
        <w:tblW w:w="871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45"/>
        <w:gridCol w:w="787"/>
        <w:gridCol w:w="2112"/>
        <w:gridCol w:w="1458"/>
        <w:gridCol w:w="1458"/>
        <w:gridCol w:w="1459"/>
      </w:tblGrid>
      <w:tr w:rsidR="008F0A77" w14:paraId="6B91E978" w14:textId="77777777" w:rsidTr="00EF6B7D">
        <w:tc>
          <w:tcPr>
            <w:tcW w:w="1445" w:type="dxa"/>
            <w:tcBorders>
              <w:top w:val="single" w:sz="4" w:space="0" w:color="000000"/>
              <w:left w:val="nil"/>
              <w:bottom w:val="nil"/>
              <w:right w:val="nil"/>
            </w:tcBorders>
          </w:tcPr>
          <w:p w14:paraId="25EFE939" w14:textId="77777777" w:rsidR="008F0A77" w:rsidRDefault="008F0A77" w:rsidP="00EF6B7D">
            <w:pPr>
              <w:jc w:val="center"/>
              <w:rPr>
                <w:b/>
                <w:sz w:val="18"/>
                <w:szCs w:val="18"/>
              </w:rPr>
            </w:pPr>
          </w:p>
        </w:tc>
        <w:tc>
          <w:tcPr>
            <w:tcW w:w="787" w:type="dxa"/>
            <w:tcBorders>
              <w:top w:val="single" w:sz="4" w:space="0" w:color="000000"/>
              <w:left w:val="nil"/>
              <w:bottom w:val="nil"/>
              <w:right w:val="nil"/>
            </w:tcBorders>
          </w:tcPr>
          <w:p w14:paraId="7FD30559" w14:textId="77777777" w:rsidR="008F0A77" w:rsidRDefault="008F0A77" w:rsidP="00EF6B7D">
            <w:pPr>
              <w:jc w:val="center"/>
              <w:rPr>
                <w:b/>
                <w:sz w:val="18"/>
                <w:szCs w:val="18"/>
              </w:rPr>
            </w:pPr>
          </w:p>
        </w:tc>
        <w:tc>
          <w:tcPr>
            <w:tcW w:w="3570" w:type="dxa"/>
            <w:gridSpan w:val="2"/>
            <w:tcBorders>
              <w:top w:val="single" w:sz="4" w:space="0" w:color="000000"/>
              <w:left w:val="nil"/>
              <w:bottom w:val="nil"/>
              <w:right w:val="nil"/>
            </w:tcBorders>
          </w:tcPr>
          <w:p w14:paraId="5D812FC6" w14:textId="77777777" w:rsidR="008F0A77" w:rsidRDefault="008F0A77" w:rsidP="00EF6B7D">
            <w:pPr>
              <w:jc w:val="center"/>
              <w:rPr>
                <w:b/>
                <w:sz w:val="18"/>
                <w:szCs w:val="18"/>
              </w:rPr>
            </w:pPr>
            <w:r>
              <w:rPr>
                <w:b/>
                <w:sz w:val="18"/>
                <w:szCs w:val="18"/>
              </w:rPr>
              <w:t>RSA-R Person in Recovery</w:t>
            </w:r>
          </w:p>
        </w:tc>
        <w:tc>
          <w:tcPr>
            <w:tcW w:w="2917" w:type="dxa"/>
            <w:gridSpan w:val="2"/>
            <w:tcBorders>
              <w:top w:val="single" w:sz="4" w:space="0" w:color="000000"/>
              <w:left w:val="nil"/>
              <w:bottom w:val="nil"/>
              <w:right w:val="nil"/>
            </w:tcBorders>
          </w:tcPr>
          <w:p w14:paraId="4012B64A" w14:textId="77777777" w:rsidR="008F0A77" w:rsidRDefault="008F0A77" w:rsidP="00EF6B7D">
            <w:pPr>
              <w:jc w:val="center"/>
              <w:rPr>
                <w:b/>
                <w:sz w:val="18"/>
                <w:szCs w:val="18"/>
              </w:rPr>
            </w:pPr>
            <w:r>
              <w:rPr>
                <w:b/>
                <w:sz w:val="18"/>
                <w:szCs w:val="18"/>
              </w:rPr>
              <w:t>RSA-R Family members</w:t>
            </w:r>
          </w:p>
          <w:p w14:paraId="28E81C49" w14:textId="77777777" w:rsidR="008F0A77" w:rsidRDefault="008F0A77" w:rsidP="00EF6B7D">
            <w:pPr>
              <w:jc w:val="center"/>
              <w:rPr>
                <w:b/>
                <w:sz w:val="18"/>
                <w:szCs w:val="18"/>
              </w:rPr>
            </w:pPr>
          </w:p>
        </w:tc>
      </w:tr>
      <w:tr w:rsidR="008F0A77" w14:paraId="44341DFE" w14:textId="77777777" w:rsidTr="00EF6B7D">
        <w:tc>
          <w:tcPr>
            <w:tcW w:w="1445" w:type="dxa"/>
            <w:tcBorders>
              <w:top w:val="nil"/>
              <w:left w:val="nil"/>
              <w:bottom w:val="single" w:sz="4" w:space="0" w:color="000000"/>
              <w:right w:val="nil"/>
            </w:tcBorders>
          </w:tcPr>
          <w:p w14:paraId="57B68F56" w14:textId="77777777" w:rsidR="008F0A77" w:rsidRDefault="008F0A77" w:rsidP="00EF6B7D">
            <w:pPr>
              <w:jc w:val="center"/>
              <w:rPr>
                <w:b/>
                <w:sz w:val="18"/>
                <w:szCs w:val="18"/>
              </w:rPr>
            </w:pPr>
            <w:r>
              <w:rPr>
                <w:b/>
                <w:sz w:val="18"/>
                <w:szCs w:val="18"/>
              </w:rPr>
              <w:t>Factor</w:t>
            </w:r>
          </w:p>
        </w:tc>
        <w:tc>
          <w:tcPr>
            <w:tcW w:w="787" w:type="dxa"/>
            <w:tcBorders>
              <w:top w:val="nil"/>
              <w:left w:val="nil"/>
              <w:bottom w:val="single" w:sz="4" w:space="0" w:color="000000"/>
              <w:right w:val="nil"/>
            </w:tcBorders>
          </w:tcPr>
          <w:p w14:paraId="11A5C211" w14:textId="77777777" w:rsidR="008F0A77" w:rsidRDefault="008F0A77" w:rsidP="00EF6B7D">
            <w:pPr>
              <w:jc w:val="center"/>
              <w:rPr>
                <w:b/>
                <w:sz w:val="18"/>
                <w:szCs w:val="18"/>
              </w:rPr>
            </w:pPr>
            <w:r>
              <w:rPr>
                <w:b/>
                <w:sz w:val="18"/>
                <w:szCs w:val="18"/>
              </w:rPr>
              <w:t>Item</w:t>
            </w:r>
          </w:p>
        </w:tc>
        <w:tc>
          <w:tcPr>
            <w:tcW w:w="2112" w:type="dxa"/>
            <w:tcBorders>
              <w:top w:val="nil"/>
              <w:left w:val="nil"/>
              <w:bottom w:val="single" w:sz="4" w:space="0" w:color="000000"/>
              <w:right w:val="nil"/>
            </w:tcBorders>
          </w:tcPr>
          <w:p w14:paraId="1F12C844" w14:textId="77777777" w:rsidR="008F0A77" w:rsidRDefault="008F0A77" w:rsidP="00EF6B7D">
            <w:pPr>
              <w:jc w:val="center"/>
              <w:rPr>
                <w:b/>
                <w:sz w:val="18"/>
                <w:szCs w:val="18"/>
              </w:rPr>
            </w:pPr>
            <w:r>
              <w:rPr>
                <w:b/>
                <w:sz w:val="18"/>
                <w:szCs w:val="18"/>
              </w:rPr>
              <w:t>Cronbach’s Alpha concerning the test (n=207)</w:t>
            </w:r>
          </w:p>
        </w:tc>
        <w:tc>
          <w:tcPr>
            <w:tcW w:w="1458" w:type="dxa"/>
            <w:tcBorders>
              <w:top w:val="nil"/>
              <w:left w:val="nil"/>
              <w:bottom w:val="single" w:sz="4" w:space="0" w:color="000000"/>
              <w:right w:val="nil"/>
            </w:tcBorders>
          </w:tcPr>
          <w:p w14:paraId="2E99941F" w14:textId="77777777" w:rsidR="008F0A77" w:rsidRDefault="008F0A77" w:rsidP="00EF6B7D">
            <w:pPr>
              <w:jc w:val="center"/>
              <w:rPr>
                <w:b/>
                <w:sz w:val="18"/>
                <w:szCs w:val="18"/>
              </w:rPr>
            </w:pPr>
            <w:r>
              <w:rPr>
                <w:b/>
                <w:sz w:val="18"/>
                <w:szCs w:val="18"/>
              </w:rPr>
              <w:t>Cronbach’s alpha concerning the item removed from the test</w:t>
            </w:r>
          </w:p>
        </w:tc>
        <w:tc>
          <w:tcPr>
            <w:tcW w:w="1458" w:type="dxa"/>
            <w:tcBorders>
              <w:top w:val="nil"/>
              <w:left w:val="nil"/>
              <w:bottom w:val="single" w:sz="4" w:space="0" w:color="000000"/>
              <w:right w:val="nil"/>
            </w:tcBorders>
          </w:tcPr>
          <w:p w14:paraId="54D444AC" w14:textId="77777777" w:rsidR="008F0A77" w:rsidRDefault="008F0A77" w:rsidP="00EF6B7D">
            <w:pPr>
              <w:jc w:val="center"/>
              <w:rPr>
                <w:b/>
                <w:sz w:val="18"/>
                <w:szCs w:val="18"/>
              </w:rPr>
            </w:pPr>
            <w:r>
              <w:rPr>
                <w:b/>
                <w:sz w:val="18"/>
                <w:szCs w:val="18"/>
              </w:rPr>
              <w:t>Cronbach’s Alpha concerning the test (n=206)</w:t>
            </w:r>
          </w:p>
        </w:tc>
        <w:tc>
          <w:tcPr>
            <w:tcW w:w="1459" w:type="dxa"/>
            <w:tcBorders>
              <w:top w:val="nil"/>
              <w:left w:val="nil"/>
              <w:bottom w:val="single" w:sz="4" w:space="0" w:color="000000"/>
              <w:right w:val="nil"/>
            </w:tcBorders>
          </w:tcPr>
          <w:p w14:paraId="6E5B6B66" w14:textId="77777777" w:rsidR="008F0A77" w:rsidRDefault="008F0A77" w:rsidP="00EF6B7D">
            <w:pPr>
              <w:jc w:val="center"/>
              <w:rPr>
                <w:b/>
                <w:sz w:val="18"/>
                <w:szCs w:val="18"/>
              </w:rPr>
            </w:pPr>
            <w:r>
              <w:rPr>
                <w:b/>
                <w:sz w:val="18"/>
                <w:szCs w:val="18"/>
              </w:rPr>
              <w:t>Cronbach’s alpha concerning the item removed from the retest</w:t>
            </w:r>
          </w:p>
        </w:tc>
      </w:tr>
      <w:tr w:rsidR="008F0A77" w14:paraId="5E2A2579" w14:textId="77777777" w:rsidTr="00EF6B7D">
        <w:tc>
          <w:tcPr>
            <w:tcW w:w="1445" w:type="dxa"/>
            <w:vMerge w:val="restart"/>
            <w:tcBorders>
              <w:top w:val="single" w:sz="4" w:space="0" w:color="000000"/>
              <w:left w:val="nil"/>
              <w:bottom w:val="nil"/>
              <w:right w:val="nil"/>
            </w:tcBorders>
          </w:tcPr>
          <w:p w14:paraId="1E6F6F85" w14:textId="77777777" w:rsidR="008F0A77" w:rsidRDefault="008F0A77" w:rsidP="00EF6B7D">
            <w:pPr>
              <w:jc w:val="center"/>
              <w:rPr>
                <w:sz w:val="18"/>
                <w:szCs w:val="18"/>
              </w:rPr>
            </w:pPr>
            <w:r>
              <w:rPr>
                <w:sz w:val="18"/>
                <w:szCs w:val="18"/>
              </w:rPr>
              <w:t>Factor 1. Life goals</w:t>
            </w:r>
          </w:p>
        </w:tc>
        <w:tc>
          <w:tcPr>
            <w:tcW w:w="787" w:type="dxa"/>
            <w:tcBorders>
              <w:top w:val="single" w:sz="4" w:space="0" w:color="000000"/>
              <w:left w:val="nil"/>
              <w:bottom w:val="nil"/>
              <w:right w:val="nil"/>
            </w:tcBorders>
          </w:tcPr>
          <w:p w14:paraId="3415F76A" w14:textId="77777777" w:rsidR="008F0A77" w:rsidRDefault="008F0A77" w:rsidP="00EF6B7D">
            <w:pPr>
              <w:jc w:val="center"/>
              <w:rPr>
                <w:sz w:val="18"/>
                <w:szCs w:val="18"/>
              </w:rPr>
            </w:pPr>
            <w:r>
              <w:rPr>
                <w:sz w:val="18"/>
                <w:szCs w:val="18"/>
              </w:rPr>
              <w:t>3</w:t>
            </w:r>
          </w:p>
        </w:tc>
        <w:tc>
          <w:tcPr>
            <w:tcW w:w="2112" w:type="dxa"/>
            <w:vMerge w:val="restart"/>
            <w:tcBorders>
              <w:top w:val="single" w:sz="4" w:space="0" w:color="000000"/>
              <w:left w:val="nil"/>
              <w:bottom w:val="nil"/>
              <w:right w:val="nil"/>
            </w:tcBorders>
          </w:tcPr>
          <w:p w14:paraId="49C17CE4" w14:textId="77777777" w:rsidR="008F0A77" w:rsidRDefault="008F0A77" w:rsidP="00EF6B7D">
            <w:pPr>
              <w:jc w:val="center"/>
              <w:rPr>
                <w:sz w:val="18"/>
                <w:szCs w:val="18"/>
              </w:rPr>
            </w:pPr>
            <w:r>
              <w:rPr>
                <w:sz w:val="18"/>
                <w:szCs w:val="18"/>
              </w:rPr>
              <w:t>0.85</w:t>
            </w:r>
          </w:p>
          <w:p w14:paraId="1EE11970" w14:textId="77777777" w:rsidR="008F0A77" w:rsidRDefault="008F0A77" w:rsidP="00EF6B7D">
            <w:pPr>
              <w:jc w:val="center"/>
              <w:rPr>
                <w:color w:val="FF0000"/>
                <w:sz w:val="18"/>
                <w:szCs w:val="18"/>
              </w:rPr>
            </w:pPr>
          </w:p>
        </w:tc>
        <w:tc>
          <w:tcPr>
            <w:tcW w:w="1458" w:type="dxa"/>
            <w:tcBorders>
              <w:top w:val="single" w:sz="4" w:space="0" w:color="000000"/>
              <w:left w:val="nil"/>
              <w:bottom w:val="nil"/>
              <w:right w:val="nil"/>
            </w:tcBorders>
          </w:tcPr>
          <w:p w14:paraId="3C9992AA" w14:textId="77777777" w:rsidR="008F0A77" w:rsidRDefault="008F0A77" w:rsidP="00EF6B7D">
            <w:pPr>
              <w:jc w:val="center"/>
              <w:rPr>
                <w:sz w:val="18"/>
                <w:szCs w:val="18"/>
              </w:rPr>
            </w:pPr>
            <w:r>
              <w:rPr>
                <w:sz w:val="18"/>
                <w:szCs w:val="18"/>
              </w:rPr>
              <w:t>0.76</w:t>
            </w:r>
          </w:p>
        </w:tc>
        <w:tc>
          <w:tcPr>
            <w:tcW w:w="1458" w:type="dxa"/>
            <w:vMerge w:val="restart"/>
            <w:tcBorders>
              <w:top w:val="single" w:sz="4" w:space="0" w:color="000000"/>
              <w:left w:val="nil"/>
              <w:bottom w:val="nil"/>
              <w:right w:val="nil"/>
            </w:tcBorders>
          </w:tcPr>
          <w:p w14:paraId="6A9C4757" w14:textId="77777777" w:rsidR="008F0A77" w:rsidRDefault="008F0A77" w:rsidP="00EF6B7D">
            <w:pPr>
              <w:jc w:val="center"/>
              <w:rPr>
                <w:sz w:val="18"/>
                <w:szCs w:val="18"/>
              </w:rPr>
            </w:pPr>
            <w:r>
              <w:rPr>
                <w:sz w:val="18"/>
                <w:szCs w:val="18"/>
              </w:rPr>
              <w:t>0.89</w:t>
            </w:r>
          </w:p>
        </w:tc>
        <w:tc>
          <w:tcPr>
            <w:tcW w:w="1459" w:type="dxa"/>
            <w:tcBorders>
              <w:top w:val="single" w:sz="4" w:space="0" w:color="000000"/>
              <w:left w:val="nil"/>
              <w:bottom w:val="nil"/>
              <w:right w:val="nil"/>
            </w:tcBorders>
          </w:tcPr>
          <w:p w14:paraId="0869CEAB" w14:textId="77777777" w:rsidR="008F0A77" w:rsidRDefault="008F0A77" w:rsidP="00EF6B7D">
            <w:pPr>
              <w:jc w:val="center"/>
              <w:rPr>
                <w:sz w:val="18"/>
                <w:szCs w:val="18"/>
              </w:rPr>
            </w:pPr>
            <w:r>
              <w:rPr>
                <w:sz w:val="18"/>
                <w:szCs w:val="18"/>
              </w:rPr>
              <w:t>0.88</w:t>
            </w:r>
          </w:p>
        </w:tc>
      </w:tr>
      <w:tr w:rsidR="008F0A77" w14:paraId="435DA730" w14:textId="77777777" w:rsidTr="00EF6B7D">
        <w:tc>
          <w:tcPr>
            <w:tcW w:w="1445" w:type="dxa"/>
            <w:vMerge/>
            <w:tcBorders>
              <w:top w:val="single" w:sz="4" w:space="0" w:color="000000"/>
              <w:left w:val="nil"/>
              <w:bottom w:val="nil"/>
              <w:right w:val="nil"/>
            </w:tcBorders>
          </w:tcPr>
          <w:p w14:paraId="11EC8B5F"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left w:val="nil"/>
              <w:bottom w:val="nil"/>
              <w:right w:val="nil"/>
            </w:tcBorders>
          </w:tcPr>
          <w:p w14:paraId="3AAB6B04" w14:textId="77777777" w:rsidR="008F0A77" w:rsidRDefault="008F0A77" w:rsidP="00EF6B7D">
            <w:pPr>
              <w:jc w:val="center"/>
              <w:rPr>
                <w:sz w:val="18"/>
                <w:szCs w:val="18"/>
              </w:rPr>
            </w:pPr>
            <w:r>
              <w:rPr>
                <w:sz w:val="18"/>
                <w:szCs w:val="18"/>
              </w:rPr>
              <w:t>7</w:t>
            </w:r>
          </w:p>
        </w:tc>
        <w:tc>
          <w:tcPr>
            <w:tcW w:w="2112" w:type="dxa"/>
            <w:vMerge/>
            <w:tcBorders>
              <w:top w:val="single" w:sz="4" w:space="0" w:color="000000"/>
              <w:left w:val="nil"/>
              <w:bottom w:val="nil"/>
              <w:right w:val="nil"/>
            </w:tcBorders>
          </w:tcPr>
          <w:p w14:paraId="5D35586F"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left w:val="nil"/>
              <w:bottom w:val="nil"/>
              <w:right w:val="nil"/>
            </w:tcBorders>
          </w:tcPr>
          <w:p w14:paraId="628E8E50" w14:textId="77777777" w:rsidR="008F0A77" w:rsidRDefault="008F0A77" w:rsidP="00EF6B7D">
            <w:pPr>
              <w:jc w:val="center"/>
              <w:rPr>
                <w:sz w:val="18"/>
                <w:szCs w:val="18"/>
              </w:rPr>
            </w:pPr>
            <w:r>
              <w:rPr>
                <w:sz w:val="18"/>
                <w:szCs w:val="18"/>
              </w:rPr>
              <w:t>0.76</w:t>
            </w:r>
          </w:p>
        </w:tc>
        <w:tc>
          <w:tcPr>
            <w:tcW w:w="1458" w:type="dxa"/>
            <w:vMerge/>
            <w:tcBorders>
              <w:top w:val="single" w:sz="4" w:space="0" w:color="000000"/>
              <w:left w:val="nil"/>
              <w:bottom w:val="nil"/>
              <w:right w:val="nil"/>
            </w:tcBorders>
          </w:tcPr>
          <w:p w14:paraId="11F673C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left w:val="nil"/>
              <w:bottom w:val="nil"/>
              <w:right w:val="nil"/>
            </w:tcBorders>
          </w:tcPr>
          <w:p w14:paraId="36C51FB1" w14:textId="77777777" w:rsidR="008F0A77" w:rsidRDefault="008F0A77" w:rsidP="00EF6B7D">
            <w:pPr>
              <w:jc w:val="center"/>
              <w:rPr>
                <w:sz w:val="18"/>
                <w:szCs w:val="18"/>
              </w:rPr>
            </w:pPr>
            <w:r>
              <w:rPr>
                <w:sz w:val="18"/>
                <w:szCs w:val="18"/>
              </w:rPr>
              <w:t>0.88</w:t>
            </w:r>
          </w:p>
        </w:tc>
      </w:tr>
      <w:tr w:rsidR="008F0A77" w14:paraId="77E5FC93" w14:textId="77777777" w:rsidTr="00EF6B7D">
        <w:tc>
          <w:tcPr>
            <w:tcW w:w="1445" w:type="dxa"/>
            <w:vMerge/>
            <w:tcBorders>
              <w:top w:val="single" w:sz="4" w:space="0" w:color="000000"/>
              <w:left w:val="nil"/>
              <w:bottom w:val="nil"/>
              <w:right w:val="nil"/>
            </w:tcBorders>
          </w:tcPr>
          <w:p w14:paraId="7AE3A6C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left w:val="nil"/>
              <w:bottom w:val="nil"/>
              <w:right w:val="nil"/>
            </w:tcBorders>
          </w:tcPr>
          <w:p w14:paraId="0A818E3D" w14:textId="77777777" w:rsidR="008F0A77" w:rsidRDefault="008F0A77" w:rsidP="00EF6B7D">
            <w:pPr>
              <w:jc w:val="center"/>
              <w:rPr>
                <w:sz w:val="18"/>
                <w:szCs w:val="18"/>
              </w:rPr>
            </w:pPr>
            <w:r>
              <w:rPr>
                <w:sz w:val="18"/>
                <w:szCs w:val="18"/>
              </w:rPr>
              <w:t>8</w:t>
            </w:r>
          </w:p>
        </w:tc>
        <w:tc>
          <w:tcPr>
            <w:tcW w:w="2112" w:type="dxa"/>
            <w:vMerge/>
            <w:tcBorders>
              <w:top w:val="single" w:sz="4" w:space="0" w:color="000000"/>
              <w:left w:val="nil"/>
              <w:bottom w:val="nil"/>
              <w:right w:val="nil"/>
            </w:tcBorders>
          </w:tcPr>
          <w:p w14:paraId="273A765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left w:val="nil"/>
              <w:bottom w:val="nil"/>
              <w:right w:val="nil"/>
            </w:tcBorders>
          </w:tcPr>
          <w:p w14:paraId="08DA48E3" w14:textId="77777777" w:rsidR="008F0A77" w:rsidRDefault="008F0A77" w:rsidP="00EF6B7D">
            <w:pPr>
              <w:jc w:val="center"/>
              <w:rPr>
                <w:sz w:val="18"/>
                <w:szCs w:val="18"/>
              </w:rPr>
            </w:pPr>
            <w:r>
              <w:rPr>
                <w:sz w:val="18"/>
                <w:szCs w:val="18"/>
              </w:rPr>
              <w:t>0.76</w:t>
            </w:r>
          </w:p>
        </w:tc>
        <w:tc>
          <w:tcPr>
            <w:tcW w:w="1458" w:type="dxa"/>
            <w:vMerge/>
            <w:tcBorders>
              <w:top w:val="single" w:sz="4" w:space="0" w:color="000000"/>
              <w:left w:val="nil"/>
              <w:bottom w:val="nil"/>
              <w:right w:val="nil"/>
            </w:tcBorders>
          </w:tcPr>
          <w:p w14:paraId="392AF42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left w:val="nil"/>
              <w:bottom w:val="nil"/>
              <w:right w:val="nil"/>
            </w:tcBorders>
          </w:tcPr>
          <w:p w14:paraId="3FE60F4E" w14:textId="77777777" w:rsidR="008F0A77" w:rsidRDefault="008F0A77" w:rsidP="00EF6B7D">
            <w:pPr>
              <w:jc w:val="center"/>
              <w:rPr>
                <w:sz w:val="18"/>
                <w:szCs w:val="18"/>
              </w:rPr>
            </w:pPr>
            <w:r>
              <w:rPr>
                <w:sz w:val="18"/>
                <w:szCs w:val="18"/>
              </w:rPr>
              <w:t>0.88</w:t>
            </w:r>
          </w:p>
        </w:tc>
      </w:tr>
      <w:tr w:rsidR="008F0A77" w14:paraId="2CBDF387" w14:textId="77777777" w:rsidTr="00EF6B7D">
        <w:tc>
          <w:tcPr>
            <w:tcW w:w="1445" w:type="dxa"/>
            <w:vMerge/>
            <w:tcBorders>
              <w:top w:val="single" w:sz="4" w:space="0" w:color="000000"/>
              <w:left w:val="nil"/>
              <w:bottom w:val="nil"/>
              <w:right w:val="nil"/>
            </w:tcBorders>
          </w:tcPr>
          <w:p w14:paraId="4D177A0E"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left w:val="nil"/>
              <w:bottom w:val="nil"/>
              <w:right w:val="nil"/>
            </w:tcBorders>
          </w:tcPr>
          <w:p w14:paraId="18B23F3C" w14:textId="77777777" w:rsidR="008F0A77" w:rsidRDefault="008F0A77" w:rsidP="00EF6B7D">
            <w:pPr>
              <w:jc w:val="center"/>
              <w:rPr>
                <w:sz w:val="18"/>
                <w:szCs w:val="18"/>
              </w:rPr>
            </w:pPr>
            <w:r>
              <w:rPr>
                <w:sz w:val="18"/>
                <w:szCs w:val="18"/>
              </w:rPr>
              <w:t>9</w:t>
            </w:r>
          </w:p>
        </w:tc>
        <w:tc>
          <w:tcPr>
            <w:tcW w:w="2112" w:type="dxa"/>
            <w:vMerge/>
            <w:tcBorders>
              <w:top w:val="single" w:sz="4" w:space="0" w:color="000000"/>
              <w:left w:val="nil"/>
              <w:bottom w:val="nil"/>
              <w:right w:val="nil"/>
            </w:tcBorders>
          </w:tcPr>
          <w:p w14:paraId="0930939A"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left w:val="nil"/>
              <w:bottom w:val="nil"/>
              <w:right w:val="nil"/>
            </w:tcBorders>
          </w:tcPr>
          <w:p w14:paraId="279B3444" w14:textId="77777777" w:rsidR="008F0A77" w:rsidRDefault="008F0A77" w:rsidP="00EF6B7D">
            <w:pPr>
              <w:jc w:val="center"/>
              <w:rPr>
                <w:sz w:val="18"/>
                <w:szCs w:val="18"/>
              </w:rPr>
            </w:pPr>
            <w:r>
              <w:rPr>
                <w:sz w:val="18"/>
                <w:szCs w:val="18"/>
              </w:rPr>
              <w:t>0.77</w:t>
            </w:r>
          </w:p>
        </w:tc>
        <w:tc>
          <w:tcPr>
            <w:tcW w:w="1458" w:type="dxa"/>
            <w:vMerge/>
            <w:tcBorders>
              <w:top w:val="single" w:sz="4" w:space="0" w:color="000000"/>
              <w:left w:val="nil"/>
              <w:bottom w:val="nil"/>
              <w:right w:val="nil"/>
            </w:tcBorders>
          </w:tcPr>
          <w:p w14:paraId="0830ECD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left w:val="nil"/>
              <w:bottom w:val="nil"/>
              <w:right w:val="nil"/>
            </w:tcBorders>
          </w:tcPr>
          <w:p w14:paraId="57F9FF24" w14:textId="77777777" w:rsidR="008F0A77" w:rsidRDefault="008F0A77" w:rsidP="00EF6B7D">
            <w:pPr>
              <w:jc w:val="center"/>
              <w:rPr>
                <w:sz w:val="18"/>
                <w:szCs w:val="18"/>
              </w:rPr>
            </w:pPr>
            <w:r>
              <w:rPr>
                <w:sz w:val="18"/>
                <w:szCs w:val="18"/>
              </w:rPr>
              <w:t>0.88</w:t>
            </w:r>
          </w:p>
        </w:tc>
      </w:tr>
      <w:tr w:rsidR="008F0A77" w14:paraId="1E1EF79D" w14:textId="77777777" w:rsidTr="00EF6B7D">
        <w:tc>
          <w:tcPr>
            <w:tcW w:w="1445" w:type="dxa"/>
            <w:vMerge/>
            <w:tcBorders>
              <w:top w:val="single" w:sz="4" w:space="0" w:color="000000"/>
              <w:left w:val="nil"/>
              <w:bottom w:val="nil"/>
              <w:right w:val="nil"/>
            </w:tcBorders>
          </w:tcPr>
          <w:p w14:paraId="0E3447A8"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left w:val="nil"/>
              <w:bottom w:val="nil"/>
              <w:right w:val="nil"/>
            </w:tcBorders>
          </w:tcPr>
          <w:p w14:paraId="06ADA1B2" w14:textId="77777777" w:rsidR="008F0A77" w:rsidRDefault="008F0A77" w:rsidP="00EF6B7D">
            <w:pPr>
              <w:jc w:val="center"/>
              <w:rPr>
                <w:sz w:val="18"/>
                <w:szCs w:val="18"/>
              </w:rPr>
            </w:pPr>
            <w:r>
              <w:rPr>
                <w:sz w:val="18"/>
                <w:szCs w:val="18"/>
              </w:rPr>
              <w:t>12</w:t>
            </w:r>
          </w:p>
        </w:tc>
        <w:tc>
          <w:tcPr>
            <w:tcW w:w="2112" w:type="dxa"/>
            <w:vMerge/>
            <w:tcBorders>
              <w:top w:val="single" w:sz="4" w:space="0" w:color="000000"/>
              <w:left w:val="nil"/>
              <w:bottom w:val="nil"/>
              <w:right w:val="nil"/>
            </w:tcBorders>
          </w:tcPr>
          <w:p w14:paraId="4E20DCD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left w:val="nil"/>
              <w:bottom w:val="nil"/>
              <w:right w:val="nil"/>
            </w:tcBorders>
          </w:tcPr>
          <w:p w14:paraId="5DC50044" w14:textId="77777777" w:rsidR="008F0A77" w:rsidRDefault="008F0A77" w:rsidP="00EF6B7D">
            <w:pPr>
              <w:jc w:val="center"/>
              <w:rPr>
                <w:sz w:val="18"/>
                <w:szCs w:val="18"/>
              </w:rPr>
            </w:pPr>
            <w:r>
              <w:rPr>
                <w:sz w:val="18"/>
                <w:szCs w:val="18"/>
              </w:rPr>
              <w:t>0.76</w:t>
            </w:r>
          </w:p>
        </w:tc>
        <w:tc>
          <w:tcPr>
            <w:tcW w:w="1458" w:type="dxa"/>
            <w:vMerge/>
            <w:tcBorders>
              <w:top w:val="single" w:sz="4" w:space="0" w:color="000000"/>
              <w:left w:val="nil"/>
              <w:bottom w:val="nil"/>
              <w:right w:val="nil"/>
            </w:tcBorders>
          </w:tcPr>
          <w:p w14:paraId="69A81A9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left w:val="nil"/>
              <w:bottom w:val="nil"/>
              <w:right w:val="nil"/>
            </w:tcBorders>
          </w:tcPr>
          <w:p w14:paraId="71106C7D" w14:textId="77777777" w:rsidR="008F0A77" w:rsidRDefault="008F0A77" w:rsidP="00EF6B7D">
            <w:pPr>
              <w:jc w:val="center"/>
              <w:rPr>
                <w:sz w:val="18"/>
                <w:szCs w:val="18"/>
              </w:rPr>
            </w:pPr>
            <w:r>
              <w:rPr>
                <w:sz w:val="18"/>
                <w:szCs w:val="18"/>
              </w:rPr>
              <w:t>0.87</w:t>
            </w:r>
          </w:p>
        </w:tc>
      </w:tr>
      <w:tr w:rsidR="008F0A77" w14:paraId="4F78B070" w14:textId="77777777" w:rsidTr="00EF6B7D">
        <w:tc>
          <w:tcPr>
            <w:tcW w:w="1445" w:type="dxa"/>
            <w:vMerge/>
            <w:tcBorders>
              <w:top w:val="single" w:sz="4" w:space="0" w:color="000000"/>
              <w:left w:val="nil"/>
              <w:bottom w:val="nil"/>
              <w:right w:val="nil"/>
            </w:tcBorders>
          </w:tcPr>
          <w:p w14:paraId="250E13C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2819C004" w14:textId="77777777" w:rsidR="008F0A77" w:rsidRDefault="008F0A77" w:rsidP="00EF6B7D">
            <w:pPr>
              <w:jc w:val="center"/>
              <w:rPr>
                <w:sz w:val="18"/>
                <w:szCs w:val="18"/>
              </w:rPr>
            </w:pPr>
            <w:r>
              <w:rPr>
                <w:sz w:val="18"/>
                <w:szCs w:val="18"/>
              </w:rPr>
              <w:t>16</w:t>
            </w:r>
          </w:p>
        </w:tc>
        <w:tc>
          <w:tcPr>
            <w:tcW w:w="2112" w:type="dxa"/>
            <w:vMerge/>
            <w:tcBorders>
              <w:top w:val="single" w:sz="4" w:space="0" w:color="000000"/>
              <w:left w:val="nil"/>
              <w:bottom w:val="nil"/>
              <w:right w:val="nil"/>
            </w:tcBorders>
          </w:tcPr>
          <w:p w14:paraId="7EE8238E"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2AA8F114" w14:textId="77777777" w:rsidR="008F0A77" w:rsidRDefault="008F0A77" w:rsidP="00EF6B7D">
            <w:pPr>
              <w:jc w:val="center"/>
              <w:rPr>
                <w:sz w:val="18"/>
                <w:szCs w:val="18"/>
              </w:rPr>
            </w:pPr>
            <w:r>
              <w:rPr>
                <w:sz w:val="18"/>
                <w:szCs w:val="18"/>
              </w:rPr>
              <w:t>0.77</w:t>
            </w:r>
          </w:p>
        </w:tc>
        <w:tc>
          <w:tcPr>
            <w:tcW w:w="1458" w:type="dxa"/>
            <w:vMerge/>
            <w:tcBorders>
              <w:top w:val="single" w:sz="4" w:space="0" w:color="000000"/>
              <w:left w:val="nil"/>
              <w:bottom w:val="nil"/>
              <w:right w:val="nil"/>
            </w:tcBorders>
          </w:tcPr>
          <w:p w14:paraId="2E3554B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4F00097C" w14:textId="77777777" w:rsidR="008F0A77" w:rsidRDefault="008F0A77" w:rsidP="00EF6B7D">
            <w:pPr>
              <w:jc w:val="center"/>
              <w:rPr>
                <w:sz w:val="18"/>
                <w:szCs w:val="18"/>
              </w:rPr>
            </w:pPr>
            <w:r>
              <w:rPr>
                <w:sz w:val="18"/>
                <w:szCs w:val="18"/>
              </w:rPr>
              <w:t>0.87</w:t>
            </w:r>
          </w:p>
        </w:tc>
      </w:tr>
      <w:tr w:rsidR="008F0A77" w14:paraId="6FC225D3" w14:textId="77777777" w:rsidTr="00EF6B7D">
        <w:tc>
          <w:tcPr>
            <w:tcW w:w="1445" w:type="dxa"/>
            <w:vMerge/>
            <w:tcBorders>
              <w:top w:val="single" w:sz="4" w:space="0" w:color="000000"/>
              <w:left w:val="nil"/>
              <w:bottom w:val="nil"/>
              <w:right w:val="nil"/>
            </w:tcBorders>
          </w:tcPr>
          <w:p w14:paraId="6415A315"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2D1E5A23" w14:textId="77777777" w:rsidR="008F0A77" w:rsidRDefault="008F0A77" w:rsidP="00EF6B7D">
            <w:pPr>
              <w:jc w:val="center"/>
              <w:rPr>
                <w:sz w:val="18"/>
                <w:szCs w:val="18"/>
              </w:rPr>
            </w:pPr>
            <w:r>
              <w:rPr>
                <w:sz w:val="18"/>
                <w:szCs w:val="18"/>
              </w:rPr>
              <w:t>17</w:t>
            </w:r>
          </w:p>
        </w:tc>
        <w:tc>
          <w:tcPr>
            <w:tcW w:w="2112" w:type="dxa"/>
            <w:vMerge/>
            <w:tcBorders>
              <w:top w:val="single" w:sz="4" w:space="0" w:color="000000"/>
              <w:left w:val="nil"/>
              <w:bottom w:val="nil"/>
              <w:right w:val="nil"/>
            </w:tcBorders>
          </w:tcPr>
          <w:p w14:paraId="0074ADB6"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1738CD0D" w14:textId="77777777" w:rsidR="008F0A77" w:rsidRDefault="008F0A77" w:rsidP="00EF6B7D">
            <w:pPr>
              <w:jc w:val="center"/>
              <w:rPr>
                <w:sz w:val="18"/>
                <w:szCs w:val="18"/>
              </w:rPr>
            </w:pPr>
            <w:r>
              <w:rPr>
                <w:sz w:val="18"/>
                <w:szCs w:val="18"/>
              </w:rPr>
              <w:t>0.77</w:t>
            </w:r>
          </w:p>
        </w:tc>
        <w:tc>
          <w:tcPr>
            <w:tcW w:w="1458" w:type="dxa"/>
            <w:vMerge/>
            <w:tcBorders>
              <w:top w:val="single" w:sz="4" w:space="0" w:color="000000"/>
              <w:left w:val="nil"/>
              <w:bottom w:val="nil"/>
              <w:right w:val="nil"/>
            </w:tcBorders>
          </w:tcPr>
          <w:p w14:paraId="791F2C75"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3BF98DD0" w14:textId="77777777" w:rsidR="008F0A77" w:rsidRDefault="008F0A77" w:rsidP="00EF6B7D">
            <w:pPr>
              <w:jc w:val="center"/>
              <w:rPr>
                <w:sz w:val="18"/>
                <w:szCs w:val="18"/>
              </w:rPr>
            </w:pPr>
            <w:r>
              <w:rPr>
                <w:sz w:val="18"/>
                <w:szCs w:val="18"/>
              </w:rPr>
              <w:t>0.89</w:t>
            </w:r>
          </w:p>
        </w:tc>
      </w:tr>
      <w:tr w:rsidR="008F0A77" w14:paraId="0D580BE5" w14:textId="77777777" w:rsidTr="00EF6B7D">
        <w:tc>
          <w:tcPr>
            <w:tcW w:w="1445" w:type="dxa"/>
            <w:vMerge/>
            <w:tcBorders>
              <w:top w:val="single" w:sz="4" w:space="0" w:color="000000"/>
              <w:left w:val="nil"/>
              <w:bottom w:val="nil"/>
              <w:right w:val="nil"/>
            </w:tcBorders>
          </w:tcPr>
          <w:p w14:paraId="0631F18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450AEAC2" w14:textId="77777777" w:rsidR="008F0A77" w:rsidRDefault="008F0A77" w:rsidP="00EF6B7D">
            <w:pPr>
              <w:jc w:val="center"/>
              <w:rPr>
                <w:sz w:val="18"/>
                <w:szCs w:val="18"/>
              </w:rPr>
            </w:pPr>
            <w:r>
              <w:rPr>
                <w:sz w:val="18"/>
                <w:szCs w:val="18"/>
              </w:rPr>
              <w:t>18</w:t>
            </w:r>
          </w:p>
        </w:tc>
        <w:tc>
          <w:tcPr>
            <w:tcW w:w="2112" w:type="dxa"/>
            <w:vMerge/>
            <w:tcBorders>
              <w:top w:val="single" w:sz="4" w:space="0" w:color="000000"/>
              <w:left w:val="nil"/>
              <w:bottom w:val="nil"/>
              <w:right w:val="nil"/>
            </w:tcBorders>
          </w:tcPr>
          <w:p w14:paraId="4EDCE8D8"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0BDD948B" w14:textId="77777777" w:rsidR="008F0A77" w:rsidRDefault="008F0A77" w:rsidP="00EF6B7D">
            <w:pPr>
              <w:jc w:val="center"/>
              <w:rPr>
                <w:sz w:val="18"/>
                <w:szCs w:val="18"/>
              </w:rPr>
            </w:pPr>
            <w:r>
              <w:rPr>
                <w:sz w:val="18"/>
                <w:szCs w:val="18"/>
              </w:rPr>
              <w:t>0.76</w:t>
            </w:r>
          </w:p>
        </w:tc>
        <w:tc>
          <w:tcPr>
            <w:tcW w:w="1458" w:type="dxa"/>
            <w:vMerge/>
            <w:tcBorders>
              <w:top w:val="single" w:sz="4" w:space="0" w:color="000000"/>
              <w:left w:val="nil"/>
              <w:bottom w:val="nil"/>
              <w:right w:val="nil"/>
            </w:tcBorders>
          </w:tcPr>
          <w:p w14:paraId="4E98457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42AD4C61" w14:textId="77777777" w:rsidR="008F0A77" w:rsidRDefault="008F0A77" w:rsidP="00EF6B7D">
            <w:pPr>
              <w:jc w:val="center"/>
              <w:rPr>
                <w:sz w:val="18"/>
                <w:szCs w:val="18"/>
              </w:rPr>
            </w:pPr>
            <w:r>
              <w:rPr>
                <w:sz w:val="18"/>
                <w:szCs w:val="18"/>
              </w:rPr>
              <w:t>0.88</w:t>
            </w:r>
          </w:p>
        </w:tc>
      </w:tr>
      <w:tr w:rsidR="008F0A77" w14:paraId="7B57C7E5" w14:textId="77777777" w:rsidTr="00EF6B7D">
        <w:tc>
          <w:tcPr>
            <w:tcW w:w="1445" w:type="dxa"/>
            <w:vMerge/>
            <w:tcBorders>
              <w:top w:val="single" w:sz="4" w:space="0" w:color="000000"/>
              <w:left w:val="nil"/>
              <w:bottom w:val="nil"/>
              <w:right w:val="nil"/>
            </w:tcBorders>
          </w:tcPr>
          <w:p w14:paraId="05CCFDD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243252E2" w14:textId="77777777" w:rsidR="008F0A77" w:rsidRDefault="008F0A77" w:rsidP="00EF6B7D">
            <w:pPr>
              <w:jc w:val="center"/>
              <w:rPr>
                <w:sz w:val="18"/>
                <w:szCs w:val="18"/>
              </w:rPr>
            </w:pPr>
            <w:r>
              <w:rPr>
                <w:sz w:val="18"/>
                <w:szCs w:val="18"/>
              </w:rPr>
              <w:t>28</w:t>
            </w:r>
          </w:p>
        </w:tc>
        <w:tc>
          <w:tcPr>
            <w:tcW w:w="2112" w:type="dxa"/>
            <w:vMerge/>
            <w:tcBorders>
              <w:top w:val="single" w:sz="4" w:space="0" w:color="000000"/>
              <w:left w:val="nil"/>
              <w:bottom w:val="nil"/>
              <w:right w:val="nil"/>
            </w:tcBorders>
          </w:tcPr>
          <w:p w14:paraId="39A269AA"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26BC7620" w14:textId="77777777" w:rsidR="008F0A77" w:rsidRDefault="008F0A77" w:rsidP="00EF6B7D">
            <w:pPr>
              <w:jc w:val="center"/>
              <w:rPr>
                <w:sz w:val="18"/>
                <w:szCs w:val="18"/>
              </w:rPr>
            </w:pPr>
            <w:r>
              <w:rPr>
                <w:sz w:val="18"/>
                <w:szCs w:val="18"/>
              </w:rPr>
              <w:t>0.75</w:t>
            </w:r>
          </w:p>
        </w:tc>
        <w:tc>
          <w:tcPr>
            <w:tcW w:w="1458" w:type="dxa"/>
            <w:vMerge/>
            <w:tcBorders>
              <w:top w:val="single" w:sz="4" w:space="0" w:color="000000"/>
              <w:left w:val="nil"/>
              <w:bottom w:val="nil"/>
              <w:right w:val="nil"/>
            </w:tcBorders>
          </w:tcPr>
          <w:p w14:paraId="270C7B86"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24EB8B9D" w14:textId="77777777" w:rsidR="008F0A77" w:rsidRDefault="008F0A77" w:rsidP="00EF6B7D">
            <w:pPr>
              <w:jc w:val="center"/>
              <w:rPr>
                <w:sz w:val="18"/>
                <w:szCs w:val="18"/>
              </w:rPr>
            </w:pPr>
            <w:r>
              <w:rPr>
                <w:sz w:val="18"/>
                <w:szCs w:val="18"/>
              </w:rPr>
              <w:t>0.87</w:t>
            </w:r>
          </w:p>
        </w:tc>
      </w:tr>
      <w:tr w:rsidR="008F0A77" w14:paraId="2A10E092" w14:textId="77777777" w:rsidTr="00EF6B7D">
        <w:tc>
          <w:tcPr>
            <w:tcW w:w="1445" w:type="dxa"/>
            <w:vMerge/>
            <w:tcBorders>
              <w:top w:val="single" w:sz="4" w:space="0" w:color="000000"/>
              <w:left w:val="nil"/>
              <w:bottom w:val="nil"/>
              <w:right w:val="nil"/>
            </w:tcBorders>
          </w:tcPr>
          <w:p w14:paraId="719C8F6E"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1E3756E4" w14:textId="77777777" w:rsidR="008F0A77" w:rsidRDefault="008F0A77" w:rsidP="00EF6B7D">
            <w:pPr>
              <w:jc w:val="center"/>
              <w:rPr>
                <w:sz w:val="18"/>
                <w:szCs w:val="18"/>
              </w:rPr>
            </w:pPr>
            <w:r>
              <w:rPr>
                <w:sz w:val="18"/>
                <w:szCs w:val="18"/>
              </w:rPr>
              <w:t>31</w:t>
            </w:r>
          </w:p>
        </w:tc>
        <w:tc>
          <w:tcPr>
            <w:tcW w:w="2112" w:type="dxa"/>
            <w:vMerge/>
            <w:tcBorders>
              <w:top w:val="single" w:sz="4" w:space="0" w:color="000000"/>
              <w:left w:val="nil"/>
              <w:bottom w:val="nil"/>
              <w:right w:val="nil"/>
            </w:tcBorders>
          </w:tcPr>
          <w:p w14:paraId="4C0D19E8"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2DA7B226" w14:textId="77777777" w:rsidR="008F0A77" w:rsidRDefault="008F0A77" w:rsidP="00EF6B7D">
            <w:pPr>
              <w:jc w:val="center"/>
              <w:rPr>
                <w:sz w:val="18"/>
                <w:szCs w:val="18"/>
              </w:rPr>
            </w:pPr>
            <w:r>
              <w:rPr>
                <w:sz w:val="18"/>
                <w:szCs w:val="18"/>
              </w:rPr>
              <w:t>0.76</w:t>
            </w:r>
          </w:p>
        </w:tc>
        <w:tc>
          <w:tcPr>
            <w:tcW w:w="1458" w:type="dxa"/>
            <w:vMerge/>
            <w:tcBorders>
              <w:top w:val="single" w:sz="4" w:space="0" w:color="000000"/>
              <w:left w:val="nil"/>
              <w:bottom w:val="nil"/>
              <w:right w:val="nil"/>
            </w:tcBorders>
          </w:tcPr>
          <w:p w14:paraId="156A1F9E"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234BB2A3" w14:textId="77777777" w:rsidR="008F0A77" w:rsidRDefault="008F0A77" w:rsidP="00EF6B7D">
            <w:pPr>
              <w:jc w:val="center"/>
              <w:rPr>
                <w:sz w:val="18"/>
                <w:szCs w:val="18"/>
              </w:rPr>
            </w:pPr>
            <w:r>
              <w:rPr>
                <w:sz w:val="18"/>
                <w:szCs w:val="18"/>
              </w:rPr>
              <w:t>0.88</w:t>
            </w:r>
          </w:p>
        </w:tc>
      </w:tr>
      <w:tr w:rsidR="008F0A77" w14:paraId="4B3EAA8C" w14:textId="77777777" w:rsidTr="00EF6B7D">
        <w:tc>
          <w:tcPr>
            <w:tcW w:w="1445" w:type="dxa"/>
            <w:vMerge/>
            <w:tcBorders>
              <w:top w:val="single" w:sz="4" w:space="0" w:color="000000"/>
              <w:left w:val="nil"/>
              <w:bottom w:val="nil"/>
              <w:right w:val="nil"/>
            </w:tcBorders>
          </w:tcPr>
          <w:p w14:paraId="64841435"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single" w:sz="4" w:space="0" w:color="000000"/>
            </w:tcBorders>
          </w:tcPr>
          <w:p w14:paraId="3A0826EC" w14:textId="77777777" w:rsidR="008F0A77" w:rsidRDefault="008F0A77" w:rsidP="00EF6B7D">
            <w:pPr>
              <w:jc w:val="center"/>
              <w:rPr>
                <w:sz w:val="18"/>
                <w:szCs w:val="18"/>
              </w:rPr>
            </w:pPr>
            <w:r>
              <w:rPr>
                <w:sz w:val="18"/>
                <w:szCs w:val="18"/>
              </w:rPr>
              <w:t>32</w:t>
            </w:r>
          </w:p>
        </w:tc>
        <w:tc>
          <w:tcPr>
            <w:tcW w:w="2112" w:type="dxa"/>
            <w:vMerge/>
            <w:tcBorders>
              <w:top w:val="single" w:sz="4" w:space="0" w:color="000000"/>
              <w:left w:val="nil"/>
              <w:bottom w:val="nil"/>
              <w:right w:val="nil"/>
            </w:tcBorders>
          </w:tcPr>
          <w:p w14:paraId="65C9F44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single" w:sz="4" w:space="0" w:color="000000"/>
            </w:tcBorders>
          </w:tcPr>
          <w:p w14:paraId="0FACA7F4" w14:textId="77777777" w:rsidR="008F0A77" w:rsidRDefault="008F0A77" w:rsidP="00EF6B7D">
            <w:pPr>
              <w:jc w:val="center"/>
              <w:rPr>
                <w:sz w:val="18"/>
                <w:szCs w:val="18"/>
              </w:rPr>
            </w:pPr>
            <w:r>
              <w:rPr>
                <w:sz w:val="18"/>
                <w:szCs w:val="18"/>
              </w:rPr>
              <w:t>0.80</w:t>
            </w:r>
          </w:p>
        </w:tc>
        <w:tc>
          <w:tcPr>
            <w:tcW w:w="1458" w:type="dxa"/>
            <w:vMerge/>
            <w:tcBorders>
              <w:top w:val="single" w:sz="4" w:space="0" w:color="000000"/>
              <w:left w:val="nil"/>
              <w:bottom w:val="nil"/>
              <w:right w:val="nil"/>
            </w:tcBorders>
          </w:tcPr>
          <w:p w14:paraId="6DB3E78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single" w:sz="4" w:space="0" w:color="000000"/>
            </w:tcBorders>
          </w:tcPr>
          <w:p w14:paraId="29C6D0A2" w14:textId="77777777" w:rsidR="008F0A77" w:rsidRDefault="008F0A77" w:rsidP="00EF6B7D">
            <w:pPr>
              <w:jc w:val="center"/>
              <w:rPr>
                <w:sz w:val="18"/>
                <w:szCs w:val="18"/>
              </w:rPr>
            </w:pPr>
            <w:r>
              <w:rPr>
                <w:sz w:val="18"/>
                <w:szCs w:val="18"/>
              </w:rPr>
              <w:t>0.88</w:t>
            </w:r>
          </w:p>
        </w:tc>
      </w:tr>
      <w:tr w:rsidR="008F0A77" w14:paraId="3454A052" w14:textId="77777777" w:rsidTr="00EF6B7D">
        <w:tc>
          <w:tcPr>
            <w:tcW w:w="1445" w:type="dxa"/>
            <w:vMerge w:val="restart"/>
            <w:tcBorders>
              <w:top w:val="single" w:sz="4" w:space="0" w:color="000000"/>
              <w:bottom w:val="nil"/>
            </w:tcBorders>
          </w:tcPr>
          <w:p w14:paraId="3E219294" w14:textId="77777777" w:rsidR="008F0A77" w:rsidRDefault="008F0A77" w:rsidP="00EF6B7D">
            <w:pPr>
              <w:jc w:val="center"/>
              <w:rPr>
                <w:sz w:val="18"/>
                <w:szCs w:val="18"/>
              </w:rPr>
            </w:pPr>
            <w:r>
              <w:rPr>
                <w:sz w:val="18"/>
                <w:szCs w:val="18"/>
              </w:rPr>
              <w:t>Factor 2. Involvement</w:t>
            </w:r>
          </w:p>
        </w:tc>
        <w:tc>
          <w:tcPr>
            <w:tcW w:w="787" w:type="dxa"/>
            <w:tcBorders>
              <w:top w:val="single" w:sz="4" w:space="0" w:color="000000"/>
              <w:bottom w:val="nil"/>
            </w:tcBorders>
          </w:tcPr>
          <w:p w14:paraId="290109D0" w14:textId="77777777" w:rsidR="008F0A77" w:rsidRDefault="008F0A77" w:rsidP="00EF6B7D">
            <w:pPr>
              <w:jc w:val="center"/>
              <w:rPr>
                <w:sz w:val="18"/>
                <w:szCs w:val="18"/>
              </w:rPr>
            </w:pPr>
            <w:r>
              <w:rPr>
                <w:sz w:val="18"/>
                <w:szCs w:val="18"/>
              </w:rPr>
              <w:t>22</w:t>
            </w:r>
          </w:p>
        </w:tc>
        <w:tc>
          <w:tcPr>
            <w:tcW w:w="2112" w:type="dxa"/>
            <w:vMerge w:val="restart"/>
            <w:tcBorders>
              <w:top w:val="single" w:sz="4" w:space="0" w:color="000000"/>
              <w:bottom w:val="nil"/>
            </w:tcBorders>
          </w:tcPr>
          <w:p w14:paraId="27E2466F" w14:textId="77777777" w:rsidR="008F0A77" w:rsidRDefault="008F0A77" w:rsidP="00EF6B7D">
            <w:pPr>
              <w:jc w:val="center"/>
              <w:rPr>
                <w:sz w:val="18"/>
                <w:szCs w:val="18"/>
              </w:rPr>
            </w:pPr>
            <w:r>
              <w:rPr>
                <w:sz w:val="18"/>
                <w:szCs w:val="18"/>
              </w:rPr>
              <w:t>0.71</w:t>
            </w:r>
          </w:p>
          <w:p w14:paraId="2EB4C9F2" w14:textId="77777777" w:rsidR="008F0A77" w:rsidRDefault="008F0A77" w:rsidP="00EF6B7D">
            <w:pPr>
              <w:jc w:val="center"/>
              <w:rPr>
                <w:sz w:val="18"/>
                <w:szCs w:val="18"/>
              </w:rPr>
            </w:pPr>
          </w:p>
        </w:tc>
        <w:tc>
          <w:tcPr>
            <w:tcW w:w="1458" w:type="dxa"/>
            <w:tcBorders>
              <w:top w:val="single" w:sz="4" w:space="0" w:color="000000"/>
              <w:bottom w:val="nil"/>
            </w:tcBorders>
          </w:tcPr>
          <w:p w14:paraId="68B4168A" w14:textId="77777777" w:rsidR="008F0A77" w:rsidRDefault="008F0A77" w:rsidP="00EF6B7D">
            <w:pPr>
              <w:jc w:val="center"/>
              <w:rPr>
                <w:sz w:val="18"/>
                <w:szCs w:val="18"/>
              </w:rPr>
            </w:pPr>
            <w:r>
              <w:rPr>
                <w:sz w:val="18"/>
                <w:szCs w:val="18"/>
              </w:rPr>
              <w:t>0.63</w:t>
            </w:r>
          </w:p>
        </w:tc>
        <w:tc>
          <w:tcPr>
            <w:tcW w:w="1458" w:type="dxa"/>
            <w:vMerge w:val="restart"/>
            <w:tcBorders>
              <w:top w:val="single" w:sz="4" w:space="0" w:color="000000"/>
              <w:bottom w:val="nil"/>
            </w:tcBorders>
          </w:tcPr>
          <w:p w14:paraId="5FD18CDD" w14:textId="77777777" w:rsidR="008F0A77" w:rsidRDefault="008F0A77" w:rsidP="00EF6B7D">
            <w:pPr>
              <w:jc w:val="center"/>
              <w:rPr>
                <w:sz w:val="18"/>
                <w:szCs w:val="18"/>
              </w:rPr>
            </w:pPr>
            <w:r>
              <w:rPr>
                <w:sz w:val="18"/>
                <w:szCs w:val="18"/>
              </w:rPr>
              <w:t>0.80</w:t>
            </w:r>
          </w:p>
        </w:tc>
        <w:tc>
          <w:tcPr>
            <w:tcW w:w="1459" w:type="dxa"/>
            <w:tcBorders>
              <w:top w:val="single" w:sz="4" w:space="0" w:color="000000"/>
              <w:bottom w:val="nil"/>
            </w:tcBorders>
          </w:tcPr>
          <w:p w14:paraId="0515E73C" w14:textId="77777777" w:rsidR="008F0A77" w:rsidRDefault="008F0A77" w:rsidP="00EF6B7D">
            <w:pPr>
              <w:jc w:val="center"/>
              <w:rPr>
                <w:sz w:val="18"/>
                <w:szCs w:val="18"/>
              </w:rPr>
            </w:pPr>
            <w:r>
              <w:rPr>
                <w:sz w:val="18"/>
                <w:szCs w:val="18"/>
              </w:rPr>
              <w:t>0.79</w:t>
            </w:r>
          </w:p>
        </w:tc>
      </w:tr>
      <w:tr w:rsidR="008F0A77" w14:paraId="6F6912FE" w14:textId="77777777" w:rsidTr="00EF6B7D">
        <w:trPr>
          <w:trHeight w:val="60"/>
        </w:trPr>
        <w:tc>
          <w:tcPr>
            <w:tcW w:w="1445" w:type="dxa"/>
            <w:vMerge/>
            <w:tcBorders>
              <w:top w:val="single" w:sz="4" w:space="0" w:color="000000"/>
              <w:bottom w:val="nil"/>
            </w:tcBorders>
          </w:tcPr>
          <w:p w14:paraId="2D97341F"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1CB743EF" w14:textId="77777777" w:rsidR="008F0A77" w:rsidRDefault="008F0A77" w:rsidP="00EF6B7D">
            <w:pPr>
              <w:jc w:val="center"/>
              <w:rPr>
                <w:sz w:val="18"/>
                <w:szCs w:val="18"/>
              </w:rPr>
            </w:pPr>
            <w:r>
              <w:rPr>
                <w:sz w:val="18"/>
                <w:szCs w:val="18"/>
              </w:rPr>
              <w:t>23</w:t>
            </w:r>
          </w:p>
        </w:tc>
        <w:tc>
          <w:tcPr>
            <w:tcW w:w="2112" w:type="dxa"/>
            <w:vMerge/>
            <w:tcBorders>
              <w:top w:val="single" w:sz="4" w:space="0" w:color="000000"/>
              <w:bottom w:val="nil"/>
            </w:tcBorders>
          </w:tcPr>
          <w:p w14:paraId="3DB5E3EB"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05F57BC7" w14:textId="77777777" w:rsidR="008F0A77" w:rsidRDefault="008F0A77" w:rsidP="00EF6B7D">
            <w:pPr>
              <w:jc w:val="center"/>
              <w:rPr>
                <w:sz w:val="18"/>
                <w:szCs w:val="18"/>
              </w:rPr>
            </w:pPr>
            <w:r>
              <w:rPr>
                <w:sz w:val="18"/>
                <w:szCs w:val="18"/>
              </w:rPr>
              <w:t>0.64</w:t>
            </w:r>
          </w:p>
        </w:tc>
        <w:tc>
          <w:tcPr>
            <w:tcW w:w="1458" w:type="dxa"/>
            <w:vMerge/>
            <w:tcBorders>
              <w:top w:val="single" w:sz="4" w:space="0" w:color="000000"/>
              <w:bottom w:val="nil"/>
            </w:tcBorders>
          </w:tcPr>
          <w:p w14:paraId="359A26C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75CDB36B" w14:textId="77777777" w:rsidR="008F0A77" w:rsidRDefault="008F0A77" w:rsidP="00EF6B7D">
            <w:pPr>
              <w:jc w:val="center"/>
              <w:rPr>
                <w:sz w:val="18"/>
                <w:szCs w:val="18"/>
              </w:rPr>
            </w:pPr>
            <w:r>
              <w:rPr>
                <w:sz w:val="18"/>
                <w:szCs w:val="18"/>
              </w:rPr>
              <w:t>0.75</w:t>
            </w:r>
          </w:p>
        </w:tc>
      </w:tr>
      <w:tr w:rsidR="008F0A77" w14:paraId="2BF7772F" w14:textId="77777777" w:rsidTr="00EF6B7D">
        <w:trPr>
          <w:trHeight w:val="63"/>
        </w:trPr>
        <w:tc>
          <w:tcPr>
            <w:tcW w:w="1445" w:type="dxa"/>
            <w:vMerge/>
            <w:tcBorders>
              <w:top w:val="single" w:sz="4" w:space="0" w:color="000000"/>
              <w:bottom w:val="nil"/>
            </w:tcBorders>
          </w:tcPr>
          <w:p w14:paraId="2D0A95AF"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left w:val="nil"/>
              <w:bottom w:val="nil"/>
              <w:right w:val="nil"/>
            </w:tcBorders>
          </w:tcPr>
          <w:p w14:paraId="0A1D1459" w14:textId="77777777" w:rsidR="008F0A77" w:rsidRDefault="008F0A77" w:rsidP="00EF6B7D">
            <w:pPr>
              <w:jc w:val="center"/>
              <w:rPr>
                <w:sz w:val="18"/>
                <w:szCs w:val="18"/>
              </w:rPr>
            </w:pPr>
            <w:r>
              <w:rPr>
                <w:sz w:val="18"/>
                <w:szCs w:val="18"/>
              </w:rPr>
              <w:t>24</w:t>
            </w:r>
          </w:p>
        </w:tc>
        <w:tc>
          <w:tcPr>
            <w:tcW w:w="2112" w:type="dxa"/>
            <w:vMerge/>
            <w:tcBorders>
              <w:top w:val="single" w:sz="4" w:space="0" w:color="000000"/>
              <w:bottom w:val="nil"/>
            </w:tcBorders>
          </w:tcPr>
          <w:p w14:paraId="18A24F8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left w:val="nil"/>
              <w:bottom w:val="nil"/>
              <w:right w:val="nil"/>
            </w:tcBorders>
          </w:tcPr>
          <w:p w14:paraId="25D1ECE6" w14:textId="77777777" w:rsidR="008F0A77" w:rsidRDefault="008F0A77" w:rsidP="00EF6B7D">
            <w:pPr>
              <w:jc w:val="center"/>
              <w:rPr>
                <w:sz w:val="18"/>
                <w:szCs w:val="18"/>
              </w:rPr>
            </w:pPr>
            <w:r>
              <w:rPr>
                <w:sz w:val="18"/>
                <w:szCs w:val="18"/>
              </w:rPr>
              <w:t>0.58</w:t>
            </w:r>
          </w:p>
        </w:tc>
        <w:tc>
          <w:tcPr>
            <w:tcW w:w="1458" w:type="dxa"/>
            <w:vMerge/>
            <w:tcBorders>
              <w:top w:val="single" w:sz="4" w:space="0" w:color="000000"/>
              <w:bottom w:val="nil"/>
            </w:tcBorders>
          </w:tcPr>
          <w:p w14:paraId="0179FAE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left w:val="nil"/>
              <w:bottom w:val="nil"/>
              <w:right w:val="nil"/>
            </w:tcBorders>
          </w:tcPr>
          <w:p w14:paraId="3F9AAD4F" w14:textId="77777777" w:rsidR="008F0A77" w:rsidRDefault="008F0A77" w:rsidP="00EF6B7D">
            <w:pPr>
              <w:jc w:val="center"/>
              <w:rPr>
                <w:sz w:val="18"/>
                <w:szCs w:val="18"/>
              </w:rPr>
            </w:pPr>
            <w:r>
              <w:rPr>
                <w:sz w:val="18"/>
                <w:szCs w:val="18"/>
              </w:rPr>
              <w:t>0.71</w:t>
            </w:r>
          </w:p>
        </w:tc>
      </w:tr>
      <w:tr w:rsidR="008F0A77" w14:paraId="71166532" w14:textId="77777777" w:rsidTr="00EF6B7D">
        <w:tc>
          <w:tcPr>
            <w:tcW w:w="1445" w:type="dxa"/>
            <w:vMerge/>
            <w:tcBorders>
              <w:top w:val="single" w:sz="4" w:space="0" w:color="000000"/>
              <w:bottom w:val="nil"/>
            </w:tcBorders>
          </w:tcPr>
          <w:p w14:paraId="4FA40FF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6404E139" w14:textId="77777777" w:rsidR="008F0A77" w:rsidRDefault="008F0A77" w:rsidP="00EF6B7D">
            <w:pPr>
              <w:jc w:val="center"/>
              <w:rPr>
                <w:sz w:val="18"/>
                <w:szCs w:val="18"/>
              </w:rPr>
            </w:pPr>
            <w:r>
              <w:rPr>
                <w:sz w:val="18"/>
                <w:szCs w:val="18"/>
              </w:rPr>
              <w:t>25</w:t>
            </w:r>
          </w:p>
        </w:tc>
        <w:tc>
          <w:tcPr>
            <w:tcW w:w="2112" w:type="dxa"/>
            <w:vMerge/>
            <w:tcBorders>
              <w:top w:val="single" w:sz="4" w:space="0" w:color="000000"/>
              <w:bottom w:val="nil"/>
            </w:tcBorders>
          </w:tcPr>
          <w:p w14:paraId="2A4142E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24AFEFFC" w14:textId="77777777" w:rsidR="008F0A77" w:rsidRDefault="008F0A77" w:rsidP="00EF6B7D">
            <w:pPr>
              <w:jc w:val="center"/>
              <w:rPr>
                <w:sz w:val="18"/>
                <w:szCs w:val="18"/>
              </w:rPr>
            </w:pPr>
            <w:r>
              <w:rPr>
                <w:sz w:val="18"/>
                <w:szCs w:val="18"/>
              </w:rPr>
              <w:t>0.65</w:t>
            </w:r>
          </w:p>
        </w:tc>
        <w:tc>
          <w:tcPr>
            <w:tcW w:w="1458" w:type="dxa"/>
            <w:vMerge/>
            <w:tcBorders>
              <w:top w:val="single" w:sz="4" w:space="0" w:color="000000"/>
              <w:bottom w:val="nil"/>
            </w:tcBorders>
          </w:tcPr>
          <w:p w14:paraId="0C965125"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7DB3AD90" w14:textId="77777777" w:rsidR="008F0A77" w:rsidRDefault="008F0A77" w:rsidP="00EF6B7D">
            <w:pPr>
              <w:jc w:val="center"/>
              <w:rPr>
                <w:sz w:val="18"/>
                <w:szCs w:val="18"/>
              </w:rPr>
            </w:pPr>
            <w:r>
              <w:rPr>
                <w:sz w:val="18"/>
                <w:szCs w:val="18"/>
              </w:rPr>
              <w:t>0.73</w:t>
            </w:r>
          </w:p>
        </w:tc>
      </w:tr>
      <w:tr w:rsidR="008F0A77" w14:paraId="23B15BED" w14:textId="77777777" w:rsidTr="00EF6B7D">
        <w:trPr>
          <w:trHeight w:val="80"/>
        </w:trPr>
        <w:tc>
          <w:tcPr>
            <w:tcW w:w="1445" w:type="dxa"/>
            <w:vMerge/>
            <w:tcBorders>
              <w:top w:val="single" w:sz="4" w:space="0" w:color="000000"/>
              <w:bottom w:val="nil"/>
            </w:tcBorders>
          </w:tcPr>
          <w:p w14:paraId="033520F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single" w:sz="4" w:space="0" w:color="000000"/>
            </w:tcBorders>
          </w:tcPr>
          <w:p w14:paraId="283F13BA" w14:textId="77777777" w:rsidR="008F0A77" w:rsidRDefault="008F0A77" w:rsidP="00EF6B7D">
            <w:pPr>
              <w:jc w:val="center"/>
              <w:rPr>
                <w:sz w:val="18"/>
                <w:szCs w:val="18"/>
              </w:rPr>
            </w:pPr>
            <w:r>
              <w:rPr>
                <w:sz w:val="18"/>
                <w:szCs w:val="18"/>
              </w:rPr>
              <w:t>29</w:t>
            </w:r>
          </w:p>
        </w:tc>
        <w:tc>
          <w:tcPr>
            <w:tcW w:w="2112" w:type="dxa"/>
            <w:vMerge/>
            <w:tcBorders>
              <w:top w:val="single" w:sz="4" w:space="0" w:color="000000"/>
              <w:bottom w:val="nil"/>
            </w:tcBorders>
          </w:tcPr>
          <w:p w14:paraId="16E4988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single" w:sz="4" w:space="0" w:color="000000"/>
            </w:tcBorders>
          </w:tcPr>
          <w:p w14:paraId="5ABCF266" w14:textId="77777777" w:rsidR="008F0A77" w:rsidRDefault="008F0A77" w:rsidP="00EF6B7D">
            <w:pPr>
              <w:jc w:val="center"/>
              <w:rPr>
                <w:sz w:val="18"/>
                <w:szCs w:val="18"/>
              </w:rPr>
            </w:pPr>
            <w:r>
              <w:rPr>
                <w:sz w:val="18"/>
                <w:szCs w:val="18"/>
              </w:rPr>
              <w:t>0.67</w:t>
            </w:r>
          </w:p>
        </w:tc>
        <w:tc>
          <w:tcPr>
            <w:tcW w:w="1458" w:type="dxa"/>
            <w:vMerge/>
            <w:tcBorders>
              <w:top w:val="single" w:sz="4" w:space="0" w:color="000000"/>
              <w:bottom w:val="nil"/>
            </w:tcBorders>
          </w:tcPr>
          <w:p w14:paraId="1DAC0E18"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single" w:sz="4" w:space="0" w:color="000000"/>
            </w:tcBorders>
          </w:tcPr>
          <w:p w14:paraId="6CA57CCB" w14:textId="77777777" w:rsidR="008F0A77" w:rsidRDefault="008F0A77" w:rsidP="00EF6B7D">
            <w:pPr>
              <w:jc w:val="center"/>
              <w:rPr>
                <w:sz w:val="18"/>
                <w:szCs w:val="18"/>
              </w:rPr>
            </w:pPr>
            <w:r>
              <w:rPr>
                <w:b/>
                <w:sz w:val="18"/>
                <w:szCs w:val="18"/>
              </w:rPr>
              <w:t>0.81</w:t>
            </w:r>
          </w:p>
        </w:tc>
      </w:tr>
      <w:tr w:rsidR="008F0A77" w14:paraId="71AF30C8" w14:textId="77777777" w:rsidTr="00EF6B7D">
        <w:tc>
          <w:tcPr>
            <w:tcW w:w="1445" w:type="dxa"/>
            <w:vMerge w:val="restart"/>
            <w:tcBorders>
              <w:top w:val="single" w:sz="4" w:space="0" w:color="000000"/>
              <w:bottom w:val="nil"/>
            </w:tcBorders>
          </w:tcPr>
          <w:p w14:paraId="66206764" w14:textId="77777777" w:rsidR="008F0A77" w:rsidRDefault="008F0A77" w:rsidP="00EF6B7D">
            <w:pPr>
              <w:jc w:val="center"/>
              <w:rPr>
                <w:sz w:val="18"/>
                <w:szCs w:val="18"/>
              </w:rPr>
            </w:pPr>
            <w:r>
              <w:rPr>
                <w:sz w:val="18"/>
                <w:szCs w:val="18"/>
              </w:rPr>
              <w:t>Factor 3. Diversity of treatment options</w:t>
            </w:r>
          </w:p>
        </w:tc>
        <w:tc>
          <w:tcPr>
            <w:tcW w:w="787" w:type="dxa"/>
            <w:tcBorders>
              <w:top w:val="single" w:sz="4" w:space="0" w:color="000000"/>
              <w:bottom w:val="nil"/>
            </w:tcBorders>
          </w:tcPr>
          <w:p w14:paraId="042B4E6F" w14:textId="77777777" w:rsidR="008F0A77" w:rsidRDefault="008F0A77" w:rsidP="00EF6B7D">
            <w:pPr>
              <w:jc w:val="center"/>
              <w:rPr>
                <w:sz w:val="18"/>
                <w:szCs w:val="18"/>
              </w:rPr>
            </w:pPr>
            <w:r>
              <w:rPr>
                <w:sz w:val="18"/>
                <w:szCs w:val="18"/>
              </w:rPr>
              <w:t>14</w:t>
            </w:r>
          </w:p>
        </w:tc>
        <w:tc>
          <w:tcPr>
            <w:tcW w:w="2112" w:type="dxa"/>
            <w:vMerge w:val="restart"/>
            <w:tcBorders>
              <w:top w:val="single" w:sz="4" w:space="0" w:color="000000"/>
              <w:bottom w:val="nil"/>
            </w:tcBorders>
          </w:tcPr>
          <w:p w14:paraId="0C6CA968" w14:textId="77777777" w:rsidR="008F0A77" w:rsidRDefault="008F0A77" w:rsidP="00EF6B7D">
            <w:pPr>
              <w:jc w:val="center"/>
              <w:rPr>
                <w:sz w:val="18"/>
                <w:szCs w:val="18"/>
              </w:rPr>
            </w:pPr>
            <w:r>
              <w:rPr>
                <w:sz w:val="18"/>
                <w:szCs w:val="18"/>
              </w:rPr>
              <w:t>0.66</w:t>
            </w:r>
          </w:p>
          <w:p w14:paraId="3FABAD49" w14:textId="77777777" w:rsidR="008F0A77" w:rsidRDefault="008F0A77" w:rsidP="00EF6B7D">
            <w:pPr>
              <w:jc w:val="center"/>
              <w:rPr>
                <w:sz w:val="18"/>
                <w:szCs w:val="18"/>
              </w:rPr>
            </w:pPr>
          </w:p>
        </w:tc>
        <w:tc>
          <w:tcPr>
            <w:tcW w:w="1458" w:type="dxa"/>
            <w:tcBorders>
              <w:top w:val="single" w:sz="4" w:space="0" w:color="000000"/>
              <w:bottom w:val="nil"/>
            </w:tcBorders>
          </w:tcPr>
          <w:p w14:paraId="38238D55" w14:textId="77777777" w:rsidR="008F0A77" w:rsidRDefault="008F0A77" w:rsidP="00EF6B7D">
            <w:pPr>
              <w:jc w:val="center"/>
              <w:rPr>
                <w:sz w:val="18"/>
                <w:szCs w:val="18"/>
              </w:rPr>
            </w:pPr>
            <w:r>
              <w:rPr>
                <w:sz w:val="18"/>
                <w:szCs w:val="18"/>
              </w:rPr>
              <w:t>0.66</w:t>
            </w:r>
          </w:p>
        </w:tc>
        <w:tc>
          <w:tcPr>
            <w:tcW w:w="1458" w:type="dxa"/>
            <w:vMerge w:val="restart"/>
            <w:tcBorders>
              <w:top w:val="single" w:sz="4" w:space="0" w:color="000000"/>
              <w:bottom w:val="nil"/>
            </w:tcBorders>
          </w:tcPr>
          <w:p w14:paraId="46F1B81E" w14:textId="77777777" w:rsidR="008F0A77" w:rsidRDefault="008F0A77" w:rsidP="00EF6B7D">
            <w:pPr>
              <w:jc w:val="center"/>
              <w:rPr>
                <w:sz w:val="18"/>
                <w:szCs w:val="18"/>
              </w:rPr>
            </w:pPr>
            <w:r>
              <w:rPr>
                <w:sz w:val="18"/>
                <w:szCs w:val="18"/>
              </w:rPr>
              <w:t>0.81</w:t>
            </w:r>
          </w:p>
        </w:tc>
        <w:tc>
          <w:tcPr>
            <w:tcW w:w="1459" w:type="dxa"/>
            <w:tcBorders>
              <w:top w:val="single" w:sz="4" w:space="0" w:color="000000"/>
              <w:bottom w:val="nil"/>
            </w:tcBorders>
          </w:tcPr>
          <w:p w14:paraId="42312041" w14:textId="77777777" w:rsidR="008F0A77" w:rsidRDefault="008F0A77" w:rsidP="00EF6B7D">
            <w:pPr>
              <w:jc w:val="center"/>
              <w:rPr>
                <w:sz w:val="18"/>
                <w:szCs w:val="18"/>
              </w:rPr>
            </w:pPr>
            <w:r>
              <w:rPr>
                <w:sz w:val="18"/>
                <w:szCs w:val="18"/>
              </w:rPr>
              <w:t>0.79</w:t>
            </w:r>
          </w:p>
        </w:tc>
      </w:tr>
      <w:tr w:rsidR="008F0A77" w14:paraId="2BA61490" w14:textId="77777777" w:rsidTr="00EF6B7D">
        <w:tc>
          <w:tcPr>
            <w:tcW w:w="1445" w:type="dxa"/>
            <w:vMerge/>
            <w:tcBorders>
              <w:top w:val="single" w:sz="4" w:space="0" w:color="000000"/>
              <w:bottom w:val="nil"/>
            </w:tcBorders>
          </w:tcPr>
          <w:p w14:paraId="68EF5A5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4168EAC2" w14:textId="77777777" w:rsidR="008F0A77" w:rsidRDefault="008F0A77" w:rsidP="00EF6B7D">
            <w:pPr>
              <w:jc w:val="center"/>
              <w:rPr>
                <w:sz w:val="18"/>
                <w:szCs w:val="18"/>
              </w:rPr>
            </w:pPr>
            <w:r>
              <w:rPr>
                <w:sz w:val="18"/>
                <w:szCs w:val="18"/>
              </w:rPr>
              <w:t>15</w:t>
            </w:r>
          </w:p>
        </w:tc>
        <w:tc>
          <w:tcPr>
            <w:tcW w:w="2112" w:type="dxa"/>
            <w:vMerge/>
            <w:tcBorders>
              <w:top w:val="single" w:sz="4" w:space="0" w:color="000000"/>
              <w:bottom w:val="nil"/>
            </w:tcBorders>
          </w:tcPr>
          <w:p w14:paraId="7102EEB0"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188BCA74" w14:textId="77777777" w:rsidR="008F0A77" w:rsidRDefault="008F0A77" w:rsidP="00EF6B7D">
            <w:pPr>
              <w:jc w:val="center"/>
              <w:rPr>
                <w:sz w:val="18"/>
                <w:szCs w:val="18"/>
              </w:rPr>
            </w:pPr>
            <w:r>
              <w:rPr>
                <w:sz w:val="18"/>
                <w:szCs w:val="18"/>
              </w:rPr>
              <w:t>0.66</w:t>
            </w:r>
          </w:p>
        </w:tc>
        <w:tc>
          <w:tcPr>
            <w:tcW w:w="1458" w:type="dxa"/>
            <w:vMerge/>
            <w:tcBorders>
              <w:top w:val="single" w:sz="4" w:space="0" w:color="000000"/>
              <w:bottom w:val="nil"/>
            </w:tcBorders>
          </w:tcPr>
          <w:p w14:paraId="45E28900"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1EAE9C12" w14:textId="77777777" w:rsidR="008F0A77" w:rsidRDefault="008F0A77" w:rsidP="00EF6B7D">
            <w:pPr>
              <w:jc w:val="center"/>
              <w:rPr>
                <w:sz w:val="18"/>
                <w:szCs w:val="18"/>
              </w:rPr>
            </w:pPr>
            <w:r>
              <w:rPr>
                <w:sz w:val="18"/>
                <w:szCs w:val="18"/>
              </w:rPr>
              <w:t>0.79</w:t>
            </w:r>
          </w:p>
        </w:tc>
      </w:tr>
      <w:tr w:rsidR="008F0A77" w14:paraId="4C33DB1E" w14:textId="77777777" w:rsidTr="00EF6B7D">
        <w:tc>
          <w:tcPr>
            <w:tcW w:w="1445" w:type="dxa"/>
            <w:vMerge/>
            <w:tcBorders>
              <w:top w:val="single" w:sz="4" w:space="0" w:color="000000"/>
              <w:bottom w:val="nil"/>
            </w:tcBorders>
          </w:tcPr>
          <w:p w14:paraId="1D6FB0BB"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60DBB64C" w14:textId="77777777" w:rsidR="008F0A77" w:rsidRDefault="008F0A77" w:rsidP="00EF6B7D">
            <w:pPr>
              <w:jc w:val="center"/>
              <w:rPr>
                <w:sz w:val="18"/>
                <w:szCs w:val="18"/>
              </w:rPr>
            </w:pPr>
            <w:r>
              <w:rPr>
                <w:sz w:val="18"/>
                <w:szCs w:val="18"/>
              </w:rPr>
              <w:t>20</w:t>
            </w:r>
          </w:p>
        </w:tc>
        <w:tc>
          <w:tcPr>
            <w:tcW w:w="2112" w:type="dxa"/>
            <w:vMerge/>
            <w:tcBorders>
              <w:top w:val="single" w:sz="4" w:space="0" w:color="000000"/>
              <w:bottom w:val="nil"/>
            </w:tcBorders>
          </w:tcPr>
          <w:p w14:paraId="67ED5C9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18053A83" w14:textId="77777777" w:rsidR="008F0A77" w:rsidRDefault="008F0A77" w:rsidP="00EF6B7D">
            <w:pPr>
              <w:jc w:val="center"/>
              <w:rPr>
                <w:sz w:val="18"/>
                <w:szCs w:val="18"/>
              </w:rPr>
            </w:pPr>
            <w:r>
              <w:rPr>
                <w:sz w:val="18"/>
                <w:szCs w:val="18"/>
              </w:rPr>
              <w:t>0.62</w:t>
            </w:r>
          </w:p>
        </w:tc>
        <w:tc>
          <w:tcPr>
            <w:tcW w:w="1458" w:type="dxa"/>
            <w:vMerge/>
            <w:tcBorders>
              <w:top w:val="single" w:sz="4" w:space="0" w:color="000000"/>
              <w:bottom w:val="nil"/>
            </w:tcBorders>
          </w:tcPr>
          <w:p w14:paraId="1BA2758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42838FE3" w14:textId="77777777" w:rsidR="008F0A77" w:rsidRDefault="008F0A77" w:rsidP="00EF6B7D">
            <w:pPr>
              <w:jc w:val="center"/>
              <w:rPr>
                <w:sz w:val="18"/>
                <w:szCs w:val="18"/>
              </w:rPr>
            </w:pPr>
            <w:r>
              <w:rPr>
                <w:sz w:val="18"/>
                <w:szCs w:val="18"/>
              </w:rPr>
              <w:t>0.75</w:t>
            </w:r>
          </w:p>
        </w:tc>
      </w:tr>
      <w:tr w:rsidR="008F0A77" w14:paraId="25CCE7BC" w14:textId="77777777" w:rsidTr="00EF6B7D">
        <w:tc>
          <w:tcPr>
            <w:tcW w:w="1445" w:type="dxa"/>
            <w:vMerge/>
            <w:tcBorders>
              <w:top w:val="single" w:sz="4" w:space="0" w:color="000000"/>
              <w:bottom w:val="nil"/>
            </w:tcBorders>
          </w:tcPr>
          <w:p w14:paraId="7C69FE10"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0944A8CC" w14:textId="77777777" w:rsidR="008F0A77" w:rsidRDefault="008F0A77" w:rsidP="00EF6B7D">
            <w:pPr>
              <w:jc w:val="center"/>
              <w:rPr>
                <w:sz w:val="18"/>
                <w:szCs w:val="18"/>
              </w:rPr>
            </w:pPr>
            <w:r>
              <w:rPr>
                <w:sz w:val="18"/>
                <w:szCs w:val="18"/>
              </w:rPr>
              <w:t>21a</w:t>
            </w:r>
          </w:p>
        </w:tc>
        <w:tc>
          <w:tcPr>
            <w:tcW w:w="2112" w:type="dxa"/>
            <w:vMerge/>
            <w:tcBorders>
              <w:top w:val="single" w:sz="4" w:space="0" w:color="000000"/>
              <w:bottom w:val="nil"/>
            </w:tcBorders>
          </w:tcPr>
          <w:p w14:paraId="2A0C4CB0"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34E6C6B8" w14:textId="77777777" w:rsidR="008F0A77" w:rsidRDefault="008F0A77" w:rsidP="00EF6B7D">
            <w:pPr>
              <w:jc w:val="center"/>
              <w:rPr>
                <w:sz w:val="18"/>
                <w:szCs w:val="18"/>
              </w:rPr>
            </w:pPr>
            <w:r>
              <w:rPr>
                <w:sz w:val="18"/>
                <w:szCs w:val="18"/>
              </w:rPr>
              <w:t>0.61</w:t>
            </w:r>
          </w:p>
        </w:tc>
        <w:tc>
          <w:tcPr>
            <w:tcW w:w="1458" w:type="dxa"/>
            <w:vMerge/>
            <w:tcBorders>
              <w:top w:val="single" w:sz="4" w:space="0" w:color="000000"/>
              <w:bottom w:val="nil"/>
            </w:tcBorders>
          </w:tcPr>
          <w:p w14:paraId="14623EF6"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18162D19" w14:textId="77777777" w:rsidR="008F0A77" w:rsidRDefault="008F0A77" w:rsidP="00EF6B7D">
            <w:pPr>
              <w:jc w:val="center"/>
              <w:rPr>
                <w:b/>
                <w:sz w:val="18"/>
                <w:szCs w:val="18"/>
              </w:rPr>
            </w:pPr>
            <w:r>
              <w:rPr>
                <w:sz w:val="18"/>
                <w:szCs w:val="18"/>
              </w:rPr>
              <w:t>0.80</w:t>
            </w:r>
          </w:p>
        </w:tc>
      </w:tr>
      <w:tr w:rsidR="008F0A77" w14:paraId="1413FC3A" w14:textId="77777777" w:rsidTr="00EF6B7D">
        <w:tc>
          <w:tcPr>
            <w:tcW w:w="1445" w:type="dxa"/>
            <w:vMerge/>
            <w:tcBorders>
              <w:top w:val="single" w:sz="4" w:space="0" w:color="000000"/>
              <w:bottom w:val="nil"/>
            </w:tcBorders>
          </w:tcPr>
          <w:p w14:paraId="40E2CDFF" w14:textId="77777777" w:rsidR="008F0A77" w:rsidRDefault="008F0A77" w:rsidP="00EF6B7D">
            <w:pPr>
              <w:widowControl w:val="0"/>
              <w:pBdr>
                <w:top w:val="nil"/>
                <w:left w:val="nil"/>
                <w:bottom w:val="nil"/>
                <w:right w:val="nil"/>
                <w:between w:val="nil"/>
              </w:pBdr>
              <w:spacing w:line="276" w:lineRule="auto"/>
              <w:jc w:val="center"/>
              <w:rPr>
                <w:b/>
                <w:sz w:val="18"/>
                <w:szCs w:val="18"/>
              </w:rPr>
            </w:pPr>
          </w:p>
        </w:tc>
        <w:tc>
          <w:tcPr>
            <w:tcW w:w="787" w:type="dxa"/>
            <w:tcBorders>
              <w:top w:val="nil"/>
              <w:bottom w:val="nil"/>
            </w:tcBorders>
          </w:tcPr>
          <w:p w14:paraId="58057A0A" w14:textId="77777777" w:rsidR="008F0A77" w:rsidRDefault="008F0A77" w:rsidP="00EF6B7D">
            <w:pPr>
              <w:jc w:val="center"/>
              <w:rPr>
                <w:sz w:val="18"/>
                <w:szCs w:val="18"/>
              </w:rPr>
            </w:pPr>
            <w:r>
              <w:rPr>
                <w:sz w:val="18"/>
                <w:szCs w:val="18"/>
              </w:rPr>
              <w:t>21b</w:t>
            </w:r>
          </w:p>
        </w:tc>
        <w:tc>
          <w:tcPr>
            <w:tcW w:w="2112" w:type="dxa"/>
            <w:vMerge/>
            <w:tcBorders>
              <w:top w:val="single" w:sz="4" w:space="0" w:color="000000"/>
              <w:bottom w:val="nil"/>
            </w:tcBorders>
          </w:tcPr>
          <w:p w14:paraId="6527B9A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40095A30" w14:textId="77777777" w:rsidR="008F0A77" w:rsidRDefault="008F0A77" w:rsidP="00EF6B7D">
            <w:pPr>
              <w:jc w:val="center"/>
              <w:rPr>
                <w:sz w:val="18"/>
                <w:szCs w:val="18"/>
              </w:rPr>
            </w:pPr>
            <w:r>
              <w:rPr>
                <w:sz w:val="18"/>
                <w:szCs w:val="18"/>
              </w:rPr>
              <w:t>0.64</w:t>
            </w:r>
          </w:p>
        </w:tc>
        <w:tc>
          <w:tcPr>
            <w:tcW w:w="1458" w:type="dxa"/>
            <w:vMerge/>
            <w:tcBorders>
              <w:top w:val="single" w:sz="4" w:space="0" w:color="000000"/>
              <w:bottom w:val="nil"/>
            </w:tcBorders>
          </w:tcPr>
          <w:p w14:paraId="41D5B13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3DFC5349" w14:textId="77777777" w:rsidR="008F0A77" w:rsidRDefault="008F0A77" w:rsidP="00EF6B7D">
            <w:pPr>
              <w:jc w:val="center"/>
              <w:rPr>
                <w:sz w:val="18"/>
                <w:szCs w:val="18"/>
              </w:rPr>
            </w:pPr>
            <w:r>
              <w:rPr>
                <w:sz w:val="18"/>
                <w:szCs w:val="18"/>
              </w:rPr>
              <w:t>0.77</w:t>
            </w:r>
          </w:p>
        </w:tc>
      </w:tr>
      <w:tr w:rsidR="008F0A77" w14:paraId="14EF4FCE" w14:textId="77777777" w:rsidTr="00EF6B7D">
        <w:trPr>
          <w:trHeight w:val="220"/>
        </w:trPr>
        <w:tc>
          <w:tcPr>
            <w:tcW w:w="1445" w:type="dxa"/>
            <w:vMerge/>
            <w:tcBorders>
              <w:top w:val="single" w:sz="4" w:space="0" w:color="000000"/>
              <w:bottom w:val="nil"/>
            </w:tcBorders>
          </w:tcPr>
          <w:p w14:paraId="5DBFF55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single" w:sz="4" w:space="0" w:color="000000"/>
            </w:tcBorders>
          </w:tcPr>
          <w:p w14:paraId="2833F442" w14:textId="77777777" w:rsidR="008F0A77" w:rsidRDefault="008F0A77" w:rsidP="00EF6B7D">
            <w:pPr>
              <w:jc w:val="center"/>
              <w:rPr>
                <w:sz w:val="18"/>
                <w:szCs w:val="18"/>
              </w:rPr>
            </w:pPr>
            <w:r>
              <w:rPr>
                <w:sz w:val="18"/>
                <w:szCs w:val="18"/>
              </w:rPr>
              <w:t>26</w:t>
            </w:r>
          </w:p>
        </w:tc>
        <w:tc>
          <w:tcPr>
            <w:tcW w:w="2112" w:type="dxa"/>
            <w:vMerge/>
            <w:tcBorders>
              <w:top w:val="single" w:sz="4" w:space="0" w:color="000000"/>
              <w:bottom w:val="nil"/>
            </w:tcBorders>
          </w:tcPr>
          <w:p w14:paraId="6C2E3FC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single" w:sz="4" w:space="0" w:color="000000"/>
            </w:tcBorders>
          </w:tcPr>
          <w:p w14:paraId="45525B50" w14:textId="77777777" w:rsidR="008F0A77" w:rsidRDefault="008F0A77" w:rsidP="00EF6B7D">
            <w:pPr>
              <w:jc w:val="center"/>
              <w:rPr>
                <w:sz w:val="18"/>
                <w:szCs w:val="18"/>
              </w:rPr>
            </w:pPr>
            <w:r>
              <w:rPr>
                <w:sz w:val="18"/>
                <w:szCs w:val="18"/>
              </w:rPr>
              <w:t>0.65</w:t>
            </w:r>
          </w:p>
        </w:tc>
        <w:tc>
          <w:tcPr>
            <w:tcW w:w="1458" w:type="dxa"/>
            <w:vMerge/>
            <w:tcBorders>
              <w:top w:val="single" w:sz="4" w:space="0" w:color="000000"/>
              <w:bottom w:val="nil"/>
            </w:tcBorders>
          </w:tcPr>
          <w:p w14:paraId="0385DC9D"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single" w:sz="4" w:space="0" w:color="000000"/>
            </w:tcBorders>
          </w:tcPr>
          <w:p w14:paraId="416D30A0" w14:textId="77777777" w:rsidR="008F0A77" w:rsidRDefault="008F0A77" w:rsidP="00EF6B7D">
            <w:pPr>
              <w:jc w:val="center"/>
              <w:rPr>
                <w:sz w:val="18"/>
                <w:szCs w:val="18"/>
              </w:rPr>
            </w:pPr>
            <w:r>
              <w:rPr>
                <w:sz w:val="18"/>
                <w:szCs w:val="18"/>
              </w:rPr>
              <w:t>0.79</w:t>
            </w:r>
          </w:p>
        </w:tc>
      </w:tr>
      <w:tr w:rsidR="008F0A77" w14:paraId="0195ED13" w14:textId="77777777" w:rsidTr="00EF6B7D">
        <w:tc>
          <w:tcPr>
            <w:tcW w:w="1445" w:type="dxa"/>
            <w:vMerge w:val="restart"/>
            <w:tcBorders>
              <w:top w:val="single" w:sz="4" w:space="0" w:color="000000"/>
              <w:bottom w:val="nil"/>
            </w:tcBorders>
          </w:tcPr>
          <w:p w14:paraId="3BD557F8" w14:textId="77777777" w:rsidR="008F0A77" w:rsidRDefault="008F0A77" w:rsidP="00EF6B7D">
            <w:pPr>
              <w:jc w:val="center"/>
              <w:rPr>
                <w:sz w:val="18"/>
                <w:szCs w:val="18"/>
              </w:rPr>
            </w:pPr>
            <w:r>
              <w:rPr>
                <w:sz w:val="18"/>
                <w:szCs w:val="18"/>
              </w:rPr>
              <w:t>Factor 4. Choices</w:t>
            </w:r>
          </w:p>
        </w:tc>
        <w:tc>
          <w:tcPr>
            <w:tcW w:w="787" w:type="dxa"/>
            <w:tcBorders>
              <w:top w:val="single" w:sz="4" w:space="0" w:color="000000"/>
              <w:bottom w:val="nil"/>
            </w:tcBorders>
          </w:tcPr>
          <w:p w14:paraId="029C9F89" w14:textId="77777777" w:rsidR="008F0A77" w:rsidRDefault="008F0A77" w:rsidP="00EF6B7D">
            <w:pPr>
              <w:jc w:val="center"/>
              <w:rPr>
                <w:sz w:val="18"/>
                <w:szCs w:val="18"/>
              </w:rPr>
            </w:pPr>
            <w:r>
              <w:rPr>
                <w:sz w:val="18"/>
                <w:szCs w:val="18"/>
              </w:rPr>
              <w:t>4</w:t>
            </w:r>
          </w:p>
        </w:tc>
        <w:tc>
          <w:tcPr>
            <w:tcW w:w="2112" w:type="dxa"/>
            <w:vMerge w:val="restart"/>
            <w:tcBorders>
              <w:top w:val="single" w:sz="4" w:space="0" w:color="000000"/>
              <w:bottom w:val="nil"/>
            </w:tcBorders>
          </w:tcPr>
          <w:p w14:paraId="4DA10776" w14:textId="77777777" w:rsidR="008F0A77" w:rsidRDefault="008F0A77" w:rsidP="00EF6B7D">
            <w:pPr>
              <w:jc w:val="center"/>
              <w:rPr>
                <w:sz w:val="18"/>
                <w:szCs w:val="18"/>
              </w:rPr>
            </w:pPr>
            <w:r>
              <w:rPr>
                <w:sz w:val="18"/>
                <w:szCs w:val="18"/>
              </w:rPr>
              <w:t>0.65</w:t>
            </w:r>
          </w:p>
          <w:p w14:paraId="35A818A8" w14:textId="77777777" w:rsidR="008F0A77" w:rsidRDefault="008F0A77" w:rsidP="00EF6B7D">
            <w:pPr>
              <w:jc w:val="center"/>
              <w:rPr>
                <w:sz w:val="18"/>
                <w:szCs w:val="18"/>
              </w:rPr>
            </w:pPr>
          </w:p>
        </w:tc>
        <w:tc>
          <w:tcPr>
            <w:tcW w:w="1458" w:type="dxa"/>
            <w:tcBorders>
              <w:top w:val="single" w:sz="4" w:space="0" w:color="000000"/>
              <w:bottom w:val="nil"/>
            </w:tcBorders>
          </w:tcPr>
          <w:p w14:paraId="0CC6A6E6" w14:textId="77777777" w:rsidR="008F0A77" w:rsidRDefault="008F0A77" w:rsidP="00EF6B7D">
            <w:pPr>
              <w:jc w:val="center"/>
              <w:rPr>
                <w:sz w:val="18"/>
                <w:szCs w:val="18"/>
              </w:rPr>
            </w:pPr>
            <w:r>
              <w:rPr>
                <w:sz w:val="18"/>
                <w:szCs w:val="18"/>
              </w:rPr>
              <w:t>0.48</w:t>
            </w:r>
          </w:p>
        </w:tc>
        <w:tc>
          <w:tcPr>
            <w:tcW w:w="1458" w:type="dxa"/>
            <w:vMerge w:val="restart"/>
            <w:tcBorders>
              <w:top w:val="single" w:sz="4" w:space="0" w:color="000000"/>
              <w:bottom w:val="nil"/>
            </w:tcBorders>
          </w:tcPr>
          <w:p w14:paraId="3BFD6C12" w14:textId="77777777" w:rsidR="008F0A77" w:rsidRDefault="008F0A77" w:rsidP="00EF6B7D">
            <w:pPr>
              <w:jc w:val="center"/>
              <w:rPr>
                <w:sz w:val="18"/>
                <w:szCs w:val="18"/>
              </w:rPr>
            </w:pPr>
            <w:r>
              <w:rPr>
                <w:sz w:val="18"/>
                <w:szCs w:val="18"/>
              </w:rPr>
              <w:t>0.69</w:t>
            </w:r>
          </w:p>
        </w:tc>
        <w:tc>
          <w:tcPr>
            <w:tcW w:w="1459" w:type="dxa"/>
            <w:tcBorders>
              <w:top w:val="single" w:sz="4" w:space="0" w:color="000000"/>
              <w:bottom w:val="nil"/>
            </w:tcBorders>
          </w:tcPr>
          <w:p w14:paraId="0427AFF5" w14:textId="77777777" w:rsidR="008F0A77" w:rsidRDefault="008F0A77" w:rsidP="00EF6B7D">
            <w:pPr>
              <w:jc w:val="center"/>
              <w:rPr>
                <w:sz w:val="18"/>
                <w:szCs w:val="18"/>
              </w:rPr>
            </w:pPr>
            <w:r>
              <w:rPr>
                <w:sz w:val="18"/>
                <w:szCs w:val="18"/>
              </w:rPr>
              <w:t>0.67</w:t>
            </w:r>
          </w:p>
        </w:tc>
      </w:tr>
      <w:tr w:rsidR="008F0A77" w14:paraId="301EF92C" w14:textId="77777777" w:rsidTr="00EF6B7D">
        <w:tc>
          <w:tcPr>
            <w:tcW w:w="1445" w:type="dxa"/>
            <w:vMerge/>
            <w:tcBorders>
              <w:top w:val="single" w:sz="4" w:space="0" w:color="000000"/>
              <w:bottom w:val="nil"/>
            </w:tcBorders>
          </w:tcPr>
          <w:p w14:paraId="6FB4A5AD"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0044CB66" w14:textId="77777777" w:rsidR="008F0A77" w:rsidRDefault="008F0A77" w:rsidP="00EF6B7D">
            <w:pPr>
              <w:jc w:val="center"/>
              <w:rPr>
                <w:sz w:val="18"/>
                <w:szCs w:val="18"/>
              </w:rPr>
            </w:pPr>
            <w:r>
              <w:rPr>
                <w:sz w:val="18"/>
                <w:szCs w:val="18"/>
              </w:rPr>
              <w:t>5</w:t>
            </w:r>
          </w:p>
        </w:tc>
        <w:tc>
          <w:tcPr>
            <w:tcW w:w="2112" w:type="dxa"/>
            <w:vMerge/>
            <w:tcBorders>
              <w:top w:val="single" w:sz="4" w:space="0" w:color="000000"/>
              <w:bottom w:val="nil"/>
            </w:tcBorders>
          </w:tcPr>
          <w:p w14:paraId="6A3BB62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0FC72B65" w14:textId="77777777" w:rsidR="008F0A77" w:rsidRDefault="008F0A77" w:rsidP="00EF6B7D">
            <w:pPr>
              <w:jc w:val="center"/>
              <w:rPr>
                <w:sz w:val="18"/>
                <w:szCs w:val="18"/>
              </w:rPr>
            </w:pPr>
            <w:r>
              <w:rPr>
                <w:sz w:val="18"/>
                <w:szCs w:val="18"/>
              </w:rPr>
              <w:t>0.42</w:t>
            </w:r>
          </w:p>
        </w:tc>
        <w:tc>
          <w:tcPr>
            <w:tcW w:w="1458" w:type="dxa"/>
            <w:vMerge/>
            <w:tcBorders>
              <w:top w:val="single" w:sz="4" w:space="0" w:color="000000"/>
              <w:bottom w:val="nil"/>
            </w:tcBorders>
          </w:tcPr>
          <w:p w14:paraId="66D878E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19A37DD4" w14:textId="77777777" w:rsidR="008F0A77" w:rsidRDefault="008F0A77" w:rsidP="00EF6B7D">
            <w:pPr>
              <w:jc w:val="center"/>
              <w:rPr>
                <w:sz w:val="18"/>
                <w:szCs w:val="18"/>
              </w:rPr>
            </w:pPr>
            <w:r>
              <w:rPr>
                <w:sz w:val="18"/>
                <w:szCs w:val="18"/>
              </w:rPr>
              <w:t>0.59</w:t>
            </w:r>
          </w:p>
        </w:tc>
      </w:tr>
      <w:tr w:rsidR="008F0A77" w14:paraId="68680271" w14:textId="77777777" w:rsidTr="00EF6B7D">
        <w:tc>
          <w:tcPr>
            <w:tcW w:w="1445" w:type="dxa"/>
            <w:vMerge/>
            <w:tcBorders>
              <w:top w:val="single" w:sz="4" w:space="0" w:color="000000"/>
              <w:bottom w:val="nil"/>
            </w:tcBorders>
          </w:tcPr>
          <w:p w14:paraId="2F49C79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3C7A5441" w14:textId="77777777" w:rsidR="008F0A77" w:rsidRDefault="008F0A77" w:rsidP="00EF6B7D">
            <w:pPr>
              <w:jc w:val="center"/>
              <w:rPr>
                <w:sz w:val="18"/>
                <w:szCs w:val="18"/>
              </w:rPr>
            </w:pPr>
            <w:r>
              <w:rPr>
                <w:sz w:val="18"/>
                <w:szCs w:val="18"/>
              </w:rPr>
              <w:t>6</w:t>
            </w:r>
          </w:p>
        </w:tc>
        <w:tc>
          <w:tcPr>
            <w:tcW w:w="2112" w:type="dxa"/>
            <w:vMerge/>
            <w:tcBorders>
              <w:top w:val="single" w:sz="4" w:space="0" w:color="000000"/>
              <w:bottom w:val="nil"/>
            </w:tcBorders>
          </w:tcPr>
          <w:p w14:paraId="3BFF132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438DF12B" w14:textId="77777777" w:rsidR="008F0A77" w:rsidRDefault="008F0A77" w:rsidP="00EF6B7D">
            <w:pPr>
              <w:jc w:val="center"/>
              <w:rPr>
                <w:sz w:val="18"/>
                <w:szCs w:val="18"/>
              </w:rPr>
            </w:pPr>
            <w:r>
              <w:rPr>
                <w:sz w:val="18"/>
                <w:szCs w:val="18"/>
              </w:rPr>
              <w:t>0.43</w:t>
            </w:r>
          </w:p>
        </w:tc>
        <w:tc>
          <w:tcPr>
            <w:tcW w:w="1458" w:type="dxa"/>
            <w:vMerge/>
            <w:tcBorders>
              <w:top w:val="single" w:sz="4" w:space="0" w:color="000000"/>
              <w:bottom w:val="nil"/>
            </w:tcBorders>
          </w:tcPr>
          <w:p w14:paraId="3769D51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72209E5B" w14:textId="77777777" w:rsidR="008F0A77" w:rsidRDefault="008F0A77" w:rsidP="00EF6B7D">
            <w:pPr>
              <w:jc w:val="center"/>
              <w:rPr>
                <w:b/>
                <w:sz w:val="18"/>
                <w:szCs w:val="18"/>
              </w:rPr>
            </w:pPr>
            <w:r>
              <w:rPr>
                <w:sz w:val="18"/>
                <w:szCs w:val="18"/>
              </w:rPr>
              <w:t>0.66</w:t>
            </w:r>
          </w:p>
        </w:tc>
      </w:tr>
      <w:tr w:rsidR="008F0A77" w14:paraId="4086B382" w14:textId="77777777" w:rsidTr="00EF6B7D">
        <w:tc>
          <w:tcPr>
            <w:tcW w:w="1445" w:type="dxa"/>
            <w:vMerge/>
            <w:tcBorders>
              <w:top w:val="single" w:sz="4" w:space="0" w:color="000000"/>
              <w:bottom w:val="nil"/>
            </w:tcBorders>
          </w:tcPr>
          <w:p w14:paraId="79328CC7" w14:textId="77777777" w:rsidR="008F0A77" w:rsidRDefault="008F0A77" w:rsidP="00EF6B7D">
            <w:pPr>
              <w:widowControl w:val="0"/>
              <w:pBdr>
                <w:top w:val="nil"/>
                <w:left w:val="nil"/>
                <w:bottom w:val="nil"/>
                <w:right w:val="nil"/>
                <w:between w:val="nil"/>
              </w:pBdr>
              <w:spacing w:line="276" w:lineRule="auto"/>
              <w:jc w:val="center"/>
              <w:rPr>
                <w:b/>
                <w:sz w:val="18"/>
                <w:szCs w:val="18"/>
              </w:rPr>
            </w:pPr>
          </w:p>
        </w:tc>
        <w:tc>
          <w:tcPr>
            <w:tcW w:w="787" w:type="dxa"/>
            <w:tcBorders>
              <w:top w:val="nil"/>
              <w:bottom w:val="nil"/>
            </w:tcBorders>
          </w:tcPr>
          <w:p w14:paraId="234FA56E" w14:textId="77777777" w:rsidR="008F0A77" w:rsidRDefault="008F0A77" w:rsidP="00EF6B7D">
            <w:pPr>
              <w:jc w:val="center"/>
              <w:rPr>
                <w:sz w:val="18"/>
                <w:szCs w:val="18"/>
              </w:rPr>
            </w:pPr>
            <w:r>
              <w:rPr>
                <w:sz w:val="18"/>
                <w:szCs w:val="18"/>
              </w:rPr>
              <w:t>10</w:t>
            </w:r>
          </w:p>
        </w:tc>
        <w:tc>
          <w:tcPr>
            <w:tcW w:w="2112" w:type="dxa"/>
            <w:vMerge/>
            <w:tcBorders>
              <w:top w:val="single" w:sz="4" w:space="0" w:color="000000"/>
              <w:bottom w:val="nil"/>
            </w:tcBorders>
          </w:tcPr>
          <w:p w14:paraId="418A3F9B"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6FB7048F" w14:textId="77777777" w:rsidR="008F0A77" w:rsidRDefault="008F0A77" w:rsidP="00EF6B7D">
            <w:pPr>
              <w:jc w:val="center"/>
              <w:rPr>
                <w:sz w:val="18"/>
                <w:szCs w:val="18"/>
              </w:rPr>
            </w:pPr>
            <w:r>
              <w:rPr>
                <w:sz w:val="18"/>
                <w:szCs w:val="18"/>
              </w:rPr>
              <w:t>0.48</w:t>
            </w:r>
          </w:p>
        </w:tc>
        <w:tc>
          <w:tcPr>
            <w:tcW w:w="1458" w:type="dxa"/>
            <w:vMerge/>
            <w:tcBorders>
              <w:top w:val="single" w:sz="4" w:space="0" w:color="000000"/>
              <w:bottom w:val="nil"/>
            </w:tcBorders>
          </w:tcPr>
          <w:p w14:paraId="5B36C75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5F89B236" w14:textId="77777777" w:rsidR="008F0A77" w:rsidRDefault="008F0A77" w:rsidP="00EF6B7D">
            <w:pPr>
              <w:jc w:val="center"/>
              <w:rPr>
                <w:sz w:val="18"/>
                <w:szCs w:val="18"/>
              </w:rPr>
            </w:pPr>
            <w:r>
              <w:rPr>
                <w:sz w:val="18"/>
                <w:szCs w:val="18"/>
              </w:rPr>
              <w:t>0.56</w:t>
            </w:r>
          </w:p>
        </w:tc>
      </w:tr>
      <w:tr w:rsidR="008F0A77" w14:paraId="4BDAA5D2" w14:textId="77777777" w:rsidTr="00EF6B7D">
        <w:tc>
          <w:tcPr>
            <w:tcW w:w="1445" w:type="dxa"/>
            <w:vMerge/>
            <w:tcBorders>
              <w:top w:val="single" w:sz="4" w:space="0" w:color="000000"/>
              <w:bottom w:val="nil"/>
            </w:tcBorders>
          </w:tcPr>
          <w:p w14:paraId="0AA15FAA"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single" w:sz="4" w:space="0" w:color="000000"/>
            </w:tcBorders>
          </w:tcPr>
          <w:p w14:paraId="6BDFC3A3" w14:textId="77777777" w:rsidR="008F0A77" w:rsidRDefault="008F0A77" w:rsidP="00EF6B7D">
            <w:pPr>
              <w:jc w:val="center"/>
              <w:rPr>
                <w:sz w:val="18"/>
                <w:szCs w:val="18"/>
              </w:rPr>
            </w:pPr>
            <w:r>
              <w:rPr>
                <w:sz w:val="18"/>
                <w:szCs w:val="18"/>
              </w:rPr>
              <w:t>27</w:t>
            </w:r>
          </w:p>
        </w:tc>
        <w:tc>
          <w:tcPr>
            <w:tcW w:w="2112" w:type="dxa"/>
            <w:vMerge/>
            <w:tcBorders>
              <w:top w:val="single" w:sz="4" w:space="0" w:color="000000"/>
              <w:bottom w:val="nil"/>
            </w:tcBorders>
          </w:tcPr>
          <w:p w14:paraId="02613DFA"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single" w:sz="4" w:space="0" w:color="000000"/>
            </w:tcBorders>
          </w:tcPr>
          <w:p w14:paraId="679359BD" w14:textId="77777777" w:rsidR="008F0A77" w:rsidRDefault="008F0A77" w:rsidP="00EF6B7D">
            <w:pPr>
              <w:jc w:val="center"/>
              <w:rPr>
                <w:sz w:val="18"/>
                <w:szCs w:val="18"/>
              </w:rPr>
            </w:pPr>
            <w:r>
              <w:rPr>
                <w:sz w:val="18"/>
                <w:szCs w:val="18"/>
              </w:rPr>
              <w:t>0.50</w:t>
            </w:r>
          </w:p>
        </w:tc>
        <w:tc>
          <w:tcPr>
            <w:tcW w:w="1458" w:type="dxa"/>
            <w:vMerge/>
            <w:tcBorders>
              <w:top w:val="single" w:sz="4" w:space="0" w:color="000000"/>
              <w:bottom w:val="nil"/>
            </w:tcBorders>
          </w:tcPr>
          <w:p w14:paraId="1AE6912A"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single" w:sz="4" w:space="0" w:color="000000"/>
            </w:tcBorders>
          </w:tcPr>
          <w:p w14:paraId="1A5BB926" w14:textId="77777777" w:rsidR="008F0A77" w:rsidRDefault="008F0A77" w:rsidP="00EF6B7D">
            <w:pPr>
              <w:jc w:val="center"/>
              <w:rPr>
                <w:sz w:val="18"/>
                <w:szCs w:val="18"/>
              </w:rPr>
            </w:pPr>
            <w:r>
              <w:rPr>
                <w:sz w:val="18"/>
                <w:szCs w:val="18"/>
              </w:rPr>
              <w:t>0.68</w:t>
            </w:r>
          </w:p>
        </w:tc>
      </w:tr>
      <w:tr w:rsidR="008F0A77" w14:paraId="179CC893" w14:textId="77777777" w:rsidTr="00EF6B7D">
        <w:tc>
          <w:tcPr>
            <w:tcW w:w="1445" w:type="dxa"/>
            <w:vMerge w:val="restart"/>
            <w:tcBorders>
              <w:top w:val="single" w:sz="4" w:space="0" w:color="000000"/>
              <w:bottom w:val="nil"/>
            </w:tcBorders>
          </w:tcPr>
          <w:p w14:paraId="1E1839EA" w14:textId="77777777" w:rsidR="008F0A77" w:rsidRDefault="008F0A77" w:rsidP="00EF6B7D">
            <w:pPr>
              <w:jc w:val="center"/>
              <w:rPr>
                <w:sz w:val="18"/>
                <w:szCs w:val="18"/>
              </w:rPr>
            </w:pPr>
            <w:r>
              <w:rPr>
                <w:sz w:val="18"/>
                <w:szCs w:val="18"/>
              </w:rPr>
              <w:t>Factor 5. Individually-tailored services</w:t>
            </w:r>
          </w:p>
        </w:tc>
        <w:tc>
          <w:tcPr>
            <w:tcW w:w="787" w:type="dxa"/>
            <w:tcBorders>
              <w:top w:val="single" w:sz="4" w:space="0" w:color="000000"/>
              <w:bottom w:val="nil"/>
            </w:tcBorders>
          </w:tcPr>
          <w:p w14:paraId="22728A92" w14:textId="77777777" w:rsidR="008F0A77" w:rsidRDefault="008F0A77" w:rsidP="00EF6B7D">
            <w:pPr>
              <w:jc w:val="center"/>
              <w:rPr>
                <w:sz w:val="18"/>
                <w:szCs w:val="18"/>
              </w:rPr>
            </w:pPr>
            <w:r>
              <w:rPr>
                <w:sz w:val="18"/>
                <w:szCs w:val="18"/>
              </w:rPr>
              <w:t>11</w:t>
            </w:r>
          </w:p>
        </w:tc>
        <w:tc>
          <w:tcPr>
            <w:tcW w:w="2112" w:type="dxa"/>
            <w:vMerge w:val="restart"/>
            <w:tcBorders>
              <w:top w:val="single" w:sz="4" w:space="0" w:color="000000"/>
              <w:bottom w:val="nil"/>
            </w:tcBorders>
          </w:tcPr>
          <w:p w14:paraId="1F3ABE3C" w14:textId="77777777" w:rsidR="008F0A77" w:rsidRDefault="008F0A77" w:rsidP="00EF6B7D">
            <w:pPr>
              <w:jc w:val="center"/>
              <w:rPr>
                <w:sz w:val="18"/>
                <w:szCs w:val="18"/>
              </w:rPr>
            </w:pPr>
            <w:r>
              <w:rPr>
                <w:sz w:val="18"/>
                <w:szCs w:val="18"/>
              </w:rPr>
              <w:t>0.71</w:t>
            </w:r>
          </w:p>
          <w:p w14:paraId="2BA0CA4E" w14:textId="77777777" w:rsidR="008F0A77" w:rsidRDefault="008F0A77" w:rsidP="00EF6B7D">
            <w:pPr>
              <w:jc w:val="center"/>
              <w:rPr>
                <w:sz w:val="18"/>
                <w:szCs w:val="18"/>
              </w:rPr>
            </w:pPr>
          </w:p>
        </w:tc>
        <w:tc>
          <w:tcPr>
            <w:tcW w:w="1458" w:type="dxa"/>
            <w:tcBorders>
              <w:top w:val="single" w:sz="4" w:space="0" w:color="000000"/>
              <w:bottom w:val="nil"/>
            </w:tcBorders>
          </w:tcPr>
          <w:p w14:paraId="527DE941" w14:textId="77777777" w:rsidR="008F0A77" w:rsidRDefault="008F0A77" w:rsidP="00EF6B7D">
            <w:pPr>
              <w:jc w:val="center"/>
              <w:rPr>
                <w:sz w:val="18"/>
                <w:szCs w:val="18"/>
              </w:rPr>
            </w:pPr>
            <w:r>
              <w:rPr>
                <w:sz w:val="18"/>
                <w:szCs w:val="18"/>
              </w:rPr>
              <w:t>0.60</w:t>
            </w:r>
          </w:p>
        </w:tc>
        <w:tc>
          <w:tcPr>
            <w:tcW w:w="1458" w:type="dxa"/>
            <w:vMerge w:val="restart"/>
            <w:tcBorders>
              <w:top w:val="single" w:sz="4" w:space="0" w:color="000000"/>
              <w:bottom w:val="nil"/>
            </w:tcBorders>
          </w:tcPr>
          <w:p w14:paraId="436A3110" w14:textId="77777777" w:rsidR="008F0A77" w:rsidRDefault="008F0A77" w:rsidP="00EF6B7D">
            <w:pPr>
              <w:jc w:val="center"/>
              <w:rPr>
                <w:sz w:val="18"/>
                <w:szCs w:val="18"/>
              </w:rPr>
            </w:pPr>
            <w:r>
              <w:rPr>
                <w:sz w:val="18"/>
                <w:szCs w:val="18"/>
              </w:rPr>
              <w:t>0.68</w:t>
            </w:r>
          </w:p>
        </w:tc>
        <w:tc>
          <w:tcPr>
            <w:tcW w:w="1459" w:type="dxa"/>
            <w:tcBorders>
              <w:top w:val="single" w:sz="4" w:space="0" w:color="000000"/>
              <w:bottom w:val="nil"/>
            </w:tcBorders>
          </w:tcPr>
          <w:p w14:paraId="5BE91378" w14:textId="77777777" w:rsidR="008F0A77" w:rsidRDefault="008F0A77" w:rsidP="00EF6B7D">
            <w:pPr>
              <w:jc w:val="center"/>
              <w:rPr>
                <w:sz w:val="18"/>
                <w:szCs w:val="18"/>
              </w:rPr>
            </w:pPr>
            <w:r>
              <w:rPr>
                <w:sz w:val="18"/>
                <w:szCs w:val="18"/>
              </w:rPr>
              <w:t>0.61</w:t>
            </w:r>
          </w:p>
        </w:tc>
      </w:tr>
      <w:tr w:rsidR="008F0A77" w14:paraId="2CFE286D" w14:textId="77777777" w:rsidTr="00EF6B7D">
        <w:tc>
          <w:tcPr>
            <w:tcW w:w="1445" w:type="dxa"/>
            <w:vMerge/>
            <w:tcBorders>
              <w:top w:val="single" w:sz="4" w:space="0" w:color="000000"/>
              <w:bottom w:val="nil"/>
            </w:tcBorders>
          </w:tcPr>
          <w:p w14:paraId="74C76B0B"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21627551" w14:textId="77777777" w:rsidR="008F0A77" w:rsidRDefault="008F0A77" w:rsidP="00EF6B7D">
            <w:pPr>
              <w:jc w:val="center"/>
              <w:rPr>
                <w:sz w:val="18"/>
                <w:szCs w:val="18"/>
              </w:rPr>
            </w:pPr>
            <w:r>
              <w:rPr>
                <w:sz w:val="18"/>
                <w:szCs w:val="18"/>
              </w:rPr>
              <w:t>13</w:t>
            </w:r>
          </w:p>
        </w:tc>
        <w:tc>
          <w:tcPr>
            <w:tcW w:w="2112" w:type="dxa"/>
            <w:vMerge/>
            <w:tcBorders>
              <w:top w:val="single" w:sz="4" w:space="0" w:color="000000"/>
              <w:bottom w:val="nil"/>
            </w:tcBorders>
          </w:tcPr>
          <w:p w14:paraId="593B62B1"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5645F7F7" w14:textId="77777777" w:rsidR="008F0A77" w:rsidRDefault="008F0A77" w:rsidP="00EF6B7D">
            <w:pPr>
              <w:jc w:val="center"/>
              <w:rPr>
                <w:sz w:val="18"/>
                <w:szCs w:val="18"/>
              </w:rPr>
            </w:pPr>
            <w:r>
              <w:rPr>
                <w:sz w:val="18"/>
                <w:szCs w:val="18"/>
              </w:rPr>
              <w:t>0.58</w:t>
            </w:r>
          </w:p>
        </w:tc>
        <w:tc>
          <w:tcPr>
            <w:tcW w:w="1458" w:type="dxa"/>
            <w:vMerge/>
            <w:tcBorders>
              <w:top w:val="single" w:sz="4" w:space="0" w:color="000000"/>
              <w:bottom w:val="nil"/>
            </w:tcBorders>
          </w:tcPr>
          <w:p w14:paraId="5546AC80"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13548850" w14:textId="77777777" w:rsidR="008F0A77" w:rsidRDefault="008F0A77" w:rsidP="00EF6B7D">
            <w:pPr>
              <w:jc w:val="center"/>
              <w:rPr>
                <w:sz w:val="18"/>
                <w:szCs w:val="18"/>
              </w:rPr>
            </w:pPr>
            <w:r>
              <w:rPr>
                <w:sz w:val="18"/>
                <w:szCs w:val="18"/>
              </w:rPr>
              <w:t>0.64</w:t>
            </w:r>
          </w:p>
        </w:tc>
      </w:tr>
      <w:tr w:rsidR="008F0A77" w14:paraId="7C55FA6C" w14:textId="77777777" w:rsidTr="00EF6B7D">
        <w:tc>
          <w:tcPr>
            <w:tcW w:w="1445" w:type="dxa"/>
            <w:vMerge/>
            <w:tcBorders>
              <w:top w:val="single" w:sz="4" w:space="0" w:color="000000"/>
              <w:bottom w:val="nil"/>
            </w:tcBorders>
          </w:tcPr>
          <w:p w14:paraId="2D619C6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nil"/>
            </w:tcBorders>
          </w:tcPr>
          <w:p w14:paraId="14B9640D" w14:textId="77777777" w:rsidR="008F0A77" w:rsidRDefault="008F0A77" w:rsidP="00EF6B7D">
            <w:pPr>
              <w:jc w:val="center"/>
              <w:rPr>
                <w:sz w:val="18"/>
                <w:szCs w:val="18"/>
              </w:rPr>
            </w:pPr>
            <w:r>
              <w:rPr>
                <w:sz w:val="18"/>
                <w:szCs w:val="18"/>
              </w:rPr>
              <w:t>19</w:t>
            </w:r>
          </w:p>
        </w:tc>
        <w:tc>
          <w:tcPr>
            <w:tcW w:w="2112" w:type="dxa"/>
            <w:vMerge/>
            <w:tcBorders>
              <w:top w:val="single" w:sz="4" w:space="0" w:color="000000"/>
              <w:bottom w:val="nil"/>
            </w:tcBorders>
          </w:tcPr>
          <w:p w14:paraId="273FF14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nil"/>
            </w:tcBorders>
          </w:tcPr>
          <w:p w14:paraId="5B183796" w14:textId="77777777" w:rsidR="008F0A77" w:rsidRDefault="008F0A77" w:rsidP="00EF6B7D">
            <w:pPr>
              <w:jc w:val="center"/>
              <w:rPr>
                <w:sz w:val="18"/>
                <w:szCs w:val="18"/>
              </w:rPr>
            </w:pPr>
            <w:r>
              <w:rPr>
                <w:sz w:val="18"/>
                <w:szCs w:val="18"/>
              </w:rPr>
              <w:t>0.59</w:t>
            </w:r>
          </w:p>
        </w:tc>
        <w:tc>
          <w:tcPr>
            <w:tcW w:w="1458" w:type="dxa"/>
            <w:vMerge/>
            <w:tcBorders>
              <w:top w:val="single" w:sz="4" w:space="0" w:color="000000"/>
              <w:bottom w:val="nil"/>
            </w:tcBorders>
          </w:tcPr>
          <w:p w14:paraId="4B196CED"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nil"/>
            </w:tcBorders>
          </w:tcPr>
          <w:p w14:paraId="2974AE78" w14:textId="77777777" w:rsidR="008F0A77" w:rsidRDefault="008F0A77" w:rsidP="00EF6B7D">
            <w:pPr>
              <w:jc w:val="center"/>
              <w:rPr>
                <w:sz w:val="18"/>
                <w:szCs w:val="18"/>
              </w:rPr>
            </w:pPr>
            <w:r>
              <w:rPr>
                <w:sz w:val="18"/>
                <w:szCs w:val="18"/>
              </w:rPr>
              <w:t>0.60</w:t>
            </w:r>
          </w:p>
        </w:tc>
      </w:tr>
      <w:tr w:rsidR="008F0A77" w14:paraId="52864BF3" w14:textId="77777777" w:rsidTr="00EF6B7D">
        <w:tc>
          <w:tcPr>
            <w:tcW w:w="1445" w:type="dxa"/>
            <w:vMerge/>
            <w:tcBorders>
              <w:top w:val="single" w:sz="4" w:space="0" w:color="000000"/>
              <w:bottom w:val="nil"/>
            </w:tcBorders>
          </w:tcPr>
          <w:p w14:paraId="0974F05B"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single" w:sz="4" w:space="0" w:color="000000"/>
            </w:tcBorders>
          </w:tcPr>
          <w:p w14:paraId="663594EB" w14:textId="77777777" w:rsidR="008F0A77" w:rsidRDefault="008F0A77" w:rsidP="00EF6B7D">
            <w:pPr>
              <w:jc w:val="center"/>
              <w:rPr>
                <w:sz w:val="18"/>
                <w:szCs w:val="18"/>
              </w:rPr>
            </w:pPr>
            <w:r>
              <w:rPr>
                <w:sz w:val="18"/>
                <w:szCs w:val="18"/>
              </w:rPr>
              <w:t>30</w:t>
            </w:r>
          </w:p>
        </w:tc>
        <w:tc>
          <w:tcPr>
            <w:tcW w:w="2112" w:type="dxa"/>
            <w:vMerge/>
            <w:tcBorders>
              <w:top w:val="single" w:sz="4" w:space="0" w:color="000000"/>
              <w:bottom w:val="nil"/>
            </w:tcBorders>
          </w:tcPr>
          <w:p w14:paraId="309EEE9D"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Borders>
              <w:top w:val="nil"/>
              <w:bottom w:val="single" w:sz="4" w:space="0" w:color="000000"/>
            </w:tcBorders>
          </w:tcPr>
          <w:p w14:paraId="5C34BE72" w14:textId="77777777" w:rsidR="008F0A77" w:rsidRDefault="008F0A77" w:rsidP="00EF6B7D">
            <w:pPr>
              <w:jc w:val="center"/>
              <w:rPr>
                <w:sz w:val="18"/>
                <w:szCs w:val="18"/>
              </w:rPr>
            </w:pPr>
            <w:r>
              <w:rPr>
                <w:sz w:val="18"/>
                <w:szCs w:val="18"/>
              </w:rPr>
              <w:t>0.49</w:t>
            </w:r>
          </w:p>
        </w:tc>
        <w:tc>
          <w:tcPr>
            <w:tcW w:w="1458" w:type="dxa"/>
            <w:vMerge/>
            <w:tcBorders>
              <w:top w:val="single" w:sz="4" w:space="0" w:color="000000"/>
              <w:bottom w:val="nil"/>
            </w:tcBorders>
          </w:tcPr>
          <w:p w14:paraId="6E7B0B3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Borders>
              <w:top w:val="nil"/>
              <w:bottom w:val="single" w:sz="4" w:space="0" w:color="000000"/>
            </w:tcBorders>
          </w:tcPr>
          <w:p w14:paraId="0169CA66" w14:textId="77777777" w:rsidR="008F0A77" w:rsidRDefault="008F0A77" w:rsidP="00EF6B7D">
            <w:pPr>
              <w:jc w:val="center"/>
              <w:rPr>
                <w:b/>
                <w:sz w:val="18"/>
                <w:szCs w:val="18"/>
              </w:rPr>
            </w:pPr>
            <w:r>
              <w:rPr>
                <w:sz w:val="18"/>
                <w:szCs w:val="18"/>
              </w:rPr>
              <w:t>0.63</w:t>
            </w:r>
          </w:p>
        </w:tc>
      </w:tr>
      <w:tr w:rsidR="008F0A77" w14:paraId="30105E52" w14:textId="77777777" w:rsidTr="00EF6B7D">
        <w:tc>
          <w:tcPr>
            <w:tcW w:w="1445" w:type="dxa"/>
            <w:vMerge w:val="restart"/>
            <w:tcBorders>
              <w:top w:val="single" w:sz="4" w:space="0" w:color="000000"/>
            </w:tcBorders>
          </w:tcPr>
          <w:p w14:paraId="051C7928" w14:textId="77777777" w:rsidR="008F0A77" w:rsidRDefault="008F0A77" w:rsidP="00EF6B7D">
            <w:pPr>
              <w:jc w:val="center"/>
              <w:rPr>
                <w:sz w:val="18"/>
                <w:szCs w:val="18"/>
              </w:rPr>
            </w:pPr>
            <w:r>
              <w:rPr>
                <w:sz w:val="18"/>
                <w:szCs w:val="18"/>
              </w:rPr>
              <w:t>Factor 6 Inviting*</w:t>
            </w:r>
          </w:p>
        </w:tc>
        <w:tc>
          <w:tcPr>
            <w:tcW w:w="787" w:type="dxa"/>
            <w:tcBorders>
              <w:top w:val="single" w:sz="4" w:space="0" w:color="000000"/>
              <w:bottom w:val="nil"/>
            </w:tcBorders>
          </w:tcPr>
          <w:p w14:paraId="3060A43C" w14:textId="77777777" w:rsidR="008F0A77" w:rsidRDefault="008F0A77" w:rsidP="00EF6B7D">
            <w:pPr>
              <w:jc w:val="center"/>
              <w:rPr>
                <w:sz w:val="18"/>
                <w:szCs w:val="18"/>
              </w:rPr>
            </w:pPr>
            <w:r>
              <w:rPr>
                <w:sz w:val="18"/>
                <w:szCs w:val="18"/>
              </w:rPr>
              <w:t>1</w:t>
            </w:r>
          </w:p>
        </w:tc>
        <w:tc>
          <w:tcPr>
            <w:tcW w:w="2112" w:type="dxa"/>
            <w:tcBorders>
              <w:top w:val="single" w:sz="4" w:space="0" w:color="000000"/>
              <w:bottom w:val="nil"/>
            </w:tcBorders>
          </w:tcPr>
          <w:p w14:paraId="06896E30" w14:textId="77777777" w:rsidR="008F0A77" w:rsidRDefault="008F0A77" w:rsidP="00EF6B7D">
            <w:pPr>
              <w:jc w:val="center"/>
              <w:rPr>
                <w:sz w:val="18"/>
                <w:szCs w:val="18"/>
              </w:rPr>
            </w:pPr>
            <w:r>
              <w:rPr>
                <w:sz w:val="18"/>
                <w:szCs w:val="18"/>
              </w:rPr>
              <w:t>–</w:t>
            </w:r>
          </w:p>
        </w:tc>
        <w:tc>
          <w:tcPr>
            <w:tcW w:w="1458" w:type="dxa"/>
            <w:tcBorders>
              <w:top w:val="single" w:sz="4" w:space="0" w:color="000000"/>
              <w:bottom w:val="nil"/>
            </w:tcBorders>
          </w:tcPr>
          <w:p w14:paraId="6154D97D" w14:textId="77777777" w:rsidR="008F0A77" w:rsidRDefault="008F0A77" w:rsidP="00EF6B7D">
            <w:pPr>
              <w:jc w:val="center"/>
              <w:rPr>
                <w:sz w:val="18"/>
                <w:szCs w:val="18"/>
              </w:rPr>
            </w:pPr>
            <w:r>
              <w:rPr>
                <w:sz w:val="18"/>
                <w:szCs w:val="18"/>
              </w:rPr>
              <w:t>–</w:t>
            </w:r>
          </w:p>
        </w:tc>
        <w:tc>
          <w:tcPr>
            <w:tcW w:w="1458" w:type="dxa"/>
            <w:tcBorders>
              <w:top w:val="single" w:sz="4" w:space="0" w:color="000000"/>
              <w:bottom w:val="nil"/>
            </w:tcBorders>
          </w:tcPr>
          <w:p w14:paraId="0F287724" w14:textId="77777777" w:rsidR="008F0A77" w:rsidRDefault="008F0A77" w:rsidP="00EF6B7D">
            <w:pPr>
              <w:jc w:val="center"/>
              <w:rPr>
                <w:sz w:val="18"/>
                <w:szCs w:val="18"/>
              </w:rPr>
            </w:pPr>
            <w:r>
              <w:rPr>
                <w:sz w:val="18"/>
                <w:szCs w:val="18"/>
              </w:rPr>
              <w:t>–</w:t>
            </w:r>
          </w:p>
        </w:tc>
        <w:tc>
          <w:tcPr>
            <w:tcW w:w="1459" w:type="dxa"/>
            <w:tcBorders>
              <w:top w:val="single" w:sz="4" w:space="0" w:color="000000"/>
              <w:bottom w:val="nil"/>
            </w:tcBorders>
          </w:tcPr>
          <w:p w14:paraId="1E6F54AE" w14:textId="77777777" w:rsidR="008F0A77" w:rsidRDefault="008F0A77" w:rsidP="00EF6B7D">
            <w:pPr>
              <w:jc w:val="center"/>
              <w:rPr>
                <w:sz w:val="18"/>
                <w:szCs w:val="18"/>
              </w:rPr>
            </w:pPr>
            <w:r>
              <w:rPr>
                <w:sz w:val="18"/>
                <w:szCs w:val="18"/>
              </w:rPr>
              <w:t>–</w:t>
            </w:r>
          </w:p>
        </w:tc>
      </w:tr>
      <w:tr w:rsidR="008F0A77" w14:paraId="32FE6F11" w14:textId="77777777" w:rsidTr="00EF6B7D">
        <w:tc>
          <w:tcPr>
            <w:tcW w:w="1445" w:type="dxa"/>
            <w:vMerge/>
            <w:tcBorders>
              <w:top w:val="single" w:sz="4" w:space="0" w:color="000000"/>
            </w:tcBorders>
          </w:tcPr>
          <w:p w14:paraId="7EFF31B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Borders>
              <w:top w:val="nil"/>
              <w:bottom w:val="single" w:sz="4" w:space="0" w:color="000000"/>
            </w:tcBorders>
          </w:tcPr>
          <w:p w14:paraId="1F23806B" w14:textId="77777777" w:rsidR="008F0A77" w:rsidRDefault="008F0A77" w:rsidP="00EF6B7D">
            <w:pPr>
              <w:jc w:val="center"/>
              <w:rPr>
                <w:sz w:val="18"/>
                <w:szCs w:val="18"/>
              </w:rPr>
            </w:pPr>
            <w:r>
              <w:rPr>
                <w:sz w:val="18"/>
                <w:szCs w:val="18"/>
              </w:rPr>
              <w:t>2</w:t>
            </w:r>
          </w:p>
        </w:tc>
        <w:tc>
          <w:tcPr>
            <w:tcW w:w="2112" w:type="dxa"/>
            <w:tcBorders>
              <w:top w:val="nil"/>
              <w:bottom w:val="single" w:sz="4" w:space="0" w:color="000000"/>
            </w:tcBorders>
          </w:tcPr>
          <w:p w14:paraId="3002463D" w14:textId="77777777" w:rsidR="008F0A77" w:rsidRDefault="008F0A77" w:rsidP="00EF6B7D">
            <w:pPr>
              <w:jc w:val="center"/>
              <w:rPr>
                <w:sz w:val="18"/>
                <w:szCs w:val="18"/>
              </w:rPr>
            </w:pPr>
          </w:p>
        </w:tc>
        <w:tc>
          <w:tcPr>
            <w:tcW w:w="1458" w:type="dxa"/>
            <w:tcBorders>
              <w:top w:val="nil"/>
              <w:bottom w:val="single" w:sz="4" w:space="0" w:color="000000"/>
            </w:tcBorders>
          </w:tcPr>
          <w:p w14:paraId="624D62EE" w14:textId="77777777" w:rsidR="008F0A77" w:rsidRDefault="008F0A77" w:rsidP="00EF6B7D">
            <w:pPr>
              <w:jc w:val="center"/>
              <w:rPr>
                <w:sz w:val="18"/>
                <w:szCs w:val="18"/>
              </w:rPr>
            </w:pPr>
            <w:r>
              <w:rPr>
                <w:sz w:val="18"/>
                <w:szCs w:val="18"/>
              </w:rPr>
              <w:t>–</w:t>
            </w:r>
          </w:p>
        </w:tc>
        <w:tc>
          <w:tcPr>
            <w:tcW w:w="1458" w:type="dxa"/>
            <w:tcBorders>
              <w:top w:val="nil"/>
              <w:bottom w:val="single" w:sz="4" w:space="0" w:color="000000"/>
            </w:tcBorders>
          </w:tcPr>
          <w:p w14:paraId="4DD93D52" w14:textId="77777777" w:rsidR="008F0A77" w:rsidRDefault="008F0A77" w:rsidP="00EF6B7D">
            <w:pPr>
              <w:jc w:val="center"/>
              <w:rPr>
                <w:sz w:val="18"/>
                <w:szCs w:val="18"/>
              </w:rPr>
            </w:pPr>
          </w:p>
        </w:tc>
        <w:tc>
          <w:tcPr>
            <w:tcW w:w="1459" w:type="dxa"/>
            <w:tcBorders>
              <w:top w:val="nil"/>
              <w:bottom w:val="single" w:sz="4" w:space="0" w:color="000000"/>
            </w:tcBorders>
          </w:tcPr>
          <w:p w14:paraId="22124C1B" w14:textId="77777777" w:rsidR="008F0A77" w:rsidRDefault="008F0A77" w:rsidP="00EF6B7D">
            <w:pPr>
              <w:jc w:val="center"/>
              <w:rPr>
                <w:sz w:val="18"/>
                <w:szCs w:val="18"/>
              </w:rPr>
            </w:pPr>
            <w:r>
              <w:rPr>
                <w:sz w:val="18"/>
                <w:szCs w:val="18"/>
              </w:rPr>
              <w:t>–</w:t>
            </w:r>
          </w:p>
        </w:tc>
      </w:tr>
      <w:tr w:rsidR="008F0A77" w14:paraId="44A38518" w14:textId="77777777" w:rsidTr="00EF6B7D">
        <w:tc>
          <w:tcPr>
            <w:tcW w:w="1445" w:type="dxa"/>
            <w:vMerge w:val="restart"/>
            <w:tcBorders>
              <w:top w:val="single" w:sz="4" w:space="0" w:color="000000"/>
            </w:tcBorders>
          </w:tcPr>
          <w:p w14:paraId="65F7AF0C" w14:textId="77777777" w:rsidR="008F0A77" w:rsidRDefault="008F0A77" w:rsidP="00EF6B7D">
            <w:pPr>
              <w:jc w:val="center"/>
              <w:rPr>
                <w:sz w:val="18"/>
                <w:szCs w:val="18"/>
              </w:rPr>
            </w:pPr>
            <w:r>
              <w:rPr>
                <w:sz w:val="18"/>
                <w:szCs w:val="18"/>
              </w:rPr>
              <w:t>Family Only Appendix</w:t>
            </w:r>
          </w:p>
        </w:tc>
        <w:tc>
          <w:tcPr>
            <w:tcW w:w="787" w:type="dxa"/>
            <w:tcBorders>
              <w:top w:val="single" w:sz="4" w:space="0" w:color="000000"/>
            </w:tcBorders>
          </w:tcPr>
          <w:p w14:paraId="6A035153" w14:textId="77777777" w:rsidR="008F0A77" w:rsidRDefault="008F0A77" w:rsidP="00EF6B7D">
            <w:pPr>
              <w:jc w:val="center"/>
              <w:rPr>
                <w:sz w:val="18"/>
                <w:szCs w:val="18"/>
              </w:rPr>
            </w:pPr>
            <w:r>
              <w:rPr>
                <w:sz w:val="18"/>
                <w:szCs w:val="18"/>
              </w:rPr>
              <w:t>33</w:t>
            </w:r>
          </w:p>
        </w:tc>
        <w:tc>
          <w:tcPr>
            <w:tcW w:w="2112" w:type="dxa"/>
            <w:vMerge w:val="restart"/>
            <w:tcBorders>
              <w:top w:val="single" w:sz="4" w:space="0" w:color="000000"/>
            </w:tcBorders>
          </w:tcPr>
          <w:p w14:paraId="1C53C18F" w14:textId="77777777" w:rsidR="008F0A77" w:rsidRDefault="008F0A77" w:rsidP="00EF6B7D">
            <w:pPr>
              <w:jc w:val="center"/>
              <w:rPr>
                <w:sz w:val="18"/>
                <w:szCs w:val="18"/>
              </w:rPr>
            </w:pPr>
            <w:r>
              <w:rPr>
                <w:sz w:val="18"/>
                <w:szCs w:val="18"/>
              </w:rPr>
              <w:t>_</w:t>
            </w:r>
          </w:p>
        </w:tc>
        <w:tc>
          <w:tcPr>
            <w:tcW w:w="1458" w:type="dxa"/>
            <w:tcBorders>
              <w:top w:val="single" w:sz="4" w:space="0" w:color="000000"/>
            </w:tcBorders>
          </w:tcPr>
          <w:p w14:paraId="54354DB6" w14:textId="77777777" w:rsidR="008F0A77" w:rsidRDefault="008F0A77" w:rsidP="00EF6B7D">
            <w:pPr>
              <w:jc w:val="center"/>
              <w:rPr>
                <w:sz w:val="18"/>
                <w:szCs w:val="18"/>
              </w:rPr>
            </w:pPr>
          </w:p>
        </w:tc>
        <w:tc>
          <w:tcPr>
            <w:tcW w:w="1458" w:type="dxa"/>
            <w:vMerge w:val="restart"/>
            <w:tcBorders>
              <w:top w:val="single" w:sz="4" w:space="0" w:color="000000"/>
            </w:tcBorders>
          </w:tcPr>
          <w:p w14:paraId="1BF312E4" w14:textId="77777777" w:rsidR="008F0A77" w:rsidRDefault="008F0A77" w:rsidP="00EF6B7D">
            <w:pPr>
              <w:jc w:val="center"/>
              <w:rPr>
                <w:sz w:val="18"/>
                <w:szCs w:val="18"/>
              </w:rPr>
            </w:pPr>
            <w:r>
              <w:rPr>
                <w:sz w:val="18"/>
                <w:szCs w:val="18"/>
              </w:rPr>
              <w:t>0.75</w:t>
            </w:r>
          </w:p>
        </w:tc>
        <w:tc>
          <w:tcPr>
            <w:tcW w:w="1459" w:type="dxa"/>
            <w:tcBorders>
              <w:top w:val="single" w:sz="4" w:space="0" w:color="000000"/>
            </w:tcBorders>
          </w:tcPr>
          <w:p w14:paraId="57286B26" w14:textId="77777777" w:rsidR="008F0A77" w:rsidRDefault="008F0A77" w:rsidP="00EF6B7D">
            <w:pPr>
              <w:jc w:val="center"/>
              <w:rPr>
                <w:sz w:val="18"/>
                <w:szCs w:val="18"/>
              </w:rPr>
            </w:pPr>
            <w:r>
              <w:rPr>
                <w:sz w:val="18"/>
                <w:szCs w:val="18"/>
              </w:rPr>
              <w:t>0.73</w:t>
            </w:r>
          </w:p>
        </w:tc>
      </w:tr>
      <w:tr w:rsidR="008F0A77" w14:paraId="295E49CC" w14:textId="77777777" w:rsidTr="00EF6B7D">
        <w:tc>
          <w:tcPr>
            <w:tcW w:w="1445" w:type="dxa"/>
            <w:vMerge/>
            <w:tcBorders>
              <w:top w:val="single" w:sz="4" w:space="0" w:color="000000"/>
            </w:tcBorders>
          </w:tcPr>
          <w:p w14:paraId="5035BFF6"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39121CD4" w14:textId="77777777" w:rsidR="008F0A77" w:rsidRDefault="008F0A77" w:rsidP="00EF6B7D">
            <w:pPr>
              <w:jc w:val="center"/>
              <w:rPr>
                <w:sz w:val="18"/>
                <w:szCs w:val="18"/>
              </w:rPr>
            </w:pPr>
            <w:r>
              <w:rPr>
                <w:sz w:val="18"/>
                <w:szCs w:val="18"/>
              </w:rPr>
              <w:t>34</w:t>
            </w:r>
          </w:p>
        </w:tc>
        <w:tc>
          <w:tcPr>
            <w:tcW w:w="2112" w:type="dxa"/>
            <w:vMerge/>
            <w:tcBorders>
              <w:top w:val="single" w:sz="4" w:space="0" w:color="000000"/>
            </w:tcBorders>
          </w:tcPr>
          <w:p w14:paraId="06E8D06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2C8FBBA9" w14:textId="77777777" w:rsidR="008F0A77" w:rsidRDefault="008F0A77" w:rsidP="00EF6B7D">
            <w:pPr>
              <w:jc w:val="center"/>
              <w:rPr>
                <w:sz w:val="18"/>
                <w:szCs w:val="18"/>
              </w:rPr>
            </w:pPr>
          </w:p>
        </w:tc>
        <w:tc>
          <w:tcPr>
            <w:tcW w:w="1458" w:type="dxa"/>
            <w:vMerge/>
            <w:tcBorders>
              <w:top w:val="single" w:sz="4" w:space="0" w:color="000000"/>
            </w:tcBorders>
          </w:tcPr>
          <w:p w14:paraId="211F1DBC"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41C478E2" w14:textId="77777777" w:rsidR="008F0A77" w:rsidRDefault="008F0A77" w:rsidP="00EF6B7D">
            <w:pPr>
              <w:jc w:val="center"/>
              <w:rPr>
                <w:sz w:val="18"/>
                <w:szCs w:val="18"/>
              </w:rPr>
            </w:pPr>
            <w:r>
              <w:rPr>
                <w:sz w:val="18"/>
                <w:szCs w:val="18"/>
              </w:rPr>
              <w:t>0.73</w:t>
            </w:r>
          </w:p>
        </w:tc>
      </w:tr>
      <w:tr w:rsidR="008F0A77" w14:paraId="54B1C1C7" w14:textId="77777777" w:rsidTr="00EF6B7D">
        <w:tc>
          <w:tcPr>
            <w:tcW w:w="1445" w:type="dxa"/>
            <w:vMerge/>
            <w:tcBorders>
              <w:top w:val="single" w:sz="4" w:space="0" w:color="000000"/>
            </w:tcBorders>
          </w:tcPr>
          <w:p w14:paraId="2141ECD4"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7927530F" w14:textId="77777777" w:rsidR="008F0A77" w:rsidRDefault="008F0A77" w:rsidP="00EF6B7D">
            <w:pPr>
              <w:jc w:val="center"/>
              <w:rPr>
                <w:sz w:val="18"/>
                <w:szCs w:val="18"/>
              </w:rPr>
            </w:pPr>
            <w:r>
              <w:rPr>
                <w:sz w:val="18"/>
                <w:szCs w:val="18"/>
              </w:rPr>
              <w:t>35</w:t>
            </w:r>
          </w:p>
        </w:tc>
        <w:tc>
          <w:tcPr>
            <w:tcW w:w="2112" w:type="dxa"/>
            <w:vMerge/>
            <w:tcBorders>
              <w:top w:val="single" w:sz="4" w:space="0" w:color="000000"/>
            </w:tcBorders>
          </w:tcPr>
          <w:p w14:paraId="74AA62AD"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47988D58" w14:textId="77777777" w:rsidR="008F0A77" w:rsidRDefault="008F0A77" w:rsidP="00EF6B7D">
            <w:pPr>
              <w:jc w:val="center"/>
              <w:rPr>
                <w:sz w:val="18"/>
                <w:szCs w:val="18"/>
              </w:rPr>
            </w:pPr>
          </w:p>
        </w:tc>
        <w:tc>
          <w:tcPr>
            <w:tcW w:w="1458" w:type="dxa"/>
            <w:vMerge/>
            <w:tcBorders>
              <w:top w:val="single" w:sz="4" w:space="0" w:color="000000"/>
            </w:tcBorders>
          </w:tcPr>
          <w:p w14:paraId="4273449B"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5B1BCDC4" w14:textId="77777777" w:rsidR="008F0A77" w:rsidRDefault="008F0A77" w:rsidP="00EF6B7D">
            <w:pPr>
              <w:jc w:val="center"/>
              <w:rPr>
                <w:sz w:val="18"/>
                <w:szCs w:val="18"/>
              </w:rPr>
            </w:pPr>
            <w:r>
              <w:rPr>
                <w:sz w:val="18"/>
                <w:szCs w:val="18"/>
              </w:rPr>
              <w:t>0.74</w:t>
            </w:r>
          </w:p>
        </w:tc>
      </w:tr>
      <w:tr w:rsidR="008F0A77" w14:paraId="7DD11E29" w14:textId="77777777" w:rsidTr="00EF6B7D">
        <w:tc>
          <w:tcPr>
            <w:tcW w:w="1445" w:type="dxa"/>
            <w:vMerge/>
            <w:tcBorders>
              <w:top w:val="single" w:sz="4" w:space="0" w:color="000000"/>
            </w:tcBorders>
          </w:tcPr>
          <w:p w14:paraId="4263C68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08C3538E" w14:textId="77777777" w:rsidR="008F0A77" w:rsidRDefault="008F0A77" w:rsidP="00EF6B7D">
            <w:pPr>
              <w:jc w:val="center"/>
              <w:rPr>
                <w:sz w:val="18"/>
                <w:szCs w:val="18"/>
              </w:rPr>
            </w:pPr>
            <w:r>
              <w:rPr>
                <w:sz w:val="18"/>
                <w:szCs w:val="18"/>
              </w:rPr>
              <w:t>36</w:t>
            </w:r>
          </w:p>
        </w:tc>
        <w:tc>
          <w:tcPr>
            <w:tcW w:w="2112" w:type="dxa"/>
            <w:vMerge/>
            <w:tcBorders>
              <w:top w:val="single" w:sz="4" w:space="0" w:color="000000"/>
            </w:tcBorders>
          </w:tcPr>
          <w:p w14:paraId="48691865"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02D9C22C" w14:textId="77777777" w:rsidR="008F0A77" w:rsidRDefault="008F0A77" w:rsidP="00EF6B7D">
            <w:pPr>
              <w:jc w:val="center"/>
              <w:rPr>
                <w:sz w:val="18"/>
                <w:szCs w:val="18"/>
              </w:rPr>
            </w:pPr>
          </w:p>
        </w:tc>
        <w:tc>
          <w:tcPr>
            <w:tcW w:w="1458" w:type="dxa"/>
            <w:vMerge/>
            <w:tcBorders>
              <w:top w:val="single" w:sz="4" w:space="0" w:color="000000"/>
            </w:tcBorders>
          </w:tcPr>
          <w:p w14:paraId="76FABF8A"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0C92FBC3" w14:textId="77777777" w:rsidR="008F0A77" w:rsidRDefault="008F0A77" w:rsidP="00EF6B7D">
            <w:pPr>
              <w:jc w:val="center"/>
              <w:rPr>
                <w:sz w:val="18"/>
                <w:szCs w:val="18"/>
              </w:rPr>
            </w:pPr>
            <w:r>
              <w:rPr>
                <w:sz w:val="18"/>
                <w:szCs w:val="18"/>
              </w:rPr>
              <w:t>0.73</w:t>
            </w:r>
          </w:p>
        </w:tc>
      </w:tr>
      <w:tr w:rsidR="008F0A77" w14:paraId="679F7F04" w14:textId="77777777" w:rsidTr="00EF6B7D">
        <w:tc>
          <w:tcPr>
            <w:tcW w:w="1445" w:type="dxa"/>
            <w:vMerge/>
            <w:tcBorders>
              <w:top w:val="single" w:sz="4" w:space="0" w:color="000000"/>
            </w:tcBorders>
          </w:tcPr>
          <w:p w14:paraId="5A7EFF2F"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55108451" w14:textId="77777777" w:rsidR="008F0A77" w:rsidRDefault="008F0A77" w:rsidP="00EF6B7D">
            <w:pPr>
              <w:jc w:val="center"/>
              <w:rPr>
                <w:sz w:val="18"/>
                <w:szCs w:val="18"/>
              </w:rPr>
            </w:pPr>
            <w:r>
              <w:rPr>
                <w:sz w:val="18"/>
                <w:szCs w:val="18"/>
              </w:rPr>
              <w:t>37</w:t>
            </w:r>
          </w:p>
        </w:tc>
        <w:tc>
          <w:tcPr>
            <w:tcW w:w="2112" w:type="dxa"/>
            <w:vMerge/>
            <w:tcBorders>
              <w:top w:val="single" w:sz="4" w:space="0" w:color="000000"/>
            </w:tcBorders>
          </w:tcPr>
          <w:p w14:paraId="75B0F3E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20892ADA" w14:textId="77777777" w:rsidR="008F0A77" w:rsidRDefault="008F0A77" w:rsidP="00EF6B7D">
            <w:pPr>
              <w:jc w:val="center"/>
              <w:rPr>
                <w:sz w:val="18"/>
                <w:szCs w:val="18"/>
              </w:rPr>
            </w:pPr>
          </w:p>
        </w:tc>
        <w:tc>
          <w:tcPr>
            <w:tcW w:w="1458" w:type="dxa"/>
            <w:vMerge/>
            <w:tcBorders>
              <w:top w:val="single" w:sz="4" w:space="0" w:color="000000"/>
            </w:tcBorders>
          </w:tcPr>
          <w:p w14:paraId="493DA98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5D9CE8E5" w14:textId="77777777" w:rsidR="008F0A77" w:rsidRDefault="008F0A77" w:rsidP="00EF6B7D">
            <w:pPr>
              <w:jc w:val="center"/>
              <w:rPr>
                <w:sz w:val="18"/>
                <w:szCs w:val="18"/>
              </w:rPr>
            </w:pPr>
            <w:r>
              <w:rPr>
                <w:sz w:val="18"/>
                <w:szCs w:val="18"/>
              </w:rPr>
              <w:t>0.70</w:t>
            </w:r>
          </w:p>
        </w:tc>
      </w:tr>
      <w:tr w:rsidR="008F0A77" w14:paraId="4AF10021" w14:textId="77777777" w:rsidTr="00EF6B7D">
        <w:tc>
          <w:tcPr>
            <w:tcW w:w="1445" w:type="dxa"/>
            <w:vMerge/>
            <w:tcBorders>
              <w:top w:val="single" w:sz="4" w:space="0" w:color="000000"/>
            </w:tcBorders>
          </w:tcPr>
          <w:p w14:paraId="6CD8B6E2"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50ECF4A9" w14:textId="77777777" w:rsidR="008F0A77" w:rsidRDefault="008F0A77" w:rsidP="00EF6B7D">
            <w:pPr>
              <w:jc w:val="center"/>
              <w:rPr>
                <w:sz w:val="18"/>
                <w:szCs w:val="18"/>
              </w:rPr>
            </w:pPr>
            <w:r>
              <w:rPr>
                <w:sz w:val="18"/>
                <w:szCs w:val="18"/>
              </w:rPr>
              <w:t>38</w:t>
            </w:r>
          </w:p>
        </w:tc>
        <w:tc>
          <w:tcPr>
            <w:tcW w:w="2112" w:type="dxa"/>
            <w:vMerge/>
            <w:tcBorders>
              <w:top w:val="single" w:sz="4" w:space="0" w:color="000000"/>
            </w:tcBorders>
          </w:tcPr>
          <w:p w14:paraId="2D72DB4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2A52EB24" w14:textId="77777777" w:rsidR="008F0A77" w:rsidRDefault="008F0A77" w:rsidP="00EF6B7D">
            <w:pPr>
              <w:jc w:val="center"/>
              <w:rPr>
                <w:sz w:val="18"/>
                <w:szCs w:val="18"/>
              </w:rPr>
            </w:pPr>
          </w:p>
        </w:tc>
        <w:tc>
          <w:tcPr>
            <w:tcW w:w="1458" w:type="dxa"/>
            <w:vMerge/>
            <w:tcBorders>
              <w:top w:val="single" w:sz="4" w:space="0" w:color="000000"/>
            </w:tcBorders>
          </w:tcPr>
          <w:p w14:paraId="4A138E55"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6B482CF1" w14:textId="77777777" w:rsidR="008F0A77" w:rsidRDefault="008F0A77" w:rsidP="00EF6B7D">
            <w:pPr>
              <w:jc w:val="center"/>
              <w:rPr>
                <w:sz w:val="18"/>
                <w:szCs w:val="18"/>
              </w:rPr>
            </w:pPr>
            <w:r>
              <w:rPr>
                <w:sz w:val="18"/>
                <w:szCs w:val="18"/>
              </w:rPr>
              <w:t>0.72</w:t>
            </w:r>
          </w:p>
        </w:tc>
      </w:tr>
      <w:tr w:rsidR="008F0A77" w14:paraId="40DA6979" w14:textId="77777777" w:rsidTr="00EF6B7D">
        <w:tc>
          <w:tcPr>
            <w:tcW w:w="1445" w:type="dxa"/>
            <w:vMerge/>
            <w:tcBorders>
              <w:top w:val="single" w:sz="4" w:space="0" w:color="000000"/>
            </w:tcBorders>
          </w:tcPr>
          <w:p w14:paraId="1A9EBF18"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5715ABAC" w14:textId="77777777" w:rsidR="008F0A77" w:rsidRDefault="008F0A77" w:rsidP="00EF6B7D">
            <w:pPr>
              <w:jc w:val="center"/>
              <w:rPr>
                <w:sz w:val="18"/>
                <w:szCs w:val="18"/>
              </w:rPr>
            </w:pPr>
            <w:r>
              <w:rPr>
                <w:sz w:val="18"/>
                <w:szCs w:val="18"/>
              </w:rPr>
              <w:t>39</w:t>
            </w:r>
          </w:p>
        </w:tc>
        <w:tc>
          <w:tcPr>
            <w:tcW w:w="2112" w:type="dxa"/>
            <w:vMerge/>
            <w:tcBorders>
              <w:top w:val="single" w:sz="4" w:space="0" w:color="000000"/>
            </w:tcBorders>
          </w:tcPr>
          <w:p w14:paraId="7567C8E9"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29939446" w14:textId="77777777" w:rsidR="008F0A77" w:rsidRDefault="008F0A77" w:rsidP="00EF6B7D">
            <w:pPr>
              <w:jc w:val="center"/>
              <w:rPr>
                <w:sz w:val="18"/>
                <w:szCs w:val="18"/>
              </w:rPr>
            </w:pPr>
          </w:p>
        </w:tc>
        <w:tc>
          <w:tcPr>
            <w:tcW w:w="1458" w:type="dxa"/>
            <w:vMerge/>
            <w:tcBorders>
              <w:top w:val="single" w:sz="4" w:space="0" w:color="000000"/>
            </w:tcBorders>
          </w:tcPr>
          <w:p w14:paraId="1DABFE33"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6A43A9EA" w14:textId="77777777" w:rsidR="008F0A77" w:rsidRDefault="008F0A77" w:rsidP="00EF6B7D">
            <w:pPr>
              <w:jc w:val="center"/>
              <w:rPr>
                <w:sz w:val="18"/>
                <w:szCs w:val="18"/>
              </w:rPr>
            </w:pPr>
            <w:r>
              <w:rPr>
                <w:sz w:val="18"/>
                <w:szCs w:val="18"/>
              </w:rPr>
              <w:t>0.71</w:t>
            </w:r>
          </w:p>
        </w:tc>
      </w:tr>
      <w:tr w:rsidR="008F0A77" w14:paraId="7EEDCBE8" w14:textId="77777777" w:rsidTr="00EF6B7D">
        <w:tc>
          <w:tcPr>
            <w:tcW w:w="1445" w:type="dxa"/>
            <w:vMerge/>
            <w:tcBorders>
              <w:top w:val="single" w:sz="4" w:space="0" w:color="000000"/>
            </w:tcBorders>
          </w:tcPr>
          <w:p w14:paraId="160D1D4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787" w:type="dxa"/>
          </w:tcPr>
          <w:p w14:paraId="1028E9DD" w14:textId="77777777" w:rsidR="008F0A77" w:rsidRDefault="008F0A77" w:rsidP="00EF6B7D">
            <w:pPr>
              <w:jc w:val="center"/>
              <w:rPr>
                <w:sz w:val="18"/>
                <w:szCs w:val="18"/>
              </w:rPr>
            </w:pPr>
            <w:r>
              <w:rPr>
                <w:sz w:val="18"/>
                <w:szCs w:val="18"/>
              </w:rPr>
              <w:t>40</w:t>
            </w:r>
          </w:p>
        </w:tc>
        <w:tc>
          <w:tcPr>
            <w:tcW w:w="2112" w:type="dxa"/>
            <w:vMerge/>
            <w:tcBorders>
              <w:top w:val="single" w:sz="4" w:space="0" w:color="000000"/>
            </w:tcBorders>
          </w:tcPr>
          <w:p w14:paraId="0CA07830"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8" w:type="dxa"/>
          </w:tcPr>
          <w:p w14:paraId="032F860F" w14:textId="77777777" w:rsidR="008F0A77" w:rsidRDefault="008F0A77" w:rsidP="00EF6B7D">
            <w:pPr>
              <w:jc w:val="center"/>
              <w:rPr>
                <w:sz w:val="18"/>
                <w:szCs w:val="18"/>
              </w:rPr>
            </w:pPr>
          </w:p>
        </w:tc>
        <w:tc>
          <w:tcPr>
            <w:tcW w:w="1458" w:type="dxa"/>
            <w:vMerge/>
            <w:tcBorders>
              <w:top w:val="single" w:sz="4" w:space="0" w:color="000000"/>
            </w:tcBorders>
          </w:tcPr>
          <w:p w14:paraId="51369EE7" w14:textId="77777777" w:rsidR="008F0A77" w:rsidRDefault="008F0A77" w:rsidP="00EF6B7D">
            <w:pPr>
              <w:widowControl w:val="0"/>
              <w:pBdr>
                <w:top w:val="nil"/>
                <w:left w:val="nil"/>
                <w:bottom w:val="nil"/>
                <w:right w:val="nil"/>
                <w:between w:val="nil"/>
              </w:pBdr>
              <w:spacing w:line="276" w:lineRule="auto"/>
              <w:jc w:val="center"/>
              <w:rPr>
                <w:sz w:val="18"/>
                <w:szCs w:val="18"/>
              </w:rPr>
            </w:pPr>
          </w:p>
        </w:tc>
        <w:tc>
          <w:tcPr>
            <w:tcW w:w="1459" w:type="dxa"/>
          </w:tcPr>
          <w:p w14:paraId="377AD944" w14:textId="77777777" w:rsidR="008F0A77" w:rsidRDefault="008F0A77" w:rsidP="00EF6B7D">
            <w:pPr>
              <w:jc w:val="center"/>
              <w:rPr>
                <w:sz w:val="18"/>
                <w:szCs w:val="18"/>
              </w:rPr>
            </w:pPr>
            <w:r>
              <w:rPr>
                <w:sz w:val="18"/>
                <w:szCs w:val="18"/>
              </w:rPr>
              <w:t>0.75</w:t>
            </w:r>
          </w:p>
        </w:tc>
      </w:tr>
      <w:tr w:rsidR="008F0A77" w14:paraId="61E46EF4" w14:textId="77777777" w:rsidTr="00EF6B7D">
        <w:tc>
          <w:tcPr>
            <w:tcW w:w="1445" w:type="dxa"/>
            <w:tcBorders>
              <w:bottom w:val="single" w:sz="4" w:space="0" w:color="000000"/>
            </w:tcBorders>
          </w:tcPr>
          <w:p w14:paraId="03B48B0E" w14:textId="77777777" w:rsidR="008F0A77" w:rsidRDefault="008F0A77" w:rsidP="00EF6B7D">
            <w:pPr>
              <w:jc w:val="center"/>
              <w:rPr>
                <w:sz w:val="18"/>
                <w:szCs w:val="18"/>
              </w:rPr>
            </w:pPr>
            <w:r>
              <w:rPr>
                <w:sz w:val="18"/>
                <w:szCs w:val="18"/>
              </w:rPr>
              <w:t>Total</w:t>
            </w:r>
          </w:p>
        </w:tc>
        <w:tc>
          <w:tcPr>
            <w:tcW w:w="787" w:type="dxa"/>
            <w:tcBorders>
              <w:bottom w:val="single" w:sz="4" w:space="0" w:color="000000"/>
            </w:tcBorders>
          </w:tcPr>
          <w:p w14:paraId="404750A8" w14:textId="77777777" w:rsidR="008F0A77" w:rsidRDefault="008F0A77" w:rsidP="00EF6B7D">
            <w:pPr>
              <w:jc w:val="center"/>
              <w:rPr>
                <w:sz w:val="18"/>
                <w:szCs w:val="18"/>
              </w:rPr>
            </w:pPr>
          </w:p>
        </w:tc>
        <w:tc>
          <w:tcPr>
            <w:tcW w:w="2112" w:type="dxa"/>
            <w:tcBorders>
              <w:bottom w:val="single" w:sz="4" w:space="0" w:color="000000"/>
            </w:tcBorders>
          </w:tcPr>
          <w:p w14:paraId="0AEE1C32" w14:textId="77777777" w:rsidR="008F0A77" w:rsidRDefault="008F0A77" w:rsidP="00EF6B7D">
            <w:pPr>
              <w:jc w:val="center"/>
              <w:rPr>
                <w:color w:val="FF0000"/>
                <w:sz w:val="18"/>
                <w:szCs w:val="18"/>
              </w:rPr>
            </w:pPr>
            <w:r>
              <w:rPr>
                <w:sz w:val="18"/>
                <w:szCs w:val="18"/>
              </w:rPr>
              <w:t>0.93</w:t>
            </w:r>
          </w:p>
        </w:tc>
        <w:tc>
          <w:tcPr>
            <w:tcW w:w="1458" w:type="dxa"/>
            <w:tcBorders>
              <w:bottom w:val="single" w:sz="4" w:space="0" w:color="000000"/>
            </w:tcBorders>
          </w:tcPr>
          <w:p w14:paraId="6BBC5180" w14:textId="77777777" w:rsidR="008F0A77" w:rsidRDefault="008F0A77" w:rsidP="00EF6B7D">
            <w:pPr>
              <w:jc w:val="center"/>
              <w:rPr>
                <w:color w:val="FF0000"/>
                <w:sz w:val="18"/>
                <w:szCs w:val="18"/>
              </w:rPr>
            </w:pPr>
          </w:p>
        </w:tc>
        <w:tc>
          <w:tcPr>
            <w:tcW w:w="1458" w:type="dxa"/>
            <w:tcBorders>
              <w:bottom w:val="single" w:sz="4" w:space="0" w:color="000000"/>
            </w:tcBorders>
          </w:tcPr>
          <w:p w14:paraId="328F8334" w14:textId="77777777" w:rsidR="008F0A77" w:rsidRDefault="008F0A77" w:rsidP="00EF6B7D">
            <w:pPr>
              <w:jc w:val="center"/>
              <w:rPr>
                <w:color w:val="FF0000"/>
                <w:sz w:val="18"/>
                <w:szCs w:val="18"/>
              </w:rPr>
            </w:pPr>
            <w:r>
              <w:rPr>
                <w:sz w:val="18"/>
                <w:szCs w:val="18"/>
              </w:rPr>
              <w:t>0.94**</w:t>
            </w:r>
          </w:p>
        </w:tc>
        <w:tc>
          <w:tcPr>
            <w:tcW w:w="1459" w:type="dxa"/>
            <w:tcBorders>
              <w:bottom w:val="single" w:sz="4" w:space="0" w:color="000000"/>
            </w:tcBorders>
          </w:tcPr>
          <w:p w14:paraId="46A9245A" w14:textId="77777777" w:rsidR="008F0A77" w:rsidRDefault="008F0A77" w:rsidP="00EF6B7D">
            <w:pPr>
              <w:jc w:val="center"/>
              <w:rPr>
                <w:sz w:val="18"/>
                <w:szCs w:val="18"/>
              </w:rPr>
            </w:pPr>
          </w:p>
        </w:tc>
      </w:tr>
      <w:tr w:rsidR="008F0A77" w14:paraId="305FD43E" w14:textId="77777777" w:rsidTr="00EF6B7D">
        <w:trPr>
          <w:trHeight w:val="660"/>
        </w:trPr>
        <w:tc>
          <w:tcPr>
            <w:tcW w:w="8719" w:type="dxa"/>
            <w:gridSpan w:val="6"/>
            <w:tcBorders>
              <w:top w:val="single" w:sz="4" w:space="0" w:color="000000"/>
              <w:left w:val="nil"/>
              <w:bottom w:val="single" w:sz="4" w:space="0" w:color="000000"/>
              <w:right w:val="nil"/>
            </w:tcBorders>
          </w:tcPr>
          <w:p w14:paraId="138173D0" w14:textId="77777777" w:rsidR="008F0A77" w:rsidRDefault="008F0A77" w:rsidP="00EF6B7D">
            <w:pPr>
              <w:spacing w:line="276" w:lineRule="auto"/>
              <w:jc w:val="both"/>
              <w:rPr>
                <w:sz w:val="18"/>
                <w:szCs w:val="18"/>
              </w:rPr>
            </w:pPr>
            <w:r>
              <w:rPr>
                <w:sz w:val="18"/>
                <w:szCs w:val="18"/>
              </w:rPr>
              <w:t xml:space="preserve">Note. * Cronbach’s alpha of the factor and, in case the item is removed, it cannot be calculated based on the number of items of the factor. </w:t>
            </w:r>
          </w:p>
          <w:p w14:paraId="6844BEFD" w14:textId="77777777" w:rsidR="008F0A77" w:rsidRDefault="008F0A77" w:rsidP="00EF6B7D">
            <w:pPr>
              <w:tabs>
                <w:tab w:val="left" w:pos="7926"/>
              </w:tabs>
              <w:spacing w:line="276" w:lineRule="auto"/>
              <w:jc w:val="both"/>
              <w:rPr>
                <w:sz w:val="18"/>
                <w:szCs w:val="18"/>
              </w:rPr>
            </w:pPr>
            <w:r>
              <w:rPr>
                <w:sz w:val="18"/>
                <w:szCs w:val="18"/>
              </w:rPr>
              <w:t>** The alpha value was the same for total analysis with the Family Only appendix and in case it was not included.</w:t>
            </w:r>
          </w:p>
        </w:tc>
      </w:tr>
    </w:tbl>
    <w:p w14:paraId="675E0A50" w14:textId="77777777" w:rsidR="008F0A77" w:rsidRDefault="008F0A77" w:rsidP="008F0A77">
      <w:pPr>
        <w:spacing w:line="360" w:lineRule="auto"/>
        <w:ind w:left="-283" w:right="-267" w:firstLine="283"/>
        <w:jc w:val="both"/>
      </w:pPr>
    </w:p>
    <w:p w14:paraId="1DBE9D52" w14:textId="4A49FF8E" w:rsidR="008F0A77" w:rsidRDefault="008F0A77" w:rsidP="008F0A77">
      <w:pPr>
        <w:spacing w:line="360" w:lineRule="auto"/>
        <w:ind w:left="-283" w:right="-267" w:firstLine="283"/>
        <w:jc w:val="both"/>
        <w:rPr>
          <w:color w:val="38761D"/>
        </w:rPr>
      </w:pPr>
      <w:r>
        <w:t>Concerning the RSA-R family members version, the Cronbach’s alpha coefficients ranged from 0.68 (individually-tailored services) to 0.89 (life goals) (Table 2). According to the data, we verified adequate value for the global scale, with a Cronbach’s alpha of 0.94.  The evaluation of internal consistency of each domain of the scale in case any item was removed, indicated that, for the majority, the Cronbach’s alpha would decrease, suggesting the contribution of the item to the internal consistency of the domain. Only the removal of item 29 would increase the Cronbach’s alpha in its corresponding domain. Nevertheless, this increase is not significant, considering that the domains are already reflected in an adequate reliability score.</w:t>
      </w:r>
    </w:p>
    <w:p w14:paraId="34A608BD" w14:textId="77777777" w:rsidR="008F0A77" w:rsidRDefault="008F0A77" w:rsidP="008F0A77">
      <w:pPr>
        <w:spacing w:line="360" w:lineRule="auto"/>
        <w:ind w:left="-283" w:right="-267"/>
        <w:jc w:val="both"/>
        <w:rPr>
          <w:b/>
        </w:rPr>
      </w:pPr>
    </w:p>
    <w:p w14:paraId="60AA0C1B" w14:textId="77777777" w:rsidR="008F0A77" w:rsidRDefault="008F0A77" w:rsidP="008F0A77">
      <w:pPr>
        <w:spacing w:line="360" w:lineRule="auto"/>
        <w:ind w:left="-283" w:right="-267"/>
        <w:jc w:val="both"/>
        <w:rPr>
          <w:b/>
        </w:rPr>
      </w:pPr>
      <w:r>
        <w:rPr>
          <w:b/>
        </w:rPr>
        <w:tab/>
        <w:t>Intraclass Correlation Coefficient (ICC)</w:t>
      </w:r>
    </w:p>
    <w:p w14:paraId="769F52A7" w14:textId="77777777" w:rsidR="008F0A77" w:rsidRDefault="008F0A77" w:rsidP="008F0A77">
      <w:pPr>
        <w:widowControl w:val="0"/>
        <w:spacing w:line="360" w:lineRule="auto"/>
        <w:ind w:left="-283" w:right="-267" w:firstLine="283"/>
        <w:jc w:val="both"/>
      </w:pPr>
      <w:r>
        <w:t xml:space="preserve">In this research, analyses of stability in test/retest were verified by ICC. We used the interval between 10 and 20 days in the applications, being reapplied to 63 users and 70 family members. </w:t>
      </w:r>
    </w:p>
    <w:p w14:paraId="5932D19E" w14:textId="77777777" w:rsidR="008F0A77" w:rsidRDefault="008F0A77" w:rsidP="008F0A77">
      <w:pPr>
        <w:widowControl w:val="0"/>
        <w:spacing w:line="360" w:lineRule="auto"/>
        <w:ind w:left="-283" w:right="-267" w:firstLine="283"/>
        <w:jc w:val="both"/>
      </w:pPr>
      <w:r>
        <w:lastRenderedPageBreak/>
        <w:t xml:space="preserve">In the temporal stability analysis data, the RSA-R Person in recovery version indicates that there is an acceptable correlation between the scores of the two applications of the instrument, both for the global scale (ICC=0.68) and for domains one, two, four; for domains three and five, we found moderate stability (table 3). Results concerning the ICC per item, ranged from -0,06 (item 11) to 0.78 (item 5). Seven items showed acceptable stability (items 1, 3, 16, 17, 18, 27 and 30). The remaining items did not meet the literature criteria (Table 3).  </w:t>
      </w:r>
    </w:p>
    <w:p w14:paraId="0DA08B78" w14:textId="2835A376" w:rsidR="008F0A77" w:rsidRDefault="008F0A77" w:rsidP="001548F4">
      <w:pPr>
        <w:widowControl w:val="0"/>
        <w:spacing w:line="360" w:lineRule="auto"/>
        <w:ind w:left="-283" w:right="-267" w:firstLine="283"/>
        <w:jc w:val="both"/>
      </w:pPr>
      <w:r>
        <w:t>Concerning the RSA-R family members version, the ICC indicates that there is an adequate correlation between the scores of the two applications of the instrument, both for the global scale (ICC=0.83) and for domains one, four and five; for domains two and three, we found acceptable stability (Table 3). Results concerning the ICC per item, ranged from 0.13 (item 23) to 0.81 (item 2). Eight items showed good stability (items 2, 4, 5, 10, 14, 15, 20, and 40). The remaining items did not meet the literature criteria</w:t>
      </w:r>
      <w:r w:rsidR="0030246C">
        <w:t xml:space="preserve"> </w:t>
      </w:r>
      <w:r w:rsidR="0030246C">
        <w:fldChar w:fldCharType="begin" w:fldLock="1"/>
      </w:r>
      <w:r w:rsidR="0030246C">
        <w:instrText>ADDIN CSL_CITATION {"citationItems":[{"id":"ITEM-1","itemData":{"DOI":"10.1186/S13063-016-1555-2","ISSN":"1745-6215","abstract":"In cooperation with the Core Outcome Measures in Effectiveness Trials (COMET) initiative, the COnsensus-based Standards for the selection of health Measurement INstruments (COSMIN) initiative aimed to develop a guideline on how to select outcome measurement instruments for outcomes (i.e., constructs or domains) included in a “Core Outcome Set” (COS). A COS is an agreed minimum set of outcomes that should be measured and reported in all clinical trials of a specific disease or trial population. Informed by a literature review to identify potentially relevant tasks on outcome measurement instrument selection, a Delphi study was performed among a panel of international experts, representing diverse stakeholders. In three consecutive rounds, panelists were asked to rate the importance of different tasks in the selection of outcome measurement instruments, to justify their choices, and to add other relevant tasks. Consensus was defined as being achieved when 70 % or more of the panelists agreed and when fewer than 15 % of the panelists disagreed. Of the 481 invited experts, 120 agreed to participate of whom 95 (79 %) completed the first Delphi questionnaire. We reached consensus on four main steps in the selection of outcome measurement instruments for COS: Step 1, conceptual considerations; Step 2, finding existing outcome measurement instruments, by means of a systematic review and/or a literature search; Step 3, quality assessment of outcome measurement instruments, by means of the evaluation of the measurement properties and feasibility aspects of outcome measurement instruments; and Step 4, generic recommendations on the selection of outcome measurement instruments for outcomes included in a COS (consensus ranged from 70 to 99 %). This study resulted in a consensus-based guideline on the methods for selecting outcome measurement instruments for outcomes included in a COS. This guideline can be used by COS developers in defining how to measure core outcomes.","author":[{"dropping-particle":"","family":"Prinsen","given":"Cecilia A. C.","non-dropping-particle":"","parse-names":false,"suffix":""},{"dropping-particle":"","family":"Vohra","given":"Sunita","non-dropping-particle":"","parse-names":false,"suffix":""},{"dropping-particle":"","family":"Rose","given":"Michael R.","non-dropping-particle":"","parse-names":false,"suffix":""},{"dropping-particle":"","family":"Boers","given":"Maarten","non-dropping-particle":"","parse-names":false,"suffix":""},{"dropping-particle":"","family":"Tugwell","given":"Peter","non-dropping-particle":"","parse-names":false,"suffix":""},{"dropping-particle":"","family":"Clarke","given":"Mike","non-dropping-particle":"","parse-names":false,"suffix":""},{"dropping-particle":"","family":"Williamson","given":"Paula R.","non-dropping-particle":"","parse-names":false,"suffix":""},{"dropping-particle":"","family":"Terwee","given":"Caroline B.","non-dropping-particle":"","parse-names":false,"suffix":""}],"container-title":"Trials 2016 17:1","id":"ITEM-1","issue":"1","issued":{"date-parts":[["2016","9","13"]]},"page":"1-10","publisher":"BioMed Central","title":"How to select outcome measurement instruments for outcomes included in a “Core Outcome Set” – a practical guideline","type":"article-journal","volume":"17"},"uris":["http://www.mendeley.com/documents/?uuid=39de842b-ee7a-318b-a3d7-37faa69a5a71"]}],"mendeley":{"formattedCitation":"(Prinsen et al., 2016)","plainTextFormattedCitation":"(Prinsen et al., 2016)","previouslyFormattedCitation":"(Prinsen et al., 2016)"},"properties":{"noteIndex":0},"schema":"https://github.com/citation-style-language/schema/raw/master/csl-citation.json"}</w:instrText>
      </w:r>
      <w:r w:rsidR="0030246C">
        <w:fldChar w:fldCharType="separate"/>
      </w:r>
      <w:r w:rsidR="0030246C" w:rsidRPr="0030246C">
        <w:rPr>
          <w:noProof/>
        </w:rPr>
        <w:t>(Prinsen et al., 2016)</w:t>
      </w:r>
      <w:r w:rsidR="0030246C">
        <w:fldChar w:fldCharType="end"/>
      </w:r>
      <w:r w:rsidR="0030246C">
        <w:t xml:space="preserve"> </w:t>
      </w:r>
      <w:r>
        <w:t>(Table 3)</w:t>
      </w:r>
      <w:r w:rsidR="0030246C">
        <w:t>.</w:t>
      </w:r>
    </w:p>
    <w:p w14:paraId="631331BD" w14:textId="77777777" w:rsidR="008F0A77" w:rsidRDefault="008F0A77" w:rsidP="008F0A77">
      <w:pPr>
        <w:widowControl w:val="0"/>
        <w:spacing w:line="360" w:lineRule="auto"/>
        <w:ind w:left="-283" w:right="-267"/>
        <w:jc w:val="both"/>
      </w:pPr>
    </w:p>
    <w:p w14:paraId="726813DF" w14:textId="77777777" w:rsidR="008F0A77" w:rsidRPr="006C33D0" w:rsidRDefault="008F0A77" w:rsidP="008F0A77">
      <w:pPr>
        <w:keepNext/>
        <w:pBdr>
          <w:top w:val="nil"/>
          <w:left w:val="nil"/>
          <w:bottom w:val="nil"/>
          <w:right w:val="nil"/>
          <w:between w:val="nil"/>
        </w:pBdr>
        <w:jc w:val="both"/>
        <w:rPr>
          <w:i/>
        </w:rPr>
      </w:pPr>
      <w:r w:rsidRPr="006C33D0">
        <w:rPr>
          <w:b/>
        </w:rPr>
        <w:t xml:space="preserve">Table 3. </w:t>
      </w:r>
      <w:r w:rsidRPr="006C33D0">
        <w:rPr>
          <w:i/>
        </w:rPr>
        <w:t>Analysis of the Intraclass Correlation Coefficient per factor and item of the retest of the RSA-R Person in recovery and Family members versions. 95% confidence interval (95% CI). Brazil 2018.</w:t>
      </w:r>
    </w:p>
    <w:tbl>
      <w:tblPr>
        <w:tblW w:w="7365" w:type="dxa"/>
        <w:jc w:val="center"/>
        <w:tblBorders>
          <w:top w:val="nil"/>
          <w:left w:val="nil"/>
          <w:bottom w:val="nil"/>
          <w:right w:val="nil"/>
          <w:insideH w:val="nil"/>
          <w:insideV w:val="nil"/>
        </w:tblBorders>
        <w:tblLayout w:type="fixed"/>
        <w:tblLook w:val="0400" w:firstRow="0" w:lastRow="0" w:firstColumn="0" w:lastColumn="0" w:noHBand="0" w:noVBand="1"/>
      </w:tblPr>
      <w:tblGrid>
        <w:gridCol w:w="2121"/>
        <w:gridCol w:w="567"/>
        <w:gridCol w:w="708"/>
        <w:gridCol w:w="1276"/>
        <w:gridCol w:w="567"/>
        <w:gridCol w:w="709"/>
        <w:gridCol w:w="1417"/>
      </w:tblGrid>
      <w:tr w:rsidR="008F0A77" w14:paraId="3BFF2AB9" w14:textId="77777777" w:rsidTr="00EF6B7D">
        <w:trPr>
          <w:trHeight w:val="222"/>
          <w:jc w:val="center"/>
        </w:trPr>
        <w:tc>
          <w:tcPr>
            <w:tcW w:w="2122" w:type="dxa"/>
            <w:tcBorders>
              <w:top w:val="single" w:sz="4" w:space="0" w:color="000000"/>
            </w:tcBorders>
          </w:tcPr>
          <w:p w14:paraId="1DCF47A7" w14:textId="77777777" w:rsidR="008F0A77" w:rsidRDefault="008F0A77" w:rsidP="00EF6B7D">
            <w:pPr>
              <w:jc w:val="center"/>
              <w:rPr>
                <w:b/>
                <w:sz w:val="18"/>
                <w:szCs w:val="18"/>
              </w:rPr>
            </w:pPr>
          </w:p>
        </w:tc>
        <w:tc>
          <w:tcPr>
            <w:tcW w:w="567" w:type="dxa"/>
            <w:tcBorders>
              <w:top w:val="single" w:sz="4" w:space="0" w:color="000000"/>
            </w:tcBorders>
          </w:tcPr>
          <w:p w14:paraId="33FC8C0A" w14:textId="77777777" w:rsidR="008F0A77" w:rsidRDefault="008F0A77" w:rsidP="00EF6B7D">
            <w:pPr>
              <w:jc w:val="center"/>
              <w:rPr>
                <w:b/>
                <w:sz w:val="18"/>
                <w:szCs w:val="18"/>
              </w:rPr>
            </w:pPr>
          </w:p>
        </w:tc>
        <w:tc>
          <w:tcPr>
            <w:tcW w:w="1984" w:type="dxa"/>
            <w:gridSpan w:val="2"/>
            <w:tcBorders>
              <w:top w:val="single" w:sz="4" w:space="0" w:color="000000"/>
            </w:tcBorders>
          </w:tcPr>
          <w:p w14:paraId="7A952236" w14:textId="77777777" w:rsidR="008F0A77" w:rsidRDefault="008F0A77" w:rsidP="00EF6B7D">
            <w:pPr>
              <w:jc w:val="center"/>
              <w:rPr>
                <w:b/>
                <w:sz w:val="18"/>
                <w:szCs w:val="18"/>
              </w:rPr>
            </w:pPr>
            <w:r>
              <w:rPr>
                <w:b/>
                <w:sz w:val="18"/>
                <w:szCs w:val="18"/>
              </w:rPr>
              <w:t>RSA-R Person in Recovery</w:t>
            </w:r>
          </w:p>
        </w:tc>
        <w:tc>
          <w:tcPr>
            <w:tcW w:w="567" w:type="dxa"/>
            <w:tcBorders>
              <w:top w:val="single" w:sz="4" w:space="0" w:color="000000"/>
            </w:tcBorders>
          </w:tcPr>
          <w:p w14:paraId="464E75DE" w14:textId="77777777" w:rsidR="008F0A77" w:rsidRDefault="008F0A77" w:rsidP="00EF6B7D">
            <w:pPr>
              <w:jc w:val="center"/>
              <w:rPr>
                <w:b/>
                <w:sz w:val="18"/>
                <w:szCs w:val="18"/>
              </w:rPr>
            </w:pPr>
          </w:p>
        </w:tc>
        <w:tc>
          <w:tcPr>
            <w:tcW w:w="2126" w:type="dxa"/>
            <w:gridSpan w:val="2"/>
            <w:tcBorders>
              <w:top w:val="single" w:sz="4" w:space="0" w:color="000000"/>
            </w:tcBorders>
          </w:tcPr>
          <w:p w14:paraId="4B0C900D" w14:textId="77777777" w:rsidR="008F0A77" w:rsidRDefault="008F0A77" w:rsidP="00EF6B7D">
            <w:pPr>
              <w:jc w:val="center"/>
              <w:rPr>
                <w:b/>
                <w:sz w:val="18"/>
                <w:szCs w:val="18"/>
              </w:rPr>
            </w:pPr>
            <w:r>
              <w:rPr>
                <w:b/>
                <w:sz w:val="18"/>
                <w:szCs w:val="18"/>
              </w:rPr>
              <w:t>RSA-R Family members</w:t>
            </w:r>
          </w:p>
        </w:tc>
      </w:tr>
      <w:tr w:rsidR="008F0A77" w14:paraId="32814CAB" w14:textId="77777777" w:rsidTr="00EF6B7D">
        <w:trPr>
          <w:trHeight w:val="222"/>
          <w:jc w:val="center"/>
        </w:trPr>
        <w:tc>
          <w:tcPr>
            <w:tcW w:w="2122" w:type="dxa"/>
            <w:tcBorders>
              <w:bottom w:val="single" w:sz="4" w:space="0" w:color="000000"/>
            </w:tcBorders>
          </w:tcPr>
          <w:p w14:paraId="4716D98B" w14:textId="77777777" w:rsidR="008F0A77" w:rsidRDefault="008F0A77" w:rsidP="00EF6B7D">
            <w:pPr>
              <w:jc w:val="center"/>
              <w:rPr>
                <w:b/>
                <w:sz w:val="18"/>
                <w:szCs w:val="18"/>
              </w:rPr>
            </w:pPr>
          </w:p>
        </w:tc>
        <w:tc>
          <w:tcPr>
            <w:tcW w:w="567" w:type="dxa"/>
            <w:tcBorders>
              <w:bottom w:val="single" w:sz="4" w:space="0" w:color="000000"/>
            </w:tcBorders>
          </w:tcPr>
          <w:p w14:paraId="52A47745" w14:textId="77777777" w:rsidR="008F0A77" w:rsidRDefault="008F0A77" w:rsidP="00EF6B7D">
            <w:pPr>
              <w:jc w:val="center"/>
              <w:rPr>
                <w:b/>
                <w:sz w:val="18"/>
                <w:szCs w:val="18"/>
              </w:rPr>
            </w:pPr>
            <w:r>
              <w:rPr>
                <w:b/>
                <w:sz w:val="18"/>
                <w:szCs w:val="18"/>
              </w:rPr>
              <w:t>n</w:t>
            </w:r>
          </w:p>
        </w:tc>
        <w:tc>
          <w:tcPr>
            <w:tcW w:w="708" w:type="dxa"/>
            <w:tcBorders>
              <w:bottom w:val="single" w:sz="4" w:space="0" w:color="000000"/>
            </w:tcBorders>
          </w:tcPr>
          <w:p w14:paraId="0A8080BD" w14:textId="77777777" w:rsidR="008F0A77" w:rsidRDefault="008F0A77" w:rsidP="00EF6B7D">
            <w:pPr>
              <w:jc w:val="center"/>
              <w:rPr>
                <w:b/>
                <w:sz w:val="18"/>
                <w:szCs w:val="18"/>
              </w:rPr>
            </w:pPr>
            <w:r>
              <w:rPr>
                <w:b/>
                <w:sz w:val="18"/>
                <w:szCs w:val="18"/>
              </w:rPr>
              <w:t>ICC</w:t>
            </w:r>
          </w:p>
        </w:tc>
        <w:tc>
          <w:tcPr>
            <w:tcW w:w="1276" w:type="dxa"/>
            <w:tcBorders>
              <w:bottom w:val="single" w:sz="4" w:space="0" w:color="000000"/>
            </w:tcBorders>
          </w:tcPr>
          <w:p w14:paraId="7ED790FF" w14:textId="77777777" w:rsidR="008F0A77" w:rsidRDefault="008F0A77" w:rsidP="00EF6B7D">
            <w:pPr>
              <w:jc w:val="center"/>
              <w:rPr>
                <w:b/>
                <w:sz w:val="18"/>
                <w:szCs w:val="18"/>
              </w:rPr>
            </w:pPr>
            <w:r>
              <w:rPr>
                <w:b/>
                <w:sz w:val="18"/>
                <w:szCs w:val="18"/>
              </w:rPr>
              <w:t>95%CI (ICC)</w:t>
            </w:r>
          </w:p>
        </w:tc>
        <w:tc>
          <w:tcPr>
            <w:tcW w:w="567" w:type="dxa"/>
            <w:tcBorders>
              <w:bottom w:val="single" w:sz="4" w:space="0" w:color="000000"/>
            </w:tcBorders>
          </w:tcPr>
          <w:p w14:paraId="2EE28BA3" w14:textId="77777777" w:rsidR="008F0A77" w:rsidRDefault="008F0A77" w:rsidP="00EF6B7D">
            <w:pPr>
              <w:jc w:val="center"/>
              <w:rPr>
                <w:b/>
                <w:sz w:val="18"/>
                <w:szCs w:val="18"/>
              </w:rPr>
            </w:pPr>
            <w:r>
              <w:rPr>
                <w:b/>
                <w:sz w:val="18"/>
                <w:szCs w:val="18"/>
              </w:rPr>
              <w:t>n</w:t>
            </w:r>
          </w:p>
        </w:tc>
        <w:tc>
          <w:tcPr>
            <w:tcW w:w="709" w:type="dxa"/>
            <w:tcBorders>
              <w:bottom w:val="single" w:sz="4" w:space="0" w:color="000000"/>
            </w:tcBorders>
          </w:tcPr>
          <w:p w14:paraId="4413AF93" w14:textId="77777777" w:rsidR="008F0A77" w:rsidRDefault="008F0A77" w:rsidP="00EF6B7D">
            <w:pPr>
              <w:jc w:val="center"/>
              <w:rPr>
                <w:b/>
                <w:sz w:val="18"/>
                <w:szCs w:val="18"/>
              </w:rPr>
            </w:pPr>
            <w:r>
              <w:rPr>
                <w:b/>
                <w:sz w:val="18"/>
                <w:szCs w:val="18"/>
              </w:rPr>
              <w:t>ICC</w:t>
            </w:r>
          </w:p>
        </w:tc>
        <w:tc>
          <w:tcPr>
            <w:tcW w:w="1417" w:type="dxa"/>
            <w:tcBorders>
              <w:bottom w:val="single" w:sz="4" w:space="0" w:color="000000"/>
            </w:tcBorders>
          </w:tcPr>
          <w:p w14:paraId="42437F8E" w14:textId="77777777" w:rsidR="008F0A77" w:rsidRDefault="008F0A77" w:rsidP="00EF6B7D">
            <w:pPr>
              <w:jc w:val="center"/>
              <w:rPr>
                <w:b/>
                <w:sz w:val="18"/>
                <w:szCs w:val="18"/>
              </w:rPr>
            </w:pPr>
            <w:r>
              <w:rPr>
                <w:b/>
                <w:sz w:val="18"/>
                <w:szCs w:val="18"/>
              </w:rPr>
              <w:t>95%CI (ICC)</w:t>
            </w:r>
          </w:p>
        </w:tc>
      </w:tr>
      <w:tr w:rsidR="008F0A77" w14:paraId="45243179" w14:textId="77777777" w:rsidTr="00EF6B7D">
        <w:trPr>
          <w:trHeight w:val="279"/>
          <w:jc w:val="center"/>
        </w:trPr>
        <w:tc>
          <w:tcPr>
            <w:tcW w:w="2122" w:type="dxa"/>
            <w:tcBorders>
              <w:top w:val="single" w:sz="4" w:space="0" w:color="000000"/>
            </w:tcBorders>
          </w:tcPr>
          <w:p w14:paraId="25670D0C" w14:textId="77777777" w:rsidR="008F0A77" w:rsidRDefault="008F0A77" w:rsidP="00EF6B7D">
            <w:pPr>
              <w:jc w:val="center"/>
              <w:rPr>
                <w:b/>
                <w:sz w:val="18"/>
                <w:szCs w:val="18"/>
              </w:rPr>
            </w:pPr>
            <w:r>
              <w:rPr>
                <w:b/>
                <w:sz w:val="18"/>
                <w:szCs w:val="18"/>
              </w:rPr>
              <w:t>Factor 1 Life goals</w:t>
            </w:r>
          </w:p>
        </w:tc>
        <w:tc>
          <w:tcPr>
            <w:tcW w:w="567" w:type="dxa"/>
            <w:tcBorders>
              <w:top w:val="single" w:sz="4" w:space="0" w:color="000000"/>
            </w:tcBorders>
          </w:tcPr>
          <w:p w14:paraId="7D6C3F6D" w14:textId="77777777" w:rsidR="008F0A77" w:rsidRDefault="008F0A77" w:rsidP="00EF6B7D">
            <w:pPr>
              <w:jc w:val="center"/>
              <w:rPr>
                <w:b/>
                <w:sz w:val="18"/>
                <w:szCs w:val="18"/>
              </w:rPr>
            </w:pPr>
            <w:r>
              <w:rPr>
                <w:b/>
                <w:sz w:val="18"/>
                <w:szCs w:val="18"/>
              </w:rPr>
              <w:t>63</w:t>
            </w:r>
          </w:p>
        </w:tc>
        <w:tc>
          <w:tcPr>
            <w:tcW w:w="708" w:type="dxa"/>
            <w:tcBorders>
              <w:top w:val="single" w:sz="4" w:space="0" w:color="000000"/>
            </w:tcBorders>
          </w:tcPr>
          <w:p w14:paraId="3CCA3009" w14:textId="77777777" w:rsidR="008F0A77" w:rsidRDefault="008F0A77" w:rsidP="00EF6B7D">
            <w:pPr>
              <w:jc w:val="center"/>
              <w:rPr>
                <w:b/>
                <w:color w:val="000000"/>
                <w:sz w:val="18"/>
                <w:szCs w:val="18"/>
              </w:rPr>
            </w:pPr>
            <w:r>
              <w:rPr>
                <w:b/>
                <w:sz w:val="18"/>
                <w:szCs w:val="18"/>
              </w:rPr>
              <w:t xml:space="preserve">0.69 </w:t>
            </w:r>
          </w:p>
        </w:tc>
        <w:tc>
          <w:tcPr>
            <w:tcW w:w="1276" w:type="dxa"/>
            <w:tcBorders>
              <w:top w:val="single" w:sz="4" w:space="0" w:color="000000"/>
            </w:tcBorders>
          </w:tcPr>
          <w:p w14:paraId="33A1916D" w14:textId="77777777" w:rsidR="008F0A77" w:rsidRDefault="008F0A77" w:rsidP="00EF6B7D">
            <w:pPr>
              <w:jc w:val="center"/>
              <w:rPr>
                <w:b/>
                <w:color w:val="000000"/>
                <w:sz w:val="18"/>
                <w:szCs w:val="18"/>
              </w:rPr>
            </w:pPr>
            <w:r>
              <w:rPr>
                <w:b/>
                <w:sz w:val="18"/>
                <w:szCs w:val="18"/>
              </w:rPr>
              <w:t>(0.57-0.80)</w:t>
            </w:r>
          </w:p>
        </w:tc>
        <w:tc>
          <w:tcPr>
            <w:tcW w:w="567" w:type="dxa"/>
            <w:tcBorders>
              <w:top w:val="single" w:sz="4" w:space="0" w:color="000000"/>
            </w:tcBorders>
          </w:tcPr>
          <w:p w14:paraId="5854D95D" w14:textId="77777777" w:rsidR="008F0A77" w:rsidRDefault="008F0A77" w:rsidP="00EF6B7D">
            <w:pPr>
              <w:jc w:val="center"/>
              <w:rPr>
                <w:b/>
                <w:sz w:val="18"/>
                <w:szCs w:val="18"/>
              </w:rPr>
            </w:pPr>
            <w:r>
              <w:rPr>
                <w:b/>
                <w:sz w:val="18"/>
                <w:szCs w:val="18"/>
              </w:rPr>
              <w:t>70</w:t>
            </w:r>
          </w:p>
        </w:tc>
        <w:tc>
          <w:tcPr>
            <w:tcW w:w="709" w:type="dxa"/>
            <w:tcBorders>
              <w:top w:val="single" w:sz="4" w:space="0" w:color="000000"/>
            </w:tcBorders>
          </w:tcPr>
          <w:p w14:paraId="4A23ABA9" w14:textId="77777777" w:rsidR="008F0A77" w:rsidRDefault="008F0A77" w:rsidP="00EF6B7D">
            <w:pPr>
              <w:jc w:val="center"/>
              <w:rPr>
                <w:b/>
                <w:sz w:val="18"/>
                <w:szCs w:val="18"/>
              </w:rPr>
            </w:pPr>
            <w:r>
              <w:rPr>
                <w:b/>
                <w:sz w:val="18"/>
                <w:szCs w:val="18"/>
              </w:rPr>
              <w:t xml:space="preserve">0.74 </w:t>
            </w:r>
          </w:p>
        </w:tc>
        <w:tc>
          <w:tcPr>
            <w:tcW w:w="1417" w:type="dxa"/>
            <w:tcBorders>
              <w:top w:val="single" w:sz="4" w:space="0" w:color="000000"/>
            </w:tcBorders>
          </w:tcPr>
          <w:p w14:paraId="557D5B4B" w14:textId="77777777" w:rsidR="008F0A77" w:rsidRDefault="008F0A77" w:rsidP="00EF6B7D">
            <w:pPr>
              <w:jc w:val="center"/>
              <w:rPr>
                <w:b/>
                <w:sz w:val="18"/>
                <w:szCs w:val="18"/>
              </w:rPr>
            </w:pPr>
            <w:r>
              <w:rPr>
                <w:b/>
                <w:sz w:val="18"/>
                <w:szCs w:val="18"/>
              </w:rPr>
              <w:t>(0.64–0.82)</w:t>
            </w:r>
          </w:p>
        </w:tc>
      </w:tr>
      <w:tr w:rsidR="008F0A77" w14:paraId="25448D50" w14:textId="77777777" w:rsidTr="00EF6B7D">
        <w:trPr>
          <w:trHeight w:val="207"/>
          <w:jc w:val="center"/>
        </w:trPr>
        <w:tc>
          <w:tcPr>
            <w:tcW w:w="2122" w:type="dxa"/>
          </w:tcPr>
          <w:p w14:paraId="188AD802" w14:textId="77777777" w:rsidR="008F0A77" w:rsidRDefault="008F0A77" w:rsidP="00EF6B7D">
            <w:pPr>
              <w:jc w:val="center"/>
              <w:rPr>
                <w:sz w:val="18"/>
                <w:szCs w:val="18"/>
              </w:rPr>
            </w:pPr>
            <w:r>
              <w:rPr>
                <w:sz w:val="18"/>
                <w:szCs w:val="18"/>
              </w:rPr>
              <w:t>3</w:t>
            </w:r>
          </w:p>
        </w:tc>
        <w:tc>
          <w:tcPr>
            <w:tcW w:w="567" w:type="dxa"/>
          </w:tcPr>
          <w:p w14:paraId="218D9188" w14:textId="77777777" w:rsidR="008F0A77" w:rsidRDefault="008F0A77" w:rsidP="00EF6B7D">
            <w:pPr>
              <w:jc w:val="center"/>
              <w:rPr>
                <w:sz w:val="18"/>
                <w:szCs w:val="18"/>
              </w:rPr>
            </w:pPr>
            <w:r>
              <w:rPr>
                <w:sz w:val="18"/>
                <w:szCs w:val="18"/>
              </w:rPr>
              <w:t>62</w:t>
            </w:r>
          </w:p>
        </w:tc>
        <w:tc>
          <w:tcPr>
            <w:tcW w:w="708" w:type="dxa"/>
          </w:tcPr>
          <w:p w14:paraId="4F14C8DA" w14:textId="77777777" w:rsidR="008F0A77" w:rsidRDefault="008F0A77" w:rsidP="00EF6B7D">
            <w:pPr>
              <w:jc w:val="center"/>
              <w:rPr>
                <w:sz w:val="18"/>
                <w:szCs w:val="18"/>
              </w:rPr>
            </w:pPr>
            <w:r>
              <w:rPr>
                <w:color w:val="000000"/>
                <w:sz w:val="18"/>
                <w:szCs w:val="18"/>
              </w:rPr>
              <w:t>0,63 </w:t>
            </w:r>
          </w:p>
        </w:tc>
        <w:tc>
          <w:tcPr>
            <w:tcW w:w="1276" w:type="dxa"/>
          </w:tcPr>
          <w:p w14:paraId="6B6A20BE" w14:textId="77777777" w:rsidR="008F0A77" w:rsidRDefault="008F0A77" w:rsidP="00EF6B7D">
            <w:pPr>
              <w:jc w:val="center"/>
              <w:rPr>
                <w:sz w:val="18"/>
                <w:szCs w:val="18"/>
              </w:rPr>
            </w:pPr>
            <w:r>
              <w:rPr>
                <w:color w:val="000000"/>
                <w:sz w:val="18"/>
                <w:szCs w:val="18"/>
              </w:rPr>
              <w:t>(0,49, 0,75)</w:t>
            </w:r>
          </w:p>
        </w:tc>
        <w:tc>
          <w:tcPr>
            <w:tcW w:w="567" w:type="dxa"/>
          </w:tcPr>
          <w:p w14:paraId="61771926" w14:textId="77777777" w:rsidR="008F0A77" w:rsidRDefault="008F0A77" w:rsidP="00EF6B7D">
            <w:pPr>
              <w:jc w:val="center"/>
              <w:rPr>
                <w:sz w:val="18"/>
                <w:szCs w:val="18"/>
              </w:rPr>
            </w:pPr>
            <w:r>
              <w:rPr>
                <w:sz w:val="18"/>
                <w:szCs w:val="18"/>
              </w:rPr>
              <w:t>63</w:t>
            </w:r>
          </w:p>
        </w:tc>
        <w:tc>
          <w:tcPr>
            <w:tcW w:w="709" w:type="dxa"/>
          </w:tcPr>
          <w:p w14:paraId="310CB806" w14:textId="77777777" w:rsidR="008F0A77" w:rsidRDefault="008F0A77" w:rsidP="00EF6B7D">
            <w:pPr>
              <w:jc w:val="center"/>
              <w:rPr>
                <w:sz w:val="18"/>
                <w:szCs w:val="18"/>
              </w:rPr>
            </w:pPr>
            <w:r>
              <w:rPr>
                <w:sz w:val="18"/>
                <w:szCs w:val="18"/>
              </w:rPr>
              <w:t>0.67</w:t>
            </w:r>
          </w:p>
        </w:tc>
        <w:tc>
          <w:tcPr>
            <w:tcW w:w="1417" w:type="dxa"/>
          </w:tcPr>
          <w:p w14:paraId="4FFC8343" w14:textId="77777777" w:rsidR="008F0A77" w:rsidRDefault="008F0A77" w:rsidP="00EF6B7D">
            <w:pPr>
              <w:jc w:val="center"/>
              <w:rPr>
                <w:color w:val="262626"/>
                <w:sz w:val="18"/>
                <w:szCs w:val="18"/>
              </w:rPr>
            </w:pPr>
            <w:r>
              <w:rPr>
                <w:sz w:val="18"/>
                <w:szCs w:val="18"/>
              </w:rPr>
              <w:t>(0.54; 0.78)</w:t>
            </w:r>
          </w:p>
        </w:tc>
      </w:tr>
      <w:tr w:rsidR="008F0A77" w14:paraId="12DA55D1" w14:textId="77777777" w:rsidTr="00EF6B7D">
        <w:trPr>
          <w:trHeight w:val="58"/>
          <w:jc w:val="center"/>
        </w:trPr>
        <w:tc>
          <w:tcPr>
            <w:tcW w:w="2122" w:type="dxa"/>
          </w:tcPr>
          <w:p w14:paraId="51EE0616" w14:textId="77777777" w:rsidR="008F0A77" w:rsidRDefault="008F0A77" w:rsidP="00EF6B7D">
            <w:pPr>
              <w:jc w:val="center"/>
              <w:rPr>
                <w:sz w:val="18"/>
                <w:szCs w:val="18"/>
              </w:rPr>
            </w:pPr>
            <w:r>
              <w:rPr>
                <w:sz w:val="18"/>
                <w:szCs w:val="18"/>
              </w:rPr>
              <w:t>7</w:t>
            </w:r>
          </w:p>
        </w:tc>
        <w:tc>
          <w:tcPr>
            <w:tcW w:w="567" w:type="dxa"/>
          </w:tcPr>
          <w:p w14:paraId="336C5388" w14:textId="77777777" w:rsidR="008F0A77" w:rsidRDefault="008F0A77" w:rsidP="00EF6B7D">
            <w:pPr>
              <w:jc w:val="center"/>
              <w:rPr>
                <w:sz w:val="18"/>
                <w:szCs w:val="18"/>
              </w:rPr>
            </w:pPr>
            <w:r>
              <w:rPr>
                <w:sz w:val="18"/>
                <w:szCs w:val="18"/>
              </w:rPr>
              <w:t>59</w:t>
            </w:r>
          </w:p>
        </w:tc>
        <w:tc>
          <w:tcPr>
            <w:tcW w:w="708" w:type="dxa"/>
          </w:tcPr>
          <w:p w14:paraId="5DCD6491" w14:textId="77777777" w:rsidR="008F0A77" w:rsidRDefault="008F0A77" w:rsidP="00EF6B7D">
            <w:pPr>
              <w:jc w:val="center"/>
              <w:rPr>
                <w:sz w:val="18"/>
                <w:szCs w:val="18"/>
              </w:rPr>
            </w:pPr>
            <w:r>
              <w:rPr>
                <w:color w:val="000000"/>
                <w:sz w:val="18"/>
                <w:szCs w:val="18"/>
              </w:rPr>
              <w:t>0,48 </w:t>
            </w:r>
          </w:p>
        </w:tc>
        <w:tc>
          <w:tcPr>
            <w:tcW w:w="1276" w:type="dxa"/>
          </w:tcPr>
          <w:p w14:paraId="2B97F88D" w14:textId="77777777" w:rsidR="008F0A77" w:rsidRDefault="008F0A77" w:rsidP="00EF6B7D">
            <w:pPr>
              <w:jc w:val="center"/>
              <w:rPr>
                <w:sz w:val="18"/>
                <w:szCs w:val="18"/>
              </w:rPr>
            </w:pPr>
            <w:r>
              <w:rPr>
                <w:color w:val="000000"/>
                <w:sz w:val="18"/>
                <w:szCs w:val="18"/>
              </w:rPr>
              <w:t xml:space="preserve"> (0,28, 0,67)</w:t>
            </w:r>
          </w:p>
        </w:tc>
        <w:tc>
          <w:tcPr>
            <w:tcW w:w="567" w:type="dxa"/>
          </w:tcPr>
          <w:p w14:paraId="002705F4" w14:textId="77777777" w:rsidR="008F0A77" w:rsidRDefault="008F0A77" w:rsidP="00EF6B7D">
            <w:pPr>
              <w:jc w:val="center"/>
              <w:rPr>
                <w:sz w:val="18"/>
                <w:szCs w:val="18"/>
              </w:rPr>
            </w:pPr>
            <w:r>
              <w:rPr>
                <w:sz w:val="18"/>
                <w:szCs w:val="18"/>
              </w:rPr>
              <w:t>59</w:t>
            </w:r>
          </w:p>
        </w:tc>
        <w:tc>
          <w:tcPr>
            <w:tcW w:w="709" w:type="dxa"/>
          </w:tcPr>
          <w:p w14:paraId="741C151D" w14:textId="77777777" w:rsidR="008F0A77" w:rsidRDefault="008F0A77" w:rsidP="00EF6B7D">
            <w:pPr>
              <w:jc w:val="center"/>
              <w:rPr>
                <w:sz w:val="18"/>
                <w:szCs w:val="18"/>
              </w:rPr>
            </w:pPr>
            <w:r>
              <w:rPr>
                <w:sz w:val="18"/>
                <w:szCs w:val="18"/>
              </w:rPr>
              <w:t>0.64</w:t>
            </w:r>
          </w:p>
        </w:tc>
        <w:tc>
          <w:tcPr>
            <w:tcW w:w="1417" w:type="dxa"/>
          </w:tcPr>
          <w:p w14:paraId="7462F192" w14:textId="77777777" w:rsidR="008F0A77" w:rsidRDefault="008F0A77" w:rsidP="00EF6B7D">
            <w:pPr>
              <w:jc w:val="center"/>
              <w:rPr>
                <w:color w:val="262626"/>
                <w:sz w:val="18"/>
                <w:szCs w:val="18"/>
              </w:rPr>
            </w:pPr>
            <w:r>
              <w:rPr>
                <w:sz w:val="18"/>
                <w:szCs w:val="18"/>
              </w:rPr>
              <w:t>(0.50; 0.76)</w:t>
            </w:r>
          </w:p>
        </w:tc>
      </w:tr>
      <w:tr w:rsidR="008F0A77" w14:paraId="37604B9E" w14:textId="77777777" w:rsidTr="00EF6B7D">
        <w:trPr>
          <w:trHeight w:val="279"/>
          <w:jc w:val="center"/>
        </w:trPr>
        <w:tc>
          <w:tcPr>
            <w:tcW w:w="2122" w:type="dxa"/>
          </w:tcPr>
          <w:p w14:paraId="5D1AFC6E" w14:textId="77777777" w:rsidR="008F0A77" w:rsidRDefault="008F0A77" w:rsidP="00EF6B7D">
            <w:pPr>
              <w:jc w:val="center"/>
              <w:rPr>
                <w:sz w:val="18"/>
                <w:szCs w:val="18"/>
              </w:rPr>
            </w:pPr>
            <w:r>
              <w:rPr>
                <w:sz w:val="18"/>
                <w:szCs w:val="18"/>
              </w:rPr>
              <w:t>8</w:t>
            </w:r>
          </w:p>
        </w:tc>
        <w:tc>
          <w:tcPr>
            <w:tcW w:w="567" w:type="dxa"/>
          </w:tcPr>
          <w:p w14:paraId="6F52E911" w14:textId="77777777" w:rsidR="008F0A77" w:rsidRDefault="008F0A77" w:rsidP="00EF6B7D">
            <w:pPr>
              <w:jc w:val="center"/>
              <w:rPr>
                <w:sz w:val="18"/>
                <w:szCs w:val="18"/>
              </w:rPr>
            </w:pPr>
            <w:r>
              <w:rPr>
                <w:sz w:val="18"/>
                <w:szCs w:val="18"/>
              </w:rPr>
              <w:t>59</w:t>
            </w:r>
          </w:p>
        </w:tc>
        <w:tc>
          <w:tcPr>
            <w:tcW w:w="708" w:type="dxa"/>
          </w:tcPr>
          <w:p w14:paraId="5AC41A99" w14:textId="77777777" w:rsidR="008F0A77" w:rsidRDefault="008F0A77" w:rsidP="00EF6B7D">
            <w:pPr>
              <w:jc w:val="center"/>
              <w:rPr>
                <w:sz w:val="18"/>
                <w:szCs w:val="18"/>
              </w:rPr>
            </w:pPr>
            <w:r>
              <w:rPr>
                <w:color w:val="000000"/>
                <w:sz w:val="18"/>
                <w:szCs w:val="18"/>
              </w:rPr>
              <w:t>0,42 </w:t>
            </w:r>
          </w:p>
        </w:tc>
        <w:tc>
          <w:tcPr>
            <w:tcW w:w="1276" w:type="dxa"/>
          </w:tcPr>
          <w:p w14:paraId="303D4F4D" w14:textId="77777777" w:rsidR="008F0A77" w:rsidRDefault="008F0A77" w:rsidP="00EF6B7D">
            <w:pPr>
              <w:jc w:val="center"/>
              <w:rPr>
                <w:sz w:val="18"/>
                <w:szCs w:val="18"/>
              </w:rPr>
            </w:pPr>
            <w:r>
              <w:rPr>
                <w:color w:val="000000"/>
                <w:sz w:val="18"/>
                <w:szCs w:val="18"/>
              </w:rPr>
              <w:t xml:space="preserve"> (0,21, 0,67)</w:t>
            </w:r>
          </w:p>
        </w:tc>
        <w:tc>
          <w:tcPr>
            <w:tcW w:w="567" w:type="dxa"/>
          </w:tcPr>
          <w:p w14:paraId="3B181025" w14:textId="77777777" w:rsidR="008F0A77" w:rsidRDefault="008F0A77" w:rsidP="00EF6B7D">
            <w:pPr>
              <w:jc w:val="center"/>
              <w:rPr>
                <w:sz w:val="18"/>
                <w:szCs w:val="18"/>
              </w:rPr>
            </w:pPr>
            <w:r>
              <w:rPr>
                <w:sz w:val="18"/>
                <w:szCs w:val="18"/>
              </w:rPr>
              <w:t>56</w:t>
            </w:r>
          </w:p>
        </w:tc>
        <w:tc>
          <w:tcPr>
            <w:tcW w:w="709" w:type="dxa"/>
          </w:tcPr>
          <w:p w14:paraId="253026BF" w14:textId="77777777" w:rsidR="008F0A77" w:rsidRDefault="008F0A77" w:rsidP="00EF6B7D">
            <w:pPr>
              <w:jc w:val="center"/>
              <w:rPr>
                <w:sz w:val="18"/>
                <w:szCs w:val="18"/>
              </w:rPr>
            </w:pPr>
            <w:r>
              <w:rPr>
                <w:sz w:val="18"/>
                <w:szCs w:val="18"/>
              </w:rPr>
              <w:t>0.55</w:t>
            </w:r>
          </w:p>
        </w:tc>
        <w:tc>
          <w:tcPr>
            <w:tcW w:w="1417" w:type="dxa"/>
          </w:tcPr>
          <w:p w14:paraId="434B35EB" w14:textId="77777777" w:rsidR="008F0A77" w:rsidRDefault="008F0A77" w:rsidP="00EF6B7D">
            <w:pPr>
              <w:jc w:val="center"/>
              <w:rPr>
                <w:color w:val="262626"/>
                <w:sz w:val="18"/>
                <w:szCs w:val="18"/>
              </w:rPr>
            </w:pPr>
            <w:r>
              <w:rPr>
                <w:sz w:val="18"/>
                <w:szCs w:val="18"/>
              </w:rPr>
              <w:t>(0.38; 0.71)</w:t>
            </w:r>
          </w:p>
        </w:tc>
      </w:tr>
      <w:tr w:rsidR="008F0A77" w14:paraId="45D30A2D" w14:textId="77777777" w:rsidTr="00EF6B7D">
        <w:trPr>
          <w:trHeight w:val="279"/>
          <w:jc w:val="center"/>
        </w:trPr>
        <w:tc>
          <w:tcPr>
            <w:tcW w:w="2122" w:type="dxa"/>
          </w:tcPr>
          <w:p w14:paraId="0441BEAC" w14:textId="77777777" w:rsidR="008F0A77" w:rsidRDefault="008F0A77" w:rsidP="00EF6B7D">
            <w:pPr>
              <w:jc w:val="center"/>
              <w:rPr>
                <w:sz w:val="18"/>
                <w:szCs w:val="18"/>
              </w:rPr>
            </w:pPr>
            <w:r>
              <w:rPr>
                <w:sz w:val="18"/>
                <w:szCs w:val="18"/>
              </w:rPr>
              <w:t>9</w:t>
            </w:r>
          </w:p>
        </w:tc>
        <w:tc>
          <w:tcPr>
            <w:tcW w:w="567" w:type="dxa"/>
          </w:tcPr>
          <w:p w14:paraId="693C90E4" w14:textId="77777777" w:rsidR="008F0A77" w:rsidRDefault="008F0A77" w:rsidP="00EF6B7D">
            <w:pPr>
              <w:jc w:val="center"/>
              <w:rPr>
                <w:sz w:val="18"/>
                <w:szCs w:val="18"/>
              </w:rPr>
            </w:pPr>
            <w:r>
              <w:rPr>
                <w:sz w:val="18"/>
                <w:szCs w:val="18"/>
              </w:rPr>
              <w:t>57</w:t>
            </w:r>
          </w:p>
        </w:tc>
        <w:tc>
          <w:tcPr>
            <w:tcW w:w="708" w:type="dxa"/>
          </w:tcPr>
          <w:p w14:paraId="538F74CF" w14:textId="77777777" w:rsidR="008F0A77" w:rsidRDefault="008F0A77" w:rsidP="00EF6B7D">
            <w:pPr>
              <w:jc w:val="center"/>
              <w:rPr>
                <w:sz w:val="18"/>
                <w:szCs w:val="18"/>
              </w:rPr>
            </w:pPr>
            <w:r>
              <w:rPr>
                <w:color w:val="000000"/>
                <w:sz w:val="18"/>
                <w:szCs w:val="18"/>
              </w:rPr>
              <w:t>0,28 </w:t>
            </w:r>
          </w:p>
        </w:tc>
        <w:tc>
          <w:tcPr>
            <w:tcW w:w="1276" w:type="dxa"/>
          </w:tcPr>
          <w:p w14:paraId="41811E50" w14:textId="77777777" w:rsidR="008F0A77" w:rsidRDefault="008F0A77" w:rsidP="00EF6B7D">
            <w:pPr>
              <w:jc w:val="center"/>
              <w:rPr>
                <w:sz w:val="18"/>
                <w:szCs w:val="18"/>
              </w:rPr>
            </w:pPr>
            <w:r>
              <w:rPr>
                <w:color w:val="000000"/>
                <w:sz w:val="18"/>
                <w:szCs w:val="18"/>
              </w:rPr>
              <w:t xml:space="preserve"> (0,11, 0,57)</w:t>
            </w:r>
          </w:p>
        </w:tc>
        <w:tc>
          <w:tcPr>
            <w:tcW w:w="567" w:type="dxa"/>
          </w:tcPr>
          <w:p w14:paraId="1174B93C" w14:textId="77777777" w:rsidR="008F0A77" w:rsidRDefault="008F0A77" w:rsidP="00EF6B7D">
            <w:pPr>
              <w:jc w:val="center"/>
              <w:rPr>
                <w:sz w:val="18"/>
                <w:szCs w:val="18"/>
              </w:rPr>
            </w:pPr>
            <w:r>
              <w:rPr>
                <w:sz w:val="18"/>
                <w:szCs w:val="18"/>
              </w:rPr>
              <w:t>58</w:t>
            </w:r>
          </w:p>
        </w:tc>
        <w:tc>
          <w:tcPr>
            <w:tcW w:w="709" w:type="dxa"/>
          </w:tcPr>
          <w:p w14:paraId="45F2E1ED" w14:textId="77777777" w:rsidR="008F0A77" w:rsidRDefault="008F0A77" w:rsidP="00EF6B7D">
            <w:pPr>
              <w:jc w:val="center"/>
              <w:rPr>
                <w:sz w:val="18"/>
                <w:szCs w:val="18"/>
              </w:rPr>
            </w:pPr>
            <w:r>
              <w:rPr>
                <w:sz w:val="18"/>
                <w:szCs w:val="18"/>
              </w:rPr>
              <w:t>0.63</w:t>
            </w:r>
          </w:p>
        </w:tc>
        <w:tc>
          <w:tcPr>
            <w:tcW w:w="1417" w:type="dxa"/>
          </w:tcPr>
          <w:p w14:paraId="11D2249B" w14:textId="77777777" w:rsidR="008F0A77" w:rsidRDefault="008F0A77" w:rsidP="00EF6B7D">
            <w:pPr>
              <w:jc w:val="center"/>
              <w:rPr>
                <w:color w:val="262626"/>
                <w:sz w:val="18"/>
                <w:szCs w:val="18"/>
              </w:rPr>
            </w:pPr>
            <w:r>
              <w:rPr>
                <w:sz w:val="18"/>
                <w:szCs w:val="18"/>
              </w:rPr>
              <w:t>(0.48; 0.75)</w:t>
            </w:r>
          </w:p>
        </w:tc>
      </w:tr>
      <w:tr w:rsidR="008F0A77" w14:paraId="7FC60530" w14:textId="77777777" w:rsidTr="00EF6B7D">
        <w:trPr>
          <w:trHeight w:val="279"/>
          <w:jc w:val="center"/>
        </w:trPr>
        <w:tc>
          <w:tcPr>
            <w:tcW w:w="2122" w:type="dxa"/>
          </w:tcPr>
          <w:p w14:paraId="4C3A3F35" w14:textId="77777777" w:rsidR="008F0A77" w:rsidRDefault="008F0A77" w:rsidP="00EF6B7D">
            <w:pPr>
              <w:jc w:val="center"/>
              <w:rPr>
                <w:sz w:val="18"/>
                <w:szCs w:val="18"/>
              </w:rPr>
            </w:pPr>
            <w:r>
              <w:rPr>
                <w:sz w:val="18"/>
                <w:szCs w:val="18"/>
              </w:rPr>
              <w:t>12</w:t>
            </w:r>
          </w:p>
        </w:tc>
        <w:tc>
          <w:tcPr>
            <w:tcW w:w="567" w:type="dxa"/>
          </w:tcPr>
          <w:p w14:paraId="7197AC71" w14:textId="77777777" w:rsidR="008F0A77" w:rsidRDefault="008F0A77" w:rsidP="00EF6B7D">
            <w:pPr>
              <w:jc w:val="center"/>
              <w:rPr>
                <w:sz w:val="18"/>
                <w:szCs w:val="18"/>
              </w:rPr>
            </w:pPr>
            <w:r>
              <w:rPr>
                <w:sz w:val="18"/>
                <w:szCs w:val="18"/>
              </w:rPr>
              <w:t>60</w:t>
            </w:r>
          </w:p>
        </w:tc>
        <w:tc>
          <w:tcPr>
            <w:tcW w:w="708" w:type="dxa"/>
          </w:tcPr>
          <w:p w14:paraId="62BF633C" w14:textId="77777777" w:rsidR="008F0A77" w:rsidRDefault="008F0A77" w:rsidP="00EF6B7D">
            <w:pPr>
              <w:jc w:val="center"/>
              <w:rPr>
                <w:sz w:val="18"/>
                <w:szCs w:val="18"/>
              </w:rPr>
            </w:pPr>
            <w:r>
              <w:rPr>
                <w:color w:val="000000"/>
                <w:sz w:val="18"/>
                <w:szCs w:val="18"/>
              </w:rPr>
              <w:t>0,54 </w:t>
            </w:r>
          </w:p>
        </w:tc>
        <w:tc>
          <w:tcPr>
            <w:tcW w:w="1276" w:type="dxa"/>
          </w:tcPr>
          <w:p w14:paraId="634EDC1F" w14:textId="77777777" w:rsidR="008F0A77" w:rsidRDefault="008F0A77" w:rsidP="00EF6B7D">
            <w:pPr>
              <w:jc w:val="center"/>
              <w:rPr>
                <w:sz w:val="18"/>
                <w:szCs w:val="18"/>
              </w:rPr>
            </w:pPr>
            <w:r>
              <w:rPr>
                <w:color w:val="000000"/>
                <w:sz w:val="18"/>
                <w:szCs w:val="18"/>
              </w:rPr>
              <w:t xml:space="preserve"> (0,34, 0,73)</w:t>
            </w:r>
          </w:p>
        </w:tc>
        <w:tc>
          <w:tcPr>
            <w:tcW w:w="567" w:type="dxa"/>
          </w:tcPr>
          <w:p w14:paraId="635F7D9B" w14:textId="77777777" w:rsidR="008F0A77" w:rsidRDefault="008F0A77" w:rsidP="00EF6B7D">
            <w:pPr>
              <w:jc w:val="center"/>
              <w:rPr>
                <w:sz w:val="18"/>
                <w:szCs w:val="18"/>
              </w:rPr>
            </w:pPr>
            <w:r>
              <w:rPr>
                <w:sz w:val="18"/>
                <w:szCs w:val="18"/>
              </w:rPr>
              <w:t>55</w:t>
            </w:r>
          </w:p>
        </w:tc>
        <w:tc>
          <w:tcPr>
            <w:tcW w:w="709" w:type="dxa"/>
          </w:tcPr>
          <w:p w14:paraId="6162962C" w14:textId="77777777" w:rsidR="008F0A77" w:rsidRDefault="008F0A77" w:rsidP="00EF6B7D">
            <w:pPr>
              <w:jc w:val="center"/>
              <w:rPr>
                <w:sz w:val="18"/>
                <w:szCs w:val="18"/>
              </w:rPr>
            </w:pPr>
            <w:r>
              <w:rPr>
                <w:sz w:val="18"/>
                <w:szCs w:val="18"/>
              </w:rPr>
              <w:t>0.66</w:t>
            </w:r>
          </w:p>
        </w:tc>
        <w:tc>
          <w:tcPr>
            <w:tcW w:w="1417" w:type="dxa"/>
          </w:tcPr>
          <w:p w14:paraId="1E280149" w14:textId="77777777" w:rsidR="008F0A77" w:rsidRDefault="008F0A77" w:rsidP="00EF6B7D">
            <w:pPr>
              <w:jc w:val="center"/>
              <w:rPr>
                <w:color w:val="262626"/>
                <w:sz w:val="18"/>
                <w:szCs w:val="18"/>
              </w:rPr>
            </w:pPr>
            <w:r>
              <w:rPr>
                <w:sz w:val="18"/>
                <w:szCs w:val="18"/>
              </w:rPr>
              <w:t>(0.50; 0.78)</w:t>
            </w:r>
          </w:p>
        </w:tc>
      </w:tr>
      <w:tr w:rsidR="008F0A77" w14:paraId="5E8B51C8" w14:textId="77777777" w:rsidTr="00EF6B7D">
        <w:trPr>
          <w:trHeight w:val="279"/>
          <w:jc w:val="center"/>
        </w:trPr>
        <w:tc>
          <w:tcPr>
            <w:tcW w:w="2122" w:type="dxa"/>
          </w:tcPr>
          <w:p w14:paraId="6AC20110" w14:textId="77777777" w:rsidR="008F0A77" w:rsidRDefault="008F0A77" w:rsidP="00EF6B7D">
            <w:pPr>
              <w:jc w:val="center"/>
              <w:rPr>
                <w:sz w:val="18"/>
                <w:szCs w:val="18"/>
              </w:rPr>
            </w:pPr>
            <w:r>
              <w:rPr>
                <w:sz w:val="18"/>
                <w:szCs w:val="18"/>
              </w:rPr>
              <w:t>16</w:t>
            </w:r>
          </w:p>
        </w:tc>
        <w:tc>
          <w:tcPr>
            <w:tcW w:w="567" w:type="dxa"/>
          </w:tcPr>
          <w:p w14:paraId="2FAFC21E" w14:textId="77777777" w:rsidR="008F0A77" w:rsidRDefault="008F0A77" w:rsidP="00EF6B7D">
            <w:pPr>
              <w:jc w:val="center"/>
              <w:rPr>
                <w:sz w:val="18"/>
                <w:szCs w:val="18"/>
              </w:rPr>
            </w:pPr>
            <w:r>
              <w:rPr>
                <w:sz w:val="18"/>
                <w:szCs w:val="18"/>
              </w:rPr>
              <w:t>59</w:t>
            </w:r>
          </w:p>
        </w:tc>
        <w:tc>
          <w:tcPr>
            <w:tcW w:w="708" w:type="dxa"/>
          </w:tcPr>
          <w:p w14:paraId="04B6C3AE" w14:textId="77777777" w:rsidR="008F0A77" w:rsidRDefault="008F0A77" w:rsidP="00EF6B7D">
            <w:pPr>
              <w:jc w:val="center"/>
              <w:rPr>
                <w:sz w:val="18"/>
                <w:szCs w:val="18"/>
              </w:rPr>
            </w:pPr>
            <w:r>
              <w:rPr>
                <w:color w:val="000000"/>
                <w:sz w:val="18"/>
                <w:szCs w:val="18"/>
              </w:rPr>
              <w:t>0,68 </w:t>
            </w:r>
          </w:p>
        </w:tc>
        <w:tc>
          <w:tcPr>
            <w:tcW w:w="1276" w:type="dxa"/>
          </w:tcPr>
          <w:p w14:paraId="727DA853" w14:textId="77777777" w:rsidR="008F0A77" w:rsidRDefault="008F0A77" w:rsidP="00EF6B7D">
            <w:pPr>
              <w:jc w:val="center"/>
              <w:rPr>
                <w:sz w:val="18"/>
                <w:szCs w:val="18"/>
              </w:rPr>
            </w:pPr>
            <w:r>
              <w:rPr>
                <w:color w:val="000000"/>
                <w:sz w:val="18"/>
                <w:szCs w:val="18"/>
              </w:rPr>
              <w:t xml:space="preserve"> (0,54, 0,78)</w:t>
            </w:r>
          </w:p>
        </w:tc>
        <w:tc>
          <w:tcPr>
            <w:tcW w:w="567" w:type="dxa"/>
          </w:tcPr>
          <w:p w14:paraId="59AF683E" w14:textId="77777777" w:rsidR="008F0A77" w:rsidRDefault="008F0A77" w:rsidP="00EF6B7D">
            <w:pPr>
              <w:jc w:val="center"/>
              <w:rPr>
                <w:sz w:val="18"/>
                <w:szCs w:val="18"/>
              </w:rPr>
            </w:pPr>
            <w:r>
              <w:rPr>
                <w:sz w:val="18"/>
                <w:szCs w:val="18"/>
              </w:rPr>
              <w:t>53</w:t>
            </w:r>
          </w:p>
        </w:tc>
        <w:tc>
          <w:tcPr>
            <w:tcW w:w="709" w:type="dxa"/>
          </w:tcPr>
          <w:p w14:paraId="393F0889" w14:textId="77777777" w:rsidR="008F0A77" w:rsidRDefault="008F0A77" w:rsidP="00EF6B7D">
            <w:pPr>
              <w:jc w:val="center"/>
              <w:rPr>
                <w:sz w:val="18"/>
                <w:szCs w:val="18"/>
              </w:rPr>
            </w:pPr>
            <w:r>
              <w:rPr>
                <w:sz w:val="18"/>
                <w:szCs w:val="18"/>
              </w:rPr>
              <w:t>0.56</w:t>
            </w:r>
          </w:p>
        </w:tc>
        <w:tc>
          <w:tcPr>
            <w:tcW w:w="1417" w:type="dxa"/>
          </w:tcPr>
          <w:p w14:paraId="42374CD5" w14:textId="77777777" w:rsidR="008F0A77" w:rsidRDefault="008F0A77" w:rsidP="00EF6B7D">
            <w:pPr>
              <w:jc w:val="center"/>
              <w:rPr>
                <w:color w:val="262626"/>
                <w:sz w:val="18"/>
                <w:szCs w:val="18"/>
              </w:rPr>
            </w:pPr>
            <w:r>
              <w:rPr>
                <w:sz w:val="18"/>
                <w:szCs w:val="18"/>
              </w:rPr>
              <w:t>(0.39; 0.72)</w:t>
            </w:r>
          </w:p>
        </w:tc>
      </w:tr>
      <w:tr w:rsidR="008F0A77" w14:paraId="77713E4A" w14:textId="77777777" w:rsidTr="00EF6B7D">
        <w:trPr>
          <w:trHeight w:val="279"/>
          <w:jc w:val="center"/>
        </w:trPr>
        <w:tc>
          <w:tcPr>
            <w:tcW w:w="2122" w:type="dxa"/>
          </w:tcPr>
          <w:p w14:paraId="21CD4DA9" w14:textId="77777777" w:rsidR="008F0A77" w:rsidRDefault="008F0A77" w:rsidP="00EF6B7D">
            <w:pPr>
              <w:jc w:val="center"/>
              <w:rPr>
                <w:sz w:val="18"/>
                <w:szCs w:val="18"/>
              </w:rPr>
            </w:pPr>
            <w:r>
              <w:rPr>
                <w:sz w:val="18"/>
                <w:szCs w:val="18"/>
              </w:rPr>
              <w:t>17</w:t>
            </w:r>
          </w:p>
        </w:tc>
        <w:tc>
          <w:tcPr>
            <w:tcW w:w="567" w:type="dxa"/>
          </w:tcPr>
          <w:p w14:paraId="5C29045D" w14:textId="77777777" w:rsidR="008F0A77" w:rsidRDefault="008F0A77" w:rsidP="00EF6B7D">
            <w:pPr>
              <w:jc w:val="center"/>
              <w:rPr>
                <w:sz w:val="18"/>
                <w:szCs w:val="18"/>
              </w:rPr>
            </w:pPr>
            <w:r>
              <w:rPr>
                <w:sz w:val="18"/>
                <w:szCs w:val="18"/>
              </w:rPr>
              <w:t>53</w:t>
            </w:r>
          </w:p>
        </w:tc>
        <w:tc>
          <w:tcPr>
            <w:tcW w:w="708" w:type="dxa"/>
          </w:tcPr>
          <w:p w14:paraId="2C9957ED" w14:textId="77777777" w:rsidR="008F0A77" w:rsidRDefault="008F0A77" w:rsidP="00EF6B7D">
            <w:pPr>
              <w:jc w:val="center"/>
              <w:rPr>
                <w:sz w:val="18"/>
                <w:szCs w:val="18"/>
              </w:rPr>
            </w:pPr>
            <w:r>
              <w:rPr>
                <w:color w:val="000000"/>
                <w:sz w:val="18"/>
                <w:szCs w:val="18"/>
              </w:rPr>
              <w:t>0,60 </w:t>
            </w:r>
          </w:p>
        </w:tc>
        <w:tc>
          <w:tcPr>
            <w:tcW w:w="1276" w:type="dxa"/>
          </w:tcPr>
          <w:p w14:paraId="11CEE768" w14:textId="77777777" w:rsidR="008F0A77" w:rsidRDefault="008F0A77" w:rsidP="00EF6B7D">
            <w:pPr>
              <w:jc w:val="center"/>
              <w:rPr>
                <w:sz w:val="18"/>
                <w:szCs w:val="18"/>
              </w:rPr>
            </w:pPr>
            <w:r>
              <w:rPr>
                <w:color w:val="000000"/>
                <w:sz w:val="18"/>
                <w:szCs w:val="18"/>
              </w:rPr>
              <w:t>(0,43, 0,75)</w:t>
            </w:r>
          </w:p>
        </w:tc>
        <w:tc>
          <w:tcPr>
            <w:tcW w:w="567" w:type="dxa"/>
          </w:tcPr>
          <w:p w14:paraId="49903F1F" w14:textId="77777777" w:rsidR="008F0A77" w:rsidRDefault="008F0A77" w:rsidP="00EF6B7D">
            <w:pPr>
              <w:jc w:val="center"/>
              <w:rPr>
                <w:sz w:val="18"/>
                <w:szCs w:val="18"/>
              </w:rPr>
            </w:pPr>
            <w:r>
              <w:rPr>
                <w:sz w:val="18"/>
                <w:szCs w:val="18"/>
              </w:rPr>
              <w:t>50</w:t>
            </w:r>
          </w:p>
        </w:tc>
        <w:tc>
          <w:tcPr>
            <w:tcW w:w="709" w:type="dxa"/>
          </w:tcPr>
          <w:p w14:paraId="3DD266E6" w14:textId="77777777" w:rsidR="008F0A77" w:rsidRDefault="008F0A77" w:rsidP="00EF6B7D">
            <w:pPr>
              <w:jc w:val="center"/>
              <w:rPr>
                <w:sz w:val="18"/>
                <w:szCs w:val="18"/>
              </w:rPr>
            </w:pPr>
            <w:r>
              <w:rPr>
                <w:sz w:val="18"/>
                <w:szCs w:val="18"/>
              </w:rPr>
              <w:t>0.67</w:t>
            </w:r>
          </w:p>
        </w:tc>
        <w:tc>
          <w:tcPr>
            <w:tcW w:w="1417" w:type="dxa"/>
          </w:tcPr>
          <w:p w14:paraId="4BC248D7" w14:textId="77777777" w:rsidR="008F0A77" w:rsidRDefault="008F0A77" w:rsidP="00EF6B7D">
            <w:pPr>
              <w:jc w:val="center"/>
              <w:rPr>
                <w:color w:val="262626"/>
                <w:sz w:val="18"/>
                <w:szCs w:val="18"/>
              </w:rPr>
            </w:pPr>
            <w:r>
              <w:rPr>
                <w:sz w:val="18"/>
                <w:szCs w:val="18"/>
              </w:rPr>
              <w:t>(0.52; 0.79)</w:t>
            </w:r>
          </w:p>
        </w:tc>
      </w:tr>
      <w:tr w:rsidR="008F0A77" w14:paraId="109EC61A" w14:textId="77777777" w:rsidTr="00EF6B7D">
        <w:trPr>
          <w:trHeight w:val="279"/>
          <w:jc w:val="center"/>
        </w:trPr>
        <w:tc>
          <w:tcPr>
            <w:tcW w:w="2122" w:type="dxa"/>
          </w:tcPr>
          <w:p w14:paraId="4E6F8316" w14:textId="77777777" w:rsidR="008F0A77" w:rsidRDefault="008F0A77" w:rsidP="00EF6B7D">
            <w:pPr>
              <w:jc w:val="center"/>
              <w:rPr>
                <w:sz w:val="18"/>
                <w:szCs w:val="18"/>
              </w:rPr>
            </w:pPr>
            <w:r>
              <w:rPr>
                <w:sz w:val="18"/>
                <w:szCs w:val="18"/>
              </w:rPr>
              <w:t>18</w:t>
            </w:r>
          </w:p>
        </w:tc>
        <w:tc>
          <w:tcPr>
            <w:tcW w:w="567" w:type="dxa"/>
          </w:tcPr>
          <w:p w14:paraId="2704B38B" w14:textId="77777777" w:rsidR="008F0A77" w:rsidRDefault="008F0A77" w:rsidP="00EF6B7D">
            <w:pPr>
              <w:jc w:val="center"/>
              <w:rPr>
                <w:sz w:val="18"/>
                <w:szCs w:val="18"/>
              </w:rPr>
            </w:pPr>
            <w:r>
              <w:rPr>
                <w:sz w:val="18"/>
                <w:szCs w:val="18"/>
              </w:rPr>
              <w:t xml:space="preserve">59 </w:t>
            </w:r>
          </w:p>
        </w:tc>
        <w:tc>
          <w:tcPr>
            <w:tcW w:w="708" w:type="dxa"/>
          </w:tcPr>
          <w:p w14:paraId="7A689915" w14:textId="77777777" w:rsidR="008F0A77" w:rsidRDefault="008F0A77" w:rsidP="00EF6B7D">
            <w:pPr>
              <w:jc w:val="center"/>
              <w:rPr>
                <w:sz w:val="18"/>
                <w:szCs w:val="18"/>
              </w:rPr>
            </w:pPr>
            <w:r>
              <w:rPr>
                <w:color w:val="000000"/>
                <w:sz w:val="18"/>
                <w:szCs w:val="18"/>
              </w:rPr>
              <w:t>0,64 </w:t>
            </w:r>
          </w:p>
        </w:tc>
        <w:tc>
          <w:tcPr>
            <w:tcW w:w="1276" w:type="dxa"/>
          </w:tcPr>
          <w:p w14:paraId="19C5C6AC" w14:textId="77777777" w:rsidR="008F0A77" w:rsidRDefault="008F0A77" w:rsidP="00EF6B7D">
            <w:pPr>
              <w:jc w:val="center"/>
              <w:rPr>
                <w:sz w:val="18"/>
                <w:szCs w:val="18"/>
              </w:rPr>
            </w:pPr>
            <w:r>
              <w:rPr>
                <w:color w:val="000000"/>
                <w:sz w:val="18"/>
                <w:szCs w:val="18"/>
              </w:rPr>
              <w:t xml:space="preserve"> (0,49, 0,77)</w:t>
            </w:r>
          </w:p>
        </w:tc>
        <w:tc>
          <w:tcPr>
            <w:tcW w:w="567" w:type="dxa"/>
          </w:tcPr>
          <w:p w14:paraId="53637AB1" w14:textId="77777777" w:rsidR="008F0A77" w:rsidRDefault="008F0A77" w:rsidP="00EF6B7D">
            <w:pPr>
              <w:jc w:val="center"/>
              <w:rPr>
                <w:sz w:val="18"/>
                <w:szCs w:val="18"/>
              </w:rPr>
            </w:pPr>
            <w:r>
              <w:rPr>
                <w:sz w:val="18"/>
                <w:szCs w:val="18"/>
              </w:rPr>
              <w:t>61</w:t>
            </w:r>
          </w:p>
        </w:tc>
        <w:tc>
          <w:tcPr>
            <w:tcW w:w="709" w:type="dxa"/>
          </w:tcPr>
          <w:p w14:paraId="2A66B9B6" w14:textId="77777777" w:rsidR="008F0A77" w:rsidRDefault="008F0A77" w:rsidP="00EF6B7D">
            <w:pPr>
              <w:jc w:val="center"/>
              <w:rPr>
                <w:sz w:val="18"/>
                <w:szCs w:val="18"/>
              </w:rPr>
            </w:pPr>
            <w:r>
              <w:rPr>
                <w:sz w:val="18"/>
                <w:szCs w:val="18"/>
              </w:rPr>
              <w:t>0.48</w:t>
            </w:r>
          </w:p>
        </w:tc>
        <w:tc>
          <w:tcPr>
            <w:tcW w:w="1417" w:type="dxa"/>
          </w:tcPr>
          <w:p w14:paraId="41EF33B0" w14:textId="77777777" w:rsidR="008F0A77" w:rsidRDefault="008F0A77" w:rsidP="00EF6B7D">
            <w:pPr>
              <w:jc w:val="center"/>
              <w:rPr>
                <w:color w:val="262626"/>
                <w:sz w:val="18"/>
                <w:szCs w:val="18"/>
              </w:rPr>
            </w:pPr>
            <w:r>
              <w:rPr>
                <w:sz w:val="18"/>
                <w:szCs w:val="18"/>
              </w:rPr>
              <w:t>(0.30; 0.66)</w:t>
            </w:r>
          </w:p>
        </w:tc>
      </w:tr>
      <w:tr w:rsidR="008F0A77" w14:paraId="347CA539" w14:textId="77777777" w:rsidTr="00EF6B7D">
        <w:trPr>
          <w:trHeight w:val="279"/>
          <w:jc w:val="center"/>
        </w:trPr>
        <w:tc>
          <w:tcPr>
            <w:tcW w:w="2122" w:type="dxa"/>
          </w:tcPr>
          <w:p w14:paraId="36227AC9" w14:textId="77777777" w:rsidR="008F0A77" w:rsidRDefault="008F0A77" w:rsidP="00EF6B7D">
            <w:pPr>
              <w:jc w:val="center"/>
              <w:rPr>
                <w:sz w:val="18"/>
                <w:szCs w:val="18"/>
              </w:rPr>
            </w:pPr>
            <w:r>
              <w:rPr>
                <w:sz w:val="18"/>
                <w:szCs w:val="18"/>
              </w:rPr>
              <w:t>28</w:t>
            </w:r>
          </w:p>
        </w:tc>
        <w:tc>
          <w:tcPr>
            <w:tcW w:w="567" w:type="dxa"/>
          </w:tcPr>
          <w:p w14:paraId="63CD325B" w14:textId="77777777" w:rsidR="008F0A77" w:rsidRDefault="008F0A77" w:rsidP="00EF6B7D">
            <w:pPr>
              <w:jc w:val="center"/>
              <w:rPr>
                <w:sz w:val="18"/>
                <w:szCs w:val="18"/>
              </w:rPr>
            </w:pPr>
            <w:r>
              <w:rPr>
                <w:sz w:val="18"/>
                <w:szCs w:val="18"/>
              </w:rPr>
              <w:t>60</w:t>
            </w:r>
          </w:p>
        </w:tc>
        <w:tc>
          <w:tcPr>
            <w:tcW w:w="708" w:type="dxa"/>
          </w:tcPr>
          <w:p w14:paraId="5211B5E2" w14:textId="77777777" w:rsidR="008F0A77" w:rsidRDefault="008F0A77" w:rsidP="00EF6B7D">
            <w:pPr>
              <w:jc w:val="center"/>
              <w:rPr>
                <w:sz w:val="18"/>
                <w:szCs w:val="18"/>
              </w:rPr>
            </w:pPr>
            <w:r>
              <w:rPr>
                <w:color w:val="000000"/>
                <w:sz w:val="18"/>
                <w:szCs w:val="18"/>
              </w:rPr>
              <w:t>0,57</w:t>
            </w:r>
          </w:p>
        </w:tc>
        <w:tc>
          <w:tcPr>
            <w:tcW w:w="1276" w:type="dxa"/>
            <w:vAlign w:val="center"/>
          </w:tcPr>
          <w:p w14:paraId="0C7B7D5D" w14:textId="77777777" w:rsidR="008F0A77" w:rsidRDefault="008F0A77" w:rsidP="00EF6B7D">
            <w:pPr>
              <w:jc w:val="center"/>
              <w:rPr>
                <w:sz w:val="18"/>
                <w:szCs w:val="18"/>
              </w:rPr>
            </w:pPr>
            <w:r>
              <w:rPr>
                <w:color w:val="000000"/>
                <w:sz w:val="18"/>
                <w:szCs w:val="18"/>
              </w:rPr>
              <w:t>(0,41, 0,71)</w:t>
            </w:r>
          </w:p>
        </w:tc>
        <w:tc>
          <w:tcPr>
            <w:tcW w:w="567" w:type="dxa"/>
          </w:tcPr>
          <w:p w14:paraId="78851F97" w14:textId="77777777" w:rsidR="008F0A77" w:rsidRDefault="008F0A77" w:rsidP="00EF6B7D">
            <w:pPr>
              <w:jc w:val="center"/>
              <w:rPr>
                <w:sz w:val="18"/>
                <w:szCs w:val="18"/>
              </w:rPr>
            </w:pPr>
            <w:r>
              <w:rPr>
                <w:sz w:val="18"/>
                <w:szCs w:val="18"/>
              </w:rPr>
              <w:t>59</w:t>
            </w:r>
          </w:p>
        </w:tc>
        <w:tc>
          <w:tcPr>
            <w:tcW w:w="709" w:type="dxa"/>
          </w:tcPr>
          <w:p w14:paraId="2619D6A6" w14:textId="77777777" w:rsidR="008F0A77" w:rsidRDefault="008F0A77" w:rsidP="00EF6B7D">
            <w:pPr>
              <w:jc w:val="center"/>
              <w:rPr>
                <w:sz w:val="18"/>
                <w:szCs w:val="18"/>
              </w:rPr>
            </w:pPr>
            <w:r>
              <w:rPr>
                <w:color w:val="262626"/>
                <w:sz w:val="18"/>
                <w:szCs w:val="18"/>
              </w:rPr>
              <w:t>0.43</w:t>
            </w:r>
          </w:p>
        </w:tc>
        <w:tc>
          <w:tcPr>
            <w:tcW w:w="1417" w:type="dxa"/>
          </w:tcPr>
          <w:p w14:paraId="484C5C45" w14:textId="77777777" w:rsidR="008F0A77" w:rsidRDefault="008F0A77" w:rsidP="00EF6B7D">
            <w:pPr>
              <w:jc w:val="center"/>
              <w:rPr>
                <w:color w:val="262626"/>
                <w:sz w:val="18"/>
                <w:szCs w:val="18"/>
              </w:rPr>
            </w:pPr>
            <w:r>
              <w:rPr>
                <w:sz w:val="18"/>
                <w:szCs w:val="18"/>
              </w:rPr>
              <w:t>(0.25; 0.64)</w:t>
            </w:r>
          </w:p>
        </w:tc>
      </w:tr>
      <w:tr w:rsidR="008F0A77" w14:paraId="505DAD42" w14:textId="77777777" w:rsidTr="00EF6B7D">
        <w:trPr>
          <w:trHeight w:val="279"/>
          <w:jc w:val="center"/>
        </w:trPr>
        <w:tc>
          <w:tcPr>
            <w:tcW w:w="2122" w:type="dxa"/>
          </w:tcPr>
          <w:p w14:paraId="2CDB5399" w14:textId="77777777" w:rsidR="008F0A77" w:rsidRDefault="008F0A77" w:rsidP="00EF6B7D">
            <w:pPr>
              <w:jc w:val="center"/>
              <w:rPr>
                <w:sz w:val="18"/>
                <w:szCs w:val="18"/>
              </w:rPr>
            </w:pPr>
            <w:r>
              <w:rPr>
                <w:sz w:val="18"/>
                <w:szCs w:val="18"/>
              </w:rPr>
              <w:t>31</w:t>
            </w:r>
          </w:p>
        </w:tc>
        <w:tc>
          <w:tcPr>
            <w:tcW w:w="567" w:type="dxa"/>
          </w:tcPr>
          <w:p w14:paraId="7522F0E4" w14:textId="77777777" w:rsidR="008F0A77" w:rsidRDefault="008F0A77" w:rsidP="00EF6B7D">
            <w:pPr>
              <w:jc w:val="center"/>
              <w:rPr>
                <w:sz w:val="18"/>
                <w:szCs w:val="18"/>
              </w:rPr>
            </w:pPr>
            <w:r>
              <w:rPr>
                <w:sz w:val="18"/>
                <w:szCs w:val="18"/>
              </w:rPr>
              <w:t>60</w:t>
            </w:r>
          </w:p>
        </w:tc>
        <w:tc>
          <w:tcPr>
            <w:tcW w:w="708" w:type="dxa"/>
          </w:tcPr>
          <w:p w14:paraId="588052A3" w14:textId="77777777" w:rsidR="008F0A77" w:rsidRDefault="008F0A77" w:rsidP="00EF6B7D">
            <w:pPr>
              <w:jc w:val="center"/>
              <w:rPr>
                <w:sz w:val="18"/>
                <w:szCs w:val="18"/>
              </w:rPr>
            </w:pPr>
            <w:r>
              <w:rPr>
                <w:color w:val="000000"/>
                <w:sz w:val="18"/>
                <w:szCs w:val="18"/>
              </w:rPr>
              <w:t>0,41 </w:t>
            </w:r>
          </w:p>
        </w:tc>
        <w:tc>
          <w:tcPr>
            <w:tcW w:w="1276" w:type="dxa"/>
            <w:vAlign w:val="center"/>
          </w:tcPr>
          <w:p w14:paraId="4DEF2223" w14:textId="77777777" w:rsidR="008F0A77" w:rsidRDefault="008F0A77" w:rsidP="00EF6B7D">
            <w:pPr>
              <w:jc w:val="center"/>
              <w:rPr>
                <w:sz w:val="18"/>
                <w:szCs w:val="18"/>
              </w:rPr>
            </w:pPr>
            <w:r>
              <w:rPr>
                <w:color w:val="000000"/>
                <w:sz w:val="18"/>
                <w:szCs w:val="18"/>
              </w:rPr>
              <w:t>(0,21, 0,65)</w:t>
            </w:r>
          </w:p>
        </w:tc>
        <w:tc>
          <w:tcPr>
            <w:tcW w:w="567" w:type="dxa"/>
          </w:tcPr>
          <w:p w14:paraId="69FD7A45" w14:textId="77777777" w:rsidR="008F0A77" w:rsidRDefault="008F0A77" w:rsidP="00EF6B7D">
            <w:pPr>
              <w:jc w:val="center"/>
              <w:rPr>
                <w:sz w:val="18"/>
                <w:szCs w:val="18"/>
              </w:rPr>
            </w:pPr>
            <w:r>
              <w:rPr>
                <w:sz w:val="18"/>
                <w:szCs w:val="18"/>
              </w:rPr>
              <w:t>56</w:t>
            </w:r>
          </w:p>
        </w:tc>
        <w:tc>
          <w:tcPr>
            <w:tcW w:w="709" w:type="dxa"/>
          </w:tcPr>
          <w:p w14:paraId="3C4895F0" w14:textId="77777777" w:rsidR="008F0A77" w:rsidRDefault="008F0A77" w:rsidP="00EF6B7D">
            <w:pPr>
              <w:jc w:val="center"/>
              <w:rPr>
                <w:sz w:val="18"/>
                <w:szCs w:val="18"/>
              </w:rPr>
            </w:pPr>
            <w:r>
              <w:rPr>
                <w:sz w:val="18"/>
                <w:szCs w:val="18"/>
              </w:rPr>
              <w:t>0.45</w:t>
            </w:r>
          </w:p>
        </w:tc>
        <w:tc>
          <w:tcPr>
            <w:tcW w:w="1417" w:type="dxa"/>
          </w:tcPr>
          <w:p w14:paraId="47ACEF1B" w14:textId="77777777" w:rsidR="008F0A77" w:rsidRDefault="008F0A77" w:rsidP="00EF6B7D">
            <w:pPr>
              <w:jc w:val="center"/>
              <w:rPr>
                <w:color w:val="262626"/>
                <w:sz w:val="18"/>
                <w:szCs w:val="18"/>
              </w:rPr>
            </w:pPr>
            <w:r>
              <w:rPr>
                <w:sz w:val="18"/>
                <w:szCs w:val="18"/>
              </w:rPr>
              <w:t>(0.26; 0.65)</w:t>
            </w:r>
          </w:p>
        </w:tc>
      </w:tr>
      <w:tr w:rsidR="008F0A77" w14:paraId="3DE25756" w14:textId="77777777" w:rsidTr="00EF6B7D">
        <w:trPr>
          <w:trHeight w:val="279"/>
          <w:jc w:val="center"/>
        </w:trPr>
        <w:tc>
          <w:tcPr>
            <w:tcW w:w="2122" w:type="dxa"/>
            <w:tcBorders>
              <w:bottom w:val="single" w:sz="4" w:space="0" w:color="000000"/>
            </w:tcBorders>
          </w:tcPr>
          <w:p w14:paraId="34CC9DA3" w14:textId="77777777" w:rsidR="008F0A77" w:rsidRDefault="008F0A77" w:rsidP="00EF6B7D">
            <w:pPr>
              <w:jc w:val="center"/>
              <w:rPr>
                <w:sz w:val="18"/>
                <w:szCs w:val="18"/>
              </w:rPr>
            </w:pPr>
            <w:r>
              <w:rPr>
                <w:sz w:val="18"/>
                <w:szCs w:val="18"/>
              </w:rPr>
              <w:t>32</w:t>
            </w:r>
          </w:p>
        </w:tc>
        <w:tc>
          <w:tcPr>
            <w:tcW w:w="567" w:type="dxa"/>
            <w:tcBorders>
              <w:bottom w:val="single" w:sz="4" w:space="0" w:color="000000"/>
            </w:tcBorders>
          </w:tcPr>
          <w:p w14:paraId="28C835D5" w14:textId="77777777" w:rsidR="008F0A77" w:rsidRDefault="008F0A77" w:rsidP="00EF6B7D">
            <w:pPr>
              <w:jc w:val="center"/>
              <w:rPr>
                <w:sz w:val="18"/>
                <w:szCs w:val="18"/>
              </w:rPr>
            </w:pPr>
            <w:r>
              <w:rPr>
                <w:sz w:val="18"/>
                <w:szCs w:val="18"/>
              </w:rPr>
              <w:t>53</w:t>
            </w:r>
          </w:p>
        </w:tc>
        <w:tc>
          <w:tcPr>
            <w:tcW w:w="708" w:type="dxa"/>
            <w:tcBorders>
              <w:bottom w:val="single" w:sz="4" w:space="0" w:color="000000"/>
            </w:tcBorders>
          </w:tcPr>
          <w:p w14:paraId="23C5E806" w14:textId="77777777" w:rsidR="008F0A77" w:rsidRDefault="008F0A77" w:rsidP="00EF6B7D">
            <w:pPr>
              <w:jc w:val="center"/>
              <w:rPr>
                <w:sz w:val="18"/>
                <w:szCs w:val="18"/>
              </w:rPr>
            </w:pPr>
            <w:r>
              <w:rPr>
                <w:color w:val="000000"/>
                <w:sz w:val="18"/>
                <w:szCs w:val="18"/>
              </w:rPr>
              <w:t>0,59 </w:t>
            </w:r>
          </w:p>
        </w:tc>
        <w:tc>
          <w:tcPr>
            <w:tcW w:w="1276" w:type="dxa"/>
            <w:tcBorders>
              <w:bottom w:val="single" w:sz="4" w:space="0" w:color="000000"/>
            </w:tcBorders>
            <w:vAlign w:val="center"/>
          </w:tcPr>
          <w:p w14:paraId="7A62F821" w14:textId="77777777" w:rsidR="008F0A77" w:rsidRDefault="008F0A77" w:rsidP="00EF6B7D">
            <w:pPr>
              <w:jc w:val="center"/>
              <w:rPr>
                <w:sz w:val="18"/>
                <w:szCs w:val="18"/>
              </w:rPr>
            </w:pPr>
            <w:r>
              <w:rPr>
                <w:color w:val="000000"/>
                <w:sz w:val="18"/>
                <w:szCs w:val="18"/>
              </w:rPr>
              <w:t>(0,44, 0,73)</w:t>
            </w:r>
          </w:p>
        </w:tc>
        <w:tc>
          <w:tcPr>
            <w:tcW w:w="567" w:type="dxa"/>
            <w:tcBorders>
              <w:bottom w:val="single" w:sz="4" w:space="0" w:color="000000"/>
            </w:tcBorders>
          </w:tcPr>
          <w:p w14:paraId="41D614E8" w14:textId="77777777" w:rsidR="008F0A77" w:rsidRDefault="008F0A77" w:rsidP="00EF6B7D">
            <w:pPr>
              <w:jc w:val="center"/>
              <w:rPr>
                <w:sz w:val="18"/>
                <w:szCs w:val="18"/>
              </w:rPr>
            </w:pPr>
            <w:r>
              <w:rPr>
                <w:sz w:val="18"/>
                <w:szCs w:val="18"/>
              </w:rPr>
              <w:t>41</w:t>
            </w:r>
          </w:p>
        </w:tc>
        <w:tc>
          <w:tcPr>
            <w:tcW w:w="709" w:type="dxa"/>
            <w:tcBorders>
              <w:bottom w:val="single" w:sz="4" w:space="0" w:color="000000"/>
            </w:tcBorders>
          </w:tcPr>
          <w:p w14:paraId="4CECD921" w14:textId="77777777" w:rsidR="008F0A77" w:rsidRDefault="008F0A77" w:rsidP="00EF6B7D">
            <w:pPr>
              <w:jc w:val="center"/>
              <w:rPr>
                <w:sz w:val="18"/>
                <w:szCs w:val="18"/>
              </w:rPr>
            </w:pPr>
            <w:r>
              <w:rPr>
                <w:sz w:val="18"/>
                <w:szCs w:val="18"/>
              </w:rPr>
              <w:t>0.26</w:t>
            </w:r>
          </w:p>
        </w:tc>
        <w:tc>
          <w:tcPr>
            <w:tcW w:w="1417" w:type="dxa"/>
            <w:tcBorders>
              <w:bottom w:val="single" w:sz="4" w:space="0" w:color="000000"/>
            </w:tcBorders>
          </w:tcPr>
          <w:p w14:paraId="3552A074" w14:textId="77777777" w:rsidR="008F0A77" w:rsidRDefault="008F0A77" w:rsidP="00EF6B7D">
            <w:pPr>
              <w:jc w:val="center"/>
              <w:rPr>
                <w:color w:val="262626"/>
                <w:sz w:val="18"/>
                <w:szCs w:val="18"/>
              </w:rPr>
            </w:pPr>
            <w:r>
              <w:rPr>
                <w:sz w:val="18"/>
                <w:szCs w:val="18"/>
              </w:rPr>
              <w:t>(0.09; 0.55)</w:t>
            </w:r>
          </w:p>
        </w:tc>
      </w:tr>
      <w:tr w:rsidR="008F0A77" w14:paraId="4FC5BDD0" w14:textId="77777777" w:rsidTr="00EF6B7D">
        <w:trPr>
          <w:trHeight w:val="279"/>
          <w:jc w:val="center"/>
        </w:trPr>
        <w:tc>
          <w:tcPr>
            <w:tcW w:w="2122" w:type="dxa"/>
            <w:tcBorders>
              <w:top w:val="single" w:sz="4" w:space="0" w:color="000000"/>
            </w:tcBorders>
          </w:tcPr>
          <w:p w14:paraId="2F3D45E0" w14:textId="77777777" w:rsidR="008F0A77" w:rsidRDefault="008F0A77" w:rsidP="00EF6B7D">
            <w:pPr>
              <w:jc w:val="center"/>
              <w:rPr>
                <w:b/>
                <w:sz w:val="18"/>
                <w:szCs w:val="18"/>
              </w:rPr>
            </w:pPr>
            <w:r>
              <w:rPr>
                <w:b/>
                <w:sz w:val="18"/>
                <w:szCs w:val="18"/>
              </w:rPr>
              <w:t>Factor 2. Involvement</w:t>
            </w:r>
          </w:p>
        </w:tc>
        <w:tc>
          <w:tcPr>
            <w:tcW w:w="567" w:type="dxa"/>
            <w:tcBorders>
              <w:top w:val="single" w:sz="4" w:space="0" w:color="000000"/>
            </w:tcBorders>
          </w:tcPr>
          <w:p w14:paraId="5CAE6EBA" w14:textId="77777777" w:rsidR="008F0A77" w:rsidRDefault="008F0A77" w:rsidP="00EF6B7D">
            <w:pPr>
              <w:jc w:val="center"/>
              <w:rPr>
                <w:b/>
                <w:sz w:val="18"/>
                <w:szCs w:val="18"/>
              </w:rPr>
            </w:pPr>
            <w:r>
              <w:rPr>
                <w:b/>
                <w:sz w:val="18"/>
                <w:szCs w:val="18"/>
              </w:rPr>
              <w:t>63</w:t>
            </w:r>
          </w:p>
        </w:tc>
        <w:tc>
          <w:tcPr>
            <w:tcW w:w="708" w:type="dxa"/>
            <w:tcBorders>
              <w:top w:val="single" w:sz="4" w:space="0" w:color="000000"/>
            </w:tcBorders>
          </w:tcPr>
          <w:p w14:paraId="2ADAB2EF" w14:textId="77777777" w:rsidR="008F0A77" w:rsidRDefault="008F0A77" w:rsidP="00EF6B7D">
            <w:pPr>
              <w:jc w:val="center"/>
              <w:rPr>
                <w:b/>
                <w:sz w:val="18"/>
                <w:szCs w:val="18"/>
              </w:rPr>
            </w:pPr>
            <w:r>
              <w:rPr>
                <w:b/>
                <w:sz w:val="18"/>
                <w:szCs w:val="18"/>
              </w:rPr>
              <w:t xml:space="preserve">0.66 </w:t>
            </w:r>
          </w:p>
        </w:tc>
        <w:tc>
          <w:tcPr>
            <w:tcW w:w="1276" w:type="dxa"/>
            <w:tcBorders>
              <w:top w:val="single" w:sz="4" w:space="0" w:color="000000"/>
            </w:tcBorders>
          </w:tcPr>
          <w:p w14:paraId="230F3ABD" w14:textId="77777777" w:rsidR="008F0A77" w:rsidRDefault="008F0A77" w:rsidP="00EF6B7D">
            <w:pPr>
              <w:jc w:val="center"/>
              <w:rPr>
                <w:b/>
                <w:sz w:val="18"/>
                <w:szCs w:val="18"/>
              </w:rPr>
            </w:pPr>
            <w:r>
              <w:rPr>
                <w:b/>
                <w:sz w:val="18"/>
                <w:szCs w:val="18"/>
              </w:rPr>
              <w:t>(0.53-0.77)</w:t>
            </w:r>
          </w:p>
        </w:tc>
        <w:tc>
          <w:tcPr>
            <w:tcW w:w="567" w:type="dxa"/>
            <w:tcBorders>
              <w:top w:val="single" w:sz="4" w:space="0" w:color="000000"/>
            </w:tcBorders>
          </w:tcPr>
          <w:p w14:paraId="1A4D3C2E" w14:textId="77777777" w:rsidR="008F0A77" w:rsidRDefault="008F0A77" w:rsidP="00EF6B7D">
            <w:pPr>
              <w:jc w:val="center"/>
              <w:rPr>
                <w:b/>
                <w:sz w:val="18"/>
                <w:szCs w:val="18"/>
              </w:rPr>
            </w:pPr>
            <w:r>
              <w:rPr>
                <w:b/>
                <w:sz w:val="18"/>
                <w:szCs w:val="18"/>
              </w:rPr>
              <w:t>65</w:t>
            </w:r>
          </w:p>
        </w:tc>
        <w:tc>
          <w:tcPr>
            <w:tcW w:w="709" w:type="dxa"/>
            <w:tcBorders>
              <w:top w:val="single" w:sz="4" w:space="0" w:color="000000"/>
            </w:tcBorders>
          </w:tcPr>
          <w:p w14:paraId="200A6A2F" w14:textId="77777777" w:rsidR="008F0A77" w:rsidRDefault="008F0A77" w:rsidP="00EF6B7D">
            <w:pPr>
              <w:jc w:val="center"/>
              <w:rPr>
                <w:b/>
                <w:sz w:val="18"/>
                <w:szCs w:val="18"/>
              </w:rPr>
            </w:pPr>
            <w:r>
              <w:rPr>
                <w:b/>
                <w:sz w:val="18"/>
                <w:szCs w:val="18"/>
              </w:rPr>
              <w:t xml:space="preserve">0.65 </w:t>
            </w:r>
          </w:p>
        </w:tc>
        <w:tc>
          <w:tcPr>
            <w:tcW w:w="1417" w:type="dxa"/>
            <w:tcBorders>
              <w:top w:val="single" w:sz="4" w:space="0" w:color="000000"/>
            </w:tcBorders>
          </w:tcPr>
          <w:p w14:paraId="4A984CC3" w14:textId="77777777" w:rsidR="008F0A77" w:rsidRDefault="008F0A77" w:rsidP="00EF6B7D">
            <w:pPr>
              <w:jc w:val="center"/>
              <w:rPr>
                <w:b/>
                <w:color w:val="262626"/>
                <w:sz w:val="18"/>
                <w:szCs w:val="18"/>
              </w:rPr>
            </w:pPr>
            <w:r>
              <w:rPr>
                <w:b/>
                <w:sz w:val="18"/>
                <w:szCs w:val="18"/>
              </w:rPr>
              <w:t>(0.50–0.70)</w:t>
            </w:r>
          </w:p>
        </w:tc>
      </w:tr>
      <w:tr w:rsidR="008F0A77" w14:paraId="36647E38" w14:textId="77777777" w:rsidTr="00EF6B7D">
        <w:trPr>
          <w:trHeight w:val="279"/>
          <w:jc w:val="center"/>
        </w:trPr>
        <w:tc>
          <w:tcPr>
            <w:tcW w:w="2122" w:type="dxa"/>
          </w:tcPr>
          <w:p w14:paraId="700FC0C2" w14:textId="77777777" w:rsidR="008F0A77" w:rsidRDefault="008F0A77" w:rsidP="00EF6B7D">
            <w:pPr>
              <w:jc w:val="center"/>
              <w:rPr>
                <w:sz w:val="18"/>
                <w:szCs w:val="18"/>
              </w:rPr>
            </w:pPr>
            <w:r>
              <w:rPr>
                <w:sz w:val="18"/>
                <w:szCs w:val="18"/>
              </w:rPr>
              <w:t>22</w:t>
            </w:r>
          </w:p>
        </w:tc>
        <w:tc>
          <w:tcPr>
            <w:tcW w:w="567" w:type="dxa"/>
          </w:tcPr>
          <w:p w14:paraId="2762B768" w14:textId="77777777" w:rsidR="008F0A77" w:rsidRDefault="008F0A77" w:rsidP="00EF6B7D">
            <w:pPr>
              <w:jc w:val="center"/>
              <w:rPr>
                <w:sz w:val="18"/>
                <w:szCs w:val="18"/>
              </w:rPr>
            </w:pPr>
            <w:r>
              <w:rPr>
                <w:sz w:val="18"/>
                <w:szCs w:val="18"/>
              </w:rPr>
              <w:t>57</w:t>
            </w:r>
          </w:p>
        </w:tc>
        <w:tc>
          <w:tcPr>
            <w:tcW w:w="708" w:type="dxa"/>
          </w:tcPr>
          <w:p w14:paraId="1122DE09" w14:textId="77777777" w:rsidR="008F0A77" w:rsidRDefault="008F0A77" w:rsidP="00EF6B7D">
            <w:pPr>
              <w:jc w:val="center"/>
              <w:rPr>
                <w:sz w:val="18"/>
                <w:szCs w:val="18"/>
              </w:rPr>
            </w:pPr>
            <w:r>
              <w:rPr>
                <w:color w:val="000000"/>
                <w:sz w:val="18"/>
                <w:szCs w:val="18"/>
              </w:rPr>
              <w:t>0,54 </w:t>
            </w:r>
          </w:p>
        </w:tc>
        <w:tc>
          <w:tcPr>
            <w:tcW w:w="1276" w:type="dxa"/>
            <w:vAlign w:val="center"/>
          </w:tcPr>
          <w:p w14:paraId="01ACBD2A" w14:textId="77777777" w:rsidR="008F0A77" w:rsidRDefault="008F0A77" w:rsidP="00EF6B7D">
            <w:pPr>
              <w:jc w:val="center"/>
              <w:rPr>
                <w:sz w:val="18"/>
                <w:szCs w:val="18"/>
              </w:rPr>
            </w:pPr>
            <w:r>
              <w:rPr>
                <w:color w:val="000000"/>
                <w:sz w:val="18"/>
                <w:szCs w:val="18"/>
              </w:rPr>
              <w:t>(0,37, 0,70)</w:t>
            </w:r>
          </w:p>
        </w:tc>
        <w:tc>
          <w:tcPr>
            <w:tcW w:w="567" w:type="dxa"/>
          </w:tcPr>
          <w:p w14:paraId="5AE1A915" w14:textId="77777777" w:rsidR="008F0A77" w:rsidRDefault="008F0A77" w:rsidP="00EF6B7D">
            <w:pPr>
              <w:jc w:val="center"/>
              <w:rPr>
                <w:sz w:val="18"/>
                <w:szCs w:val="18"/>
              </w:rPr>
            </w:pPr>
            <w:r>
              <w:rPr>
                <w:sz w:val="18"/>
                <w:szCs w:val="18"/>
              </w:rPr>
              <w:t>39</w:t>
            </w:r>
          </w:p>
        </w:tc>
        <w:tc>
          <w:tcPr>
            <w:tcW w:w="709" w:type="dxa"/>
          </w:tcPr>
          <w:p w14:paraId="1E2066A5" w14:textId="77777777" w:rsidR="008F0A77" w:rsidRDefault="008F0A77" w:rsidP="00EF6B7D">
            <w:pPr>
              <w:jc w:val="center"/>
              <w:rPr>
                <w:sz w:val="18"/>
                <w:szCs w:val="18"/>
              </w:rPr>
            </w:pPr>
            <w:r>
              <w:rPr>
                <w:color w:val="262626"/>
                <w:sz w:val="18"/>
                <w:szCs w:val="18"/>
              </w:rPr>
              <w:t>0.44</w:t>
            </w:r>
          </w:p>
        </w:tc>
        <w:tc>
          <w:tcPr>
            <w:tcW w:w="1417" w:type="dxa"/>
          </w:tcPr>
          <w:p w14:paraId="5C0E9484" w14:textId="77777777" w:rsidR="008F0A77" w:rsidRDefault="008F0A77" w:rsidP="00EF6B7D">
            <w:pPr>
              <w:jc w:val="center"/>
              <w:rPr>
                <w:color w:val="262626"/>
                <w:sz w:val="18"/>
                <w:szCs w:val="18"/>
              </w:rPr>
            </w:pPr>
            <w:r>
              <w:rPr>
                <w:sz w:val="18"/>
                <w:szCs w:val="18"/>
              </w:rPr>
              <w:t>(0.22; 0.68)</w:t>
            </w:r>
          </w:p>
        </w:tc>
      </w:tr>
      <w:tr w:rsidR="008F0A77" w14:paraId="572642B0" w14:textId="77777777" w:rsidTr="00EF6B7D">
        <w:trPr>
          <w:trHeight w:val="279"/>
          <w:jc w:val="center"/>
        </w:trPr>
        <w:tc>
          <w:tcPr>
            <w:tcW w:w="2122" w:type="dxa"/>
          </w:tcPr>
          <w:p w14:paraId="484B0442" w14:textId="77777777" w:rsidR="008F0A77" w:rsidRDefault="008F0A77" w:rsidP="00EF6B7D">
            <w:pPr>
              <w:jc w:val="center"/>
              <w:rPr>
                <w:sz w:val="18"/>
                <w:szCs w:val="18"/>
              </w:rPr>
            </w:pPr>
            <w:r>
              <w:rPr>
                <w:sz w:val="18"/>
                <w:szCs w:val="18"/>
              </w:rPr>
              <w:t>23</w:t>
            </w:r>
          </w:p>
        </w:tc>
        <w:tc>
          <w:tcPr>
            <w:tcW w:w="567" w:type="dxa"/>
          </w:tcPr>
          <w:p w14:paraId="00EF309F" w14:textId="77777777" w:rsidR="008F0A77" w:rsidRDefault="008F0A77" w:rsidP="00EF6B7D">
            <w:pPr>
              <w:jc w:val="center"/>
              <w:rPr>
                <w:sz w:val="18"/>
                <w:szCs w:val="18"/>
              </w:rPr>
            </w:pPr>
            <w:r>
              <w:rPr>
                <w:sz w:val="18"/>
                <w:szCs w:val="18"/>
              </w:rPr>
              <w:t>56</w:t>
            </w:r>
          </w:p>
        </w:tc>
        <w:tc>
          <w:tcPr>
            <w:tcW w:w="708" w:type="dxa"/>
          </w:tcPr>
          <w:p w14:paraId="7328F2AA" w14:textId="77777777" w:rsidR="008F0A77" w:rsidRDefault="008F0A77" w:rsidP="00EF6B7D">
            <w:pPr>
              <w:jc w:val="center"/>
              <w:rPr>
                <w:sz w:val="18"/>
                <w:szCs w:val="18"/>
              </w:rPr>
            </w:pPr>
            <w:r>
              <w:rPr>
                <w:color w:val="000000"/>
                <w:sz w:val="18"/>
                <w:szCs w:val="18"/>
              </w:rPr>
              <w:t>0,58 </w:t>
            </w:r>
          </w:p>
        </w:tc>
        <w:tc>
          <w:tcPr>
            <w:tcW w:w="1276" w:type="dxa"/>
            <w:vAlign w:val="center"/>
          </w:tcPr>
          <w:p w14:paraId="04F258BA" w14:textId="77777777" w:rsidR="008F0A77" w:rsidRDefault="008F0A77" w:rsidP="00EF6B7D">
            <w:pPr>
              <w:jc w:val="center"/>
              <w:rPr>
                <w:sz w:val="18"/>
                <w:szCs w:val="18"/>
              </w:rPr>
            </w:pPr>
            <w:r>
              <w:rPr>
                <w:color w:val="000000"/>
                <w:sz w:val="18"/>
                <w:szCs w:val="18"/>
              </w:rPr>
              <w:t>(0,41, 0,74)</w:t>
            </w:r>
          </w:p>
        </w:tc>
        <w:tc>
          <w:tcPr>
            <w:tcW w:w="567" w:type="dxa"/>
          </w:tcPr>
          <w:p w14:paraId="6042850D" w14:textId="77777777" w:rsidR="008F0A77" w:rsidRDefault="008F0A77" w:rsidP="00EF6B7D">
            <w:pPr>
              <w:jc w:val="center"/>
              <w:rPr>
                <w:sz w:val="18"/>
                <w:szCs w:val="18"/>
              </w:rPr>
            </w:pPr>
            <w:r>
              <w:rPr>
                <w:sz w:val="18"/>
                <w:szCs w:val="18"/>
              </w:rPr>
              <w:t>41</w:t>
            </w:r>
          </w:p>
        </w:tc>
        <w:tc>
          <w:tcPr>
            <w:tcW w:w="709" w:type="dxa"/>
          </w:tcPr>
          <w:p w14:paraId="72F72760" w14:textId="77777777" w:rsidR="008F0A77" w:rsidRDefault="008F0A77" w:rsidP="00EF6B7D">
            <w:pPr>
              <w:jc w:val="center"/>
              <w:rPr>
                <w:sz w:val="18"/>
                <w:szCs w:val="18"/>
              </w:rPr>
            </w:pPr>
            <w:r>
              <w:rPr>
                <w:color w:val="262626"/>
                <w:sz w:val="18"/>
                <w:szCs w:val="18"/>
              </w:rPr>
              <w:t>0.13</w:t>
            </w:r>
          </w:p>
        </w:tc>
        <w:tc>
          <w:tcPr>
            <w:tcW w:w="1417" w:type="dxa"/>
          </w:tcPr>
          <w:p w14:paraId="0EAE7E0C" w14:textId="77777777" w:rsidR="008F0A77" w:rsidRDefault="008F0A77" w:rsidP="00EF6B7D">
            <w:pPr>
              <w:jc w:val="center"/>
              <w:rPr>
                <w:color w:val="262626"/>
                <w:sz w:val="18"/>
                <w:szCs w:val="18"/>
              </w:rPr>
            </w:pPr>
            <w:r>
              <w:rPr>
                <w:sz w:val="18"/>
                <w:szCs w:val="18"/>
              </w:rPr>
              <w:t>(0.01; 0.72)</w:t>
            </w:r>
          </w:p>
        </w:tc>
      </w:tr>
      <w:tr w:rsidR="008F0A77" w14:paraId="093086D2" w14:textId="77777777" w:rsidTr="00EF6B7D">
        <w:trPr>
          <w:trHeight w:val="279"/>
          <w:jc w:val="center"/>
        </w:trPr>
        <w:tc>
          <w:tcPr>
            <w:tcW w:w="2122" w:type="dxa"/>
          </w:tcPr>
          <w:p w14:paraId="71D939D8" w14:textId="77777777" w:rsidR="008F0A77" w:rsidRDefault="008F0A77" w:rsidP="00EF6B7D">
            <w:pPr>
              <w:jc w:val="center"/>
              <w:rPr>
                <w:sz w:val="18"/>
                <w:szCs w:val="18"/>
              </w:rPr>
            </w:pPr>
            <w:r>
              <w:rPr>
                <w:sz w:val="18"/>
                <w:szCs w:val="18"/>
              </w:rPr>
              <w:t>24</w:t>
            </w:r>
          </w:p>
        </w:tc>
        <w:tc>
          <w:tcPr>
            <w:tcW w:w="567" w:type="dxa"/>
          </w:tcPr>
          <w:p w14:paraId="358D007E" w14:textId="77777777" w:rsidR="008F0A77" w:rsidRDefault="008F0A77" w:rsidP="00EF6B7D">
            <w:pPr>
              <w:jc w:val="center"/>
              <w:rPr>
                <w:sz w:val="18"/>
                <w:szCs w:val="18"/>
              </w:rPr>
            </w:pPr>
            <w:r>
              <w:rPr>
                <w:sz w:val="18"/>
                <w:szCs w:val="18"/>
              </w:rPr>
              <w:t>54</w:t>
            </w:r>
          </w:p>
        </w:tc>
        <w:tc>
          <w:tcPr>
            <w:tcW w:w="708" w:type="dxa"/>
          </w:tcPr>
          <w:p w14:paraId="7D58A056" w14:textId="77777777" w:rsidR="008F0A77" w:rsidRDefault="008F0A77" w:rsidP="00EF6B7D">
            <w:pPr>
              <w:jc w:val="center"/>
              <w:rPr>
                <w:sz w:val="18"/>
                <w:szCs w:val="18"/>
              </w:rPr>
            </w:pPr>
            <w:r>
              <w:rPr>
                <w:color w:val="000000"/>
                <w:sz w:val="18"/>
                <w:szCs w:val="18"/>
              </w:rPr>
              <w:t>0,45 </w:t>
            </w:r>
          </w:p>
        </w:tc>
        <w:tc>
          <w:tcPr>
            <w:tcW w:w="1276" w:type="dxa"/>
            <w:vAlign w:val="center"/>
          </w:tcPr>
          <w:p w14:paraId="4C0BF6C8" w14:textId="77777777" w:rsidR="008F0A77" w:rsidRDefault="008F0A77" w:rsidP="00EF6B7D">
            <w:pPr>
              <w:jc w:val="center"/>
              <w:rPr>
                <w:sz w:val="18"/>
                <w:szCs w:val="18"/>
              </w:rPr>
            </w:pPr>
            <w:r>
              <w:rPr>
                <w:color w:val="000000"/>
                <w:sz w:val="18"/>
                <w:szCs w:val="18"/>
              </w:rPr>
              <w:t>(0,27, 0,64)</w:t>
            </w:r>
          </w:p>
        </w:tc>
        <w:tc>
          <w:tcPr>
            <w:tcW w:w="567" w:type="dxa"/>
          </w:tcPr>
          <w:p w14:paraId="02073419" w14:textId="77777777" w:rsidR="008F0A77" w:rsidRDefault="008F0A77" w:rsidP="00EF6B7D">
            <w:pPr>
              <w:jc w:val="center"/>
              <w:rPr>
                <w:sz w:val="18"/>
                <w:szCs w:val="18"/>
              </w:rPr>
            </w:pPr>
            <w:r>
              <w:rPr>
                <w:sz w:val="18"/>
                <w:szCs w:val="18"/>
              </w:rPr>
              <w:t>30</w:t>
            </w:r>
          </w:p>
        </w:tc>
        <w:tc>
          <w:tcPr>
            <w:tcW w:w="709" w:type="dxa"/>
          </w:tcPr>
          <w:p w14:paraId="69664399" w14:textId="77777777" w:rsidR="008F0A77" w:rsidRDefault="008F0A77" w:rsidP="00EF6B7D">
            <w:pPr>
              <w:jc w:val="center"/>
              <w:rPr>
                <w:sz w:val="18"/>
                <w:szCs w:val="18"/>
              </w:rPr>
            </w:pPr>
            <w:r>
              <w:rPr>
                <w:color w:val="262626"/>
                <w:sz w:val="18"/>
                <w:szCs w:val="18"/>
              </w:rPr>
              <w:t>0.43</w:t>
            </w:r>
          </w:p>
        </w:tc>
        <w:tc>
          <w:tcPr>
            <w:tcW w:w="1417" w:type="dxa"/>
          </w:tcPr>
          <w:p w14:paraId="133C3E59" w14:textId="77777777" w:rsidR="008F0A77" w:rsidRDefault="008F0A77" w:rsidP="00EF6B7D">
            <w:pPr>
              <w:jc w:val="center"/>
              <w:rPr>
                <w:color w:val="262626"/>
                <w:sz w:val="18"/>
                <w:szCs w:val="18"/>
              </w:rPr>
            </w:pPr>
            <w:r>
              <w:rPr>
                <w:sz w:val="18"/>
                <w:szCs w:val="18"/>
              </w:rPr>
              <w:t>(0.18; 0.72)</w:t>
            </w:r>
          </w:p>
        </w:tc>
      </w:tr>
      <w:tr w:rsidR="008F0A77" w14:paraId="535725DE" w14:textId="77777777" w:rsidTr="00EF6B7D">
        <w:trPr>
          <w:trHeight w:val="279"/>
          <w:jc w:val="center"/>
        </w:trPr>
        <w:tc>
          <w:tcPr>
            <w:tcW w:w="2122" w:type="dxa"/>
          </w:tcPr>
          <w:p w14:paraId="25B0D964" w14:textId="77777777" w:rsidR="008F0A77" w:rsidRDefault="008F0A77" w:rsidP="00EF6B7D">
            <w:pPr>
              <w:jc w:val="center"/>
              <w:rPr>
                <w:sz w:val="18"/>
                <w:szCs w:val="18"/>
              </w:rPr>
            </w:pPr>
            <w:r>
              <w:rPr>
                <w:sz w:val="18"/>
                <w:szCs w:val="18"/>
              </w:rPr>
              <w:t>25</w:t>
            </w:r>
          </w:p>
        </w:tc>
        <w:tc>
          <w:tcPr>
            <w:tcW w:w="567" w:type="dxa"/>
          </w:tcPr>
          <w:p w14:paraId="0C90A686" w14:textId="77777777" w:rsidR="008F0A77" w:rsidRDefault="008F0A77" w:rsidP="00EF6B7D">
            <w:pPr>
              <w:jc w:val="center"/>
              <w:rPr>
                <w:sz w:val="18"/>
                <w:szCs w:val="18"/>
              </w:rPr>
            </w:pPr>
            <w:r>
              <w:rPr>
                <w:sz w:val="18"/>
                <w:szCs w:val="18"/>
              </w:rPr>
              <w:t>57</w:t>
            </w:r>
          </w:p>
        </w:tc>
        <w:tc>
          <w:tcPr>
            <w:tcW w:w="708" w:type="dxa"/>
          </w:tcPr>
          <w:p w14:paraId="24512A50" w14:textId="77777777" w:rsidR="008F0A77" w:rsidRDefault="008F0A77" w:rsidP="00EF6B7D">
            <w:pPr>
              <w:jc w:val="center"/>
              <w:rPr>
                <w:sz w:val="18"/>
                <w:szCs w:val="18"/>
              </w:rPr>
            </w:pPr>
            <w:r>
              <w:rPr>
                <w:color w:val="000000"/>
                <w:sz w:val="18"/>
                <w:szCs w:val="18"/>
              </w:rPr>
              <w:t>0,47 </w:t>
            </w:r>
          </w:p>
        </w:tc>
        <w:tc>
          <w:tcPr>
            <w:tcW w:w="1276" w:type="dxa"/>
            <w:vAlign w:val="center"/>
          </w:tcPr>
          <w:p w14:paraId="58D10B6A" w14:textId="77777777" w:rsidR="008F0A77" w:rsidRDefault="008F0A77" w:rsidP="00EF6B7D">
            <w:pPr>
              <w:jc w:val="center"/>
              <w:rPr>
                <w:sz w:val="18"/>
                <w:szCs w:val="18"/>
              </w:rPr>
            </w:pPr>
            <w:r>
              <w:rPr>
                <w:color w:val="000000"/>
                <w:sz w:val="18"/>
                <w:szCs w:val="18"/>
              </w:rPr>
              <w:t>(0,30, 0,65)</w:t>
            </w:r>
          </w:p>
        </w:tc>
        <w:tc>
          <w:tcPr>
            <w:tcW w:w="567" w:type="dxa"/>
          </w:tcPr>
          <w:p w14:paraId="66AFBEDE" w14:textId="77777777" w:rsidR="008F0A77" w:rsidRDefault="008F0A77" w:rsidP="00EF6B7D">
            <w:pPr>
              <w:jc w:val="center"/>
              <w:rPr>
                <w:sz w:val="18"/>
                <w:szCs w:val="18"/>
              </w:rPr>
            </w:pPr>
            <w:r>
              <w:rPr>
                <w:sz w:val="18"/>
                <w:szCs w:val="18"/>
              </w:rPr>
              <w:t>45</w:t>
            </w:r>
          </w:p>
        </w:tc>
        <w:tc>
          <w:tcPr>
            <w:tcW w:w="709" w:type="dxa"/>
          </w:tcPr>
          <w:p w14:paraId="7F3A30EC" w14:textId="77777777" w:rsidR="008F0A77" w:rsidRDefault="008F0A77" w:rsidP="00EF6B7D">
            <w:pPr>
              <w:jc w:val="center"/>
              <w:rPr>
                <w:sz w:val="18"/>
                <w:szCs w:val="18"/>
              </w:rPr>
            </w:pPr>
            <w:r>
              <w:rPr>
                <w:color w:val="262626"/>
                <w:sz w:val="18"/>
                <w:szCs w:val="18"/>
              </w:rPr>
              <w:t>0.68</w:t>
            </w:r>
          </w:p>
        </w:tc>
        <w:tc>
          <w:tcPr>
            <w:tcW w:w="1417" w:type="dxa"/>
          </w:tcPr>
          <w:p w14:paraId="7673CB9C" w14:textId="77777777" w:rsidR="008F0A77" w:rsidRDefault="008F0A77" w:rsidP="00EF6B7D">
            <w:pPr>
              <w:jc w:val="center"/>
              <w:rPr>
                <w:color w:val="262626"/>
                <w:sz w:val="18"/>
                <w:szCs w:val="18"/>
              </w:rPr>
            </w:pPr>
            <w:r>
              <w:rPr>
                <w:sz w:val="18"/>
                <w:szCs w:val="18"/>
              </w:rPr>
              <w:t>(0.53; 0.81)</w:t>
            </w:r>
          </w:p>
        </w:tc>
      </w:tr>
      <w:tr w:rsidR="008F0A77" w14:paraId="77B24D0C" w14:textId="77777777" w:rsidTr="00EF6B7D">
        <w:trPr>
          <w:trHeight w:val="279"/>
          <w:jc w:val="center"/>
        </w:trPr>
        <w:tc>
          <w:tcPr>
            <w:tcW w:w="2122" w:type="dxa"/>
            <w:tcBorders>
              <w:bottom w:val="single" w:sz="4" w:space="0" w:color="000000"/>
            </w:tcBorders>
          </w:tcPr>
          <w:p w14:paraId="51549BC6" w14:textId="77777777" w:rsidR="008F0A77" w:rsidRDefault="008F0A77" w:rsidP="00EF6B7D">
            <w:pPr>
              <w:jc w:val="center"/>
              <w:rPr>
                <w:sz w:val="18"/>
                <w:szCs w:val="18"/>
              </w:rPr>
            </w:pPr>
            <w:r>
              <w:rPr>
                <w:sz w:val="18"/>
                <w:szCs w:val="18"/>
              </w:rPr>
              <w:t>29</w:t>
            </w:r>
          </w:p>
        </w:tc>
        <w:tc>
          <w:tcPr>
            <w:tcW w:w="567" w:type="dxa"/>
            <w:tcBorders>
              <w:bottom w:val="single" w:sz="4" w:space="0" w:color="000000"/>
            </w:tcBorders>
          </w:tcPr>
          <w:p w14:paraId="35E8EAE0" w14:textId="77777777" w:rsidR="008F0A77" w:rsidRDefault="008F0A77" w:rsidP="00EF6B7D">
            <w:pPr>
              <w:jc w:val="center"/>
              <w:rPr>
                <w:sz w:val="18"/>
                <w:szCs w:val="18"/>
              </w:rPr>
            </w:pPr>
            <w:r>
              <w:rPr>
                <w:sz w:val="18"/>
                <w:szCs w:val="18"/>
              </w:rPr>
              <w:t>51</w:t>
            </w:r>
          </w:p>
        </w:tc>
        <w:tc>
          <w:tcPr>
            <w:tcW w:w="708" w:type="dxa"/>
            <w:tcBorders>
              <w:bottom w:val="single" w:sz="4" w:space="0" w:color="000000"/>
            </w:tcBorders>
          </w:tcPr>
          <w:p w14:paraId="43875516" w14:textId="77777777" w:rsidR="008F0A77" w:rsidRDefault="008F0A77" w:rsidP="00EF6B7D">
            <w:pPr>
              <w:jc w:val="center"/>
              <w:rPr>
                <w:sz w:val="18"/>
                <w:szCs w:val="18"/>
              </w:rPr>
            </w:pPr>
            <w:r>
              <w:rPr>
                <w:color w:val="000000"/>
                <w:sz w:val="18"/>
                <w:szCs w:val="18"/>
              </w:rPr>
              <w:t>0,59 </w:t>
            </w:r>
          </w:p>
        </w:tc>
        <w:tc>
          <w:tcPr>
            <w:tcW w:w="1276" w:type="dxa"/>
            <w:tcBorders>
              <w:bottom w:val="single" w:sz="4" w:space="0" w:color="000000"/>
            </w:tcBorders>
            <w:vAlign w:val="center"/>
          </w:tcPr>
          <w:p w14:paraId="39D8124C" w14:textId="77777777" w:rsidR="008F0A77" w:rsidRDefault="008F0A77" w:rsidP="00EF6B7D">
            <w:pPr>
              <w:jc w:val="center"/>
              <w:rPr>
                <w:sz w:val="18"/>
                <w:szCs w:val="18"/>
              </w:rPr>
            </w:pPr>
            <w:r>
              <w:rPr>
                <w:color w:val="000000"/>
                <w:sz w:val="18"/>
                <w:szCs w:val="18"/>
              </w:rPr>
              <w:t>(0,42, 0,74)</w:t>
            </w:r>
          </w:p>
        </w:tc>
        <w:tc>
          <w:tcPr>
            <w:tcW w:w="567" w:type="dxa"/>
            <w:tcBorders>
              <w:bottom w:val="single" w:sz="4" w:space="0" w:color="000000"/>
            </w:tcBorders>
          </w:tcPr>
          <w:p w14:paraId="3142B744" w14:textId="77777777" w:rsidR="008F0A77" w:rsidRDefault="008F0A77" w:rsidP="00EF6B7D">
            <w:pPr>
              <w:jc w:val="center"/>
              <w:rPr>
                <w:sz w:val="18"/>
                <w:szCs w:val="18"/>
              </w:rPr>
            </w:pPr>
            <w:r>
              <w:rPr>
                <w:sz w:val="18"/>
                <w:szCs w:val="18"/>
              </w:rPr>
              <w:t>46</w:t>
            </w:r>
          </w:p>
        </w:tc>
        <w:tc>
          <w:tcPr>
            <w:tcW w:w="709" w:type="dxa"/>
            <w:tcBorders>
              <w:bottom w:val="single" w:sz="4" w:space="0" w:color="000000"/>
            </w:tcBorders>
          </w:tcPr>
          <w:p w14:paraId="677D7462" w14:textId="77777777" w:rsidR="008F0A77" w:rsidRDefault="008F0A77" w:rsidP="00EF6B7D">
            <w:pPr>
              <w:jc w:val="center"/>
              <w:rPr>
                <w:sz w:val="18"/>
                <w:szCs w:val="18"/>
              </w:rPr>
            </w:pPr>
            <w:r>
              <w:rPr>
                <w:color w:val="262626"/>
                <w:sz w:val="18"/>
                <w:szCs w:val="18"/>
              </w:rPr>
              <w:t>0.50</w:t>
            </w:r>
          </w:p>
        </w:tc>
        <w:tc>
          <w:tcPr>
            <w:tcW w:w="1417" w:type="dxa"/>
            <w:tcBorders>
              <w:bottom w:val="single" w:sz="4" w:space="0" w:color="000000"/>
            </w:tcBorders>
          </w:tcPr>
          <w:p w14:paraId="52E6B4C8" w14:textId="77777777" w:rsidR="008F0A77" w:rsidRDefault="008F0A77" w:rsidP="00EF6B7D">
            <w:pPr>
              <w:jc w:val="center"/>
              <w:rPr>
                <w:color w:val="262626"/>
                <w:sz w:val="18"/>
                <w:szCs w:val="18"/>
              </w:rPr>
            </w:pPr>
            <w:r>
              <w:rPr>
                <w:sz w:val="18"/>
                <w:szCs w:val="18"/>
              </w:rPr>
              <w:t>(0.29; 0.71)</w:t>
            </w:r>
          </w:p>
        </w:tc>
      </w:tr>
      <w:tr w:rsidR="008F0A77" w14:paraId="06930379" w14:textId="77777777" w:rsidTr="00EF6B7D">
        <w:trPr>
          <w:trHeight w:val="279"/>
          <w:jc w:val="center"/>
        </w:trPr>
        <w:tc>
          <w:tcPr>
            <w:tcW w:w="2122" w:type="dxa"/>
            <w:tcBorders>
              <w:top w:val="single" w:sz="4" w:space="0" w:color="000000"/>
            </w:tcBorders>
          </w:tcPr>
          <w:p w14:paraId="0E42B0E3" w14:textId="77777777" w:rsidR="008F0A77" w:rsidRDefault="008F0A77" w:rsidP="00EF6B7D">
            <w:pPr>
              <w:jc w:val="center"/>
              <w:rPr>
                <w:b/>
                <w:sz w:val="18"/>
                <w:szCs w:val="18"/>
              </w:rPr>
            </w:pPr>
            <w:r>
              <w:rPr>
                <w:b/>
                <w:sz w:val="18"/>
                <w:szCs w:val="18"/>
              </w:rPr>
              <w:t>Factor 3. Diversity of treatment options</w:t>
            </w:r>
          </w:p>
        </w:tc>
        <w:tc>
          <w:tcPr>
            <w:tcW w:w="567" w:type="dxa"/>
            <w:tcBorders>
              <w:top w:val="single" w:sz="4" w:space="0" w:color="000000"/>
            </w:tcBorders>
          </w:tcPr>
          <w:p w14:paraId="2F889AC1" w14:textId="77777777" w:rsidR="008F0A77" w:rsidRDefault="008F0A77" w:rsidP="00EF6B7D">
            <w:pPr>
              <w:jc w:val="center"/>
              <w:rPr>
                <w:b/>
                <w:sz w:val="18"/>
                <w:szCs w:val="18"/>
              </w:rPr>
            </w:pPr>
            <w:r>
              <w:rPr>
                <w:b/>
                <w:sz w:val="18"/>
                <w:szCs w:val="18"/>
              </w:rPr>
              <w:t>63</w:t>
            </w:r>
          </w:p>
        </w:tc>
        <w:tc>
          <w:tcPr>
            <w:tcW w:w="708" w:type="dxa"/>
            <w:tcBorders>
              <w:top w:val="single" w:sz="4" w:space="0" w:color="000000"/>
            </w:tcBorders>
          </w:tcPr>
          <w:p w14:paraId="26A5B0FC" w14:textId="77777777" w:rsidR="008F0A77" w:rsidRDefault="008F0A77" w:rsidP="00EF6B7D">
            <w:pPr>
              <w:jc w:val="center"/>
              <w:rPr>
                <w:b/>
                <w:sz w:val="18"/>
                <w:szCs w:val="18"/>
              </w:rPr>
            </w:pPr>
            <w:r>
              <w:rPr>
                <w:b/>
                <w:sz w:val="18"/>
                <w:szCs w:val="18"/>
              </w:rPr>
              <w:t xml:space="preserve">0.44 </w:t>
            </w:r>
          </w:p>
        </w:tc>
        <w:tc>
          <w:tcPr>
            <w:tcW w:w="1276" w:type="dxa"/>
            <w:tcBorders>
              <w:top w:val="single" w:sz="4" w:space="0" w:color="000000"/>
            </w:tcBorders>
          </w:tcPr>
          <w:p w14:paraId="3D838957" w14:textId="77777777" w:rsidR="008F0A77" w:rsidRDefault="008F0A77" w:rsidP="00EF6B7D">
            <w:pPr>
              <w:jc w:val="center"/>
              <w:rPr>
                <w:b/>
                <w:sz w:val="18"/>
                <w:szCs w:val="18"/>
              </w:rPr>
            </w:pPr>
            <w:r>
              <w:rPr>
                <w:b/>
                <w:sz w:val="18"/>
                <w:szCs w:val="18"/>
              </w:rPr>
              <w:t>(0.27-0.74)</w:t>
            </w:r>
          </w:p>
        </w:tc>
        <w:tc>
          <w:tcPr>
            <w:tcW w:w="567" w:type="dxa"/>
            <w:tcBorders>
              <w:top w:val="single" w:sz="4" w:space="0" w:color="000000"/>
            </w:tcBorders>
          </w:tcPr>
          <w:p w14:paraId="7A38A79E" w14:textId="77777777" w:rsidR="008F0A77" w:rsidRDefault="008F0A77" w:rsidP="00EF6B7D">
            <w:pPr>
              <w:jc w:val="center"/>
              <w:rPr>
                <w:b/>
                <w:sz w:val="18"/>
                <w:szCs w:val="18"/>
              </w:rPr>
            </w:pPr>
            <w:r>
              <w:rPr>
                <w:b/>
                <w:sz w:val="18"/>
                <w:szCs w:val="18"/>
              </w:rPr>
              <w:t>67</w:t>
            </w:r>
          </w:p>
        </w:tc>
        <w:tc>
          <w:tcPr>
            <w:tcW w:w="709" w:type="dxa"/>
            <w:tcBorders>
              <w:top w:val="single" w:sz="4" w:space="0" w:color="000000"/>
            </w:tcBorders>
          </w:tcPr>
          <w:p w14:paraId="6A835082" w14:textId="77777777" w:rsidR="008F0A77" w:rsidRDefault="008F0A77" w:rsidP="00EF6B7D">
            <w:pPr>
              <w:jc w:val="center"/>
              <w:rPr>
                <w:b/>
                <w:sz w:val="18"/>
                <w:szCs w:val="18"/>
              </w:rPr>
            </w:pPr>
            <w:r>
              <w:rPr>
                <w:b/>
                <w:sz w:val="18"/>
                <w:szCs w:val="18"/>
              </w:rPr>
              <w:t xml:space="preserve">0.64 </w:t>
            </w:r>
          </w:p>
        </w:tc>
        <w:tc>
          <w:tcPr>
            <w:tcW w:w="1417" w:type="dxa"/>
            <w:tcBorders>
              <w:top w:val="single" w:sz="4" w:space="0" w:color="000000"/>
            </w:tcBorders>
          </w:tcPr>
          <w:p w14:paraId="4AB46BA9" w14:textId="77777777" w:rsidR="008F0A77" w:rsidRDefault="008F0A77" w:rsidP="00EF6B7D">
            <w:pPr>
              <w:jc w:val="center"/>
              <w:rPr>
                <w:b/>
                <w:color w:val="262626"/>
                <w:sz w:val="18"/>
                <w:szCs w:val="18"/>
              </w:rPr>
            </w:pPr>
            <w:r>
              <w:rPr>
                <w:b/>
                <w:sz w:val="18"/>
                <w:szCs w:val="18"/>
              </w:rPr>
              <w:t>(0.51–0.75)</w:t>
            </w:r>
          </w:p>
        </w:tc>
      </w:tr>
      <w:tr w:rsidR="008F0A77" w14:paraId="0BDFE72F" w14:textId="77777777" w:rsidTr="00EF6B7D">
        <w:trPr>
          <w:trHeight w:val="279"/>
          <w:jc w:val="center"/>
        </w:trPr>
        <w:tc>
          <w:tcPr>
            <w:tcW w:w="2122" w:type="dxa"/>
          </w:tcPr>
          <w:p w14:paraId="50F8DA99" w14:textId="77777777" w:rsidR="008F0A77" w:rsidRDefault="008F0A77" w:rsidP="00EF6B7D">
            <w:pPr>
              <w:jc w:val="center"/>
              <w:rPr>
                <w:sz w:val="18"/>
                <w:szCs w:val="18"/>
              </w:rPr>
            </w:pPr>
            <w:r>
              <w:rPr>
                <w:sz w:val="18"/>
                <w:szCs w:val="18"/>
              </w:rPr>
              <w:t>14</w:t>
            </w:r>
          </w:p>
        </w:tc>
        <w:tc>
          <w:tcPr>
            <w:tcW w:w="567" w:type="dxa"/>
          </w:tcPr>
          <w:p w14:paraId="75E70EC6" w14:textId="77777777" w:rsidR="008F0A77" w:rsidRDefault="008F0A77" w:rsidP="00EF6B7D">
            <w:pPr>
              <w:jc w:val="center"/>
              <w:rPr>
                <w:sz w:val="18"/>
                <w:szCs w:val="18"/>
              </w:rPr>
            </w:pPr>
            <w:r>
              <w:rPr>
                <w:sz w:val="18"/>
                <w:szCs w:val="18"/>
              </w:rPr>
              <w:t>55</w:t>
            </w:r>
          </w:p>
        </w:tc>
        <w:tc>
          <w:tcPr>
            <w:tcW w:w="708" w:type="dxa"/>
          </w:tcPr>
          <w:p w14:paraId="3C2EB10D" w14:textId="77777777" w:rsidR="008F0A77" w:rsidRDefault="008F0A77" w:rsidP="00EF6B7D">
            <w:pPr>
              <w:jc w:val="center"/>
              <w:rPr>
                <w:sz w:val="18"/>
                <w:szCs w:val="18"/>
              </w:rPr>
            </w:pPr>
            <w:r>
              <w:rPr>
                <w:color w:val="000000"/>
                <w:sz w:val="18"/>
                <w:szCs w:val="18"/>
              </w:rPr>
              <w:t>0,42 </w:t>
            </w:r>
          </w:p>
        </w:tc>
        <w:tc>
          <w:tcPr>
            <w:tcW w:w="1276" w:type="dxa"/>
          </w:tcPr>
          <w:p w14:paraId="664B0195" w14:textId="77777777" w:rsidR="008F0A77" w:rsidRDefault="008F0A77" w:rsidP="00EF6B7D">
            <w:pPr>
              <w:jc w:val="center"/>
              <w:rPr>
                <w:sz w:val="18"/>
                <w:szCs w:val="18"/>
              </w:rPr>
            </w:pPr>
            <w:r>
              <w:rPr>
                <w:color w:val="000000"/>
                <w:sz w:val="18"/>
                <w:szCs w:val="18"/>
              </w:rPr>
              <w:t xml:space="preserve"> (0,25, 0,62)</w:t>
            </w:r>
          </w:p>
        </w:tc>
        <w:tc>
          <w:tcPr>
            <w:tcW w:w="567" w:type="dxa"/>
          </w:tcPr>
          <w:p w14:paraId="6688A45E" w14:textId="77777777" w:rsidR="008F0A77" w:rsidRDefault="008F0A77" w:rsidP="00EF6B7D">
            <w:pPr>
              <w:jc w:val="center"/>
              <w:rPr>
                <w:sz w:val="18"/>
                <w:szCs w:val="18"/>
              </w:rPr>
            </w:pPr>
            <w:r>
              <w:rPr>
                <w:sz w:val="18"/>
                <w:szCs w:val="18"/>
              </w:rPr>
              <w:t>44</w:t>
            </w:r>
          </w:p>
        </w:tc>
        <w:tc>
          <w:tcPr>
            <w:tcW w:w="709" w:type="dxa"/>
          </w:tcPr>
          <w:p w14:paraId="231691ED" w14:textId="77777777" w:rsidR="008F0A77" w:rsidRDefault="008F0A77" w:rsidP="00EF6B7D">
            <w:pPr>
              <w:jc w:val="center"/>
              <w:rPr>
                <w:sz w:val="18"/>
                <w:szCs w:val="18"/>
              </w:rPr>
            </w:pPr>
            <w:r>
              <w:rPr>
                <w:sz w:val="18"/>
                <w:szCs w:val="18"/>
              </w:rPr>
              <w:t>0.71</w:t>
            </w:r>
          </w:p>
        </w:tc>
        <w:tc>
          <w:tcPr>
            <w:tcW w:w="1417" w:type="dxa"/>
          </w:tcPr>
          <w:p w14:paraId="33E8FA87" w14:textId="77777777" w:rsidR="008F0A77" w:rsidRDefault="008F0A77" w:rsidP="00EF6B7D">
            <w:pPr>
              <w:jc w:val="center"/>
              <w:rPr>
                <w:color w:val="262626"/>
                <w:sz w:val="18"/>
                <w:szCs w:val="18"/>
              </w:rPr>
            </w:pPr>
            <w:r>
              <w:rPr>
                <w:sz w:val="18"/>
                <w:szCs w:val="18"/>
              </w:rPr>
              <w:t>(0.57; 0.82)</w:t>
            </w:r>
          </w:p>
        </w:tc>
      </w:tr>
      <w:tr w:rsidR="008F0A77" w14:paraId="4641F9D7" w14:textId="77777777" w:rsidTr="00EF6B7D">
        <w:trPr>
          <w:trHeight w:val="279"/>
          <w:jc w:val="center"/>
        </w:trPr>
        <w:tc>
          <w:tcPr>
            <w:tcW w:w="2122" w:type="dxa"/>
          </w:tcPr>
          <w:p w14:paraId="27B4BD42" w14:textId="77777777" w:rsidR="008F0A77" w:rsidRDefault="008F0A77" w:rsidP="00EF6B7D">
            <w:pPr>
              <w:jc w:val="center"/>
              <w:rPr>
                <w:sz w:val="18"/>
                <w:szCs w:val="18"/>
              </w:rPr>
            </w:pPr>
            <w:r>
              <w:rPr>
                <w:sz w:val="18"/>
                <w:szCs w:val="18"/>
              </w:rPr>
              <w:t>15</w:t>
            </w:r>
          </w:p>
        </w:tc>
        <w:tc>
          <w:tcPr>
            <w:tcW w:w="567" w:type="dxa"/>
          </w:tcPr>
          <w:p w14:paraId="5BCD55E1" w14:textId="77777777" w:rsidR="008F0A77" w:rsidRDefault="008F0A77" w:rsidP="00EF6B7D">
            <w:pPr>
              <w:jc w:val="center"/>
              <w:rPr>
                <w:sz w:val="18"/>
                <w:szCs w:val="18"/>
              </w:rPr>
            </w:pPr>
            <w:r>
              <w:rPr>
                <w:sz w:val="18"/>
                <w:szCs w:val="18"/>
              </w:rPr>
              <w:t>58</w:t>
            </w:r>
          </w:p>
        </w:tc>
        <w:tc>
          <w:tcPr>
            <w:tcW w:w="708" w:type="dxa"/>
          </w:tcPr>
          <w:p w14:paraId="6F648ED3" w14:textId="77777777" w:rsidR="008F0A77" w:rsidRDefault="008F0A77" w:rsidP="00EF6B7D">
            <w:pPr>
              <w:jc w:val="center"/>
              <w:rPr>
                <w:sz w:val="18"/>
                <w:szCs w:val="18"/>
              </w:rPr>
            </w:pPr>
            <w:r>
              <w:rPr>
                <w:color w:val="000000"/>
                <w:sz w:val="18"/>
                <w:szCs w:val="18"/>
              </w:rPr>
              <w:t>0,43 </w:t>
            </w:r>
          </w:p>
        </w:tc>
        <w:tc>
          <w:tcPr>
            <w:tcW w:w="1276" w:type="dxa"/>
          </w:tcPr>
          <w:p w14:paraId="7FC818AE" w14:textId="77777777" w:rsidR="008F0A77" w:rsidRDefault="008F0A77" w:rsidP="00EF6B7D">
            <w:pPr>
              <w:jc w:val="center"/>
              <w:rPr>
                <w:sz w:val="18"/>
                <w:szCs w:val="18"/>
              </w:rPr>
            </w:pPr>
            <w:r>
              <w:rPr>
                <w:color w:val="000000"/>
                <w:sz w:val="18"/>
                <w:szCs w:val="18"/>
              </w:rPr>
              <w:t xml:space="preserve"> (0,25, 0,63)</w:t>
            </w:r>
          </w:p>
        </w:tc>
        <w:tc>
          <w:tcPr>
            <w:tcW w:w="567" w:type="dxa"/>
          </w:tcPr>
          <w:p w14:paraId="3A67B7EF" w14:textId="77777777" w:rsidR="008F0A77" w:rsidRDefault="008F0A77" w:rsidP="00EF6B7D">
            <w:pPr>
              <w:jc w:val="center"/>
              <w:rPr>
                <w:sz w:val="18"/>
                <w:szCs w:val="18"/>
              </w:rPr>
            </w:pPr>
            <w:r>
              <w:rPr>
                <w:sz w:val="18"/>
                <w:szCs w:val="18"/>
              </w:rPr>
              <w:t>44</w:t>
            </w:r>
          </w:p>
        </w:tc>
        <w:tc>
          <w:tcPr>
            <w:tcW w:w="709" w:type="dxa"/>
          </w:tcPr>
          <w:p w14:paraId="380814E1" w14:textId="77777777" w:rsidR="008F0A77" w:rsidRDefault="008F0A77" w:rsidP="00EF6B7D">
            <w:pPr>
              <w:jc w:val="center"/>
              <w:rPr>
                <w:sz w:val="18"/>
                <w:szCs w:val="18"/>
              </w:rPr>
            </w:pPr>
            <w:r>
              <w:rPr>
                <w:sz w:val="18"/>
                <w:szCs w:val="18"/>
              </w:rPr>
              <w:t>0.73</w:t>
            </w:r>
          </w:p>
        </w:tc>
        <w:tc>
          <w:tcPr>
            <w:tcW w:w="1417" w:type="dxa"/>
          </w:tcPr>
          <w:p w14:paraId="2915D966" w14:textId="77777777" w:rsidR="008F0A77" w:rsidRDefault="008F0A77" w:rsidP="00EF6B7D">
            <w:pPr>
              <w:jc w:val="center"/>
              <w:rPr>
                <w:color w:val="262626"/>
                <w:sz w:val="18"/>
                <w:szCs w:val="18"/>
              </w:rPr>
            </w:pPr>
            <w:r>
              <w:rPr>
                <w:sz w:val="18"/>
                <w:szCs w:val="18"/>
              </w:rPr>
              <w:t>(0.60; 0.83)</w:t>
            </w:r>
          </w:p>
        </w:tc>
      </w:tr>
      <w:tr w:rsidR="008F0A77" w14:paraId="72237D2A" w14:textId="77777777" w:rsidTr="00EF6B7D">
        <w:trPr>
          <w:trHeight w:val="279"/>
          <w:jc w:val="center"/>
        </w:trPr>
        <w:tc>
          <w:tcPr>
            <w:tcW w:w="2122" w:type="dxa"/>
          </w:tcPr>
          <w:p w14:paraId="6C1A9A80" w14:textId="77777777" w:rsidR="008F0A77" w:rsidRDefault="008F0A77" w:rsidP="00EF6B7D">
            <w:pPr>
              <w:jc w:val="center"/>
              <w:rPr>
                <w:sz w:val="18"/>
                <w:szCs w:val="18"/>
              </w:rPr>
            </w:pPr>
            <w:r>
              <w:rPr>
                <w:sz w:val="18"/>
                <w:szCs w:val="18"/>
              </w:rPr>
              <w:lastRenderedPageBreak/>
              <w:t>20</w:t>
            </w:r>
          </w:p>
        </w:tc>
        <w:tc>
          <w:tcPr>
            <w:tcW w:w="567" w:type="dxa"/>
          </w:tcPr>
          <w:p w14:paraId="53A601D5" w14:textId="77777777" w:rsidR="008F0A77" w:rsidRDefault="008F0A77" w:rsidP="00EF6B7D">
            <w:pPr>
              <w:jc w:val="center"/>
              <w:rPr>
                <w:sz w:val="18"/>
                <w:szCs w:val="18"/>
              </w:rPr>
            </w:pPr>
            <w:r>
              <w:rPr>
                <w:sz w:val="18"/>
                <w:szCs w:val="18"/>
              </w:rPr>
              <w:t>55</w:t>
            </w:r>
          </w:p>
        </w:tc>
        <w:tc>
          <w:tcPr>
            <w:tcW w:w="708" w:type="dxa"/>
          </w:tcPr>
          <w:p w14:paraId="22A1206C" w14:textId="77777777" w:rsidR="008F0A77" w:rsidRDefault="008F0A77" w:rsidP="00EF6B7D">
            <w:pPr>
              <w:jc w:val="center"/>
              <w:rPr>
                <w:sz w:val="18"/>
                <w:szCs w:val="18"/>
              </w:rPr>
            </w:pPr>
            <w:r>
              <w:rPr>
                <w:color w:val="000000"/>
                <w:sz w:val="18"/>
                <w:szCs w:val="18"/>
              </w:rPr>
              <w:t>0,54 </w:t>
            </w:r>
          </w:p>
        </w:tc>
        <w:tc>
          <w:tcPr>
            <w:tcW w:w="1276" w:type="dxa"/>
          </w:tcPr>
          <w:p w14:paraId="1A65931F" w14:textId="77777777" w:rsidR="008F0A77" w:rsidRDefault="008F0A77" w:rsidP="00EF6B7D">
            <w:pPr>
              <w:jc w:val="center"/>
              <w:rPr>
                <w:sz w:val="18"/>
                <w:szCs w:val="18"/>
              </w:rPr>
            </w:pPr>
            <w:r>
              <w:rPr>
                <w:color w:val="000000"/>
                <w:sz w:val="18"/>
                <w:szCs w:val="18"/>
              </w:rPr>
              <w:t xml:space="preserve"> (0,35, 0,71)</w:t>
            </w:r>
          </w:p>
        </w:tc>
        <w:tc>
          <w:tcPr>
            <w:tcW w:w="567" w:type="dxa"/>
          </w:tcPr>
          <w:p w14:paraId="45C9D577" w14:textId="77777777" w:rsidR="008F0A77" w:rsidRDefault="008F0A77" w:rsidP="00EF6B7D">
            <w:pPr>
              <w:jc w:val="center"/>
              <w:rPr>
                <w:sz w:val="18"/>
                <w:szCs w:val="18"/>
              </w:rPr>
            </w:pPr>
            <w:r>
              <w:rPr>
                <w:sz w:val="18"/>
                <w:szCs w:val="18"/>
              </w:rPr>
              <w:t>44</w:t>
            </w:r>
          </w:p>
        </w:tc>
        <w:tc>
          <w:tcPr>
            <w:tcW w:w="709" w:type="dxa"/>
          </w:tcPr>
          <w:p w14:paraId="6B0F21D3" w14:textId="77777777" w:rsidR="008F0A77" w:rsidRDefault="008F0A77" w:rsidP="00EF6B7D">
            <w:pPr>
              <w:jc w:val="center"/>
              <w:rPr>
                <w:sz w:val="18"/>
                <w:szCs w:val="18"/>
              </w:rPr>
            </w:pPr>
            <w:r>
              <w:rPr>
                <w:sz w:val="18"/>
                <w:szCs w:val="18"/>
              </w:rPr>
              <w:t>0.71</w:t>
            </w:r>
          </w:p>
        </w:tc>
        <w:tc>
          <w:tcPr>
            <w:tcW w:w="1417" w:type="dxa"/>
          </w:tcPr>
          <w:p w14:paraId="3E919590" w14:textId="77777777" w:rsidR="008F0A77" w:rsidRDefault="008F0A77" w:rsidP="00EF6B7D">
            <w:pPr>
              <w:jc w:val="center"/>
              <w:rPr>
                <w:color w:val="262626"/>
                <w:sz w:val="18"/>
                <w:szCs w:val="18"/>
              </w:rPr>
            </w:pPr>
            <w:r>
              <w:rPr>
                <w:sz w:val="18"/>
                <w:szCs w:val="18"/>
              </w:rPr>
              <w:t>(0.56; 0.82)</w:t>
            </w:r>
          </w:p>
        </w:tc>
      </w:tr>
      <w:tr w:rsidR="008F0A77" w14:paraId="53D4A4A7" w14:textId="77777777" w:rsidTr="00EF6B7D">
        <w:trPr>
          <w:trHeight w:val="279"/>
          <w:jc w:val="center"/>
        </w:trPr>
        <w:tc>
          <w:tcPr>
            <w:tcW w:w="2122" w:type="dxa"/>
          </w:tcPr>
          <w:p w14:paraId="5685BBE1" w14:textId="77777777" w:rsidR="008F0A77" w:rsidRDefault="008F0A77" w:rsidP="00EF6B7D">
            <w:pPr>
              <w:jc w:val="center"/>
              <w:rPr>
                <w:sz w:val="18"/>
                <w:szCs w:val="18"/>
              </w:rPr>
            </w:pPr>
            <w:r>
              <w:rPr>
                <w:sz w:val="18"/>
                <w:szCs w:val="18"/>
              </w:rPr>
              <w:t>21a</w:t>
            </w:r>
          </w:p>
        </w:tc>
        <w:tc>
          <w:tcPr>
            <w:tcW w:w="567" w:type="dxa"/>
          </w:tcPr>
          <w:p w14:paraId="638577E2" w14:textId="77777777" w:rsidR="008F0A77" w:rsidRDefault="008F0A77" w:rsidP="00EF6B7D">
            <w:pPr>
              <w:jc w:val="center"/>
              <w:rPr>
                <w:sz w:val="18"/>
                <w:szCs w:val="18"/>
              </w:rPr>
            </w:pPr>
            <w:r>
              <w:rPr>
                <w:sz w:val="18"/>
                <w:szCs w:val="18"/>
              </w:rPr>
              <w:t>48</w:t>
            </w:r>
          </w:p>
        </w:tc>
        <w:tc>
          <w:tcPr>
            <w:tcW w:w="708" w:type="dxa"/>
          </w:tcPr>
          <w:p w14:paraId="12550E71" w14:textId="77777777" w:rsidR="008F0A77" w:rsidRDefault="008F0A77" w:rsidP="00EF6B7D">
            <w:pPr>
              <w:jc w:val="center"/>
              <w:rPr>
                <w:sz w:val="18"/>
                <w:szCs w:val="18"/>
              </w:rPr>
            </w:pPr>
            <w:r>
              <w:rPr>
                <w:color w:val="000000"/>
                <w:sz w:val="18"/>
                <w:szCs w:val="18"/>
              </w:rPr>
              <w:t>0,19 </w:t>
            </w:r>
          </w:p>
        </w:tc>
        <w:tc>
          <w:tcPr>
            <w:tcW w:w="1276" w:type="dxa"/>
          </w:tcPr>
          <w:p w14:paraId="6417C9C2" w14:textId="77777777" w:rsidR="008F0A77" w:rsidRDefault="008F0A77" w:rsidP="00EF6B7D">
            <w:pPr>
              <w:jc w:val="center"/>
              <w:rPr>
                <w:sz w:val="18"/>
                <w:szCs w:val="18"/>
              </w:rPr>
            </w:pPr>
            <w:r>
              <w:rPr>
                <w:color w:val="000000"/>
                <w:sz w:val="18"/>
                <w:szCs w:val="18"/>
              </w:rPr>
              <w:t xml:space="preserve"> (0,04, 0,57)</w:t>
            </w:r>
          </w:p>
        </w:tc>
        <w:tc>
          <w:tcPr>
            <w:tcW w:w="567" w:type="dxa"/>
          </w:tcPr>
          <w:p w14:paraId="7FA406F7" w14:textId="77777777" w:rsidR="008F0A77" w:rsidRDefault="008F0A77" w:rsidP="00EF6B7D">
            <w:pPr>
              <w:jc w:val="center"/>
              <w:rPr>
                <w:sz w:val="18"/>
                <w:szCs w:val="18"/>
              </w:rPr>
            </w:pPr>
            <w:r>
              <w:rPr>
                <w:sz w:val="18"/>
                <w:szCs w:val="18"/>
              </w:rPr>
              <w:t>50</w:t>
            </w:r>
          </w:p>
        </w:tc>
        <w:tc>
          <w:tcPr>
            <w:tcW w:w="709" w:type="dxa"/>
          </w:tcPr>
          <w:p w14:paraId="52AC3CB9" w14:textId="77777777" w:rsidR="008F0A77" w:rsidRDefault="008F0A77" w:rsidP="00EF6B7D">
            <w:pPr>
              <w:jc w:val="center"/>
              <w:rPr>
                <w:sz w:val="18"/>
                <w:szCs w:val="18"/>
              </w:rPr>
            </w:pPr>
            <w:r>
              <w:rPr>
                <w:sz w:val="18"/>
                <w:szCs w:val="18"/>
              </w:rPr>
              <w:t>0.36</w:t>
            </w:r>
          </w:p>
        </w:tc>
        <w:tc>
          <w:tcPr>
            <w:tcW w:w="1417" w:type="dxa"/>
          </w:tcPr>
          <w:p w14:paraId="34A25CF3" w14:textId="77777777" w:rsidR="008F0A77" w:rsidRDefault="008F0A77" w:rsidP="00EF6B7D">
            <w:pPr>
              <w:jc w:val="center"/>
              <w:rPr>
                <w:color w:val="262626"/>
                <w:sz w:val="18"/>
                <w:szCs w:val="18"/>
              </w:rPr>
            </w:pPr>
            <w:r>
              <w:rPr>
                <w:sz w:val="18"/>
                <w:szCs w:val="18"/>
              </w:rPr>
              <w:t>(0.16; 0.61)</w:t>
            </w:r>
          </w:p>
        </w:tc>
      </w:tr>
      <w:tr w:rsidR="008F0A77" w14:paraId="684F8039" w14:textId="77777777" w:rsidTr="00EF6B7D">
        <w:trPr>
          <w:trHeight w:val="222"/>
          <w:jc w:val="center"/>
        </w:trPr>
        <w:tc>
          <w:tcPr>
            <w:tcW w:w="2122" w:type="dxa"/>
          </w:tcPr>
          <w:p w14:paraId="1FBD745C" w14:textId="77777777" w:rsidR="008F0A77" w:rsidRDefault="008F0A77" w:rsidP="00EF6B7D">
            <w:pPr>
              <w:jc w:val="center"/>
              <w:rPr>
                <w:sz w:val="18"/>
                <w:szCs w:val="18"/>
              </w:rPr>
            </w:pPr>
            <w:r>
              <w:rPr>
                <w:sz w:val="18"/>
                <w:szCs w:val="18"/>
              </w:rPr>
              <w:t>21b</w:t>
            </w:r>
          </w:p>
        </w:tc>
        <w:tc>
          <w:tcPr>
            <w:tcW w:w="567" w:type="dxa"/>
          </w:tcPr>
          <w:p w14:paraId="4225B128" w14:textId="77777777" w:rsidR="008F0A77" w:rsidRDefault="008F0A77" w:rsidP="00EF6B7D">
            <w:pPr>
              <w:jc w:val="center"/>
              <w:rPr>
                <w:sz w:val="18"/>
                <w:szCs w:val="18"/>
              </w:rPr>
            </w:pPr>
            <w:r>
              <w:rPr>
                <w:sz w:val="18"/>
                <w:szCs w:val="18"/>
              </w:rPr>
              <w:t>55</w:t>
            </w:r>
          </w:p>
        </w:tc>
        <w:tc>
          <w:tcPr>
            <w:tcW w:w="708" w:type="dxa"/>
          </w:tcPr>
          <w:p w14:paraId="3B0A2D2A" w14:textId="77777777" w:rsidR="008F0A77" w:rsidRDefault="008F0A77" w:rsidP="00EF6B7D">
            <w:pPr>
              <w:jc w:val="center"/>
              <w:rPr>
                <w:sz w:val="18"/>
                <w:szCs w:val="18"/>
              </w:rPr>
            </w:pPr>
            <w:r>
              <w:rPr>
                <w:color w:val="000000"/>
                <w:sz w:val="18"/>
                <w:szCs w:val="18"/>
              </w:rPr>
              <w:t>0,54 </w:t>
            </w:r>
          </w:p>
        </w:tc>
        <w:tc>
          <w:tcPr>
            <w:tcW w:w="1276" w:type="dxa"/>
          </w:tcPr>
          <w:p w14:paraId="107371BD" w14:textId="77777777" w:rsidR="008F0A77" w:rsidRDefault="008F0A77" w:rsidP="00EF6B7D">
            <w:pPr>
              <w:jc w:val="center"/>
              <w:rPr>
                <w:sz w:val="18"/>
                <w:szCs w:val="18"/>
              </w:rPr>
            </w:pPr>
            <w:r>
              <w:rPr>
                <w:color w:val="000000"/>
                <w:sz w:val="18"/>
                <w:szCs w:val="18"/>
              </w:rPr>
              <w:t xml:space="preserve"> (0,37, 0,71)</w:t>
            </w:r>
          </w:p>
        </w:tc>
        <w:tc>
          <w:tcPr>
            <w:tcW w:w="567" w:type="dxa"/>
          </w:tcPr>
          <w:p w14:paraId="37DF0C18" w14:textId="77777777" w:rsidR="008F0A77" w:rsidRDefault="008F0A77" w:rsidP="00EF6B7D">
            <w:pPr>
              <w:jc w:val="center"/>
              <w:rPr>
                <w:sz w:val="18"/>
                <w:szCs w:val="18"/>
              </w:rPr>
            </w:pPr>
            <w:r>
              <w:rPr>
                <w:sz w:val="18"/>
                <w:szCs w:val="18"/>
              </w:rPr>
              <w:t>36</w:t>
            </w:r>
          </w:p>
        </w:tc>
        <w:tc>
          <w:tcPr>
            <w:tcW w:w="709" w:type="dxa"/>
          </w:tcPr>
          <w:p w14:paraId="02DFC38C" w14:textId="77777777" w:rsidR="008F0A77" w:rsidRDefault="008F0A77" w:rsidP="00EF6B7D">
            <w:pPr>
              <w:jc w:val="center"/>
              <w:rPr>
                <w:sz w:val="18"/>
                <w:szCs w:val="18"/>
              </w:rPr>
            </w:pPr>
            <w:r>
              <w:rPr>
                <w:color w:val="262626"/>
                <w:sz w:val="18"/>
                <w:szCs w:val="18"/>
              </w:rPr>
              <w:t>0.55</w:t>
            </w:r>
          </w:p>
        </w:tc>
        <w:tc>
          <w:tcPr>
            <w:tcW w:w="1417" w:type="dxa"/>
          </w:tcPr>
          <w:p w14:paraId="5D5D88A1" w14:textId="77777777" w:rsidR="008F0A77" w:rsidRDefault="008F0A77" w:rsidP="00EF6B7D">
            <w:pPr>
              <w:jc w:val="center"/>
              <w:rPr>
                <w:color w:val="262626"/>
                <w:sz w:val="18"/>
                <w:szCs w:val="18"/>
              </w:rPr>
            </w:pPr>
            <w:r>
              <w:rPr>
                <w:sz w:val="18"/>
                <w:szCs w:val="18"/>
              </w:rPr>
              <w:t>(0.35; 0.74)</w:t>
            </w:r>
          </w:p>
        </w:tc>
      </w:tr>
      <w:tr w:rsidR="008F0A77" w14:paraId="5AB903FA" w14:textId="77777777" w:rsidTr="00EF6B7D">
        <w:trPr>
          <w:trHeight w:val="257"/>
          <w:jc w:val="center"/>
        </w:trPr>
        <w:tc>
          <w:tcPr>
            <w:tcW w:w="2122" w:type="dxa"/>
            <w:tcBorders>
              <w:bottom w:val="single" w:sz="4" w:space="0" w:color="000000"/>
            </w:tcBorders>
          </w:tcPr>
          <w:p w14:paraId="4CF70597" w14:textId="77777777" w:rsidR="008F0A77" w:rsidRDefault="008F0A77" w:rsidP="00EF6B7D">
            <w:pPr>
              <w:jc w:val="center"/>
              <w:rPr>
                <w:sz w:val="18"/>
                <w:szCs w:val="18"/>
              </w:rPr>
            </w:pPr>
            <w:r>
              <w:rPr>
                <w:sz w:val="18"/>
                <w:szCs w:val="18"/>
              </w:rPr>
              <w:t>26</w:t>
            </w:r>
          </w:p>
        </w:tc>
        <w:tc>
          <w:tcPr>
            <w:tcW w:w="567" w:type="dxa"/>
            <w:tcBorders>
              <w:bottom w:val="single" w:sz="4" w:space="0" w:color="000000"/>
            </w:tcBorders>
          </w:tcPr>
          <w:p w14:paraId="3B9E4780" w14:textId="77777777" w:rsidR="008F0A77" w:rsidRDefault="008F0A77" w:rsidP="00EF6B7D">
            <w:pPr>
              <w:jc w:val="center"/>
              <w:rPr>
                <w:sz w:val="18"/>
                <w:szCs w:val="18"/>
              </w:rPr>
            </w:pPr>
            <w:r>
              <w:rPr>
                <w:sz w:val="18"/>
                <w:szCs w:val="18"/>
              </w:rPr>
              <w:t>52</w:t>
            </w:r>
          </w:p>
        </w:tc>
        <w:tc>
          <w:tcPr>
            <w:tcW w:w="708" w:type="dxa"/>
            <w:tcBorders>
              <w:bottom w:val="single" w:sz="4" w:space="0" w:color="000000"/>
            </w:tcBorders>
          </w:tcPr>
          <w:p w14:paraId="4229C494" w14:textId="77777777" w:rsidR="008F0A77" w:rsidRDefault="008F0A77" w:rsidP="00EF6B7D">
            <w:pPr>
              <w:jc w:val="center"/>
              <w:rPr>
                <w:sz w:val="18"/>
                <w:szCs w:val="18"/>
              </w:rPr>
            </w:pPr>
            <w:r>
              <w:rPr>
                <w:color w:val="000000"/>
                <w:sz w:val="18"/>
                <w:szCs w:val="18"/>
              </w:rPr>
              <w:t>0,45 </w:t>
            </w:r>
          </w:p>
        </w:tc>
        <w:tc>
          <w:tcPr>
            <w:tcW w:w="1276" w:type="dxa"/>
            <w:tcBorders>
              <w:bottom w:val="single" w:sz="4" w:space="0" w:color="000000"/>
            </w:tcBorders>
            <w:vAlign w:val="center"/>
          </w:tcPr>
          <w:p w14:paraId="57673BC1" w14:textId="77777777" w:rsidR="008F0A77" w:rsidRDefault="008F0A77" w:rsidP="00EF6B7D">
            <w:pPr>
              <w:jc w:val="center"/>
              <w:rPr>
                <w:sz w:val="18"/>
                <w:szCs w:val="18"/>
              </w:rPr>
            </w:pPr>
            <w:r>
              <w:rPr>
                <w:color w:val="000000"/>
                <w:sz w:val="18"/>
                <w:szCs w:val="18"/>
              </w:rPr>
              <w:t>(0,26, 0,65)</w:t>
            </w:r>
          </w:p>
        </w:tc>
        <w:tc>
          <w:tcPr>
            <w:tcW w:w="567" w:type="dxa"/>
            <w:tcBorders>
              <w:bottom w:val="single" w:sz="4" w:space="0" w:color="000000"/>
            </w:tcBorders>
          </w:tcPr>
          <w:p w14:paraId="2E6C3AB9" w14:textId="77777777" w:rsidR="008F0A77" w:rsidRDefault="008F0A77" w:rsidP="00EF6B7D">
            <w:pPr>
              <w:jc w:val="center"/>
              <w:rPr>
                <w:sz w:val="18"/>
                <w:szCs w:val="18"/>
              </w:rPr>
            </w:pPr>
            <w:r>
              <w:rPr>
                <w:sz w:val="18"/>
                <w:szCs w:val="18"/>
              </w:rPr>
              <w:t>48</w:t>
            </w:r>
          </w:p>
        </w:tc>
        <w:tc>
          <w:tcPr>
            <w:tcW w:w="709" w:type="dxa"/>
            <w:tcBorders>
              <w:bottom w:val="single" w:sz="4" w:space="0" w:color="000000"/>
            </w:tcBorders>
          </w:tcPr>
          <w:p w14:paraId="09159C5C" w14:textId="77777777" w:rsidR="008F0A77" w:rsidRDefault="008F0A77" w:rsidP="00EF6B7D">
            <w:pPr>
              <w:jc w:val="center"/>
              <w:rPr>
                <w:sz w:val="18"/>
                <w:szCs w:val="18"/>
              </w:rPr>
            </w:pPr>
            <w:r>
              <w:rPr>
                <w:color w:val="262626"/>
                <w:sz w:val="18"/>
                <w:szCs w:val="18"/>
              </w:rPr>
              <w:t>0.56</w:t>
            </w:r>
          </w:p>
        </w:tc>
        <w:tc>
          <w:tcPr>
            <w:tcW w:w="1417" w:type="dxa"/>
            <w:tcBorders>
              <w:bottom w:val="single" w:sz="4" w:space="0" w:color="000000"/>
            </w:tcBorders>
          </w:tcPr>
          <w:p w14:paraId="1D1C1E09" w14:textId="77777777" w:rsidR="008F0A77" w:rsidRDefault="008F0A77" w:rsidP="00EF6B7D">
            <w:pPr>
              <w:jc w:val="center"/>
              <w:rPr>
                <w:color w:val="262626"/>
                <w:sz w:val="18"/>
                <w:szCs w:val="18"/>
              </w:rPr>
            </w:pPr>
            <w:r>
              <w:rPr>
                <w:sz w:val="18"/>
                <w:szCs w:val="18"/>
              </w:rPr>
              <w:t>(0.39; 0.72)</w:t>
            </w:r>
          </w:p>
        </w:tc>
      </w:tr>
      <w:tr w:rsidR="008F0A77" w14:paraId="720A0C0B" w14:textId="77777777" w:rsidTr="00EF6B7D">
        <w:trPr>
          <w:trHeight w:val="222"/>
          <w:jc w:val="center"/>
        </w:trPr>
        <w:tc>
          <w:tcPr>
            <w:tcW w:w="2122" w:type="dxa"/>
            <w:tcBorders>
              <w:top w:val="single" w:sz="4" w:space="0" w:color="000000"/>
            </w:tcBorders>
          </w:tcPr>
          <w:p w14:paraId="06DA7D51" w14:textId="77777777" w:rsidR="008F0A77" w:rsidRDefault="008F0A77" w:rsidP="00EF6B7D">
            <w:pPr>
              <w:jc w:val="center"/>
              <w:rPr>
                <w:b/>
                <w:sz w:val="18"/>
                <w:szCs w:val="18"/>
              </w:rPr>
            </w:pPr>
            <w:r>
              <w:rPr>
                <w:b/>
                <w:sz w:val="18"/>
                <w:szCs w:val="18"/>
              </w:rPr>
              <w:t>Factor 4. Choices</w:t>
            </w:r>
          </w:p>
        </w:tc>
        <w:tc>
          <w:tcPr>
            <w:tcW w:w="567" w:type="dxa"/>
            <w:tcBorders>
              <w:top w:val="single" w:sz="4" w:space="0" w:color="000000"/>
            </w:tcBorders>
          </w:tcPr>
          <w:p w14:paraId="07064AB2" w14:textId="77777777" w:rsidR="008F0A77" w:rsidRDefault="008F0A77" w:rsidP="00EF6B7D">
            <w:pPr>
              <w:jc w:val="center"/>
              <w:rPr>
                <w:sz w:val="18"/>
                <w:szCs w:val="18"/>
              </w:rPr>
            </w:pPr>
            <w:r>
              <w:rPr>
                <w:sz w:val="18"/>
                <w:szCs w:val="18"/>
              </w:rPr>
              <w:t>63</w:t>
            </w:r>
          </w:p>
        </w:tc>
        <w:tc>
          <w:tcPr>
            <w:tcW w:w="708" w:type="dxa"/>
            <w:tcBorders>
              <w:top w:val="single" w:sz="4" w:space="0" w:color="000000"/>
            </w:tcBorders>
          </w:tcPr>
          <w:p w14:paraId="176C3FF8" w14:textId="77777777" w:rsidR="008F0A77" w:rsidRDefault="008F0A77" w:rsidP="00EF6B7D">
            <w:pPr>
              <w:jc w:val="center"/>
              <w:rPr>
                <w:b/>
                <w:sz w:val="18"/>
                <w:szCs w:val="18"/>
              </w:rPr>
            </w:pPr>
            <w:r>
              <w:rPr>
                <w:b/>
                <w:sz w:val="18"/>
                <w:szCs w:val="18"/>
              </w:rPr>
              <w:t xml:space="preserve">0.62 </w:t>
            </w:r>
          </w:p>
        </w:tc>
        <w:tc>
          <w:tcPr>
            <w:tcW w:w="1276" w:type="dxa"/>
            <w:tcBorders>
              <w:top w:val="single" w:sz="4" w:space="0" w:color="000000"/>
            </w:tcBorders>
            <w:vAlign w:val="center"/>
          </w:tcPr>
          <w:p w14:paraId="2EDED480" w14:textId="77777777" w:rsidR="008F0A77" w:rsidRDefault="008F0A77" w:rsidP="00EF6B7D">
            <w:pPr>
              <w:jc w:val="center"/>
              <w:rPr>
                <w:b/>
                <w:sz w:val="18"/>
                <w:szCs w:val="18"/>
              </w:rPr>
            </w:pPr>
            <w:r>
              <w:rPr>
                <w:b/>
                <w:sz w:val="18"/>
                <w:szCs w:val="18"/>
              </w:rPr>
              <w:t>(0.47-0.74)</w:t>
            </w:r>
          </w:p>
        </w:tc>
        <w:tc>
          <w:tcPr>
            <w:tcW w:w="567" w:type="dxa"/>
            <w:tcBorders>
              <w:top w:val="single" w:sz="4" w:space="0" w:color="000000"/>
            </w:tcBorders>
          </w:tcPr>
          <w:p w14:paraId="358B1050" w14:textId="77777777" w:rsidR="008F0A77" w:rsidRDefault="008F0A77" w:rsidP="00EF6B7D">
            <w:pPr>
              <w:jc w:val="center"/>
              <w:rPr>
                <w:b/>
                <w:sz w:val="18"/>
                <w:szCs w:val="18"/>
              </w:rPr>
            </w:pPr>
            <w:r>
              <w:rPr>
                <w:b/>
                <w:sz w:val="18"/>
                <w:szCs w:val="18"/>
              </w:rPr>
              <w:t>68</w:t>
            </w:r>
          </w:p>
        </w:tc>
        <w:tc>
          <w:tcPr>
            <w:tcW w:w="709" w:type="dxa"/>
            <w:tcBorders>
              <w:top w:val="single" w:sz="4" w:space="0" w:color="000000"/>
            </w:tcBorders>
          </w:tcPr>
          <w:p w14:paraId="32FD906D" w14:textId="77777777" w:rsidR="008F0A77" w:rsidRDefault="008F0A77" w:rsidP="00EF6B7D">
            <w:pPr>
              <w:jc w:val="center"/>
              <w:rPr>
                <w:b/>
                <w:sz w:val="18"/>
                <w:szCs w:val="18"/>
              </w:rPr>
            </w:pPr>
            <w:r>
              <w:rPr>
                <w:b/>
                <w:sz w:val="18"/>
                <w:szCs w:val="18"/>
              </w:rPr>
              <w:t xml:space="preserve">0.71 </w:t>
            </w:r>
          </w:p>
        </w:tc>
        <w:tc>
          <w:tcPr>
            <w:tcW w:w="1417" w:type="dxa"/>
            <w:tcBorders>
              <w:top w:val="single" w:sz="4" w:space="0" w:color="000000"/>
            </w:tcBorders>
          </w:tcPr>
          <w:p w14:paraId="449A6463" w14:textId="77777777" w:rsidR="008F0A77" w:rsidRDefault="008F0A77" w:rsidP="00EF6B7D">
            <w:pPr>
              <w:jc w:val="center"/>
              <w:rPr>
                <w:b/>
                <w:color w:val="262626"/>
                <w:sz w:val="18"/>
                <w:szCs w:val="18"/>
              </w:rPr>
            </w:pPr>
            <w:r>
              <w:rPr>
                <w:b/>
                <w:sz w:val="18"/>
                <w:szCs w:val="18"/>
              </w:rPr>
              <w:t>(0.60–0.80)</w:t>
            </w:r>
          </w:p>
        </w:tc>
      </w:tr>
      <w:tr w:rsidR="008F0A77" w14:paraId="5615B6E4" w14:textId="77777777" w:rsidTr="00EF6B7D">
        <w:trPr>
          <w:trHeight w:val="222"/>
          <w:jc w:val="center"/>
        </w:trPr>
        <w:tc>
          <w:tcPr>
            <w:tcW w:w="2122" w:type="dxa"/>
          </w:tcPr>
          <w:p w14:paraId="067CF949" w14:textId="77777777" w:rsidR="008F0A77" w:rsidRDefault="008F0A77" w:rsidP="00EF6B7D">
            <w:pPr>
              <w:jc w:val="center"/>
              <w:rPr>
                <w:b/>
                <w:sz w:val="18"/>
                <w:szCs w:val="18"/>
              </w:rPr>
            </w:pPr>
            <w:r>
              <w:rPr>
                <w:sz w:val="18"/>
                <w:szCs w:val="18"/>
              </w:rPr>
              <w:t>4</w:t>
            </w:r>
          </w:p>
        </w:tc>
        <w:tc>
          <w:tcPr>
            <w:tcW w:w="567" w:type="dxa"/>
          </w:tcPr>
          <w:p w14:paraId="03741F98" w14:textId="77777777" w:rsidR="008F0A77" w:rsidRDefault="008F0A77" w:rsidP="00EF6B7D">
            <w:pPr>
              <w:jc w:val="center"/>
              <w:rPr>
                <w:sz w:val="18"/>
                <w:szCs w:val="18"/>
              </w:rPr>
            </w:pPr>
            <w:r>
              <w:rPr>
                <w:sz w:val="18"/>
                <w:szCs w:val="18"/>
              </w:rPr>
              <w:t>40</w:t>
            </w:r>
          </w:p>
        </w:tc>
        <w:tc>
          <w:tcPr>
            <w:tcW w:w="708" w:type="dxa"/>
          </w:tcPr>
          <w:p w14:paraId="18ECB4EE" w14:textId="77777777" w:rsidR="008F0A77" w:rsidRDefault="008F0A77" w:rsidP="00EF6B7D">
            <w:pPr>
              <w:jc w:val="center"/>
              <w:rPr>
                <w:sz w:val="18"/>
                <w:szCs w:val="18"/>
              </w:rPr>
            </w:pPr>
            <w:r>
              <w:rPr>
                <w:color w:val="000000"/>
                <w:sz w:val="18"/>
                <w:szCs w:val="18"/>
              </w:rPr>
              <w:t>0,56 </w:t>
            </w:r>
          </w:p>
        </w:tc>
        <w:tc>
          <w:tcPr>
            <w:tcW w:w="1276" w:type="dxa"/>
          </w:tcPr>
          <w:p w14:paraId="4BE5D677" w14:textId="77777777" w:rsidR="008F0A77" w:rsidRDefault="008F0A77" w:rsidP="00EF6B7D">
            <w:pPr>
              <w:jc w:val="center"/>
              <w:rPr>
                <w:sz w:val="18"/>
                <w:szCs w:val="18"/>
              </w:rPr>
            </w:pPr>
            <w:r>
              <w:rPr>
                <w:color w:val="000000"/>
                <w:sz w:val="18"/>
                <w:szCs w:val="18"/>
              </w:rPr>
              <w:t>(0,38, 0,73)</w:t>
            </w:r>
          </w:p>
        </w:tc>
        <w:tc>
          <w:tcPr>
            <w:tcW w:w="567" w:type="dxa"/>
          </w:tcPr>
          <w:p w14:paraId="4B61826C" w14:textId="77777777" w:rsidR="008F0A77" w:rsidRDefault="008F0A77" w:rsidP="00EF6B7D">
            <w:pPr>
              <w:jc w:val="center"/>
              <w:rPr>
                <w:sz w:val="18"/>
                <w:szCs w:val="18"/>
              </w:rPr>
            </w:pPr>
            <w:r>
              <w:rPr>
                <w:sz w:val="18"/>
                <w:szCs w:val="18"/>
              </w:rPr>
              <w:t>47</w:t>
            </w:r>
          </w:p>
        </w:tc>
        <w:tc>
          <w:tcPr>
            <w:tcW w:w="709" w:type="dxa"/>
          </w:tcPr>
          <w:p w14:paraId="76D5585A" w14:textId="77777777" w:rsidR="008F0A77" w:rsidRDefault="008F0A77" w:rsidP="00EF6B7D">
            <w:pPr>
              <w:jc w:val="center"/>
              <w:rPr>
                <w:sz w:val="18"/>
                <w:szCs w:val="18"/>
              </w:rPr>
            </w:pPr>
            <w:r>
              <w:rPr>
                <w:sz w:val="18"/>
                <w:szCs w:val="18"/>
              </w:rPr>
              <w:t>0.71</w:t>
            </w:r>
          </w:p>
        </w:tc>
        <w:tc>
          <w:tcPr>
            <w:tcW w:w="1417" w:type="dxa"/>
          </w:tcPr>
          <w:p w14:paraId="71AB5CD8" w14:textId="77777777" w:rsidR="008F0A77" w:rsidRDefault="008F0A77" w:rsidP="00EF6B7D">
            <w:pPr>
              <w:jc w:val="center"/>
              <w:rPr>
                <w:color w:val="262626"/>
                <w:sz w:val="18"/>
                <w:szCs w:val="18"/>
              </w:rPr>
            </w:pPr>
            <w:r>
              <w:rPr>
                <w:sz w:val="18"/>
                <w:szCs w:val="18"/>
              </w:rPr>
              <w:t>(0.57; 0.81)</w:t>
            </w:r>
          </w:p>
        </w:tc>
      </w:tr>
      <w:tr w:rsidR="008F0A77" w14:paraId="69CF0CF7" w14:textId="77777777" w:rsidTr="00EF6B7D">
        <w:trPr>
          <w:trHeight w:val="222"/>
          <w:jc w:val="center"/>
        </w:trPr>
        <w:tc>
          <w:tcPr>
            <w:tcW w:w="2122" w:type="dxa"/>
          </w:tcPr>
          <w:p w14:paraId="1A161C60" w14:textId="77777777" w:rsidR="008F0A77" w:rsidRDefault="008F0A77" w:rsidP="00EF6B7D">
            <w:pPr>
              <w:jc w:val="center"/>
              <w:rPr>
                <w:b/>
                <w:sz w:val="18"/>
                <w:szCs w:val="18"/>
              </w:rPr>
            </w:pPr>
            <w:r>
              <w:rPr>
                <w:sz w:val="18"/>
                <w:szCs w:val="18"/>
              </w:rPr>
              <w:t>5</w:t>
            </w:r>
          </w:p>
        </w:tc>
        <w:tc>
          <w:tcPr>
            <w:tcW w:w="567" w:type="dxa"/>
          </w:tcPr>
          <w:p w14:paraId="5D4B56A8" w14:textId="77777777" w:rsidR="008F0A77" w:rsidRDefault="008F0A77" w:rsidP="00EF6B7D">
            <w:pPr>
              <w:jc w:val="center"/>
              <w:rPr>
                <w:sz w:val="18"/>
                <w:szCs w:val="18"/>
              </w:rPr>
            </w:pPr>
            <w:r>
              <w:rPr>
                <w:sz w:val="18"/>
                <w:szCs w:val="18"/>
              </w:rPr>
              <w:t>36</w:t>
            </w:r>
          </w:p>
        </w:tc>
        <w:tc>
          <w:tcPr>
            <w:tcW w:w="708" w:type="dxa"/>
          </w:tcPr>
          <w:p w14:paraId="2E484552" w14:textId="77777777" w:rsidR="008F0A77" w:rsidRDefault="008F0A77" w:rsidP="00EF6B7D">
            <w:pPr>
              <w:jc w:val="center"/>
              <w:rPr>
                <w:sz w:val="18"/>
                <w:szCs w:val="18"/>
              </w:rPr>
            </w:pPr>
            <w:r>
              <w:rPr>
                <w:color w:val="000000"/>
                <w:sz w:val="18"/>
                <w:szCs w:val="18"/>
              </w:rPr>
              <w:t>0,78 </w:t>
            </w:r>
          </w:p>
        </w:tc>
        <w:tc>
          <w:tcPr>
            <w:tcW w:w="1276" w:type="dxa"/>
          </w:tcPr>
          <w:p w14:paraId="25982FE9" w14:textId="77777777" w:rsidR="008F0A77" w:rsidRDefault="008F0A77" w:rsidP="00EF6B7D">
            <w:pPr>
              <w:jc w:val="center"/>
              <w:rPr>
                <w:sz w:val="18"/>
                <w:szCs w:val="18"/>
              </w:rPr>
            </w:pPr>
            <w:r>
              <w:rPr>
                <w:color w:val="000000"/>
                <w:sz w:val="18"/>
                <w:szCs w:val="18"/>
              </w:rPr>
              <w:t xml:space="preserve"> (0,66, 0,87)</w:t>
            </w:r>
          </w:p>
        </w:tc>
        <w:tc>
          <w:tcPr>
            <w:tcW w:w="567" w:type="dxa"/>
          </w:tcPr>
          <w:p w14:paraId="5A72BE4E" w14:textId="77777777" w:rsidR="008F0A77" w:rsidRDefault="008F0A77" w:rsidP="00EF6B7D">
            <w:pPr>
              <w:jc w:val="center"/>
              <w:rPr>
                <w:sz w:val="18"/>
                <w:szCs w:val="18"/>
              </w:rPr>
            </w:pPr>
            <w:r>
              <w:rPr>
                <w:sz w:val="18"/>
                <w:szCs w:val="18"/>
              </w:rPr>
              <w:t>43</w:t>
            </w:r>
          </w:p>
        </w:tc>
        <w:tc>
          <w:tcPr>
            <w:tcW w:w="709" w:type="dxa"/>
          </w:tcPr>
          <w:p w14:paraId="7EFBAD2B" w14:textId="77777777" w:rsidR="008F0A77" w:rsidRDefault="008F0A77" w:rsidP="00EF6B7D">
            <w:pPr>
              <w:jc w:val="center"/>
              <w:rPr>
                <w:sz w:val="18"/>
                <w:szCs w:val="18"/>
              </w:rPr>
            </w:pPr>
            <w:r>
              <w:rPr>
                <w:sz w:val="18"/>
                <w:szCs w:val="18"/>
              </w:rPr>
              <w:t>0.70</w:t>
            </w:r>
          </w:p>
        </w:tc>
        <w:tc>
          <w:tcPr>
            <w:tcW w:w="1417" w:type="dxa"/>
          </w:tcPr>
          <w:p w14:paraId="182F4DF9" w14:textId="77777777" w:rsidR="008F0A77" w:rsidRDefault="008F0A77" w:rsidP="00EF6B7D">
            <w:pPr>
              <w:jc w:val="center"/>
              <w:rPr>
                <w:color w:val="262626"/>
                <w:sz w:val="18"/>
                <w:szCs w:val="18"/>
              </w:rPr>
            </w:pPr>
            <w:r>
              <w:rPr>
                <w:sz w:val="18"/>
                <w:szCs w:val="18"/>
              </w:rPr>
              <w:t>(0.56; 0.82)</w:t>
            </w:r>
          </w:p>
        </w:tc>
      </w:tr>
      <w:tr w:rsidR="008F0A77" w14:paraId="5C63776A" w14:textId="77777777" w:rsidTr="00EF6B7D">
        <w:trPr>
          <w:trHeight w:val="222"/>
          <w:jc w:val="center"/>
        </w:trPr>
        <w:tc>
          <w:tcPr>
            <w:tcW w:w="2122" w:type="dxa"/>
          </w:tcPr>
          <w:p w14:paraId="473152D2" w14:textId="77777777" w:rsidR="008F0A77" w:rsidRDefault="008F0A77" w:rsidP="00EF6B7D">
            <w:pPr>
              <w:jc w:val="center"/>
              <w:rPr>
                <w:b/>
                <w:sz w:val="18"/>
                <w:szCs w:val="18"/>
              </w:rPr>
            </w:pPr>
            <w:r>
              <w:rPr>
                <w:sz w:val="18"/>
                <w:szCs w:val="18"/>
              </w:rPr>
              <w:t>6</w:t>
            </w:r>
          </w:p>
        </w:tc>
        <w:tc>
          <w:tcPr>
            <w:tcW w:w="567" w:type="dxa"/>
          </w:tcPr>
          <w:p w14:paraId="4A431C21" w14:textId="77777777" w:rsidR="008F0A77" w:rsidRDefault="008F0A77" w:rsidP="00EF6B7D">
            <w:pPr>
              <w:jc w:val="center"/>
              <w:rPr>
                <w:sz w:val="18"/>
                <w:szCs w:val="18"/>
              </w:rPr>
            </w:pPr>
            <w:r>
              <w:rPr>
                <w:sz w:val="18"/>
                <w:szCs w:val="18"/>
              </w:rPr>
              <w:t>59</w:t>
            </w:r>
          </w:p>
        </w:tc>
        <w:tc>
          <w:tcPr>
            <w:tcW w:w="708" w:type="dxa"/>
          </w:tcPr>
          <w:p w14:paraId="0B9AEFAA" w14:textId="77777777" w:rsidR="008F0A77" w:rsidRDefault="008F0A77" w:rsidP="00EF6B7D">
            <w:pPr>
              <w:jc w:val="center"/>
              <w:rPr>
                <w:sz w:val="18"/>
                <w:szCs w:val="18"/>
              </w:rPr>
            </w:pPr>
            <w:r>
              <w:rPr>
                <w:color w:val="000000"/>
                <w:sz w:val="18"/>
                <w:szCs w:val="18"/>
              </w:rPr>
              <w:t>0,43 </w:t>
            </w:r>
          </w:p>
        </w:tc>
        <w:tc>
          <w:tcPr>
            <w:tcW w:w="1276" w:type="dxa"/>
          </w:tcPr>
          <w:p w14:paraId="51E8FFC9" w14:textId="77777777" w:rsidR="008F0A77" w:rsidRDefault="008F0A77" w:rsidP="00EF6B7D">
            <w:pPr>
              <w:jc w:val="center"/>
              <w:rPr>
                <w:sz w:val="18"/>
                <w:szCs w:val="18"/>
              </w:rPr>
            </w:pPr>
            <w:r>
              <w:rPr>
                <w:color w:val="000000"/>
                <w:sz w:val="18"/>
                <w:szCs w:val="18"/>
              </w:rPr>
              <w:t xml:space="preserve"> (0,22, 0,67)</w:t>
            </w:r>
          </w:p>
        </w:tc>
        <w:tc>
          <w:tcPr>
            <w:tcW w:w="567" w:type="dxa"/>
          </w:tcPr>
          <w:p w14:paraId="72A9903E" w14:textId="77777777" w:rsidR="008F0A77" w:rsidRDefault="008F0A77" w:rsidP="00EF6B7D">
            <w:pPr>
              <w:jc w:val="center"/>
              <w:rPr>
                <w:sz w:val="18"/>
                <w:szCs w:val="18"/>
              </w:rPr>
            </w:pPr>
            <w:r>
              <w:rPr>
                <w:sz w:val="18"/>
                <w:szCs w:val="18"/>
              </w:rPr>
              <w:t>59</w:t>
            </w:r>
          </w:p>
        </w:tc>
        <w:tc>
          <w:tcPr>
            <w:tcW w:w="709" w:type="dxa"/>
          </w:tcPr>
          <w:p w14:paraId="6E0F8CA3" w14:textId="77777777" w:rsidR="008F0A77" w:rsidRDefault="008F0A77" w:rsidP="00EF6B7D">
            <w:pPr>
              <w:jc w:val="center"/>
              <w:rPr>
                <w:sz w:val="18"/>
                <w:szCs w:val="18"/>
              </w:rPr>
            </w:pPr>
            <w:r>
              <w:rPr>
                <w:sz w:val="18"/>
                <w:szCs w:val="18"/>
              </w:rPr>
              <w:t>0.24</w:t>
            </w:r>
          </w:p>
        </w:tc>
        <w:tc>
          <w:tcPr>
            <w:tcW w:w="1417" w:type="dxa"/>
          </w:tcPr>
          <w:p w14:paraId="65933BA1" w14:textId="77777777" w:rsidR="008F0A77" w:rsidRDefault="008F0A77" w:rsidP="00EF6B7D">
            <w:pPr>
              <w:jc w:val="center"/>
              <w:rPr>
                <w:color w:val="262626"/>
                <w:sz w:val="18"/>
                <w:szCs w:val="18"/>
              </w:rPr>
            </w:pPr>
            <w:r>
              <w:rPr>
                <w:sz w:val="18"/>
                <w:szCs w:val="18"/>
              </w:rPr>
              <w:t>(0.08, 0.55)</w:t>
            </w:r>
          </w:p>
        </w:tc>
      </w:tr>
      <w:tr w:rsidR="008F0A77" w14:paraId="6A2F0ECC" w14:textId="77777777" w:rsidTr="00EF6B7D">
        <w:trPr>
          <w:trHeight w:val="222"/>
          <w:jc w:val="center"/>
        </w:trPr>
        <w:tc>
          <w:tcPr>
            <w:tcW w:w="2122" w:type="dxa"/>
          </w:tcPr>
          <w:p w14:paraId="6EE8F4DF" w14:textId="77777777" w:rsidR="008F0A77" w:rsidRDefault="008F0A77" w:rsidP="00EF6B7D">
            <w:pPr>
              <w:jc w:val="center"/>
              <w:rPr>
                <w:b/>
                <w:sz w:val="18"/>
                <w:szCs w:val="18"/>
              </w:rPr>
            </w:pPr>
            <w:r>
              <w:rPr>
                <w:sz w:val="18"/>
                <w:szCs w:val="18"/>
              </w:rPr>
              <w:t>10</w:t>
            </w:r>
          </w:p>
        </w:tc>
        <w:tc>
          <w:tcPr>
            <w:tcW w:w="567" w:type="dxa"/>
          </w:tcPr>
          <w:p w14:paraId="7A070745" w14:textId="77777777" w:rsidR="008F0A77" w:rsidRDefault="008F0A77" w:rsidP="00EF6B7D">
            <w:pPr>
              <w:jc w:val="center"/>
              <w:rPr>
                <w:sz w:val="18"/>
                <w:szCs w:val="18"/>
              </w:rPr>
            </w:pPr>
            <w:r>
              <w:rPr>
                <w:sz w:val="18"/>
                <w:szCs w:val="18"/>
              </w:rPr>
              <w:t>60</w:t>
            </w:r>
          </w:p>
        </w:tc>
        <w:tc>
          <w:tcPr>
            <w:tcW w:w="708" w:type="dxa"/>
          </w:tcPr>
          <w:p w14:paraId="7AAED06F" w14:textId="77777777" w:rsidR="008F0A77" w:rsidRDefault="008F0A77" w:rsidP="00EF6B7D">
            <w:pPr>
              <w:jc w:val="center"/>
              <w:rPr>
                <w:sz w:val="18"/>
                <w:szCs w:val="18"/>
              </w:rPr>
            </w:pPr>
            <w:r>
              <w:rPr>
                <w:color w:val="000000"/>
                <w:sz w:val="18"/>
                <w:szCs w:val="18"/>
              </w:rPr>
              <w:t>0,47 </w:t>
            </w:r>
          </w:p>
        </w:tc>
        <w:tc>
          <w:tcPr>
            <w:tcW w:w="1276" w:type="dxa"/>
          </w:tcPr>
          <w:p w14:paraId="1F7F2198" w14:textId="77777777" w:rsidR="008F0A77" w:rsidRDefault="008F0A77" w:rsidP="00EF6B7D">
            <w:pPr>
              <w:jc w:val="center"/>
              <w:rPr>
                <w:sz w:val="18"/>
                <w:szCs w:val="18"/>
              </w:rPr>
            </w:pPr>
            <w:r>
              <w:rPr>
                <w:color w:val="000000"/>
                <w:sz w:val="18"/>
                <w:szCs w:val="18"/>
              </w:rPr>
              <w:t xml:space="preserve"> (0,27, 0,68)</w:t>
            </w:r>
          </w:p>
        </w:tc>
        <w:tc>
          <w:tcPr>
            <w:tcW w:w="567" w:type="dxa"/>
          </w:tcPr>
          <w:p w14:paraId="6B389404" w14:textId="77777777" w:rsidR="008F0A77" w:rsidRDefault="008F0A77" w:rsidP="00EF6B7D">
            <w:pPr>
              <w:jc w:val="center"/>
              <w:rPr>
                <w:sz w:val="18"/>
                <w:szCs w:val="18"/>
              </w:rPr>
            </w:pPr>
            <w:r>
              <w:rPr>
                <w:sz w:val="18"/>
                <w:szCs w:val="18"/>
              </w:rPr>
              <w:t>64</w:t>
            </w:r>
          </w:p>
        </w:tc>
        <w:tc>
          <w:tcPr>
            <w:tcW w:w="709" w:type="dxa"/>
          </w:tcPr>
          <w:p w14:paraId="74934873" w14:textId="77777777" w:rsidR="008F0A77" w:rsidRDefault="008F0A77" w:rsidP="00EF6B7D">
            <w:pPr>
              <w:jc w:val="center"/>
              <w:rPr>
                <w:sz w:val="18"/>
                <w:szCs w:val="18"/>
              </w:rPr>
            </w:pPr>
            <w:r>
              <w:rPr>
                <w:sz w:val="18"/>
                <w:szCs w:val="18"/>
              </w:rPr>
              <w:t>0.72</w:t>
            </w:r>
          </w:p>
        </w:tc>
        <w:tc>
          <w:tcPr>
            <w:tcW w:w="1417" w:type="dxa"/>
          </w:tcPr>
          <w:p w14:paraId="514F4C4D" w14:textId="77777777" w:rsidR="008F0A77" w:rsidRDefault="008F0A77" w:rsidP="00EF6B7D">
            <w:pPr>
              <w:jc w:val="center"/>
              <w:rPr>
                <w:color w:val="262626"/>
                <w:sz w:val="18"/>
                <w:szCs w:val="18"/>
              </w:rPr>
            </w:pPr>
            <w:r>
              <w:rPr>
                <w:sz w:val="18"/>
                <w:szCs w:val="18"/>
              </w:rPr>
              <w:t>(0.61; 0.81)</w:t>
            </w:r>
          </w:p>
        </w:tc>
      </w:tr>
      <w:tr w:rsidR="008F0A77" w14:paraId="05578DAD" w14:textId="77777777" w:rsidTr="00EF6B7D">
        <w:trPr>
          <w:trHeight w:val="222"/>
          <w:jc w:val="center"/>
        </w:trPr>
        <w:tc>
          <w:tcPr>
            <w:tcW w:w="2122" w:type="dxa"/>
            <w:tcBorders>
              <w:bottom w:val="single" w:sz="4" w:space="0" w:color="000000"/>
            </w:tcBorders>
          </w:tcPr>
          <w:p w14:paraId="2A57865F" w14:textId="77777777" w:rsidR="008F0A77" w:rsidRDefault="008F0A77" w:rsidP="00EF6B7D">
            <w:pPr>
              <w:jc w:val="center"/>
              <w:rPr>
                <w:b/>
                <w:sz w:val="18"/>
                <w:szCs w:val="18"/>
              </w:rPr>
            </w:pPr>
            <w:r>
              <w:rPr>
                <w:sz w:val="18"/>
                <w:szCs w:val="18"/>
              </w:rPr>
              <w:t>27</w:t>
            </w:r>
          </w:p>
        </w:tc>
        <w:tc>
          <w:tcPr>
            <w:tcW w:w="567" w:type="dxa"/>
            <w:tcBorders>
              <w:bottom w:val="single" w:sz="4" w:space="0" w:color="000000"/>
            </w:tcBorders>
          </w:tcPr>
          <w:p w14:paraId="7ACAB151" w14:textId="77777777" w:rsidR="008F0A77" w:rsidRDefault="008F0A77" w:rsidP="00EF6B7D">
            <w:pPr>
              <w:jc w:val="center"/>
              <w:rPr>
                <w:sz w:val="18"/>
                <w:szCs w:val="18"/>
              </w:rPr>
            </w:pPr>
            <w:r>
              <w:rPr>
                <w:sz w:val="18"/>
                <w:szCs w:val="18"/>
              </w:rPr>
              <w:t>59</w:t>
            </w:r>
          </w:p>
        </w:tc>
        <w:tc>
          <w:tcPr>
            <w:tcW w:w="708" w:type="dxa"/>
            <w:tcBorders>
              <w:bottom w:val="single" w:sz="4" w:space="0" w:color="000000"/>
            </w:tcBorders>
          </w:tcPr>
          <w:p w14:paraId="4D016337" w14:textId="77777777" w:rsidR="008F0A77" w:rsidRDefault="008F0A77" w:rsidP="00EF6B7D">
            <w:pPr>
              <w:jc w:val="center"/>
              <w:rPr>
                <w:sz w:val="18"/>
                <w:szCs w:val="18"/>
              </w:rPr>
            </w:pPr>
            <w:r>
              <w:rPr>
                <w:color w:val="000000"/>
                <w:sz w:val="18"/>
                <w:szCs w:val="18"/>
              </w:rPr>
              <w:t>0,63 </w:t>
            </w:r>
          </w:p>
        </w:tc>
        <w:tc>
          <w:tcPr>
            <w:tcW w:w="1276" w:type="dxa"/>
            <w:tcBorders>
              <w:bottom w:val="single" w:sz="4" w:space="0" w:color="000000"/>
            </w:tcBorders>
            <w:vAlign w:val="center"/>
          </w:tcPr>
          <w:p w14:paraId="4948194F" w14:textId="77777777" w:rsidR="008F0A77" w:rsidRDefault="008F0A77" w:rsidP="00EF6B7D">
            <w:pPr>
              <w:jc w:val="center"/>
              <w:rPr>
                <w:sz w:val="18"/>
                <w:szCs w:val="18"/>
              </w:rPr>
            </w:pPr>
            <w:r>
              <w:rPr>
                <w:color w:val="000000"/>
                <w:sz w:val="18"/>
                <w:szCs w:val="18"/>
              </w:rPr>
              <w:t>(0,48, 0,76)</w:t>
            </w:r>
          </w:p>
        </w:tc>
        <w:tc>
          <w:tcPr>
            <w:tcW w:w="567" w:type="dxa"/>
            <w:tcBorders>
              <w:bottom w:val="single" w:sz="4" w:space="0" w:color="000000"/>
            </w:tcBorders>
          </w:tcPr>
          <w:p w14:paraId="6DFFCDDA" w14:textId="77777777" w:rsidR="008F0A77" w:rsidRDefault="008F0A77" w:rsidP="00EF6B7D">
            <w:pPr>
              <w:jc w:val="center"/>
              <w:rPr>
                <w:sz w:val="18"/>
                <w:szCs w:val="18"/>
              </w:rPr>
            </w:pPr>
            <w:r>
              <w:rPr>
                <w:sz w:val="18"/>
                <w:szCs w:val="18"/>
              </w:rPr>
              <w:t>64</w:t>
            </w:r>
          </w:p>
        </w:tc>
        <w:tc>
          <w:tcPr>
            <w:tcW w:w="709" w:type="dxa"/>
            <w:tcBorders>
              <w:bottom w:val="single" w:sz="4" w:space="0" w:color="000000"/>
            </w:tcBorders>
          </w:tcPr>
          <w:p w14:paraId="09892274" w14:textId="77777777" w:rsidR="008F0A77" w:rsidRDefault="008F0A77" w:rsidP="00EF6B7D">
            <w:pPr>
              <w:jc w:val="center"/>
              <w:rPr>
                <w:sz w:val="18"/>
                <w:szCs w:val="18"/>
              </w:rPr>
            </w:pPr>
            <w:r>
              <w:rPr>
                <w:color w:val="262626"/>
                <w:sz w:val="18"/>
                <w:szCs w:val="18"/>
              </w:rPr>
              <w:t>0.46</w:t>
            </w:r>
          </w:p>
        </w:tc>
        <w:tc>
          <w:tcPr>
            <w:tcW w:w="1417" w:type="dxa"/>
            <w:tcBorders>
              <w:bottom w:val="single" w:sz="4" w:space="0" w:color="000000"/>
            </w:tcBorders>
          </w:tcPr>
          <w:p w14:paraId="6CFB7229" w14:textId="77777777" w:rsidR="008F0A77" w:rsidRDefault="008F0A77" w:rsidP="00EF6B7D">
            <w:pPr>
              <w:jc w:val="center"/>
              <w:rPr>
                <w:color w:val="262626"/>
                <w:sz w:val="18"/>
                <w:szCs w:val="18"/>
              </w:rPr>
            </w:pPr>
            <w:r>
              <w:rPr>
                <w:sz w:val="18"/>
                <w:szCs w:val="18"/>
              </w:rPr>
              <w:t>(0.28; 0.65)</w:t>
            </w:r>
          </w:p>
        </w:tc>
      </w:tr>
      <w:tr w:rsidR="008F0A77" w14:paraId="245C995A" w14:textId="77777777" w:rsidTr="00EF6B7D">
        <w:trPr>
          <w:trHeight w:val="222"/>
          <w:jc w:val="center"/>
        </w:trPr>
        <w:tc>
          <w:tcPr>
            <w:tcW w:w="2122" w:type="dxa"/>
            <w:tcBorders>
              <w:top w:val="single" w:sz="4" w:space="0" w:color="000000"/>
            </w:tcBorders>
          </w:tcPr>
          <w:p w14:paraId="0AE2E637" w14:textId="77777777" w:rsidR="008F0A77" w:rsidRDefault="008F0A77" w:rsidP="00EF6B7D">
            <w:pPr>
              <w:jc w:val="center"/>
              <w:rPr>
                <w:b/>
                <w:sz w:val="18"/>
                <w:szCs w:val="18"/>
              </w:rPr>
            </w:pPr>
            <w:r>
              <w:rPr>
                <w:b/>
                <w:sz w:val="18"/>
                <w:szCs w:val="18"/>
              </w:rPr>
              <w:t>Factor 5. Individually-tailored services</w:t>
            </w:r>
          </w:p>
        </w:tc>
        <w:tc>
          <w:tcPr>
            <w:tcW w:w="567" w:type="dxa"/>
            <w:tcBorders>
              <w:top w:val="single" w:sz="4" w:space="0" w:color="000000"/>
            </w:tcBorders>
          </w:tcPr>
          <w:p w14:paraId="3DA68095" w14:textId="77777777" w:rsidR="008F0A77" w:rsidRDefault="008F0A77" w:rsidP="00EF6B7D">
            <w:pPr>
              <w:jc w:val="center"/>
              <w:rPr>
                <w:sz w:val="18"/>
                <w:szCs w:val="18"/>
              </w:rPr>
            </w:pPr>
            <w:r>
              <w:rPr>
                <w:sz w:val="18"/>
                <w:szCs w:val="18"/>
              </w:rPr>
              <w:t>63</w:t>
            </w:r>
          </w:p>
        </w:tc>
        <w:tc>
          <w:tcPr>
            <w:tcW w:w="708" w:type="dxa"/>
            <w:tcBorders>
              <w:top w:val="single" w:sz="4" w:space="0" w:color="000000"/>
            </w:tcBorders>
          </w:tcPr>
          <w:p w14:paraId="379F9B3D" w14:textId="77777777" w:rsidR="008F0A77" w:rsidRDefault="008F0A77" w:rsidP="00EF6B7D">
            <w:pPr>
              <w:jc w:val="center"/>
              <w:rPr>
                <w:b/>
                <w:sz w:val="18"/>
                <w:szCs w:val="18"/>
              </w:rPr>
            </w:pPr>
            <w:r>
              <w:rPr>
                <w:b/>
                <w:sz w:val="18"/>
                <w:szCs w:val="18"/>
              </w:rPr>
              <w:t xml:space="preserve">0.45 </w:t>
            </w:r>
          </w:p>
        </w:tc>
        <w:tc>
          <w:tcPr>
            <w:tcW w:w="1276" w:type="dxa"/>
            <w:tcBorders>
              <w:top w:val="single" w:sz="4" w:space="0" w:color="000000"/>
            </w:tcBorders>
            <w:vAlign w:val="center"/>
          </w:tcPr>
          <w:p w14:paraId="0113351A" w14:textId="77777777" w:rsidR="008F0A77" w:rsidRDefault="008F0A77" w:rsidP="00EF6B7D">
            <w:pPr>
              <w:jc w:val="center"/>
              <w:rPr>
                <w:b/>
                <w:sz w:val="18"/>
                <w:szCs w:val="18"/>
              </w:rPr>
            </w:pPr>
            <w:r>
              <w:rPr>
                <w:b/>
                <w:sz w:val="18"/>
                <w:szCs w:val="18"/>
              </w:rPr>
              <w:t>(0.27-0.64)</w:t>
            </w:r>
          </w:p>
        </w:tc>
        <w:tc>
          <w:tcPr>
            <w:tcW w:w="567" w:type="dxa"/>
            <w:tcBorders>
              <w:top w:val="single" w:sz="4" w:space="0" w:color="000000"/>
            </w:tcBorders>
          </w:tcPr>
          <w:p w14:paraId="58E8D3ED" w14:textId="77777777" w:rsidR="008F0A77" w:rsidRDefault="008F0A77" w:rsidP="00EF6B7D">
            <w:pPr>
              <w:jc w:val="center"/>
              <w:rPr>
                <w:b/>
                <w:sz w:val="18"/>
                <w:szCs w:val="18"/>
              </w:rPr>
            </w:pPr>
            <w:r>
              <w:rPr>
                <w:b/>
                <w:sz w:val="18"/>
                <w:szCs w:val="18"/>
              </w:rPr>
              <w:t>69</w:t>
            </w:r>
          </w:p>
        </w:tc>
        <w:tc>
          <w:tcPr>
            <w:tcW w:w="709" w:type="dxa"/>
            <w:tcBorders>
              <w:top w:val="single" w:sz="4" w:space="0" w:color="000000"/>
            </w:tcBorders>
          </w:tcPr>
          <w:p w14:paraId="77170EC0" w14:textId="77777777" w:rsidR="008F0A77" w:rsidRDefault="008F0A77" w:rsidP="00EF6B7D">
            <w:pPr>
              <w:jc w:val="center"/>
              <w:rPr>
                <w:b/>
                <w:sz w:val="18"/>
                <w:szCs w:val="18"/>
              </w:rPr>
            </w:pPr>
            <w:r>
              <w:rPr>
                <w:color w:val="000000"/>
                <w:sz w:val="18"/>
                <w:szCs w:val="18"/>
              </w:rPr>
              <w:t xml:space="preserve">0.71 </w:t>
            </w:r>
          </w:p>
        </w:tc>
        <w:tc>
          <w:tcPr>
            <w:tcW w:w="1417" w:type="dxa"/>
            <w:tcBorders>
              <w:top w:val="single" w:sz="4" w:space="0" w:color="000000"/>
            </w:tcBorders>
          </w:tcPr>
          <w:p w14:paraId="4A9DD762" w14:textId="77777777" w:rsidR="008F0A77" w:rsidRDefault="008F0A77" w:rsidP="00EF6B7D">
            <w:pPr>
              <w:jc w:val="center"/>
              <w:rPr>
                <w:b/>
                <w:color w:val="262626"/>
                <w:sz w:val="18"/>
                <w:szCs w:val="18"/>
              </w:rPr>
            </w:pPr>
            <w:r>
              <w:rPr>
                <w:color w:val="000000"/>
                <w:sz w:val="18"/>
                <w:szCs w:val="18"/>
              </w:rPr>
              <w:t>(0.58–0.81)</w:t>
            </w:r>
          </w:p>
        </w:tc>
      </w:tr>
      <w:tr w:rsidR="008F0A77" w14:paraId="3BA1AD6A" w14:textId="77777777" w:rsidTr="00EF6B7D">
        <w:trPr>
          <w:trHeight w:val="222"/>
          <w:jc w:val="center"/>
        </w:trPr>
        <w:tc>
          <w:tcPr>
            <w:tcW w:w="2122" w:type="dxa"/>
          </w:tcPr>
          <w:p w14:paraId="0F73E7DE" w14:textId="77777777" w:rsidR="008F0A77" w:rsidRDefault="008F0A77" w:rsidP="00EF6B7D">
            <w:pPr>
              <w:jc w:val="center"/>
              <w:rPr>
                <w:sz w:val="18"/>
                <w:szCs w:val="18"/>
              </w:rPr>
            </w:pPr>
            <w:r>
              <w:rPr>
                <w:sz w:val="18"/>
                <w:szCs w:val="18"/>
              </w:rPr>
              <w:t>11</w:t>
            </w:r>
          </w:p>
        </w:tc>
        <w:tc>
          <w:tcPr>
            <w:tcW w:w="567" w:type="dxa"/>
          </w:tcPr>
          <w:p w14:paraId="6C92DEC7" w14:textId="77777777" w:rsidR="008F0A77" w:rsidRDefault="008F0A77" w:rsidP="00EF6B7D">
            <w:pPr>
              <w:jc w:val="center"/>
              <w:rPr>
                <w:sz w:val="18"/>
                <w:szCs w:val="18"/>
              </w:rPr>
            </w:pPr>
            <w:r>
              <w:rPr>
                <w:sz w:val="18"/>
                <w:szCs w:val="18"/>
              </w:rPr>
              <w:t>57</w:t>
            </w:r>
          </w:p>
        </w:tc>
        <w:tc>
          <w:tcPr>
            <w:tcW w:w="708" w:type="dxa"/>
          </w:tcPr>
          <w:p w14:paraId="59795BCC" w14:textId="77777777" w:rsidR="008F0A77" w:rsidRDefault="008F0A77" w:rsidP="00EF6B7D">
            <w:pPr>
              <w:jc w:val="center"/>
              <w:rPr>
                <w:sz w:val="18"/>
                <w:szCs w:val="18"/>
              </w:rPr>
            </w:pPr>
            <w:r>
              <w:rPr>
                <w:color w:val="000000"/>
                <w:sz w:val="18"/>
                <w:szCs w:val="18"/>
              </w:rPr>
              <w:t>-0,06 </w:t>
            </w:r>
          </w:p>
        </w:tc>
        <w:tc>
          <w:tcPr>
            <w:tcW w:w="1276" w:type="dxa"/>
          </w:tcPr>
          <w:p w14:paraId="1FC38358" w14:textId="77777777" w:rsidR="008F0A77" w:rsidRDefault="008F0A77" w:rsidP="00EF6B7D">
            <w:pPr>
              <w:jc w:val="center"/>
              <w:rPr>
                <w:sz w:val="18"/>
                <w:szCs w:val="18"/>
              </w:rPr>
            </w:pPr>
            <w:r>
              <w:rPr>
                <w:color w:val="000000"/>
                <w:sz w:val="18"/>
                <w:szCs w:val="18"/>
              </w:rPr>
              <w:t>(-0,80, 0,36)</w:t>
            </w:r>
          </w:p>
        </w:tc>
        <w:tc>
          <w:tcPr>
            <w:tcW w:w="567" w:type="dxa"/>
          </w:tcPr>
          <w:p w14:paraId="2A927F77" w14:textId="77777777" w:rsidR="008F0A77" w:rsidRDefault="008F0A77" w:rsidP="00EF6B7D">
            <w:pPr>
              <w:jc w:val="center"/>
              <w:rPr>
                <w:sz w:val="18"/>
                <w:szCs w:val="18"/>
              </w:rPr>
            </w:pPr>
            <w:r>
              <w:rPr>
                <w:sz w:val="18"/>
                <w:szCs w:val="18"/>
              </w:rPr>
              <w:t>45</w:t>
            </w:r>
          </w:p>
        </w:tc>
        <w:tc>
          <w:tcPr>
            <w:tcW w:w="709" w:type="dxa"/>
          </w:tcPr>
          <w:p w14:paraId="5130D06C" w14:textId="77777777" w:rsidR="008F0A77" w:rsidRDefault="008F0A77" w:rsidP="00EF6B7D">
            <w:pPr>
              <w:jc w:val="center"/>
              <w:rPr>
                <w:sz w:val="18"/>
                <w:szCs w:val="18"/>
              </w:rPr>
            </w:pPr>
            <w:r>
              <w:rPr>
                <w:sz w:val="18"/>
                <w:szCs w:val="18"/>
              </w:rPr>
              <w:t>0.49</w:t>
            </w:r>
          </w:p>
        </w:tc>
        <w:tc>
          <w:tcPr>
            <w:tcW w:w="1417" w:type="dxa"/>
          </w:tcPr>
          <w:p w14:paraId="58B8910E" w14:textId="77777777" w:rsidR="008F0A77" w:rsidRDefault="008F0A77" w:rsidP="00EF6B7D">
            <w:pPr>
              <w:jc w:val="center"/>
              <w:rPr>
                <w:color w:val="262626"/>
                <w:sz w:val="18"/>
                <w:szCs w:val="18"/>
              </w:rPr>
            </w:pPr>
            <w:r>
              <w:rPr>
                <w:sz w:val="18"/>
                <w:szCs w:val="18"/>
              </w:rPr>
              <w:t>(0.29; 0.70)</w:t>
            </w:r>
          </w:p>
        </w:tc>
      </w:tr>
      <w:tr w:rsidR="008F0A77" w14:paraId="79C7E084" w14:textId="77777777" w:rsidTr="00EF6B7D">
        <w:trPr>
          <w:trHeight w:val="222"/>
          <w:jc w:val="center"/>
        </w:trPr>
        <w:tc>
          <w:tcPr>
            <w:tcW w:w="2122" w:type="dxa"/>
          </w:tcPr>
          <w:p w14:paraId="4486817E" w14:textId="77777777" w:rsidR="008F0A77" w:rsidRDefault="008F0A77" w:rsidP="00EF6B7D">
            <w:pPr>
              <w:jc w:val="center"/>
              <w:rPr>
                <w:sz w:val="18"/>
                <w:szCs w:val="18"/>
              </w:rPr>
            </w:pPr>
            <w:r>
              <w:rPr>
                <w:sz w:val="18"/>
                <w:szCs w:val="18"/>
              </w:rPr>
              <w:t>13</w:t>
            </w:r>
          </w:p>
        </w:tc>
        <w:tc>
          <w:tcPr>
            <w:tcW w:w="567" w:type="dxa"/>
          </w:tcPr>
          <w:p w14:paraId="77228B46" w14:textId="77777777" w:rsidR="008F0A77" w:rsidRDefault="008F0A77" w:rsidP="00EF6B7D">
            <w:pPr>
              <w:jc w:val="center"/>
              <w:rPr>
                <w:sz w:val="18"/>
                <w:szCs w:val="18"/>
              </w:rPr>
            </w:pPr>
            <w:r>
              <w:rPr>
                <w:sz w:val="18"/>
                <w:szCs w:val="18"/>
              </w:rPr>
              <w:t>61</w:t>
            </w:r>
          </w:p>
        </w:tc>
        <w:tc>
          <w:tcPr>
            <w:tcW w:w="708" w:type="dxa"/>
          </w:tcPr>
          <w:p w14:paraId="0345E7BB" w14:textId="77777777" w:rsidR="008F0A77" w:rsidRDefault="008F0A77" w:rsidP="00EF6B7D">
            <w:pPr>
              <w:jc w:val="center"/>
              <w:rPr>
                <w:sz w:val="18"/>
                <w:szCs w:val="18"/>
              </w:rPr>
            </w:pPr>
            <w:r>
              <w:rPr>
                <w:color w:val="000000"/>
                <w:sz w:val="18"/>
                <w:szCs w:val="18"/>
              </w:rPr>
              <w:t>0,29 </w:t>
            </w:r>
          </w:p>
        </w:tc>
        <w:tc>
          <w:tcPr>
            <w:tcW w:w="1276" w:type="dxa"/>
          </w:tcPr>
          <w:p w14:paraId="2BD7A89B" w14:textId="77777777" w:rsidR="008F0A77" w:rsidRDefault="008F0A77" w:rsidP="00EF6B7D">
            <w:pPr>
              <w:jc w:val="center"/>
              <w:rPr>
                <w:sz w:val="18"/>
                <w:szCs w:val="18"/>
              </w:rPr>
            </w:pPr>
            <w:r>
              <w:rPr>
                <w:color w:val="000000"/>
                <w:sz w:val="18"/>
                <w:szCs w:val="18"/>
              </w:rPr>
              <w:t xml:space="preserve"> (0,12, 0,54)</w:t>
            </w:r>
          </w:p>
        </w:tc>
        <w:tc>
          <w:tcPr>
            <w:tcW w:w="567" w:type="dxa"/>
          </w:tcPr>
          <w:p w14:paraId="0B6C1A94" w14:textId="77777777" w:rsidR="008F0A77" w:rsidRDefault="008F0A77" w:rsidP="00EF6B7D">
            <w:pPr>
              <w:jc w:val="center"/>
              <w:rPr>
                <w:sz w:val="18"/>
                <w:szCs w:val="18"/>
              </w:rPr>
            </w:pPr>
            <w:r>
              <w:rPr>
                <w:sz w:val="18"/>
                <w:szCs w:val="18"/>
              </w:rPr>
              <w:t>58</w:t>
            </w:r>
          </w:p>
        </w:tc>
        <w:tc>
          <w:tcPr>
            <w:tcW w:w="709" w:type="dxa"/>
          </w:tcPr>
          <w:p w14:paraId="4D446932" w14:textId="77777777" w:rsidR="008F0A77" w:rsidRDefault="008F0A77" w:rsidP="00EF6B7D">
            <w:pPr>
              <w:jc w:val="center"/>
              <w:rPr>
                <w:sz w:val="18"/>
                <w:szCs w:val="18"/>
              </w:rPr>
            </w:pPr>
            <w:r>
              <w:rPr>
                <w:sz w:val="18"/>
                <w:szCs w:val="18"/>
              </w:rPr>
              <w:t>0.39</w:t>
            </w:r>
          </w:p>
        </w:tc>
        <w:tc>
          <w:tcPr>
            <w:tcW w:w="1417" w:type="dxa"/>
          </w:tcPr>
          <w:p w14:paraId="54847D4D" w14:textId="77777777" w:rsidR="008F0A77" w:rsidRDefault="008F0A77" w:rsidP="00EF6B7D">
            <w:pPr>
              <w:jc w:val="center"/>
              <w:rPr>
                <w:color w:val="262626"/>
                <w:sz w:val="18"/>
                <w:szCs w:val="18"/>
              </w:rPr>
            </w:pPr>
            <w:r>
              <w:rPr>
                <w:sz w:val="18"/>
                <w:szCs w:val="18"/>
              </w:rPr>
              <w:t>(0.20; 0.62)</w:t>
            </w:r>
          </w:p>
        </w:tc>
      </w:tr>
      <w:tr w:rsidR="008F0A77" w14:paraId="0056E839" w14:textId="77777777" w:rsidTr="00EF6B7D">
        <w:trPr>
          <w:trHeight w:val="222"/>
          <w:jc w:val="center"/>
        </w:trPr>
        <w:tc>
          <w:tcPr>
            <w:tcW w:w="2122" w:type="dxa"/>
          </w:tcPr>
          <w:p w14:paraId="03FD173A" w14:textId="77777777" w:rsidR="008F0A77" w:rsidRDefault="008F0A77" w:rsidP="00EF6B7D">
            <w:pPr>
              <w:jc w:val="center"/>
              <w:rPr>
                <w:sz w:val="18"/>
                <w:szCs w:val="18"/>
              </w:rPr>
            </w:pPr>
            <w:r>
              <w:rPr>
                <w:sz w:val="18"/>
                <w:szCs w:val="18"/>
              </w:rPr>
              <w:t>19</w:t>
            </w:r>
          </w:p>
        </w:tc>
        <w:tc>
          <w:tcPr>
            <w:tcW w:w="567" w:type="dxa"/>
          </w:tcPr>
          <w:p w14:paraId="1F70B582" w14:textId="77777777" w:rsidR="008F0A77" w:rsidRDefault="008F0A77" w:rsidP="00EF6B7D">
            <w:pPr>
              <w:jc w:val="center"/>
              <w:rPr>
                <w:sz w:val="18"/>
                <w:szCs w:val="18"/>
              </w:rPr>
            </w:pPr>
            <w:r>
              <w:rPr>
                <w:sz w:val="18"/>
                <w:szCs w:val="18"/>
              </w:rPr>
              <w:t>55</w:t>
            </w:r>
          </w:p>
        </w:tc>
        <w:tc>
          <w:tcPr>
            <w:tcW w:w="708" w:type="dxa"/>
          </w:tcPr>
          <w:p w14:paraId="41F000DC" w14:textId="77777777" w:rsidR="008F0A77" w:rsidRDefault="008F0A77" w:rsidP="00EF6B7D">
            <w:pPr>
              <w:jc w:val="center"/>
              <w:rPr>
                <w:sz w:val="18"/>
                <w:szCs w:val="18"/>
              </w:rPr>
            </w:pPr>
            <w:r>
              <w:rPr>
                <w:color w:val="000000"/>
                <w:sz w:val="18"/>
                <w:szCs w:val="18"/>
              </w:rPr>
              <w:t>0,54</w:t>
            </w:r>
          </w:p>
        </w:tc>
        <w:tc>
          <w:tcPr>
            <w:tcW w:w="1276" w:type="dxa"/>
          </w:tcPr>
          <w:p w14:paraId="2F5DE073" w14:textId="77777777" w:rsidR="008F0A77" w:rsidRDefault="008F0A77" w:rsidP="00EF6B7D">
            <w:pPr>
              <w:jc w:val="center"/>
              <w:rPr>
                <w:sz w:val="18"/>
                <w:szCs w:val="18"/>
              </w:rPr>
            </w:pPr>
            <w:r>
              <w:rPr>
                <w:color w:val="000000"/>
                <w:sz w:val="18"/>
                <w:szCs w:val="18"/>
              </w:rPr>
              <w:t>(0,35, 0,72)</w:t>
            </w:r>
          </w:p>
        </w:tc>
        <w:tc>
          <w:tcPr>
            <w:tcW w:w="567" w:type="dxa"/>
          </w:tcPr>
          <w:p w14:paraId="3F785E2A" w14:textId="77777777" w:rsidR="008F0A77" w:rsidRDefault="008F0A77" w:rsidP="00EF6B7D">
            <w:pPr>
              <w:jc w:val="center"/>
              <w:rPr>
                <w:sz w:val="18"/>
                <w:szCs w:val="18"/>
              </w:rPr>
            </w:pPr>
            <w:r>
              <w:rPr>
                <w:sz w:val="18"/>
                <w:szCs w:val="18"/>
              </w:rPr>
              <w:t>58</w:t>
            </w:r>
          </w:p>
        </w:tc>
        <w:tc>
          <w:tcPr>
            <w:tcW w:w="709" w:type="dxa"/>
          </w:tcPr>
          <w:p w14:paraId="07C1488E" w14:textId="77777777" w:rsidR="008F0A77" w:rsidRDefault="008F0A77" w:rsidP="00EF6B7D">
            <w:pPr>
              <w:jc w:val="center"/>
              <w:rPr>
                <w:sz w:val="18"/>
                <w:szCs w:val="18"/>
              </w:rPr>
            </w:pPr>
            <w:r>
              <w:rPr>
                <w:sz w:val="18"/>
                <w:szCs w:val="18"/>
              </w:rPr>
              <w:t>0.53</w:t>
            </w:r>
          </w:p>
        </w:tc>
        <w:tc>
          <w:tcPr>
            <w:tcW w:w="1417" w:type="dxa"/>
          </w:tcPr>
          <w:p w14:paraId="1D091427" w14:textId="77777777" w:rsidR="008F0A77" w:rsidRDefault="008F0A77" w:rsidP="00EF6B7D">
            <w:pPr>
              <w:jc w:val="center"/>
              <w:rPr>
                <w:color w:val="262626"/>
                <w:sz w:val="18"/>
                <w:szCs w:val="18"/>
              </w:rPr>
            </w:pPr>
            <w:r>
              <w:rPr>
                <w:sz w:val="18"/>
                <w:szCs w:val="18"/>
              </w:rPr>
              <w:t>(0.32; 0.73)</w:t>
            </w:r>
          </w:p>
        </w:tc>
      </w:tr>
      <w:tr w:rsidR="008F0A77" w14:paraId="12EF0ECB" w14:textId="77777777" w:rsidTr="00EF6B7D">
        <w:trPr>
          <w:trHeight w:val="125"/>
          <w:jc w:val="center"/>
        </w:trPr>
        <w:tc>
          <w:tcPr>
            <w:tcW w:w="2122" w:type="dxa"/>
            <w:tcBorders>
              <w:bottom w:val="single" w:sz="4" w:space="0" w:color="000000"/>
            </w:tcBorders>
          </w:tcPr>
          <w:p w14:paraId="21179432" w14:textId="77777777" w:rsidR="008F0A77" w:rsidRDefault="008F0A77" w:rsidP="00EF6B7D">
            <w:pPr>
              <w:jc w:val="center"/>
              <w:rPr>
                <w:sz w:val="18"/>
                <w:szCs w:val="18"/>
              </w:rPr>
            </w:pPr>
            <w:r>
              <w:rPr>
                <w:sz w:val="18"/>
                <w:szCs w:val="18"/>
              </w:rPr>
              <w:t>30</w:t>
            </w:r>
          </w:p>
        </w:tc>
        <w:tc>
          <w:tcPr>
            <w:tcW w:w="567" w:type="dxa"/>
            <w:tcBorders>
              <w:bottom w:val="single" w:sz="4" w:space="0" w:color="000000"/>
            </w:tcBorders>
          </w:tcPr>
          <w:p w14:paraId="209D1291" w14:textId="77777777" w:rsidR="008F0A77" w:rsidRDefault="008F0A77" w:rsidP="00EF6B7D">
            <w:pPr>
              <w:jc w:val="center"/>
              <w:rPr>
                <w:sz w:val="18"/>
                <w:szCs w:val="18"/>
              </w:rPr>
            </w:pPr>
            <w:r>
              <w:rPr>
                <w:sz w:val="18"/>
                <w:szCs w:val="18"/>
              </w:rPr>
              <w:t>59</w:t>
            </w:r>
          </w:p>
        </w:tc>
        <w:tc>
          <w:tcPr>
            <w:tcW w:w="708" w:type="dxa"/>
            <w:tcBorders>
              <w:bottom w:val="single" w:sz="4" w:space="0" w:color="000000"/>
            </w:tcBorders>
          </w:tcPr>
          <w:p w14:paraId="44DE02B7" w14:textId="77777777" w:rsidR="008F0A77" w:rsidRDefault="008F0A77" w:rsidP="00EF6B7D">
            <w:pPr>
              <w:jc w:val="center"/>
              <w:rPr>
                <w:color w:val="000000"/>
                <w:sz w:val="18"/>
                <w:szCs w:val="18"/>
              </w:rPr>
            </w:pPr>
            <w:r>
              <w:rPr>
                <w:color w:val="000000"/>
                <w:sz w:val="18"/>
                <w:szCs w:val="18"/>
              </w:rPr>
              <w:t>0,63 </w:t>
            </w:r>
          </w:p>
        </w:tc>
        <w:tc>
          <w:tcPr>
            <w:tcW w:w="1276" w:type="dxa"/>
            <w:tcBorders>
              <w:bottom w:val="single" w:sz="4" w:space="0" w:color="000000"/>
            </w:tcBorders>
            <w:vAlign w:val="center"/>
          </w:tcPr>
          <w:p w14:paraId="141B0F9C" w14:textId="77777777" w:rsidR="008F0A77" w:rsidRDefault="008F0A77" w:rsidP="00EF6B7D">
            <w:pPr>
              <w:jc w:val="center"/>
              <w:rPr>
                <w:sz w:val="18"/>
                <w:szCs w:val="18"/>
              </w:rPr>
            </w:pPr>
            <w:r>
              <w:rPr>
                <w:color w:val="000000"/>
                <w:sz w:val="18"/>
                <w:szCs w:val="18"/>
              </w:rPr>
              <w:t>(0,47, 0,76)</w:t>
            </w:r>
          </w:p>
        </w:tc>
        <w:tc>
          <w:tcPr>
            <w:tcW w:w="567" w:type="dxa"/>
            <w:tcBorders>
              <w:bottom w:val="single" w:sz="4" w:space="0" w:color="000000"/>
            </w:tcBorders>
          </w:tcPr>
          <w:p w14:paraId="6D328113" w14:textId="77777777" w:rsidR="008F0A77" w:rsidRDefault="008F0A77" w:rsidP="00EF6B7D">
            <w:pPr>
              <w:jc w:val="center"/>
              <w:rPr>
                <w:sz w:val="18"/>
                <w:szCs w:val="18"/>
              </w:rPr>
            </w:pPr>
            <w:r>
              <w:rPr>
                <w:sz w:val="18"/>
                <w:szCs w:val="18"/>
              </w:rPr>
              <w:t>65</w:t>
            </w:r>
          </w:p>
        </w:tc>
        <w:tc>
          <w:tcPr>
            <w:tcW w:w="709" w:type="dxa"/>
            <w:tcBorders>
              <w:bottom w:val="single" w:sz="4" w:space="0" w:color="000000"/>
            </w:tcBorders>
          </w:tcPr>
          <w:p w14:paraId="458EB8F4" w14:textId="77777777" w:rsidR="008F0A77" w:rsidRDefault="008F0A77" w:rsidP="00EF6B7D">
            <w:pPr>
              <w:jc w:val="center"/>
              <w:rPr>
                <w:sz w:val="18"/>
                <w:szCs w:val="18"/>
              </w:rPr>
            </w:pPr>
            <w:r>
              <w:rPr>
                <w:sz w:val="18"/>
                <w:szCs w:val="18"/>
              </w:rPr>
              <w:t>0.35</w:t>
            </w:r>
          </w:p>
        </w:tc>
        <w:tc>
          <w:tcPr>
            <w:tcW w:w="1417" w:type="dxa"/>
            <w:tcBorders>
              <w:bottom w:val="single" w:sz="4" w:space="0" w:color="000000"/>
            </w:tcBorders>
          </w:tcPr>
          <w:p w14:paraId="0F5A36A5" w14:textId="77777777" w:rsidR="008F0A77" w:rsidRDefault="008F0A77" w:rsidP="00EF6B7D">
            <w:pPr>
              <w:jc w:val="center"/>
              <w:rPr>
                <w:color w:val="262626"/>
                <w:sz w:val="18"/>
                <w:szCs w:val="18"/>
              </w:rPr>
            </w:pPr>
            <w:r>
              <w:rPr>
                <w:sz w:val="18"/>
                <w:szCs w:val="18"/>
              </w:rPr>
              <w:t>(0.18; 0.58)</w:t>
            </w:r>
          </w:p>
        </w:tc>
      </w:tr>
      <w:tr w:rsidR="008F0A77" w14:paraId="54F58594" w14:textId="77777777" w:rsidTr="00EF6B7D">
        <w:trPr>
          <w:trHeight w:val="222"/>
          <w:jc w:val="center"/>
        </w:trPr>
        <w:tc>
          <w:tcPr>
            <w:tcW w:w="2122" w:type="dxa"/>
            <w:tcBorders>
              <w:top w:val="single" w:sz="4" w:space="0" w:color="000000"/>
            </w:tcBorders>
          </w:tcPr>
          <w:p w14:paraId="781733B8" w14:textId="77777777" w:rsidR="008F0A77" w:rsidRDefault="008F0A77" w:rsidP="00EF6B7D">
            <w:pPr>
              <w:jc w:val="center"/>
              <w:rPr>
                <w:b/>
                <w:sz w:val="18"/>
                <w:szCs w:val="18"/>
              </w:rPr>
            </w:pPr>
            <w:r>
              <w:rPr>
                <w:b/>
                <w:sz w:val="18"/>
                <w:szCs w:val="18"/>
              </w:rPr>
              <w:t>Factor 6 Inviting</w:t>
            </w:r>
          </w:p>
        </w:tc>
        <w:tc>
          <w:tcPr>
            <w:tcW w:w="567" w:type="dxa"/>
            <w:tcBorders>
              <w:top w:val="single" w:sz="4" w:space="0" w:color="000000"/>
            </w:tcBorders>
          </w:tcPr>
          <w:p w14:paraId="2D281FF8" w14:textId="77777777" w:rsidR="008F0A77" w:rsidRDefault="008F0A77" w:rsidP="00EF6B7D">
            <w:pPr>
              <w:jc w:val="center"/>
              <w:rPr>
                <w:sz w:val="18"/>
                <w:szCs w:val="18"/>
              </w:rPr>
            </w:pPr>
          </w:p>
        </w:tc>
        <w:tc>
          <w:tcPr>
            <w:tcW w:w="708" w:type="dxa"/>
            <w:tcBorders>
              <w:top w:val="single" w:sz="4" w:space="0" w:color="000000"/>
            </w:tcBorders>
          </w:tcPr>
          <w:p w14:paraId="775F25F6" w14:textId="77777777" w:rsidR="008F0A77" w:rsidRDefault="008F0A77" w:rsidP="00EF6B7D">
            <w:pPr>
              <w:jc w:val="center"/>
              <w:rPr>
                <w:sz w:val="18"/>
                <w:szCs w:val="18"/>
              </w:rPr>
            </w:pPr>
          </w:p>
        </w:tc>
        <w:tc>
          <w:tcPr>
            <w:tcW w:w="1276" w:type="dxa"/>
            <w:tcBorders>
              <w:top w:val="single" w:sz="4" w:space="0" w:color="000000"/>
            </w:tcBorders>
            <w:vAlign w:val="center"/>
          </w:tcPr>
          <w:p w14:paraId="18404967" w14:textId="77777777" w:rsidR="008F0A77" w:rsidRDefault="008F0A77" w:rsidP="00EF6B7D">
            <w:pPr>
              <w:jc w:val="center"/>
              <w:rPr>
                <w:sz w:val="18"/>
                <w:szCs w:val="18"/>
              </w:rPr>
            </w:pPr>
          </w:p>
        </w:tc>
        <w:tc>
          <w:tcPr>
            <w:tcW w:w="567" w:type="dxa"/>
            <w:tcBorders>
              <w:top w:val="single" w:sz="4" w:space="0" w:color="000000"/>
            </w:tcBorders>
          </w:tcPr>
          <w:p w14:paraId="754CB1C8" w14:textId="77777777" w:rsidR="008F0A77" w:rsidRDefault="008F0A77" w:rsidP="00EF6B7D">
            <w:pPr>
              <w:jc w:val="center"/>
              <w:rPr>
                <w:sz w:val="18"/>
                <w:szCs w:val="18"/>
              </w:rPr>
            </w:pPr>
          </w:p>
        </w:tc>
        <w:tc>
          <w:tcPr>
            <w:tcW w:w="709" w:type="dxa"/>
            <w:tcBorders>
              <w:top w:val="single" w:sz="4" w:space="0" w:color="000000"/>
            </w:tcBorders>
          </w:tcPr>
          <w:p w14:paraId="1A4D3CCB" w14:textId="77777777" w:rsidR="008F0A77" w:rsidRDefault="008F0A77" w:rsidP="00EF6B7D">
            <w:pPr>
              <w:jc w:val="center"/>
              <w:rPr>
                <w:sz w:val="18"/>
                <w:szCs w:val="18"/>
              </w:rPr>
            </w:pPr>
          </w:p>
        </w:tc>
        <w:tc>
          <w:tcPr>
            <w:tcW w:w="1417" w:type="dxa"/>
            <w:tcBorders>
              <w:top w:val="single" w:sz="4" w:space="0" w:color="000000"/>
            </w:tcBorders>
          </w:tcPr>
          <w:p w14:paraId="20220A65" w14:textId="77777777" w:rsidR="008F0A77" w:rsidRDefault="008F0A77" w:rsidP="00EF6B7D">
            <w:pPr>
              <w:jc w:val="center"/>
              <w:rPr>
                <w:color w:val="262626"/>
                <w:sz w:val="18"/>
                <w:szCs w:val="18"/>
              </w:rPr>
            </w:pPr>
          </w:p>
        </w:tc>
      </w:tr>
      <w:tr w:rsidR="008F0A77" w14:paraId="7EB758C7" w14:textId="77777777" w:rsidTr="00EF6B7D">
        <w:trPr>
          <w:trHeight w:val="222"/>
          <w:jc w:val="center"/>
        </w:trPr>
        <w:tc>
          <w:tcPr>
            <w:tcW w:w="2122" w:type="dxa"/>
          </w:tcPr>
          <w:p w14:paraId="6A126424" w14:textId="77777777" w:rsidR="008F0A77" w:rsidRDefault="008F0A77" w:rsidP="00EF6B7D">
            <w:pPr>
              <w:jc w:val="center"/>
              <w:rPr>
                <w:sz w:val="18"/>
                <w:szCs w:val="18"/>
              </w:rPr>
            </w:pPr>
            <w:r>
              <w:rPr>
                <w:sz w:val="18"/>
                <w:szCs w:val="18"/>
              </w:rPr>
              <w:t>1</w:t>
            </w:r>
          </w:p>
        </w:tc>
        <w:tc>
          <w:tcPr>
            <w:tcW w:w="567" w:type="dxa"/>
          </w:tcPr>
          <w:p w14:paraId="5E98B010" w14:textId="77777777" w:rsidR="008F0A77" w:rsidRDefault="008F0A77" w:rsidP="00EF6B7D">
            <w:pPr>
              <w:jc w:val="center"/>
              <w:rPr>
                <w:sz w:val="18"/>
                <w:szCs w:val="18"/>
              </w:rPr>
            </w:pPr>
            <w:r>
              <w:rPr>
                <w:sz w:val="18"/>
                <w:szCs w:val="18"/>
              </w:rPr>
              <w:t>62</w:t>
            </w:r>
          </w:p>
        </w:tc>
        <w:tc>
          <w:tcPr>
            <w:tcW w:w="708" w:type="dxa"/>
          </w:tcPr>
          <w:p w14:paraId="22A740BD" w14:textId="77777777" w:rsidR="008F0A77" w:rsidRDefault="008F0A77" w:rsidP="00EF6B7D">
            <w:pPr>
              <w:jc w:val="center"/>
              <w:rPr>
                <w:sz w:val="18"/>
                <w:szCs w:val="18"/>
              </w:rPr>
            </w:pPr>
            <w:r>
              <w:rPr>
                <w:color w:val="000000"/>
                <w:sz w:val="18"/>
                <w:szCs w:val="18"/>
              </w:rPr>
              <w:t>0,68</w:t>
            </w:r>
          </w:p>
        </w:tc>
        <w:tc>
          <w:tcPr>
            <w:tcW w:w="1276" w:type="dxa"/>
          </w:tcPr>
          <w:p w14:paraId="056B4DDB" w14:textId="77777777" w:rsidR="008F0A77" w:rsidRDefault="008F0A77" w:rsidP="00EF6B7D">
            <w:pPr>
              <w:jc w:val="center"/>
              <w:rPr>
                <w:sz w:val="18"/>
                <w:szCs w:val="18"/>
              </w:rPr>
            </w:pPr>
            <w:r>
              <w:rPr>
                <w:color w:val="000000"/>
                <w:sz w:val="18"/>
                <w:szCs w:val="18"/>
              </w:rPr>
              <w:t>(0,54, 0,79)</w:t>
            </w:r>
          </w:p>
        </w:tc>
        <w:tc>
          <w:tcPr>
            <w:tcW w:w="567" w:type="dxa"/>
          </w:tcPr>
          <w:p w14:paraId="00969112" w14:textId="77777777" w:rsidR="008F0A77" w:rsidRDefault="008F0A77" w:rsidP="00EF6B7D">
            <w:pPr>
              <w:jc w:val="center"/>
              <w:rPr>
                <w:sz w:val="18"/>
                <w:szCs w:val="18"/>
              </w:rPr>
            </w:pPr>
            <w:r>
              <w:rPr>
                <w:sz w:val="18"/>
                <w:szCs w:val="18"/>
              </w:rPr>
              <w:t>69</w:t>
            </w:r>
          </w:p>
        </w:tc>
        <w:tc>
          <w:tcPr>
            <w:tcW w:w="709" w:type="dxa"/>
          </w:tcPr>
          <w:p w14:paraId="2B481018" w14:textId="77777777" w:rsidR="008F0A77" w:rsidRDefault="008F0A77" w:rsidP="00EF6B7D">
            <w:pPr>
              <w:jc w:val="center"/>
              <w:rPr>
                <w:sz w:val="18"/>
                <w:szCs w:val="18"/>
              </w:rPr>
            </w:pPr>
            <w:r>
              <w:rPr>
                <w:sz w:val="18"/>
                <w:szCs w:val="18"/>
              </w:rPr>
              <w:t>0.59</w:t>
            </w:r>
          </w:p>
        </w:tc>
        <w:tc>
          <w:tcPr>
            <w:tcW w:w="1417" w:type="dxa"/>
          </w:tcPr>
          <w:p w14:paraId="069E372C" w14:textId="77777777" w:rsidR="008F0A77" w:rsidRDefault="008F0A77" w:rsidP="00EF6B7D">
            <w:pPr>
              <w:jc w:val="center"/>
              <w:rPr>
                <w:sz w:val="18"/>
                <w:szCs w:val="18"/>
              </w:rPr>
            </w:pPr>
            <w:r>
              <w:rPr>
                <w:sz w:val="18"/>
                <w:szCs w:val="18"/>
              </w:rPr>
              <w:t>(0.43; 0.73)</w:t>
            </w:r>
          </w:p>
        </w:tc>
      </w:tr>
      <w:tr w:rsidR="008F0A77" w14:paraId="713587B4" w14:textId="77777777" w:rsidTr="00EF6B7D">
        <w:trPr>
          <w:trHeight w:val="96"/>
          <w:jc w:val="center"/>
        </w:trPr>
        <w:tc>
          <w:tcPr>
            <w:tcW w:w="2122" w:type="dxa"/>
            <w:tcBorders>
              <w:bottom w:val="single" w:sz="4" w:space="0" w:color="000000"/>
            </w:tcBorders>
          </w:tcPr>
          <w:p w14:paraId="5AD5BEEB" w14:textId="77777777" w:rsidR="008F0A77" w:rsidRDefault="008F0A77" w:rsidP="00EF6B7D">
            <w:pPr>
              <w:jc w:val="center"/>
              <w:rPr>
                <w:sz w:val="18"/>
                <w:szCs w:val="18"/>
              </w:rPr>
            </w:pPr>
            <w:r>
              <w:rPr>
                <w:sz w:val="18"/>
                <w:szCs w:val="18"/>
              </w:rPr>
              <w:t>2</w:t>
            </w:r>
          </w:p>
        </w:tc>
        <w:tc>
          <w:tcPr>
            <w:tcW w:w="567" w:type="dxa"/>
            <w:tcBorders>
              <w:bottom w:val="single" w:sz="4" w:space="0" w:color="000000"/>
            </w:tcBorders>
          </w:tcPr>
          <w:p w14:paraId="550A1FE7" w14:textId="77777777" w:rsidR="008F0A77" w:rsidRDefault="008F0A77" w:rsidP="00EF6B7D">
            <w:pPr>
              <w:jc w:val="center"/>
              <w:rPr>
                <w:sz w:val="18"/>
                <w:szCs w:val="18"/>
              </w:rPr>
            </w:pPr>
            <w:r>
              <w:rPr>
                <w:sz w:val="18"/>
                <w:szCs w:val="18"/>
              </w:rPr>
              <w:t>63</w:t>
            </w:r>
          </w:p>
        </w:tc>
        <w:tc>
          <w:tcPr>
            <w:tcW w:w="708" w:type="dxa"/>
            <w:tcBorders>
              <w:bottom w:val="single" w:sz="4" w:space="0" w:color="000000"/>
            </w:tcBorders>
          </w:tcPr>
          <w:p w14:paraId="0076B54B" w14:textId="77777777" w:rsidR="008F0A77" w:rsidRDefault="008F0A77" w:rsidP="00EF6B7D">
            <w:pPr>
              <w:jc w:val="center"/>
              <w:rPr>
                <w:sz w:val="18"/>
                <w:szCs w:val="18"/>
              </w:rPr>
            </w:pPr>
            <w:r>
              <w:rPr>
                <w:color w:val="000000"/>
                <w:sz w:val="18"/>
                <w:szCs w:val="18"/>
              </w:rPr>
              <w:t>0,46</w:t>
            </w:r>
          </w:p>
        </w:tc>
        <w:tc>
          <w:tcPr>
            <w:tcW w:w="1276" w:type="dxa"/>
            <w:tcBorders>
              <w:bottom w:val="single" w:sz="4" w:space="0" w:color="000000"/>
            </w:tcBorders>
          </w:tcPr>
          <w:p w14:paraId="65159F96" w14:textId="77777777" w:rsidR="008F0A77" w:rsidRDefault="008F0A77" w:rsidP="00EF6B7D">
            <w:pPr>
              <w:jc w:val="center"/>
              <w:rPr>
                <w:sz w:val="18"/>
                <w:szCs w:val="18"/>
              </w:rPr>
            </w:pPr>
            <w:r>
              <w:rPr>
                <w:color w:val="000000"/>
                <w:sz w:val="18"/>
                <w:szCs w:val="18"/>
              </w:rPr>
              <w:t xml:space="preserve"> (0,27, 0,66)</w:t>
            </w:r>
          </w:p>
        </w:tc>
        <w:tc>
          <w:tcPr>
            <w:tcW w:w="567" w:type="dxa"/>
            <w:tcBorders>
              <w:bottom w:val="single" w:sz="4" w:space="0" w:color="000000"/>
            </w:tcBorders>
          </w:tcPr>
          <w:p w14:paraId="0998372E" w14:textId="77777777" w:rsidR="008F0A77" w:rsidRDefault="008F0A77" w:rsidP="00EF6B7D">
            <w:pPr>
              <w:jc w:val="center"/>
              <w:rPr>
                <w:sz w:val="18"/>
                <w:szCs w:val="18"/>
              </w:rPr>
            </w:pPr>
            <w:r>
              <w:rPr>
                <w:sz w:val="18"/>
                <w:szCs w:val="18"/>
              </w:rPr>
              <w:t>66</w:t>
            </w:r>
          </w:p>
        </w:tc>
        <w:tc>
          <w:tcPr>
            <w:tcW w:w="709" w:type="dxa"/>
            <w:tcBorders>
              <w:bottom w:val="single" w:sz="4" w:space="0" w:color="000000"/>
            </w:tcBorders>
          </w:tcPr>
          <w:p w14:paraId="2F899E0D" w14:textId="77777777" w:rsidR="008F0A77" w:rsidRDefault="008F0A77" w:rsidP="00EF6B7D">
            <w:pPr>
              <w:jc w:val="center"/>
              <w:rPr>
                <w:sz w:val="18"/>
                <w:szCs w:val="18"/>
              </w:rPr>
            </w:pPr>
            <w:r>
              <w:rPr>
                <w:sz w:val="18"/>
                <w:szCs w:val="18"/>
              </w:rPr>
              <w:t>0.81</w:t>
            </w:r>
          </w:p>
        </w:tc>
        <w:tc>
          <w:tcPr>
            <w:tcW w:w="1417" w:type="dxa"/>
            <w:tcBorders>
              <w:bottom w:val="single" w:sz="4" w:space="0" w:color="000000"/>
            </w:tcBorders>
          </w:tcPr>
          <w:p w14:paraId="4D81375B" w14:textId="77777777" w:rsidR="008F0A77" w:rsidRDefault="008F0A77" w:rsidP="00EF6B7D">
            <w:pPr>
              <w:jc w:val="center"/>
              <w:rPr>
                <w:sz w:val="18"/>
                <w:szCs w:val="18"/>
              </w:rPr>
            </w:pPr>
            <w:r>
              <w:rPr>
                <w:sz w:val="18"/>
                <w:szCs w:val="18"/>
              </w:rPr>
              <w:t>(0.73; 0.87)</w:t>
            </w:r>
          </w:p>
        </w:tc>
      </w:tr>
      <w:tr w:rsidR="008F0A77" w14:paraId="32FE375A" w14:textId="77777777" w:rsidTr="00EF6B7D">
        <w:trPr>
          <w:trHeight w:val="222"/>
          <w:jc w:val="center"/>
        </w:trPr>
        <w:tc>
          <w:tcPr>
            <w:tcW w:w="2122" w:type="dxa"/>
            <w:tcBorders>
              <w:top w:val="single" w:sz="4" w:space="0" w:color="000000"/>
            </w:tcBorders>
          </w:tcPr>
          <w:p w14:paraId="2DA408F1" w14:textId="77777777" w:rsidR="008F0A77" w:rsidRDefault="008F0A77" w:rsidP="00EF6B7D">
            <w:pPr>
              <w:jc w:val="center"/>
              <w:rPr>
                <w:b/>
                <w:sz w:val="18"/>
                <w:szCs w:val="18"/>
              </w:rPr>
            </w:pPr>
            <w:r>
              <w:rPr>
                <w:b/>
                <w:sz w:val="18"/>
                <w:szCs w:val="18"/>
              </w:rPr>
              <w:t>Family Only Appendix</w:t>
            </w:r>
          </w:p>
        </w:tc>
        <w:tc>
          <w:tcPr>
            <w:tcW w:w="567" w:type="dxa"/>
            <w:tcBorders>
              <w:top w:val="single" w:sz="4" w:space="0" w:color="000000"/>
            </w:tcBorders>
          </w:tcPr>
          <w:p w14:paraId="08F7C578" w14:textId="77777777" w:rsidR="008F0A77" w:rsidRDefault="008F0A77" w:rsidP="00EF6B7D">
            <w:pPr>
              <w:jc w:val="center"/>
              <w:rPr>
                <w:sz w:val="18"/>
                <w:szCs w:val="18"/>
              </w:rPr>
            </w:pPr>
          </w:p>
        </w:tc>
        <w:tc>
          <w:tcPr>
            <w:tcW w:w="708" w:type="dxa"/>
            <w:tcBorders>
              <w:top w:val="single" w:sz="4" w:space="0" w:color="000000"/>
            </w:tcBorders>
          </w:tcPr>
          <w:p w14:paraId="245F3DC0" w14:textId="77777777" w:rsidR="008F0A77" w:rsidRDefault="008F0A77" w:rsidP="00EF6B7D">
            <w:pPr>
              <w:jc w:val="center"/>
              <w:rPr>
                <w:sz w:val="18"/>
                <w:szCs w:val="18"/>
              </w:rPr>
            </w:pPr>
            <w:r>
              <w:rPr>
                <w:sz w:val="18"/>
                <w:szCs w:val="18"/>
              </w:rPr>
              <w:t>-</w:t>
            </w:r>
          </w:p>
        </w:tc>
        <w:tc>
          <w:tcPr>
            <w:tcW w:w="1276" w:type="dxa"/>
            <w:tcBorders>
              <w:top w:val="single" w:sz="4" w:space="0" w:color="000000"/>
            </w:tcBorders>
            <w:vAlign w:val="center"/>
          </w:tcPr>
          <w:p w14:paraId="74D0A838" w14:textId="77777777" w:rsidR="008F0A77" w:rsidRDefault="008F0A77" w:rsidP="00EF6B7D">
            <w:pPr>
              <w:jc w:val="center"/>
              <w:rPr>
                <w:sz w:val="18"/>
                <w:szCs w:val="18"/>
              </w:rPr>
            </w:pPr>
            <w:r>
              <w:rPr>
                <w:sz w:val="18"/>
                <w:szCs w:val="18"/>
              </w:rPr>
              <w:t xml:space="preserve"> ----------------</w:t>
            </w:r>
          </w:p>
        </w:tc>
        <w:tc>
          <w:tcPr>
            <w:tcW w:w="567" w:type="dxa"/>
            <w:tcBorders>
              <w:top w:val="single" w:sz="4" w:space="0" w:color="000000"/>
            </w:tcBorders>
          </w:tcPr>
          <w:p w14:paraId="03D25266" w14:textId="77777777" w:rsidR="008F0A77" w:rsidRDefault="008F0A77" w:rsidP="00EF6B7D">
            <w:pPr>
              <w:jc w:val="center"/>
              <w:rPr>
                <w:b/>
                <w:sz w:val="18"/>
                <w:szCs w:val="18"/>
              </w:rPr>
            </w:pPr>
            <w:r>
              <w:rPr>
                <w:b/>
                <w:sz w:val="18"/>
                <w:szCs w:val="18"/>
              </w:rPr>
              <w:t>70</w:t>
            </w:r>
          </w:p>
        </w:tc>
        <w:tc>
          <w:tcPr>
            <w:tcW w:w="709" w:type="dxa"/>
            <w:tcBorders>
              <w:top w:val="single" w:sz="4" w:space="0" w:color="000000"/>
            </w:tcBorders>
          </w:tcPr>
          <w:p w14:paraId="36AFD5D1" w14:textId="77777777" w:rsidR="008F0A77" w:rsidRDefault="008F0A77" w:rsidP="00EF6B7D">
            <w:pPr>
              <w:jc w:val="center"/>
              <w:rPr>
                <w:b/>
                <w:sz w:val="18"/>
                <w:szCs w:val="18"/>
              </w:rPr>
            </w:pPr>
            <w:r>
              <w:rPr>
                <w:b/>
                <w:sz w:val="18"/>
                <w:szCs w:val="18"/>
              </w:rPr>
              <w:t xml:space="preserve">0.75 </w:t>
            </w:r>
          </w:p>
        </w:tc>
        <w:tc>
          <w:tcPr>
            <w:tcW w:w="1417" w:type="dxa"/>
            <w:tcBorders>
              <w:top w:val="single" w:sz="4" w:space="0" w:color="000000"/>
            </w:tcBorders>
          </w:tcPr>
          <w:p w14:paraId="12AA86B3" w14:textId="77777777" w:rsidR="008F0A77" w:rsidRDefault="008F0A77" w:rsidP="00EF6B7D">
            <w:pPr>
              <w:jc w:val="center"/>
              <w:rPr>
                <w:b/>
                <w:sz w:val="18"/>
                <w:szCs w:val="18"/>
              </w:rPr>
            </w:pPr>
            <w:r>
              <w:rPr>
                <w:b/>
                <w:sz w:val="18"/>
                <w:szCs w:val="18"/>
              </w:rPr>
              <w:t>(0.65–0.83)</w:t>
            </w:r>
          </w:p>
        </w:tc>
      </w:tr>
      <w:tr w:rsidR="008F0A77" w14:paraId="79DC9DBD" w14:textId="77777777" w:rsidTr="00EF6B7D">
        <w:trPr>
          <w:trHeight w:val="222"/>
          <w:jc w:val="center"/>
        </w:trPr>
        <w:tc>
          <w:tcPr>
            <w:tcW w:w="2122" w:type="dxa"/>
          </w:tcPr>
          <w:p w14:paraId="5D9E459F" w14:textId="77777777" w:rsidR="008F0A77" w:rsidRDefault="008F0A77" w:rsidP="00EF6B7D">
            <w:pPr>
              <w:jc w:val="center"/>
              <w:rPr>
                <w:sz w:val="18"/>
                <w:szCs w:val="18"/>
              </w:rPr>
            </w:pPr>
            <w:r>
              <w:rPr>
                <w:sz w:val="18"/>
                <w:szCs w:val="18"/>
              </w:rPr>
              <w:t>33</w:t>
            </w:r>
          </w:p>
        </w:tc>
        <w:tc>
          <w:tcPr>
            <w:tcW w:w="567" w:type="dxa"/>
          </w:tcPr>
          <w:p w14:paraId="1BE1BB02" w14:textId="77777777" w:rsidR="008F0A77" w:rsidRDefault="008F0A77" w:rsidP="00EF6B7D">
            <w:pPr>
              <w:jc w:val="center"/>
              <w:rPr>
                <w:sz w:val="18"/>
                <w:szCs w:val="18"/>
              </w:rPr>
            </w:pPr>
          </w:p>
        </w:tc>
        <w:tc>
          <w:tcPr>
            <w:tcW w:w="708" w:type="dxa"/>
          </w:tcPr>
          <w:p w14:paraId="3DCFF1D3" w14:textId="77777777" w:rsidR="008F0A77" w:rsidRDefault="008F0A77" w:rsidP="00EF6B7D">
            <w:pPr>
              <w:jc w:val="center"/>
              <w:rPr>
                <w:sz w:val="18"/>
                <w:szCs w:val="18"/>
              </w:rPr>
            </w:pPr>
          </w:p>
        </w:tc>
        <w:tc>
          <w:tcPr>
            <w:tcW w:w="1276" w:type="dxa"/>
          </w:tcPr>
          <w:p w14:paraId="6D7D0B09" w14:textId="77777777" w:rsidR="008F0A77" w:rsidRDefault="008F0A77" w:rsidP="00EF6B7D">
            <w:pPr>
              <w:jc w:val="center"/>
              <w:rPr>
                <w:sz w:val="18"/>
                <w:szCs w:val="18"/>
              </w:rPr>
            </w:pPr>
          </w:p>
        </w:tc>
        <w:tc>
          <w:tcPr>
            <w:tcW w:w="567" w:type="dxa"/>
          </w:tcPr>
          <w:p w14:paraId="711D3ADF" w14:textId="77777777" w:rsidR="008F0A77" w:rsidRDefault="008F0A77" w:rsidP="00EF6B7D">
            <w:pPr>
              <w:jc w:val="center"/>
              <w:rPr>
                <w:sz w:val="18"/>
                <w:szCs w:val="18"/>
              </w:rPr>
            </w:pPr>
            <w:r>
              <w:rPr>
                <w:sz w:val="18"/>
                <w:szCs w:val="18"/>
              </w:rPr>
              <w:t>69</w:t>
            </w:r>
          </w:p>
        </w:tc>
        <w:tc>
          <w:tcPr>
            <w:tcW w:w="709" w:type="dxa"/>
          </w:tcPr>
          <w:p w14:paraId="09687EB7" w14:textId="77777777" w:rsidR="008F0A77" w:rsidRDefault="008F0A77" w:rsidP="00EF6B7D">
            <w:pPr>
              <w:jc w:val="center"/>
              <w:rPr>
                <w:sz w:val="18"/>
                <w:szCs w:val="18"/>
              </w:rPr>
            </w:pPr>
            <w:r>
              <w:rPr>
                <w:sz w:val="18"/>
                <w:szCs w:val="18"/>
              </w:rPr>
              <w:t>0.58</w:t>
            </w:r>
          </w:p>
        </w:tc>
        <w:tc>
          <w:tcPr>
            <w:tcW w:w="1417" w:type="dxa"/>
          </w:tcPr>
          <w:p w14:paraId="08D1F625" w14:textId="77777777" w:rsidR="008F0A77" w:rsidRDefault="008F0A77" w:rsidP="00EF6B7D">
            <w:pPr>
              <w:jc w:val="center"/>
              <w:rPr>
                <w:sz w:val="18"/>
                <w:szCs w:val="18"/>
              </w:rPr>
            </w:pPr>
            <w:r>
              <w:rPr>
                <w:sz w:val="18"/>
                <w:szCs w:val="18"/>
              </w:rPr>
              <w:t>(0.43; 0.72)</w:t>
            </w:r>
          </w:p>
        </w:tc>
      </w:tr>
      <w:tr w:rsidR="008F0A77" w14:paraId="3FF55C26" w14:textId="77777777" w:rsidTr="00EF6B7D">
        <w:trPr>
          <w:trHeight w:val="222"/>
          <w:jc w:val="center"/>
        </w:trPr>
        <w:tc>
          <w:tcPr>
            <w:tcW w:w="2122" w:type="dxa"/>
          </w:tcPr>
          <w:p w14:paraId="1F9C539F" w14:textId="77777777" w:rsidR="008F0A77" w:rsidRDefault="008F0A77" w:rsidP="00EF6B7D">
            <w:pPr>
              <w:jc w:val="center"/>
              <w:rPr>
                <w:sz w:val="18"/>
                <w:szCs w:val="18"/>
              </w:rPr>
            </w:pPr>
            <w:r>
              <w:rPr>
                <w:sz w:val="18"/>
                <w:szCs w:val="18"/>
              </w:rPr>
              <w:t>34</w:t>
            </w:r>
          </w:p>
        </w:tc>
        <w:tc>
          <w:tcPr>
            <w:tcW w:w="567" w:type="dxa"/>
          </w:tcPr>
          <w:p w14:paraId="4B40CD42" w14:textId="77777777" w:rsidR="008F0A77" w:rsidRDefault="008F0A77" w:rsidP="00EF6B7D">
            <w:pPr>
              <w:jc w:val="center"/>
              <w:rPr>
                <w:sz w:val="18"/>
                <w:szCs w:val="18"/>
              </w:rPr>
            </w:pPr>
          </w:p>
        </w:tc>
        <w:tc>
          <w:tcPr>
            <w:tcW w:w="708" w:type="dxa"/>
          </w:tcPr>
          <w:p w14:paraId="100F364B" w14:textId="77777777" w:rsidR="008F0A77" w:rsidRDefault="008F0A77" w:rsidP="00EF6B7D">
            <w:pPr>
              <w:jc w:val="center"/>
              <w:rPr>
                <w:sz w:val="18"/>
                <w:szCs w:val="18"/>
              </w:rPr>
            </w:pPr>
          </w:p>
        </w:tc>
        <w:tc>
          <w:tcPr>
            <w:tcW w:w="1276" w:type="dxa"/>
          </w:tcPr>
          <w:p w14:paraId="32A2A281" w14:textId="77777777" w:rsidR="008F0A77" w:rsidRDefault="008F0A77" w:rsidP="00EF6B7D">
            <w:pPr>
              <w:jc w:val="center"/>
              <w:rPr>
                <w:sz w:val="18"/>
                <w:szCs w:val="18"/>
              </w:rPr>
            </w:pPr>
          </w:p>
        </w:tc>
        <w:tc>
          <w:tcPr>
            <w:tcW w:w="567" w:type="dxa"/>
          </w:tcPr>
          <w:p w14:paraId="2440FEBD" w14:textId="77777777" w:rsidR="008F0A77" w:rsidRDefault="008F0A77" w:rsidP="00EF6B7D">
            <w:pPr>
              <w:jc w:val="center"/>
              <w:rPr>
                <w:sz w:val="18"/>
                <w:szCs w:val="18"/>
              </w:rPr>
            </w:pPr>
            <w:r>
              <w:rPr>
                <w:sz w:val="18"/>
                <w:szCs w:val="18"/>
              </w:rPr>
              <w:t>66</w:t>
            </w:r>
          </w:p>
        </w:tc>
        <w:tc>
          <w:tcPr>
            <w:tcW w:w="709" w:type="dxa"/>
          </w:tcPr>
          <w:p w14:paraId="6C796443" w14:textId="77777777" w:rsidR="008F0A77" w:rsidRDefault="008F0A77" w:rsidP="00EF6B7D">
            <w:pPr>
              <w:jc w:val="center"/>
              <w:rPr>
                <w:sz w:val="18"/>
                <w:szCs w:val="18"/>
              </w:rPr>
            </w:pPr>
            <w:r>
              <w:rPr>
                <w:sz w:val="18"/>
                <w:szCs w:val="18"/>
              </w:rPr>
              <w:t>0.64</w:t>
            </w:r>
          </w:p>
        </w:tc>
        <w:tc>
          <w:tcPr>
            <w:tcW w:w="1417" w:type="dxa"/>
          </w:tcPr>
          <w:p w14:paraId="080842BF" w14:textId="77777777" w:rsidR="008F0A77" w:rsidRDefault="008F0A77" w:rsidP="00EF6B7D">
            <w:pPr>
              <w:jc w:val="center"/>
              <w:rPr>
                <w:sz w:val="18"/>
                <w:szCs w:val="18"/>
              </w:rPr>
            </w:pPr>
            <w:r>
              <w:rPr>
                <w:sz w:val="18"/>
                <w:szCs w:val="18"/>
              </w:rPr>
              <w:t>(0.51; 0.76)</w:t>
            </w:r>
          </w:p>
        </w:tc>
      </w:tr>
      <w:tr w:rsidR="008F0A77" w14:paraId="0606B22C" w14:textId="77777777" w:rsidTr="00EF6B7D">
        <w:trPr>
          <w:trHeight w:val="222"/>
          <w:jc w:val="center"/>
        </w:trPr>
        <w:tc>
          <w:tcPr>
            <w:tcW w:w="2122" w:type="dxa"/>
          </w:tcPr>
          <w:p w14:paraId="42DCF193" w14:textId="77777777" w:rsidR="008F0A77" w:rsidRDefault="008F0A77" w:rsidP="00EF6B7D">
            <w:pPr>
              <w:jc w:val="center"/>
              <w:rPr>
                <w:sz w:val="18"/>
                <w:szCs w:val="18"/>
              </w:rPr>
            </w:pPr>
            <w:r>
              <w:rPr>
                <w:sz w:val="18"/>
                <w:szCs w:val="18"/>
              </w:rPr>
              <w:t>35</w:t>
            </w:r>
          </w:p>
        </w:tc>
        <w:tc>
          <w:tcPr>
            <w:tcW w:w="567" w:type="dxa"/>
          </w:tcPr>
          <w:p w14:paraId="312C7117" w14:textId="77777777" w:rsidR="008F0A77" w:rsidRDefault="008F0A77" w:rsidP="00EF6B7D">
            <w:pPr>
              <w:jc w:val="center"/>
              <w:rPr>
                <w:sz w:val="18"/>
                <w:szCs w:val="18"/>
              </w:rPr>
            </w:pPr>
          </w:p>
        </w:tc>
        <w:tc>
          <w:tcPr>
            <w:tcW w:w="708" w:type="dxa"/>
          </w:tcPr>
          <w:p w14:paraId="10FB4D49" w14:textId="77777777" w:rsidR="008F0A77" w:rsidRDefault="008F0A77" w:rsidP="00EF6B7D">
            <w:pPr>
              <w:jc w:val="center"/>
              <w:rPr>
                <w:sz w:val="18"/>
                <w:szCs w:val="18"/>
              </w:rPr>
            </w:pPr>
          </w:p>
        </w:tc>
        <w:tc>
          <w:tcPr>
            <w:tcW w:w="1276" w:type="dxa"/>
          </w:tcPr>
          <w:p w14:paraId="13D09967" w14:textId="77777777" w:rsidR="008F0A77" w:rsidRDefault="008F0A77" w:rsidP="00EF6B7D">
            <w:pPr>
              <w:jc w:val="center"/>
              <w:rPr>
                <w:sz w:val="18"/>
                <w:szCs w:val="18"/>
              </w:rPr>
            </w:pPr>
          </w:p>
        </w:tc>
        <w:tc>
          <w:tcPr>
            <w:tcW w:w="567" w:type="dxa"/>
          </w:tcPr>
          <w:p w14:paraId="4499BA84" w14:textId="77777777" w:rsidR="008F0A77" w:rsidRDefault="008F0A77" w:rsidP="00EF6B7D">
            <w:pPr>
              <w:jc w:val="center"/>
              <w:rPr>
                <w:sz w:val="18"/>
                <w:szCs w:val="18"/>
              </w:rPr>
            </w:pPr>
            <w:r>
              <w:rPr>
                <w:sz w:val="18"/>
                <w:szCs w:val="18"/>
              </w:rPr>
              <w:t>67</w:t>
            </w:r>
          </w:p>
        </w:tc>
        <w:tc>
          <w:tcPr>
            <w:tcW w:w="709" w:type="dxa"/>
          </w:tcPr>
          <w:p w14:paraId="58953956" w14:textId="77777777" w:rsidR="008F0A77" w:rsidRDefault="008F0A77" w:rsidP="00EF6B7D">
            <w:pPr>
              <w:jc w:val="center"/>
              <w:rPr>
                <w:sz w:val="18"/>
                <w:szCs w:val="18"/>
              </w:rPr>
            </w:pPr>
            <w:r>
              <w:rPr>
                <w:sz w:val="18"/>
                <w:szCs w:val="18"/>
              </w:rPr>
              <w:t>0.55</w:t>
            </w:r>
          </w:p>
        </w:tc>
        <w:tc>
          <w:tcPr>
            <w:tcW w:w="1417" w:type="dxa"/>
          </w:tcPr>
          <w:p w14:paraId="6FC57AD8" w14:textId="77777777" w:rsidR="008F0A77" w:rsidRDefault="008F0A77" w:rsidP="00EF6B7D">
            <w:pPr>
              <w:jc w:val="center"/>
              <w:rPr>
                <w:sz w:val="18"/>
                <w:szCs w:val="18"/>
              </w:rPr>
            </w:pPr>
            <w:r>
              <w:rPr>
                <w:sz w:val="18"/>
                <w:szCs w:val="18"/>
              </w:rPr>
              <w:t>(0.41; 0.69)</w:t>
            </w:r>
          </w:p>
        </w:tc>
      </w:tr>
      <w:tr w:rsidR="008F0A77" w14:paraId="4F6EA18D" w14:textId="77777777" w:rsidTr="00EF6B7D">
        <w:trPr>
          <w:trHeight w:val="222"/>
          <w:jc w:val="center"/>
        </w:trPr>
        <w:tc>
          <w:tcPr>
            <w:tcW w:w="2122" w:type="dxa"/>
          </w:tcPr>
          <w:p w14:paraId="49EE05A5" w14:textId="77777777" w:rsidR="008F0A77" w:rsidRDefault="008F0A77" w:rsidP="00EF6B7D">
            <w:pPr>
              <w:jc w:val="center"/>
              <w:rPr>
                <w:sz w:val="18"/>
                <w:szCs w:val="18"/>
              </w:rPr>
            </w:pPr>
            <w:r>
              <w:rPr>
                <w:sz w:val="18"/>
                <w:szCs w:val="18"/>
              </w:rPr>
              <w:t>36</w:t>
            </w:r>
          </w:p>
        </w:tc>
        <w:tc>
          <w:tcPr>
            <w:tcW w:w="567" w:type="dxa"/>
          </w:tcPr>
          <w:p w14:paraId="4B5B659B" w14:textId="77777777" w:rsidR="008F0A77" w:rsidRDefault="008F0A77" w:rsidP="00EF6B7D">
            <w:pPr>
              <w:jc w:val="center"/>
              <w:rPr>
                <w:sz w:val="18"/>
                <w:szCs w:val="18"/>
              </w:rPr>
            </w:pPr>
          </w:p>
        </w:tc>
        <w:tc>
          <w:tcPr>
            <w:tcW w:w="708" w:type="dxa"/>
          </w:tcPr>
          <w:p w14:paraId="0C55BCE9" w14:textId="77777777" w:rsidR="008F0A77" w:rsidRDefault="008F0A77" w:rsidP="00EF6B7D">
            <w:pPr>
              <w:jc w:val="center"/>
              <w:rPr>
                <w:sz w:val="18"/>
                <w:szCs w:val="18"/>
              </w:rPr>
            </w:pPr>
          </w:p>
        </w:tc>
        <w:tc>
          <w:tcPr>
            <w:tcW w:w="1276" w:type="dxa"/>
          </w:tcPr>
          <w:p w14:paraId="503CE2B4" w14:textId="77777777" w:rsidR="008F0A77" w:rsidRDefault="008F0A77" w:rsidP="00EF6B7D">
            <w:pPr>
              <w:jc w:val="center"/>
              <w:rPr>
                <w:sz w:val="18"/>
                <w:szCs w:val="18"/>
              </w:rPr>
            </w:pPr>
          </w:p>
        </w:tc>
        <w:tc>
          <w:tcPr>
            <w:tcW w:w="567" w:type="dxa"/>
          </w:tcPr>
          <w:p w14:paraId="4AD1E5BD" w14:textId="77777777" w:rsidR="008F0A77" w:rsidRDefault="008F0A77" w:rsidP="00EF6B7D">
            <w:pPr>
              <w:jc w:val="center"/>
              <w:rPr>
                <w:sz w:val="18"/>
                <w:szCs w:val="18"/>
              </w:rPr>
            </w:pPr>
            <w:r>
              <w:rPr>
                <w:sz w:val="18"/>
                <w:szCs w:val="18"/>
              </w:rPr>
              <w:t>51</w:t>
            </w:r>
          </w:p>
        </w:tc>
        <w:tc>
          <w:tcPr>
            <w:tcW w:w="709" w:type="dxa"/>
          </w:tcPr>
          <w:p w14:paraId="71674F09" w14:textId="77777777" w:rsidR="008F0A77" w:rsidRDefault="008F0A77" w:rsidP="00EF6B7D">
            <w:pPr>
              <w:jc w:val="center"/>
              <w:rPr>
                <w:sz w:val="18"/>
                <w:szCs w:val="18"/>
              </w:rPr>
            </w:pPr>
            <w:r>
              <w:rPr>
                <w:sz w:val="18"/>
                <w:szCs w:val="18"/>
              </w:rPr>
              <w:t>0.37</w:t>
            </w:r>
          </w:p>
        </w:tc>
        <w:tc>
          <w:tcPr>
            <w:tcW w:w="1417" w:type="dxa"/>
          </w:tcPr>
          <w:p w14:paraId="23500222" w14:textId="77777777" w:rsidR="008F0A77" w:rsidRDefault="008F0A77" w:rsidP="00EF6B7D">
            <w:pPr>
              <w:jc w:val="center"/>
              <w:rPr>
                <w:sz w:val="18"/>
                <w:szCs w:val="18"/>
              </w:rPr>
            </w:pPr>
            <w:r>
              <w:rPr>
                <w:sz w:val="18"/>
                <w:szCs w:val="18"/>
              </w:rPr>
              <w:t>(0.20; 0.59)</w:t>
            </w:r>
          </w:p>
        </w:tc>
      </w:tr>
      <w:tr w:rsidR="008F0A77" w14:paraId="0C72CFD3" w14:textId="77777777" w:rsidTr="00EF6B7D">
        <w:trPr>
          <w:trHeight w:val="222"/>
          <w:jc w:val="center"/>
        </w:trPr>
        <w:tc>
          <w:tcPr>
            <w:tcW w:w="2122" w:type="dxa"/>
          </w:tcPr>
          <w:p w14:paraId="623877D6" w14:textId="77777777" w:rsidR="008F0A77" w:rsidRDefault="008F0A77" w:rsidP="00EF6B7D">
            <w:pPr>
              <w:jc w:val="center"/>
              <w:rPr>
                <w:sz w:val="18"/>
                <w:szCs w:val="18"/>
              </w:rPr>
            </w:pPr>
            <w:r>
              <w:rPr>
                <w:sz w:val="18"/>
                <w:szCs w:val="18"/>
              </w:rPr>
              <w:t>37</w:t>
            </w:r>
          </w:p>
        </w:tc>
        <w:tc>
          <w:tcPr>
            <w:tcW w:w="567" w:type="dxa"/>
          </w:tcPr>
          <w:p w14:paraId="2B5A2FE0" w14:textId="77777777" w:rsidR="008F0A77" w:rsidRDefault="008F0A77" w:rsidP="00EF6B7D">
            <w:pPr>
              <w:jc w:val="center"/>
              <w:rPr>
                <w:sz w:val="18"/>
                <w:szCs w:val="18"/>
              </w:rPr>
            </w:pPr>
          </w:p>
        </w:tc>
        <w:tc>
          <w:tcPr>
            <w:tcW w:w="708" w:type="dxa"/>
          </w:tcPr>
          <w:p w14:paraId="3DEB63C4" w14:textId="77777777" w:rsidR="008F0A77" w:rsidRDefault="008F0A77" w:rsidP="00EF6B7D">
            <w:pPr>
              <w:jc w:val="center"/>
              <w:rPr>
                <w:sz w:val="18"/>
                <w:szCs w:val="18"/>
              </w:rPr>
            </w:pPr>
          </w:p>
        </w:tc>
        <w:tc>
          <w:tcPr>
            <w:tcW w:w="1276" w:type="dxa"/>
          </w:tcPr>
          <w:p w14:paraId="0A5F234F" w14:textId="77777777" w:rsidR="008F0A77" w:rsidRDefault="008F0A77" w:rsidP="00EF6B7D">
            <w:pPr>
              <w:jc w:val="center"/>
              <w:rPr>
                <w:sz w:val="18"/>
                <w:szCs w:val="18"/>
              </w:rPr>
            </w:pPr>
          </w:p>
        </w:tc>
        <w:tc>
          <w:tcPr>
            <w:tcW w:w="567" w:type="dxa"/>
          </w:tcPr>
          <w:p w14:paraId="7EDA3DA6" w14:textId="77777777" w:rsidR="008F0A77" w:rsidRDefault="008F0A77" w:rsidP="00EF6B7D">
            <w:pPr>
              <w:jc w:val="center"/>
              <w:rPr>
                <w:sz w:val="18"/>
                <w:szCs w:val="18"/>
              </w:rPr>
            </w:pPr>
            <w:r>
              <w:rPr>
                <w:sz w:val="18"/>
                <w:szCs w:val="18"/>
              </w:rPr>
              <w:t>51</w:t>
            </w:r>
          </w:p>
        </w:tc>
        <w:tc>
          <w:tcPr>
            <w:tcW w:w="709" w:type="dxa"/>
          </w:tcPr>
          <w:p w14:paraId="157C131A" w14:textId="77777777" w:rsidR="008F0A77" w:rsidRDefault="008F0A77" w:rsidP="00EF6B7D">
            <w:pPr>
              <w:jc w:val="center"/>
              <w:rPr>
                <w:sz w:val="18"/>
                <w:szCs w:val="18"/>
              </w:rPr>
            </w:pPr>
            <w:r>
              <w:rPr>
                <w:sz w:val="18"/>
                <w:szCs w:val="18"/>
              </w:rPr>
              <w:t>0.66</w:t>
            </w:r>
          </w:p>
        </w:tc>
        <w:tc>
          <w:tcPr>
            <w:tcW w:w="1417" w:type="dxa"/>
          </w:tcPr>
          <w:p w14:paraId="53F5816B" w14:textId="77777777" w:rsidR="008F0A77" w:rsidRDefault="008F0A77" w:rsidP="00EF6B7D">
            <w:pPr>
              <w:jc w:val="center"/>
              <w:rPr>
                <w:sz w:val="18"/>
                <w:szCs w:val="18"/>
              </w:rPr>
            </w:pPr>
            <w:r>
              <w:rPr>
                <w:sz w:val="18"/>
                <w:szCs w:val="18"/>
              </w:rPr>
              <w:t>(0.51; 0.79)</w:t>
            </w:r>
          </w:p>
        </w:tc>
      </w:tr>
      <w:tr w:rsidR="008F0A77" w14:paraId="3A41E46B" w14:textId="77777777" w:rsidTr="00EF6B7D">
        <w:trPr>
          <w:trHeight w:val="222"/>
          <w:jc w:val="center"/>
        </w:trPr>
        <w:tc>
          <w:tcPr>
            <w:tcW w:w="2122" w:type="dxa"/>
          </w:tcPr>
          <w:p w14:paraId="2B9B7EFC" w14:textId="77777777" w:rsidR="008F0A77" w:rsidRDefault="008F0A77" w:rsidP="00EF6B7D">
            <w:pPr>
              <w:jc w:val="center"/>
              <w:rPr>
                <w:sz w:val="18"/>
                <w:szCs w:val="18"/>
              </w:rPr>
            </w:pPr>
            <w:r>
              <w:rPr>
                <w:sz w:val="18"/>
                <w:szCs w:val="18"/>
              </w:rPr>
              <w:t>38</w:t>
            </w:r>
          </w:p>
        </w:tc>
        <w:tc>
          <w:tcPr>
            <w:tcW w:w="567" w:type="dxa"/>
          </w:tcPr>
          <w:p w14:paraId="07635F45" w14:textId="77777777" w:rsidR="008F0A77" w:rsidRDefault="008F0A77" w:rsidP="00EF6B7D">
            <w:pPr>
              <w:jc w:val="center"/>
              <w:rPr>
                <w:sz w:val="18"/>
                <w:szCs w:val="18"/>
              </w:rPr>
            </w:pPr>
          </w:p>
        </w:tc>
        <w:tc>
          <w:tcPr>
            <w:tcW w:w="708" w:type="dxa"/>
          </w:tcPr>
          <w:p w14:paraId="0A4A85C1" w14:textId="77777777" w:rsidR="008F0A77" w:rsidRDefault="008F0A77" w:rsidP="00EF6B7D">
            <w:pPr>
              <w:jc w:val="center"/>
              <w:rPr>
                <w:sz w:val="18"/>
                <w:szCs w:val="18"/>
              </w:rPr>
            </w:pPr>
          </w:p>
        </w:tc>
        <w:tc>
          <w:tcPr>
            <w:tcW w:w="1276" w:type="dxa"/>
          </w:tcPr>
          <w:p w14:paraId="67F9EC9E" w14:textId="77777777" w:rsidR="008F0A77" w:rsidRDefault="008F0A77" w:rsidP="00EF6B7D">
            <w:pPr>
              <w:jc w:val="center"/>
              <w:rPr>
                <w:sz w:val="18"/>
                <w:szCs w:val="18"/>
              </w:rPr>
            </w:pPr>
          </w:p>
        </w:tc>
        <w:tc>
          <w:tcPr>
            <w:tcW w:w="567" w:type="dxa"/>
          </w:tcPr>
          <w:p w14:paraId="79F74961" w14:textId="77777777" w:rsidR="008F0A77" w:rsidRDefault="008F0A77" w:rsidP="00EF6B7D">
            <w:pPr>
              <w:jc w:val="center"/>
              <w:rPr>
                <w:sz w:val="18"/>
                <w:szCs w:val="18"/>
              </w:rPr>
            </w:pPr>
            <w:r>
              <w:rPr>
                <w:sz w:val="18"/>
                <w:szCs w:val="18"/>
              </w:rPr>
              <w:t>46</w:t>
            </w:r>
          </w:p>
        </w:tc>
        <w:tc>
          <w:tcPr>
            <w:tcW w:w="709" w:type="dxa"/>
          </w:tcPr>
          <w:p w14:paraId="1EC7023B" w14:textId="77777777" w:rsidR="008F0A77" w:rsidRDefault="008F0A77" w:rsidP="00EF6B7D">
            <w:pPr>
              <w:jc w:val="center"/>
              <w:rPr>
                <w:sz w:val="18"/>
                <w:szCs w:val="18"/>
              </w:rPr>
            </w:pPr>
            <w:r>
              <w:rPr>
                <w:sz w:val="18"/>
                <w:szCs w:val="18"/>
              </w:rPr>
              <w:t>0.52</w:t>
            </w:r>
          </w:p>
        </w:tc>
        <w:tc>
          <w:tcPr>
            <w:tcW w:w="1417" w:type="dxa"/>
          </w:tcPr>
          <w:p w14:paraId="53AD4BCD" w14:textId="77777777" w:rsidR="008F0A77" w:rsidRDefault="008F0A77" w:rsidP="00EF6B7D">
            <w:pPr>
              <w:jc w:val="center"/>
              <w:rPr>
                <w:sz w:val="18"/>
                <w:szCs w:val="18"/>
              </w:rPr>
            </w:pPr>
            <w:r>
              <w:rPr>
                <w:sz w:val="18"/>
                <w:szCs w:val="18"/>
              </w:rPr>
              <w:t>(0.32; 0.72)</w:t>
            </w:r>
          </w:p>
        </w:tc>
      </w:tr>
      <w:tr w:rsidR="008F0A77" w14:paraId="59FC6EAA" w14:textId="77777777" w:rsidTr="00EF6B7D">
        <w:trPr>
          <w:trHeight w:val="222"/>
          <w:jc w:val="center"/>
        </w:trPr>
        <w:tc>
          <w:tcPr>
            <w:tcW w:w="2122" w:type="dxa"/>
          </w:tcPr>
          <w:p w14:paraId="0CE4BAC2" w14:textId="77777777" w:rsidR="008F0A77" w:rsidRDefault="008F0A77" w:rsidP="00EF6B7D">
            <w:pPr>
              <w:jc w:val="center"/>
              <w:rPr>
                <w:sz w:val="18"/>
                <w:szCs w:val="18"/>
              </w:rPr>
            </w:pPr>
            <w:r>
              <w:rPr>
                <w:sz w:val="18"/>
                <w:szCs w:val="18"/>
              </w:rPr>
              <w:t>39</w:t>
            </w:r>
          </w:p>
        </w:tc>
        <w:tc>
          <w:tcPr>
            <w:tcW w:w="567" w:type="dxa"/>
          </w:tcPr>
          <w:p w14:paraId="3DDD6ECE" w14:textId="77777777" w:rsidR="008F0A77" w:rsidRDefault="008F0A77" w:rsidP="00EF6B7D">
            <w:pPr>
              <w:jc w:val="center"/>
              <w:rPr>
                <w:sz w:val="18"/>
                <w:szCs w:val="18"/>
              </w:rPr>
            </w:pPr>
          </w:p>
        </w:tc>
        <w:tc>
          <w:tcPr>
            <w:tcW w:w="708" w:type="dxa"/>
          </w:tcPr>
          <w:p w14:paraId="72F0B5DE" w14:textId="77777777" w:rsidR="008F0A77" w:rsidRDefault="008F0A77" w:rsidP="00EF6B7D">
            <w:pPr>
              <w:jc w:val="center"/>
              <w:rPr>
                <w:sz w:val="18"/>
                <w:szCs w:val="18"/>
              </w:rPr>
            </w:pPr>
          </w:p>
        </w:tc>
        <w:tc>
          <w:tcPr>
            <w:tcW w:w="1276" w:type="dxa"/>
          </w:tcPr>
          <w:p w14:paraId="177DE81B" w14:textId="77777777" w:rsidR="008F0A77" w:rsidRDefault="008F0A77" w:rsidP="00EF6B7D">
            <w:pPr>
              <w:jc w:val="center"/>
              <w:rPr>
                <w:sz w:val="18"/>
                <w:szCs w:val="18"/>
              </w:rPr>
            </w:pPr>
          </w:p>
        </w:tc>
        <w:tc>
          <w:tcPr>
            <w:tcW w:w="567" w:type="dxa"/>
          </w:tcPr>
          <w:p w14:paraId="543E215C" w14:textId="77777777" w:rsidR="008F0A77" w:rsidRDefault="008F0A77" w:rsidP="00EF6B7D">
            <w:pPr>
              <w:jc w:val="center"/>
              <w:rPr>
                <w:sz w:val="18"/>
                <w:szCs w:val="18"/>
              </w:rPr>
            </w:pPr>
            <w:r>
              <w:rPr>
                <w:sz w:val="18"/>
                <w:szCs w:val="18"/>
              </w:rPr>
              <w:t>53</w:t>
            </w:r>
          </w:p>
        </w:tc>
        <w:tc>
          <w:tcPr>
            <w:tcW w:w="709" w:type="dxa"/>
          </w:tcPr>
          <w:p w14:paraId="6E92A02F" w14:textId="77777777" w:rsidR="008F0A77" w:rsidRDefault="008F0A77" w:rsidP="00EF6B7D">
            <w:pPr>
              <w:jc w:val="center"/>
              <w:rPr>
                <w:sz w:val="18"/>
                <w:szCs w:val="18"/>
              </w:rPr>
            </w:pPr>
            <w:r>
              <w:rPr>
                <w:sz w:val="18"/>
                <w:szCs w:val="18"/>
              </w:rPr>
              <w:t>0.64</w:t>
            </w:r>
          </w:p>
        </w:tc>
        <w:tc>
          <w:tcPr>
            <w:tcW w:w="1417" w:type="dxa"/>
          </w:tcPr>
          <w:p w14:paraId="0A181C25" w14:textId="77777777" w:rsidR="008F0A77" w:rsidRDefault="008F0A77" w:rsidP="00EF6B7D">
            <w:pPr>
              <w:jc w:val="center"/>
              <w:rPr>
                <w:sz w:val="18"/>
                <w:szCs w:val="18"/>
              </w:rPr>
            </w:pPr>
            <w:r>
              <w:rPr>
                <w:sz w:val="18"/>
                <w:szCs w:val="18"/>
              </w:rPr>
              <w:t>(0.48; 0.77)</w:t>
            </w:r>
          </w:p>
        </w:tc>
      </w:tr>
      <w:tr w:rsidR="008F0A77" w14:paraId="62D82C1B" w14:textId="77777777" w:rsidTr="00EF6B7D">
        <w:trPr>
          <w:trHeight w:val="145"/>
          <w:jc w:val="center"/>
        </w:trPr>
        <w:tc>
          <w:tcPr>
            <w:tcW w:w="2122" w:type="dxa"/>
          </w:tcPr>
          <w:p w14:paraId="442E4494" w14:textId="77777777" w:rsidR="008F0A77" w:rsidRDefault="008F0A77" w:rsidP="00EF6B7D">
            <w:pPr>
              <w:jc w:val="center"/>
              <w:rPr>
                <w:sz w:val="18"/>
                <w:szCs w:val="18"/>
              </w:rPr>
            </w:pPr>
            <w:r>
              <w:rPr>
                <w:sz w:val="18"/>
                <w:szCs w:val="18"/>
              </w:rPr>
              <w:t>40</w:t>
            </w:r>
          </w:p>
        </w:tc>
        <w:tc>
          <w:tcPr>
            <w:tcW w:w="567" w:type="dxa"/>
          </w:tcPr>
          <w:p w14:paraId="3E09ACEB" w14:textId="77777777" w:rsidR="008F0A77" w:rsidRDefault="008F0A77" w:rsidP="00EF6B7D">
            <w:pPr>
              <w:jc w:val="center"/>
              <w:rPr>
                <w:sz w:val="18"/>
                <w:szCs w:val="18"/>
              </w:rPr>
            </w:pPr>
          </w:p>
        </w:tc>
        <w:tc>
          <w:tcPr>
            <w:tcW w:w="708" w:type="dxa"/>
          </w:tcPr>
          <w:p w14:paraId="143B9455" w14:textId="77777777" w:rsidR="008F0A77" w:rsidRDefault="008F0A77" w:rsidP="00EF6B7D">
            <w:pPr>
              <w:jc w:val="center"/>
              <w:rPr>
                <w:sz w:val="18"/>
                <w:szCs w:val="18"/>
              </w:rPr>
            </w:pPr>
          </w:p>
        </w:tc>
        <w:tc>
          <w:tcPr>
            <w:tcW w:w="1276" w:type="dxa"/>
          </w:tcPr>
          <w:p w14:paraId="4CB63601" w14:textId="77777777" w:rsidR="008F0A77" w:rsidRDefault="008F0A77" w:rsidP="00EF6B7D">
            <w:pPr>
              <w:jc w:val="center"/>
              <w:rPr>
                <w:sz w:val="18"/>
                <w:szCs w:val="18"/>
              </w:rPr>
            </w:pPr>
          </w:p>
        </w:tc>
        <w:tc>
          <w:tcPr>
            <w:tcW w:w="567" w:type="dxa"/>
          </w:tcPr>
          <w:p w14:paraId="054295E4" w14:textId="77777777" w:rsidR="008F0A77" w:rsidRDefault="008F0A77" w:rsidP="00EF6B7D">
            <w:pPr>
              <w:jc w:val="center"/>
              <w:rPr>
                <w:sz w:val="18"/>
                <w:szCs w:val="18"/>
              </w:rPr>
            </w:pPr>
            <w:r>
              <w:rPr>
                <w:sz w:val="18"/>
                <w:szCs w:val="18"/>
              </w:rPr>
              <w:t>44</w:t>
            </w:r>
          </w:p>
        </w:tc>
        <w:tc>
          <w:tcPr>
            <w:tcW w:w="709" w:type="dxa"/>
          </w:tcPr>
          <w:p w14:paraId="667CF0EA" w14:textId="77777777" w:rsidR="008F0A77" w:rsidRDefault="008F0A77" w:rsidP="00EF6B7D">
            <w:pPr>
              <w:jc w:val="center"/>
              <w:rPr>
                <w:sz w:val="18"/>
                <w:szCs w:val="18"/>
              </w:rPr>
            </w:pPr>
            <w:r>
              <w:rPr>
                <w:sz w:val="18"/>
                <w:szCs w:val="18"/>
              </w:rPr>
              <w:t>0.70</w:t>
            </w:r>
          </w:p>
        </w:tc>
        <w:tc>
          <w:tcPr>
            <w:tcW w:w="1417" w:type="dxa"/>
          </w:tcPr>
          <w:p w14:paraId="62333DD6" w14:textId="77777777" w:rsidR="008F0A77" w:rsidRDefault="008F0A77" w:rsidP="00EF6B7D">
            <w:pPr>
              <w:jc w:val="center"/>
              <w:rPr>
                <w:sz w:val="18"/>
                <w:szCs w:val="18"/>
              </w:rPr>
            </w:pPr>
            <w:r>
              <w:rPr>
                <w:sz w:val="18"/>
                <w:szCs w:val="18"/>
              </w:rPr>
              <w:t>(0.55; 0.82)</w:t>
            </w:r>
          </w:p>
        </w:tc>
      </w:tr>
      <w:tr w:rsidR="008F0A77" w14:paraId="0B4DF964" w14:textId="77777777" w:rsidTr="00EF6B7D">
        <w:trPr>
          <w:trHeight w:val="145"/>
          <w:jc w:val="center"/>
        </w:trPr>
        <w:tc>
          <w:tcPr>
            <w:tcW w:w="2122" w:type="dxa"/>
            <w:tcBorders>
              <w:bottom w:val="single" w:sz="4" w:space="0" w:color="000000"/>
            </w:tcBorders>
          </w:tcPr>
          <w:p w14:paraId="1A210132" w14:textId="77777777" w:rsidR="008F0A77" w:rsidRDefault="008F0A77" w:rsidP="00EF6B7D">
            <w:pPr>
              <w:jc w:val="center"/>
              <w:rPr>
                <w:b/>
                <w:sz w:val="18"/>
                <w:szCs w:val="18"/>
              </w:rPr>
            </w:pPr>
            <w:r>
              <w:rPr>
                <w:b/>
                <w:sz w:val="18"/>
                <w:szCs w:val="18"/>
              </w:rPr>
              <w:t>Total</w:t>
            </w:r>
          </w:p>
        </w:tc>
        <w:tc>
          <w:tcPr>
            <w:tcW w:w="567" w:type="dxa"/>
            <w:tcBorders>
              <w:bottom w:val="single" w:sz="4" w:space="0" w:color="000000"/>
            </w:tcBorders>
          </w:tcPr>
          <w:p w14:paraId="7F379887" w14:textId="77777777" w:rsidR="008F0A77" w:rsidRDefault="008F0A77" w:rsidP="00EF6B7D">
            <w:pPr>
              <w:jc w:val="center"/>
              <w:rPr>
                <w:b/>
                <w:sz w:val="18"/>
                <w:szCs w:val="18"/>
              </w:rPr>
            </w:pPr>
            <w:r>
              <w:rPr>
                <w:b/>
                <w:sz w:val="18"/>
                <w:szCs w:val="18"/>
              </w:rPr>
              <w:t>63</w:t>
            </w:r>
          </w:p>
        </w:tc>
        <w:tc>
          <w:tcPr>
            <w:tcW w:w="708" w:type="dxa"/>
            <w:tcBorders>
              <w:bottom w:val="single" w:sz="4" w:space="0" w:color="000000"/>
            </w:tcBorders>
          </w:tcPr>
          <w:p w14:paraId="12E36A2F" w14:textId="77777777" w:rsidR="008F0A77" w:rsidRDefault="008F0A77" w:rsidP="00EF6B7D">
            <w:pPr>
              <w:jc w:val="center"/>
              <w:rPr>
                <w:b/>
                <w:sz w:val="18"/>
                <w:szCs w:val="18"/>
              </w:rPr>
            </w:pPr>
            <w:r>
              <w:rPr>
                <w:b/>
                <w:color w:val="000000"/>
                <w:sz w:val="18"/>
                <w:szCs w:val="18"/>
              </w:rPr>
              <w:t xml:space="preserve">0.68 </w:t>
            </w:r>
          </w:p>
        </w:tc>
        <w:tc>
          <w:tcPr>
            <w:tcW w:w="1276" w:type="dxa"/>
            <w:tcBorders>
              <w:bottom w:val="single" w:sz="4" w:space="0" w:color="000000"/>
            </w:tcBorders>
          </w:tcPr>
          <w:p w14:paraId="396D395C" w14:textId="77777777" w:rsidR="008F0A77" w:rsidRDefault="008F0A77" w:rsidP="00EF6B7D">
            <w:pPr>
              <w:jc w:val="center"/>
              <w:rPr>
                <w:b/>
                <w:sz w:val="18"/>
                <w:szCs w:val="18"/>
              </w:rPr>
            </w:pPr>
            <w:r>
              <w:rPr>
                <w:b/>
                <w:color w:val="000000"/>
                <w:sz w:val="18"/>
                <w:szCs w:val="18"/>
              </w:rPr>
              <w:t>(0.55-0.79)</w:t>
            </w:r>
          </w:p>
        </w:tc>
        <w:tc>
          <w:tcPr>
            <w:tcW w:w="567" w:type="dxa"/>
            <w:tcBorders>
              <w:bottom w:val="single" w:sz="4" w:space="0" w:color="000000"/>
            </w:tcBorders>
          </w:tcPr>
          <w:p w14:paraId="2E3E3F50" w14:textId="77777777" w:rsidR="008F0A77" w:rsidRDefault="008F0A77" w:rsidP="00EF6B7D">
            <w:pPr>
              <w:jc w:val="center"/>
              <w:rPr>
                <w:b/>
                <w:sz w:val="18"/>
                <w:szCs w:val="18"/>
              </w:rPr>
            </w:pPr>
            <w:r>
              <w:rPr>
                <w:b/>
                <w:sz w:val="18"/>
                <w:szCs w:val="18"/>
              </w:rPr>
              <w:t>70</w:t>
            </w:r>
          </w:p>
        </w:tc>
        <w:tc>
          <w:tcPr>
            <w:tcW w:w="709" w:type="dxa"/>
            <w:tcBorders>
              <w:bottom w:val="single" w:sz="4" w:space="0" w:color="000000"/>
            </w:tcBorders>
          </w:tcPr>
          <w:p w14:paraId="250F9F14" w14:textId="77777777" w:rsidR="008F0A77" w:rsidRDefault="008F0A77" w:rsidP="00EF6B7D">
            <w:pPr>
              <w:jc w:val="center"/>
              <w:rPr>
                <w:b/>
                <w:sz w:val="18"/>
                <w:szCs w:val="18"/>
              </w:rPr>
            </w:pPr>
            <w:r>
              <w:rPr>
                <w:b/>
                <w:color w:val="000000"/>
                <w:sz w:val="18"/>
                <w:szCs w:val="18"/>
              </w:rPr>
              <w:t xml:space="preserve">0.83 </w:t>
            </w:r>
          </w:p>
        </w:tc>
        <w:tc>
          <w:tcPr>
            <w:tcW w:w="1417" w:type="dxa"/>
            <w:tcBorders>
              <w:bottom w:val="single" w:sz="4" w:space="0" w:color="000000"/>
            </w:tcBorders>
          </w:tcPr>
          <w:p w14:paraId="635692E3" w14:textId="77777777" w:rsidR="008F0A77" w:rsidRDefault="008F0A77" w:rsidP="00EF6B7D">
            <w:pPr>
              <w:jc w:val="center"/>
              <w:rPr>
                <w:b/>
                <w:sz w:val="18"/>
                <w:szCs w:val="18"/>
              </w:rPr>
            </w:pPr>
            <w:r>
              <w:rPr>
                <w:b/>
                <w:color w:val="000000"/>
                <w:sz w:val="18"/>
                <w:szCs w:val="18"/>
              </w:rPr>
              <w:t>(0.75–0.88)</w:t>
            </w:r>
          </w:p>
        </w:tc>
      </w:tr>
      <w:tr w:rsidR="008F0A77" w14:paraId="7C71235A" w14:textId="77777777" w:rsidTr="00EF6B7D">
        <w:trPr>
          <w:trHeight w:val="64"/>
          <w:jc w:val="center"/>
        </w:trPr>
        <w:tc>
          <w:tcPr>
            <w:tcW w:w="7366" w:type="dxa"/>
            <w:gridSpan w:val="7"/>
            <w:tcBorders>
              <w:top w:val="single" w:sz="4" w:space="0" w:color="000000"/>
            </w:tcBorders>
          </w:tcPr>
          <w:p w14:paraId="49652C85" w14:textId="77777777" w:rsidR="008F0A77" w:rsidRDefault="008F0A77" w:rsidP="00EF6B7D">
            <w:pPr>
              <w:jc w:val="center"/>
              <w:rPr>
                <w:sz w:val="18"/>
                <w:szCs w:val="18"/>
              </w:rPr>
            </w:pPr>
            <w:r>
              <w:rPr>
                <w:sz w:val="18"/>
                <w:szCs w:val="18"/>
              </w:rPr>
              <w:t>Note.</w:t>
            </w:r>
            <w:r>
              <w:rPr>
                <w:b/>
                <w:sz w:val="18"/>
                <w:szCs w:val="18"/>
              </w:rPr>
              <w:t xml:space="preserve"> </w:t>
            </w:r>
            <w:r>
              <w:rPr>
                <w:sz w:val="18"/>
                <w:szCs w:val="18"/>
              </w:rPr>
              <w:t>ICC = Intraclass Correlation Coefficient; CI = 95% Confidence Interval.</w:t>
            </w:r>
          </w:p>
          <w:p w14:paraId="4969D730" w14:textId="77777777" w:rsidR="008F0A77" w:rsidRDefault="008F0A77" w:rsidP="00EF6B7D">
            <w:pPr>
              <w:jc w:val="center"/>
              <w:rPr>
                <w:sz w:val="18"/>
                <w:szCs w:val="18"/>
              </w:rPr>
            </w:pPr>
          </w:p>
        </w:tc>
      </w:tr>
    </w:tbl>
    <w:p w14:paraId="1B662883" w14:textId="77777777" w:rsidR="008F0A77" w:rsidRDefault="008F0A77" w:rsidP="008F0A77">
      <w:pPr>
        <w:widowControl w:val="0"/>
        <w:spacing w:line="360" w:lineRule="auto"/>
        <w:ind w:left="-283" w:right="-267"/>
        <w:jc w:val="both"/>
      </w:pPr>
    </w:p>
    <w:p w14:paraId="392CE3F6" w14:textId="77777777" w:rsidR="008F0A77" w:rsidRDefault="008F0A77" w:rsidP="008F0A77">
      <w:pPr>
        <w:widowControl w:val="0"/>
        <w:spacing w:line="360" w:lineRule="auto"/>
        <w:ind w:left="-283" w:right="-267" w:firstLine="283"/>
        <w:jc w:val="both"/>
      </w:pPr>
      <w:r>
        <w:rPr>
          <w:b/>
        </w:rPr>
        <w:t>Validation study</w:t>
      </w:r>
    </w:p>
    <w:p w14:paraId="0A321AF4" w14:textId="77777777" w:rsidR="008F0A77" w:rsidRDefault="008F0A77" w:rsidP="008F0A77">
      <w:pPr>
        <w:widowControl w:val="0"/>
        <w:spacing w:line="360" w:lineRule="auto"/>
        <w:ind w:left="-283" w:right="-267"/>
        <w:jc w:val="both"/>
        <w:rPr>
          <w:b/>
        </w:rPr>
      </w:pPr>
      <w:r>
        <w:rPr>
          <w:b/>
        </w:rPr>
        <w:tab/>
        <w:t>Confirmatory Factor Analysis</w:t>
      </w:r>
    </w:p>
    <w:p w14:paraId="3F40BA2A" w14:textId="77777777" w:rsidR="008F0A77" w:rsidRDefault="008F0A77" w:rsidP="008F0A77">
      <w:pPr>
        <w:widowControl w:val="0"/>
        <w:spacing w:line="360" w:lineRule="auto"/>
        <w:ind w:left="-283" w:right="-267" w:firstLine="283"/>
        <w:jc w:val="both"/>
        <w:rPr>
          <w:b/>
        </w:rPr>
      </w:pPr>
      <w:r>
        <w:t xml:space="preserve">In the CFA none of the 5 adequacy indices were satisfactory, the instrument cannot be considered validated by these psychometric parameters in this sample. It is also noteworthy the missing data that we had in this confirmatory factor analysis, considering that of the 207 interviews, only 71 were eligible. This occurred because we had many “don’t know” (D/K) and “not applicable” (N/A) answers, which are deemed missing data, i.e., data unconsidered for this analysis (Table 4). </w:t>
      </w:r>
    </w:p>
    <w:p w14:paraId="3132A797" w14:textId="77777777" w:rsidR="008F0A77" w:rsidRDefault="008F0A77" w:rsidP="008F0A77">
      <w:pPr>
        <w:spacing w:line="360" w:lineRule="auto"/>
        <w:ind w:left="-283" w:right="-267"/>
        <w:jc w:val="both"/>
        <w:rPr>
          <w:b/>
        </w:rPr>
      </w:pPr>
    </w:p>
    <w:p w14:paraId="7F540685" w14:textId="77777777" w:rsidR="008F0A77" w:rsidRDefault="008F0A77" w:rsidP="008F0A77">
      <w:pPr>
        <w:widowControl w:val="0"/>
        <w:spacing w:line="360" w:lineRule="auto"/>
        <w:ind w:left="-283" w:right="-267" w:firstLine="283"/>
        <w:jc w:val="both"/>
        <w:rPr>
          <w:b/>
        </w:rPr>
      </w:pPr>
      <w:r>
        <w:rPr>
          <w:b/>
        </w:rPr>
        <w:t xml:space="preserve">Table 4: </w:t>
      </w:r>
      <w:r>
        <w:t xml:space="preserve">Indices for adjusting the model </w:t>
      </w:r>
      <w:r>
        <w:rPr>
          <w:b/>
        </w:rPr>
        <w:t>(n = 71)</w:t>
      </w:r>
    </w:p>
    <w:tbl>
      <w:tblPr>
        <w:tblW w:w="9072" w:type="dxa"/>
        <w:tblLayout w:type="fixed"/>
        <w:tblLook w:val="0400" w:firstRow="0" w:lastRow="0" w:firstColumn="0" w:lastColumn="0" w:noHBand="0" w:noVBand="1"/>
      </w:tblPr>
      <w:tblGrid>
        <w:gridCol w:w="3976"/>
        <w:gridCol w:w="2573"/>
        <w:gridCol w:w="2523"/>
      </w:tblGrid>
      <w:tr w:rsidR="008F0A77" w14:paraId="45A08D4C" w14:textId="77777777" w:rsidTr="00EF6B7D">
        <w:trPr>
          <w:trHeight w:val="414"/>
        </w:trPr>
        <w:tc>
          <w:tcPr>
            <w:tcW w:w="3976" w:type="dxa"/>
            <w:tcBorders>
              <w:top w:val="single" w:sz="8" w:space="0" w:color="000000"/>
              <w:bottom w:val="single" w:sz="12" w:space="0" w:color="000000"/>
            </w:tcBorders>
            <w:shd w:val="clear" w:color="auto" w:fill="D9D9D9"/>
          </w:tcPr>
          <w:p w14:paraId="558B2522" w14:textId="77777777" w:rsidR="008F0A77" w:rsidRPr="006C33D0" w:rsidRDefault="008F0A77" w:rsidP="00EF6B7D">
            <w:pPr>
              <w:widowControl w:val="0"/>
              <w:jc w:val="center"/>
              <w:rPr>
                <w:b/>
                <w:sz w:val="20"/>
                <w:szCs w:val="20"/>
              </w:rPr>
            </w:pPr>
            <w:r w:rsidRPr="006C33D0">
              <w:rPr>
                <w:b/>
                <w:sz w:val="20"/>
                <w:szCs w:val="20"/>
              </w:rPr>
              <w:t>Used indices</w:t>
            </w:r>
          </w:p>
        </w:tc>
        <w:tc>
          <w:tcPr>
            <w:tcW w:w="2573" w:type="dxa"/>
            <w:tcBorders>
              <w:top w:val="single" w:sz="8" w:space="0" w:color="000000"/>
              <w:bottom w:val="single" w:sz="12" w:space="0" w:color="000000"/>
            </w:tcBorders>
            <w:shd w:val="clear" w:color="auto" w:fill="D9D9D9"/>
            <w:vAlign w:val="center"/>
          </w:tcPr>
          <w:p w14:paraId="561C7D44" w14:textId="77777777" w:rsidR="008F0A77" w:rsidRPr="006C33D0" w:rsidRDefault="008F0A77" w:rsidP="00EF6B7D">
            <w:pPr>
              <w:widowControl w:val="0"/>
              <w:jc w:val="center"/>
              <w:rPr>
                <w:b/>
                <w:sz w:val="20"/>
                <w:szCs w:val="20"/>
              </w:rPr>
            </w:pPr>
            <w:r w:rsidRPr="006C33D0">
              <w:rPr>
                <w:b/>
                <w:sz w:val="20"/>
                <w:szCs w:val="20"/>
              </w:rPr>
              <w:t>Results</w:t>
            </w:r>
          </w:p>
        </w:tc>
        <w:tc>
          <w:tcPr>
            <w:tcW w:w="2523" w:type="dxa"/>
            <w:tcBorders>
              <w:top w:val="single" w:sz="8" w:space="0" w:color="000000"/>
              <w:bottom w:val="single" w:sz="12" w:space="0" w:color="000000"/>
            </w:tcBorders>
            <w:shd w:val="clear" w:color="auto" w:fill="D9D9D9"/>
            <w:vAlign w:val="center"/>
          </w:tcPr>
          <w:p w14:paraId="1DFE7378" w14:textId="77777777" w:rsidR="008F0A77" w:rsidRPr="006C33D0" w:rsidRDefault="008F0A77" w:rsidP="00EF6B7D">
            <w:pPr>
              <w:widowControl w:val="0"/>
              <w:jc w:val="center"/>
              <w:rPr>
                <w:b/>
                <w:sz w:val="20"/>
                <w:szCs w:val="20"/>
              </w:rPr>
            </w:pPr>
            <w:r w:rsidRPr="006C33D0">
              <w:rPr>
                <w:b/>
                <w:sz w:val="20"/>
                <w:szCs w:val="20"/>
              </w:rPr>
              <w:t>References</w:t>
            </w:r>
          </w:p>
        </w:tc>
      </w:tr>
      <w:tr w:rsidR="008F0A77" w14:paraId="09DABDEF" w14:textId="77777777" w:rsidTr="00EF6B7D">
        <w:trPr>
          <w:trHeight w:val="414"/>
        </w:trPr>
        <w:tc>
          <w:tcPr>
            <w:tcW w:w="3976" w:type="dxa"/>
            <w:tcBorders>
              <w:top w:val="single" w:sz="12" w:space="0" w:color="000000"/>
            </w:tcBorders>
          </w:tcPr>
          <w:p w14:paraId="3B597A1F" w14:textId="77777777" w:rsidR="008F0A77" w:rsidRPr="006C33D0" w:rsidRDefault="008F0A77" w:rsidP="00EF6B7D">
            <w:pPr>
              <w:widowControl w:val="0"/>
              <w:jc w:val="center"/>
              <w:rPr>
                <w:sz w:val="20"/>
                <w:szCs w:val="20"/>
              </w:rPr>
            </w:pPr>
            <w:r w:rsidRPr="006C33D0">
              <w:rPr>
                <w:sz w:val="20"/>
                <w:szCs w:val="20"/>
              </w:rPr>
              <w:t>Goodness of Fit Index (GFI)</w:t>
            </w:r>
          </w:p>
        </w:tc>
        <w:tc>
          <w:tcPr>
            <w:tcW w:w="2573" w:type="dxa"/>
            <w:tcBorders>
              <w:top w:val="single" w:sz="12" w:space="0" w:color="000000"/>
            </w:tcBorders>
            <w:vAlign w:val="center"/>
          </w:tcPr>
          <w:p w14:paraId="72AEC51C" w14:textId="77777777" w:rsidR="008F0A77" w:rsidRPr="006C33D0" w:rsidRDefault="008F0A77" w:rsidP="00EF6B7D">
            <w:pPr>
              <w:widowControl w:val="0"/>
              <w:jc w:val="center"/>
              <w:rPr>
                <w:sz w:val="20"/>
                <w:szCs w:val="20"/>
              </w:rPr>
            </w:pPr>
            <w:r w:rsidRPr="006C33D0">
              <w:rPr>
                <w:sz w:val="20"/>
                <w:szCs w:val="20"/>
              </w:rPr>
              <w:t>0.6330</w:t>
            </w:r>
          </w:p>
        </w:tc>
        <w:tc>
          <w:tcPr>
            <w:tcW w:w="2523" w:type="dxa"/>
            <w:tcBorders>
              <w:top w:val="single" w:sz="12" w:space="0" w:color="000000"/>
            </w:tcBorders>
            <w:vAlign w:val="center"/>
          </w:tcPr>
          <w:p w14:paraId="35CCB8CF" w14:textId="77777777" w:rsidR="008F0A77" w:rsidRPr="006C33D0" w:rsidRDefault="00EF6B7D" w:rsidP="00EF6B7D">
            <w:pPr>
              <w:widowControl w:val="0"/>
              <w:jc w:val="center"/>
              <w:rPr>
                <w:sz w:val="20"/>
                <w:szCs w:val="20"/>
              </w:rPr>
            </w:pPr>
            <w:sdt>
              <w:sdtPr>
                <w:rPr>
                  <w:sz w:val="20"/>
                  <w:szCs w:val="20"/>
                </w:rPr>
                <w:tag w:val="goog_rdk_16"/>
                <w:id w:val="1971093594"/>
              </w:sdtPr>
              <w:sdtContent>
                <w:r w:rsidR="008F0A77" w:rsidRPr="006C33D0">
                  <w:rPr>
                    <w:rFonts w:eastAsia="Gungsuh"/>
                    <w:sz w:val="20"/>
                    <w:szCs w:val="20"/>
                  </w:rPr>
                  <w:t>≥0.85</w:t>
                </w:r>
              </w:sdtContent>
            </w:sdt>
          </w:p>
        </w:tc>
      </w:tr>
      <w:tr w:rsidR="008F0A77" w14:paraId="639629CF" w14:textId="77777777" w:rsidTr="00EF6B7D">
        <w:trPr>
          <w:trHeight w:val="414"/>
        </w:trPr>
        <w:tc>
          <w:tcPr>
            <w:tcW w:w="3976" w:type="dxa"/>
          </w:tcPr>
          <w:p w14:paraId="27B54069" w14:textId="77777777" w:rsidR="008F0A77" w:rsidRPr="006C33D0" w:rsidRDefault="008F0A77" w:rsidP="00EF6B7D">
            <w:pPr>
              <w:widowControl w:val="0"/>
              <w:jc w:val="center"/>
              <w:rPr>
                <w:sz w:val="20"/>
                <w:szCs w:val="20"/>
              </w:rPr>
            </w:pPr>
            <w:r w:rsidRPr="006C33D0">
              <w:rPr>
                <w:sz w:val="20"/>
                <w:szCs w:val="20"/>
              </w:rPr>
              <w:t>Adjusted GFI (AGFI)</w:t>
            </w:r>
          </w:p>
        </w:tc>
        <w:tc>
          <w:tcPr>
            <w:tcW w:w="2573" w:type="dxa"/>
            <w:vAlign w:val="center"/>
          </w:tcPr>
          <w:p w14:paraId="6F74B3AA" w14:textId="77777777" w:rsidR="008F0A77" w:rsidRPr="006C33D0" w:rsidRDefault="008F0A77" w:rsidP="00EF6B7D">
            <w:pPr>
              <w:widowControl w:val="0"/>
              <w:jc w:val="center"/>
              <w:rPr>
                <w:sz w:val="20"/>
                <w:szCs w:val="20"/>
              </w:rPr>
            </w:pPr>
            <w:r w:rsidRPr="006C33D0">
              <w:rPr>
                <w:sz w:val="20"/>
                <w:szCs w:val="20"/>
              </w:rPr>
              <w:t>0.5719</w:t>
            </w:r>
          </w:p>
        </w:tc>
        <w:tc>
          <w:tcPr>
            <w:tcW w:w="2523" w:type="dxa"/>
            <w:vAlign w:val="center"/>
          </w:tcPr>
          <w:p w14:paraId="6B1D7173" w14:textId="77777777" w:rsidR="008F0A77" w:rsidRPr="006C33D0" w:rsidRDefault="00EF6B7D" w:rsidP="00EF6B7D">
            <w:pPr>
              <w:widowControl w:val="0"/>
              <w:jc w:val="center"/>
              <w:rPr>
                <w:sz w:val="20"/>
                <w:szCs w:val="20"/>
              </w:rPr>
            </w:pPr>
            <w:sdt>
              <w:sdtPr>
                <w:rPr>
                  <w:sz w:val="20"/>
                  <w:szCs w:val="20"/>
                </w:rPr>
                <w:tag w:val="goog_rdk_17"/>
                <w:id w:val="-1195607623"/>
              </w:sdtPr>
              <w:sdtContent>
                <w:r w:rsidR="008F0A77" w:rsidRPr="006C33D0">
                  <w:rPr>
                    <w:rFonts w:eastAsia="Gungsuh"/>
                    <w:sz w:val="20"/>
                    <w:szCs w:val="20"/>
                  </w:rPr>
                  <w:t>≥0.80</w:t>
                </w:r>
              </w:sdtContent>
            </w:sdt>
          </w:p>
        </w:tc>
      </w:tr>
      <w:tr w:rsidR="008F0A77" w14:paraId="48313751" w14:textId="77777777" w:rsidTr="00EF6B7D">
        <w:trPr>
          <w:trHeight w:val="414"/>
        </w:trPr>
        <w:tc>
          <w:tcPr>
            <w:tcW w:w="3976" w:type="dxa"/>
          </w:tcPr>
          <w:p w14:paraId="12CECCBC" w14:textId="77777777" w:rsidR="008F0A77" w:rsidRPr="006C33D0" w:rsidRDefault="008F0A77" w:rsidP="00EF6B7D">
            <w:pPr>
              <w:widowControl w:val="0"/>
              <w:jc w:val="center"/>
              <w:rPr>
                <w:sz w:val="20"/>
                <w:szCs w:val="20"/>
              </w:rPr>
            </w:pPr>
            <w:r w:rsidRPr="006C33D0">
              <w:rPr>
                <w:sz w:val="20"/>
                <w:szCs w:val="20"/>
              </w:rPr>
              <w:t>Bentler Comparative Fit Index</w:t>
            </w:r>
          </w:p>
        </w:tc>
        <w:tc>
          <w:tcPr>
            <w:tcW w:w="2573" w:type="dxa"/>
            <w:vAlign w:val="center"/>
          </w:tcPr>
          <w:p w14:paraId="2290F64E" w14:textId="77777777" w:rsidR="008F0A77" w:rsidRPr="006C33D0" w:rsidRDefault="008F0A77" w:rsidP="00EF6B7D">
            <w:pPr>
              <w:widowControl w:val="0"/>
              <w:jc w:val="center"/>
              <w:rPr>
                <w:sz w:val="20"/>
                <w:szCs w:val="20"/>
              </w:rPr>
            </w:pPr>
            <w:r w:rsidRPr="006C33D0">
              <w:rPr>
                <w:sz w:val="20"/>
                <w:szCs w:val="20"/>
              </w:rPr>
              <w:t>0.6981</w:t>
            </w:r>
          </w:p>
        </w:tc>
        <w:tc>
          <w:tcPr>
            <w:tcW w:w="2523" w:type="dxa"/>
            <w:vAlign w:val="center"/>
          </w:tcPr>
          <w:p w14:paraId="2E45D60B" w14:textId="77777777" w:rsidR="008F0A77" w:rsidRPr="006C33D0" w:rsidRDefault="00EF6B7D" w:rsidP="00EF6B7D">
            <w:pPr>
              <w:widowControl w:val="0"/>
              <w:jc w:val="center"/>
              <w:rPr>
                <w:sz w:val="20"/>
                <w:szCs w:val="20"/>
              </w:rPr>
            </w:pPr>
            <w:sdt>
              <w:sdtPr>
                <w:rPr>
                  <w:sz w:val="20"/>
                  <w:szCs w:val="20"/>
                </w:rPr>
                <w:tag w:val="goog_rdk_18"/>
                <w:id w:val="-2097939278"/>
              </w:sdtPr>
              <w:sdtContent>
                <w:r w:rsidR="008F0A77" w:rsidRPr="006C33D0">
                  <w:rPr>
                    <w:rFonts w:eastAsia="Gungsuh"/>
                    <w:sz w:val="20"/>
                    <w:szCs w:val="20"/>
                  </w:rPr>
                  <w:t>≥0.90</w:t>
                </w:r>
              </w:sdtContent>
            </w:sdt>
          </w:p>
        </w:tc>
      </w:tr>
      <w:tr w:rsidR="008F0A77" w14:paraId="557FB34E" w14:textId="77777777" w:rsidTr="00EF6B7D">
        <w:trPr>
          <w:trHeight w:val="414"/>
        </w:trPr>
        <w:tc>
          <w:tcPr>
            <w:tcW w:w="3976" w:type="dxa"/>
          </w:tcPr>
          <w:p w14:paraId="2323F7AB" w14:textId="77777777" w:rsidR="008F0A77" w:rsidRPr="006C33D0" w:rsidRDefault="008F0A77" w:rsidP="00EF6B7D">
            <w:pPr>
              <w:widowControl w:val="0"/>
              <w:jc w:val="center"/>
              <w:rPr>
                <w:sz w:val="20"/>
                <w:szCs w:val="20"/>
              </w:rPr>
            </w:pPr>
            <w:r w:rsidRPr="006C33D0">
              <w:rPr>
                <w:sz w:val="20"/>
                <w:szCs w:val="20"/>
              </w:rPr>
              <w:lastRenderedPageBreak/>
              <w:t>Bentler-Bonett NFI</w:t>
            </w:r>
          </w:p>
        </w:tc>
        <w:tc>
          <w:tcPr>
            <w:tcW w:w="2573" w:type="dxa"/>
            <w:vAlign w:val="center"/>
          </w:tcPr>
          <w:p w14:paraId="35E11B69" w14:textId="77777777" w:rsidR="008F0A77" w:rsidRPr="006C33D0" w:rsidRDefault="008F0A77" w:rsidP="00EF6B7D">
            <w:pPr>
              <w:widowControl w:val="0"/>
              <w:jc w:val="center"/>
              <w:rPr>
                <w:sz w:val="20"/>
                <w:szCs w:val="20"/>
              </w:rPr>
            </w:pPr>
            <w:r w:rsidRPr="006C33D0">
              <w:rPr>
                <w:sz w:val="20"/>
                <w:szCs w:val="20"/>
              </w:rPr>
              <w:t>0.5075</w:t>
            </w:r>
          </w:p>
        </w:tc>
        <w:tc>
          <w:tcPr>
            <w:tcW w:w="2523" w:type="dxa"/>
            <w:vAlign w:val="center"/>
          </w:tcPr>
          <w:p w14:paraId="17E55F24" w14:textId="77777777" w:rsidR="008F0A77" w:rsidRPr="006C33D0" w:rsidRDefault="00EF6B7D" w:rsidP="00EF6B7D">
            <w:pPr>
              <w:widowControl w:val="0"/>
              <w:jc w:val="center"/>
              <w:rPr>
                <w:sz w:val="20"/>
                <w:szCs w:val="20"/>
              </w:rPr>
            </w:pPr>
            <w:sdt>
              <w:sdtPr>
                <w:rPr>
                  <w:sz w:val="20"/>
                  <w:szCs w:val="20"/>
                </w:rPr>
                <w:tag w:val="goog_rdk_19"/>
                <w:id w:val="49506104"/>
              </w:sdtPr>
              <w:sdtContent>
                <w:r w:rsidR="008F0A77" w:rsidRPr="006C33D0">
                  <w:rPr>
                    <w:rFonts w:eastAsia="Gungsuh"/>
                    <w:sz w:val="20"/>
                    <w:szCs w:val="20"/>
                  </w:rPr>
                  <w:t>≥0.90</w:t>
                </w:r>
              </w:sdtContent>
            </w:sdt>
          </w:p>
        </w:tc>
      </w:tr>
      <w:tr w:rsidR="008F0A77" w14:paraId="03031F9A" w14:textId="77777777" w:rsidTr="00EF6B7D">
        <w:trPr>
          <w:trHeight w:val="414"/>
        </w:trPr>
        <w:tc>
          <w:tcPr>
            <w:tcW w:w="3976" w:type="dxa"/>
            <w:tcBorders>
              <w:bottom w:val="single" w:sz="8" w:space="0" w:color="000000"/>
            </w:tcBorders>
          </w:tcPr>
          <w:p w14:paraId="1F0E9F44" w14:textId="77777777" w:rsidR="008F0A77" w:rsidRPr="006C33D0" w:rsidRDefault="008F0A77" w:rsidP="00EF6B7D">
            <w:pPr>
              <w:widowControl w:val="0"/>
              <w:jc w:val="center"/>
              <w:rPr>
                <w:sz w:val="20"/>
                <w:szCs w:val="20"/>
              </w:rPr>
            </w:pPr>
            <w:r w:rsidRPr="006C33D0">
              <w:rPr>
                <w:sz w:val="20"/>
                <w:szCs w:val="20"/>
              </w:rPr>
              <w:t>RMSEA Estimate</w:t>
            </w:r>
          </w:p>
        </w:tc>
        <w:tc>
          <w:tcPr>
            <w:tcW w:w="2573" w:type="dxa"/>
            <w:tcBorders>
              <w:bottom w:val="single" w:sz="8" w:space="0" w:color="000000"/>
            </w:tcBorders>
            <w:vAlign w:val="center"/>
          </w:tcPr>
          <w:p w14:paraId="0F00A4B6" w14:textId="77777777" w:rsidR="008F0A77" w:rsidRPr="006C33D0" w:rsidRDefault="008F0A77" w:rsidP="00EF6B7D">
            <w:pPr>
              <w:widowControl w:val="0"/>
              <w:jc w:val="center"/>
              <w:rPr>
                <w:sz w:val="20"/>
                <w:szCs w:val="20"/>
              </w:rPr>
            </w:pPr>
            <w:r w:rsidRPr="006C33D0">
              <w:rPr>
                <w:sz w:val="20"/>
                <w:szCs w:val="20"/>
              </w:rPr>
              <w:t>0.1019</w:t>
            </w:r>
          </w:p>
        </w:tc>
        <w:tc>
          <w:tcPr>
            <w:tcW w:w="2523" w:type="dxa"/>
            <w:tcBorders>
              <w:bottom w:val="single" w:sz="8" w:space="0" w:color="000000"/>
            </w:tcBorders>
            <w:vAlign w:val="center"/>
          </w:tcPr>
          <w:p w14:paraId="26BB85A7" w14:textId="77777777" w:rsidR="008F0A77" w:rsidRPr="006C33D0" w:rsidRDefault="00EF6B7D" w:rsidP="00EF6B7D">
            <w:pPr>
              <w:widowControl w:val="0"/>
              <w:jc w:val="center"/>
              <w:rPr>
                <w:sz w:val="20"/>
                <w:szCs w:val="20"/>
              </w:rPr>
            </w:pPr>
            <w:sdt>
              <w:sdtPr>
                <w:rPr>
                  <w:sz w:val="20"/>
                  <w:szCs w:val="20"/>
                </w:rPr>
                <w:tag w:val="goog_rdk_20"/>
                <w:id w:val="1409500212"/>
              </w:sdtPr>
              <w:sdtContent>
                <w:r w:rsidR="008F0A77" w:rsidRPr="006C33D0">
                  <w:rPr>
                    <w:rFonts w:eastAsia="Gungsuh"/>
                    <w:sz w:val="20"/>
                    <w:szCs w:val="20"/>
                  </w:rPr>
                  <w:t>≤0.08</w:t>
                </w:r>
              </w:sdtContent>
            </w:sdt>
          </w:p>
        </w:tc>
      </w:tr>
    </w:tbl>
    <w:p w14:paraId="29E018CF" w14:textId="77777777" w:rsidR="008F0A77" w:rsidRDefault="008F0A77" w:rsidP="008F0A77">
      <w:pPr>
        <w:widowControl w:val="0"/>
        <w:spacing w:line="360" w:lineRule="auto"/>
        <w:ind w:left="-283" w:right="-267"/>
        <w:jc w:val="both"/>
      </w:pPr>
    </w:p>
    <w:p w14:paraId="15248A15" w14:textId="786AD389" w:rsidR="008F0A77" w:rsidRDefault="008F0A77" w:rsidP="008F0A77">
      <w:pPr>
        <w:widowControl w:val="0"/>
        <w:spacing w:line="360" w:lineRule="auto"/>
        <w:ind w:left="-283" w:right="-267" w:firstLine="283"/>
        <w:jc w:val="both"/>
      </w:pPr>
      <w:r>
        <w:t xml:space="preserve">Considering these unsatisfactory results with CFA, we conducted an exploratory factor analysis (EFA) to understand how the items behaved in the domains and their factor loads. We firstly performed the Kaiser’s Measure of Sampling Adequacy (MSA) and the measurement of each sentence with all items to understand the behavior of each question. The overall MSA was = 0.80733, and we opted to exclude the questions with MSA &lt;70% </w:t>
      </w:r>
      <w:r w:rsidR="0030246C">
        <w:t xml:space="preserve"> </w:t>
      </w:r>
      <w:r w:rsidR="0030246C">
        <w:fldChar w:fldCharType="begin" w:fldLock="1"/>
      </w:r>
      <w:r w:rsidR="0030246C">
        <w:instrText>ADDIN CSL_CITATION {"citationItems":[{"id":"ITEM-1","itemData":{"ISBN":"9780470023563","abstract":"2nd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-1","issued":{"date-parts":[["2006"]]},"number-of-pages":"455","publisher":"John Wiley","publisher-place":"London","title":"Applied mixed models in medicine","type":"book"},"uris":["http://www.mendeley.com/documents/?uuid=dd501664-a02c-38a5-8333-2706c2908d06"]}],"mendeley":{"formattedCitation":"(Brown &amp; Prescott, 2006)","plainTextFormattedCitation":"(Brown &amp; Prescott, 2006)","previouslyFormattedCitation":"(Brown &amp; Prescott, 2006)"},"properties":{"noteIndex":0},"schema":"https://github.com/citation-style-language/schema/raw/master/csl-citation.json"}</w:instrText>
      </w:r>
      <w:r w:rsidR="0030246C">
        <w:fldChar w:fldCharType="separate"/>
      </w:r>
      <w:r w:rsidR="0030246C" w:rsidRPr="0030246C">
        <w:rPr>
          <w:noProof/>
        </w:rPr>
        <w:t>(Brown &amp; Prescott, 2006)</w:t>
      </w:r>
      <w:r w:rsidR="0030246C">
        <w:fldChar w:fldCharType="end"/>
      </w:r>
      <w:r>
        <w:t>. In this stage, we excluded items 4, 6, 14, and 29.</w:t>
      </w:r>
    </w:p>
    <w:p w14:paraId="35D1F9AF" w14:textId="10DF99CA" w:rsidR="008F0A77" w:rsidRDefault="008F0A77" w:rsidP="008F0A77">
      <w:pPr>
        <w:widowControl w:val="0"/>
        <w:spacing w:line="360" w:lineRule="auto"/>
        <w:ind w:left="-283" w:right="-267" w:firstLine="283"/>
        <w:jc w:val="both"/>
      </w:pPr>
      <w:r>
        <w:t xml:space="preserve">Then, we repeated the process and MSA accounted for = 0.085859 (n=105), indicating that the sample had good consistency to be used in the factor analysis. By the criterion of selection of factors with an eigenvalue higher than 1, 7 domains were obtained, which explain 3.76% of the data variability. According to the scree plot, we opted to maintain the extraction of 3 domains, which explain 47.25% of the total variability </w:t>
      </w:r>
      <w:r w:rsidR="0030246C">
        <w:fldChar w:fldCharType="begin" w:fldLock="1"/>
      </w:r>
      <w:r w:rsidR="0030246C">
        <w:instrText>ADDIN CSL_CITATION {"citationItems":[{"id":"ITEM-1","itemData":{"ISBN":"9780470023563","abstract":"2nd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-1","issued":{"date-parts":[["2006"]]},"number-of-pages":"455","publisher":"John Wiley","publisher-place":"London","title":"Applied mixed models in medicine","type":"book"},"uris":["http://www.mendeley.com/documents/?uuid=dd501664-a02c-38a5-8333-2706c2908d06"]}],"mendeley":{"formattedCitation":"(Brown &amp; Prescott, 2006)","plainTextFormattedCitation":"(Brown &amp; Prescott, 2006)","previouslyFormattedCitation":"(Brown &amp; Prescott, 2006)"},"properties":{"noteIndex":0},"schema":"https://github.com/citation-style-language/schema/raw/master/csl-citation.json"}</w:instrText>
      </w:r>
      <w:r w:rsidR="0030246C">
        <w:fldChar w:fldCharType="separate"/>
      </w:r>
      <w:r w:rsidR="0030246C" w:rsidRPr="0030246C">
        <w:rPr>
          <w:noProof/>
        </w:rPr>
        <w:t>(Brown &amp; Prescott, 2006)</w:t>
      </w:r>
      <w:r w:rsidR="0030246C">
        <w:fldChar w:fldCharType="end"/>
      </w:r>
      <w:r>
        <w:t>. We describe in the table 6 the behavior by the factor loads:</w:t>
      </w:r>
    </w:p>
    <w:p w14:paraId="53646EF0" w14:textId="77777777" w:rsidR="008F0A77" w:rsidRDefault="008F0A77" w:rsidP="008F0A77">
      <w:pPr>
        <w:widowControl w:val="0"/>
        <w:spacing w:line="360" w:lineRule="auto"/>
        <w:ind w:left="-283" w:right="-267"/>
        <w:jc w:val="both"/>
      </w:pPr>
    </w:p>
    <w:p w14:paraId="4F00C826" w14:textId="77777777" w:rsidR="008F0A77" w:rsidRDefault="008F0A77" w:rsidP="008F0A77">
      <w:pPr>
        <w:widowControl w:val="0"/>
        <w:ind w:right="-267"/>
        <w:jc w:val="both"/>
      </w:pPr>
      <w:r>
        <w:rPr>
          <w:b/>
        </w:rPr>
        <w:t xml:space="preserve">Table 05: </w:t>
      </w:r>
      <w:r>
        <w:t>Exploratory Factor Analysis with distribution of loads of the 3 domains after Varimax rotation and commonality of the items.</w:t>
      </w:r>
    </w:p>
    <w:tbl>
      <w:tblPr>
        <w:tblW w:w="9085" w:type="dxa"/>
        <w:tblLayout w:type="fixed"/>
        <w:tblLook w:val="0400" w:firstRow="0" w:lastRow="0" w:firstColumn="0" w:lastColumn="0" w:noHBand="0" w:noVBand="1"/>
      </w:tblPr>
      <w:tblGrid>
        <w:gridCol w:w="1464"/>
        <w:gridCol w:w="1464"/>
        <w:gridCol w:w="1464"/>
        <w:gridCol w:w="1465"/>
        <w:gridCol w:w="1464"/>
        <w:gridCol w:w="1764"/>
      </w:tblGrid>
      <w:tr w:rsidR="008F0A77" w14:paraId="1AD6CBD4" w14:textId="77777777" w:rsidTr="00EF6B7D">
        <w:tc>
          <w:tcPr>
            <w:tcW w:w="2928" w:type="dxa"/>
            <w:gridSpan w:val="2"/>
            <w:tcBorders>
              <w:top w:val="single" w:sz="8" w:space="0" w:color="000000"/>
              <w:bottom w:val="single" w:sz="12" w:space="0" w:color="000000"/>
            </w:tcBorders>
            <w:shd w:val="clear" w:color="auto" w:fill="D9D9D9"/>
            <w:vAlign w:val="center"/>
          </w:tcPr>
          <w:p w14:paraId="6C0B4746" w14:textId="77777777" w:rsidR="008F0A77" w:rsidRPr="00AF6DCE" w:rsidRDefault="008F0A77" w:rsidP="00EF6B7D">
            <w:pPr>
              <w:widowControl w:val="0"/>
              <w:jc w:val="center"/>
              <w:rPr>
                <w:sz w:val="20"/>
                <w:szCs w:val="20"/>
              </w:rPr>
            </w:pPr>
            <w:r w:rsidRPr="00AF6DCE">
              <w:rPr>
                <w:sz w:val="20"/>
                <w:szCs w:val="20"/>
              </w:rPr>
              <w:t>Domain A</w:t>
            </w:r>
          </w:p>
          <w:p w14:paraId="07BA30BC" w14:textId="77777777" w:rsidR="008F0A77" w:rsidRPr="00AF6DCE" w:rsidRDefault="008F0A77" w:rsidP="00EF6B7D">
            <w:pPr>
              <w:widowControl w:val="0"/>
              <w:jc w:val="center"/>
              <w:rPr>
                <w:sz w:val="20"/>
                <w:szCs w:val="20"/>
              </w:rPr>
            </w:pPr>
            <w:r w:rsidRPr="00AF6DCE">
              <w:rPr>
                <w:sz w:val="20"/>
                <w:szCs w:val="20"/>
              </w:rPr>
              <w:t>α-Cr = 0.7858</w:t>
            </w:r>
          </w:p>
        </w:tc>
        <w:tc>
          <w:tcPr>
            <w:tcW w:w="2929" w:type="dxa"/>
            <w:gridSpan w:val="2"/>
            <w:tcBorders>
              <w:top w:val="single" w:sz="8" w:space="0" w:color="000000"/>
              <w:bottom w:val="single" w:sz="12" w:space="0" w:color="000000"/>
            </w:tcBorders>
            <w:shd w:val="clear" w:color="auto" w:fill="D9D9D9"/>
            <w:vAlign w:val="center"/>
          </w:tcPr>
          <w:p w14:paraId="0CEC49C8" w14:textId="77777777" w:rsidR="008F0A77" w:rsidRPr="00AF6DCE" w:rsidRDefault="008F0A77" w:rsidP="00EF6B7D">
            <w:pPr>
              <w:widowControl w:val="0"/>
              <w:jc w:val="center"/>
              <w:rPr>
                <w:sz w:val="20"/>
                <w:szCs w:val="20"/>
              </w:rPr>
            </w:pPr>
            <w:r w:rsidRPr="00AF6DCE">
              <w:rPr>
                <w:sz w:val="20"/>
                <w:szCs w:val="20"/>
              </w:rPr>
              <w:t>Domain B</w:t>
            </w:r>
          </w:p>
          <w:p w14:paraId="5FD73AF2" w14:textId="77777777" w:rsidR="008F0A77" w:rsidRPr="00AF6DCE" w:rsidRDefault="008F0A77" w:rsidP="00EF6B7D">
            <w:pPr>
              <w:widowControl w:val="0"/>
              <w:jc w:val="center"/>
              <w:rPr>
                <w:sz w:val="20"/>
                <w:szCs w:val="20"/>
              </w:rPr>
            </w:pPr>
            <w:r w:rsidRPr="00AF6DCE">
              <w:rPr>
                <w:sz w:val="20"/>
                <w:szCs w:val="20"/>
              </w:rPr>
              <w:t>α-Cr = 0.8376</w:t>
            </w:r>
          </w:p>
        </w:tc>
        <w:tc>
          <w:tcPr>
            <w:tcW w:w="3228" w:type="dxa"/>
            <w:gridSpan w:val="2"/>
            <w:tcBorders>
              <w:top w:val="single" w:sz="8" w:space="0" w:color="000000"/>
              <w:bottom w:val="single" w:sz="12" w:space="0" w:color="000000"/>
            </w:tcBorders>
            <w:shd w:val="clear" w:color="auto" w:fill="D9D9D9"/>
            <w:vAlign w:val="center"/>
          </w:tcPr>
          <w:p w14:paraId="5EFD4615" w14:textId="77777777" w:rsidR="008F0A77" w:rsidRPr="00AF6DCE" w:rsidRDefault="008F0A77" w:rsidP="00EF6B7D">
            <w:pPr>
              <w:widowControl w:val="0"/>
              <w:jc w:val="center"/>
              <w:rPr>
                <w:sz w:val="20"/>
                <w:szCs w:val="20"/>
              </w:rPr>
            </w:pPr>
            <w:r w:rsidRPr="00AF6DCE">
              <w:rPr>
                <w:sz w:val="20"/>
                <w:szCs w:val="20"/>
              </w:rPr>
              <w:t>Domain C</w:t>
            </w:r>
          </w:p>
          <w:p w14:paraId="35766A3F" w14:textId="77777777" w:rsidR="008F0A77" w:rsidRPr="00AF6DCE" w:rsidRDefault="008F0A77" w:rsidP="00EF6B7D">
            <w:pPr>
              <w:widowControl w:val="0"/>
              <w:jc w:val="center"/>
              <w:rPr>
                <w:sz w:val="20"/>
                <w:szCs w:val="20"/>
              </w:rPr>
            </w:pPr>
            <w:r w:rsidRPr="00AF6DCE">
              <w:rPr>
                <w:sz w:val="20"/>
                <w:szCs w:val="20"/>
              </w:rPr>
              <w:t>α-Cr = 0.7830</w:t>
            </w:r>
          </w:p>
        </w:tc>
      </w:tr>
      <w:tr w:rsidR="008F0A77" w14:paraId="6746ADA0" w14:textId="77777777" w:rsidTr="00EF6B7D">
        <w:tc>
          <w:tcPr>
            <w:tcW w:w="1464" w:type="dxa"/>
            <w:tcBorders>
              <w:top w:val="single" w:sz="12" w:space="0" w:color="000000"/>
            </w:tcBorders>
            <w:vAlign w:val="center"/>
          </w:tcPr>
          <w:p w14:paraId="3D564ECB" w14:textId="77777777" w:rsidR="008F0A77" w:rsidRPr="00AF6DCE" w:rsidRDefault="008F0A77" w:rsidP="00EF6B7D">
            <w:pPr>
              <w:widowControl w:val="0"/>
              <w:jc w:val="center"/>
              <w:rPr>
                <w:sz w:val="20"/>
                <w:szCs w:val="20"/>
              </w:rPr>
            </w:pPr>
            <w:r w:rsidRPr="00AF6DCE">
              <w:rPr>
                <w:sz w:val="20"/>
                <w:szCs w:val="20"/>
              </w:rPr>
              <w:t>Items</w:t>
            </w:r>
          </w:p>
        </w:tc>
        <w:tc>
          <w:tcPr>
            <w:tcW w:w="1464" w:type="dxa"/>
            <w:tcBorders>
              <w:top w:val="single" w:sz="12" w:space="0" w:color="000000"/>
            </w:tcBorders>
            <w:vAlign w:val="center"/>
          </w:tcPr>
          <w:p w14:paraId="3319A63A" w14:textId="77777777" w:rsidR="008F0A77" w:rsidRPr="00AF6DCE" w:rsidRDefault="008F0A77" w:rsidP="00EF6B7D">
            <w:pPr>
              <w:widowControl w:val="0"/>
              <w:jc w:val="center"/>
              <w:rPr>
                <w:sz w:val="20"/>
                <w:szCs w:val="20"/>
              </w:rPr>
            </w:pPr>
            <w:r w:rsidRPr="00AF6DCE">
              <w:rPr>
                <w:sz w:val="20"/>
                <w:szCs w:val="20"/>
              </w:rPr>
              <w:t>Loads</w:t>
            </w:r>
          </w:p>
        </w:tc>
        <w:tc>
          <w:tcPr>
            <w:tcW w:w="1464" w:type="dxa"/>
            <w:tcBorders>
              <w:top w:val="single" w:sz="12" w:space="0" w:color="000000"/>
            </w:tcBorders>
            <w:vAlign w:val="center"/>
          </w:tcPr>
          <w:p w14:paraId="7A0AC8CC" w14:textId="77777777" w:rsidR="008F0A77" w:rsidRPr="00AF6DCE" w:rsidRDefault="008F0A77" w:rsidP="00EF6B7D">
            <w:pPr>
              <w:widowControl w:val="0"/>
              <w:jc w:val="center"/>
              <w:rPr>
                <w:sz w:val="20"/>
                <w:szCs w:val="20"/>
              </w:rPr>
            </w:pPr>
            <w:r w:rsidRPr="00AF6DCE">
              <w:rPr>
                <w:sz w:val="20"/>
                <w:szCs w:val="20"/>
              </w:rPr>
              <w:t>Items</w:t>
            </w:r>
          </w:p>
        </w:tc>
        <w:tc>
          <w:tcPr>
            <w:tcW w:w="1465" w:type="dxa"/>
            <w:tcBorders>
              <w:top w:val="single" w:sz="12" w:space="0" w:color="000000"/>
            </w:tcBorders>
            <w:vAlign w:val="center"/>
          </w:tcPr>
          <w:p w14:paraId="0AC63020" w14:textId="77777777" w:rsidR="008F0A77" w:rsidRPr="00AF6DCE" w:rsidRDefault="008F0A77" w:rsidP="00EF6B7D">
            <w:pPr>
              <w:widowControl w:val="0"/>
              <w:jc w:val="center"/>
              <w:rPr>
                <w:sz w:val="20"/>
                <w:szCs w:val="20"/>
              </w:rPr>
            </w:pPr>
            <w:r w:rsidRPr="00AF6DCE">
              <w:rPr>
                <w:sz w:val="20"/>
                <w:szCs w:val="20"/>
              </w:rPr>
              <w:t>Loads</w:t>
            </w:r>
          </w:p>
        </w:tc>
        <w:tc>
          <w:tcPr>
            <w:tcW w:w="1464" w:type="dxa"/>
            <w:tcBorders>
              <w:top w:val="single" w:sz="12" w:space="0" w:color="000000"/>
            </w:tcBorders>
            <w:vAlign w:val="center"/>
          </w:tcPr>
          <w:p w14:paraId="7030F265" w14:textId="77777777" w:rsidR="008F0A77" w:rsidRPr="00AF6DCE" w:rsidRDefault="008F0A77" w:rsidP="00EF6B7D">
            <w:pPr>
              <w:widowControl w:val="0"/>
              <w:jc w:val="center"/>
              <w:rPr>
                <w:sz w:val="20"/>
                <w:szCs w:val="20"/>
              </w:rPr>
            </w:pPr>
            <w:r w:rsidRPr="00AF6DCE">
              <w:rPr>
                <w:sz w:val="20"/>
                <w:szCs w:val="20"/>
              </w:rPr>
              <w:t>Items</w:t>
            </w:r>
          </w:p>
        </w:tc>
        <w:tc>
          <w:tcPr>
            <w:tcW w:w="1764" w:type="dxa"/>
            <w:tcBorders>
              <w:top w:val="single" w:sz="12" w:space="0" w:color="000000"/>
            </w:tcBorders>
            <w:vAlign w:val="center"/>
          </w:tcPr>
          <w:p w14:paraId="20D0046E" w14:textId="77777777" w:rsidR="008F0A77" w:rsidRPr="00AF6DCE" w:rsidRDefault="008F0A77" w:rsidP="00EF6B7D">
            <w:pPr>
              <w:widowControl w:val="0"/>
              <w:jc w:val="center"/>
              <w:rPr>
                <w:sz w:val="20"/>
                <w:szCs w:val="20"/>
              </w:rPr>
            </w:pPr>
            <w:r w:rsidRPr="00AF6DCE">
              <w:rPr>
                <w:sz w:val="20"/>
                <w:szCs w:val="20"/>
              </w:rPr>
              <w:t>Loads</w:t>
            </w:r>
          </w:p>
        </w:tc>
      </w:tr>
      <w:tr w:rsidR="008F0A77" w14:paraId="277F0323" w14:textId="77777777" w:rsidTr="00EF6B7D">
        <w:tc>
          <w:tcPr>
            <w:tcW w:w="1464" w:type="dxa"/>
            <w:vAlign w:val="center"/>
          </w:tcPr>
          <w:p w14:paraId="1D7FBFC6" w14:textId="77777777" w:rsidR="008F0A77" w:rsidRPr="00AF6DCE" w:rsidRDefault="008F0A77" w:rsidP="00EF6B7D">
            <w:pPr>
              <w:widowControl w:val="0"/>
              <w:jc w:val="center"/>
              <w:rPr>
                <w:sz w:val="20"/>
                <w:szCs w:val="20"/>
              </w:rPr>
            </w:pPr>
            <w:r w:rsidRPr="00AF6DCE">
              <w:rPr>
                <w:sz w:val="20"/>
                <w:szCs w:val="20"/>
              </w:rPr>
              <w:t>1</w:t>
            </w:r>
          </w:p>
        </w:tc>
        <w:tc>
          <w:tcPr>
            <w:tcW w:w="1464" w:type="dxa"/>
            <w:vAlign w:val="center"/>
          </w:tcPr>
          <w:p w14:paraId="48ECD0F1" w14:textId="77777777" w:rsidR="008F0A77" w:rsidRPr="00AF6DCE" w:rsidRDefault="008F0A77" w:rsidP="00EF6B7D">
            <w:pPr>
              <w:widowControl w:val="0"/>
              <w:jc w:val="center"/>
              <w:rPr>
                <w:sz w:val="20"/>
                <w:szCs w:val="20"/>
              </w:rPr>
            </w:pPr>
            <w:r w:rsidRPr="00AF6DCE">
              <w:rPr>
                <w:sz w:val="20"/>
                <w:szCs w:val="20"/>
              </w:rPr>
              <w:t>0.73090</w:t>
            </w:r>
          </w:p>
        </w:tc>
        <w:tc>
          <w:tcPr>
            <w:tcW w:w="1464" w:type="dxa"/>
            <w:vAlign w:val="center"/>
          </w:tcPr>
          <w:p w14:paraId="4018885D" w14:textId="77777777" w:rsidR="008F0A77" w:rsidRPr="00AF6DCE" w:rsidRDefault="008F0A77" w:rsidP="00EF6B7D">
            <w:pPr>
              <w:widowControl w:val="0"/>
              <w:jc w:val="center"/>
              <w:rPr>
                <w:sz w:val="20"/>
                <w:szCs w:val="20"/>
              </w:rPr>
            </w:pPr>
            <w:r w:rsidRPr="00AF6DCE">
              <w:rPr>
                <w:sz w:val="20"/>
                <w:szCs w:val="20"/>
              </w:rPr>
              <w:t>12</w:t>
            </w:r>
          </w:p>
        </w:tc>
        <w:tc>
          <w:tcPr>
            <w:tcW w:w="1465" w:type="dxa"/>
            <w:vAlign w:val="center"/>
          </w:tcPr>
          <w:p w14:paraId="08343753" w14:textId="77777777" w:rsidR="008F0A77" w:rsidRPr="00AF6DCE" w:rsidRDefault="008F0A77" w:rsidP="00EF6B7D">
            <w:pPr>
              <w:widowControl w:val="0"/>
              <w:jc w:val="center"/>
              <w:rPr>
                <w:sz w:val="20"/>
                <w:szCs w:val="20"/>
              </w:rPr>
            </w:pPr>
            <w:r w:rsidRPr="00AF6DCE">
              <w:rPr>
                <w:sz w:val="20"/>
                <w:szCs w:val="20"/>
              </w:rPr>
              <w:t>0.52559</w:t>
            </w:r>
          </w:p>
        </w:tc>
        <w:tc>
          <w:tcPr>
            <w:tcW w:w="1464" w:type="dxa"/>
            <w:vAlign w:val="center"/>
          </w:tcPr>
          <w:p w14:paraId="563B0EF8" w14:textId="77777777" w:rsidR="008F0A77" w:rsidRPr="00AF6DCE" w:rsidRDefault="008F0A77" w:rsidP="00EF6B7D">
            <w:pPr>
              <w:widowControl w:val="0"/>
              <w:jc w:val="center"/>
              <w:rPr>
                <w:b/>
                <w:sz w:val="20"/>
                <w:szCs w:val="20"/>
              </w:rPr>
            </w:pPr>
            <w:r w:rsidRPr="00AF6DCE">
              <w:rPr>
                <w:b/>
                <w:sz w:val="20"/>
                <w:szCs w:val="20"/>
              </w:rPr>
              <w:t>8</w:t>
            </w:r>
          </w:p>
        </w:tc>
        <w:tc>
          <w:tcPr>
            <w:tcW w:w="1764" w:type="dxa"/>
            <w:vAlign w:val="center"/>
          </w:tcPr>
          <w:p w14:paraId="32BA1331" w14:textId="77777777" w:rsidR="008F0A77" w:rsidRPr="00AF6DCE" w:rsidRDefault="008F0A77" w:rsidP="00EF6B7D">
            <w:pPr>
              <w:widowControl w:val="0"/>
              <w:jc w:val="center"/>
              <w:rPr>
                <w:b/>
                <w:sz w:val="20"/>
                <w:szCs w:val="20"/>
              </w:rPr>
            </w:pPr>
            <w:r w:rsidRPr="00AF6DCE">
              <w:rPr>
                <w:b/>
                <w:sz w:val="20"/>
                <w:szCs w:val="20"/>
              </w:rPr>
              <w:t>0.42633</w:t>
            </w:r>
          </w:p>
        </w:tc>
      </w:tr>
      <w:tr w:rsidR="008F0A77" w14:paraId="3F64F214" w14:textId="77777777" w:rsidTr="00EF6B7D">
        <w:tc>
          <w:tcPr>
            <w:tcW w:w="1464" w:type="dxa"/>
            <w:vAlign w:val="center"/>
          </w:tcPr>
          <w:p w14:paraId="4EA8225E" w14:textId="77777777" w:rsidR="008F0A77" w:rsidRPr="00AF6DCE" w:rsidRDefault="008F0A77" w:rsidP="00EF6B7D">
            <w:pPr>
              <w:widowControl w:val="0"/>
              <w:jc w:val="center"/>
              <w:rPr>
                <w:sz w:val="20"/>
                <w:szCs w:val="20"/>
              </w:rPr>
            </w:pPr>
            <w:r w:rsidRPr="00AF6DCE">
              <w:rPr>
                <w:sz w:val="20"/>
                <w:szCs w:val="20"/>
              </w:rPr>
              <w:t>2</w:t>
            </w:r>
          </w:p>
        </w:tc>
        <w:tc>
          <w:tcPr>
            <w:tcW w:w="1464" w:type="dxa"/>
            <w:vAlign w:val="center"/>
          </w:tcPr>
          <w:p w14:paraId="233B4305" w14:textId="77777777" w:rsidR="008F0A77" w:rsidRPr="00AF6DCE" w:rsidRDefault="008F0A77" w:rsidP="00EF6B7D">
            <w:pPr>
              <w:widowControl w:val="0"/>
              <w:jc w:val="center"/>
              <w:rPr>
                <w:sz w:val="20"/>
                <w:szCs w:val="20"/>
              </w:rPr>
            </w:pPr>
            <w:r w:rsidRPr="00AF6DCE">
              <w:rPr>
                <w:sz w:val="20"/>
                <w:szCs w:val="20"/>
              </w:rPr>
              <w:t xml:space="preserve">0.72539 </w:t>
            </w:r>
          </w:p>
        </w:tc>
        <w:tc>
          <w:tcPr>
            <w:tcW w:w="1464" w:type="dxa"/>
            <w:vAlign w:val="center"/>
          </w:tcPr>
          <w:p w14:paraId="3386EC9C" w14:textId="77777777" w:rsidR="008F0A77" w:rsidRPr="00AF6DCE" w:rsidRDefault="008F0A77" w:rsidP="00EF6B7D">
            <w:pPr>
              <w:widowControl w:val="0"/>
              <w:jc w:val="center"/>
              <w:rPr>
                <w:b/>
                <w:sz w:val="20"/>
                <w:szCs w:val="20"/>
              </w:rPr>
            </w:pPr>
            <w:r w:rsidRPr="00AF6DCE">
              <w:rPr>
                <w:b/>
                <w:sz w:val="20"/>
                <w:szCs w:val="20"/>
              </w:rPr>
              <w:t>18</w:t>
            </w:r>
          </w:p>
        </w:tc>
        <w:tc>
          <w:tcPr>
            <w:tcW w:w="1465" w:type="dxa"/>
            <w:vAlign w:val="center"/>
          </w:tcPr>
          <w:p w14:paraId="5A2FF5AF" w14:textId="77777777" w:rsidR="008F0A77" w:rsidRPr="00AF6DCE" w:rsidRDefault="008F0A77" w:rsidP="00EF6B7D">
            <w:pPr>
              <w:widowControl w:val="0"/>
              <w:jc w:val="center"/>
              <w:rPr>
                <w:b/>
                <w:sz w:val="20"/>
                <w:szCs w:val="20"/>
              </w:rPr>
            </w:pPr>
            <w:r w:rsidRPr="00AF6DCE">
              <w:rPr>
                <w:b/>
                <w:sz w:val="20"/>
                <w:szCs w:val="20"/>
              </w:rPr>
              <w:t>0.46517</w:t>
            </w:r>
          </w:p>
        </w:tc>
        <w:tc>
          <w:tcPr>
            <w:tcW w:w="1464" w:type="dxa"/>
            <w:vAlign w:val="center"/>
          </w:tcPr>
          <w:p w14:paraId="7CF132AE" w14:textId="77777777" w:rsidR="008F0A77" w:rsidRPr="00AF6DCE" w:rsidRDefault="008F0A77" w:rsidP="00EF6B7D">
            <w:pPr>
              <w:widowControl w:val="0"/>
              <w:jc w:val="center"/>
              <w:rPr>
                <w:sz w:val="20"/>
                <w:szCs w:val="20"/>
              </w:rPr>
            </w:pPr>
            <w:r w:rsidRPr="00AF6DCE">
              <w:rPr>
                <w:sz w:val="20"/>
                <w:szCs w:val="20"/>
              </w:rPr>
              <w:t>9</w:t>
            </w:r>
          </w:p>
        </w:tc>
        <w:tc>
          <w:tcPr>
            <w:tcW w:w="1764" w:type="dxa"/>
            <w:vAlign w:val="center"/>
          </w:tcPr>
          <w:p w14:paraId="4C3243EE" w14:textId="77777777" w:rsidR="008F0A77" w:rsidRPr="00AF6DCE" w:rsidRDefault="008F0A77" w:rsidP="00EF6B7D">
            <w:pPr>
              <w:widowControl w:val="0"/>
              <w:jc w:val="center"/>
              <w:rPr>
                <w:sz w:val="20"/>
                <w:szCs w:val="20"/>
              </w:rPr>
            </w:pPr>
            <w:r w:rsidRPr="00AF6DCE">
              <w:rPr>
                <w:sz w:val="20"/>
                <w:szCs w:val="20"/>
              </w:rPr>
              <w:t>0.54937</w:t>
            </w:r>
          </w:p>
        </w:tc>
      </w:tr>
      <w:tr w:rsidR="008F0A77" w14:paraId="4B004658" w14:textId="77777777" w:rsidTr="00EF6B7D">
        <w:tc>
          <w:tcPr>
            <w:tcW w:w="1464" w:type="dxa"/>
            <w:vAlign w:val="center"/>
          </w:tcPr>
          <w:p w14:paraId="1EA7C355" w14:textId="77777777" w:rsidR="008F0A77" w:rsidRPr="00AF6DCE" w:rsidRDefault="008F0A77" w:rsidP="00EF6B7D">
            <w:pPr>
              <w:widowControl w:val="0"/>
              <w:jc w:val="center"/>
              <w:rPr>
                <w:sz w:val="20"/>
                <w:szCs w:val="20"/>
              </w:rPr>
            </w:pPr>
            <w:r w:rsidRPr="00AF6DCE">
              <w:rPr>
                <w:sz w:val="20"/>
                <w:szCs w:val="20"/>
              </w:rPr>
              <w:t>3</w:t>
            </w:r>
          </w:p>
        </w:tc>
        <w:tc>
          <w:tcPr>
            <w:tcW w:w="1464" w:type="dxa"/>
            <w:vAlign w:val="center"/>
          </w:tcPr>
          <w:p w14:paraId="24FD5418" w14:textId="77777777" w:rsidR="008F0A77" w:rsidRPr="00AF6DCE" w:rsidRDefault="008F0A77" w:rsidP="00EF6B7D">
            <w:pPr>
              <w:widowControl w:val="0"/>
              <w:jc w:val="center"/>
              <w:rPr>
                <w:sz w:val="20"/>
                <w:szCs w:val="20"/>
              </w:rPr>
            </w:pPr>
            <w:r w:rsidRPr="00AF6DCE">
              <w:rPr>
                <w:sz w:val="20"/>
                <w:szCs w:val="20"/>
              </w:rPr>
              <w:t>0.75424</w:t>
            </w:r>
          </w:p>
        </w:tc>
        <w:tc>
          <w:tcPr>
            <w:tcW w:w="1464" w:type="dxa"/>
            <w:vAlign w:val="center"/>
          </w:tcPr>
          <w:p w14:paraId="258FE9BF" w14:textId="77777777" w:rsidR="008F0A77" w:rsidRPr="00AF6DCE" w:rsidRDefault="008F0A77" w:rsidP="00EF6B7D">
            <w:pPr>
              <w:widowControl w:val="0"/>
              <w:jc w:val="center"/>
              <w:rPr>
                <w:sz w:val="20"/>
                <w:szCs w:val="20"/>
              </w:rPr>
            </w:pPr>
            <w:r w:rsidRPr="00AF6DCE">
              <w:rPr>
                <w:sz w:val="20"/>
                <w:szCs w:val="20"/>
              </w:rPr>
              <w:t>20</w:t>
            </w:r>
          </w:p>
        </w:tc>
        <w:tc>
          <w:tcPr>
            <w:tcW w:w="1465" w:type="dxa"/>
            <w:vAlign w:val="center"/>
          </w:tcPr>
          <w:p w14:paraId="1D0713BD" w14:textId="77777777" w:rsidR="008F0A77" w:rsidRPr="00AF6DCE" w:rsidRDefault="008F0A77" w:rsidP="00EF6B7D">
            <w:pPr>
              <w:widowControl w:val="0"/>
              <w:jc w:val="center"/>
              <w:rPr>
                <w:sz w:val="20"/>
                <w:szCs w:val="20"/>
              </w:rPr>
            </w:pPr>
            <w:r w:rsidRPr="00AF6DCE">
              <w:rPr>
                <w:sz w:val="20"/>
                <w:szCs w:val="20"/>
              </w:rPr>
              <w:t>0.55444</w:t>
            </w:r>
          </w:p>
        </w:tc>
        <w:tc>
          <w:tcPr>
            <w:tcW w:w="1464" w:type="dxa"/>
            <w:vAlign w:val="center"/>
          </w:tcPr>
          <w:p w14:paraId="338CFAD9" w14:textId="77777777" w:rsidR="008F0A77" w:rsidRPr="00AF6DCE" w:rsidRDefault="008F0A77" w:rsidP="00EF6B7D">
            <w:pPr>
              <w:widowControl w:val="0"/>
              <w:jc w:val="center"/>
              <w:rPr>
                <w:sz w:val="20"/>
                <w:szCs w:val="20"/>
              </w:rPr>
            </w:pPr>
            <w:r w:rsidRPr="00AF6DCE">
              <w:rPr>
                <w:sz w:val="20"/>
                <w:szCs w:val="20"/>
              </w:rPr>
              <w:t>11</w:t>
            </w:r>
          </w:p>
        </w:tc>
        <w:tc>
          <w:tcPr>
            <w:tcW w:w="1764" w:type="dxa"/>
            <w:vAlign w:val="center"/>
          </w:tcPr>
          <w:p w14:paraId="428031B8" w14:textId="77777777" w:rsidR="008F0A77" w:rsidRPr="00AF6DCE" w:rsidRDefault="008F0A77" w:rsidP="00EF6B7D">
            <w:pPr>
              <w:widowControl w:val="0"/>
              <w:jc w:val="center"/>
              <w:rPr>
                <w:sz w:val="20"/>
                <w:szCs w:val="20"/>
              </w:rPr>
            </w:pPr>
            <w:r w:rsidRPr="00AF6DCE">
              <w:rPr>
                <w:sz w:val="20"/>
                <w:szCs w:val="20"/>
              </w:rPr>
              <w:t>0.50164</w:t>
            </w:r>
          </w:p>
        </w:tc>
      </w:tr>
      <w:tr w:rsidR="008F0A77" w14:paraId="7E9B11C3" w14:textId="77777777" w:rsidTr="00EF6B7D">
        <w:tc>
          <w:tcPr>
            <w:tcW w:w="1464" w:type="dxa"/>
            <w:vAlign w:val="center"/>
          </w:tcPr>
          <w:p w14:paraId="64978A63" w14:textId="77777777" w:rsidR="008F0A77" w:rsidRPr="00AF6DCE" w:rsidRDefault="008F0A77" w:rsidP="00EF6B7D">
            <w:pPr>
              <w:widowControl w:val="0"/>
              <w:jc w:val="center"/>
              <w:rPr>
                <w:sz w:val="20"/>
                <w:szCs w:val="20"/>
              </w:rPr>
            </w:pPr>
            <w:r w:rsidRPr="00AF6DCE">
              <w:rPr>
                <w:sz w:val="20"/>
                <w:szCs w:val="20"/>
              </w:rPr>
              <w:t>7</w:t>
            </w:r>
          </w:p>
        </w:tc>
        <w:tc>
          <w:tcPr>
            <w:tcW w:w="1464" w:type="dxa"/>
            <w:vAlign w:val="center"/>
          </w:tcPr>
          <w:p w14:paraId="24A4F1CD" w14:textId="77777777" w:rsidR="008F0A77" w:rsidRPr="00AF6DCE" w:rsidRDefault="008F0A77" w:rsidP="00EF6B7D">
            <w:pPr>
              <w:widowControl w:val="0"/>
              <w:jc w:val="center"/>
              <w:rPr>
                <w:sz w:val="20"/>
                <w:szCs w:val="20"/>
              </w:rPr>
            </w:pPr>
            <w:r w:rsidRPr="00AF6DCE">
              <w:rPr>
                <w:sz w:val="20"/>
                <w:szCs w:val="20"/>
              </w:rPr>
              <w:t>0.63488</w:t>
            </w:r>
          </w:p>
        </w:tc>
        <w:tc>
          <w:tcPr>
            <w:tcW w:w="1464" w:type="dxa"/>
            <w:vAlign w:val="center"/>
          </w:tcPr>
          <w:p w14:paraId="66DD0649" w14:textId="77777777" w:rsidR="008F0A77" w:rsidRPr="00AF6DCE" w:rsidRDefault="008F0A77" w:rsidP="00EF6B7D">
            <w:pPr>
              <w:widowControl w:val="0"/>
              <w:jc w:val="center"/>
              <w:rPr>
                <w:sz w:val="20"/>
                <w:szCs w:val="20"/>
              </w:rPr>
            </w:pPr>
            <w:r w:rsidRPr="00AF6DCE">
              <w:rPr>
                <w:sz w:val="20"/>
                <w:szCs w:val="20"/>
              </w:rPr>
              <w:t>21b</w:t>
            </w:r>
          </w:p>
        </w:tc>
        <w:tc>
          <w:tcPr>
            <w:tcW w:w="1465" w:type="dxa"/>
            <w:vAlign w:val="center"/>
          </w:tcPr>
          <w:p w14:paraId="4846FCEE" w14:textId="77777777" w:rsidR="008F0A77" w:rsidRPr="00AF6DCE" w:rsidRDefault="008F0A77" w:rsidP="00EF6B7D">
            <w:pPr>
              <w:widowControl w:val="0"/>
              <w:jc w:val="center"/>
              <w:rPr>
                <w:sz w:val="20"/>
                <w:szCs w:val="20"/>
              </w:rPr>
            </w:pPr>
            <w:r w:rsidRPr="00AF6DCE">
              <w:rPr>
                <w:sz w:val="20"/>
                <w:szCs w:val="20"/>
              </w:rPr>
              <w:t>0.76196</w:t>
            </w:r>
          </w:p>
        </w:tc>
        <w:tc>
          <w:tcPr>
            <w:tcW w:w="1464" w:type="dxa"/>
            <w:vAlign w:val="center"/>
          </w:tcPr>
          <w:p w14:paraId="66620B34" w14:textId="77777777" w:rsidR="008F0A77" w:rsidRPr="00AF6DCE" w:rsidRDefault="008F0A77" w:rsidP="00EF6B7D">
            <w:pPr>
              <w:widowControl w:val="0"/>
              <w:jc w:val="center"/>
              <w:rPr>
                <w:sz w:val="20"/>
                <w:szCs w:val="20"/>
              </w:rPr>
            </w:pPr>
            <w:r w:rsidRPr="00AF6DCE">
              <w:rPr>
                <w:sz w:val="20"/>
                <w:szCs w:val="20"/>
              </w:rPr>
              <w:t>16</w:t>
            </w:r>
          </w:p>
        </w:tc>
        <w:tc>
          <w:tcPr>
            <w:tcW w:w="1764" w:type="dxa"/>
            <w:vAlign w:val="center"/>
          </w:tcPr>
          <w:p w14:paraId="5A54B470" w14:textId="77777777" w:rsidR="008F0A77" w:rsidRPr="00AF6DCE" w:rsidRDefault="008F0A77" w:rsidP="00EF6B7D">
            <w:pPr>
              <w:widowControl w:val="0"/>
              <w:jc w:val="center"/>
              <w:rPr>
                <w:sz w:val="20"/>
                <w:szCs w:val="20"/>
              </w:rPr>
            </w:pPr>
            <w:r w:rsidRPr="00AF6DCE">
              <w:rPr>
                <w:sz w:val="20"/>
                <w:szCs w:val="20"/>
              </w:rPr>
              <w:t xml:space="preserve">0.70860 </w:t>
            </w:r>
          </w:p>
        </w:tc>
      </w:tr>
      <w:tr w:rsidR="008F0A77" w14:paraId="715AB1F1" w14:textId="77777777" w:rsidTr="00EF6B7D">
        <w:tc>
          <w:tcPr>
            <w:tcW w:w="1464" w:type="dxa"/>
            <w:vAlign w:val="center"/>
          </w:tcPr>
          <w:p w14:paraId="1E056751" w14:textId="77777777" w:rsidR="008F0A77" w:rsidRPr="00AF6DCE" w:rsidRDefault="008F0A77" w:rsidP="00EF6B7D">
            <w:pPr>
              <w:widowControl w:val="0"/>
              <w:jc w:val="center"/>
              <w:rPr>
                <w:sz w:val="20"/>
                <w:szCs w:val="20"/>
              </w:rPr>
            </w:pPr>
            <w:r w:rsidRPr="00AF6DCE">
              <w:rPr>
                <w:sz w:val="20"/>
                <w:szCs w:val="20"/>
              </w:rPr>
              <w:t>10</w:t>
            </w:r>
          </w:p>
        </w:tc>
        <w:tc>
          <w:tcPr>
            <w:tcW w:w="1464" w:type="dxa"/>
            <w:vAlign w:val="center"/>
          </w:tcPr>
          <w:p w14:paraId="50596378" w14:textId="77777777" w:rsidR="008F0A77" w:rsidRPr="00AF6DCE" w:rsidRDefault="008F0A77" w:rsidP="00EF6B7D">
            <w:pPr>
              <w:widowControl w:val="0"/>
              <w:jc w:val="center"/>
              <w:rPr>
                <w:sz w:val="20"/>
                <w:szCs w:val="20"/>
              </w:rPr>
            </w:pPr>
            <w:r w:rsidRPr="00AF6DCE">
              <w:rPr>
                <w:sz w:val="20"/>
                <w:szCs w:val="20"/>
              </w:rPr>
              <w:t>0.76174</w:t>
            </w:r>
          </w:p>
        </w:tc>
        <w:tc>
          <w:tcPr>
            <w:tcW w:w="1464" w:type="dxa"/>
            <w:vAlign w:val="center"/>
          </w:tcPr>
          <w:p w14:paraId="1049D2A8" w14:textId="77777777" w:rsidR="008F0A77" w:rsidRPr="00AF6DCE" w:rsidRDefault="008F0A77" w:rsidP="00EF6B7D">
            <w:pPr>
              <w:widowControl w:val="0"/>
              <w:jc w:val="center"/>
              <w:rPr>
                <w:sz w:val="20"/>
                <w:szCs w:val="20"/>
              </w:rPr>
            </w:pPr>
            <w:r w:rsidRPr="00AF6DCE">
              <w:rPr>
                <w:sz w:val="20"/>
                <w:szCs w:val="20"/>
              </w:rPr>
              <w:t>22</w:t>
            </w:r>
          </w:p>
        </w:tc>
        <w:tc>
          <w:tcPr>
            <w:tcW w:w="1465" w:type="dxa"/>
            <w:vAlign w:val="center"/>
          </w:tcPr>
          <w:p w14:paraId="7B232542" w14:textId="77777777" w:rsidR="008F0A77" w:rsidRPr="00AF6DCE" w:rsidRDefault="008F0A77" w:rsidP="00EF6B7D">
            <w:pPr>
              <w:widowControl w:val="0"/>
              <w:jc w:val="center"/>
              <w:rPr>
                <w:sz w:val="20"/>
                <w:szCs w:val="20"/>
              </w:rPr>
            </w:pPr>
            <w:r w:rsidRPr="00AF6DCE">
              <w:rPr>
                <w:sz w:val="20"/>
                <w:szCs w:val="20"/>
              </w:rPr>
              <w:t>0.64549</w:t>
            </w:r>
          </w:p>
        </w:tc>
        <w:tc>
          <w:tcPr>
            <w:tcW w:w="1464" w:type="dxa"/>
            <w:vAlign w:val="center"/>
          </w:tcPr>
          <w:p w14:paraId="0E5957F4" w14:textId="77777777" w:rsidR="008F0A77" w:rsidRPr="00AF6DCE" w:rsidRDefault="008F0A77" w:rsidP="00EF6B7D">
            <w:pPr>
              <w:widowControl w:val="0"/>
              <w:jc w:val="center"/>
              <w:rPr>
                <w:sz w:val="20"/>
                <w:szCs w:val="20"/>
              </w:rPr>
            </w:pPr>
            <w:r w:rsidRPr="00AF6DCE">
              <w:rPr>
                <w:sz w:val="20"/>
                <w:szCs w:val="20"/>
              </w:rPr>
              <w:t>17</w:t>
            </w:r>
          </w:p>
        </w:tc>
        <w:tc>
          <w:tcPr>
            <w:tcW w:w="1764" w:type="dxa"/>
            <w:vAlign w:val="center"/>
          </w:tcPr>
          <w:p w14:paraId="148FF29A" w14:textId="77777777" w:rsidR="008F0A77" w:rsidRPr="00AF6DCE" w:rsidRDefault="008F0A77" w:rsidP="00EF6B7D">
            <w:pPr>
              <w:widowControl w:val="0"/>
              <w:jc w:val="center"/>
              <w:rPr>
                <w:sz w:val="20"/>
                <w:szCs w:val="20"/>
              </w:rPr>
            </w:pPr>
            <w:r w:rsidRPr="00AF6DCE">
              <w:rPr>
                <w:sz w:val="20"/>
                <w:szCs w:val="20"/>
              </w:rPr>
              <w:t>0.55365</w:t>
            </w:r>
          </w:p>
        </w:tc>
      </w:tr>
      <w:tr w:rsidR="008F0A77" w14:paraId="7AF50CA1" w14:textId="77777777" w:rsidTr="00EF6B7D">
        <w:tc>
          <w:tcPr>
            <w:tcW w:w="1464" w:type="dxa"/>
            <w:vAlign w:val="center"/>
          </w:tcPr>
          <w:p w14:paraId="3F696D00" w14:textId="77777777" w:rsidR="008F0A77" w:rsidRPr="00AF6DCE" w:rsidRDefault="008F0A77" w:rsidP="00EF6B7D">
            <w:pPr>
              <w:widowControl w:val="0"/>
              <w:jc w:val="center"/>
              <w:rPr>
                <w:b/>
                <w:sz w:val="20"/>
                <w:szCs w:val="20"/>
              </w:rPr>
            </w:pPr>
            <w:r w:rsidRPr="00AF6DCE">
              <w:rPr>
                <w:b/>
                <w:sz w:val="20"/>
                <w:szCs w:val="20"/>
              </w:rPr>
              <w:t>13</w:t>
            </w:r>
          </w:p>
        </w:tc>
        <w:tc>
          <w:tcPr>
            <w:tcW w:w="1464" w:type="dxa"/>
            <w:vAlign w:val="center"/>
          </w:tcPr>
          <w:p w14:paraId="4A877BFB" w14:textId="77777777" w:rsidR="008F0A77" w:rsidRPr="00AF6DCE" w:rsidRDefault="008F0A77" w:rsidP="00EF6B7D">
            <w:pPr>
              <w:widowControl w:val="0"/>
              <w:jc w:val="center"/>
              <w:rPr>
                <w:b/>
                <w:sz w:val="20"/>
                <w:szCs w:val="20"/>
              </w:rPr>
            </w:pPr>
            <w:r w:rsidRPr="00AF6DCE">
              <w:rPr>
                <w:b/>
                <w:sz w:val="20"/>
                <w:szCs w:val="20"/>
              </w:rPr>
              <w:t xml:space="preserve">0.45552 </w:t>
            </w:r>
          </w:p>
        </w:tc>
        <w:tc>
          <w:tcPr>
            <w:tcW w:w="1464" w:type="dxa"/>
            <w:vAlign w:val="center"/>
          </w:tcPr>
          <w:p w14:paraId="4AAC2400" w14:textId="77777777" w:rsidR="008F0A77" w:rsidRPr="00AF6DCE" w:rsidRDefault="008F0A77" w:rsidP="00EF6B7D">
            <w:pPr>
              <w:widowControl w:val="0"/>
              <w:jc w:val="center"/>
              <w:rPr>
                <w:sz w:val="20"/>
                <w:szCs w:val="20"/>
              </w:rPr>
            </w:pPr>
            <w:r w:rsidRPr="00AF6DCE">
              <w:rPr>
                <w:sz w:val="20"/>
                <w:szCs w:val="20"/>
              </w:rPr>
              <w:t>23</w:t>
            </w:r>
          </w:p>
        </w:tc>
        <w:tc>
          <w:tcPr>
            <w:tcW w:w="1465" w:type="dxa"/>
            <w:vAlign w:val="center"/>
          </w:tcPr>
          <w:p w14:paraId="48EDE958" w14:textId="77777777" w:rsidR="008F0A77" w:rsidRPr="00AF6DCE" w:rsidRDefault="008F0A77" w:rsidP="00EF6B7D">
            <w:pPr>
              <w:widowControl w:val="0"/>
              <w:jc w:val="center"/>
              <w:rPr>
                <w:sz w:val="20"/>
                <w:szCs w:val="20"/>
              </w:rPr>
            </w:pPr>
            <w:r w:rsidRPr="00AF6DCE">
              <w:rPr>
                <w:sz w:val="20"/>
                <w:szCs w:val="20"/>
              </w:rPr>
              <w:t>0.58490</w:t>
            </w:r>
          </w:p>
        </w:tc>
        <w:tc>
          <w:tcPr>
            <w:tcW w:w="1464" w:type="dxa"/>
            <w:vAlign w:val="center"/>
          </w:tcPr>
          <w:p w14:paraId="6A1DAA89" w14:textId="77777777" w:rsidR="008F0A77" w:rsidRPr="00AF6DCE" w:rsidRDefault="008F0A77" w:rsidP="00EF6B7D">
            <w:pPr>
              <w:widowControl w:val="0"/>
              <w:jc w:val="center"/>
              <w:rPr>
                <w:b/>
                <w:sz w:val="20"/>
                <w:szCs w:val="20"/>
              </w:rPr>
            </w:pPr>
            <w:r w:rsidRPr="00AF6DCE">
              <w:rPr>
                <w:b/>
                <w:sz w:val="20"/>
                <w:szCs w:val="20"/>
              </w:rPr>
              <w:t>26</w:t>
            </w:r>
          </w:p>
        </w:tc>
        <w:tc>
          <w:tcPr>
            <w:tcW w:w="1764" w:type="dxa"/>
            <w:vAlign w:val="center"/>
          </w:tcPr>
          <w:p w14:paraId="0F24343F" w14:textId="77777777" w:rsidR="008F0A77" w:rsidRPr="00AF6DCE" w:rsidRDefault="008F0A77" w:rsidP="00EF6B7D">
            <w:pPr>
              <w:widowControl w:val="0"/>
              <w:jc w:val="center"/>
              <w:rPr>
                <w:b/>
                <w:sz w:val="20"/>
                <w:szCs w:val="20"/>
              </w:rPr>
            </w:pPr>
            <w:r w:rsidRPr="00AF6DCE">
              <w:rPr>
                <w:b/>
                <w:sz w:val="20"/>
                <w:szCs w:val="20"/>
              </w:rPr>
              <w:t>0.47142</w:t>
            </w:r>
          </w:p>
        </w:tc>
      </w:tr>
      <w:tr w:rsidR="008F0A77" w:rsidRPr="00AF6DCE" w14:paraId="2002538F" w14:textId="77777777" w:rsidTr="00EF6B7D">
        <w:tc>
          <w:tcPr>
            <w:tcW w:w="1464" w:type="dxa"/>
            <w:vAlign w:val="center"/>
          </w:tcPr>
          <w:p w14:paraId="25F28216" w14:textId="77777777" w:rsidR="008F0A77" w:rsidRPr="00AF6DCE" w:rsidRDefault="008F0A77" w:rsidP="00EF6B7D">
            <w:pPr>
              <w:widowControl w:val="0"/>
              <w:jc w:val="center"/>
              <w:rPr>
                <w:sz w:val="20"/>
                <w:szCs w:val="20"/>
              </w:rPr>
            </w:pPr>
            <w:r w:rsidRPr="00AF6DCE">
              <w:rPr>
                <w:sz w:val="20"/>
                <w:szCs w:val="20"/>
              </w:rPr>
              <w:t>19</w:t>
            </w:r>
          </w:p>
        </w:tc>
        <w:tc>
          <w:tcPr>
            <w:tcW w:w="1464" w:type="dxa"/>
            <w:vAlign w:val="center"/>
          </w:tcPr>
          <w:p w14:paraId="63755ABC" w14:textId="77777777" w:rsidR="008F0A77" w:rsidRPr="00AF6DCE" w:rsidRDefault="008F0A77" w:rsidP="00EF6B7D">
            <w:pPr>
              <w:widowControl w:val="0"/>
              <w:jc w:val="center"/>
              <w:rPr>
                <w:sz w:val="20"/>
                <w:szCs w:val="20"/>
              </w:rPr>
            </w:pPr>
            <w:r w:rsidRPr="00AF6DCE">
              <w:rPr>
                <w:b/>
                <w:sz w:val="20"/>
                <w:szCs w:val="20"/>
              </w:rPr>
              <w:t>0.55918</w:t>
            </w:r>
          </w:p>
        </w:tc>
        <w:tc>
          <w:tcPr>
            <w:tcW w:w="1464" w:type="dxa"/>
            <w:vAlign w:val="center"/>
          </w:tcPr>
          <w:p w14:paraId="2826C8D9" w14:textId="77777777" w:rsidR="008F0A77" w:rsidRPr="00AF6DCE" w:rsidRDefault="008F0A77" w:rsidP="00EF6B7D">
            <w:pPr>
              <w:widowControl w:val="0"/>
              <w:jc w:val="center"/>
              <w:rPr>
                <w:sz w:val="20"/>
                <w:szCs w:val="20"/>
              </w:rPr>
            </w:pPr>
            <w:r w:rsidRPr="00AF6DCE">
              <w:rPr>
                <w:sz w:val="20"/>
                <w:szCs w:val="20"/>
              </w:rPr>
              <w:t>24</w:t>
            </w:r>
          </w:p>
        </w:tc>
        <w:tc>
          <w:tcPr>
            <w:tcW w:w="1465" w:type="dxa"/>
            <w:vAlign w:val="center"/>
          </w:tcPr>
          <w:p w14:paraId="72F3EB8B" w14:textId="77777777" w:rsidR="008F0A77" w:rsidRPr="00AF6DCE" w:rsidRDefault="008F0A77" w:rsidP="00EF6B7D">
            <w:pPr>
              <w:widowControl w:val="0"/>
              <w:jc w:val="center"/>
              <w:rPr>
                <w:sz w:val="20"/>
                <w:szCs w:val="20"/>
              </w:rPr>
            </w:pPr>
            <w:r w:rsidRPr="00AF6DCE">
              <w:rPr>
                <w:sz w:val="20"/>
                <w:szCs w:val="20"/>
              </w:rPr>
              <w:t>0.71541</w:t>
            </w:r>
          </w:p>
        </w:tc>
        <w:tc>
          <w:tcPr>
            <w:tcW w:w="1464" w:type="dxa"/>
            <w:vAlign w:val="center"/>
          </w:tcPr>
          <w:p w14:paraId="12A034FA" w14:textId="77777777" w:rsidR="008F0A77" w:rsidRPr="00AF6DCE" w:rsidRDefault="008F0A77" w:rsidP="00EF6B7D">
            <w:pPr>
              <w:widowControl w:val="0"/>
              <w:jc w:val="center"/>
              <w:rPr>
                <w:sz w:val="20"/>
                <w:szCs w:val="20"/>
              </w:rPr>
            </w:pPr>
            <w:r w:rsidRPr="00AF6DCE">
              <w:rPr>
                <w:sz w:val="20"/>
                <w:szCs w:val="20"/>
              </w:rPr>
              <w:t>27</w:t>
            </w:r>
          </w:p>
        </w:tc>
        <w:tc>
          <w:tcPr>
            <w:tcW w:w="1764" w:type="dxa"/>
            <w:vAlign w:val="center"/>
          </w:tcPr>
          <w:p w14:paraId="271D0981" w14:textId="77777777" w:rsidR="008F0A77" w:rsidRPr="00AF6DCE" w:rsidRDefault="008F0A77" w:rsidP="00EF6B7D">
            <w:pPr>
              <w:widowControl w:val="0"/>
              <w:jc w:val="center"/>
              <w:rPr>
                <w:sz w:val="20"/>
                <w:szCs w:val="20"/>
              </w:rPr>
            </w:pPr>
            <w:r w:rsidRPr="00AF6DCE">
              <w:rPr>
                <w:sz w:val="20"/>
                <w:szCs w:val="20"/>
              </w:rPr>
              <w:t>0.51964</w:t>
            </w:r>
          </w:p>
        </w:tc>
      </w:tr>
      <w:tr w:rsidR="008F0A77" w:rsidRPr="00AF6DCE" w14:paraId="20936F2A" w14:textId="77777777" w:rsidTr="00EF6B7D">
        <w:tc>
          <w:tcPr>
            <w:tcW w:w="1464" w:type="dxa"/>
            <w:vAlign w:val="center"/>
          </w:tcPr>
          <w:p w14:paraId="144C698C" w14:textId="77777777" w:rsidR="008F0A77" w:rsidRPr="00AF6DCE" w:rsidRDefault="008F0A77" w:rsidP="00EF6B7D">
            <w:pPr>
              <w:widowControl w:val="0"/>
              <w:jc w:val="center"/>
              <w:rPr>
                <w:sz w:val="20"/>
                <w:szCs w:val="20"/>
              </w:rPr>
            </w:pPr>
          </w:p>
        </w:tc>
        <w:tc>
          <w:tcPr>
            <w:tcW w:w="1464" w:type="dxa"/>
            <w:vAlign w:val="center"/>
          </w:tcPr>
          <w:p w14:paraId="5279D61B" w14:textId="77777777" w:rsidR="008F0A77" w:rsidRPr="00AF6DCE" w:rsidRDefault="008F0A77" w:rsidP="00EF6B7D">
            <w:pPr>
              <w:widowControl w:val="0"/>
              <w:jc w:val="center"/>
              <w:rPr>
                <w:sz w:val="20"/>
                <w:szCs w:val="20"/>
              </w:rPr>
            </w:pPr>
          </w:p>
        </w:tc>
        <w:tc>
          <w:tcPr>
            <w:tcW w:w="1464" w:type="dxa"/>
            <w:vAlign w:val="center"/>
          </w:tcPr>
          <w:p w14:paraId="2717B721" w14:textId="77777777" w:rsidR="008F0A77" w:rsidRPr="00AF6DCE" w:rsidRDefault="008F0A77" w:rsidP="00EF6B7D">
            <w:pPr>
              <w:widowControl w:val="0"/>
              <w:jc w:val="center"/>
              <w:rPr>
                <w:sz w:val="20"/>
                <w:szCs w:val="20"/>
              </w:rPr>
            </w:pPr>
            <w:r w:rsidRPr="00AF6DCE">
              <w:rPr>
                <w:sz w:val="20"/>
                <w:szCs w:val="20"/>
              </w:rPr>
              <w:t>25</w:t>
            </w:r>
          </w:p>
        </w:tc>
        <w:tc>
          <w:tcPr>
            <w:tcW w:w="1465" w:type="dxa"/>
            <w:vAlign w:val="center"/>
          </w:tcPr>
          <w:p w14:paraId="53D9475A" w14:textId="77777777" w:rsidR="008F0A77" w:rsidRPr="00AF6DCE" w:rsidRDefault="008F0A77" w:rsidP="00EF6B7D">
            <w:pPr>
              <w:widowControl w:val="0"/>
              <w:jc w:val="center"/>
              <w:rPr>
                <w:sz w:val="20"/>
                <w:szCs w:val="20"/>
              </w:rPr>
            </w:pPr>
            <w:r w:rsidRPr="00AF6DCE">
              <w:rPr>
                <w:sz w:val="20"/>
                <w:szCs w:val="20"/>
              </w:rPr>
              <w:t>0.67041</w:t>
            </w:r>
          </w:p>
        </w:tc>
        <w:tc>
          <w:tcPr>
            <w:tcW w:w="1464" w:type="dxa"/>
            <w:vAlign w:val="center"/>
          </w:tcPr>
          <w:p w14:paraId="519323C8" w14:textId="77777777" w:rsidR="008F0A77" w:rsidRPr="00AF6DCE" w:rsidRDefault="008F0A77" w:rsidP="00EF6B7D">
            <w:pPr>
              <w:widowControl w:val="0"/>
              <w:jc w:val="center"/>
              <w:rPr>
                <w:sz w:val="20"/>
                <w:szCs w:val="20"/>
              </w:rPr>
            </w:pPr>
            <w:r w:rsidRPr="00AF6DCE">
              <w:rPr>
                <w:sz w:val="20"/>
                <w:szCs w:val="20"/>
              </w:rPr>
              <w:t>28</w:t>
            </w:r>
          </w:p>
        </w:tc>
        <w:tc>
          <w:tcPr>
            <w:tcW w:w="1764" w:type="dxa"/>
            <w:vAlign w:val="center"/>
          </w:tcPr>
          <w:p w14:paraId="14D09291" w14:textId="77777777" w:rsidR="008F0A77" w:rsidRPr="00AF6DCE" w:rsidRDefault="008F0A77" w:rsidP="00EF6B7D">
            <w:pPr>
              <w:widowControl w:val="0"/>
              <w:jc w:val="center"/>
              <w:rPr>
                <w:sz w:val="20"/>
                <w:szCs w:val="20"/>
              </w:rPr>
            </w:pPr>
            <w:r w:rsidRPr="00AF6DCE">
              <w:rPr>
                <w:sz w:val="20"/>
                <w:szCs w:val="20"/>
              </w:rPr>
              <w:t>0.64654</w:t>
            </w:r>
          </w:p>
        </w:tc>
      </w:tr>
      <w:tr w:rsidR="008F0A77" w:rsidRPr="00AF6DCE" w14:paraId="4E59D7E1" w14:textId="77777777" w:rsidTr="00EF6B7D">
        <w:tc>
          <w:tcPr>
            <w:tcW w:w="1464" w:type="dxa"/>
            <w:vAlign w:val="center"/>
          </w:tcPr>
          <w:p w14:paraId="531C515C" w14:textId="77777777" w:rsidR="008F0A77" w:rsidRPr="00AF6DCE" w:rsidRDefault="008F0A77" w:rsidP="00EF6B7D">
            <w:pPr>
              <w:widowControl w:val="0"/>
              <w:jc w:val="center"/>
              <w:rPr>
                <w:sz w:val="20"/>
                <w:szCs w:val="20"/>
              </w:rPr>
            </w:pPr>
          </w:p>
        </w:tc>
        <w:tc>
          <w:tcPr>
            <w:tcW w:w="1464" w:type="dxa"/>
            <w:vAlign w:val="center"/>
          </w:tcPr>
          <w:p w14:paraId="006A0B9F" w14:textId="77777777" w:rsidR="008F0A77" w:rsidRPr="00AF6DCE" w:rsidRDefault="008F0A77" w:rsidP="00EF6B7D">
            <w:pPr>
              <w:widowControl w:val="0"/>
              <w:jc w:val="center"/>
              <w:rPr>
                <w:sz w:val="20"/>
                <w:szCs w:val="20"/>
              </w:rPr>
            </w:pPr>
          </w:p>
        </w:tc>
        <w:tc>
          <w:tcPr>
            <w:tcW w:w="1464" w:type="dxa"/>
            <w:vAlign w:val="center"/>
          </w:tcPr>
          <w:p w14:paraId="7F4C7407" w14:textId="77777777" w:rsidR="008F0A77" w:rsidRPr="00AF6DCE" w:rsidRDefault="008F0A77" w:rsidP="00EF6B7D">
            <w:pPr>
              <w:widowControl w:val="0"/>
              <w:jc w:val="center"/>
              <w:rPr>
                <w:sz w:val="20"/>
                <w:szCs w:val="20"/>
              </w:rPr>
            </w:pPr>
            <w:r w:rsidRPr="00AF6DCE">
              <w:rPr>
                <w:sz w:val="20"/>
                <w:szCs w:val="20"/>
              </w:rPr>
              <w:t>31</w:t>
            </w:r>
          </w:p>
        </w:tc>
        <w:tc>
          <w:tcPr>
            <w:tcW w:w="1465" w:type="dxa"/>
            <w:vAlign w:val="center"/>
          </w:tcPr>
          <w:p w14:paraId="330C2343" w14:textId="77777777" w:rsidR="008F0A77" w:rsidRPr="00AF6DCE" w:rsidRDefault="008F0A77" w:rsidP="00EF6B7D">
            <w:pPr>
              <w:widowControl w:val="0"/>
              <w:jc w:val="center"/>
              <w:rPr>
                <w:sz w:val="20"/>
                <w:szCs w:val="20"/>
              </w:rPr>
            </w:pPr>
            <w:r w:rsidRPr="00AF6DCE">
              <w:rPr>
                <w:sz w:val="20"/>
                <w:szCs w:val="20"/>
              </w:rPr>
              <w:t>0.53405</w:t>
            </w:r>
          </w:p>
        </w:tc>
        <w:tc>
          <w:tcPr>
            <w:tcW w:w="1464" w:type="dxa"/>
            <w:vAlign w:val="center"/>
          </w:tcPr>
          <w:p w14:paraId="73B186CC" w14:textId="77777777" w:rsidR="008F0A77" w:rsidRPr="00AF6DCE" w:rsidRDefault="008F0A77" w:rsidP="00EF6B7D">
            <w:pPr>
              <w:widowControl w:val="0"/>
              <w:jc w:val="center"/>
              <w:rPr>
                <w:sz w:val="20"/>
                <w:szCs w:val="20"/>
              </w:rPr>
            </w:pPr>
            <w:r w:rsidRPr="00AF6DCE">
              <w:rPr>
                <w:sz w:val="20"/>
                <w:szCs w:val="20"/>
              </w:rPr>
              <w:t>30</w:t>
            </w:r>
          </w:p>
        </w:tc>
        <w:tc>
          <w:tcPr>
            <w:tcW w:w="1764" w:type="dxa"/>
            <w:vAlign w:val="center"/>
          </w:tcPr>
          <w:p w14:paraId="7C8D288E" w14:textId="77777777" w:rsidR="008F0A77" w:rsidRPr="00AF6DCE" w:rsidRDefault="008F0A77" w:rsidP="00EF6B7D">
            <w:pPr>
              <w:widowControl w:val="0"/>
              <w:jc w:val="center"/>
              <w:rPr>
                <w:sz w:val="20"/>
                <w:szCs w:val="20"/>
              </w:rPr>
            </w:pPr>
            <w:r w:rsidRPr="00AF6DCE">
              <w:rPr>
                <w:sz w:val="20"/>
                <w:szCs w:val="20"/>
              </w:rPr>
              <w:t>0.57767</w:t>
            </w:r>
          </w:p>
        </w:tc>
      </w:tr>
      <w:tr w:rsidR="008F0A77" w:rsidRPr="00AF6DCE" w14:paraId="631F42F9" w14:textId="77777777" w:rsidTr="00EF6B7D">
        <w:tc>
          <w:tcPr>
            <w:tcW w:w="1464" w:type="dxa"/>
            <w:tcBorders>
              <w:bottom w:val="single" w:sz="8" w:space="0" w:color="000000"/>
            </w:tcBorders>
            <w:vAlign w:val="center"/>
          </w:tcPr>
          <w:p w14:paraId="67BBBC29" w14:textId="77777777" w:rsidR="008F0A77" w:rsidRPr="00AF6DCE" w:rsidRDefault="008F0A77" w:rsidP="00EF6B7D">
            <w:pPr>
              <w:widowControl w:val="0"/>
              <w:jc w:val="center"/>
              <w:rPr>
                <w:sz w:val="20"/>
                <w:szCs w:val="20"/>
              </w:rPr>
            </w:pPr>
          </w:p>
        </w:tc>
        <w:tc>
          <w:tcPr>
            <w:tcW w:w="1464" w:type="dxa"/>
            <w:tcBorders>
              <w:bottom w:val="single" w:sz="8" w:space="0" w:color="000000"/>
            </w:tcBorders>
            <w:vAlign w:val="center"/>
          </w:tcPr>
          <w:p w14:paraId="282E608A" w14:textId="77777777" w:rsidR="008F0A77" w:rsidRPr="00AF6DCE" w:rsidRDefault="008F0A77" w:rsidP="00EF6B7D">
            <w:pPr>
              <w:widowControl w:val="0"/>
              <w:jc w:val="center"/>
              <w:rPr>
                <w:sz w:val="20"/>
                <w:szCs w:val="20"/>
              </w:rPr>
            </w:pPr>
          </w:p>
        </w:tc>
        <w:tc>
          <w:tcPr>
            <w:tcW w:w="1464" w:type="dxa"/>
            <w:tcBorders>
              <w:bottom w:val="single" w:sz="8" w:space="0" w:color="000000"/>
            </w:tcBorders>
            <w:vAlign w:val="center"/>
          </w:tcPr>
          <w:p w14:paraId="163A5A56" w14:textId="77777777" w:rsidR="008F0A77" w:rsidRPr="00AF6DCE" w:rsidRDefault="008F0A77" w:rsidP="00EF6B7D">
            <w:pPr>
              <w:widowControl w:val="0"/>
              <w:jc w:val="center"/>
              <w:rPr>
                <w:sz w:val="20"/>
                <w:szCs w:val="20"/>
              </w:rPr>
            </w:pPr>
          </w:p>
        </w:tc>
        <w:tc>
          <w:tcPr>
            <w:tcW w:w="1465" w:type="dxa"/>
            <w:tcBorders>
              <w:bottom w:val="single" w:sz="8" w:space="0" w:color="000000"/>
            </w:tcBorders>
            <w:vAlign w:val="center"/>
          </w:tcPr>
          <w:p w14:paraId="57A864AA" w14:textId="77777777" w:rsidR="008F0A77" w:rsidRPr="00AF6DCE" w:rsidRDefault="008F0A77" w:rsidP="00EF6B7D">
            <w:pPr>
              <w:widowControl w:val="0"/>
              <w:jc w:val="center"/>
              <w:rPr>
                <w:sz w:val="20"/>
                <w:szCs w:val="20"/>
              </w:rPr>
            </w:pPr>
          </w:p>
        </w:tc>
        <w:tc>
          <w:tcPr>
            <w:tcW w:w="1464" w:type="dxa"/>
            <w:tcBorders>
              <w:bottom w:val="single" w:sz="8" w:space="0" w:color="000000"/>
            </w:tcBorders>
            <w:vAlign w:val="center"/>
          </w:tcPr>
          <w:p w14:paraId="722ABC46" w14:textId="77777777" w:rsidR="008F0A77" w:rsidRPr="00AF6DCE" w:rsidRDefault="008F0A77" w:rsidP="00EF6B7D">
            <w:pPr>
              <w:widowControl w:val="0"/>
              <w:jc w:val="center"/>
              <w:rPr>
                <w:b/>
                <w:sz w:val="20"/>
                <w:szCs w:val="20"/>
              </w:rPr>
            </w:pPr>
            <w:r w:rsidRPr="00AF6DCE">
              <w:rPr>
                <w:b/>
                <w:sz w:val="20"/>
                <w:szCs w:val="20"/>
              </w:rPr>
              <w:t>32</w:t>
            </w:r>
          </w:p>
        </w:tc>
        <w:tc>
          <w:tcPr>
            <w:tcW w:w="1764" w:type="dxa"/>
            <w:tcBorders>
              <w:bottom w:val="single" w:sz="8" w:space="0" w:color="000000"/>
            </w:tcBorders>
            <w:vAlign w:val="center"/>
          </w:tcPr>
          <w:p w14:paraId="6C85C68F" w14:textId="77777777" w:rsidR="008F0A77" w:rsidRPr="00AF6DCE" w:rsidRDefault="008F0A77" w:rsidP="00EF6B7D">
            <w:pPr>
              <w:widowControl w:val="0"/>
              <w:jc w:val="center"/>
              <w:rPr>
                <w:b/>
                <w:sz w:val="20"/>
                <w:szCs w:val="20"/>
              </w:rPr>
            </w:pPr>
            <w:r w:rsidRPr="00AF6DCE">
              <w:rPr>
                <w:b/>
                <w:sz w:val="20"/>
                <w:szCs w:val="20"/>
              </w:rPr>
              <w:t>0.46103</w:t>
            </w:r>
          </w:p>
        </w:tc>
      </w:tr>
    </w:tbl>
    <w:p w14:paraId="4159415E" w14:textId="77777777" w:rsidR="008F0A77" w:rsidRPr="00AF6DCE" w:rsidRDefault="008F0A77" w:rsidP="008F0A77">
      <w:pPr>
        <w:widowControl w:val="0"/>
        <w:jc w:val="both"/>
        <w:rPr>
          <w:b/>
          <w:sz w:val="20"/>
          <w:szCs w:val="20"/>
        </w:rPr>
      </w:pPr>
      <w:r w:rsidRPr="00AF6DCE">
        <w:rPr>
          <w:sz w:val="20"/>
          <w:szCs w:val="20"/>
        </w:rPr>
        <w:t xml:space="preserve">Kaiser’s Measure of Sampling Adequacy </w:t>
      </w:r>
      <w:r w:rsidRPr="00AF6DCE">
        <w:rPr>
          <w:b/>
          <w:sz w:val="20"/>
          <w:szCs w:val="20"/>
        </w:rPr>
        <w:t>(Overall MSA) = 0.85859388 (n=105)</w:t>
      </w:r>
      <w:r w:rsidRPr="00AF6DCE">
        <w:rPr>
          <w:sz w:val="20"/>
          <w:szCs w:val="20"/>
        </w:rPr>
        <w:t>.</w:t>
      </w:r>
    </w:p>
    <w:p w14:paraId="182D971B" w14:textId="77777777" w:rsidR="008F0A77" w:rsidRDefault="008F0A77" w:rsidP="008F0A77">
      <w:pPr>
        <w:widowControl w:val="0"/>
        <w:spacing w:line="360" w:lineRule="auto"/>
        <w:ind w:left="-283" w:right="-267"/>
        <w:jc w:val="both"/>
        <w:rPr>
          <w:b/>
        </w:rPr>
      </w:pPr>
    </w:p>
    <w:p w14:paraId="280AA620" w14:textId="0C2191BD" w:rsidR="008F0A77" w:rsidRDefault="008F0A77" w:rsidP="008F0A77">
      <w:pPr>
        <w:widowControl w:val="0"/>
        <w:spacing w:line="360" w:lineRule="auto"/>
        <w:ind w:left="-283" w:right="-267" w:firstLine="283"/>
        <w:jc w:val="both"/>
      </w:pPr>
      <w:r>
        <w:t xml:space="preserve">Items 5, 15, and 21a had values below 0.4 and were excluded from this new model because they did not fit the distribution of the domains </w:t>
      </w:r>
      <w:r w:rsidR="0030246C">
        <w:fldChar w:fldCharType="begin" w:fldLock="1"/>
      </w:r>
      <w:r w:rsidR="0030246C">
        <w:instrText>ADDIN CSL_CITATION {"citationItems":[{"id":"ITEM-1","itemData":{"ISBN":"9780470023563","abstract":"2nd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-1","issued":{"date-parts":[["2006"]]},"number-of-pages":"455","publisher":"John Wiley","publisher-place":"London","title":"Applied mixed models in medicine","type":"book"},"uris":["http://www.mendeley.com/documents/?uuid=dd501664-a02c-38a5-8333-2706c2908d06"]}],"mendeley":{"formattedCitation":"(Brown &amp; Prescott, 2006)","plainTextFormattedCitation":"(Brown &amp; Prescott, 2006)","previouslyFormattedCitation":"(Brown &amp; Prescott, 2006)"},"properties":{"noteIndex":0},"schema":"https://github.com/citation-style-language/schema/raw/master/csl-citation.json"}</w:instrText>
      </w:r>
      <w:r w:rsidR="0030246C">
        <w:fldChar w:fldCharType="separate"/>
      </w:r>
      <w:r w:rsidR="0030246C" w:rsidRPr="0030246C">
        <w:rPr>
          <w:noProof/>
        </w:rPr>
        <w:t>(Brown &amp; Prescott, 2006)</w:t>
      </w:r>
      <w:r w:rsidR="0030246C">
        <w:fldChar w:fldCharType="end"/>
      </w:r>
      <w:r w:rsidR="0030246C">
        <w:t xml:space="preserve">. </w:t>
      </w:r>
      <w:r>
        <w:t>On the other hand, Items 8, 13, 18, 26 and 32 had values between 0.4 and 0.5 (0.5 &lt; x &gt; 0.4) and, according to the indication of the studied literatures, they may be excluded depending on the researchers’ evaluations</w:t>
      </w:r>
      <w:r w:rsidR="0030246C">
        <w:t xml:space="preserve"> </w:t>
      </w:r>
      <w:r w:rsidR="0030246C">
        <w:fldChar w:fldCharType="begin" w:fldLock="1"/>
      </w:r>
      <w:r w:rsidR="0030246C">
        <w:instrText>ADDIN CSL_CITATION {"citationItems":[{"id":"ITEM-1","itemData":{"ISBN":"9780470023563","abstract":"2nd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-1","issued":{"date-parts":[["2006"]]},"number-of-pages":"455","publisher":"John Wiley","publisher-place":"London","title":"Applied mixed models in medicine","type":"book"},"uris":["http://www.mendeley.com/documents/?uuid=dd501664-a02c-38a5-8333-2706c2908d06"]},{"id":"ITEM-2","itemData":{"author":[{"dropping-particle":"","family":"Damásio","given":"Bruno Figueiredo","non-dropping-particle":"","parse-names":false,"suffix":""}],"id":"ITEM-2","issue":"2","issued":{"date-parts":[["2012"]]},"number-of-pages":"213-228","title":"Uso da análise fatorial exploratória em psicologia","type":"report","volume":"11"},"uris":["http://www.mendeley.com/documents/?uuid=fcea6c34-f9dd-336c-bcd7-e9344ad60ac1"]}],"mendeley":{"formattedCitation":"(Brown &amp; Prescott, 2006; Damásio, 2012)","plainTextFormattedCitation":"(Brown &amp; Prescott, 2006; Damásio, 2012)","previouslyFormattedCitation":"(Brown &amp; Prescott, 2006; Damásio, 2012)"},"properties":{"noteIndex":0},"schema":"https://github.com/citation-style-language/schema/raw/master/csl-citation.json"}</w:instrText>
      </w:r>
      <w:r w:rsidR="0030246C">
        <w:fldChar w:fldCharType="separate"/>
      </w:r>
      <w:r w:rsidR="0030246C" w:rsidRPr="0030246C">
        <w:rPr>
          <w:noProof/>
        </w:rPr>
        <w:t>(Brown &amp; Prescott, 2006; Damásio, 2012)</w:t>
      </w:r>
      <w:r w:rsidR="0030246C">
        <w:fldChar w:fldCharType="end"/>
      </w:r>
      <w:r>
        <w:t xml:space="preserve">. We also noticed throughout the collection and analyses that items 27 and 28, </w:t>
      </w:r>
      <w:r>
        <w:lastRenderedPageBreak/>
        <w:t>considering the Brazilian culture, resembled and appeared with repeated items, being the 28</w:t>
      </w:r>
      <w:r>
        <w:rPr>
          <w:vertAlign w:val="superscript"/>
        </w:rPr>
        <w:t>th</w:t>
      </w:r>
      <w:r>
        <w:t xml:space="preserve"> easier to understand.</w:t>
      </w:r>
    </w:p>
    <w:p w14:paraId="3B93DFC2" w14:textId="4F7501E7" w:rsidR="008F0A77" w:rsidRDefault="008F0A77" w:rsidP="008F0A77">
      <w:pPr>
        <w:widowControl w:val="0"/>
        <w:spacing w:line="360" w:lineRule="auto"/>
        <w:ind w:left="-283" w:right="-267" w:firstLine="283"/>
        <w:jc w:val="both"/>
      </w:pPr>
      <w:r>
        <w:t xml:space="preserve">Thus, in total, the model would have 20 items (sentences), requiring a new field to test the format based on a confirmatory factor analysis </w:t>
      </w:r>
      <w:r w:rsidR="0030246C">
        <w:fldChar w:fldCharType="begin" w:fldLock="1"/>
      </w:r>
      <w:r w:rsidR="0030246C">
        <w:instrText>ADDIN CSL_CITATION {"citationItems":[{"id":"ITEM-1","itemData":{"ISBN":"9788577805341","author":[{"dropping-particle":"","family":"Hair","given":"Jr. Joseph F.","non-dropping-particle":"","parse-names":false,"suffix":""},{"dropping-particle":"","family":"Andreson","given":"R.","non-dropping-particle":"","parse-names":false,"suffix":""},{"dropping-particle":"","family":"Tatham","given":"R.","non-dropping-particle":"","parse-names":false,"suffix":""},{"dropping-particle":"","family":"Black","given":"William C.","non-dropping-particle":"","parse-names":false,"suffix":""}],"edition":"5","editor":[{"dropping-particle":"","family":"Bookman","given":"","non-dropping-particle":"","parse-names":false,"suffix":""}],"id":"ITEM-1","issued":{"date-parts":[["2005"]]},"number-of-pages":"593","publisher":"Grupo A - Bookman","publisher-place":"Porto Alegre","title":"Análise multivariada de dados","type":"book"},"uris":["http://www.mendeley.com/documents/?uuid=26f5c26c-d612-3d22-86e6-177d4828a8c2"]},{"id":"ITEM-2","itemData":{"ISBN":"9780470023563","abstract":"2nd ed. Helen Brown, Principal Statistician, NHS Scotland, Edinburgh, UK Robin Prescott, Medical Statistics Unit, University of Edinburgh Medical School, UK. Normal mixed models -- Generalised linear mixed models -- Mixed models for categorical data -- Multi-centre trials and meta-analyses -- Repeated measures data -- Cross-over trials -- Other applications of mixed models -- Software for fitting mixed models.","author":[{"dropping-particle":"","family":"Brown","given":"Helen","non-dropping-particle":"","parse-names":false,"suffix":""},{"dropping-particle":"","family":"Prescott","given":"Robin.","non-dropping-particle":"","parse-names":false,"suffix":""}],"edition":"2","id":"ITEM-2","issued":{"date-parts":[["2006"]]},"number-of-pages":"455","publisher":"John Wiley","publisher-place":"London","title":"Applied mixed models in medicine","type":"book"},"uris":["http://www.mendeley.com/documents/?uuid=dd501664-a02c-38a5-8333-2706c2908d06"]}],"mendeley":{"formattedCitation":"(Brown &amp; Prescott, 2006; Hair et al., 2005)","plainTextFormattedCitation":"(Brown &amp; Prescott, 2006; Hair et al., 2005)","previouslyFormattedCitation":"(Brown &amp; Prescott, 2006; Hair et al., 2005)"},"properties":{"noteIndex":0},"schema":"https://github.com/citation-style-language/schema/raw/master/csl-citation.json"}</w:instrText>
      </w:r>
      <w:r w:rsidR="0030246C">
        <w:fldChar w:fldCharType="separate"/>
      </w:r>
      <w:r w:rsidR="0030246C" w:rsidRPr="0030246C">
        <w:rPr>
          <w:noProof/>
        </w:rPr>
        <w:t>(Brown &amp; Prescott, 2006; Hair et al., 2005)</w:t>
      </w:r>
      <w:r w:rsidR="0030246C">
        <w:fldChar w:fldCharType="end"/>
      </w:r>
      <w:r>
        <w:t>. In Chart 01 we demonstrate the new model, after conducting exploratory factor analyses:</w:t>
      </w:r>
    </w:p>
    <w:p w14:paraId="32FBEFEB" w14:textId="77777777" w:rsidR="008F0A77" w:rsidRDefault="008F0A77" w:rsidP="008F0A77">
      <w:pPr>
        <w:spacing w:line="360" w:lineRule="auto"/>
        <w:ind w:left="-283" w:right="-267"/>
        <w:rPr>
          <w:b/>
          <w:color w:val="000000"/>
        </w:rPr>
      </w:pPr>
    </w:p>
    <w:p w14:paraId="062FC711" w14:textId="77777777" w:rsidR="008F0A77" w:rsidRDefault="008F0A77" w:rsidP="008F0A77">
      <w:pPr>
        <w:keepNext/>
        <w:spacing w:line="360" w:lineRule="auto"/>
        <w:ind w:left="-283" w:right="-267" w:firstLine="283"/>
        <w:jc w:val="both"/>
      </w:pPr>
      <w:r>
        <w:rPr>
          <w:b/>
          <w:color w:val="000000"/>
        </w:rPr>
        <w:t>Chart 01:</w:t>
      </w:r>
      <w:r>
        <w:rPr>
          <w:color w:val="000000"/>
        </w:rPr>
        <w:t xml:space="preserve"> RSA-R Person in Recovery (Pt-Br) version after EFA</w:t>
      </w:r>
    </w:p>
    <w:tbl>
      <w:tblPr>
        <w:tblW w:w="9346" w:type="dxa"/>
        <w:tblLayout w:type="fixed"/>
        <w:tblLook w:val="0400" w:firstRow="0" w:lastRow="0" w:firstColumn="0" w:lastColumn="0" w:noHBand="0" w:noVBand="1"/>
      </w:tblPr>
      <w:tblGrid>
        <w:gridCol w:w="2825"/>
        <w:gridCol w:w="3119"/>
        <w:gridCol w:w="3402"/>
      </w:tblGrid>
      <w:tr w:rsidR="008F0A77" w:rsidRPr="003D734E" w14:paraId="1198163F" w14:textId="77777777" w:rsidTr="008F0A77">
        <w:tc>
          <w:tcPr>
            <w:tcW w:w="28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1F48F98" w14:textId="77777777" w:rsidR="008F0A77" w:rsidRPr="003D734E" w:rsidRDefault="008F0A77" w:rsidP="00EF6B7D">
            <w:pPr>
              <w:keepNext/>
              <w:jc w:val="center"/>
              <w:rPr>
                <w:b/>
                <w:sz w:val="20"/>
                <w:szCs w:val="20"/>
              </w:rPr>
            </w:pPr>
            <w:r w:rsidRPr="003D734E">
              <w:rPr>
                <w:b/>
                <w:color w:val="000000"/>
                <w:sz w:val="20"/>
                <w:szCs w:val="20"/>
              </w:rPr>
              <w:t>Domain 01 – Welcoming*</w:t>
            </w:r>
          </w:p>
        </w:tc>
        <w:tc>
          <w:tcPr>
            <w:tcW w:w="311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E35B1CE" w14:textId="77777777" w:rsidR="008F0A77" w:rsidRPr="003D734E" w:rsidRDefault="008F0A77" w:rsidP="00EF6B7D">
            <w:pPr>
              <w:keepNext/>
              <w:jc w:val="center"/>
              <w:rPr>
                <w:b/>
                <w:sz w:val="20"/>
                <w:szCs w:val="20"/>
              </w:rPr>
            </w:pPr>
            <w:r w:rsidRPr="003D734E">
              <w:rPr>
                <w:b/>
                <w:color w:val="000000"/>
                <w:sz w:val="20"/>
                <w:szCs w:val="20"/>
              </w:rPr>
              <w:t>Domain 02 – Social involvement*</w:t>
            </w:r>
          </w:p>
        </w:tc>
        <w:tc>
          <w:tcPr>
            <w:tcW w:w="340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CF301C6" w14:textId="77777777" w:rsidR="008F0A77" w:rsidRPr="003D734E" w:rsidRDefault="008F0A77" w:rsidP="00EF6B7D">
            <w:pPr>
              <w:keepNext/>
              <w:jc w:val="center"/>
              <w:rPr>
                <w:b/>
                <w:sz w:val="20"/>
                <w:szCs w:val="20"/>
              </w:rPr>
            </w:pPr>
            <w:r w:rsidRPr="003D734E">
              <w:rPr>
                <w:b/>
                <w:color w:val="000000"/>
                <w:sz w:val="20"/>
                <w:szCs w:val="20"/>
              </w:rPr>
              <w:t>Domain 03 – Choice*</w:t>
            </w:r>
          </w:p>
        </w:tc>
      </w:tr>
      <w:tr w:rsidR="008F0A77" w:rsidRPr="003D734E" w14:paraId="1CEC4B70"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A388B" w14:textId="77777777" w:rsidR="008F0A77" w:rsidRPr="003D734E" w:rsidRDefault="008F0A77" w:rsidP="00EF6B7D">
            <w:pPr>
              <w:keepNext/>
              <w:jc w:val="center"/>
              <w:rPr>
                <w:sz w:val="20"/>
                <w:szCs w:val="20"/>
              </w:rPr>
            </w:pPr>
            <w:r w:rsidRPr="003D734E">
              <w:rPr>
                <w:color w:val="000000"/>
                <w:sz w:val="20"/>
                <w:szCs w:val="20"/>
              </w:rPr>
              <w:t>**1. Staff welcomes me well.</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77F52D" w14:textId="77777777" w:rsidR="008F0A77" w:rsidRPr="003D734E" w:rsidRDefault="008F0A77" w:rsidP="00EF6B7D">
            <w:pPr>
              <w:keepNext/>
              <w:jc w:val="center"/>
              <w:rPr>
                <w:sz w:val="20"/>
                <w:szCs w:val="20"/>
              </w:rPr>
            </w:pPr>
            <w:r w:rsidRPr="003D734E">
              <w:rPr>
                <w:color w:val="000000"/>
                <w:sz w:val="20"/>
                <w:szCs w:val="20"/>
              </w:rPr>
              <w:t>12. Staff helps me experiencing new things.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5A088" w14:textId="77777777" w:rsidR="008F0A77" w:rsidRPr="003D734E" w:rsidRDefault="008F0A77" w:rsidP="00EF6B7D">
            <w:pPr>
              <w:keepNext/>
              <w:jc w:val="center"/>
              <w:rPr>
                <w:sz w:val="20"/>
                <w:szCs w:val="20"/>
              </w:rPr>
            </w:pPr>
            <w:r w:rsidRPr="003D734E">
              <w:rPr>
                <w:color w:val="000000"/>
                <w:sz w:val="20"/>
                <w:szCs w:val="20"/>
              </w:rPr>
              <w:t>9. Staff believes I can make decisions like choosing friends, with whom to live, among others.</w:t>
            </w:r>
          </w:p>
        </w:tc>
      </w:tr>
      <w:tr w:rsidR="008F0A77" w:rsidRPr="003D734E" w14:paraId="4ECFA359"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6CCD9" w14:textId="77777777" w:rsidR="008F0A77" w:rsidRPr="003D734E" w:rsidRDefault="008F0A77" w:rsidP="00EF6B7D">
            <w:pPr>
              <w:keepNext/>
              <w:jc w:val="center"/>
              <w:rPr>
                <w:sz w:val="20"/>
                <w:szCs w:val="20"/>
              </w:rPr>
            </w:pPr>
            <w:r w:rsidRPr="003D734E">
              <w:rPr>
                <w:color w:val="000000"/>
                <w:sz w:val="20"/>
                <w:szCs w:val="20"/>
              </w:rPr>
              <w:t>2. This environment is nice and clean.</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D6D68" w14:textId="77777777" w:rsidR="008F0A77" w:rsidRPr="003D734E" w:rsidRDefault="008F0A77" w:rsidP="00EF6B7D">
            <w:pPr>
              <w:keepNext/>
              <w:jc w:val="center"/>
              <w:rPr>
                <w:sz w:val="20"/>
                <w:szCs w:val="20"/>
              </w:rPr>
            </w:pPr>
            <w:r w:rsidRPr="003D734E">
              <w:rPr>
                <w:color w:val="000000"/>
                <w:sz w:val="20"/>
                <w:szCs w:val="20"/>
              </w:rPr>
              <w:t>20. Staff introduces me to people who can be recovery models.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B210B" w14:textId="77777777" w:rsidR="008F0A77" w:rsidRPr="003D734E" w:rsidRDefault="008F0A77" w:rsidP="00EF6B7D">
            <w:pPr>
              <w:keepNext/>
              <w:jc w:val="center"/>
              <w:rPr>
                <w:sz w:val="20"/>
                <w:szCs w:val="20"/>
              </w:rPr>
            </w:pPr>
            <w:r w:rsidRPr="003D734E">
              <w:rPr>
                <w:color w:val="000000"/>
                <w:sz w:val="20"/>
                <w:szCs w:val="20"/>
              </w:rPr>
              <w:t>11. Staff asks me about my interests and things I would like to do in the city</w:t>
            </w:r>
          </w:p>
        </w:tc>
      </w:tr>
      <w:tr w:rsidR="008F0A77" w:rsidRPr="003D734E" w14:paraId="5AF00F46"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A6D05" w14:textId="77777777" w:rsidR="008F0A77" w:rsidRPr="003D734E" w:rsidRDefault="008F0A77" w:rsidP="00EF6B7D">
            <w:pPr>
              <w:keepNext/>
              <w:jc w:val="center"/>
              <w:rPr>
                <w:sz w:val="20"/>
                <w:szCs w:val="20"/>
              </w:rPr>
            </w:pPr>
            <w:r w:rsidRPr="003D734E">
              <w:rPr>
                <w:color w:val="000000"/>
                <w:sz w:val="20"/>
                <w:szCs w:val="20"/>
              </w:rPr>
              <w:t>3. Staff helps me to have hope for my recovery.</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50A92" w14:textId="77777777" w:rsidR="008F0A77" w:rsidRPr="003D734E" w:rsidRDefault="008F0A77" w:rsidP="00EF6B7D">
            <w:pPr>
              <w:keepNext/>
              <w:jc w:val="center"/>
              <w:rPr>
                <w:sz w:val="20"/>
                <w:szCs w:val="20"/>
              </w:rPr>
            </w:pPr>
            <w:r w:rsidRPr="003D734E">
              <w:rPr>
                <w:color w:val="000000"/>
                <w:sz w:val="20"/>
                <w:szCs w:val="20"/>
              </w:rPr>
              <w:t>21b. Staff helps me participating in groups and associations in defense of my rights.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A34DE4" w14:textId="77777777" w:rsidR="008F0A77" w:rsidRPr="003D734E" w:rsidRDefault="008F0A77" w:rsidP="00EF6B7D">
            <w:pPr>
              <w:keepNext/>
              <w:jc w:val="center"/>
              <w:rPr>
                <w:sz w:val="20"/>
                <w:szCs w:val="20"/>
              </w:rPr>
            </w:pPr>
            <w:r w:rsidRPr="003D734E">
              <w:rPr>
                <w:color w:val="000000"/>
                <w:sz w:val="20"/>
                <w:szCs w:val="20"/>
              </w:rPr>
              <w:t>16. Staff helps me planning my life, in addition to the treatment.</w:t>
            </w:r>
          </w:p>
        </w:tc>
      </w:tr>
      <w:tr w:rsidR="008F0A77" w:rsidRPr="003D734E" w14:paraId="1C70886D"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6DC8D" w14:textId="77777777" w:rsidR="008F0A77" w:rsidRPr="003D734E" w:rsidRDefault="008F0A77" w:rsidP="00EF6B7D">
            <w:pPr>
              <w:keepNext/>
              <w:jc w:val="center"/>
              <w:rPr>
                <w:sz w:val="20"/>
                <w:szCs w:val="20"/>
              </w:rPr>
            </w:pPr>
            <w:r w:rsidRPr="003D734E">
              <w:rPr>
                <w:color w:val="000000"/>
                <w:sz w:val="20"/>
                <w:szCs w:val="20"/>
              </w:rPr>
              <w:t>7. Staff believes I can recover.</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C7EB2F" w14:textId="77777777" w:rsidR="008F0A77" w:rsidRPr="003D734E" w:rsidRDefault="008F0A77" w:rsidP="00EF6B7D">
            <w:pPr>
              <w:keepNext/>
              <w:jc w:val="center"/>
              <w:rPr>
                <w:sz w:val="20"/>
                <w:szCs w:val="20"/>
              </w:rPr>
            </w:pPr>
            <w:r w:rsidRPr="003D734E">
              <w:rPr>
                <w:color w:val="000000"/>
                <w:sz w:val="20"/>
                <w:szCs w:val="20"/>
              </w:rPr>
              <w:t>22. Staff helps me collaborating with my community.</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63B60" w14:textId="77777777" w:rsidR="008F0A77" w:rsidRPr="003D734E" w:rsidRDefault="008F0A77" w:rsidP="00EF6B7D">
            <w:pPr>
              <w:keepNext/>
              <w:jc w:val="center"/>
              <w:rPr>
                <w:sz w:val="20"/>
                <w:szCs w:val="20"/>
              </w:rPr>
            </w:pPr>
            <w:r w:rsidRPr="003D734E">
              <w:rPr>
                <w:color w:val="000000"/>
                <w:sz w:val="20"/>
                <w:szCs w:val="20"/>
              </w:rPr>
              <w:t>17. Staff helps me looking for a job.</w:t>
            </w:r>
          </w:p>
        </w:tc>
      </w:tr>
      <w:tr w:rsidR="008F0A77" w:rsidRPr="003D734E" w14:paraId="75DAE14D"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E7A11" w14:textId="77777777" w:rsidR="008F0A77" w:rsidRPr="003D734E" w:rsidRDefault="008F0A77" w:rsidP="00EF6B7D">
            <w:pPr>
              <w:keepNext/>
              <w:jc w:val="center"/>
              <w:rPr>
                <w:sz w:val="20"/>
                <w:szCs w:val="20"/>
              </w:rPr>
            </w:pPr>
            <w:r w:rsidRPr="003D734E">
              <w:rPr>
                <w:color w:val="000000"/>
                <w:sz w:val="20"/>
                <w:szCs w:val="20"/>
              </w:rPr>
              <w:t>10. Staff listens to me and respects my decisions about the treatment.</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DA80F" w14:textId="77777777" w:rsidR="008F0A77" w:rsidRPr="003D734E" w:rsidRDefault="008F0A77" w:rsidP="00EF6B7D">
            <w:pPr>
              <w:keepNext/>
              <w:jc w:val="center"/>
              <w:rPr>
                <w:sz w:val="20"/>
                <w:szCs w:val="20"/>
              </w:rPr>
            </w:pPr>
            <w:r w:rsidRPr="003D734E">
              <w:rPr>
                <w:color w:val="000000"/>
                <w:sz w:val="20"/>
                <w:szCs w:val="20"/>
              </w:rPr>
              <w:t>23. Staff asks me to help in the creation of new groups and workshops.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4FEAB" w14:textId="77777777" w:rsidR="008F0A77" w:rsidRPr="003D734E" w:rsidRDefault="008F0A77" w:rsidP="00EF6B7D">
            <w:pPr>
              <w:keepNext/>
              <w:jc w:val="center"/>
              <w:rPr>
                <w:sz w:val="20"/>
                <w:szCs w:val="20"/>
              </w:rPr>
            </w:pPr>
            <w:r w:rsidRPr="003D734E">
              <w:rPr>
                <w:color w:val="000000"/>
                <w:sz w:val="20"/>
                <w:szCs w:val="20"/>
              </w:rPr>
              <w:t>28. Staff helps me achieving new goals.</w:t>
            </w:r>
          </w:p>
        </w:tc>
      </w:tr>
      <w:tr w:rsidR="008F0A77" w:rsidRPr="003D734E" w14:paraId="58C3C9A0"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2387D" w14:textId="77777777" w:rsidR="008F0A77" w:rsidRPr="003D734E" w:rsidRDefault="008F0A77" w:rsidP="00EF6B7D">
            <w:pPr>
              <w:keepNext/>
              <w:jc w:val="center"/>
              <w:rPr>
                <w:b/>
                <w:sz w:val="20"/>
                <w:szCs w:val="20"/>
              </w:rPr>
            </w:pPr>
            <w:r w:rsidRPr="003D734E">
              <w:rPr>
                <w:color w:val="000000"/>
                <w:sz w:val="20"/>
                <w:szCs w:val="20"/>
              </w:rPr>
              <w:t>19. Staff favors the participation of people I care about in my treatment.</w:t>
            </w: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3DF472" w14:textId="77777777" w:rsidR="008F0A77" w:rsidRPr="003D734E" w:rsidRDefault="008F0A77" w:rsidP="00EF6B7D">
            <w:pPr>
              <w:keepNext/>
              <w:jc w:val="center"/>
              <w:rPr>
                <w:sz w:val="20"/>
                <w:szCs w:val="20"/>
              </w:rPr>
            </w:pPr>
            <w:r w:rsidRPr="003D734E">
              <w:rPr>
                <w:color w:val="000000"/>
                <w:sz w:val="20"/>
                <w:szCs w:val="20"/>
              </w:rPr>
              <w:t>24. I am asked to evaluate the workers and the activities of this service.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77583" w14:textId="77777777" w:rsidR="008F0A77" w:rsidRPr="003D734E" w:rsidRDefault="008F0A77" w:rsidP="00EF6B7D">
            <w:pPr>
              <w:keepNext/>
              <w:jc w:val="center"/>
              <w:rPr>
                <w:sz w:val="20"/>
                <w:szCs w:val="20"/>
              </w:rPr>
            </w:pPr>
            <w:r w:rsidRPr="003D734E">
              <w:rPr>
                <w:color w:val="000000"/>
                <w:sz w:val="20"/>
                <w:szCs w:val="20"/>
              </w:rPr>
              <w:t>30. Staff listens and responds to my personal experiences, interests, and concerns.</w:t>
            </w:r>
          </w:p>
        </w:tc>
      </w:tr>
      <w:tr w:rsidR="008F0A77" w:rsidRPr="003D734E" w14:paraId="79AB4252"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1AF150" w14:textId="77777777" w:rsidR="008F0A77" w:rsidRPr="003D734E" w:rsidRDefault="008F0A77" w:rsidP="00EF6B7D">
            <w:pPr>
              <w:keepNext/>
              <w:jc w:val="center"/>
              <w:rPr>
                <w:sz w:val="20"/>
                <w:szCs w:val="20"/>
              </w:rPr>
            </w:pP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A88360" w14:textId="77777777" w:rsidR="008F0A77" w:rsidRPr="003D734E" w:rsidRDefault="008F0A77" w:rsidP="00EF6B7D">
            <w:pPr>
              <w:keepNext/>
              <w:jc w:val="center"/>
              <w:rPr>
                <w:sz w:val="20"/>
                <w:szCs w:val="20"/>
              </w:rPr>
            </w:pPr>
            <w:r w:rsidRPr="003D734E">
              <w:rPr>
                <w:color w:val="000000"/>
                <w:sz w:val="20"/>
                <w:szCs w:val="20"/>
              </w:rPr>
              <w:t>25. I am asked to participate in local healthcare councils and assemblies.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4B046" w14:textId="77777777" w:rsidR="008F0A77" w:rsidRPr="003D734E" w:rsidRDefault="008F0A77" w:rsidP="00EF6B7D">
            <w:pPr>
              <w:keepNext/>
              <w:jc w:val="center"/>
              <w:rPr>
                <w:sz w:val="20"/>
                <w:szCs w:val="20"/>
              </w:rPr>
            </w:pPr>
          </w:p>
        </w:tc>
      </w:tr>
      <w:tr w:rsidR="008F0A77" w:rsidRPr="003D734E" w14:paraId="2C7EBAAD" w14:textId="77777777" w:rsidTr="008F0A77">
        <w:tc>
          <w:tcPr>
            <w:tcW w:w="2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1C3C46" w14:textId="77777777" w:rsidR="008F0A77" w:rsidRPr="003D734E" w:rsidRDefault="008F0A77" w:rsidP="00EF6B7D">
            <w:pPr>
              <w:keepNext/>
              <w:jc w:val="center"/>
              <w:rPr>
                <w:sz w:val="20"/>
                <w:szCs w:val="20"/>
              </w:rPr>
            </w:pPr>
          </w:p>
        </w:tc>
        <w:tc>
          <w:tcPr>
            <w:tcW w:w="31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412644" w14:textId="77777777" w:rsidR="008F0A77" w:rsidRPr="003D734E" w:rsidRDefault="008F0A77" w:rsidP="00EF6B7D">
            <w:pPr>
              <w:keepNext/>
              <w:jc w:val="center"/>
              <w:rPr>
                <w:sz w:val="20"/>
                <w:szCs w:val="20"/>
              </w:rPr>
            </w:pPr>
            <w:r w:rsidRPr="003D734E">
              <w:rPr>
                <w:color w:val="000000"/>
                <w:sz w:val="20"/>
                <w:szCs w:val="20"/>
              </w:rPr>
              <w:t>31. Staff knows about groups and activities that are interest to me.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65DA91" w14:textId="77777777" w:rsidR="008F0A77" w:rsidRPr="003D734E" w:rsidRDefault="008F0A77" w:rsidP="00EF6B7D">
            <w:pPr>
              <w:keepNext/>
              <w:jc w:val="center"/>
              <w:rPr>
                <w:sz w:val="20"/>
                <w:szCs w:val="20"/>
              </w:rPr>
            </w:pPr>
          </w:p>
        </w:tc>
      </w:tr>
    </w:tbl>
    <w:p w14:paraId="14CC5C10" w14:textId="77777777" w:rsidR="008F0A77" w:rsidRPr="003D734E" w:rsidRDefault="008F0A77" w:rsidP="008F0A77">
      <w:pPr>
        <w:keepNext/>
        <w:jc w:val="both"/>
        <w:rPr>
          <w:sz w:val="20"/>
          <w:szCs w:val="20"/>
        </w:rPr>
      </w:pPr>
      <w:r w:rsidRPr="003D734E">
        <w:rPr>
          <w:sz w:val="20"/>
          <w:szCs w:val="20"/>
        </w:rPr>
        <w:t>*name of domains suggested by the author of the article.</w:t>
      </w:r>
    </w:p>
    <w:p w14:paraId="7EF483C9" w14:textId="77777777" w:rsidR="008F0A77" w:rsidRPr="003D734E" w:rsidRDefault="008F0A77" w:rsidP="008F0A77">
      <w:pPr>
        <w:keepNext/>
        <w:jc w:val="both"/>
        <w:rPr>
          <w:sz w:val="20"/>
          <w:szCs w:val="20"/>
        </w:rPr>
      </w:pPr>
      <w:r w:rsidRPr="003D734E">
        <w:rPr>
          <w:sz w:val="20"/>
          <w:szCs w:val="20"/>
        </w:rPr>
        <w:t>**numbers referring to RSA-R items, English version.</w:t>
      </w:r>
    </w:p>
    <w:p w14:paraId="648FF94A" w14:textId="77777777" w:rsidR="008F0A77" w:rsidRDefault="008F0A77" w:rsidP="008F0A77">
      <w:pPr>
        <w:spacing w:line="360" w:lineRule="auto"/>
        <w:ind w:left="-283" w:right="-267" w:firstLine="283"/>
        <w:jc w:val="both"/>
      </w:pPr>
    </w:p>
    <w:p w14:paraId="220C813D" w14:textId="2CFB3A55" w:rsidR="00CE7D65" w:rsidRPr="00E23C9E" w:rsidRDefault="00CD7EC5" w:rsidP="00CE7D65">
      <w:pPr>
        <w:pStyle w:val="Ttulosinternos"/>
        <w:rPr>
          <w:lang w:val="es-ES_tradnl"/>
        </w:rPr>
      </w:pPr>
      <w:r w:rsidRPr="008F0A77">
        <w:rPr>
          <w:bCs/>
        </w:rPr>
        <w:t>Discussão</w:t>
      </w:r>
    </w:p>
    <w:p w14:paraId="7C0E90A6" w14:textId="77777777" w:rsidR="008F0A77" w:rsidRDefault="008F0A77" w:rsidP="008F0A77">
      <w:pPr>
        <w:keepNext/>
        <w:pBdr>
          <w:top w:val="nil"/>
          <w:left w:val="nil"/>
          <w:bottom w:val="nil"/>
          <w:right w:val="nil"/>
          <w:between w:val="nil"/>
        </w:pBdr>
        <w:spacing w:line="360" w:lineRule="auto"/>
        <w:ind w:left="-283" w:right="-267"/>
        <w:jc w:val="both"/>
        <w:rPr>
          <w:b/>
        </w:rPr>
      </w:pPr>
      <w:r>
        <w:rPr>
          <w:b/>
        </w:rPr>
        <w:t>Reliability of RSA-R Person in Recovery and Family Members versions</w:t>
      </w:r>
    </w:p>
    <w:p w14:paraId="55D02B30" w14:textId="50BD4E56" w:rsidR="008F0A77" w:rsidRDefault="008F0A77" w:rsidP="008F0A77">
      <w:pPr>
        <w:keepNext/>
        <w:spacing w:line="360" w:lineRule="auto"/>
        <w:ind w:left="-283" w:right="-267" w:firstLine="283"/>
        <w:jc w:val="both"/>
      </w:pPr>
      <w:r>
        <w:t xml:space="preserve">According to our results, the a priori six-domains structure of RSA-R Person in Recovery and Family/Brazil is a reliable instrument to measure recovery-oriented practices of community mental health services from the perspective of family members. In other words, our results were consistently </w:t>
      </w:r>
      <w:r>
        <w:lastRenderedPageBreak/>
        <w:t>reproducible with few variations due to time and/or intercorrelations between items of the measure</w:t>
      </w:r>
      <w:r w:rsidR="0030246C">
        <w:t xml:space="preserve"> </w:t>
      </w:r>
      <w:r w:rsidR="0030246C">
        <w:fldChar w:fldCharType="begin" w:fldLock="1"/>
      </w:r>
      <w:r w:rsidR="007B7975">
        <w:instrText>ADDIN CSL_CITATION {"citationItems":[{"id":"ITEM-1","itemData":{"DOI":"10.5123/S1679-49742017000300022","author":[{"dropping-particle":"de","family":"Souza","given":"Ana Cláudia","non-dropping-particle":"","parse-names":false,"suffix":""},{"dropping-particle":"","family":"Alexandre","given":"Neusa Maria Costa","non-dropping-particle":"","parse-names":false,"suffix":""},{"dropping-particle":"","family":"Guirardello","given":"Edinêis de Brito","non-dropping-particle":"","parse-names":false,"suffix":""}],"container-title":"Epidemiologia e Serviços de Saúde","id":"ITEM-1","issue":"3","issued":{"date-parts":[["2017","7"]]},"page":"649-659","title":"Propriedades psicométricas na avaliação de instrumentos: avaliação da confiabilidade e da validade","type":"article-journal","volume":"26"},"uris":["http://www.mendeley.com/documents/?uuid=bc50d73e-3c73-33da-80c5-dcec2d0f043c"]}],"mendeley":{"formattedCitation":"(Souza et al., 2017)","plainTextFormattedCitation":"(Souza et al., 2017)","previouslyFormattedCitation":"(Souza et al., 2017)"},"properties":{"noteIndex":0},"schema":"https://github.com/citation-style-language/schema/raw/master/csl-citation.json"}</w:instrText>
      </w:r>
      <w:r w:rsidR="0030246C">
        <w:fldChar w:fldCharType="separate"/>
      </w:r>
      <w:r w:rsidR="0030246C" w:rsidRPr="0030246C">
        <w:rPr>
          <w:noProof/>
        </w:rPr>
        <w:t>(Souza et al., 2017)</w:t>
      </w:r>
      <w:r w:rsidR="0030246C">
        <w:fldChar w:fldCharType="end"/>
      </w:r>
      <w:r>
        <w:t xml:space="preserve">.  </w:t>
      </w:r>
    </w:p>
    <w:p w14:paraId="2E15A615" w14:textId="4F4ABDA9" w:rsidR="008F0A77" w:rsidRDefault="008F0A77" w:rsidP="008F0A77">
      <w:pPr>
        <w:keepNext/>
        <w:pBdr>
          <w:top w:val="nil"/>
          <w:left w:val="nil"/>
          <w:bottom w:val="nil"/>
          <w:right w:val="nil"/>
          <w:between w:val="nil"/>
        </w:pBdr>
        <w:spacing w:line="360" w:lineRule="auto"/>
        <w:ind w:left="-283" w:right="-267" w:firstLine="283"/>
        <w:jc w:val="both"/>
      </w:pPr>
      <w:r>
        <w:t xml:space="preserve">For the RSA-R family version, the internal consistency values of three of the six domains of the construct were adequate for the test. Domans 4 (choices) and 5 (individually-tailored services) achieved acceptably consistency. Low scores of internal consistency were also reported for domain 5 in the study Sweden for the validation of the </w:t>
      </w:r>
      <w:r>
        <w:rPr>
          <w:i/>
        </w:rPr>
        <w:t xml:space="preserve">RSA-R Person in Recovery </w:t>
      </w:r>
      <w:r w:rsidR="007B7975">
        <w:t xml:space="preserve">versión </w:t>
      </w:r>
      <w:r w:rsidR="007B7975">
        <w:fldChar w:fldCharType="begin" w:fldLock="1"/>
      </w:r>
      <w:r w:rsidR="00305D67">
        <w:instrText>ADDIN CSL_CITATION {"citationItems":[{"id":"ITEM-1","itemData":{"DOI":"10.1037/prj0000150","ISBN":"1095-158X","ISSN":"1559-3126","abstract":"Objective: Although there has been an emphasis on developing knowledge\\nregarding recovery in Sweden, it is unclear to what extent this has been\\ntranslated into a recovery orientation in the provision of mental health\\nservices. Instruments, which present the components of recovery as\\nmeasurable dimensions of change, may provide a framework for program\\ndevelopment. Involving users is an essential factor in the utilization\\nof such tools. The purpose of this study was to evaluate the\\npsychometric properties of the Recovery Self-Assessment (RSA) measure\\nand its potential for being utilized in a Swedish context. Methods: The\\nsample consisted of 78 participants from 6 community mental health\\nservices targeting people with serious mental illnesses in a\\nmunicipality in Sweden. They completed the RSA at the study baseline and\\ntwo weeks later. User panels participated in the translation and\\nadministration of the RSA and the reporting of results. Results: The\\nSwedish version of the RSA had good face and content validity,\\nsatisfactory internal consistency, and a moderate to good level of\\nstability in test-retest reliability. The user panels contributed to\\nestablishing validity and as collaborators in the study. Conclusions and\\nImplications for Practice: Establishing the RSA as a valid and reliable\\ninstrument with which to focus on the recovery orientation of services\\nis a first step in beginning to study the types of interventions that\\nmay effect and contribute to recovery oriented practice in Sweden.","author":[{"dropping-particle":"","family":"Rosenberg","given":"David","non-dropping-particle":"","parse-names":false,"suffix":""},{"dropping-particle":"","family":"Svedberg","given":"Petra","non-dropping-particle":"","parse-names":false,"suffix":""},{"dropping-particle":"","family":"Schön","given":"Ulla-Karin","non-dropping-particle":"","parse-names":false,"suffix":""}],"container-title":"Psychiatric Rehabilitation Journal","id":"ITEM-1","issued":{"date-parts":[["2015"]]},"title":"Establishing a recovery orientation in mental health services: Evaluating the Recovery Self-Assessment (RSA) in a Swedish context.","type":"article-journal"},"uris":["http://www.mendeley.com/documents/?uuid=56b5588c-3e25-3184-afc1-4790a13357b4"]}],"mendeley":{"formattedCitation":"(Rosenberg, Svedberg, &amp; Schön, 2015)","plainTextFormattedCitation":"(Rosenberg, Svedberg, &amp; Schön, 2015)","previouslyFormattedCitation":"(Rosenberg, Svedberg, &amp; Schön, 2015)"},"properties":{"noteIndex":0},"schema":"https://github.com/citation-style-language/schema/raw/master/csl-citation.json"}</w:instrText>
      </w:r>
      <w:r w:rsidR="007B7975">
        <w:fldChar w:fldCharType="separate"/>
      </w:r>
      <w:r w:rsidR="007B7975" w:rsidRPr="007B7975">
        <w:rPr>
          <w:noProof/>
        </w:rPr>
        <w:t>(Rosenberg, Svedberg, &amp; Schön, 2015)</w:t>
      </w:r>
      <w:r w:rsidR="007B7975">
        <w:fldChar w:fldCharType="end"/>
      </w:r>
      <w:r w:rsidR="007B7975">
        <w:t>.</w:t>
      </w:r>
    </w:p>
    <w:p w14:paraId="39DAA5E4" w14:textId="2E434F23" w:rsidR="00305D67" w:rsidRDefault="008F0A77" w:rsidP="00305D67">
      <w:pPr>
        <w:keepNext/>
        <w:pBdr>
          <w:top w:val="nil"/>
          <w:left w:val="nil"/>
          <w:bottom w:val="nil"/>
          <w:right w:val="nil"/>
          <w:between w:val="nil"/>
        </w:pBdr>
        <w:spacing w:line="360" w:lineRule="auto"/>
        <w:ind w:left="-283" w:right="-267" w:firstLine="283"/>
        <w:jc w:val="both"/>
      </w:pPr>
      <w:r>
        <w:t>An explanation for the fragility of these domains may be related to the profile of services in the country, centered on the disease, drug treatment, and on the Brazilian authoritarian culture. Individuals continue to be perceived by the symptoms and not by their subjectivity. This suggests that users must undergo prolonged treatments with little decision-making power</w:t>
      </w:r>
      <w:r w:rsidR="00305D67">
        <w:t xml:space="preserve"> </w:t>
      </w:r>
      <w:r w:rsidR="00305D67">
        <w:fldChar w:fldCharType="begin" w:fldLock="1"/>
      </w:r>
      <w:r w:rsidR="00305D67">
        <w:instrText>ADDIN CSL_CITATION {"citationItems":[{"id":"ITEM-1","itemData":{"DOI":"10.1590/1807-57622013.1007","ISSN":"1414-3283","abstract":"Por meio da problematização do conceito de autonomia e da interface com o exercício de direitos, este artigo pretende identificar e compreender a concepção de direitos dos usuários de CAPS, a partir das vozes deles e dos gestores destes serviços. Trata-se de uma pesquisa multicêntrica qualitativa de quarta geração, cujo material foi levantado em grupos focais e entrevistas, áudio gravados e transformados em narrativas. A compreensão dos dados indica que o exercício dos direitos torna-se possível pela emergência de sujeitos de direitos. Analisando as relações entre estes atores, moduladas pelo biopoder, foi possível apreender a formação de um circuito no qual os usuários são inseridos. A céu aberto, práticas totais produzem formas de controle sobre usuários e sobre o exercício de direitos por parte destes, o que pode gerar cronicidade dos usuários, dos trabalhadores, dos serviços e dos gestores.","author":[{"dropping-particle":"","family":"Emerich","given":"Bruno Ferrari","non-dropping-particle":"","parse-names":false,"suffix":""},{"dropping-particle":"","family":"Campos","given":"Rosana Onocko","non-dropping-particle":"","parse-names":false,"suffix":""},{"dropping-particle":"","family":"Passos","given":"Eduardo","non-dropping-particle":"","parse-names":false,"suffix":""}],"container-title":"Interface - Comunicação, Saúde, Educação","id":"ITEM-1","issue":"51","issued":{"date-parts":[["2014","9","30"]]},"page":"685-696","publisher":"UNESP","title":"Direitos na loucura: o que dizem usuários e gestores\n\t\t\t\t\tdos Centros de Atenção Psicossocial (CAPS)","type":"article-journal","volume":"18"},"uris":["http://www.mendeley.com/documents/?uuid=7c71bee6-6255-307c-9be3-51a2f333f258"]},{"id":"ITEM-2","itemData":{"DOI":"10.1590/0103-1104201912213","ISSN":"0103-1104","abstract":"RESUMO O objetivo foi compreender como ocorre o processo de alta de pacientes do Centro de Atenção Psicossocial Álcool e Drogas (Caps-AD), na perspectiva dos profissionais. Foram investigados os critérios de alta utilizados pelas instituições (Caps-AD), pelos profissionais e as dificuldades encontradas durante o processo de alta. A metodologia foi qualitativa, por meio de entrevistas em profundidade realizadas com dezesseis profissionais atuantes em cinco Caps-AD de São Paulo. O recrutamento ocorreu por bola de neve, e o material foi transcrito e submetido à análise de conteúdo. Observou-se que não há uma padronização e clareza dos critérios de alta nos Caps-AD. Os profissionais consideraram como critérios de alta: mudança no padrão de uso da substância, reinserção social, melhora no funcionamento psicológico e nas habilidades de enfrentamento do indivíduo e alcance dos objetivos estabelecidos. As maiores dificuldades encontradas foram divergências na equipe, onipotência dos profissionais, dificuldades relativas ao rompimento dos vínculos, dependência institucional, instabilidade dos pacientes e dificuldades na articulação com a rede de saúde. Os resultados expressam a complexidade e a amplitude da questão da alta em Caps-AD, uma vez que o processo é caracterizado pela articulação das dimensões sociais, econômicas, políticas, subjetivas e institucionais.","author":[{"dropping-particle":"da","family":"Silva","given":"Lennon Leonardo Pereira","non-dropping-particle":"","parse-names":false,"suffix":""},{"dropping-particle":"de","family":"Almeida","given":"Anderson Batista","non-dropping-particle":"","parse-names":false,"suffix":""},{"dropping-particle":"","family":"Amato","given":"Tatiana de Castro","non-dropping-particle":"","parse-names":false,"suffix":""}],"container-title":"Saúde em Debate","id":"ITEM-2","issue":"122","issued":{"date-parts":[["2019","11","25"]]},"page":"819-835","publisher":"Centro Brasileiro de Estudos de Saúde","title":"A perspectiva dos profissionais sobre o processo de alta de pacientes do Caps-AD: critérios e dificuldades","type":"article-journal","volume":"43"},"uris":["http://www.mendeley.com/documents/?uuid=f99d5674-7148-339e-9516-5c3299d189d1"]}],"mendeley":{"formattedCitation":"(Emerich, Campos, &amp; Passos, 2014; Silva, Almeida, &amp; Amato, 2019)","plainTextFormattedCitation":"(Emerich, Campos, &amp; Passos, 2014; Silva, Almeida, &amp; Amato, 2019)","previouslyFormattedCitation":"(Emerich, Campos, &amp; Passos, 2014; Silva, Almeida, &amp; Amato, 2019)"},"properties":{"noteIndex":0},"schema":"https://github.com/citation-style-language/schema/raw/master/csl-citation.json"}</w:instrText>
      </w:r>
      <w:r w:rsidR="00305D67">
        <w:fldChar w:fldCharType="separate"/>
      </w:r>
      <w:r w:rsidR="00305D67" w:rsidRPr="00305D67">
        <w:rPr>
          <w:noProof/>
        </w:rPr>
        <w:t>(Emerich, Campos, &amp; Passos, 2014; Silva, Almeida, &amp; Amato, 2019)</w:t>
      </w:r>
      <w:r w:rsidR="00305D67">
        <w:fldChar w:fldCharType="end"/>
      </w:r>
      <w:r w:rsidR="00305D67">
        <w:t>.</w:t>
      </w:r>
      <w:r>
        <w:t xml:space="preserve"> Furthermore, the weakness of the Brazilian mental health system in terms of users’ participation and autonomy levels. According to studies, there is still a strong hierarchical relationship between the professionals and users and their family members. Sometimes, services can assume a place of control, and this may discourage the protagonism of both the user and the family member regarding </w:t>
      </w:r>
      <w:r w:rsidRPr="00305D67">
        <w:t>the treatment</w:t>
      </w:r>
      <w:r w:rsidR="00305D67" w:rsidRPr="00305D67">
        <w:t xml:space="preserve"> </w:t>
      </w:r>
      <w:r w:rsidR="00305D67" w:rsidRPr="00305D67">
        <w:fldChar w:fldCharType="begin" w:fldLock="1"/>
      </w:r>
      <w:r w:rsidR="00305D67">
        <w:instrText>ADDIN CSL_CITATION {"citationItems":[{"id":"ITEM-1","itemData":{"DOI":"10.1590/1807-57622013.1007","ISSN":"1414-3283","abstract":"Por meio da problematização do conceito de autonomia e da interface com o exercício de direitos, este artigo pretende identificar e compreender a concepção de direitos dos usuários de CAPS, a partir das vozes deles e dos gestores destes serviços. Trata-se de uma pesquisa multicêntrica qualitativa de quarta geração, cujo material foi levantado em grupos focais e entrevistas, áudio gravados e transformados em narrativas. A compreensão dos dados indica que o exercício dos direitos torna-se possível pela emergência de sujeitos de direitos. Analisando as relações entre estes atores, moduladas pelo biopoder, foi possível apreender a formação de um circuito no qual os usuários são inseridos. A céu aberto, práticas totais produzem formas de controle sobre usuários e sobre o exercício de direitos por parte destes, o que pode gerar cronicidade dos usuários, dos trabalhadores, dos serviços e dos gestores.","author":[{"dropping-particle":"","family":"Emerich","given":"Bruno Ferrari","non-dropping-particle":"","parse-names":false,"suffix":""},{"dropping-particle":"","family":"Campos","given":"Rosana Onocko","non-dropping-particle":"","parse-names":false,"suffix":""},{"dropping-particle":"","family":"Passos","given":"Eduardo","non-dropping-particle":"","parse-names":false,"suffix":""}],"container-title":"Interface - Comunicação, Saúde, Educação","id":"ITEM-1","issue":"51","issued":{"date-parts":[["2014","9","30"]]},"page":"685-696","publisher":"UNESP","title":"Direitos na loucura: o que dizem usuários e gestores\n\t\t\t\t\tdos Centros de Atenção Psicossocial (CAPS)","type":"article-journal","volume":"18"},"uris":["http://www.mendeley.com/documents/?uuid=7c71bee6-6255-307c-9be3-51a2f333f258"]},{"id":"ITEM-2","itemData":{"DOI":"10.1590/0103-1104201912213","ISSN":"0103-1104","abstract":"RESUMO O objetivo foi compreender como ocorre o processo de alta de pacientes do Centro de Atenção Psicossocial Álcool e Drogas (Caps-AD), na perspectiva dos profissionais. Foram investigados os critérios de alta utilizados pelas instituições (Caps-AD), pelos profissionais e as dificuldades encontradas durante o processo de alta. A metodologia foi qualitativa, por meio de entrevistas em profundidade realizadas com dezesseis profissionais atuantes em cinco Caps-AD de São Paulo. O recrutamento ocorreu por bola de neve, e o material foi transcrito e submetido à análise de conteúdo. Observou-se que não há uma padronização e clareza dos critérios de alta nos Caps-AD. Os profissionais consideraram como critérios de alta: mudança no padrão de uso da substância, reinserção social, melhora no funcionamento psicológico e nas habilidades de enfrentamento do indivíduo e alcance dos objetivos estabelecidos. As maiores dificuldades encontradas foram divergências na equipe, onipotência dos profissionais, dificuldades relativas ao rompimento dos vínculos, dependência institucional, instabilidade dos pacientes e dificuldades na articulação com a rede de saúde. Os resultados expressam a complexidade e a amplitude da questão da alta em Caps-AD, uma vez que o processo é caracterizado pela articulação das dimensões sociais, econômicas, políticas, subjetivas e institucionais.","author":[{"dropping-particle":"da","family":"Silva","given":"Lennon Leonardo Pereira","non-dropping-particle":"","parse-names":false,"suffix":""},{"dropping-particle":"de","family":"Almeida","given":"Anderson Batista","non-dropping-particle":"","parse-names":false,"suffix":""},{"dropping-particle":"","family":"Amato","given":"Tatiana de Castro","non-dropping-particle":"","parse-names":false,"suffix":""}],"container-title":"Saúde em Debate","id":"ITEM-2","issue":"122","issued":{"date-parts":[["2019","11","25"]]},"page":"819-835","publisher":"Centro Brasileiro de Estudos de Saúde","title":"A perspectiva dos profissionais sobre o processo de alta de pacientes do Caps-AD: critérios e dificuldades","type":"article-journal","volume":"43"},"uris":["http://www.mendeley.com/documents/?uuid=f99d5674-7148-339e-9516-5c3299d189d1"]}],"mendeley":{"formattedCitation":"(Emerich et al., 2014; Silva et al., 2019)","plainTextFormattedCitation":"(Emerich et al., 2014; Silva et al., 2019)","previouslyFormattedCitation":"(Emerich et al., 2014; Silva et al., 2019)"},"properties":{"noteIndex":0},"schema":"https://github.com/citation-style-language/schema/raw/master/csl-citation.json"}</w:instrText>
      </w:r>
      <w:r w:rsidR="00305D67" w:rsidRPr="00305D67">
        <w:fldChar w:fldCharType="separate"/>
      </w:r>
      <w:r w:rsidR="00305D67" w:rsidRPr="00305D67">
        <w:rPr>
          <w:noProof/>
        </w:rPr>
        <w:t>(Emerich et al., 2014; Silva et al., 2019)</w:t>
      </w:r>
      <w:r w:rsidR="00305D67" w:rsidRPr="00305D67">
        <w:fldChar w:fldCharType="end"/>
      </w:r>
      <w:r w:rsidR="00305D67">
        <w:t>.</w:t>
      </w:r>
    </w:p>
    <w:p w14:paraId="3ECD079C" w14:textId="77777777" w:rsidR="00305D67" w:rsidRDefault="008F0A77" w:rsidP="00305D67">
      <w:pPr>
        <w:keepNext/>
        <w:pBdr>
          <w:top w:val="nil"/>
          <w:left w:val="nil"/>
          <w:bottom w:val="nil"/>
          <w:right w:val="nil"/>
          <w:between w:val="nil"/>
        </w:pBdr>
        <w:spacing w:line="360" w:lineRule="auto"/>
        <w:ind w:left="-283" w:right="-267" w:firstLine="283"/>
        <w:jc w:val="both"/>
      </w:pPr>
      <w:r>
        <w:rPr>
          <w:highlight w:val="white"/>
        </w:rPr>
        <w:t xml:space="preserve">According to the results of stability per domain, there were </w:t>
      </w:r>
      <w:r>
        <w:t>adequate</w:t>
      </w:r>
      <w:r>
        <w:rPr>
          <w:highlight w:val="white"/>
        </w:rPr>
        <w:t xml:space="preserve"> levels of intraclass correlation coefficient </w:t>
      </w:r>
      <w:r>
        <w:t xml:space="preserve">for most </w:t>
      </w:r>
      <w:r>
        <w:rPr>
          <w:highlight w:val="white"/>
        </w:rPr>
        <w:t>domain</w:t>
      </w:r>
      <w:r>
        <w:t>s. Nevertheless,</w:t>
      </w:r>
      <w:r>
        <w:rPr>
          <w:highlight w:val="white"/>
        </w:rPr>
        <w:t xml:space="preserve"> domains 2 and 3 accounted for a moderate stability. These domains refer to the implementation of strategies for greater involvement of users in the services. In addition, they also refer to whether the services provide diversified treatment options with community integration</w:t>
      </w:r>
      <w:r>
        <w:t>.</w:t>
      </w:r>
    </w:p>
    <w:p w14:paraId="042ED53B" w14:textId="2B14B91F" w:rsidR="00305D67" w:rsidRDefault="008F0A77" w:rsidP="00305D67">
      <w:pPr>
        <w:keepNext/>
        <w:pBdr>
          <w:top w:val="nil"/>
          <w:left w:val="nil"/>
          <w:bottom w:val="nil"/>
          <w:right w:val="nil"/>
          <w:between w:val="nil"/>
        </w:pBdr>
        <w:spacing w:line="360" w:lineRule="auto"/>
        <w:ind w:left="-283" w:right="-267" w:firstLine="283"/>
        <w:jc w:val="both"/>
      </w:pPr>
      <w:r>
        <w:t>In Brazilian community</w:t>
      </w:r>
      <w:r>
        <w:rPr>
          <w:highlight w:val="white"/>
        </w:rPr>
        <w:t xml:space="preserve"> health </w:t>
      </w:r>
      <w:r>
        <w:t>services</w:t>
      </w:r>
      <w:r>
        <w:rPr>
          <w:highlight w:val="white"/>
        </w:rPr>
        <w:t>, the individually-tailored treatment centered on the user is a prerequisite for the attention and care of the users and their family, aiming at achieving greater involvement on their part and the diversification of their support networks</w:t>
      </w:r>
      <w:r>
        <w:t xml:space="preserve">. However, it often works as an unfulfilled premise, which causes the treatment to be reduced to the </w:t>
      </w:r>
      <w:r>
        <w:rPr>
          <w:highlight w:val="white"/>
        </w:rPr>
        <w:t xml:space="preserve">prescription of activities informed to the users, generally prioritizing the pharmacological treatment and consultations with the psychiatrist </w:t>
      </w:r>
      <w:r w:rsidR="00305D67" w:rsidRPr="00305D67">
        <w:fldChar w:fldCharType="begin" w:fldLock="1"/>
      </w:r>
      <w:r w:rsidR="00305D67">
        <w:instrText>ADDIN CSL_CITATION {"citationItems":[{"id":"ITEM-1","itemData":{"DOI":"10.1590/1807-57622013.1007","ISSN":"1414-3283","abstract":"Por meio da problematização do conceito de autonomia e da interface com o exercício de direitos, este artigo pretende identificar e compreender a concepção de direitos dos usuários de CAPS, a partir das vozes deles e dos gestores destes serviços. Trata-se de uma pesquisa multicêntrica qualitativa de quarta geração, cujo material foi levantado em grupos focais e entrevistas, áudio gravados e transformados em narrativas. A compreensão dos dados indica que o exercício dos direitos torna-se possível pela emergência de sujeitos de direitos. Analisando as relações entre estes atores, moduladas pelo biopoder, foi possível apreender a formação de um circuito no qual os usuários são inseridos. A céu aberto, práticas totais produzem formas de controle sobre usuários e sobre o exercício de direitos por parte destes, o que pode gerar cronicidade dos usuários, dos trabalhadores, dos serviços e dos gestores.","author":[{"dropping-particle":"","family":"Emerich","given":"Bruno Ferrari","non-dropping-particle":"","parse-names":false,"suffix":""},{"dropping-particle":"","family":"Campos","given":"Rosana Onocko","non-dropping-particle":"","parse-names":false,"suffix":""},{"dropping-particle":"","family":"Passos","given":"Eduardo","non-dropping-particle":"","parse-names":false,"suffix":""}],"container-title":"Interface - Comunicação, Saúde, Educação","id":"ITEM-1","issue":"51","issued":{"date-parts":[["2014","9","30"]]},"page":"685-696","publisher":"UNESP","title":"Direitos na loucura: o que dizem usuários e gestores\n\t\t\t\t\tdos Centros de Atenção Psicossocial (CAPS)","type":"article-journal","volume":"18"},"uris":["http://www.mendeley.com/documents/?uuid=7c71bee6-6255-307c-9be3-51a2f333f258"]},{"id":"ITEM-2","itemData":{"DOI":"10.1590/0103-1104201912213","ISSN":"0103-1104","abstract":"RESUMO O objetivo foi compreender como ocorre o processo de alta de pacientes do Centro de Atenção Psicossocial Álcool e Drogas (Caps-AD), na perspectiva dos profissionais. Foram investigados os critérios de alta utilizados pelas instituições (Caps-AD), pelos profissionais e as dificuldades encontradas durante o processo de alta. A metodologia foi qualitativa, por meio de entrevistas em profundidade realizadas com dezesseis profissionais atuantes em cinco Caps-AD de São Paulo. O recrutamento ocorreu por bola de neve, e o material foi transcrito e submetido à análise de conteúdo. Observou-se que não há uma padronização e clareza dos critérios de alta nos Caps-AD. Os profissionais consideraram como critérios de alta: mudança no padrão de uso da substância, reinserção social, melhora no funcionamento psicológico e nas habilidades de enfrentamento do indivíduo e alcance dos objetivos estabelecidos. As maiores dificuldades encontradas foram divergências na equipe, onipotência dos profissionais, dificuldades relativas ao rompimento dos vínculos, dependência institucional, instabilidade dos pacientes e dificuldades na articulação com a rede de saúde. Os resultados expressam a complexidade e a amplitude da questão da alta em Caps-AD, uma vez que o processo é caracterizado pela articulação das dimensões sociais, econômicas, políticas, subjetivas e institucionais.","author":[{"dropping-particle":"da","family":"Silva","given":"Lennon Leonardo Pereira","non-dropping-particle":"","parse-names":false,"suffix":""},{"dropping-particle":"de","family":"Almeida","given":"Anderson Batista","non-dropping-particle":"","parse-names":false,"suffix":""},{"dropping-particle":"","family":"Amato","given":"Tatiana de Castro","non-dropping-particle":"","parse-names":false,"suffix":""}],"container-title":"Saúde em Debate","id":"ITEM-2","issue":"122","issued":{"date-parts":[["2019","11","25"]]},"page":"819-835","publisher":"Centro Brasileiro de Estudos de Saúde","title":"A perspectiva dos profissionais sobre o processo de alta de pacientes do Caps-AD: critérios e dificuldades","type":"article-journal","volume":"43"},"uris":["http://www.mendeley.com/documents/?uuid=f99d5674-7148-339e-9516-5c3299d189d1"]}],"mendeley":{"formattedCitation":"(Emerich et al., 2014; Silva et al., 2019)","plainTextFormattedCitation":"(Emerich et al., 2014; Silva et al., 2019)","previouslyFormattedCitation":"(Emerich et al., 2014; Silva et al., 2019)"},"properties":{"noteIndex":0},"schema":"https://github.com/citation-style-language/schema/raw/master/csl-citation.json"}</w:instrText>
      </w:r>
      <w:r w:rsidR="00305D67" w:rsidRPr="00305D67">
        <w:fldChar w:fldCharType="separate"/>
      </w:r>
      <w:r w:rsidR="00305D67" w:rsidRPr="00305D67">
        <w:rPr>
          <w:noProof/>
        </w:rPr>
        <w:t>(Emerich et al., 2014; Silva et al., 2019)</w:t>
      </w:r>
      <w:r w:rsidR="00305D67" w:rsidRPr="00305D67">
        <w:fldChar w:fldCharType="end"/>
      </w:r>
      <w:r w:rsidR="00305D67">
        <w:t>.</w:t>
      </w:r>
    </w:p>
    <w:p w14:paraId="18B7C700" w14:textId="5B1D0AA9" w:rsidR="008F0A77" w:rsidRDefault="008F0A77" w:rsidP="00305D67">
      <w:pPr>
        <w:keepNext/>
        <w:pBdr>
          <w:top w:val="nil"/>
          <w:left w:val="nil"/>
          <w:bottom w:val="nil"/>
          <w:right w:val="nil"/>
          <w:between w:val="nil"/>
        </w:pBdr>
        <w:spacing w:line="360" w:lineRule="auto"/>
        <w:ind w:left="-283" w:right="-267" w:firstLine="283"/>
        <w:jc w:val="both"/>
      </w:pPr>
      <w:r>
        <w:t xml:space="preserve">For the RSA-R person version, as there were 3 domains with satisfactory indices in the internal consistency values, this collaborated to follow with the test and retest steps, which were lower than the standard and led us to the exploratory analysis. Considering the phenomenological nature of the </w:t>
      </w:r>
      <w:r>
        <w:lastRenderedPageBreak/>
        <w:t>instrument and cultural singularities, it was not surprising that there was a need to extend statistical analysis.</w:t>
      </w:r>
    </w:p>
    <w:p w14:paraId="5D5A19F9" w14:textId="77777777" w:rsidR="008F0A77" w:rsidRDefault="008F0A77" w:rsidP="008F0A77">
      <w:pPr>
        <w:keepNext/>
        <w:spacing w:line="360" w:lineRule="auto"/>
        <w:ind w:left="-283" w:right="-267"/>
        <w:jc w:val="both"/>
      </w:pPr>
    </w:p>
    <w:p w14:paraId="64A35087" w14:textId="77777777" w:rsidR="008F0A77" w:rsidRDefault="008F0A77" w:rsidP="001F3495">
      <w:pPr>
        <w:keepNext/>
        <w:spacing w:line="360" w:lineRule="auto"/>
        <w:ind w:left="-283" w:right="-267" w:firstLine="283"/>
        <w:jc w:val="both"/>
      </w:pPr>
      <w:r>
        <w:rPr>
          <w:b/>
        </w:rPr>
        <w:t xml:space="preserve">Validity of RSA-R Person in Recovery </w:t>
      </w:r>
    </w:p>
    <w:p w14:paraId="68553A89" w14:textId="4DEA7D08" w:rsidR="008F0A77" w:rsidRDefault="008F0A77" w:rsidP="008F0A77">
      <w:pPr>
        <w:keepNext/>
        <w:spacing w:line="360" w:lineRule="auto"/>
        <w:ind w:left="-283" w:right="-267" w:firstLine="283"/>
        <w:jc w:val="both"/>
      </w:pPr>
      <w:r>
        <w:t xml:space="preserve">Confirmatory factor analysis demonstrated that the original, a priori six-factor structure of RSA-R Person in recovery could not be replicated in our sample. Thus, using EFA, we observed that such indicated a structure with fewer items and domains for the Brazilian version of the instrument.  In the studied literature, the interpretation of these coefficients may vary and depends on the studied context and the objects </w:t>
      </w:r>
      <w:r w:rsidR="00305D67">
        <w:fldChar w:fldCharType="begin" w:fldLock="1"/>
      </w:r>
      <w:r w:rsidR="00305D67">
        <w:instrText>ADDIN CSL_CITATION {"citationItems":[{"id":"ITEM-1","itemData":{"ISBN":"9780805802832","abstract":"2nd ed. This is a nontechnical guide to power analysis in research planning that provides users of applied statistics with the tools they need for more effective analysis. The second edition includes: a chapter covering power analysis in set correlation and multivariate methods; a chapter considering effect size, psychometric reliability, and the efficacy of \"qualifying\" dependent variables and; expanded power and sample size tables for multiple regression/correlation. Chapter 1. The concepts of power analysis -- Chapter 2. The t test for means -- Chapter 3. The significance of a product moment r[sub s] -- Chapter 4. Differences between correlation coefficients -- Chapter 5. The test that a proportion is .50 and the sign test -- Chapter 6. Differences between proportions -- Chapter 7. Chi-square tests for goodness of fit and contingency tables -- Chapter 8. The analysis of variance and covariance -- Chapter 9. Multiple regression and correlation analysis -- Chapter 10. Set correlation and multivariate methods -- Chapter 11. Some issues in power analysis -- Chapter 12. Computational procedures.","author":[{"dropping-particle":"","family":"Cohen","given":"Jacob","non-dropping-particle":"","parse-names":false,"suffix":""}],"edition":"2","id":"ITEM-1","issued":{"date-parts":[["1988"]]},"number-of-pages":"567","publisher":"L. Erlbaum Associates","publisher-place":"New York","title":"Statistical power analysis for the behavioral sciences","type":"book"},"uris":["http://www.mendeley.com/documents/?uuid=082f01f2-2d95-34ab-afe5-12244fb8de63"]}],"mendeley":{"formattedCitation":"(Cohen, 1988)","plainTextFormattedCitation":"(Cohen, 1988)","previouslyFormattedCitation":"(Cohen, 1988)"},"properties":{"noteIndex":0},"schema":"https://github.com/citation-style-language/schema/raw/master/csl-citation.json"}</w:instrText>
      </w:r>
      <w:r w:rsidR="00305D67">
        <w:fldChar w:fldCharType="separate"/>
      </w:r>
      <w:r w:rsidR="00305D67" w:rsidRPr="00305D67">
        <w:rPr>
          <w:noProof/>
        </w:rPr>
        <w:t>(Cohen, 1988)</w:t>
      </w:r>
      <w:r w:rsidR="00305D67">
        <w:fldChar w:fldCharType="end"/>
      </w:r>
      <w:r>
        <w:t>. We are studying an instrument with subjective characteristics, on people who have moderate to severe mental disorders, with unfavorable social conditions, which demanded from the research team many adaptations in the instrument and data collection.</w:t>
      </w:r>
    </w:p>
    <w:p w14:paraId="28B37E66" w14:textId="77777777" w:rsidR="008F0A77" w:rsidRDefault="008F0A77" w:rsidP="008F0A77">
      <w:pPr>
        <w:spacing w:line="360" w:lineRule="auto"/>
        <w:ind w:left="-283" w:right="-267" w:firstLine="283"/>
        <w:jc w:val="both"/>
      </w:pPr>
      <w:r>
        <w:t>Different fields in the research can affect reliability, such as variability and number of people interviewed, methods used in the collection, the analyzed period, and statistical choices among others. Our sample was relatively homogeneous between men and women, with low income and mean education level. Highlights for some bias are people’s long time of treatment and the use of certain medications, which may imply certain chronicity, and different interviewers used in the fields.</w:t>
      </w:r>
    </w:p>
    <w:p w14:paraId="0904E6B9" w14:textId="77777777" w:rsidR="008F0A77" w:rsidRDefault="008F0A77" w:rsidP="008F0A77">
      <w:pPr>
        <w:keepNext/>
        <w:pBdr>
          <w:top w:val="nil"/>
          <w:left w:val="nil"/>
          <w:bottom w:val="nil"/>
          <w:right w:val="nil"/>
          <w:between w:val="nil"/>
        </w:pBdr>
        <w:spacing w:line="360" w:lineRule="auto"/>
        <w:ind w:left="-283" w:right="-267" w:firstLine="283"/>
        <w:jc w:val="both"/>
      </w:pPr>
      <w:r>
        <w:t>Regarding validation (EFA), the sample decreased from 207 to 105 valid interviews, since we observed a large number of missing answers. Two thirds of the interviewees answered some items as “don’t know” (D/K) or “not applicable” (N/A). In our assessment, the “N/A” option may make sense for an instrument that intends to evaluate different services and programs. On the other hand, the “D/K” opens the possibility of people not positioning themselves based on their evaluation/experience, for different reasons, damaging the performance of the instrument as a whole and the evaluation itself of the services.</w:t>
      </w:r>
    </w:p>
    <w:p w14:paraId="1C140E9E" w14:textId="77777777" w:rsidR="008F0A77" w:rsidRDefault="008F0A77" w:rsidP="008F0A77">
      <w:pPr>
        <w:spacing w:line="360" w:lineRule="auto"/>
        <w:ind w:left="-283" w:right="-267" w:firstLine="283"/>
        <w:jc w:val="both"/>
      </w:pPr>
      <w:r>
        <w:t xml:space="preserve">With EFA, we perceive by numerical results that the exclusion of some items would not affect the overall set of the instrument, because these could be measurable by other items that remained, i.e., in the Brazilian reality some contents of the sentences were redundant and impaired the evaluative performance of the instrument. </w:t>
      </w:r>
    </w:p>
    <w:p w14:paraId="48817AD8" w14:textId="77777777" w:rsidR="008F0A77" w:rsidRDefault="008F0A77" w:rsidP="008F0A77">
      <w:pPr>
        <w:spacing w:line="360" w:lineRule="auto"/>
        <w:ind w:left="-283" w:right="-267" w:firstLine="283"/>
        <w:jc w:val="both"/>
      </w:pPr>
      <w:r>
        <w:t xml:space="preserve">On the other hand, some excluded items are directly linked to cultural differences between the country of origin of the instrument (USA) and the Brazilian culture. In Brazil, very patriarchal, tutelary, racist, and unequal relations are prevalent in multiple senses (social, economic, political, educational etc.), demonstrating a low degree of autonomy, citizenship, and empowerment, core elements for recovery. </w:t>
      </w:r>
      <w:r>
        <w:lastRenderedPageBreak/>
        <w:t>Examples of this fact were confirmed in the items excluded in the EFA (MSA and Varimax), which demonstrate the unequal power relations between users and services.</w:t>
      </w:r>
    </w:p>
    <w:p w14:paraId="2A529A32" w14:textId="7A71C1D1" w:rsidR="008F0A77" w:rsidRDefault="008F0A77" w:rsidP="008F0A77">
      <w:pPr>
        <w:spacing w:line="360" w:lineRule="auto"/>
        <w:ind w:left="-283" w:right="-267" w:firstLine="283"/>
        <w:jc w:val="both"/>
      </w:pPr>
      <w:bookmarkStart w:id="0" w:name="_heading=h.gjdgxs" w:colFirst="0" w:colLast="0"/>
      <w:bookmarkEnd w:id="0"/>
      <w:r>
        <w:t xml:space="preserve">Therefore, for the RSA-R users’ version (Pt-Br) we would have 20 </w:t>
      </w:r>
      <w:r w:rsidR="001548F4">
        <w:t>items grouped</w:t>
      </w:r>
      <w:r>
        <w:t xml:space="preserve"> into three domains. Domain one, with six items, was designated as welcoming, as it debates the first contacts of services and people. It is understood that the professional attitude aimed at recovery is essential in resuming the hope of people in suffering. The second domain, with eight items, was designated as social involvement, as it is a necessary condition to keep connected the social struggles for rights. Domain three, with six items, was designated as choices, a dimension that is also fundamental in the recovery process, in which the centrality is in the voice of people and the preservation of their autonomy.</w:t>
      </w:r>
    </w:p>
    <w:p w14:paraId="3DF22EF4" w14:textId="106BC9A8" w:rsidR="008F0A77" w:rsidRDefault="008F0A77" w:rsidP="008F0A77">
      <w:pPr>
        <w:spacing w:line="360" w:lineRule="auto"/>
        <w:ind w:left="-283" w:right="-267" w:firstLine="283"/>
        <w:jc w:val="both"/>
      </w:pPr>
      <w:bookmarkStart w:id="1" w:name="_heading=h.1k5za8ilmtlm" w:colFirst="0" w:colLast="0"/>
      <w:bookmarkEnd w:id="1"/>
      <w:r>
        <w:t xml:space="preserve">Thege (2017) corroborates the need for revisions to make RSA-R a more solid instrument regarding its psychometric attributes, thus evaluating practices aimed at recovering mental health services in different countries </w:t>
      </w:r>
      <w:r w:rsidR="00305D67">
        <w:fldChar w:fldCharType="begin" w:fldLock="1"/>
      </w:r>
      <w:r w:rsidR="00305D67">
        <w:instrText>ADDIN CSL_CITATION {"citationItems":[{"id":"ITEM-1","itemData":{"DOI":"10.1177/0163278716674247","ISSN":"0163-2787","author":[{"dropping-particle":"","family":"Konkolÿ Thege","given":"Barna","non-dropping-particle":"","parse-names":false,"suffix":""},{"dropping-particle":"","family":"Ham","given":"Elke","non-dropping-particle":"","parse-names":false,"suffix":""},{"dropping-particle":"","family":"Ball","given":"Laura C.","non-dropping-particle":"","parse-names":false,"suffix":""}],"container-title":"Evaluation &amp; the Health Professions","id":"ITEM-1","issue":"4","issued":{"date-parts":[["2017","12","20"]]},"page":"505-516","title":"A Factor Analytic Investigation of the Person-in-Recovery and Provider Versions of the Revised Recovery Self-Assessment (RSA-R)","type":"article-journal","volume":"40"},"uris":["http://www.mendeley.com/documents/?uuid=52fc61e8-df29-3c62-867e-0476c7c5bc61"]}],"mendeley":{"formattedCitation":"(Konkolÿ Thege, Ham, &amp; Ball, 2017)","plainTextFormattedCitation":"(Konkolÿ Thege, Ham, &amp; Ball, 2017)","previouslyFormattedCitation":"(Konkolÿ Thege, Ham, &amp; Ball, 2017)"},"properties":{"noteIndex":0},"schema":"https://github.com/citation-style-language/schema/raw/master/csl-citation.json"}</w:instrText>
      </w:r>
      <w:r w:rsidR="00305D67">
        <w:fldChar w:fldCharType="separate"/>
      </w:r>
      <w:r w:rsidR="00305D67" w:rsidRPr="00305D67">
        <w:rPr>
          <w:noProof/>
        </w:rPr>
        <w:t>(Konkolÿ Thege, Ham, &amp; Ball, 2017)</w:t>
      </w:r>
      <w:r w:rsidR="00305D67">
        <w:fldChar w:fldCharType="end"/>
      </w:r>
      <w:r>
        <w:t xml:space="preserve">. Results of the EFA resembled the RSA – brief version (RSA-B), with 12 items, which still lacks further studies for the model </w:t>
      </w:r>
      <w:r w:rsidR="00305D67">
        <w:fldChar w:fldCharType="begin" w:fldLock="1"/>
      </w:r>
      <w:r w:rsidR="00305D67">
        <w:instrText>ADDIN CSL_CITATION {"citationItems":[{"id":"ITEM-1","itemData":{"DOI":"10.1037/prj0000139","ISSN":"1559-3126","PMID":"26075526","abstract":"OBJECTIVE In psychiatry, the recovery paradigm is increasingly identified as the overarching framework for service provision. Currently, the Recovery Self-Assessment (RSA), a 36-item rating scale, is commonly used to assess the uptake of a recovery orientation in clinical services. However, the consumer version of the RSA has been found challenging to complete because of length and the reading level required. In response to this feedback, a brief 12-item version of the RSA was developed (RSA-B). This article describes the development of the modified instrument and the application of traditional psychometric analysis and Rasch Measurement Theory to test the psychometrics properties of the RSA-B. METHODS Data from a multisite study of adults with serious mental illnesses (n = 1256) who were followed by assertive community treatment teams were examined for reliability, clinical meaning, targeting, response categories, model fit, reliability, dependency, and raw interval-level measurement. Analyses were performed using the Rasch Unidimensional Measurement Model (RUMM 2030). RESULTS Adequate fit to the Rasch model was observed (χ2 = 112.46, df = 90, p = .06) and internal consistency was good (r = .86). However, Rasch analysis revealed limitations of the 12-item version, with items covering only 39% of the targeted theoretical continuum, 2 misfitting items, and strong evidence for the 5 option response categories not working as intended. CONCLUSIONS This study revealed areas for improvement in the shortened version of the 12-item RSA-B. A revisit of the conceptual model and original 36-item rating scale is encouraged to select items that will help practitioners and researchers measure the full range of recovery orientation.","author":[{"dropping-particle":"","family":"Barbic","given":"Skye P.","non-dropping-particle":"","parse-names":false,"suffix":""},{"dropping-particle":"","family":"Kidd","given":"Sean A.","non-dropping-particle":"","parse-names":false,"suffix":""},{"dropping-particle":"","family":"Davidson","given":"Larry","non-dropping-particle":"","parse-names":false,"suffix":""},{"dropping-particle":"","family":"McKenzie","given":"Kwame","non-dropping-particle":"","parse-names":false,"suffix":""},{"dropping-particle":"","family":"O'Connell","given":"Maria J.","non-dropping-particle":"","parse-names":false,"suffix":""}],"container-title":"Psychiatric Rehabilitation Journal","id":"ITEM-1","issue":"4","issued":{"date-parts":[["2015","12"]]},"page":"349-358","title":"Validation of the brief version of the Recovery Self-Assessment (RSA-B) using Rasch measurement theory.","type":"article-journal","volume":"38"},"uris":["http://www.mendeley.com/documents/?uuid=619e96e4-10dd-3535-9e72-fb42924d653e"]}],"mendeley":{"formattedCitation":"(Barbic, Kidd, Davidson, McKenzie, &amp; O’Connell, 2015)","plainTextFormattedCitation":"(Barbic, Kidd, Davidson, McKenzie, &amp; O’Connell, 2015)","previouslyFormattedCitation":"(Barbic, Kidd, Davidson, McKenzie, &amp; O’Connell, 2015)"},"properties":{"noteIndex":0},"schema":"https://github.com/citation-style-language/schema/raw/master/csl-citation.json"}</w:instrText>
      </w:r>
      <w:r w:rsidR="00305D67">
        <w:fldChar w:fldCharType="separate"/>
      </w:r>
      <w:r w:rsidR="00305D67" w:rsidRPr="00305D67">
        <w:rPr>
          <w:noProof/>
        </w:rPr>
        <w:t>(Barbic, Kidd, Davidson, McKenzie, &amp; O’Connell, 2015)</w:t>
      </w:r>
      <w:r w:rsidR="00305D67">
        <w:fldChar w:fldCharType="end"/>
      </w:r>
      <w:r>
        <w:t>.</w:t>
      </w:r>
    </w:p>
    <w:p w14:paraId="033598B4" w14:textId="77777777" w:rsidR="008F0A77" w:rsidRDefault="008F0A77" w:rsidP="008F0A77">
      <w:pPr>
        <w:spacing w:line="360" w:lineRule="auto"/>
        <w:ind w:left="-283" w:right="-267" w:firstLine="283"/>
        <w:jc w:val="both"/>
      </w:pPr>
    </w:p>
    <w:p w14:paraId="0BC8F97F" w14:textId="77777777" w:rsidR="008F0A77" w:rsidRPr="001F3495" w:rsidRDefault="008F0A77" w:rsidP="001F3495">
      <w:pPr>
        <w:spacing w:line="360" w:lineRule="auto"/>
        <w:ind w:left="-283" w:right="-267" w:firstLine="283"/>
        <w:jc w:val="both"/>
        <w:rPr>
          <w:b/>
        </w:rPr>
      </w:pPr>
      <w:r w:rsidRPr="001F3495">
        <w:rPr>
          <w:b/>
        </w:rPr>
        <w:t>Study strengths and limitations</w:t>
      </w:r>
    </w:p>
    <w:p w14:paraId="37A5A461" w14:textId="58115F70" w:rsidR="008F0A77" w:rsidRDefault="008F0A77" w:rsidP="001F3495">
      <w:pPr>
        <w:spacing w:line="360" w:lineRule="auto"/>
        <w:ind w:left="-283" w:right="-267" w:firstLine="283"/>
        <w:jc w:val="both"/>
      </w:pPr>
      <w:bookmarkStart w:id="2" w:name="_GoBack"/>
      <w:bookmarkEnd w:id="2"/>
      <w:r>
        <w:t xml:space="preserve">In addition to the original study, this is the first study that focuses on assessing the psychometric properties of the revised version of the </w:t>
      </w:r>
      <w:r>
        <w:rPr>
          <w:i/>
        </w:rPr>
        <w:t>RSA Family</w:t>
      </w:r>
      <w:r>
        <w:t>. Only two studies evaluated the revised version, but focusing on the questionnaire for Person in Recovery and Provider (Sweden and Canada)</w:t>
      </w:r>
      <w:r w:rsidR="00305D67">
        <w:t xml:space="preserve"> </w:t>
      </w:r>
      <w:r w:rsidR="00305D67">
        <w:fldChar w:fldCharType="begin" w:fldLock="1"/>
      </w:r>
      <w:r w:rsidR="00434545">
        <w:instrText>ADDIN CSL_CITATION {"citationItems":[{"id":"ITEM-1","itemData":{"DOI":"10.1037/prj0000150","ISBN":"1095-158X","ISSN":"1559-3126","abstract":"Objective: Although there has been an emphasis on developing knowledge\\nregarding recovery in Sweden, it is unclear to what extent this has been\\ntranslated into a recovery orientation in the provision of mental health\\nservices. Instruments, which present the components of recovery as\\nmeasurable dimensions of change, may provide a framework for program\\ndevelopment. Involving users is an essential factor in the utilization\\nof such tools. The purpose of this study was to evaluate the\\npsychometric properties of the Recovery Self-Assessment (RSA) measure\\nand its potential for being utilized in a Swedish context. Methods: The\\nsample consisted of 78 participants from 6 community mental health\\nservices targeting people with serious mental illnesses in a\\nmunicipality in Sweden. They completed the RSA at the study baseline and\\ntwo weeks later. User panels participated in the translation and\\nadministration of the RSA and the reporting of results. Results: The\\nSwedish version of the RSA had good face and content validity,\\nsatisfactory internal consistency, and a moderate to good level of\\nstability in test-retest reliability. The user panels contributed to\\nestablishing validity and as collaborators in the study. Conclusions and\\nImplications for Practice: Establishing the RSA as a valid and reliable\\ninstrument with which to focus on the recovery orientation of services\\nis a first step in beginning to study the types of interventions that\\nmay effect and contribute to recovery oriented practice in Sweden.","author":[{"dropping-particle":"","family":"Rosenberg","given":"David","non-dropping-particle":"","parse-names":false,"suffix":""},{"dropping-particle":"","family":"Svedberg","given":"Petra","non-dropping-particle":"","parse-names":false,"suffix":""},{"dropping-particle":"","family":"Schön","given":"Ulla-Karin","non-dropping-particle":"","parse-names":false,"suffix":""}],"container-title":"Psychiatric Rehabilitation Journal","id":"ITEM-1","issued":{"date-parts":[["2015"]]},"title":"Establishing a recovery orientation in mental health services: Evaluating the Recovery Self-Assessment (RSA) in a Swedish context.","type":"article-journal"},"uris":["http://www.mendeley.com/documents/?uuid=56b5588c-3e25-3184-afc1-4790a13357b4"]},{"id":"ITEM-2","itemData":{"DOI":"10.1177/0163278716674247","ISSN":"0163-2787","author":[{"dropping-particle":"","family":"Konkolÿ Thege","given":"Barna","non-dropping-particle":"","parse-names":false,"suffix":""},{"dropping-particle":"","family":"Ham","given":"Elke","non-dropping-particle":"","parse-names":false,"suffix":""},{"dropping-particle":"","family":"Ball","given":"Laura C.","non-dropping-particle":"","parse-names":false,"suffix":""}],"container-title":"Evaluation &amp; the Health Professions","id":"ITEM-2","issue":"4","issued":{"date-parts":[["2017","12","20"]]},"page":"505-516","title":"A Factor Analytic Investigation of the Person-in-Recovery and Provider Versions of the Revised Recovery Self-Assessment (RSA-R)","type":"article-journal","volume":"40"},"uris":["http://www.mendeley.com/documents/?uuid=52fc61e8-df29-3c62-867e-0476c7c5bc61"]}],"mendeley":{"formattedCitation":"(Konkolÿ Thege et al., 2017; Rosenberg et al., 2015)","plainTextFormattedCitation":"(Konkolÿ Thege et al., 2017; Rosenberg et al., 2015)","previouslyFormattedCitation":"(Konkolÿ Thege et al., 2017; Rosenberg et al., 2015)"},"properties":{"noteIndex":0},"schema":"https://github.com/citation-style-language/schema/raw/master/csl-citation.json"}</w:instrText>
      </w:r>
      <w:r w:rsidR="00305D67">
        <w:fldChar w:fldCharType="separate"/>
      </w:r>
      <w:r w:rsidR="00305D67" w:rsidRPr="00305D67">
        <w:rPr>
          <w:noProof/>
        </w:rPr>
        <w:t>(Konkolÿ Thege et al., 2017; Rosenberg et al., 2015)</w:t>
      </w:r>
      <w:r w:rsidR="00305D67">
        <w:fldChar w:fldCharType="end"/>
      </w:r>
      <w:r>
        <w:t>. Furthermore, only in Canada and China a cross-cultural validation was carried out in the interest group of family members; however, the authors adapted the original scale of 36 items</w:t>
      </w:r>
      <w:r w:rsidR="00434545">
        <w:t xml:space="preserve"> </w:t>
      </w:r>
      <w:r w:rsidR="00434545">
        <w:fldChar w:fldCharType="begin" w:fldLock="1"/>
      </w:r>
      <w:r w:rsidR="00434545">
        <w:instrText>ADDIN CSL_CITATION {"citationItems":[{"id":"ITEM-1","itemData":{"DOI":"10.1177/1049731515625326","ISSN":"1049-7315","abstract":"Objectives:Promoting recovery in mental health services is hampered by a shortage of reliable and valid measures, particularly in Hong Kong. We seek to cross validate two Chinese language measures of recovery and one of recovery-promoting environments.Method:A cross-sectional survey of people recovering from early episode psychosis (n = 121) and family members (n = 49) was taken. Two recovery measures, the Mental Health Recovery Measure and the recovery subscale of the Peer Outcomes Protocol, and one measure of recovery-promoting environments, the Recovery Self-Assessment, were used. The Psychosis Recovery Inventory was incorporated to assess construct validity.Results:Internal consistency reliability for each measure was high (r = .71–.94); one-factor solutions were parsimonious. People in recovery rated their risk for relapse lower than did their family members.Conclusions:Moderately strong positive correlations among recovery measures lend support to construct validity. Several “recovery-promoting envi...","author":[{"dropping-particle":"","family":"Bola","given":"John","non-dropping-particle":"","parse-names":false,"suffix":""},{"dropping-particle":"","family":"Chan","given":"Tiffany Hill Ching","non-dropping-particle":"","parse-names":false,"suffix":""},{"dropping-particle":"","family":"Chen","given":"Eric HY","non-dropping-particle":"","parse-names":false,"suffix":""},{"dropping-particle":"","family":"Ng","given":"Roger","non-dropping-particle":"","parse-names":false,"suffix":""}],"container-title":"Research on Social Work Practice","id":"ITEM-1","issue":"6","issued":{"date-parts":[["2016","10","3"]]},"page":"630-640","publisher":"SAGE PublicationsSage CA: Los Angeles, CA","title":"Cross-Validating Chinese Language Mental Health Recovery Measures in Hong Kong","type":"article-journal","volume":"26"},"uris":["http://www.mendeley.com/documents/?uuid=4a0ac07a-f1dd-3578-8541-66676c5f9f0b"]},{"id":"ITEM-2","itemData":{"DOI":"10.1007/s10597-009-9275-7","abstract":"There has been increasing commentary about the degree to which Assertive Community Treatment (ACT) teams provide recovery-oriented services, often centered around the question of the use of coercion. The present study was designed to contribute to this discussion through an examination of recovery-oriented service pro-vision and ACT fidelity among 67 teams in the province of Ontario, Canada. The findings indicated a moderate to high degree of recovery orientation in service provision, with no significant relationship between ACT fidelity and consumer and family/key support ratings of recovery orientation. A significant relationship was found, however, between the 'nature of services' domain of the Dartmouth Assertive Community Treatment Scale (DACTS) and ratings of recovery orientation provided by staff and ACT coordina-tors. These findings extend the existing dialogue regarding the evaluation of ACT intervention process factors and indicate that current measures of fidelity may not be ade-quately addressing dimensions of recovery-oriented service provision.","author":[{"dropping-particle":"","family":"Kidd","given":"Sean A","non-dropping-particle":"","parse-names":false,"suffix":""},{"dropping-particle":"","family":"George","given":"Lindsey","non-dropping-particle":"","parse-names":false,"suffix":""},{"dropping-particle":"","family":"O'Connell","given":"Maria","non-dropping-particle":"","parse-names":false,"suffix":""},{"dropping-particle":"","family":"Sylvestre","given":"John","non-dropping-particle":"","parse-names":false,"suffix":""},{"dropping-particle":"","family":"Kirkpatrick","given":"Helen","non-dropping-particle":"","parse-names":false,"suffix":""},{"dropping-particle":"","family":"Browne","given":"Gina","non-dropping-particle":"","parse-names":false,"suffix":""},{"dropping-particle":"","family":"Thabane","given":"Lehana","non-dropping-particle":"","parse-names":false,"suffix":""}],"container-title":"Community Ment Health J ","id":"ITEM-2","issued":{"date-parts":[["2010"]]},"page":"342-350","title":"Fidelity and Recovery-Orientation in Assertive Community Treatment","type":"article-journal","volume":"46"},"uris":["http://www.mendeley.com/documents/?uuid=1e74aa46-472f-3872-a236-171fa1c34594"]}],"mendeley":{"formattedCitation":"(Bola, Chan, Chen, &amp; Ng, 2016; Kidd et al., 2010)","plainTextFormattedCitation":"(Bola, Chan, Chen, &amp; Ng, 2016; Kidd et al., 2010)","previouslyFormattedCitation":"(Bola, Chan, Chen, &amp; Ng, 2016; Kidd et al., 2010)"},"properties":{"noteIndex":0},"schema":"https://github.com/citation-style-language/schema/raw/master/csl-citation.json"}</w:instrText>
      </w:r>
      <w:r w:rsidR="00434545">
        <w:fldChar w:fldCharType="separate"/>
      </w:r>
      <w:r w:rsidR="00434545" w:rsidRPr="00434545">
        <w:rPr>
          <w:noProof/>
        </w:rPr>
        <w:t>(Bola, Chan, Chen, &amp; Ng, 2016; Kidd et al., 2010)</w:t>
      </w:r>
      <w:r w:rsidR="00434545">
        <w:fldChar w:fldCharType="end"/>
      </w:r>
      <w:r>
        <w:t xml:space="preserve">. Therefore, this would be a pioneer study in providing evidence on the reliability of the </w:t>
      </w:r>
      <w:r>
        <w:rPr>
          <w:i/>
        </w:rPr>
        <w:t>RSA-R Family</w:t>
      </w:r>
      <w:r>
        <w:t xml:space="preserve"> instrument in a different context from the USA.</w:t>
      </w:r>
    </w:p>
    <w:p w14:paraId="28BB696A" w14:textId="67A21AE9" w:rsidR="008F0A77" w:rsidRDefault="008F0A77" w:rsidP="008F0A77">
      <w:pPr>
        <w:spacing w:line="360" w:lineRule="auto"/>
        <w:ind w:left="-283" w:right="-267" w:firstLine="283"/>
        <w:jc w:val="both"/>
      </w:pPr>
      <w:r>
        <w:t xml:space="preserve">Moreover, we found that only two studies performed the test-retest reliability analysis in addition to ours: one conducted in Sweden, whose authors validated the </w:t>
      </w:r>
      <w:r>
        <w:rPr>
          <w:i/>
        </w:rPr>
        <w:t>RSA-R Person in Recovery</w:t>
      </w:r>
      <w:r>
        <w:t>, and another conducted in the USA, whose authors tested the RSA reliability regarding providers. The use of this methodology is recommended in the literature for the cross-cultural validation of scales because it allows the assessment of the invariability of responses</w:t>
      </w:r>
      <w:r w:rsidR="00434545">
        <w:t xml:space="preserve"> </w:t>
      </w:r>
      <w:r w:rsidR="00434545">
        <w:fldChar w:fldCharType="begin" w:fldLock="1"/>
      </w:r>
      <w:r w:rsidR="00434545">
        <w:instrText>ADDIN CSL_CITATION {"citationItems":[{"id":"ITEM-1","itemData":{"DOI":"10.5123/S1679-49742017000300022","author":[{"dropping-particle":"de","family":"Souza","given":"Ana Cláudia","non-dropping-particle":"","parse-names":false,"suffix":""},{"dropping-particle":"","family":"Alexandre","given":"Neusa Maria Costa","non-dropping-particle":"","parse-names":false,"suffix":""},{"dropping-particle":"","family":"Guirardello","given":"Edinêis de Brito","non-dropping-particle":"","parse-names":false,"suffix":""}],"container-title":"Epidemiologia e Serviços de Saúde","id":"ITEM-1","issue":"3","issued":{"date-parts":[["2017","7"]]},"page":"649-659","title":"Propriedades psicométricas na avaliação de instrumentos: avaliação da confiabilidade e da validade","type":"article-journal","volume":"26"},"uris":["http://www.mendeley.com/documents/?uuid=bc50d73e-3c73-33da-80c5-dcec2d0f043c"]}],"mendeley":{"formattedCitation":"(Souza et al., 2017)","plainTextFormattedCitation":"(Souza et al., 2017)","previouslyFormattedCitation":"(Souza et al., 2017)"},"properties":{"noteIndex":0},"schema":"https://github.com/citation-style-language/schema/raw/master/csl-citation.json"}</w:instrText>
      </w:r>
      <w:r w:rsidR="00434545">
        <w:fldChar w:fldCharType="separate"/>
      </w:r>
      <w:r w:rsidR="00434545" w:rsidRPr="00434545">
        <w:rPr>
          <w:noProof/>
        </w:rPr>
        <w:t>(Souza et al., 2017)</w:t>
      </w:r>
      <w:r w:rsidR="00434545">
        <w:fldChar w:fldCharType="end"/>
      </w:r>
      <w:r w:rsidR="00434545">
        <w:t xml:space="preserve">. </w:t>
      </w:r>
      <w:r>
        <w:t>In our study, this technique allowed the identification of items that had lower scores between applications, indicating the possible limitations of adaptation of some items to the Brazilian context.</w:t>
      </w:r>
    </w:p>
    <w:p w14:paraId="2EB96C4F" w14:textId="623BC206" w:rsidR="008F0A77" w:rsidRDefault="008F0A77" w:rsidP="008F0A77">
      <w:pPr>
        <w:spacing w:line="360" w:lineRule="auto"/>
        <w:ind w:left="-283" w:right="-267" w:firstLine="283"/>
        <w:jc w:val="both"/>
      </w:pPr>
      <w:r>
        <w:lastRenderedPageBreak/>
        <w:t xml:space="preserve">A limitation of the study was the high percentage of items without information (N/A and D/K), which made it impossible to carry out the analysis of the validity of factor structure of the </w:t>
      </w:r>
      <w:r>
        <w:rPr>
          <w:i/>
        </w:rPr>
        <w:t>RSA-R Family/Brazil</w:t>
      </w:r>
      <w:r>
        <w:t>.  Some researchers</w:t>
      </w:r>
      <w:r w:rsidR="00434545">
        <w:t xml:space="preserve"> </w:t>
      </w:r>
      <w:r w:rsidR="00434545">
        <w:fldChar w:fldCharType="begin" w:fldLock="1"/>
      </w:r>
      <w:r w:rsidR="00434545">
        <w:instrText>ADDIN CSL_CITATION {"citationItems":[{"id":"ITEM-1","itemData":{"DOI":"10.1037/prj0000139","ISSN":"1559-3126","PMID":"26075526","abstract":"OBJECTIVE In psychiatry, the recovery paradigm is increasingly identified as the overarching framework for service provision. Currently, the Recovery Self-Assessment (RSA), a 36-item rating scale, is commonly used to assess the uptake of a recovery orientation in clinical services. However, the consumer version of the RSA has been found challenging to complete because of length and the reading level required. In response to this feedback, a brief 12-item version of the RSA was developed (RSA-B). This article describes the development of the modified instrument and the application of traditional psychometric analysis and Rasch Measurement Theory to test the psychometrics properties of the RSA-B. METHODS Data from a multisite study of adults with serious mental illnesses (n = 1256) who were followed by assertive community treatment teams were examined for reliability, clinical meaning, targeting, response categories, model fit, reliability, dependency, and raw interval-level measurement. Analyses were performed using the Rasch Unidimensional Measurement Model (RUMM 2030). RESULTS Adequate fit to the Rasch model was observed (χ2 = 112.46, df = 90, p = .06) and internal consistency was good (r = .86). However, Rasch analysis revealed limitations of the 12-item version, with items covering only 39% of the targeted theoretical continuum, 2 misfitting items, and strong evidence for the 5 option response categories not working as intended. CONCLUSIONS This study revealed areas for improvement in the shortened version of the 12-item RSA-B. A revisit of the conceptual model and original 36-item rating scale is encouraged to select items that will help practitioners and researchers measure the full range of recovery orientation.","author":[{"dropping-particle":"","family":"Barbic","given":"Skye P.","non-dropping-particle":"","parse-names":false,"suffix":""},{"dropping-particle":"","family":"Kidd","given":"Sean A.","non-dropping-particle":"","parse-names":false,"suffix":""},{"dropping-particle":"","family":"Davidson","given":"Larry","non-dropping-particle":"","parse-names":false,"suffix":""},{"dropping-particle":"","family":"McKenzie","given":"Kwame","non-dropping-particle":"","parse-names":false,"suffix":""},{"dropping-particle":"","family":"O'Connell","given":"Maria J.","non-dropping-particle":"","parse-names":false,"suffix":""}],"container-title":"Psychiatric Rehabilitation Journal","id":"ITEM-1","issue":"4","issued":{"date-parts":[["2015","12"]]},"page":"349-358","title":"Validation of the brief version of the Recovery Self-Assessment (RSA-B) using Rasch measurement theory.","type":"article-journal","volume":"38"},"uris":["http://www.mendeley.com/documents/?uuid=619e96e4-10dd-3535-9e72-fb42924d653e"]},{"id":"ITEM-2","itemData":{"DOI":"10.1177/0163278716674247","ISSN":"0163-2787","author":[{"dropping-particle":"","family":"Konkolÿ Thege","given":"Barna","non-dropping-particle":"","parse-names":false,"suffix":""},{"dropping-particle":"","family":"Ham","given":"Elke","non-dropping-particle":"","parse-names":false,"suffix":""},{"dropping-particle":"","family":"Ball","given":"Laura C.","non-dropping-particle":"","parse-names":false,"suffix":""}],"container-title":"Evaluation &amp; the Health Professions","id":"ITEM-2","issue":"4","issued":{"date-parts":[["2017","12","20"]]},"page":"505-516","title":"A Factor Analytic Investigation of the Person-in-Recovery and Provider Versions of the Revised Recovery Self-Assessment (RSA-R)","type":"article-journal","volume":"40"},"uris":["http://www.mendeley.com/documents/?uuid=52fc61e8-df29-3c62-867e-0476c7c5bc61"]}],"mendeley":{"formattedCitation":"(Barbic et al., 2015; Konkolÿ Thege et al., 2017)","manualFormatting":"(Barbic et al., 2015; Thege et al., 2017)","plainTextFormattedCitation":"(Barbic et al., 2015; Konkolÿ Thege et al., 2017)","previouslyFormattedCitation":"(Barbic et al., 2015; Konkolÿ Thege et al., 2017)"},"properties":{"noteIndex":0},"schema":"https://github.com/citation-style-language/schema/raw/master/csl-citation.json"}</w:instrText>
      </w:r>
      <w:r w:rsidR="00434545">
        <w:fldChar w:fldCharType="separate"/>
      </w:r>
      <w:r w:rsidR="00434545" w:rsidRPr="00434545">
        <w:rPr>
          <w:noProof/>
        </w:rPr>
        <w:t>(Barbic et al., 2015; Thege et al., 2017)</w:t>
      </w:r>
      <w:r w:rsidR="00434545">
        <w:fldChar w:fldCharType="end"/>
      </w:r>
      <w:r>
        <w:t xml:space="preserve"> had already identified the complexity of the Likert scale for measuring the agreement of the instrument, encouraging researchers to test the scale with fewer response categories. Considering this, we suggest future research on the scale in Brazil, in order to test the instrument without considering the categories of D/K and N/A and, thus, improve the mensuration potential of the scale. </w:t>
      </w:r>
    </w:p>
    <w:p w14:paraId="1A7CDAB5" w14:textId="2F88F0CB" w:rsidR="008F0A77" w:rsidRPr="008F0A77" w:rsidRDefault="008F0A77" w:rsidP="008F0A77">
      <w:pPr>
        <w:spacing w:line="360" w:lineRule="auto"/>
        <w:ind w:left="-283" w:right="-267" w:firstLine="283"/>
        <w:jc w:val="both"/>
      </w:pPr>
      <w:r w:rsidRPr="008F0A77">
        <w:t xml:space="preserve">The second limitation we found was the difficulty in detailing the answers and distinguishing them in the two end points of the scale (Strongly disagree X disagree; Strongly agree X agree). We perceived doubts between these gradations during the interviews, demanding interviewers to explain this variation. This difficulty with the 5-point scale for measuring the subjective phenomenon was also reported in another study using RSA </w:t>
      </w:r>
      <w:r w:rsidR="00434545">
        <w:fldChar w:fldCharType="begin" w:fldLock="1"/>
      </w:r>
      <w:r w:rsidR="00434545">
        <w:instrText>ADDIN CSL_CITATION {"citationItems":[{"id":"ITEM-1","itemData":{"DOI":"10.1037/prj0000139","ISSN":"1559-3126","PMID":"26075526","abstract":"OBJECTIVE In psychiatry, the recovery paradigm is increasingly identified as the overarching framework for service provision. Currently, the Recovery Self-Assessment (RSA), a 36-item rating scale, is commonly used to assess the uptake of a recovery orientation in clinical services. However, the consumer version of the RSA has been found challenging to complete because of length and the reading level required. In response to this feedback, a brief 12-item version of the RSA was developed (RSA-B). This article describes the development of the modified instrument and the application of traditional psychometric analysis and Rasch Measurement Theory to test the psychometrics properties of the RSA-B. METHODS Data from a multisite study of adults with serious mental illnesses (n = 1256) who were followed by assertive community treatment teams were examined for reliability, clinical meaning, targeting, response categories, model fit, reliability, dependency, and raw interval-level measurement. Analyses were performed using the Rasch Unidimensional Measurement Model (RUMM 2030). RESULTS Adequate fit to the Rasch model was observed (χ2 = 112.46, df = 90, p = .06) and internal consistency was good (r = .86). However, Rasch analysis revealed limitations of the 12-item version, with items covering only 39% of the targeted theoretical continuum, 2 misfitting items, and strong evidence for the 5 option response categories not working as intended. CONCLUSIONS This study revealed areas for improvement in the shortened version of the 12-item RSA-B. A revisit of the conceptual model and original 36-item rating scale is encouraged to select items that will help practitioners and researchers measure the full range of recovery orientation.","author":[{"dropping-particle":"","family":"Barbic","given":"Skye P.","non-dropping-particle":"","parse-names":false,"suffix":""},{"dropping-particle":"","family":"Kidd","given":"Sean A.","non-dropping-particle":"","parse-names":false,"suffix":""},{"dropping-particle":"","family":"Davidson","given":"Larry","non-dropping-particle":"","parse-names":false,"suffix":""},{"dropping-particle":"","family":"McKenzie","given":"Kwame","non-dropping-particle":"","parse-names":false,"suffix":""},{"dropping-particle":"","family":"O'Connell","given":"Maria J.","non-dropping-particle":"","parse-names":false,"suffix":""}],"container-title":"Psychiatric Rehabilitation Journal","id":"ITEM-1","issue":"4","issued":{"date-parts":[["2015","12"]]},"page":"349-358","title":"Validation of the brief version of the Recovery Self-Assessment (RSA-B) using Rasch measurement theory.","type":"article-journal","volume":"38"},"uris":["http://www.mendeley.com/documents/?uuid=619e96e4-10dd-3535-9e72-fb42924d653e"]}],"mendeley":{"formattedCitation":"(Barbic et al., 2015)","plainTextFormattedCitation":"(Barbic et al., 2015)","previouslyFormattedCitation":"(Barbic et al., 2015)"},"properties":{"noteIndex":0},"schema":"https://github.com/citation-style-language/schema/raw/master/csl-citation.json"}</w:instrText>
      </w:r>
      <w:r w:rsidR="00434545">
        <w:fldChar w:fldCharType="separate"/>
      </w:r>
      <w:r w:rsidR="00434545" w:rsidRPr="00434545">
        <w:rPr>
          <w:noProof/>
        </w:rPr>
        <w:t>(Barbic et al., 2015)</w:t>
      </w:r>
      <w:r w:rsidR="00434545">
        <w:fldChar w:fldCharType="end"/>
      </w:r>
      <w:r w:rsidRPr="008F0A77">
        <w:t>.</w:t>
      </w:r>
    </w:p>
    <w:p w14:paraId="42DF1A96" w14:textId="6C5910B8" w:rsidR="008F0A77" w:rsidRDefault="008F0A77" w:rsidP="008F0A77">
      <w:pPr>
        <w:spacing w:line="360" w:lineRule="auto"/>
        <w:ind w:left="-283" w:right="-267" w:firstLine="283"/>
        <w:jc w:val="both"/>
      </w:pPr>
      <w:r>
        <w:t>One of the limitations reported in the interviewers’ field journals was the concern or fear of people when making a criticism or negative assessments of the services and staff when responding the questions. Several times we were asked whether they would lose the benefit, or whether they would suffer some kind of retaliation, or harm the workers. A similar situation occurred in Canada with the validation and assessments of services using RSA</w:t>
      </w:r>
      <w:r w:rsidR="00434545">
        <w:t xml:space="preserve"> </w:t>
      </w:r>
      <w:r w:rsidR="00434545">
        <w:fldChar w:fldCharType="begin" w:fldLock="1"/>
      </w:r>
      <w:r w:rsidR="00434545">
        <w:instrText>ADDIN CSL_CITATION {"citationItems":[{"id":"ITEM-1","itemData":{"DOI":"10.1007/s10597-009-9275-7","abstract":"There has been increasing commentary about the degree to which Assertive Community Treatment (ACT) teams provide recovery-oriented services, often centered around the question of the use of coercion. The present study was designed to contribute to this discussion through an examination of recovery-oriented service pro-vision and ACT fidelity among 67 teams in the province of Ontario, Canada. The findings indicated a moderate to high degree of recovery orientation in service provision, with no significant relationship between ACT fidelity and consumer and family/key support ratings of recovery orientation. A significant relationship was found, however, between the 'nature of services' domain of the Dartmouth Assertive Community Treatment Scale (DACTS) and ratings of recovery orientation provided by staff and ACT coordina-tors. These findings extend the existing dialogue regarding the evaluation of ACT intervention process factors and indicate that current measures of fidelity may not be ade-quately addressing dimensions of recovery-oriented service provision.","author":[{"dropping-particle":"","family":"Kidd","given":"Sean A","non-dropping-particle":"","parse-names":false,"suffix":""},{"dropping-particle":"","family":"George","given":"Lindsey","non-dropping-particle":"","parse-names":false,"suffix":""},{"dropping-particle":"","family":"O'Connell","given":"Maria","non-dropping-particle":"","parse-names":false,"suffix":""},{"dropping-particle":"","family":"Sylvestre","given":"John","non-dropping-particle":"","parse-names":false,"suffix":""},{"dropping-particle":"","family":"Kirkpatrick","given":"Helen","non-dropping-particle":"","parse-names":false,"suffix":""},{"dropping-particle":"","family":"Browne","given":"Gina","non-dropping-particle":"","parse-names":false,"suffix":""},{"dropping-particle":"","family":"Thabane","given":"Lehana","non-dropping-particle":"","parse-names":false,"suffix":""}],"container-title":"Community Ment Health J ","id":"ITEM-1","issued":{"date-parts":[["2010"]]},"page":"342-350","title":"Fidelity and Recovery-Orientation in Assertive Community Treatment","type":"article-journal","volume":"46"},"uris":["http://www.mendeley.com/documents/?uuid=1e74aa46-472f-3872-a236-171fa1c34594"]}],"mendeley":{"formattedCitation":"(Kidd et al., 2010)","plainTextFormattedCitation":"(Kidd et al., 2010)","previouslyFormattedCitation":"(Kidd et al., 2010)"},"properties":{"noteIndex":0},"schema":"https://github.com/citation-style-language/schema/raw/master/csl-citation.json"}</w:instrText>
      </w:r>
      <w:r w:rsidR="00434545">
        <w:fldChar w:fldCharType="separate"/>
      </w:r>
      <w:r w:rsidR="00434545" w:rsidRPr="00434545">
        <w:rPr>
          <w:noProof/>
        </w:rPr>
        <w:t>(Kidd et al., 2010)</w:t>
      </w:r>
      <w:r w:rsidR="00434545">
        <w:fldChar w:fldCharType="end"/>
      </w:r>
      <w:r>
        <w:t>.</w:t>
      </w:r>
    </w:p>
    <w:p w14:paraId="040BB540" w14:textId="77777777" w:rsidR="008F0A77" w:rsidRDefault="008F0A77" w:rsidP="008F0A77">
      <w:pPr>
        <w:spacing w:line="360" w:lineRule="auto"/>
        <w:ind w:left="-283" w:right="-267" w:firstLine="283"/>
        <w:jc w:val="both"/>
      </w:pPr>
      <w:r>
        <w:t xml:space="preserve">The third limitation may be the size of the sample, 207 participants to 33 items is the minimum that the literature requires for analyses to be done. We are dealing with a subjective construct, which in different cultures can generate different interpretations, in addition to the people’s difficulty in understanding the content of the instrument, since most of them have been treated for years and are diagnosed with severe disorders, which may cause temporary or permanent cognitive difficulties. </w:t>
      </w:r>
    </w:p>
    <w:p w14:paraId="24042260" w14:textId="77777777" w:rsidR="008F0A77" w:rsidRDefault="008F0A77" w:rsidP="00CD7EC5">
      <w:pPr>
        <w:pStyle w:val="Prrafocomn"/>
        <w:rPr>
          <w:lang w:val="es-ES_tradnl"/>
        </w:rPr>
      </w:pPr>
    </w:p>
    <w:p w14:paraId="7DD7B012" w14:textId="77777777" w:rsidR="008F0A77" w:rsidRDefault="008F0A77" w:rsidP="008F0A77">
      <w:pPr>
        <w:spacing w:line="360" w:lineRule="auto"/>
        <w:ind w:left="-283" w:right="-267"/>
        <w:jc w:val="center"/>
      </w:pPr>
      <w:r>
        <w:rPr>
          <w:b/>
        </w:rPr>
        <w:t>Conclusion</w:t>
      </w:r>
    </w:p>
    <w:p w14:paraId="568AAF8E" w14:textId="5280854B" w:rsidR="008F0A77" w:rsidRDefault="008F0A77" w:rsidP="008F0A77">
      <w:pPr>
        <w:spacing w:line="360" w:lineRule="auto"/>
        <w:ind w:left="-283" w:right="-267"/>
        <w:jc w:val="both"/>
        <w:rPr>
          <w:color w:val="FF0000"/>
        </w:rPr>
      </w:pPr>
      <w:r>
        <w:tab/>
        <w:t>Although the original version of RSA is widely used in different countries, its revised version still lacks an in-depth psychometric research. Therefore, our research becomes important, not only within the Brazilian context of very few instruments for assessing mental health services from the perspective of users, but also because it contributes to the international literature in investigating and deepening reliability and validity analyses of the RSA-R, Person in Recovery and Family members versions.</w:t>
      </w:r>
    </w:p>
    <w:p w14:paraId="217DAEBC" w14:textId="27866850" w:rsidR="008F0A77" w:rsidRDefault="008F0A77" w:rsidP="008F0A77">
      <w:pPr>
        <w:spacing w:line="360" w:lineRule="auto"/>
        <w:ind w:left="-283" w:right="-267"/>
        <w:jc w:val="both"/>
      </w:pPr>
      <w:r>
        <w:tab/>
        <w:t xml:space="preserve">We can and should invest in the development of RSA-R erson in Recovery and Family members versions in Brazil, revising the option of answers of the scale, which are still confusing; analyzing items </w:t>
      </w:r>
      <w:r>
        <w:lastRenderedPageBreak/>
        <w:t>that can still be complex for comprising different contents; deepening the dialogue on the notion of recovery of Brazilian users; and correlating analyses and results of this version with the versions for Family member/advocate, Provider, and Administrator/manager.</w:t>
      </w:r>
    </w:p>
    <w:p w14:paraId="6DA51519" w14:textId="77777777" w:rsidR="008F0A77" w:rsidRDefault="008F0A77" w:rsidP="008F0A77">
      <w:pPr>
        <w:spacing w:line="360" w:lineRule="auto"/>
        <w:ind w:left="-283" w:right="-267"/>
        <w:jc w:val="both"/>
      </w:pPr>
      <w:r>
        <w:tab/>
        <w:t xml:space="preserve">Studies on reliability and validity of instruments in the healthcare field paramount for us to achieve more assertive results concerning the construct to be evaluated. We believe that RSA-R Person in Recovery and Family members version – is a powerful tool for assessing our local mental health services, and deserves further studies for its psychometric statistical consolidation, thus being widely used in Brazil. </w:t>
      </w:r>
    </w:p>
    <w:p w14:paraId="71273FC3" w14:textId="77777777" w:rsidR="008F0A77" w:rsidRDefault="008F0A77" w:rsidP="008F0A77">
      <w:pPr>
        <w:spacing w:line="360" w:lineRule="auto"/>
        <w:ind w:left="-283" w:right="-267"/>
        <w:jc w:val="both"/>
      </w:pPr>
    </w:p>
    <w:p w14:paraId="09C61A66" w14:textId="0EAFF67D" w:rsidR="008F0A77" w:rsidRDefault="008F0A77" w:rsidP="008F0A77">
      <w:pPr>
        <w:spacing w:line="360" w:lineRule="auto"/>
        <w:ind w:left="-283" w:right="-267"/>
        <w:jc w:val="center"/>
        <w:rPr>
          <w:b/>
        </w:rPr>
      </w:pPr>
      <w:r>
        <w:rPr>
          <w:b/>
        </w:rPr>
        <w:t>Acknowledgements</w:t>
      </w:r>
    </w:p>
    <w:p w14:paraId="0FEF6697" w14:textId="3B1554FF" w:rsidR="008F0A77" w:rsidRPr="008F0A77" w:rsidRDefault="008F0A77" w:rsidP="008F0A77">
      <w:pPr>
        <w:keepNext/>
        <w:spacing w:line="360" w:lineRule="auto"/>
        <w:ind w:left="-283" w:right="-267"/>
        <w:jc w:val="both"/>
        <w:rPr>
          <w:lang w:val="en-US"/>
        </w:rPr>
      </w:pPr>
      <w:r>
        <w:t>We thank those who funded this research – Coordination for the Improvement of Higher Education Personnel (CAPES), which granted me scholarship, and the Fund for the Support of Education, [</w:t>
      </w:r>
      <w:r w:rsidRPr="004C6EAB">
        <w:t>omitted for double blind evaluation</w:t>
      </w:r>
      <w:r>
        <w:t xml:space="preserve">], with financial support to pay the services’ providers; to the research participants and the researchers involved in all research steps. </w:t>
      </w:r>
      <w:r w:rsidRPr="008F0A77">
        <w:rPr>
          <w:lang w:val="en-US"/>
        </w:rPr>
        <w:t xml:space="preserve">The authors thank </w:t>
      </w:r>
      <w:r>
        <w:t>[</w:t>
      </w:r>
      <w:r w:rsidRPr="004C6EAB">
        <w:t>omitted for double blind evaluation</w:t>
      </w:r>
      <w:r>
        <w:t>]</w:t>
      </w:r>
      <w:r w:rsidRPr="008F0A77">
        <w:rPr>
          <w:lang w:val="en-US"/>
        </w:rPr>
        <w:t xml:space="preserve"> – for the language services provided.</w:t>
      </w:r>
    </w:p>
    <w:p w14:paraId="6E3F76C9" w14:textId="77777777" w:rsidR="008F0A77" w:rsidRPr="008F0A77" w:rsidRDefault="008F0A77" w:rsidP="008F0A77">
      <w:pPr>
        <w:spacing w:line="360" w:lineRule="auto"/>
        <w:ind w:left="-283" w:right="-267"/>
        <w:jc w:val="both"/>
        <w:rPr>
          <w:lang w:val="en-US"/>
        </w:rPr>
      </w:pPr>
    </w:p>
    <w:p w14:paraId="4DBF957B" w14:textId="77777777" w:rsidR="00434545" w:rsidRDefault="00EF6B7D" w:rsidP="008F0A77">
      <w:pPr>
        <w:pStyle w:val="Prrafocomn"/>
        <w:rPr>
          <w:b/>
        </w:rPr>
      </w:pPr>
      <w:sdt>
        <w:sdtPr>
          <w:tag w:val="goog_rdk_28"/>
          <w:id w:val="525057923"/>
        </w:sdtPr>
        <w:sdtContent/>
      </w:sdt>
      <w:r w:rsidR="008F0A77">
        <w:rPr>
          <w:b/>
        </w:rPr>
        <w:t>References</w:t>
      </w:r>
    </w:p>
    <w:p w14:paraId="7BB12198" w14:textId="72033857" w:rsidR="00434545" w:rsidRPr="00434545" w:rsidRDefault="00434545" w:rsidP="001548F4">
      <w:pPr>
        <w:widowControl w:val="0"/>
        <w:autoSpaceDE w:val="0"/>
        <w:autoSpaceDN w:val="0"/>
        <w:adjustRightInd w:val="0"/>
        <w:ind w:left="142" w:right="-279" w:hanging="284"/>
        <w:jc w:val="both"/>
        <w:rPr>
          <w:noProof/>
        </w:rPr>
      </w:pPr>
      <w:r>
        <w:rPr>
          <w:lang w:val="pt-BR"/>
        </w:rPr>
        <w:fldChar w:fldCharType="begin" w:fldLock="1"/>
      </w:r>
      <w:r>
        <w:rPr>
          <w:lang w:val="pt-BR"/>
        </w:rPr>
        <w:instrText xml:space="preserve">ADDIN Mendeley Bibliography CSL_BIBLIOGRAPHY </w:instrText>
      </w:r>
      <w:r>
        <w:rPr>
          <w:lang w:val="pt-BR"/>
        </w:rPr>
        <w:fldChar w:fldCharType="separate"/>
      </w:r>
      <w:r w:rsidRPr="00434545">
        <w:rPr>
          <w:noProof/>
        </w:rPr>
        <w:t xml:space="preserve">Alexandre, N. M. C., Gallasch, C. H., Lima, M. H. M., &amp; Rodrigues, R. C. M. (2013). A confiabilidade no desenvolvimento e avaliação de instrumentos de medida na área da saúde. </w:t>
      </w:r>
      <w:r w:rsidRPr="00434545">
        <w:rPr>
          <w:i/>
          <w:iCs/>
          <w:noProof/>
        </w:rPr>
        <w:t>Revista Eletrônica de Enfermagem</w:t>
      </w:r>
      <w:r w:rsidRPr="00434545">
        <w:rPr>
          <w:noProof/>
        </w:rPr>
        <w:t xml:space="preserve">, </w:t>
      </w:r>
      <w:r w:rsidRPr="00434545">
        <w:rPr>
          <w:i/>
          <w:iCs/>
          <w:noProof/>
        </w:rPr>
        <w:t>15</w:t>
      </w:r>
      <w:r w:rsidRPr="00434545">
        <w:rPr>
          <w:noProof/>
        </w:rPr>
        <w:t>(3), 800–807. https://doi.org/10.5216/ree.v15i3.20776</w:t>
      </w:r>
    </w:p>
    <w:p w14:paraId="5562BE20" w14:textId="57528B12"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Assis, J. C., Villares, C. C., &amp; Bressan, R. A. (2013). </w:t>
      </w:r>
      <w:r w:rsidRPr="00434545">
        <w:rPr>
          <w:i/>
          <w:iCs/>
          <w:noProof/>
        </w:rPr>
        <w:t>Entre a Razão e a Ilusão: Desmistificando a Esquizofrenia</w:t>
      </w:r>
      <w:r w:rsidRPr="00434545">
        <w:rPr>
          <w:noProof/>
        </w:rPr>
        <w:t xml:space="preserve">. (Artmed, Ed.) (2nd ed.). São Paulo. </w:t>
      </w:r>
    </w:p>
    <w:p w14:paraId="4824BFD8"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Barbic, S. P., Kidd, S. A., Davidson, L., McKenzie, K., &amp; O’Connell, M. J. (2015). Validation of the brief version of the Recovery Self-Assessment (RSA-B) using Rasch measurement theory. </w:t>
      </w:r>
      <w:r w:rsidRPr="00434545">
        <w:rPr>
          <w:i/>
          <w:iCs/>
          <w:noProof/>
        </w:rPr>
        <w:t>Psychiatric Rehabilitation Journal</w:t>
      </w:r>
      <w:r w:rsidRPr="00434545">
        <w:rPr>
          <w:noProof/>
        </w:rPr>
        <w:t xml:space="preserve">, </w:t>
      </w:r>
      <w:r w:rsidRPr="00434545">
        <w:rPr>
          <w:i/>
          <w:iCs/>
          <w:noProof/>
        </w:rPr>
        <w:t>38</w:t>
      </w:r>
      <w:r w:rsidRPr="00434545">
        <w:rPr>
          <w:noProof/>
        </w:rPr>
        <w:t>(4), 349–358. https://doi.org/10.1037/prj0000139</w:t>
      </w:r>
    </w:p>
    <w:p w14:paraId="44E0A2BA"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Beaton, D., Bombardier, C., Guillemin, F., &amp; Ferraz, M. B. (2007). </w:t>
      </w:r>
      <w:r w:rsidRPr="00434545">
        <w:rPr>
          <w:i/>
          <w:iCs/>
          <w:noProof/>
        </w:rPr>
        <w:t>Recommendations for the Cross-Cultural Adaptation of the DASH &amp;amp; QuickDASH Outcome Measures</w:t>
      </w:r>
      <w:r w:rsidRPr="00434545">
        <w:rPr>
          <w:noProof/>
        </w:rPr>
        <w:t>. Retrieved from https://www.researchgate.net/profile/Claire_Bombardier/publication/265000941_Recommendations_for_the_Cross-Cultural_Adaptation_of_the_DASH_QuickDASH_Outcome_Measures_Contributors_to_this_Document/links/53fdd6140cf22f21c2f85143/Recommendations-for-the-Cros</w:t>
      </w:r>
    </w:p>
    <w:p w14:paraId="78CF8A91"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Bola, J., Chan, T. H. C., Chen, E. H., &amp; Ng, R. (2016). Cross-Validating Chinese Language Mental Health Recovery Measures in Hong Kong. </w:t>
      </w:r>
      <w:r w:rsidRPr="00434545">
        <w:rPr>
          <w:i/>
          <w:iCs/>
          <w:noProof/>
        </w:rPr>
        <w:t>Research on Social Work Practice</w:t>
      </w:r>
      <w:r w:rsidRPr="00434545">
        <w:rPr>
          <w:noProof/>
        </w:rPr>
        <w:t xml:space="preserve">, </w:t>
      </w:r>
      <w:r w:rsidRPr="00434545">
        <w:rPr>
          <w:i/>
          <w:iCs/>
          <w:noProof/>
        </w:rPr>
        <w:t>26</w:t>
      </w:r>
      <w:r w:rsidRPr="00434545">
        <w:rPr>
          <w:noProof/>
        </w:rPr>
        <w:t>(6), 630–640. https://doi.org/10.1177/1049731515625326</w:t>
      </w:r>
    </w:p>
    <w:p w14:paraId="4D03C414"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Brown, H., &amp; Prescott, R. (2006). </w:t>
      </w:r>
      <w:r w:rsidRPr="00434545">
        <w:rPr>
          <w:i/>
          <w:iCs/>
          <w:noProof/>
        </w:rPr>
        <w:t>Applied mixed models in medicine</w:t>
      </w:r>
      <w:r w:rsidRPr="00434545">
        <w:rPr>
          <w:noProof/>
        </w:rPr>
        <w:t xml:space="preserve"> (2nd ed.). London: John Wiley. Retrieved from https://www.wiley.com/en-us/Applied+Mixed+Models+in+Medicine%2C+2nd+Edition-p-9780470023563</w:t>
      </w:r>
    </w:p>
    <w:p w14:paraId="24860038"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Cohen, J. (1988). </w:t>
      </w:r>
      <w:r w:rsidRPr="00434545">
        <w:rPr>
          <w:i/>
          <w:iCs/>
          <w:noProof/>
        </w:rPr>
        <w:t>Statistical power analysis for the behavioral sciences</w:t>
      </w:r>
      <w:r w:rsidRPr="00434545">
        <w:rPr>
          <w:noProof/>
        </w:rPr>
        <w:t xml:space="preserve"> (2nd ed.). New York: L. </w:t>
      </w:r>
      <w:r w:rsidRPr="00434545">
        <w:rPr>
          <w:noProof/>
        </w:rPr>
        <w:lastRenderedPageBreak/>
        <w:t>Erlbaum Associates.</w:t>
      </w:r>
    </w:p>
    <w:p w14:paraId="43C32CB9"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Damásio, B. F. (2012). </w:t>
      </w:r>
      <w:r w:rsidRPr="00434545">
        <w:rPr>
          <w:i/>
          <w:iCs/>
          <w:noProof/>
        </w:rPr>
        <w:t>Uso da análise fatorial exploratória em psicologia</w:t>
      </w:r>
      <w:r w:rsidRPr="00434545">
        <w:rPr>
          <w:noProof/>
        </w:rPr>
        <w:t xml:space="preserve"> (Vol. 11). Retrieved from http://pepsic.bvsalud.org/pdf/avp/v11n2/v11n2a07.pdf</w:t>
      </w:r>
    </w:p>
    <w:p w14:paraId="3197A0E1" w14:textId="6BB6872E"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Davidson, L. (2003). </w:t>
      </w:r>
      <w:r w:rsidRPr="00434545">
        <w:rPr>
          <w:i/>
          <w:iCs/>
          <w:noProof/>
        </w:rPr>
        <w:t>Living outside mental illness : qualitative studies of recovery in schizophrenia</w:t>
      </w:r>
      <w:r w:rsidRPr="00434545">
        <w:rPr>
          <w:noProof/>
        </w:rPr>
        <w:t xml:space="preserve">. New York University Press. </w:t>
      </w:r>
    </w:p>
    <w:p w14:paraId="2103B241"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Davidson, L., Tondora, J., O’Connell, M. J., Kirk, T., Rockholz, P., &amp; Evans, A. C. (2007). Creating a recovery-oriented system of behavioral health care: Moving from concept to reality. </w:t>
      </w:r>
      <w:r w:rsidRPr="00434545">
        <w:rPr>
          <w:i/>
          <w:iCs/>
          <w:noProof/>
        </w:rPr>
        <w:t>Psychiatric Rehabilitation Journal</w:t>
      </w:r>
      <w:r w:rsidRPr="00434545">
        <w:rPr>
          <w:noProof/>
        </w:rPr>
        <w:t xml:space="preserve">, </w:t>
      </w:r>
      <w:r w:rsidRPr="00434545">
        <w:rPr>
          <w:i/>
          <w:iCs/>
          <w:noProof/>
        </w:rPr>
        <w:t>31</w:t>
      </w:r>
      <w:r w:rsidRPr="00434545">
        <w:rPr>
          <w:noProof/>
        </w:rPr>
        <w:t>(1), 23–31. https://doi.org/10.2975/31.1.2007.23.31</w:t>
      </w:r>
    </w:p>
    <w:p w14:paraId="25DA2B47"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Deegan, P. E. (1988). Recovery: The lived experience of rehabilitation. </w:t>
      </w:r>
      <w:r w:rsidRPr="00434545">
        <w:rPr>
          <w:i/>
          <w:iCs/>
          <w:noProof/>
        </w:rPr>
        <w:t>Psychosocial Rehabilitation Journal</w:t>
      </w:r>
      <w:r w:rsidRPr="00434545">
        <w:rPr>
          <w:noProof/>
        </w:rPr>
        <w:t xml:space="preserve">, </w:t>
      </w:r>
      <w:r w:rsidRPr="00434545">
        <w:rPr>
          <w:i/>
          <w:iCs/>
          <w:noProof/>
        </w:rPr>
        <w:t>11</w:t>
      </w:r>
      <w:r w:rsidRPr="00434545">
        <w:rPr>
          <w:noProof/>
        </w:rPr>
        <w:t>(4), 11–19. https://doi.org/10.1037/h0099565</w:t>
      </w:r>
    </w:p>
    <w:p w14:paraId="3DBAF718"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Emerich, B. F., Campos, R. O., &amp; Passos, E. (2014). Direitos na loucura: o que dizem usuários e gestores</w:t>
      </w:r>
      <w:r w:rsidRPr="00434545">
        <w:rPr>
          <w:noProof/>
        </w:rPr>
        <w:tab/>
      </w:r>
      <w:r w:rsidRPr="00434545">
        <w:rPr>
          <w:noProof/>
        </w:rPr>
        <w:tab/>
      </w:r>
      <w:r w:rsidRPr="00434545">
        <w:rPr>
          <w:noProof/>
        </w:rPr>
        <w:tab/>
      </w:r>
      <w:r w:rsidRPr="00434545">
        <w:rPr>
          <w:noProof/>
        </w:rPr>
        <w:tab/>
      </w:r>
      <w:r w:rsidRPr="00434545">
        <w:rPr>
          <w:noProof/>
        </w:rPr>
        <w:tab/>
        <w:t xml:space="preserve">dos Centros de Atenção Psicossocial (CAPS). </w:t>
      </w:r>
      <w:r w:rsidRPr="00434545">
        <w:rPr>
          <w:i/>
          <w:iCs/>
          <w:noProof/>
        </w:rPr>
        <w:t>Interface - Comunicação, Saúde, Educação</w:t>
      </w:r>
      <w:r w:rsidRPr="00434545">
        <w:rPr>
          <w:noProof/>
        </w:rPr>
        <w:t xml:space="preserve">, </w:t>
      </w:r>
      <w:r w:rsidRPr="00434545">
        <w:rPr>
          <w:i/>
          <w:iCs/>
          <w:noProof/>
        </w:rPr>
        <w:t>18</w:t>
      </w:r>
      <w:r w:rsidRPr="00434545">
        <w:rPr>
          <w:noProof/>
        </w:rPr>
        <w:t>(51), 685–696. https://doi.org/10.1590/1807-57622013.1007</w:t>
      </w:r>
    </w:p>
    <w:p w14:paraId="48A62551"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Guillemin, F. (1995). Cross-cultural Adaptation and Validation of Heatth Status Measures. </w:t>
      </w:r>
      <w:r w:rsidRPr="00434545">
        <w:rPr>
          <w:i/>
          <w:iCs/>
          <w:noProof/>
        </w:rPr>
        <w:t>Scandinavian Journal of Rheumatology</w:t>
      </w:r>
      <w:r w:rsidRPr="00434545">
        <w:rPr>
          <w:noProof/>
        </w:rPr>
        <w:t xml:space="preserve">, </w:t>
      </w:r>
      <w:r w:rsidRPr="00434545">
        <w:rPr>
          <w:i/>
          <w:iCs/>
          <w:noProof/>
        </w:rPr>
        <w:t>24</w:t>
      </w:r>
      <w:r w:rsidRPr="00434545">
        <w:rPr>
          <w:noProof/>
        </w:rPr>
        <w:t>(2), 61–63. https://doi.org/10.3109/03009749509099285</w:t>
      </w:r>
    </w:p>
    <w:p w14:paraId="28F266D9"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Hair, J. J. F., Andreson, R., Tatham, R., &amp; Black, W. C. (2005). </w:t>
      </w:r>
      <w:r w:rsidRPr="00434545">
        <w:rPr>
          <w:i/>
          <w:iCs/>
          <w:noProof/>
        </w:rPr>
        <w:t>Análise multivariada de dados</w:t>
      </w:r>
      <w:r w:rsidRPr="00434545">
        <w:rPr>
          <w:noProof/>
        </w:rPr>
        <w:t>. (Bookman, Ed.) (5th ed.). Porto Alegre: Grupo A - Bookman.</w:t>
      </w:r>
    </w:p>
    <w:p w14:paraId="7660652D"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Kidd, S. A., George, L., O’Connell, M., Sylvestre, J., Kirkpatrick, H., Browne, G., &amp; Thabane, L. (2010). Fidelity and Recovery-Orientation in Assertive Community Treatment. </w:t>
      </w:r>
      <w:r w:rsidRPr="00434545">
        <w:rPr>
          <w:i/>
          <w:iCs/>
          <w:noProof/>
        </w:rPr>
        <w:t xml:space="preserve">Community Ment Health J </w:t>
      </w:r>
      <w:r w:rsidRPr="00434545">
        <w:rPr>
          <w:noProof/>
        </w:rPr>
        <w:t xml:space="preserve">, </w:t>
      </w:r>
      <w:r w:rsidRPr="00434545">
        <w:rPr>
          <w:i/>
          <w:iCs/>
          <w:noProof/>
        </w:rPr>
        <w:t>46</w:t>
      </w:r>
      <w:r w:rsidRPr="00434545">
        <w:rPr>
          <w:noProof/>
        </w:rPr>
        <w:t>, 342–350. https://doi.org/10.1007/s10597-009-9275-7</w:t>
      </w:r>
    </w:p>
    <w:p w14:paraId="6B166116"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Konkolÿ Thege, B., Ham, E., &amp; Ball, L. C. (2017). A Factor Analytic Investigation of the Person-in-Recovery and Provider Versions of the Revised Recovery Self-Assessment (RSA-R). </w:t>
      </w:r>
      <w:r w:rsidRPr="00434545">
        <w:rPr>
          <w:i/>
          <w:iCs/>
          <w:noProof/>
        </w:rPr>
        <w:t>Evaluation &amp; the Health Professions</w:t>
      </w:r>
      <w:r w:rsidRPr="00434545">
        <w:rPr>
          <w:noProof/>
        </w:rPr>
        <w:t xml:space="preserve">, </w:t>
      </w:r>
      <w:r w:rsidRPr="00434545">
        <w:rPr>
          <w:i/>
          <w:iCs/>
          <w:noProof/>
        </w:rPr>
        <w:t>40</w:t>
      </w:r>
      <w:r w:rsidRPr="00434545">
        <w:rPr>
          <w:noProof/>
        </w:rPr>
        <w:t>(4), 505–516. https://doi.org/10.1177/0163278716674247</w:t>
      </w:r>
    </w:p>
    <w:p w14:paraId="54977F01"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Mead, S., &amp; Copeland, M. E. (2000). What Recovery Means to Us: Consumers’ Perspectives. </w:t>
      </w:r>
      <w:r w:rsidRPr="00434545">
        <w:rPr>
          <w:i/>
          <w:iCs/>
          <w:noProof/>
        </w:rPr>
        <w:t>Community Mental Health Journal</w:t>
      </w:r>
      <w:r w:rsidRPr="00434545">
        <w:rPr>
          <w:noProof/>
        </w:rPr>
        <w:t xml:space="preserve">, </w:t>
      </w:r>
      <w:r w:rsidRPr="00434545">
        <w:rPr>
          <w:i/>
          <w:iCs/>
          <w:noProof/>
        </w:rPr>
        <w:t>36</w:t>
      </w:r>
      <w:r w:rsidRPr="00434545">
        <w:rPr>
          <w:noProof/>
        </w:rPr>
        <w:t>(3), 315–328. https://doi.org/10.1023/A:1001917516869</w:t>
      </w:r>
    </w:p>
    <w:p w14:paraId="52F02680"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Mokkink, L. B., Terwee, C. B., Knol, D. L., Stratford, P. W., Alonso, J., Patrick, D. L., … de Vet, H. C. (2010). The COSMIN checklist for evaluating the methodological quality of studies on measurement properties: A clarification of its content. </w:t>
      </w:r>
      <w:r w:rsidRPr="00434545">
        <w:rPr>
          <w:i/>
          <w:iCs/>
          <w:noProof/>
        </w:rPr>
        <w:t>BMC Medical Research Methodology</w:t>
      </w:r>
      <w:r w:rsidRPr="00434545">
        <w:rPr>
          <w:noProof/>
        </w:rPr>
        <w:t xml:space="preserve">, </w:t>
      </w:r>
      <w:r w:rsidRPr="00434545">
        <w:rPr>
          <w:i/>
          <w:iCs/>
          <w:noProof/>
        </w:rPr>
        <w:t>10</w:t>
      </w:r>
      <w:r w:rsidRPr="00434545">
        <w:rPr>
          <w:noProof/>
        </w:rPr>
        <w:t>(1), 22. https://doi.org/10.1186/1471-2288-10-22</w:t>
      </w:r>
    </w:p>
    <w:p w14:paraId="6201CDDF"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Mokkink, L. B., Terwee, C. B., Patrick, D. L., Alonso, J., Stratford, P. W., Knol, D. L., … de Vet, H. C. W. (2010). The COSMIN checklist for assessing the methodological quality of studies on measurement properties of health status measurement instruments: an international Delphi study. </w:t>
      </w:r>
      <w:r w:rsidRPr="00434545">
        <w:rPr>
          <w:i/>
          <w:iCs/>
          <w:noProof/>
        </w:rPr>
        <w:t>Quality of Life Research</w:t>
      </w:r>
      <w:r w:rsidRPr="00434545">
        <w:rPr>
          <w:noProof/>
        </w:rPr>
        <w:t xml:space="preserve">, </w:t>
      </w:r>
      <w:r w:rsidRPr="00434545">
        <w:rPr>
          <w:i/>
          <w:iCs/>
          <w:noProof/>
        </w:rPr>
        <w:t>19</w:t>
      </w:r>
      <w:r w:rsidRPr="00434545">
        <w:rPr>
          <w:noProof/>
        </w:rPr>
        <w:t>(4), 539–549. https://doi.org/10.1007/s11136-010-9606-8</w:t>
      </w:r>
    </w:p>
    <w:p w14:paraId="7A43C7E3"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Mota, D. D. C. de F., &amp; Pimenta, C. A. de M. (2007). Avaliação e mensuração de variáveis psicossociais: desafio para pesquisa e clínica de enfermagem. </w:t>
      </w:r>
      <w:r w:rsidRPr="00434545">
        <w:rPr>
          <w:i/>
          <w:iCs/>
          <w:noProof/>
        </w:rPr>
        <w:t>Rev. Gaúch. Enferm</w:t>
      </w:r>
      <w:r w:rsidRPr="00434545">
        <w:rPr>
          <w:noProof/>
        </w:rPr>
        <w:t xml:space="preserve">, </w:t>
      </w:r>
      <w:r w:rsidRPr="00434545">
        <w:rPr>
          <w:i/>
          <w:iCs/>
          <w:noProof/>
        </w:rPr>
        <w:t>28</w:t>
      </w:r>
      <w:r w:rsidRPr="00434545">
        <w:rPr>
          <w:noProof/>
        </w:rPr>
        <w:t>(3), 309–314. Retrieved from http://bases.bireme.br/cgi-bin/wxislind.exe/iah/online/?IsisScript=iah/iah.xis&amp;src=google&amp;base=BDENF&amp;lang=p&amp;nextAction=lnk&amp;exprSearch=17249&amp;indexSearch=ID</w:t>
      </w:r>
    </w:p>
    <w:p w14:paraId="1558548A"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O’Connell, M. M., Tondora, J., Croog, G., Evans, A., &amp; Davidson, L. (2005). From Rhetoric to Routine: Assessing Perceptions of Recovery-Oriented Practices in a State Mental Health and Addiction System. </w:t>
      </w:r>
      <w:r w:rsidRPr="00434545">
        <w:rPr>
          <w:i/>
          <w:iCs/>
          <w:noProof/>
        </w:rPr>
        <w:t>Psychiatric Rehabilitation Journal</w:t>
      </w:r>
      <w:r w:rsidRPr="00434545">
        <w:rPr>
          <w:noProof/>
        </w:rPr>
        <w:t xml:space="preserve">, </w:t>
      </w:r>
      <w:r w:rsidRPr="00434545">
        <w:rPr>
          <w:i/>
          <w:iCs/>
          <w:noProof/>
        </w:rPr>
        <w:t>28</w:t>
      </w:r>
      <w:r w:rsidRPr="00434545">
        <w:rPr>
          <w:noProof/>
        </w:rPr>
        <w:t>(4), 378–386. Retrieved from http://psycnet-apa-org.ez88.periodicos.capes.gov.br/fulltext/2005-04063-010.pdf</w:t>
      </w:r>
    </w:p>
    <w:p w14:paraId="78AFFC62"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O’Connell, M., Tondora, J., Kidd, S., &amp; Stayner, D. (2007). RSA-R, person in recovery, family member/significant other, administrator/manager, and provider versions.</w:t>
      </w:r>
    </w:p>
    <w:p w14:paraId="12723C08"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Pituch KA, S. J. (2016). </w:t>
      </w:r>
      <w:r w:rsidRPr="00434545">
        <w:rPr>
          <w:i/>
          <w:iCs/>
          <w:noProof/>
        </w:rPr>
        <w:t xml:space="preserve">Applied multivariate statistics for the social sciences: Analyses with SAS and </w:t>
      </w:r>
      <w:r w:rsidRPr="00434545">
        <w:rPr>
          <w:i/>
          <w:iCs/>
          <w:noProof/>
        </w:rPr>
        <w:lastRenderedPageBreak/>
        <w:t>IBM’s SPSS.</w:t>
      </w:r>
      <w:r w:rsidRPr="00434545">
        <w:rPr>
          <w:noProof/>
        </w:rPr>
        <w:t xml:space="preserve"> (N. Y. T. &amp; Francis, Ed.) (6th ed. Ro).</w:t>
      </w:r>
    </w:p>
    <w:p w14:paraId="4375BF45"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Polit, D. F. (2015). Assessing measurement in health: Beyond reliability and validity. </w:t>
      </w:r>
      <w:r w:rsidRPr="00434545">
        <w:rPr>
          <w:i/>
          <w:iCs/>
          <w:noProof/>
        </w:rPr>
        <w:t>International Journal of Nursing Studies</w:t>
      </w:r>
      <w:r w:rsidRPr="00434545">
        <w:rPr>
          <w:noProof/>
        </w:rPr>
        <w:t xml:space="preserve">, </w:t>
      </w:r>
      <w:r w:rsidRPr="00434545">
        <w:rPr>
          <w:i/>
          <w:iCs/>
          <w:noProof/>
        </w:rPr>
        <w:t>52</w:t>
      </w:r>
      <w:r w:rsidRPr="00434545">
        <w:rPr>
          <w:noProof/>
        </w:rPr>
        <w:t>(11), 1746–1753. https://doi.org/10.1016/J.IJNURSTU.2015.07.002</w:t>
      </w:r>
    </w:p>
    <w:p w14:paraId="17379508"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Polit, D. F., &amp; Beck, C. T. (2006). The content validity index: Are you sure you know what’s being reported? critique and recommendations. </w:t>
      </w:r>
      <w:r w:rsidRPr="00434545">
        <w:rPr>
          <w:i/>
          <w:iCs/>
          <w:noProof/>
        </w:rPr>
        <w:t>Research in Nursing &amp; Health</w:t>
      </w:r>
      <w:r w:rsidRPr="00434545">
        <w:rPr>
          <w:noProof/>
        </w:rPr>
        <w:t xml:space="preserve">, </w:t>
      </w:r>
      <w:r w:rsidRPr="00434545">
        <w:rPr>
          <w:i/>
          <w:iCs/>
          <w:noProof/>
        </w:rPr>
        <w:t>29</w:t>
      </w:r>
      <w:r w:rsidRPr="00434545">
        <w:rPr>
          <w:noProof/>
        </w:rPr>
        <w:t>(5), 489–497. https://doi.org/10.1002/nur.20147</w:t>
      </w:r>
    </w:p>
    <w:p w14:paraId="4A5D1B03"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Prinsen, C. A. C., Vohra, S., Rose, M. R., Boers, M., Tugwell, P., Clarke, M., … Terwee, C. B. (2016). How to select outcome measurement instruments for outcomes included in a “Core Outcome Set” – a practical guideline. </w:t>
      </w:r>
      <w:r w:rsidRPr="00434545">
        <w:rPr>
          <w:i/>
          <w:iCs/>
          <w:noProof/>
        </w:rPr>
        <w:t>Trials 2016 17:1</w:t>
      </w:r>
      <w:r w:rsidRPr="00434545">
        <w:rPr>
          <w:noProof/>
        </w:rPr>
        <w:t xml:space="preserve">, </w:t>
      </w:r>
      <w:r w:rsidRPr="00434545">
        <w:rPr>
          <w:i/>
          <w:iCs/>
          <w:noProof/>
        </w:rPr>
        <w:t>17</w:t>
      </w:r>
      <w:r w:rsidRPr="00434545">
        <w:rPr>
          <w:noProof/>
        </w:rPr>
        <w:t>(1), 1–10. https://doi.org/10.1186/S13063-016-1555-2</w:t>
      </w:r>
    </w:p>
    <w:p w14:paraId="70E22A63"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Rosenberg, D., Svedberg, P., &amp; Schön, U.-K. (2015). Establishing a recovery orientation in mental health services: Evaluating the Recovery Self-Assessment (RSA) in a Swedish context. </w:t>
      </w:r>
      <w:r w:rsidRPr="00434545">
        <w:rPr>
          <w:i/>
          <w:iCs/>
          <w:noProof/>
        </w:rPr>
        <w:t>Psychiatric Rehabilitation Journal</w:t>
      </w:r>
      <w:r w:rsidRPr="00434545">
        <w:rPr>
          <w:noProof/>
        </w:rPr>
        <w:t>. https://doi.org/10.1037/prj0000150</w:t>
      </w:r>
    </w:p>
    <w:p w14:paraId="2F81122D"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Silva, L. L. P. da, Almeida, A. B. de, &amp; Amato, T. de C. (2019). A perspectiva dos profissionais sobre o processo de alta de pacientes do Caps-AD: critérios e dificuldades. </w:t>
      </w:r>
      <w:r w:rsidRPr="00434545">
        <w:rPr>
          <w:i/>
          <w:iCs/>
          <w:noProof/>
        </w:rPr>
        <w:t>Saúde Em Debate</w:t>
      </w:r>
      <w:r w:rsidRPr="00434545">
        <w:rPr>
          <w:noProof/>
        </w:rPr>
        <w:t xml:space="preserve">, </w:t>
      </w:r>
      <w:r w:rsidRPr="00434545">
        <w:rPr>
          <w:i/>
          <w:iCs/>
          <w:noProof/>
        </w:rPr>
        <w:t>43</w:t>
      </w:r>
      <w:r w:rsidRPr="00434545">
        <w:rPr>
          <w:noProof/>
        </w:rPr>
        <w:t>(122), 819–835. https://doi.org/10.1590/0103-1104201912213</w:t>
      </w:r>
    </w:p>
    <w:p w14:paraId="05A305B8"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Souza, A. C. de, Alexandre, N. M. C., &amp; Guirardello, E. de B. (2017). Propriedades psicométricas na avaliação de instrumentos: avaliação da confiabilidade e da validade. </w:t>
      </w:r>
      <w:r w:rsidRPr="00434545">
        <w:rPr>
          <w:i/>
          <w:iCs/>
          <w:noProof/>
        </w:rPr>
        <w:t>Epidemiologia e Serviços de Saúde</w:t>
      </w:r>
      <w:r w:rsidRPr="00434545">
        <w:rPr>
          <w:noProof/>
        </w:rPr>
        <w:t xml:space="preserve">, </w:t>
      </w:r>
      <w:r w:rsidRPr="00434545">
        <w:rPr>
          <w:i/>
          <w:iCs/>
          <w:noProof/>
        </w:rPr>
        <w:t>26</w:t>
      </w:r>
      <w:r w:rsidRPr="00434545">
        <w:rPr>
          <w:noProof/>
        </w:rPr>
        <w:t>(3), 649–659. https://doi.org/10.5123/S1679-49742017000300022</w:t>
      </w:r>
    </w:p>
    <w:p w14:paraId="5A1F0E40"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The SAS System. (2013). The SAS System for Windows (Statistical Analysis System), versão 9.4. SAS Institute Inc, Cary, NC, USA.</w:t>
      </w:r>
    </w:p>
    <w:p w14:paraId="7472A61B" w14:textId="77777777" w:rsidR="00434545" w:rsidRPr="00434545" w:rsidRDefault="00434545" w:rsidP="001548F4">
      <w:pPr>
        <w:widowControl w:val="0"/>
        <w:autoSpaceDE w:val="0"/>
        <w:autoSpaceDN w:val="0"/>
        <w:adjustRightInd w:val="0"/>
        <w:ind w:left="142" w:right="-279" w:hanging="284"/>
        <w:jc w:val="both"/>
        <w:rPr>
          <w:noProof/>
        </w:rPr>
      </w:pPr>
      <w:r w:rsidRPr="00434545">
        <w:rPr>
          <w:noProof/>
        </w:rPr>
        <w:t xml:space="preserve">Wild, D., Grove, A., Martin, M., Eremenco, S., McElroy, S., Verjee-Lorenz, A., &amp; Erikson, P. (2005). Principles of Good Practice for the Translation and Cultural Adaptation Process for Patient-Reported Outcomes (PRO) Measures: Report of the ISPOR Task Force for Translation and Cultural Adaptation. </w:t>
      </w:r>
      <w:r w:rsidRPr="00434545">
        <w:rPr>
          <w:i/>
          <w:iCs/>
          <w:noProof/>
        </w:rPr>
        <w:t>Value in Health</w:t>
      </w:r>
      <w:r w:rsidRPr="00434545">
        <w:rPr>
          <w:noProof/>
        </w:rPr>
        <w:t xml:space="preserve">, </w:t>
      </w:r>
      <w:r w:rsidRPr="00434545">
        <w:rPr>
          <w:i/>
          <w:iCs/>
          <w:noProof/>
        </w:rPr>
        <w:t>8</w:t>
      </w:r>
      <w:r w:rsidRPr="00434545">
        <w:rPr>
          <w:noProof/>
        </w:rPr>
        <w:t>(2), 94–104. https://doi.org/10.1111/j.1524-4733.2005.04054.x</w:t>
      </w:r>
    </w:p>
    <w:p w14:paraId="5CA55FC8" w14:textId="5413F75F" w:rsidR="001548F4" w:rsidRDefault="00434545" w:rsidP="001548F4">
      <w:pPr>
        <w:pStyle w:val="Prrafocomn"/>
        <w:spacing w:line="240" w:lineRule="auto"/>
        <w:ind w:left="142" w:right="-279" w:hanging="284"/>
        <w:rPr>
          <w:lang w:val="pt-BR"/>
        </w:rPr>
      </w:pPr>
      <w:r>
        <w:rPr>
          <w:lang w:val="pt-BR"/>
        </w:rPr>
        <w:fldChar w:fldCharType="end"/>
      </w:r>
    </w:p>
    <w:p w14:paraId="1D05CB0F" w14:textId="024BC63C" w:rsidR="001548F4" w:rsidRDefault="001548F4" w:rsidP="001548F4">
      <w:pPr>
        <w:pStyle w:val="Prrafocomn"/>
        <w:spacing w:line="240" w:lineRule="auto"/>
        <w:rPr>
          <w:lang w:val="pt-BR"/>
        </w:rPr>
      </w:pPr>
    </w:p>
    <w:p w14:paraId="7164907F" w14:textId="77777777" w:rsidR="001548F4" w:rsidRPr="00E25900" w:rsidRDefault="001548F4" w:rsidP="001548F4">
      <w:pPr>
        <w:shd w:val="clear" w:color="auto" w:fill="FFFFFF"/>
        <w:jc w:val="right"/>
        <w:rPr>
          <w:i/>
          <w:iCs/>
          <w:sz w:val="20"/>
          <w:szCs w:val="20"/>
          <w:lang w:val="es-AR"/>
        </w:rPr>
      </w:pPr>
      <w:r w:rsidRPr="00082D68">
        <w:rPr>
          <w:i/>
          <w:iCs/>
          <w:sz w:val="20"/>
          <w:szCs w:val="20"/>
          <w:lang w:val="es-AR"/>
        </w:rPr>
        <w:t xml:space="preserve">Received: </w:t>
      </w:r>
    </w:p>
    <w:p w14:paraId="3A083D4A" w14:textId="77777777" w:rsidR="001548F4" w:rsidRPr="00082D68" w:rsidRDefault="001548F4" w:rsidP="001548F4">
      <w:pPr>
        <w:shd w:val="clear" w:color="auto" w:fill="FFFFFF"/>
        <w:jc w:val="right"/>
        <w:rPr>
          <w:i/>
          <w:sz w:val="28"/>
          <w:szCs w:val="28"/>
          <w:lang w:val="es-AR"/>
        </w:rPr>
      </w:pPr>
      <w:r w:rsidRPr="00E25900">
        <w:rPr>
          <w:i/>
          <w:iCs/>
          <w:sz w:val="20"/>
          <w:szCs w:val="20"/>
          <w:lang w:val="es-AR"/>
        </w:rPr>
        <w:t>Accepted:</w:t>
      </w:r>
    </w:p>
    <w:p w14:paraId="44C8DB2F" w14:textId="6924221D" w:rsidR="00CE7D65" w:rsidRPr="00E25900" w:rsidRDefault="00CE7D65" w:rsidP="001548F4">
      <w:pPr>
        <w:pStyle w:val="Prrafocomn"/>
        <w:spacing w:line="240" w:lineRule="auto"/>
      </w:pPr>
    </w:p>
    <w:sectPr w:rsidR="00CE7D65" w:rsidRPr="00E25900"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C822C" w14:textId="77777777" w:rsidR="000072A2" w:rsidRDefault="000072A2" w:rsidP="00C413D4">
      <w:r>
        <w:separator/>
      </w:r>
    </w:p>
  </w:endnote>
  <w:endnote w:type="continuationSeparator" w:id="0">
    <w:p w14:paraId="29BF0774" w14:textId="77777777" w:rsidR="000072A2" w:rsidRDefault="000072A2"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0000000000000000000"/>
    <w:charset w:val="80"/>
    <w:family w:val="roman"/>
    <w:notTrueType/>
    <w:pitch w:val="default"/>
  </w:font>
  <w:font w:name="Cardo">
    <w:altName w:val="Times New Roman"/>
    <w:charset w:val="00"/>
    <w:family w:val="auto"/>
    <w:pitch w:val="default"/>
  </w:font>
  <w:font w:name="Gungsuh">
    <w:altName w:val="Times New Roman"/>
    <w:charset w:val="00"/>
    <w:family w:val="auto"/>
    <w:pitch w:val="default"/>
  </w:font>
  <w:font w:name="Times New Roman (Body C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EF6B7D" w:rsidRDefault="00EF6B7D"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F3495">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EF6B7D" w:rsidRDefault="00EF6B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EF6B7D" w:rsidRDefault="00EF6B7D"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1F349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E421D5C" w14:textId="77777777" w:rsidR="00EF6B7D" w:rsidRDefault="00EF6B7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8062D" w14:textId="77777777" w:rsidR="000072A2" w:rsidRDefault="000072A2" w:rsidP="00C413D4">
      <w:r>
        <w:separator/>
      </w:r>
    </w:p>
  </w:footnote>
  <w:footnote w:type="continuationSeparator" w:id="0">
    <w:p w14:paraId="219DD510" w14:textId="77777777" w:rsidR="000072A2" w:rsidRDefault="000072A2" w:rsidP="00C4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20193" w14:textId="7B62876B" w:rsidR="00EF6B7D" w:rsidRPr="001566F6" w:rsidRDefault="00EF6B7D"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0CEF" w14:textId="2BDE3CB7" w:rsidR="00EF6B7D" w:rsidRDefault="00EF6B7D"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EF6B7D" w:rsidRPr="0027261B" w:rsidRDefault="00EF6B7D"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99406CA"/>
    <w:lvl w:ilvl="0">
      <w:start w:val="1"/>
      <w:numFmt w:val="decimal"/>
      <w:lvlText w:val="%1."/>
      <w:lvlJc w:val="left"/>
      <w:pPr>
        <w:tabs>
          <w:tab w:val="num" w:pos="1492"/>
        </w:tabs>
        <w:ind w:left="1492" w:hanging="360"/>
      </w:pPr>
    </w:lvl>
  </w:abstractNum>
  <w:abstractNum w:abstractNumId="1">
    <w:nsid w:val="FFFFFF7D"/>
    <w:multiLevelType w:val="singleLevel"/>
    <w:tmpl w:val="30220520"/>
    <w:lvl w:ilvl="0">
      <w:start w:val="1"/>
      <w:numFmt w:val="decimal"/>
      <w:lvlText w:val="%1."/>
      <w:lvlJc w:val="left"/>
      <w:pPr>
        <w:tabs>
          <w:tab w:val="num" w:pos="1209"/>
        </w:tabs>
        <w:ind w:left="1209" w:hanging="360"/>
      </w:pPr>
    </w:lvl>
  </w:abstractNum>
  <w:abstractNum w:abstractNumId="2">
    <w:nsid w:val="FFFFFF7E"/>
    <w:multiLevelType w:val="singleLevel"/>
    <w:tmpl w:val="AE127B42"/>
    <w:lvl w:ilvl="0">
      <w:start w:val="1"/>
      <w:numFmt w:val="decimal"/>
      <w:lvlText w:val="%1."/>
      <w:lvlJc w:val="left"/>
      <w:pPr>
        <w:tabs>
          <w:tab w:val="num" w:pos="926"/>
        </w:tabs>
        <w:ind w:left="926" w:hanging="360"/>
      </w:pPr>
    </w:lvl>
  </w:abstractNum>
  <w:abstractNum w:abstractNumId="3">
    <w:nsid w:val="FFFFFF7F"/>
    <w:multiLevelType w:val="singleLevel"/>
    <w:tmpl w:val="C5560D58"/>
    <w:lvl w:ilvl="0">
      <w:start w:val="1"/>
      <w:numFmt w:val="decimal"/>
      <w:lvlText w:val="%1."/>
      <w:lvlJc w:val="left"/>
      <w:pPr>
        <w:tabs>
          <w:tab w:val="num" w:pos="643"/>
        </w:tabs>
        <w:ind w:left="643" w:hanging="360"/>
      </w:pPr>
    </w:lvl>
  </w:abstractNum>
  <w:abstractNum w:abstractNumId="4">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72AF8DA"/>
    <w:lvl w:ilvl="0">
      <w:start w:val="1"/>
      <w:numFmt w:val="decimal"/>
      <w:lvlText w:val="%1."/>
      <w:lvlJc w:val="left"/>
      <w:pPr>
        <w:tabs>
          <w:tab w:val="num" w:pos="360"/>
        </w:tabs>
        <w:ind w:left="360" w:hanging="360"/>
      </w:pPr>
    </w:lvl>
  </w:abstractNum>
  <w:abstractNum w:abstractNumId="9">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72A2"/>
    <w:rsid w:val="000365CA"/>
    <w:rsid w:val="0005318E"/>
    <w:rsid w:val="00076F0A"/>
    <w:rsid w:val="00082D68"/>
    <w:rsid w:val="000E3B16"/>
    <w:rsid w:val="000E7495"/>
    <w:rsid w:val="00107993"/>
    <w:rsid w:val="001253E7"/>
    <w:rsid w:val="00127870"/>
    <w:rsid w:val="001516ED"/>
    <w:rsid w:val="00153DC5"/>
    <w:rsid w:val="001548F4"/>
    <w:rsid w:val="001566F6"/>
    <w:rsid w:val="001F3495"/>
    <w:rsid w:val="001F7509"/>
    <w:rsid w:val="00216AFF"/>
    <w:rsid w:val="00233A30"/>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46C"/>
    <w:rsid w:val="00302C5C"/>
    <w:rsid w:val="00305D67"/>
    <w:rsid w:val="003909A7"/>
    <w:rsid w:val="003C4AA4"/>
    <w:rsid w:val="003D21B8"/>
    <w:rsid w:val="003E4B06"/>
    <w:rsid w:val="0042142D"/>
    <w:rsid w:val="00430C97"/>
    <w:rsid w:val="00434545"/>
    <w:rsid w:val="00447E89"/>
    <w:rsid w:val="00470699"/>
    <w:rsid w:val="00475FC0"/>
    <w:rsid w:val="00483D6B"/>
    <w:rsid w:val="0048651A"/>
    <w:rsid w:val="004C0823"/>
    <w:rsid w:val="004C6EAB"/>
    <w:rsid w:val="004D5719"/>
    <w:rsid w:val="00510E52"/>
    <w:rsid w:val="00542090"/>
    <w:rsid w:val="00576894"/>
    <w:rsid w:val="0059034C"/>
    <w:rsid w:val="00594317"/>
    <w:rsid w:val="005B24FF"/>
    <w:rsid w:val="005B5614"/>
    <w:rsid w:val="0061199D"/>
    <w:rsid w:val="006937D3"/>
    <w:rsid w:val="006A1BA2"/>
    <w:rsid w:val="006B0812"/>
    <w:rsid w:val="006B088F"/>
    <w:rsid w:val="006C21BC"/>
    <w:rsid w:val="006F6924"/>
    <w:rsid w:val="006F7E7E"/>
    <w:rsid w:val="00700F77"/>
    <w:rsid w:val="00704ECD"/>
    <w:rsid w:val="00724F5C"/>
    <w:rsid w:val="00742E4A"/>
    <w:rsid w:val="00770AE4"/>
    <w:rsid w:val="00795D57"/>
    <w:rsid w:val="007A7C7C"/>
    <w:rsid w:val="007A7CDC"/>
    <w:rsid w:val="007B7975"/>
    <w:rsid w:val="007C3C14"/>
    <w:rsid w:val="007E34D6"/>
    <w:rsid w:val="007E3B8D"/>
    <w:rsid w:val="008114AC"/>
    <w:rsid w:val="008151AB"/>
    <w:rsid w:val="00816268"/>
    <w:rsid w:val="00824D3A"/>
    <w:rsid w:val="00863414"/>
    <w:rsid w:val="00872EFD"/>
    <w:rsid w:val="00880120"/>
    <w:rsid w:val="008B0F10"/>
    <w:rsid w:val="008C409A"/>
    <w:rsid w:val="008C775E"/>
    <w:rsid w:val="008D509E"/>
    <w:rsid w:val="008F0A77"/>
    <w:rsid w:val="009032D5"/>
    <w:rsid w:val="00903DEB"/>
    <w:rsid w:val="00977250"/>
    <w:rsid w:val="00993241"/>
    <w:rsid w:val="009A583F"/>
    <w:rsid w:val="009B3EF3"/>
    <w:rsid w:val="009D2551"/>
    <w:rsid w:val="009E719C"/>
    <w:rsid w:val="00A06E0D"/>
    <w:rsid w:val="00A30790"/>
    <w:rsid w:val="00A32751"/>
    <w:rsid w:val="00A457D0"/>
    <w:rsid w:val="00A516C7"/>
    <w:rsid w:val="00A62218"/>
    <w:rsid w:val="00A741BB"/>
    <w:rsid w:val="00A871FB"/>
    <w:rsid w:val="00AC0FD7"/>
    <w:rsid w:val="00AD3238"/>
    <w:rsid w:val="00AE48D4"/>
    <w:rsid w:val="00AF6F4D"/>
    <w:rsid w:val="00B02133"/>
    <w:rsid w:val="00B06283"/>
    <w:rsid w:val="00B35B61"/>
    <w:rsid w:val="00B511FB"/>
    <w:rsid w:val="00B60E75"/>
    <w:rsid w:val="00B6522A"/>
    <w:rsid w:val="00B74D71"/>
    <w:rsid w:val="00B83A6E"/>
    <w:rsid w:val="00B845A1"/>
    <w:rsid w:val="00B9678D"/>
    <w:rsid w:val="00BC2AFB"/>
    <w:rsid w:val="00BD26F5"/>
    <w:rsid w:val="00BF59E7"/>
    <w:rsid w:val="00C1153E"/>
    <w:rsid w:val="00C413D4"/>
    <w:rsid w:val="00C43335"/>
    <w:rsid w:val="00C64ECF"/>
    <w:rsid w:val="00C84812"/>
    <w:rsid w:val="00CA3BFF"/>
    <w:rsid w:val="00CA3C92"/>
    <w:rsid w:val="00CD7EC5"/>
    <w:rsid w:val="00CE7D65"/>
    <w:rsid w:val="00CF4E1F"/>
    <w:rsid w:val="00CF5D21"/>
    <w:rsid w:val="00D041DE"/>
    <w:rsid w:val="00D609BB"/>
    <w:rsid w:val="00D94A3F"/>
    <w:rsid w:val="00DB4A71"/>
    <w:rsid w:val="00DB6400"/>
    <w:rsid w:val="00DE1119"/>
    <w:rsid w:val="00DE7EB8"/>
    <w:rsid w:val="00E23C9E"/>
    <w:rsid w:val="00E25900"/>
    <w:rsid w:val="00E26883"/>
    <w:rsid w:val="00E3671F"/>
    <w:rsid w:val="00E416F6"/>
    <w:rsid w:val="00E449A9"/>
    <w:rsid w:val="00E55124"/>
    <w:rsid w:val="00E7691D"/>
    <w:rsid w:val="00E97D42"/>
    <w:rsid w:val="00EA6646"/>
    <w:rsid w:val="00EB213C"/>
    <w:rsid w:val="00EC3F91"/>
    <w:rsid w:val="00ED2663"/>
    <w:rsid w:val="00EF6B7D"/>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autoRedefine/>
    <w:qFormat/>
    <w:rsid w:val="008F0A77"/>
    <w:pPr>
      <w:keepNext/>
      <w:spacing w:after="720" w:line="259" w:lineRule="auto"/>
      <w:outlineLvl w:val="0"/>
    </w:pPr>
    <w:rPr>
      <w:rFonts w:ascii="Arial" w:eastAsia="Calibri" w:hAnsi="Arial" w:cs="Arial"/>
      <w:b/>
      <w:sz w:val="28"/>
      <w:szCs w:val="28"/>
      <w:lang w:val="en-US" w:eastAsia="pt-BR"/>
    </w:rPr>
  </w:style>
  <w:style w:type="paragraph" w:styleId="Ttulo2">
    <w:name w:val="heading 2"/>
    <w:basedOn w:val="Normal"/>
    <w:next w:val="Normal"/>
    <w:link w:val="Ttulo2Char"/>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autoRedefine/>
    <w:qFormat/>
    <w:rsid w:val="008F0A77"/>
    <w:pPr>
      <w:keepNext/>
      <w:spacing w:before="600" w:after="600" w:line="259" w:lineRule="auto"/>
      <w:outlineLvl w:val="2"/>
    </w:pPr>
    <w:rPr>
      <w:rFonts w:ascii="Arial" w:eastAsia="Calibri" w:hAnsi="Arial" w:cs="Calibri"/>
      <w:b/>
      <w:sz w:val="26"/>
      <w:szCs w:val="28"/>
      <w:lang w:val="en-US" w:eastAsia="pt-BR"/>
    </w:rPr>
  </w:style>
  <w:style w:type="paragraph" w:styleId="Ttulo4">
    <w:name w:val="heading 4"/>
    <w:basedOn w:val="Normal"/>
    <w:next w:val="Normal"/>
    <w:link w:val="Ttulo4Char"/>
    <w:rsid w:val="008F0A77"/>
    <w:pPr>
      <w:keepNext/>
      <w:keepLines/>
      <w:spacing w:before="240" w:after="40" w:line="259" w:lineRule="auto"/>
      <w:outlineLvl w:val="3"/>
    </w:pPr>
    <w:rPr>
      <w:rFonts w:ascii="Calibri" w:eastAsia="Calibri" w:hAnsi="Calibri" w:cs="Calibri"/>
      <w:b/>
      <w:lang w:val="en-US" w:eastAsia="pt-BR"/>
    </w:rPr>
  </w:style>
  <w:style w:type="paragraph" w:styleId="Ttulo5">
    <w:name w:val="heading 5"/>
    <w:basedOn w:val="Normal"/>
    <w:next w:val="Normal"/>
    <w:link w:val="Ttulo5Char"/>
    <w:autoRedefine/>
    <w:qFormat/>
    <w:rsid w:val="008F0A77"/>
    <w:pPr>
      <w:spacing w:before="120" w:after="120" w:line="360" w:lineRule="auto"/>
      <w:ind w:firstLine="1134"/>
      <w:jc w:val="both"/>
      <w:outlineLvl w:val="4"/>
    </w:pPr>
    <w:rPr>
      <w:rFonts w:ascii="Arial" w:eastAsia="Calibri" w:hAnsi="Arial" w:cs="Calibri"/>
      <w:szCs w:val="22"/>
      <w:lang w:val="en-US" w:eastAsia="pt-BR"/>
    </w:rPr>
  </w:style>
  <w:style w:type="paragraph" w:styleId="Ttulo6">
    <w:name w:val="heading 6"/>
    <w:basedOn w:val="Normal"/>
    <w:next w:val="Normal"/>
    <w:link w:val="Ttulo6Char"/>
    <w:rsid w:val="008F0A77"/>
    <w:pPr>
      <w:keepNext/>
      <w:keepLines/>
      <w:spacing w:before="200" w:after="40" w:line="259" w:lineRule="auto"/>
      <w:outlineLvl w:val="5"/>
    </w:pPr>
    <w:rPr>
      <w:rFonts w:ascii="Calibri" w:eastAsia="Calibri" w:hAnsi="Calibri" w:cs="Calibri"/>
      <w:b/>
      <w:sz w:val="20"/>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unhideWhenUsed/>
    <w:rsid w:val="00C413D4"/>
    <w:rPr>
      <w:sz w:val="20"/>
      <w:szCs w:val="20"/>
    </w:rPr>
  </w:style>
  <w:style w:type="character" w:customStyle="1" w:styleId="TextodenotaderodapChar">
    <w:name w:val="Texto de nota de rodapé Char"/>
    <w:basedOn w:val="Fontepargpadro"/>
    <w:link w:val="Textodenotaderodap"/>
    <w:uiPriority w:val="99"/>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AF6F4D"/>
    <w:pPr>
      <w:spacing w:before="100" w:beforeAutospacing="1" w:after="100" w:afterAutospacing="1" w:line="360" w:lineRule="auto"/>
      <w:contextualSpacing/>
      <w:jc w:val="both"/>
      <w:outlineLvl w:val="1"/>
    </w:pPr>
    <w:rPr>
      <w:rFonts w:eastAsia="Calibri"/>
      <w:b/>
      <w:lang w:val="en-US"/>
    </w:rPr>
  </w:style>
  <w:style w:type="paragraph" w:customStyle="1" w:styleId="TtuloResumen">
    <w:name w:val="Título Resumen"/>
    <w:basedOn w:val="Normal"/>
    <w:link w:val="TtuloResumenCar"/>
    <w:autoRedefine/>
    <w:qFormat/>
    <w:rsid w:val="00D041DE"/>
    <w:pPr>
      <w:spacing w:after="120"/>
      <w:jc w:val="center"/>
      <w:outlineLvl w:val="0"/>
    </w:pPr>
    <w:rPr>
      <w:b/>
      <w:smallCaps/>
      <w:lang w:val="es-A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1548F4"/>
    <w:pPr>
      <w:jc w:val="center"/>
      <w:outlineLvl w:val="0"/>
    </w:pPr>
    <w:rPr>
      <w:b/>
      <w:noProof/>
      <w:sz w:val="28"/>
      <w:szCs w:val="28"/>
      <w:lang w:val="es-AR"/>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1548F4"/>
    <w:rPr>
      <w:rFonts w:ascii="Times New Roman" w:eastAsia="Times New Roman" w:hAnsi="Times New Roman" w:cs="Times New Roman"/>
      <w:b/>
      <w:noProof/>
      <w:sz w:val="28"/>
      <w:szCs w:val="28"/>
      <w:lang w:val="es-AR"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D041DE"/>
    <w:rPr>
      <w:rFonts w:ascii="Times New Roman" w:eastAsia="Times New Roman" w:hAnsi="Times New Roman" w:cs="Times New Roman"/>
      <w:b/>
      <w:smallCaps/>
      <w:lang w:val="es-AR" w:eastAsia="es-ES_tradnl"/>
    </w:rPr>
  </w:style>
  <w:style w:type="character" w:customStyle="1" w:styleId="UnresolvedMention">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4C6EAB"/>
    <w:rPr>
      <w:sz w:val="16"/>
      <w:szCs w:val="16"/>
    </w:rPr>
  </w:style>
  <w:style w:type="paragraph" w:styleId="Textodecomentrio">
    <w:name w:val="annotation text"/>
    <w:basedOn w:val="Normal"/>
    <w:link w:val="TextodecomentrioChar"/>
    <w:uiPriority w:val="99"/>
    <w:unhideWhenUsed/>
    <w:rsid w:val="00AF6F4D"/>
    <w:pPr>
      <w:spacing w:after="160"/>
    </w:pPr>
    <w:rPr>
      <w:rFonts w:ascii="Calibri" w:eastAsia="Calibri" w:hAnsi="Calibri" w:cs="Calibri"/>
      <w:sz w:val="20"/>
      <w:szCs w:val="20"/>
      <w:lang w:val="en-US" w:eastAsia="pt-BR"/>
    </w:rPr>
  </w:style>
  <w:style w:type="character" w:customStyle="1" w:styleId="TextodecomentrioChar">
    <w:name w:val="Texto de comentário Char"/>
    <w:basedOn w:val="Fontepargpadro"/>
    <w:link w:val="Textodecomentrio"/>
    <w:uiPriority w:val="99"/>
    <w:rsid w:val="00AF6F4D"/>
    <w:rPr>
      <w:rFonts w:ascii="Calibri" w:eastAsia="Calibri" w:hAnsi="Calibri" w:cs="Calibri"/>
      <w:sz w:val="20"/>
      <w:szCs w:val="20"/>
      <w:lang w:eastAsia="pt-BR"/>
    </w:rPr>
  </w:style>
  <w:style w:type="character" w:customStyle="1" w:styleId="Ttulo1Char">
    <w:name w:val="Título 1 Char"/>
    <w:basedOn w:val="Fontepargpadro"/>
    <w:link w:val="Ttulo1"/>
    <w:rsid w:val="008F0A77"/>
    <w:rPr>
      <w:rFonts w:ascii="Arial" w:eastAsia="Calibri" w:hAnsi="Arial" w:cs="Arial"/>
      <w:b/>
      <w:sz w:val="28"/>
      <w:szCs w:val="28"/>
      <w:lang w:eastAsia="pt-BR"/>
    </w:rPr>
  </w:style>
  <w:style w:type="character" w:customStyle="1" w:styleId="Ttulo3Char">
    <w:name w:val="Título 3 Char"/>
    <w:basedOn w:val="Fontepargpadro"/>
    <w:link w:val="Ttulo3"/>
    <w:rsid w:val="008F0A77"/>
    <w:rPr>
      <w:rFonts w:ascii="Arial" w:eastAsia="Calibri" w:hAnsi="Arial" w:cs="Calibri"/>
      <w:b/>
      <w:sz w:val="26"/>
      <w:szCs w:val="28"/>
      <w:lang w:eastAsia="pt-BR"/>
    </w:rPr>
  </w:style>
  <w:style w:type="character" w:customStyle="1" w:styleId="Ttulo4Char">
    <w:name w:val="Título 4 Char"/>
    <w:basedOn w:val="Fontepargpadro"/>
    <w:link w:val="Ttulo4"/>
    <w:rsid w:val="008F0A77"/>
    <w:rPr>
      <w:rFonts w:ascii="Calibri" w:eastAsia="Calibri" w:hAnsi="Calibri" w:cs="Calibri"/>
      <w:b/>
      <w:lang w:eastAsia="pt-BR"/>
    </w:rPr>
  </w:style>
  <w:style w:type="character" w:customStyle="1" w:styleId="Ttulo5Char">
    <w:name w:val="Título 5 Char"/>
    <w:basedOn w:val="Fontepargpadro"/>
    <w:link w:val="Ttulo5"/>
    <w:rsid w:val="008F0A77"/>
    <w:rPr>
      <w:rFonts w:ascii="Arial" w:eastAsia="Calibri" w:hAnsi="Arial" w:cs="Calibri"/>
      <w:szCs w:val="22"/>
      <w:lang w:eastAsia="pt-BR"/>
    </w:rPr>
  </w:style>
  <w:style w:type="character" w:customStyle="1" w:styleId="Ttulo6Char">
    <w:name w:val="Título 6 Char"/>
    <w:basedOn w:val="Fontepargpadro"/>
    <w:link w:val="Ttulo6"/>
    <w:rsid w:val="008F0A77"/>
    <w:rPr>
      <w:rFonts w:ascii="Calibri" w:eastAsia="Calibri" w:hAnsi="Calibri" w:cs="Calibri"/>
      <w:b/>
      <w:sz w:val="20"/>
      <w:szCs w:val="20"/>
      <w:lang w:eastAsia="pt-BR"/>
    </w:rPr>
  </w:style>
  <w:style w:type="paragraph" w:styleId="Ttulo">
    <w:name w:val="Title"/>
    <w:basedOn w:val="Normal"/>
    <w:next w:val="Normal"/>
    <w:link w:val="TtuloChar"/>
    <w:rsid w:val="008F0A77"/>
    <w:pPr>
      <w:keepNext/>
      <w:keepLines/>
      <w:spacing w:before="480" w:after="120" w:line="259" w:lineRule="auto"/>
    </w:pPr>
    <w:rPr>
      <w:rFonts w:ascii="Calibri" w:eastAsia="Calibri" w:hAnsi="Calibri" w:cs="Calibri"/>
      <w:b/>
      <w:sz w:val="72"/>
      <w:szCs w:val="72"/>
      <w:lang w:val="en-US" w:eastAsia="pt-BR"/>
    </w:rPr>
  </w:style>
  <w:style w:type="character" w:customStyle="1" w:styleId="TtuloChar">
    <w:name w:val="Título Char"/>
    <w:basedOn w:val="Fontepargpadro"/>
    <w:link w:val="Ttulo"/>
    <w:rsid w:val="008F0A77"/>
    <w:rPr>
      <w:rFonts w:ascii="Calibri" w:eastAsia="Calibri" w:hAnsi="Calibri" w:cs="Calibri"/>
      <w:b/>
      <w:sz w:val="72"/>
      <w:szCs w:val="72"/>
      <w:lang w:eastAsia="pt-BR"/>
    </w:rPr>
  </w:style>
  <w:style w:type="paragraph" w:styleId="Subttulo">
    <w:name w:val="Subtitle"/>
    <w:basedOn w:val="Normal"/>
    <w:next w:val="Normal"/>
    <w:link w:val="SubttuloChar"/>
    <w:rsid w:val="008F0A77"/>
    <w:pPr>
      <w:keepNext/>
      <w:keepLines/>
      <w:spacing w:before="360" w:after="80" w:line="259" w:lineRule="auto"/>
    </w:pPr>
    <w:rPr>
      <w:rFonts w:ascii="Georgia" w:eastAsia="Georgia" w:hAnsi="Georgia" w:cs="Georgia"/>
      <w:i/>
      <w:color w:val="666666"/>
      <w:sz w:val="48"/>
      <w:szCs w:val="48"/>
      <w:lang w:val="en-US" w:eastAsia="pt-BR"/>
    </w:rPr>
  </w:style>
  <w:style w:type="character" w:customStyle="1" w:styleId="SubttuloChar">
    <w:name w:val="Subtítulo Char"/>
    <w:basedOn w:val="Fontepargpadro"/>
    <w:link w:val="Subttulo"/>
    <w:rsid w:val="008F0A77"/>
    <w:rPr>
      <w:rFonts w:ascii="Georgia" w:eastAsia="Georgia" w:hAnsi="Georgia" w:cs="Georgia"/>
      <w:i/>
      <w:color w:val="666666"/>
      <w:sz w:val="48"/>
      <w:szCs w:val="48"/>
      <w:lang w:eastAsia="pt-BR"/>
    </w:rPr>
  </w:style>
  <w:style w:type="table" w:customStyle="1" w:styleId="35">
    <w:name w:val="35"/>
    <w:basedOn w:val="TableNormal"/>
    <w:rsid w:val="008F0A77"/>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w:eastAsia="Calibri" w:hAnsi="Calibri" w:cs="Calibri"/>
      <w:sz w:val="22"/>
      <w:szCs w:val="22"/>
      <w:bdr w:val="none" w:sz="0" w:space="0" w:color="auto"/>
      <w:lang w:val="en-US" w:eastAsia="pt-BR"/>
    </w:rPr>
    <w:tblPr>
      <w:tblStyleRowBandSize w:val="1"/>
      <w:tblStyleColBandSize w:val="1"/>
      <w:tblInd w:w="0" w:type="dxa"/>
      <w:tblCellMar>
        <w:top w:w="100" w:type="dxa"/>
        <w:left w:w="100" w:type="dxa"/>
        <w:bottom w:w="100" w:type="dxa"/>
        <w:right w:w="100" w:type="dxa"/>
      </w:tblCellMar>
    </w:tblPr>
  </w:style>
  <w:style w:type="table" w:customStyle="1" w:styleId="34">
    <w:name w:val="34"/>
    <w:basedOn w:val="TableNormal"/>
    <w:rsid w:val="008F0A77"/>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w:eastAsia="Calibri" w:hAnsi="Calibri" w:cs="Calibri"/>
      <w:sz w:val="22"/>
      <w:szCs w:val="22"/>
      <w:bdr w:val="none" w:sz="0" w:space="0" w:color="auto"/>
      <w:lang w:val="en-US" w:eastAsia="pt-BR"/>
    </w:rPr>
    <w:tblPr>
      <w:tblStyleRowBandSize w:val="1"/>
      <w:tblStyleColBandSize w:val="1"/>
      <w:tblInd w:w="0" w:type="dxa"/>
      <w:tblCellMar>
        <w:top w:w="100" w:type="dxa"/>
        <w:left w:w="100" w:type="dxa"/>
        <w:bottom w:w="100" w:type="dxa"/>
        <w:right w:w="100" w:type="dxa"/>
      </w:tblCellMar>
    </w:tblPr>
  </w:style>
  <w:style w:type="table" w:customStyle="1" w:styleId="33">
    <w:name w:val="33"/>
    <w:basedOn w:val="TableNormal"/>
    <w:rsid w:val="008F0A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Calibri" w:eastAsia="Calibri" w:hAnsi="Calibri" w:cs="Calibri"/>
      <w:sz w:val="22"/>
      <w:szCs w:val="22"/>
      <w:bdr w:val="none" w:sz="0" w:space="0" w:color="auto"/>
      <w:lang w:val="en-US" w:eastAsia="pt-BR"/>
    </w:rPr>
    <w:tblPr>
      <w:tblStyleRowBandSize w:val="1"/>
      <w:tblStyleColBandSize w:val="1"/>
      <w:tblInd w:w="0" w:type="dxa"/>
      <w:tblCellMar>
        <w:top w:w="100" w:type="dxa"/>
        <w:left w:w="100" w:type="dxa"/>
        <w:bottom w:w="100" w:type="dxa"/>
        <w:right w:w="100" w:type="dxa"/>
      </w:tblCellMar>
    </w:tblPr>
  </w:style>
  <w:style w:type="table" w:customStyle="1" w:styleId="32">
    <w:name w:val="32"/>
    <w:basedOn w:val="TableNormal"/>
    <w:rsid w:val="008F0A77"/>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w:eastAsia="Calibri" w:hAnsi="Calibri" w:cs="Calibri"/>
      <w:sz w:val="22"/>
      <w:szCs w:val="22"/>
      <w:bdr w:val="none" w:sz="0" w:space="0" w:color="auto"/>
      <w:lang w:val="en-US" w:eastAsia="pt-BR"/>
    </w:rPr>
    <w:tblPr>
      <w:tblStyleRowBandSize w:val="1"/>
      <w:tblStyleColBandSize w:val="1"/>
      <w:tblInd w:w="0" w:type="dxa"/>
      <w:tblCellMar>
        <w:top w:w="100" w:type="dxa"/>
        <w:left w:w="100" w:type="dxa"/>
        <w:bottom w:w="100" w:type="dxa"/>
        <w:right w:w="100" w:type="dxa"/>
      </w:tblCellMar>
    </w:tblPr>
  </w:style>
  <w:style w:type="table" w:customStyle="1" w:styleId="10">
    <w:name w:val="10"/>
    <w:basedOn w:val="TableNormal"/>
    <w:rsid w:val="008F0A77"/>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Calibri" w:eastAsia="Calibri" w:hAnsi="Calibri" w:cs="Calibri"/>
      <w:sz w:val="22"/>
      <w:szCs w:val="22"/>
      <w:bdr w:val="none" w:sz="0" w:space="0" w:color="auto"/>
      <w:lang w:val="en-US" w:eastAsia="pt-BR"/>
    </w:rPr>
    <w:tblPr>
      <w:tblStyleRowBandSize w:val="1"/>
      <w:tblStyleColBandSize w:val="1"/>
      <w:tblInd w:w="0" w:type="dxa"/>
      <w:tblCellMar>
        <w:top w:w="100" w:type="dxa"/>
        <w:left w:w="100" w:type="dxa"/>
        <w:bottom w:w="100" w:type="dxa"/>
        <w:right w:w="100" w:type="dxa"/>
      </w:tblCellMar>
    </w:tblPr>
  </w:style>
  <w:style w:type="character" w:customStyle="1" w:styleId="AssuntodocomentrioChar">
    <w:name w:val="Assunto do comentário Char"/>
    <w:basedOn w:val="TextodecomentrioChar"/>
    <w:link w:val="Assuntodocomentrio"/>
    <w:uiPriority w:val="99"/>
    <w:semiHidden/>
    <w:rsid w:val="008F0A77"/>
    <w:rPr>
      <w:rFonts w:ascii="Calibri" w:eastAsia="Calibri" w:hAnsi="Calibri" w:cs="Calibri"/>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F0A77"/>
    <w:rPr>
      <w:b/>
      <w:bCs/>
    </w:rPr>
  </w:style>
  <w:style w:type="character" w:customStyle="1" w:styleId="AssuntodocomentrioChar1">
    <w:name w:val="Assunto do comentário Char1"/>
    <w:basedOn w:val="TextodecomentrioChar"/>
    <w:uiPriority w:val="99"/>
    <w:semiHidden/>
    <w:rsid w:val="008F0A77"/>
    <w:rPr>
      <w:rFonts w:ascii="Times New Roman" w:eastAsia="Times New Roman" w:hAnsi="Times New Roman" w:cs="Times New Roman"/>
      <w:b/>
      <w:bCs/>
      <w:sz w:val="20"/>
      <w:szCs w:val="20"/>
      <w:lang w:val="es-ES_tradnl" w:eastAsia="es-ES_tradnl"/>
    </w:rPr>
  </w:style>
  <w:style w:type="paragraph" w:styleId="Sumrio1">
    <w:name w:val="toc 1"/>
    <w:basedOn w:val="Normal"/>
    <w:next w:val="Normal"/>
    <w:autoRedefine/>
    <w:uiPriority w:val="39"/>
    <w:unhideWhenUsed/>
    <w:rsid w:val="008F0A77"/>
    <w:pPr>
      <w:tabs>
        <w:tab w:val="right" w:leader="dot" w:pos="9061"/>
      </w:tabs>
      <w:spacing w:before="240" w:after="100"/>
    </w:pPr>
    <w:rPr>
      <w:rFonts w:ascii="Arial" w:eastAsia="Calibri" w:hAnsi="Arial" w:cs="Calibri"/>
      <w:szCs w:val="22"/>
      <w:lang w:val="en-US" w:eastAsia="pt-BR"/>
    </w:rPr>
  </w:style>
  <w:style w:type="paragraph" w:styleId="Sumrio2">
    <w:name w:val="toc 2"/>
    <w:basedOn w:val="Normal"/>
    <w:next w:val="Normal"/>
    <w:autoRedefine/>
    <w:uiPriority w:val="39"/>
    <w:unhideWhenUsed/>
    <w:qFormat/>
    <w:rsid w:val="008F0A77"/>
    <w:pPr>
      <w:tabs>
        <w:tab w:val="right" w:leader="dot" w:pos="9061"/>
      </w:tabs>
      <w:spacing w:before="60"/>
      <w:ind w:left="657" w:right="-1" w:hanging="408"/>
    </w:pPr>
    <w:rPr>
      <w:rFonts w:ascii="Arial" w:eastAsia="Calibri" w:hAnsi="Arial" w:cs="Segoe UI Semilight"/>
      <w:noProof/>
      <w:szCs w:val="22"/>
      <w:lang w:val="en-US" w:eastAsia="pt-BR"/>
    </w:rPr>
  </w:style>
  <w:style w:type="paragraph" w:styleId="Sumrio3">
    <w:name w:val="toc 3"/>
    <w:basedOn w:val="Normal"/>
    <w:next w:val="Normal"/>
    <w:autoRedefine/>
    <w:uiPriority w:val="39"/>
    <w:unhideWhenUsed/>
    <w:rsid w:val="008F0A77"/>
    <w:pPr>
      <w:tabs>
        <w:tab w:val="right" w:leader="dot" w:pos="9061"/>
      </w:tabs>
      <w:ind w:left="658"/>
    </w:pPr>
    <w:rPr>
      <w:rFonts w:ascii="Arial" w:eastAsia="Calibri" w:hAnsi="Arial" w:cs="Calibri"/>
      <w:szCs w:val="22"/>
      <w:lang w:val="en-US" w:eastAsia="pt-BR"/>
    </w:rPr>
  </w:style>
  <w:style w:type="paragraph" w:styleId="PargrafodaLista">
    <w:name w:val="List Paragraph"/>
    <w:basedOn w:val="Normal"/>
    <w:uiPriority w:val="34"/>
    <w:qFormat/>
    <w:rsid w:val="008F0A77"/>
    <w:pPr>
      <w:spacing w:after="160" w:line="259" w:lineRule="auto"/>
      <w:ind w:left="720"/>
      <w:contextualSpacing/>
    </w:pPr>
    <w:rPr>
      <w:rFonts w:ascii="Calibri" w:eastAsia="Calibri" w:hAnsi="Calibri" w:cs="Calibri"/>
      <w:sz w:val="22"/>
      <w:szCs w:val="22"/>
      <w:lang w:val="en-US" w:eastAsia="pt-BR"/>
    </w:rPr>
  </w:style>
  <w:style w:type="character" w:styleId="nfase">
    <w:name w:val="Emphasis"/>
    <w:basedOn w:val="Fontepargpadro"/>
    <w:uiPriority w:val="20"/>
    <w:qFormat/>
    <w:rsid w:val="008F0A77"/>
    <w:rPr>
      <w:i/>
      <w:iCs/>
    </w:rPr>
  </w:style>
  <w:style w:type="paragraph" w:styleId="Pr-formataoHTML">
    <w:name w:val="HTML Preformatted"/>
    <w:basedOn w:val="Normal"/>
    <w:link w:val="Pr-formataoHTMLChar"/>
    <w:uiPriority w:val="99"/>
    <w:unhideWhenUsed/>
    <w:rsid w:val="008F0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pt-BR"/>
    </w:rPr>
  </w:style>
  <w:style w:type="character" w:customStyle="1" w:styleId="Pr-formataoHTMLChar">
    <w:name w:val="Pré-formatação HTML Char"/>
    <w:basedOn w:val="Fontepargpadro"/>
    <w:link w:val="Pr-formataoHTML"/>
    <w:uiPriority w:val="99"/>
    <w:rsid w:val="008F0A77"/>
    <w:rPr>
      <w:rFonts w:ascii="Courier New" w:eastAsia="Times New Roman" w:hAnsi="Courier New" w:cs="Courier New"/>
      <w:sz w:val="20"/>
      <w:szCs w:val="20"/>
      <w:lang w:eastAsia="pt-BR"/>
    </w:rPr>
  </w:style>
  <w:style w:type="character" w:customStyle="1" w:styleId="a">
    <w:name w:val="_"/>
    <w:basedOn w:val="Fontepargpadro"/>
    <w:rsid w:val="008F0A77"/>
  </w:style>
  <w:style w:type="character" w:customStyle="1" w:styleId="ff3">
    <w:name w:val="ff3"/>
    <w:basedOn w:val="Fontepargpadro"/>
    <w:rsid w:val="008F0A77"/>
  </w:style>
  <w:style w:type="character" w:customStyle="1" w:styleId="ff1">
    <w:name w:val="ff1"/>
    <w:basedOn w:val="Fontepargpadro"/>
    <w:rsid w:val="008F0A77"/>
  </w:style>
  <w:style w:type="character" w:customStyle="1" w:styleId="ff2">
    <w:name w:val="ff2"/>
    <w:basedOn w:val="Fontepargpadro"/>
    <w:rsid w:val="008F0A77"/>
  </w:style>
  <w:style w:type="paragraph" w:customStyle="1" w:styleId="Ttulo51">
    <w:name w:val="Título 5.1"/>
    <w:basedOn w:val="Ttulo5"/>
    <w:autoRedefine/>
    <w:qFormat/>
    <w:rsid w:val="008F0A77"/>
    <w:pPr>
      <w:spacing w:after="240" w:line="276" w:lineRule="auto"/>
      <w:ind w:left="2268" w:firstLine="0"/>
    </w:pPr>
    <w:rPr>
      <w:i/>
      <w:sz w:val="22"/>
    </w:rPr>
  </w:style>
  <w:style w:type="paragraph" w:styleId="Legenda">
    <w:name w:val="caption"/>
    <w:basedOn w:val="Normal"/>
    <w:next w:val="Normal"/>
    <w:uiPriority w:val="35"/>
    <w:unhideWhenUsed/>
    <w:qFormat/>
    <w:rsid w:val="008F0A77"/>
    <w:pPr>
      <w:spacing w:after="200"/>
    </w:pPr>
    <w:rPr>
      <w:rFonts w:ascii="Arial" w:eastAsia="Calibri" w:hAnsi="Arial" w:cs="Calibri"/>
      <w:iCs/>
      <w:sz w:val="22"/>
      <w:szCs w:val="18"/>
      <w:lang w:val="en-US" w:eastAsia="pt-BR"/>
    </w:rPr>
  </w:style>
  <w:style w:type="paragraph" w:styleId="Sumrio5">
    <w:name w:val="toc 5"/>
    <w:basedOn w:val="Normal"/>
    <w:next w:val="Normal"/>
    <w:autoRedefine/>
    <w:uiPriority w:val="39"/>
    <w:unhideWhenUsed/>
    <w:rsid w:val="008F0A77"/>
    <w:pPr>
      <w:spacing w:after="100" w:line="259" w:lineRule="auto"/>
      <w:ind w:left="880"/>
    </w:pPr>
    <w:rPr>
      <w:rFonts w:ascii="Calibri" w:eastAsia="Calibri" w:hAnsi="Calibri" w:cs="Calibri"/>
      <w:sz w:val="22"/>
      <w:szCs w:val="22"/>
      <w:lang w:val="en-US" w:eastAsia="pt-BR"/>
    </w:rPr>
  </w:style>
  <w:style w:type="paragraph" w:styleId="Sumrio4">
    <w:name w:val="toc 4"/>
    <w:basedOn w:val="Normal"/>
    <w:next w:val="Normal"/>
    <w:autoRedefine/>
    <w:uiPriority w:val="39"/>
    <w:unhideWhenUsed/>
    <w:rsid w:val="008F0A77"/>
    <w:pPr>
      <w:spacing w:after="100" w:line="259" w:lineRule="auto"/>
      <w:ind w:left="660"/>
    </w:pPr>
    <w:rPr>
      <w:rFonts w:asciiTheme="minorHAnsi" w:eastAsiaTheme="minorEastAsia" w:hAnsiTheme="minorHAnsi" w:cstheme="minorBidi"/>
      <w:sz w:val="22"/>
      <w:szCs w:val="22"/>
      <w:lang w:val="en-US" w:eastAsia="pt-BR"/>
    </w:rPr>
  </w:style>
  <w:style w:type="paragraph" w:styleId="Sumrio6">
    <w:name w:val="toc 6"/>
    <w:basedOn w:val="Normal"/>
    <w:next w:val="Normal"/>
    <w:autoRedefine/>
    <w:uiPriority w:val="39"/>
    <w:unhideWhenUsed/>
    <w:rsid w:val="008F0A77"/>
    <w:pPr>
      <w:spacing w:after="100" w:line="259" w:lineRule="auto"/>
      <w:ind w:left="1100"/>
    </w:pPr>
    <w:rPr>
      <w:rFonts w:asciiTheme="minorHAnsi" w:eastAsiaTheme="minorEastAsia" w:hAnsiTheme="minorHAnsi" w:cstheme="minorBidi"/>
      <w:sz w:val="22"/>
      <w:szCs w:val="22"/>
      <w:lang w:val="en-US" w:eastAsia="pt-BR"/>
    </w:rPr>
  </w:style>
  <w:style w:type="paragraph" w:styleId="Sumrio7">
    <w:name w:val="toc 7"/>
    <w:basedOn w:val="Normal"/>
    <w:next w:val="Normal"/>
    <w:autoRedefine/>
    <w:uiPriority w:val="39"/>
    <w:unhideWhenUsed/>
    <w:rsid w:val="008F0A77"/>
    <w:pPr>
      <w:spacing w:after="100" w:line="259" w:lineRule="auto"/>
      <w:ind w:left="1320"/>
    </w:pPr>
    <w:rPr>
      <w:rFonts w:asciiTheme="minorHAnsi" w:eastAsiaTheme="minorEastAsia" w:hAnsiTheme="minorHAnsi" w:cstheme="minorBidi"/>
      <w:sz w:val="22"/>
      <w:szCs w:val="22"/>
      <w:lang w:val="en-US" w:eastAsia="pt-BR"/>
    </w:rPr>
  </w:style>
  <w:style w:type="paragraph" w:styleId="Sumrio8">
    <w:name w:val="toc 8"/>
    <w:basedOn w:val="Normal"/>
    <w:next w:val="Normal"/>
    <w:autoRedefine/>
    <w:uiPriority w:val="39"/>
    <w:unhideWhenUsed/>
    <w:rsid w:val="008F0A77"/>
    <w:pPr>
      <w:spacing w:after="100" w:line="259" w:lineRule="auto"/>
      <w:ind w:left="1540"/>
    </w:pPr>
    <w:rPr>
      <w:rFonts w:asciiTheme="minorHAnsi" w:eastAsiaTheme="minorEastAsia" w:hAnsiTheme="minorHAnsi" w:cstheme="minorBidi"/>
      <w:sz w:val="22"/>
      <w:szCs w:val="22"/>
      <w:lang w:val="en-US" w:eastAsia="pt-BR"/>
    </w:rPr>
  </w:style>
  <w:style w:type="paragraph" w:styleId="Sumrio9">
    <w:name w:val="toc 9"/>
    <w:basedOn w:val="Normal"/>
    <w:next w:val="Normal"/>
    <w:autoRedefine/>
    <w:uiPriority w:val="39"/>
    <w:unhideWhenUsed/>
    <w:rsid w:val="008F0A77"/>
    <w:pPr>
      <w:spacing w:after="100" w:line="259" w:lineRule="auto"/>
      <w:ind w:left="1760"/>
    </w:pPr>
    <w:rPr>
      <w:rFonts w:asciiTheme="minorHAnsi" w:eastAsiaTheme="minorEastAsia" w:hAnsiTheme="minorHAnsi" w:cstheme="minorBidi"/>
      <w:sz w:val="22"/>
      <w:szCs w:val="22"/>
      <w:lang w:val="en-US" w:eastAsia="pt-BR"/>
    </w:rPr>
  </w:style>
  <w:style w:type="character" w:styleId="Forte">
    <w:name w:val="Strong"/>
    <w:basedOn w:val="Fontepargpadro"/>
    <w:uiPriority w:val="22"/>
    <w:qFormat/>
    <w:rsid w:val="008F0A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1597-1257-42E1-91FD-D44FE2C11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25040</Words>
  <Characters>135220</Characters>
  <Application>Microsoft Office Word</Application>
  <DocSecurity>0</DocSecurity>
  <Lines>1126</Lines>
  <Paragraphs>319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ellenricci@gmail.com</cp:lastModifiedBy>
  <cp:revision>5</cp:revision>
  <cp:lastPrinted>2020-04-16T16:22:00Z</cp:lastPrinted>
  <dcterms:created xsi:type="dcterms:W3CDTF">2021-11-05T17:54:00Z</dcterms:created>
  <dcterms:modified xsi:type="dcterms:W3CDTF">2021-11-05T19:54:00Z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http://www.zotero.org/styles/associacao-brasileira-de-normas-tecnicas</vt:lpwstr>
  </property>
  <property fmtid="{D5CDD505-2E9C-101B-9397-08002B2CF9AE}" pid="7" name="Mendeley Recent Style Name 2_1">
    <vt:lpwstr>Associação Brasileira de Normas Técnicas (Portuguese - Brazil)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7ac27cd6-2065-393f-810e-44cc0b54e84b</vt:lpwstr>
  </property>
</Properties>
</file>