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5F1B7" w14:textId="77777777" w:rsidR="0046682E" w:rsidRPr="00703334" w:rsidRDefault="0046682E" w:rsidP="006C49E0">
      <w:pPr>
        <w:jc w:val="center"/>
        <w:rPr>
          <w:b/>
          <w:sz w:val="36"/>
          <w:szCs w:val="36"/>
          <w:lang w:val="en-US"/>
        </w:rPr>
      </w:pPr>
      <w:r w:rsidRPr="00703334">
        <w:rPr>
          <w:b/>
          <w:sz w:val="36"/>
          <w:szCs w:val="36"/>
          <w:lang w:val="en-US"/>
        </w:rPr>
        <w:t>The psychological dimension of individual agency</w:t>
      </w:r>
    </w:p>
    <w:p w14:paraId="6C76AA8E" w14:textId="77777777" w:rsidR="0046682E" w:rsidRPr="00703334" w:rsidRDefault="0046682E" w:rsidP="006C49E0">
      <w:pPr>
        <w:jc w:val="center"/>
        <w:rPr>
          <w:b/>
          <w:sz w:val="36"/>
          <w:szCs w:val="36"/>
          <w:lang w:val="en-GB"/>
        </w:rPr>
      </w:pPr>
      <w:r w:rsidRPr="00703334">
        <w:rPr>
          <w:b/>
          <w:sz w:val="36"/>
          <w:szCs w:val="36"/>
          <w:lang w:val="en-GB"/>
        </w:rPr>
        <w:t>and its relation to income</w:t>
      </w:r>
    </w:p>
    <w:p w14:paraId="1F7A08D1" w14:textId="77777777" w:rsidR="0046682E" w:rsidRPr="00703334" w:rsidRDefault="0046682E" w:rsidP="0046682E">
      <w:pPr>
        <w:spacing w:line="360" w:lineRule="auto"/>
        <w:jc w:val="center"/>
        <w:rPr>
          <w:b/>
          <w:sz w:val="32"/>
          <w:lang w:val="en-GB"/>
        </w:rPr>
      </w:pPr>
    </w:p>
    <w:p w14:paraId="27B0FDE3" w14:textId="77777777" w:rsidR="0046682E" w:rsidRPr="00703334" w:rsidRDefault="0046682E" w:rsidP="0046682E">
      <w:pPr>
        <w:spacing w:line="360" w:lineRule="auto"/>
        <w:jc w:val="center"/>
        <w:rPr>
          <w:b/>
          <w:smallCaps/>
          <w:sz w:val="20"/>
          <w:szCs w:val="20"/>
          <w:lang w:val="en-US"/>
        </w:rPr>
      </w:pPr>
      <w:r w:rsidRPr="00703334">
        <w:rPr>
          <w:b/>
          <w:smallCaps/>
          <w:sz w:val="20"/>
          <w:szCs w:val="20"/>
          <w:lang w:val="en-US"/>
        </w:rPr>
        <w:t>Abstract</w:t>
      </w:r>
    </w:p>
    <w:p w14:paraId="40050705" w14:textId="54D6CA68" w:rsidR="00B44AC3" w:rsidRPr="00400007" w:rsidRDefault="00716191" w:rsidP="009B76B5">
      <w:pPr>
        <w:pStyle w:val="Textoconsangra"/>
        <w:spacing w:line="360" w:lineRule="auto"/>
        <w:jc w:val="both"/>
        <w:rPr>
          <w:sz w:val="20"/>
          <w:szCs w:val="20"/>
          <w:lang w:val="en-US"/>
        </w:rPr>
      </w:pPr>
      <w:r w:rsidRPr="00400007">
        <w:rPr>
          <w:sz w:val="20"/>
          <w:szCs w:val="20"/>
          <w:lang w:val="en-US"/>
        </w:rPr>
        <w:t>The individual agency refers to the ability of people to act for what they consider important for their life, and is strongly determined by the assets and capabilities that a person possesses. Based on the capabilities approach, this work empirically examines whether psychological characteristics, such as perseverance, resilience, impulsivity, and intelligence, are part of individual agency and whether they are related to income, in the same way as schooling and employment. To study these relationships, a structural equation model was applied to secondary data from a sample of 1,238 heads of households from a highly marginalized region. The relationships between the latent variables and their associated indicators could be evidenced since the values of the goodness of fit indices are acceptable.</w:t>
      </w:r>
    </w:p>
    <w:p w14:paraId="065FFDB2" w14:textId="77777777" w:rsidR="0046682E" w:rsidRPr="00400007" w:rsidRDefault="00716191" w:rsidP="009B76B5">
      <w:pPr>
        <w:pStyle w:val="Textoconsangra"/>
        <w:spacing w:line="360" w:lineRule="auto"/>
        <w:jc w:val="both"/>
        <w:rPr>
          <w:sz w:val="20"/>
          <w:szCs w:val="20"/>
          <w:lang w:val="en-US"/>
        </w:rPr>
      </w:pPr>
      <w:r w:rsidRPr="00400007">
        <w:rPr>
          <w:sz w:val="20"/>
          <w:szCs w:val="20"/>
          <w:lang w:val="en-US"/>
        </w:rPr>
        <w:t>This research shows the importance of the psychological dimension of individual agency in contexts of low education and high marginalization.</w:t>
      </w:r>
    </w:p>
    <w:p w14:paraId="2B944339" w14:textId="77777777" w:rsidR="00716191" w:rsidRPr="00703334" w:rsidRDefault="00716191" w:rsidP="00716191">
      <w:pPr>
        <w:spacing w:line="360" w:lineRule="auto"/>
        <w:rPr>
          <w:b/>
          <w:sz w:val="20"/>
          <w:szCs w:val="20"/>
          <w:lang w:val="en-US"/>
        </w:rPr>
      </w:pPr>
    </w:p>
    <w:p w14:paraId="71E3A5F7" w14:textId="77777777" w:rsidR="0046682E" w:rsidRPr="00703334" w:rsidRDefault="0046682E" w:rsidP="0046682E">
      <w:pPr>
        <w:spacing w:line="360" w:lineRule="auto"/>
        <w:jc w:val="both"/>
        <w:rPr>
          <w:b/>
          <w:sz w:val="20"/>
          <w:szCs w:val="20"/>
          <w:lang w:val="en-GB"/>
        </w:rPr>
      </w:pPr>
      <w:r w:rsidRPr="00703334">
        <w:rPr>
          <w:b/>
          <w:sz w:val="20"/>
          <w:szCs w:val="20"/>
          <w:lang w:val="en-GB"/>
        </w:rPr>
        <w:t>Keywords</w:t>
      </w:r>
    </w:p>
    <w:p w14:paraId="4562E0C7" w14:textId="77777777" w:rsidR="00716191" w:rsidRPr="00703334" w:rsidRDefault="00716191" w:rsidP="0046682E">
      <w:pPr>
        <w:spacing w:line="360" w:lineRule="auto"/>
        <w:jc w:val="both"/>
        <w:rPr>
          <w:sz w:val="20"/>
          <w:szCs w:val="20"/>
          <w:lang w:val="en-US"/>
        </w:rPr>
      </w:pPr>
      <w:r w:rsidRPr="00703334">
        <w:rPr>
          <w:sz w:val="20"/>
          <w:szCs w:val="20"/>
          <w:lang w:val="en-US"/>
        </w:rPr>
        <w:t>Individual agency, capabilities approach, psychological characteristics, structural equations model, income.</w:t>
      </w:r>
    </w:p>
    <w:p w14:paraId="7D56096E" w14:textId="77777777" w:rsidR="0046682E" w:rsidRPr="00703334" w:rsidRDefault="0046682E" w:rsidP="006C49E0">
      <w:pPr>
        <w:spacing w:line="360" w:lineRule="auto"/>
        <w:rPr>
          <w:b/>
          <w:sz w:val="20"/>
          <w:szCs w:val="20"/>
          <w:lang w:val="en-GB"/>
        </w:rPr>
      </w:pPr>
    </w:p>
    <w:p w14:paraId="68B4CAAD" w14:textId="77777777" w:rsidR="0046682E" w:rsidRPr="00703334" w:rsidRDefault="0046682E" w:rsidP="006C49E0">
      <w:pPr>
        <w:spacing w:line="360" w:lineRule="auto"/>
        <w:jc w:val="center"/>
        <w:rPr>
          <w:b/>
          <w:smallCaps/>
          <w:sz w:val="20"/>
          <w:szCs w:val="20"/>
        </w:rPr>
      </w:pPr>
      <w:bookmarkStart w:id="0" w:name="_Toc77421166"/>
      <w:r w:rsidRPr="00703334">
        <w:rPr>
          <w:b/>
          <w:smallCaps/>
          <w:sz w:val="20"/>
          <w:szCs w:val="20"/>
        </w:rPr>
        <w:t>Resumen</w:t>
      </w:r>
      <w:bookmarkEnd w:id="0"/>
    </w:p>
    <w:p w14:paraId="2B5F18BB" w14:textId="77777777" w:rsidR="009B76B5" w:rsidRPr="00703334" w:rsidRDefault="0046682E" w:rsidP="0046682E">
      <w:pPr>
        <w:pStyle w:val="Textoconsangra"/>
        <w:spacing w:line="360" w:lineRule="auto"/>
        <w:jc w:val="both"/>
        <w:rPr>
          <w:sz w:val="20"/>
          <w:szCs w:val="20"/>
        </w:rPr>
      </w:pPr>
      <w:r w:rsidRPr="00703334">
        <w:rPr>
          <w:sz w:val="20"/>
          <w:szCs w:val="20"/>
        </w:rPr>
        <w:t>La agencia individual hace referencia a la capacidad de las personas para actuar por aquello que consideran importante para su vida, y está fuertemente determinada por los bienes y las capacidades que una persona posee. Tomando como base el enfoque de capacidades, este trabajo examina empíricamente si las características psicológicas, tales como perseverancia, resiliencia, impulsividad e inteligencia, forman parte de la agencia individual y si tienen relación sobre el ingreso</w:t>
      </w:r>
      <w:r w:rsidR="00716191" w:rsidRPr="00703334">
        <w:rPr>
          <w:sz w:val="20"/>
          <w:szCs w:val="20"/>
        </w:rPr>
        <w:t>,</w:t>
      </w:r>
      <w:r w:rsidRPr="00703334">
        <w:rPr>
          <w:sz w:val="20"/>
          <w:szCs w:val="20"/>
        </w:rPr>
        <w:t xml:space="preserve"> de la misma manera que la escolaridad y el empleo. Para estudiar estas relaciones se aplicó un modelo de ecuaciones estructurales a datos secundarios de una muestra de 1,238 personas jefas de familia de una región altamente marginada. Las relaciones entre las variables latentes y sus indicadores asociados se pudieron constatar dado que los valores de los índices de bondad de ajuste son aceptables.</w:t>
      </w:r>
    </w:p>
    <w:p w14:paraId="7AD049A7" w14:textId="65488D3C" w:rsidR="0046682E" w:rsidRPr="00703334" w:rsidRDefault="0046682E" w:rsidP="0046682E">
      <w:pPr>
        <w:pStyle w:val="Textoconsangra"/>
        <w:spacing w:line="360" w:lineRule="auto"/>
        <w:jc w:val="both"/>
        <w:rPr>
          <w:sz w:val="20"/>
          <w:szCs w:val="20"/>
        </w:rPr>
      </w:pPr>
      <w:r w:rsidRPr="00703334">
        <w:rPr>
          <w:sz w:val="20"/>
          <w:szCs w:val="20"/>
        </w:rPr>
        <w:t xml:space="preserve">Esta investigación muestra la importancia de la dimensión psicológica de la agencia individual en contextos de baja escolaridad y alta marginación. </w:t>
      </w:r>
    </w:p>
    <w:p w14:paraId="23A680B5" w14:textId="77777777" w:rsidR="006C49E0" w:rsidRPr="00703334" w:rsidRDefault="006C49E0" w:rsidP="0046682E">
      <w:pPr>
        <w:spacing w:line="360" w:lineRule="auto"/>
        <w:jc w:val="both"/>
        <w:rPr>
          <w:b/>
          <w:sz w:val="20"/>
          <w:szCs w:val="20"/>
        </w:rPr>
      </w:pPr>
    </w:p>
    <w:p w14:paraId="45A46F1A" w14:textId="77777777" w:rsidR="0046682E" w:rsidRPr="00703334" w:rsidRDefault="0046682E" w:rsidP="0046682E">
      <w:pPr>
        <w:spacing w:line="360" w:lineRule="auto"/>
        <w:jc w:val="both"/>
        <w:rPr>
          <w:b/>
          <w:sz w:val="20"/>
          <w:szCs w:val="20"/>
        </w:rPr>
      </w:pPr>
      <w:r w:rsidRPr="00703334">
        <w:rPr>
          <w:b/>
          <w:sz w:val="20"/>
          <w:szCs w:val="20"/>
        </w:rPr>
        <w:t>Palabras claves</w:t>
      </w:r>
    </w:p>
    <w:p w14:paraId="50471FFF" w14:textId="77777777" w:rsidR="0046682E" w:rsidRPr="00703334" w:rsidRDefault="0046682E" w:rsidP="0046682E">
      <w:pPr>
        <w:spacing w:line="360" w:lineRule="auto"/>
        <w:jc w:val="both"/>
        <w:rPr>
          <w:sz w:val="20"/>
          <w:szCs w:val="20"/>
        </w:rPr>
      </w:pPr>
      <w:r w:rsidRPr="00703334">
        <w:rPr>
          <w:sz w:val="20"/>
          <w:szCs w:val="20"/>
        </w:rPr>
        <w:t>Agencia individual, enfoque de capacidades, características psicológicas, modelo de ecuaciones estructurales, ingreso.</w:t>
      </w:r>
    </w:p>
    <w:p w14:paraId="53A35486" w14:textId="77777777" w:rsidR="006C49E0" w:rsidRPr="00703334" w:rsidRDefault="006C49E0">
      <w:pPr>
        <w:rPr>
          <w:b/>
        </w:rPr>
      </w:pPr>
      <w:r w:rsidRPr="00703334">
        <w:rPr>
          <w:b/>
        </w:rPr>
        <w:br w:type="page"/>
      </w:r>
    </w:p>
    <w:p w14:paraId="3BEE7F2F" w14:textId="77777777" w:rsidR="006C49E0" w:rsidRPr="00703334" w:rsidRDefault="006C49E0" w:rsidP="00703334">
      <w:pPr>
        <w:pStyle w:val="Ttuloprincipiodeartculo"/>
      </w:pPr>
      <w:r w:rsidRPr="00703334">
        <w:lastRenderedPageBreak/>
        <w:t>La dimensión psicológica de la agencia individual</w:t>
      </w:r>
    </w:p>
    <w:p w14:paraId="4791F422" w14:textId="77777777" w:rsidR="006C49E0" w:rsidRPr="00703334" w:rsidRDefault="006C49E0" w:rsidP="00703334">
      <w:pPr>
        <w:pStyle w:val="Ttuloprincipiodeartculo"/>
      </w:pPr>
      <w:r w:rsidRPr="00703334">
        <w:t>y su relación con el ingreso</w:t>
      </w:r>
    </w:p>
    <w:p w14:paraId="454F8FD2" w14:textId="77777777" w:rsidR="0046682E" w:rsidRPr="00703334" w:rsidRDefault="0046682E" w:rsidP="00703334">
      <w:pPr>
        <w:pStyle w:val="Ttulosinternos"/>
        <w:rPr>
          <w:lang w:val="es-ES_tradnl"/>
        </w:rPr>
      </w:pPr>
      <w:bookmarkStart w:id="1" w:name="_Toc38828906"/>
      <w:bookmarkStart w:id="2" w:name="_Toc70185710"/>
      <w:bookmarkStart w:id="3" w:name="_Toc77421167"/>
      <w:r w:rsidRPr="00703334">
        <w:rPr>
          <w:lang w:val="es-ES_tradnl"/>
        </w:rPr>
        <w:t>Introducción</w:t>
      </w:r>
      <w:bookmarkEnd w:id="1"/>
      <w:bookmarkEnd w:id="2"/>
      <w:bookmarkEnd w:id="3"/>
    </w:p>
    <w:p w14:paraId="69617DA3" w14:textId="77777777" w:rsidR="00622E68" w:rsidRPr="00703334" w:rsidRDefault="0046682E" w:rsidP="009B76B5">
      <w:pPr>
        <w:pStyle w:val="Textoconsangra"/>
        <w:spacing w:line="360" w:lineRule="auto"/>
        <w:ind w:firstLine="737"/>
        <w:jc w:val="both"/>
      </w:pPr>
      <w:r w:rsidRPr="00703334">
        <w:t xml:space="preserve">Para Amartya Sen (2000) el desarrollo humano es un proceso de expansión de las libertades reales que disfrutan las personas, ya que más allá de la importancia constitutiva que representa la libertad, es a través de ésta que las personas pueden actuar en favor de su bienestar e influir en el mundo que les rodea. La capacidad que tiene una persona de </w:t>
      </w:r>
      <w:r w:rsidRPr="00703334">
        <w:rPr>
          <w:i/>
        </w:rPr>
        <w:t xml:space="preserve">ser </w:t>
      </w:r>
      <w:r w:rsidRPr="00703334">
        <w:t>y</w:t>
      </w:r>
      <w:r w:rsidRPr="00703334">
        <w:rPr>
          <w:i/>
        </w:rPr>
        <w:t xml:space="preserve"> hacer</w:t>
      </w:r>
      <w:r w:rsidRPr="00703334">
        <w:t xml:space="preserve"> todo aquello que valora está relacionada con las libertades fundamentales de las que goza. Sen (2000</w:t>
      </w:r>
      <w:r w:rsidR="007D4908" w:rsidRPr="00703334">
        <w:t xml:space="preserve">) </w:t>
      </w:r>
      <w:r w:rsidRPr="00703334">
        <w:t xml:space="preserve">sostiene que la pobreza es la privación de las libertades fundamentales, relacionadas entre otras, con privaciones en el espacio de los ingresos, por lo que las personas se ven orilladas a vivir sin oportunidades de elegir qué </w:t>
      </w:r>
      <w:r w:rsidRPr="00703334">
        <w:rPr>
          <w:i/>
        </w:rPr>
        <w:t>ser</w:t>
      </w:r>
      <w:r w:rsidRPr="00703334">
        <w:t xml:space="preserve"> y qué </w:t>
      </w:r>
      <w:r w:rsidRPr="00703334">
        <w:rPr>
          <w:i/>
        </w:rPr>
        <w:t>hacer</w:t>
      </w:r>
      <w:r w:rsidRPr="00703334">
        <w:t xml:space="preserve"> para alcanzar su bienestar. </w:t>
      </w:r>
    </w:p>
    <w:p w14:paraId="5C1DD152" w14:textId="14829DE0" w:rsidR="0046682E" w:rsidRPr="00703334" w:rsidRDefault="00622E68" w:rsidP="0046682E">
      <w:pPr>
        <w:pStyle w:val="Textoconsangra"/>
        <w:spacing w:line="360" w:lineRule="auto"/>
        <w:ind w:firstLine="737"/>
        <w:jc w:val="both"/>
      </w:pPr>
      <w:r w:rsidRPr="00703334">
        <w:t>E</w:t>
      </w:r>
      <w:r w:rsidR="0046682E" w:rsidRPr="00703334">
        <w:t xml:space="preserve">l desarrollo, desde el planteamiento seniano, </w:t>
      </w:r>
      <w:r w:rsidR="006C49E0" w:rsidRPr="00703334">
        <w:t>está</w:t>
      </w:r>
      <w:r w:rsidR="0046682E" w:rsidRPr="00703334">
        <w:t xml:space="preserve"> enfocado en expandir la capacidad de las personas para que puedan decidir y actuar de forma libre sin que las circunstancias sean las que tracen sus trayectorias de vida. En ese sentido, ver y evaluar las posibilidades y oportunidades de las personas en términos de lo que son capaces y libres de ser y hacer es lo que se ha denominado enfoque de capacidades (EC)</w:t>
      </w:r>
      <w:r w:rsidR="0046682E" w:rsidRPr="00703334">
        <w:rPr>
          <w:i/>
        </w:rPr>
        <w:t>,</w:t>
      </w:r>
      <w:r w:rsidR="0046682E" w:rsidRPr="00703334">
        <w:t xml:space="preserve"> considerado como la base conceptual más sólida del desarrollo humano (Fukuda-Parr, 2003). </w:t>
      </w:r>
    </w:p>
    <w:p w14:paraId="7EF42155" w14:textId="77777777" w:rsidR="0046682E" w:rsidRPr="00703334" w:rsidRDefault="0046682E" w:rsidP="0046682E">
      <w:pPr>
        <w:pStyle w:val="Textoconsangra"/>
        <w:spacing w:line="360" w:lineRule="auto"/>
        <w:ind w:firstLine="737"/>
        <w:jc w:val="both"/>
      </w:pPr>
      <w:r w:rsidRPr="00703334">
        <w:t xml:space="preserve">El EC contiene tres conceptos centrales: los funcionamientos, las capacidades y la agencia (Alkire y Deneulin, 2009). Los funcionamientos son las diversas actividades y estados valiosos que conforman el bienestar de la persona, pueden ser muy elementales o muy complejos como estar sana, bien alimentada, segura, educada, así como tener un buen trabajo o participar en actividades comunitarias. </w:t>
      </w:r>
      <w:r w:rsidR="00622E68" w:rsidRPr="00703334">
        <w:t>L</w:t>
      </w:r>
      <w:r w:rsidRPr="00703334">
        <w:t>os funcionamientos reflejan lo que una persona puede hacer o ser con el ingreso, los bienes o los activos que posee</w:t>
      </w:r>
      <w:r w:rsidR="007D4908" w:rsidRPr="00703334">
        <w:t xml:space="preserve">. </w:t>
      </w:r>
      <w:r w:rsidRPr="00703334">
        <w:t>Las capacidades son las diversas combinaciones de funcionamientos que una persona puede alcanzar</w:t>
      </w:r>
      <w:r w:rsidR="007D4908" w:rsidRPr="00703334">
        <w:t>,</w:t>
      </w:r>
      <w:r w:rsidRPr="00703334">
        <w:t xml:space="preserve"> representan la libertad de disfrutar de varios funcionamientos (Sen</w:t>
      </w:r>
      <w:r w:rsidR="007D4908" w:rsidRPr="00703334">
        <w:t xml:space="preserve">, </w:t>
      </w:r>
      <w:r w:rsidRPr="00703334">
        <w:t>1999)</w:t>
      </w:r>
      <w:r w:rsidR="007D4908" w:rsidRPr="00703334">
        <w:t>.</w:t>
      </w:r>
      <w:r w:rsidRPr="00703334">
        <w:t xml:space="preserve"> </w:t>
      </w:r>
      <w:r w:rsidR="007D4908" w:rsidRPr="00703334">
        <w:t>E</w:t>
      </w:r>
      <w:r w:rsidRPr="00703334">
        <w:t>n términos económicos se podría decir que es el conjunto presupuestario que tiene una persona para lograr sus propósitos</w:t>
      </w:r>
      <w:r w:rsidR="007D4908" w:rsidRPr="00703334">
        <w:t>;</w:t>
      </w:r>
      <w:r w:rsidRPr="00703334">
        <w:t xml:space="preserve"> </w:t>
      </w:r>
      <w:r w:rsidR="007D4908" w:rsidRPr="00703334">
        <w:t>p</w:t>
      </w:r>
      <w:r w:rsidRPr="00703334">
        <w:t xml:space="preserve">ara ejemplificar, Alkire y Deneulin (2009) comparan las capacidades con una bolsa llena de monedas con las que una persona puede comprar muchas combinaciones de diferentes cosas (funcionamientos). Entonces, dependiendo de las capacidades que tenga la persona, tendrá más o menos oportunidades de elegir entre diversos funcionamientos; por lo cual, las capacidades representan el rango de opciones que las personas tienen para decidir qué tipo de vida llevar (Drèze y Sen, 2002). </w:t>
      </w:r>
    </w:p>
    <w:p w14:paraId="76AFC551" w14:textId="0FEB2E41" w:rsidR="0046682E" w:rsidRPr="00703334" w:rsidRDefault="006C49E0" w:rsidP="0046682E">
      <w:pPr>
        <w:spacing w:line="360" w:lineRule="auto"/>
        <w:ind w:firstLine="737"/>
        <w:jc w:val="both"/>
      </w:pPr>
      <w:r w:rsidRPr="00703334">
        <w:lastRenderedPageBreak/>
        <w:t>L</w:t>
      </w:r>
      <w:r w:rsidR="0046682E" w:rsidRPr="00703334">
        <w:t xml:space="preserve">a agencia individual es la capacidad de la persona para perseguir y alcanzar cualquier objetivo o propósito que considere importante para su vida (Sen, 1985). A través de la agencia, la persona puede propiciar cambios de manera individual (Sen, 2000), colectiva (Nayaran-Parker, 2005; Samman y Santos, 2009) y través de otros (Bandura, 2006). </w:t>
      </w:r>
      <w:r w:rsidR="00B44AC3" w:rsidRPr="00703334">
        <w:t>La agencia e</w:t>
      </w:r>
      <w:r w:rsidR="0046682E" w:rsidRPr="00703334">
        <w:t>stá directamente relacionada con las libertades, considerando que las personas requieren de éstas para actuar sin restricciones y puedan ser agentes de su propio bienestar</w:t>
      </w:r>
      <w:r w:rsidR="00B44AC3" w:rsidRPr="00703334">
        <w:t>.</w:t>
      </w:r>
      <w:r w:rsidR="0046682E" w:rsidRPr="00703334">
        <w:t xml:space="preserve"> </w:t>
      </w:r>
      <w:r w:rsidR="00B44AC3" w:rsidRPr="00703334">
        <w:t>A</w:t>
      </w:r>
      <w:r w:rsidR="0046682E" w:rsidRPr="00703334">
        <w:t xml:space="preserve"> su vez, las personas requieren ejercer la agencia para generar las condiciones necesarias que les permita expandir sus libertades (Alkire y Deneulin, 2009). </w:t>
      </w:r>
    </w:p>
    <w:p w14:paraId="5031B5FA" w14:textId="77777777" w:rsidR="0046682E" w:rsidRPr="00703334" w:rsidRDefault="0046682E" w:rsidP="0046682E">
      <w:pPr>
        <w:spacing w:line="360" w:lineRule="auto"/>
        <w:ind w:firstLine="737"/>
        <w:jc w:val="both"/>
      </w:pPr>
      <w:r w:rsidRPr="00703334">
        <w:t xml:space="preserve">Nayaran-Parker (2005), al igual que Sen et al. (1999), sostiene que las personas en pobreza tienen una capacidad limitada para actuar en pro de sus propios intereses, lo que se traduce en una desigualdad de agencia frente a otros que tienen una mayor libertad. Por lo que, las personas bajo condiciones de desventaja necesitan una variedad de activos y capacidades para influir, negociar, controlar y responsabilizar a otros actores con el fin de aumentar su propio bienestar. Por tanto, para Nayaran-Parker (2005), la agencia está fuertemente determinada por los activos y las capacidades que las personas poseen. </w:t>
      </w:r>
    </w:p>
    <w:p w14:paraId="1E1F13E9" w14:textId="4C5A3733" w:rsidR="0046682E" w:rsidRPr="00703334" w:rsidRDefault="0046682E" w:rsidP="0046682E">
      <w:pPr>
        <w:pStyle w:val="Textoconsangra"/>
        <w:spacing w:line="360" w:lineRule="auto"/>
        <w:ind w:firstLine="737"/>
        <w:jc w:val="both"/>
      </w:pPr>
      <w:r w:rsidRPr="00703334">
        <w:t xml:space="preserve">En el EC, el ingreso y los activos tales como vivienda, tierra, herramientas u otros bienes son importantes como medios para alcanzar los fines (Sen, 2000); ya que tienen efectos directos sobre el bienestar de los hogares y su posesión representa un potencial para que las personas logren sus propósitos (Attanasio y Székely, 1999), amplíen sus opciones económicas e incrementen su autonomía para decidir (Nayaran-Parker, 2005). </w:t>
      </w:r>
    </w:p>
    <w:p w14:paraId="294B8E30" w14:textId="77777777" w:rsidR="0046682E" w:rsidRPr="00703334" w:rsidRDefault="0046682E" w:rsidP="0046682E">
      <w:pPr>
        <w:pStyle w:val="Textoconsangra"/>
        <w:spacing w:line="360" w:lineRule="auto"/>
        <w:ind w:firstLine="737"/>
        <w:jc w:val="both"/>
      </w:pPr>
      <w:r w:rsidRPr="00703334">
        <w:t>Respecto a qué capacidades son esenciales, Robeyns (2005, 2006) señala que difícilmente se puede definir una sola lista de capacidades pues varían de acuerdo con los propósitos de cada persona. Sin embargo, existen esfuerzos para definirlas. Alkire (2002) ha revisado varias listas elaboradas desde distintas disciplinas y ha encontrado similitudes entre ellas. Nayaran-Parker (2005), por su parte, sostiene que más allá de los activos, las personas requieren de múltiples capacidades; dado que la pobreza es multidimensional. Además, considera la importancia de incluir las capacidades sociales, políticas y psicológicas, que suelen pasarse por alto. Por otra parte, Nussbaum (200</w:t>
      </w:r>
      <w:r w:rsidR="00783DB5" w:rsidRPr="00703334">
        <w:t>0</w:t>
      </w:r>
      <w:r w:rsidRPr="00703334">
        <w:t xml:space="preserve">) ha propuesto una lista de 10 capacidades que califica como centrales, en las que incluye la vida, la salud, la seguridad, las emociones, la afiliación, la razón práctica, el control sobre el entorno material, entre otras. Al respecto, Anand et al. (2009) consideran que dada la descripción que hace Nussbaum, pueden valorarse como universales y de alto nivel, por lo que deberían ser abordadas desde las políticas públicas por los gobiernos. </w:t>
      </w:r>
    </w:p>
    <w:p w14:paraId="529A9849" w14:textId="77777777" w:rsidR="0046682E" w:rsidRPr="00703334" w:rsidRDefault="0046682E" w:rsidP="0046682E">
      <w:pPr>
        <w:pStyle w:val="Textoconsangra"/>
        <w:spacing w:line="360" w:lineRule="auto"/>
        <w:ind w:firstLine="737"/>
        <w:jc w:val="both"/>
      </w:pPr>
      <w:r w:rsidRPr="00703334">
        <w:lastRenderedPageBreak/>
        <w:t>Dada la complejidad que representa medir el constructo agencia individual, así como las capacidades, las investigaciones empíricas generalmente se han centrado en los activos y en variables que miden educación y salud (Alkire, 2005; 2008) y han dejado de lado otras, como las psicológicas, que pueden estar involucradas en el proceso de agencia</w:t>
      </w:r>
      <w:r w:rsidR="00622E68" w:rsidRPr="00703334">
        <w:t xml:space="preserve">; ya que como ha señalado </w:t>
      </w:r>
      <w:r w:rsidRPr="00703334">
        <w:t xml:space="preserve">Nayaran-Parker (2005) personas con habilidades y recursos similares tienen una disposición a actuar de forma diferente para alcanzar sus objetivos. Además, agrega, la confianza que siente cada persona de sí misma y su sentido de autoeficacia son precursores importantes de su acción, de modo que incorporar el aspecto psicológico puede contribuir a una mayor comprensión del empoderamiento y de la agencia de las personas. De igual forma, Sen (2000) observa que existe una brecha entre los bienes y lo que se obtiene de ellos, por lo que habría que considerar otros factores como las características individuales que intervienen en la conversión que las personas hacen de sus bienes en capacidades para alcanzar los fines valorados. </w:t>
      </w:r>
    </w:p>
    <w:p w14:paraId="0FD101FD" w14:textId="77777777" w:rsidR="0046682E" w:rsidRPr="00703334" w:rsidRDefault="0046682E" w:rsidP="0046682E">
      <w:pPr>
        <w:pStyle w:val="Textoconsangra"/>
        <w:spacing w:line="360" w:lineRule="auto"/>
        <w:ind w:firstLine="737"/>
        <w:jc w:val="both"/>
      </w:pPr>
      <w:r w:rsidRPr="00703334">
        <w:t>Si bien Amartya Sen no incluye la dimensión psicológica expresamente dentro de la descripción que hace de las características personales, existe evidencia de su importancia en la agencia individual de muy distintas formas pues el componente psicológico está presente, ya que las personas cuando actúan involucran su intención y propósito (Bandura, 1982, 2001, 2006; Emirbayer y Mische, 1998; Pick</w:t>
      </w:r>
      <w:r w:rsidR="00783DB5" w:rsidRPr="00703334">
        <w:t xml:space="preserve"> et al.</w:t>
      </w:r>
      <w:r w:rsidRPr="00703334">
        <w:t xml:space="preserve">, 2007), su significado de la vida y autodeterminación (Samman, 2007), la motivación (Kabeer, </w:t>
      </w:r>
      <w:r w:rsidRPr="00703334">
        <w:rPr>
          <w:iCs/>
          <w:shd w:val="clear" w:color="auto" w:fill="FFFFFF"/>
        </w:rPr>
        <w:t>2002, 2005</w:t>
      </w:r>
      <w:r w:rsidRPr="00703334">
        <w:t>), las aspiraciones (Appadurai, 2004; Lybbert y Wydick, 2017; Snyder, 1994; 2002), la capacidad de imaginar (</w:t>
      </w:r>
      <w:r w:rsidR="00783DB5" w:rsidRPr="00703334">
        <w:t xml:space="preserve">Nayaran-Parker, 2005; </w:t>
      </w:r>
      <w:r w:rsidRPr="00703334">
        <w:t>Nussbaum, 200</w:t>
      </w:r>
      <w:r w:rsidR="00783DB5" w:rsidRPr="00703334">
        <w:t>0</w:t>
      </w:r>
      <w:r w:rsidRPr="00703334">
        <w:t>; 2012) y las habilidades cognitivas</w:t>
      </w:r>
      <w:r w:rsidR="00622E68" w:rsidRPr="00703334">
        <w:t xml:space="preserve"> y no cognitivas</w:t>
      </w:r>
      <w:r w:rsidRPr="00703334">
        <w:t xml:space="preserve"> (Heckman, 20</w:t>
      </w:r>
      <w:r w:rsidR="00783DB5" w:rsidRPr="00703334">
        <w:t>10</w:t>
      </w:r>
      <w:r w:rsidRPr="00703334">
        <w:t>;</w:t>
      </w:r>
      <w:r w:rsidR="00783DB5" w:rsidRPr="00703334">
        <w:t xml:space="preserve"> Heckman y Kautz,</w:t>
      </w:r>
      <w:r w:rsidRPr="00703334">
        <w:t xml:space="preserve"> 201</w:t>
      </w:r>
      <w:r w:rsidR="00783DB5" w:rsidRPr="00703334">
        <w:t>2</w:t>
      </w:r>
      <w:r w:rsidRPr="00703334">
        <w:t xml:space="preserve">; </w:t>
      </w:r>
      <w:r w:rsidR="00783DB5" w:rsidRPr="00703334">
        <w:t>Heckman et al., 2006</w:t>
      </w:r>
      <w:r w:rsidRPr="00703334">
        <w:t xml:space="preserve">), además de otros atributos como la perseverancia (Duckworth et al., 2007) y la resiliencia (Rutter, 1985) que les permite continuar y hacer frente a las adversidades para alcanzar sus objetivos. </w:t>
      </w:r>
    </w:p>
    <w:p w14:paraId="6045F5BD" w14:textId="77777777" w:rsidR="0046682E" w:rsidRPr="00703334" w:rsidRDefault="0046682E" w:rsidP="0046682E">
      <w:pPr>
        <w:pStyle w:val="Textoconsangra"/>
        <w:spacing w:line="360" w:lineRule="auto"/>
        <w:ind w:firstLine="737"/>
        <w:jc w:val="both"/>
      </w:pPr>
      <w:r w:rsidRPr="00703334">
        <w:t xml:space="preserve">Por consiguiente, es relevante identificar el rol de la dimensión psicológica en la agencia individual frente a otras capacidades que han sido ampliamente estudiadas y que tienen una relación importante con la agencia, como la educación y el empleo que Sen (2000) ha expuesto mediante varios ejemplos. </w:t>
      </w:r>
    </w:p>
    <w:p w14:paraId="76F141A7" w14:textId="77777777" w:rsidR="0046682E" w:rsidRPr="00703334" w:rsidRDefault="0046682E" w:rsidP="0046682E">
      <w:pPr>
        <w:spacing w:line="360" w:lineRule="auto"/>
        <w:rPr>
          <w:i/>
        </w:rPr>
      </w:pPr>
      <w:bookmarkStart w:id="4" w:name="_Toc38828907"/>
      <w:r w:rsidRPr="00703334">
        <w:rPr>
          <w:b/>
          <w:i/>
        </w:rPr>
        <w:t xml:space="preserve">Educación y empleo </w:t>
      </w:r>
      <w:bookmarkEnd w:id="4"/>
      <w:r w:rsidR="006C49E0" w:rsidRPr="00703334">
        <w:rPr>
          <w:b/>
          <w:i/>
        </w:rPr>
        <w:t>(Capacidades)</w:t>
      </w:r>
      <w:r w:rsidRPr="00703334">
        <w:rPr>
          <w:b/>
          <w:i/>
        </w:rPr>
        <w:t xml:space="preserve"> </w:t>
      </w:r>
    </w:p>
    <w:p w14:paraId="20709663" w14:textId="77777777" w:rsidR="0046682E" w:rsidRPr="00703334" w:rsidRDefault="0046682E" w:rsidP="0046682E">
      <w:pPr>
        <w:pStyle w:val="Textoconsangra"/>
        <w:spacing w:line="360" w:lineRule="auto"/>
        <w:jc w:val="both"/>
        <w:rPr>
          <w:i/>
        </w:rPr>
      </w:pPr>
      <w:r w:rsidRPr="00703334">
        <w:t>La educación es de valor intrínseco e instrumental para el desarrollo humano (Sen</w:t>
      </w:r>
      <w:r w:rsidR="00783DB5" w:rsidRPr="00703334">
        <w:t>,</w:t>
      </w:r>
      <w:r w:rsidRPr="00703334">
        <w:t xml:space="preserve"> 2000), el primero radica en su relación con la libertad y las capacidades (Córdoba, 2006), amplía el conocimiento, la información y las ideas, así como la capacidad para llevarlas a cabo (Kabeer, 2002). El segundo contribuye al aprovechamiento de las oportunidades económicas (Sen, 2000) y pondera las habilidades laborales de las personas que se traducen en una mayor productividad </w:t>
      </w:r>
      <w:r w:rsidRPr="00703334">
        <w:lastRenderedPageBreak/>
        <w:t>y en otros beneficios económicos. Se espera que las personas con niveles más altos de educación desarrollen competencias, capten información, cuenten con más y mejores oportunidades de empleo y obtengan mayores ingresos (Becker, 2009; Córdoba, 2006; Sen, 2000</w:t>
      </w:r>
      <w:r w:rsidR="00375BF3" w:rsidRPr="00703334">
        <w:t xml:space="preserve">). </w:t>
      </w:r>
      <w:r w:rsidRPr="00703334">
        <w:t>En este sentido, la educación es un elemento crucial para mejorar la calidad de vida de las personas, sobre todo de quienes viven en condiciones de pobreza (Robeyns, 2005; 2006). Por ejemplo, se estima que por cada año adicional de escolarización se incrementen los ingresos en un 10 por ciento anual (Montenegro y Patrinos, 2014), valor en promedio superior a cualquier otra inversión que una persona puede hacer (Patrinos, 2016).</w:t>
      </w:r>
    </w:p>
    <w:p w14:paraId="1A460B0A" w14:textId="77777777" w:rsidR="0046682E" w:rsidRPr="00703334" w:rsidRDefault="0046682E" w:rsidP="0046682E">
      <w:pPr>
        <w:pStyle w:val="Textoconsangra"/>
        <w:spacing w:line="360" w:lineRule="auto"/>
        <w:jc w:val="both"/>
      </w:pPr>
      <w:r w:rsidRPr="00703334">
        <w:t>Realizar una actividad económica a través del empleo o del autoempleo no solo constituye un funcionamiento en sí mismo, también es una capacidad para alcanzar otros logros, pues además de permitir a las personas obtener ingresos, favorece su autonomía, amplía el margen de independencia, brinda la posibilidad de relacionarse con otras personas y da satisfacción personal por contribuir al beneficio propio y de otros (OPHI</w:t>
      </w:r>
      <w:r w:rsidR="00375BF3" w:rsidRPr="00703334">
        <w:t xml:space="preserve"> y CAF,</w:t>
      </w:r>
      <w:r w:rsidRPr="00703334">
        <w:t xml:space="preserve"> 201</w:t>
      </w:r>
      <w:r w:rsidR="00375BF3" w:rsidRPr="00703334">
        <w:t>6</w:t>
      </w:r>
      <w:r w:rsidRPr="00703334">
        <w:t>); por lo que, llevar a cabo una actividad económica remunerada se convierte en una capacidad que favorece la obtención de otro tipo de recursos y beneficios (Sen, 2000; Kabeer, 2002)</w:t>
      </w:r>
      <w:r w:rsidR="006C49E0" w:rsidRPr="00703334">
        <w:t>.</w:t>
      </w:r>
      <w:r w:rsidRPr="00703334">
        <w:t xml:space="preserve"> </w:t>
      </w:r>
    </w:p>
    <w:p w14:paraId="19D1AC5A" w14:textId="77777777" w:rsidR="0046682E" w:rsidRPr="00703334" w:rsidRDefault="0046682E" w:rsidP="0046682E">
      <w:pPr>
        <w:spacing w:line="360" w:lineRule="auto"/>
        <w:rPr>
          <w:i/>
        </w:rPr>
      </w:pPr>
      <w:bookmarkStart w:id="5" w:name="_Toc38828908"/>
      <w:r w:rsidRPr="00703334">
        <w:rPr>
          <w:b/>
          <w:i/>
        </w:rPr>
        <w:t xml:space="preserve">Características psicológicas </w:t>
      </w:r>
      <w:bookmarkEnd w:id="5"/>
      <w:r w:rsidRPr="00703334">
        <w:rPr>
          <w:b/>
          <w:i/>
        </w:rPr>
        <w:t xml:space="preserve"> </w:t>
      </w:r>
      <w:r w:rsidR="00622E68" w:rsidRPr="00703334">
        <w:rPr>
          <w:b/>
          <w:i/>
        </w:rPr>
        <w:t>(Capacidades psicológicas)</w:t>
      </w:r>
    </w:p>
    <w:p w14:paraId="1BCDB28B" w14:textId="24737CE3" w:rsidR="0046682E" w:rsidRPr="00703334" w:rsidRDefault="0046682E" w:rsidP="0046682E">
      <w:pPr>
        <w:pStyle w:val="Textoconsangra"/>
        <w:spacing w:line="360" w:lineRule="auto"/>
        <w:jc w:val="both"/>
        <w:rPr>
          <w:i/>
        </w:rPr>
      </w:pPr>
      <w:r w:rsidRPr="00703334">
        <w:t xml:space="preserve">Las características psicológicas que en mayor grado se han relacionado con la agencia individual son: autoeficacia (Bandura, 1982; 1989; 2001), autodeterminación (Ryan y Deci, 2000), autonomía (Kagitcibasi, 2005) y autocontrol (Metcalfe y Mischel, 1999). Sin embargo, existen otros atributos como perseverancia, resiliencia e inteligencia que también pueden ser parte de la agencia individual, considerando que se ha encontrado una relación con el logro. </w:t>
      </w:r>
    </w:p>
    <w:p w14:paraId="3D473AAA" w14:textId="77777777" w:rsidR="0046682E" w:rsidRPr="00703334" w:rsidRDefault="0046682E" w:rsidP="0046682E">
      <w:pPr>
        <w:pStyle w:val="Textoconsangra"/>
        <w:spacing w:line="360" w:lineRule="auto"/>
        <w:jc w:val="both"/>
        <w:rPr>
          <w:b/>
          <w:i/>
        </w:rPr>
      </w:pPr>
      <w:r w:rsidRPr="00703334">
        <w:rPr>
          <w:i/>
        </w:rPr>
        <w:t>Perseverancia.</w:t>
      </w:r>
      <w:r w:rsidRPr="00703334">
        <w:rPr>
          <w:b/>
          <w:i/>
        </w:rPr>
        <w:t xml:space="preserve"> </w:t>
      </w:r>
      <w:r w:rsidRPr="00703334">
        <w:t>Las personas perseverantes mantienen el interés y el esfuerzo en el tiempo con el fin de completar una tarea o lograr una meta de largo plazo, incluso, a pesar de los fracasos y las adversidades mantienen su constancia y resisten ante las dificultades con el propósito de completar lo que se han propuesto (Duckworth et al., 2007; Duckworth y Quinn, 2009; Rimfeld et al., 2016). Cuando las personas se plantean objetivos de largo plazo, pueden parecerles inalcanzables y renuncian a ellos porque les implica más tiempo y esfuerzo, sin embargo, cuando son perseverantes buscan la forma de cómo lograrlos. Además, se ha señalado que la perseverancia es tan esencial como la inteligencia, ya que existe una relación positiva con el éxito en el desempeño académico y laboral (Duckworth et al., 2007; Duckworth y Gross, 2014). En este sentido, la perseverancia puede ser un elemento clave de la agencia individual, principalmente cuando alcanzar un objetivo implique mantener la acción en el tiempo y ante una serie de obstáculos (Bandura, 2001).</w:t>
      </w:r>
    </w:p>
    <w:p w14:paraId="70A26020" w14:textId="77777777" w:rsidR="0046682E" w:rsidRPr="00703334" w:rsidRDefault="0046682E" w:rsidP="0046682E">
      <w:pPr>
        <w:pStyle w:val="Textoconsangra"/>
        <w:spacing w:line="360" w:lineRule="auto"/>
        <w:jc w:val="both"/>
        <w:rPr>
          <w:b/>
          <w:i/>
        </w:rPr>
      </w:pPr>
      <w:r w:rsidRPr="00703334">
        <w:rPr>
          <w:i/>
        </w:rPr>
        <w:lastRenderedPageBreak/>
        <w:t>Resiliencia.</w:t>
      </w:r>
      <w:r w:rsidRPr="00703334">
        <w:rPr>
          <w:b/>
          <w:i/>
        </w:rPr>
        <w:t xml:space="preserve"> </w:t>
      </w:r>
      <w:r w:rsidRPr="00703334">
        <w:t>La resiliencia es la capacidad de afrontamiento para adaptarse y superar riesgos o adversidades significativas, incluso de fortalecimiento en situaciones o experiencias estresantes o desafiantes (Luthar y Cushing, 1999; Masten y Powell, 2003; Luthar, 2015). Rutter (1985) observa que la resiliencia se caracteriza por algún tipo de acción con un objetivo definido y una estrategia para lograrlo. Se corresponde con rasgos individuales positivos (Seligman y Csikszentmihalyi, 2000) autoestima, confianza, autoeficacia y capacidad de manejar el cambio y la adaptación. La calidad de la resiliencia radica en el proceso de cómo se manejan las situaciones (Richardson et al., 1990).</w:t>
      </w:r>
      <w:r w:rsidRPr="00703334">
        <w:rPr>
          <w:b/>
        </w:rPr>
        <w:t xml:space="preserve"> </w:t>
      </w:r>
      <w:r w:rsidRPr="00703334">
        <w:t xml:space="preserve">La caracterización de Rutter (1985) sugiere una relación positiva con la agencia individual, dado que las personas que buscan alcanzar sus objetivos probablemente tengan que enfrentarse a la adversidad y salir de ésta. </w:t>
      </w:r>
    </w:p>
    <w:p w14:paraId="204E99B2" w14:textId="2F9B8A12" w:rsidR="0046682E" w:rsidRPr="00703334" w:rsidRDefault="0046682E" w:rsidP="0046682E">
      <w:pPr>
        <w:pStyle w:val="Textoconsangra"/>
        <w:spacing w:line="360" w:lineRule="auto"/>
        <w:jc w:val="both"/>
      </w:pPr>
      <w:r w:rsidRPr="00703334">
        <w:rPr>
          <w:i/>
        </w:rPr>
        <w:t>Inteligencia.</w:t>
      </w:r>
      <w:r w:rsidRPr="00703334">
        <w:rPr>
          <w:b/>
          <w:i/>
        </w:rPr>
        <w:t xml:space="preserve"> </w:t>
      </w:r>
      <w:r w:rsidRPr="00703334">
        <w:t>Para Gottfredson (1997), la inteligencia es la capacidad de razonar, planificar, resolver problemas, pensar de modo abstracto, comprender ideas complejas, aprender rápido y aprender de la experiencia, en otras palabras, es la habilidad cognitiva que permite a las personas pensar, aprender con las situaciones y resolver con mayor o menor agilidad los nuevos problemas de la vida cotidiana. Algunas investigaciones concluyen que la inteligencia es uno de los predictores más sólidos del rendimiento académico (Good y Brophy, 1997; Rosander</w:t>
      </w:r>
      <w:r w:rsidR="00375BF3" w:rsidRPr="00703334">
        <w:t xml:space="preserve"> et al.</w:t>
      </w:r>
      <w:r w:rsidRPr="00703334">
        <w:t>, 2011) y con más probabilidades de éxito, incluyendo el salario. Asimismo, se ha relacionado con otros constructos (personalidad) en el dominio de logros (Almlund et al., 2011). Desde esta perspectiva, se considera que la inteligencia es parte de la agencia individual porque a las personas les permite pensar, aprender y resolver problemas que se les presenten y así alcanzar los objetivos que se proponen.</w:t>
      </w:r>
    </w:p>
    <w:p w14:paraId="72F893A9" w14:textId="51A54E0A" w:rsidR="00B44AC3" w:rsidRPr="00703334" w:rsidRDefault="00B44AC3" w:rsidP="00B44AC3">
      <w:pPr>
        <w:spacing w:line="360" w:lineRule="auto"/>
        <w:ind w:firstLine="567"/>
        <w:jc w:val="both"/>
      </w:pPr>
      <w:r w:rsidRPr="00703334">
        <w:t xml:space="preserve">No obstante, también existen características que pueden entorpecer el cumplimiento de los propósitos. </w:t>
      </w:r>
    </w:p>
    <w:p w14:paraId="026B1510" w14:textId="258B9154" w:rsidR="0046682E" w:rsidRPr="00703334" w:rsidRDefault="00B44AC3" w:rsidP="009B76B5">
      <w:pPr>
        <w:spacing w:line="360" w:lineRule="auto"/>
        <w:ind w:firstLine="567"/>
        <w:jc w:val="both"/>
      </w:pPr>
      <w:r w:rsidRPr="00703334">
        <w:t xml:space="preserve">La impulsividad </w:t>
      </w:r>
      <w:r w:rsidR="006C49E0" w:rsidRPr="00703334">
        <w:t>se considera</w:t>
      </w:r>
      <w:r w:rsidR="0046682E" w:rsidRPr="00703334">
        <w:t xml:space="preserve"> una predisposición a realizar acciones inmediatas para responder a estímulos internos y externos sin pensar en las consecuencias porque </w:t>
      </w:r>
      <w:r w:rsidRPr="00703334">
        <w:t xml:space="preserve">las personas </w:t>
      </w:r>
      <w:r w:rsidR="0046682E" w:rsidRPr="00703334">
        <w:t>reaccionan demasiado rápido sin procesar adecuadamente la información (Salvo y Castro, 2013; Squillace</w:t>
      </w:r>
      <w:r w:rsidR="00375BF3" w:rsidRPr="00703334">
        <w:t xml:space="preserve"> et al.</w:t>
      </w:r>
      <w:r w:rsidR="0046682E" w:rsidRPr="00703334">
        <w:t>, 2011). Asimismo, parece estar inversamente relacionada con el logro (Van Koningsbruggen</w:t>
      </w:r>
      <w:r w:rsidR="00375BF3" w:rsidRPr="00703334">
        <w:t xml:space="preserve"> et al.</w:t>
      </w:r>
      <w:r w:rsidR="0046682E" w:rsidRPr="00703334">
        <w:t>, 2013) y con el logro académico (Vigil-Coleṭ y Morales-Vives, 2005).</w:t>
      </w:r>
      <w:r w:rsidR="0046682E" w:rsidRPr="00703334">
        <w:rPr>
          <w:b/>
          <w:i/>
        </w:rPr>
        <w:t xml:space="preserve"> </w:t>
      </w:r>
      <w:r w:rsidR="0046682E" w:rsidRPr="00703334">
        <w:t xml:space="preserve">Respecto a la agencia, Vallacher y Wegner (1989) examinaron la relación impulsividad con el nivel de agencia personal, sus hallazgos muestran que un nivel alto de agencia está positivamente relacionado con la planificación de la acción, mientras que a mayor impulsividad menores niveles de agencia y persistencia. En este sentido, la impulsividad </w:t>
      </w:r>
      <w:r w:rsidRPr="00703334">
        <w:t>se considera</w:t>
      </w:r>
      <w:r w:rsidR="0046682E" w:rsidRPr="00703334">
        <w:t xml:space="preserve"> una característica que </w:t>
      </w:r>
      <w:r w:rsidR="006C49E0" w:rsidRPr="00703334">
        <w:t>limita</w:t>
      </w:r>
      <w:r w:rsidR="0046682E" w:rsidRPr="00703334">
        <w:t xml:space="preserve"> la agencia individual, pues es un elemento que pone en riesgo el logro de objetivos al carecer de autocontrol y reflexión.</w:t>
      </w:r>
    </w:p>
    <w:p w14:paraId="6113C0A8" w14:textId="77777777" w:rsidR="0046682E" w:rsidRPr="00703334" w:rsidRDefault="0046682E" w:rsidP="0046682E">
      <w:pPr>
        <w:spacing w:line="360" w:lineRule="auto"/>
        <w:rPr>
          <w:i/>
        </w:rPr>
      </w:pPr>
      <w:r w:rsidRPr="00703334">
        <w:rPr>
          <w:b/>
          <w:i/>
        </w:rPr>
        <w:lastRenderedPageBreak/>
        <w:t xml:space="preserve">Medición de la agencia individual </w:t>
      </w:r>
    </w:p>
    <w:p w14:paraId="4DD2CF90" w14:textId="6A38C4A8" w:rsidR="0046682E" w:rsidRPr="00703334" w:rsidRDefault="0046682E" w:rsidP="00622E68">
      <w:pPr>
        <w:pStyle w:val="Textoconsangra"/>
        <w:spacing w:line="360" w:lineRule="auto"/>
        <w:jc w:val="both"/>
      </w:pPr>
      <w:r w:rsidRPr="00703334">
        <w:t xml:space="preserve">Medir la agencia individual es complejo debido a que es un constructo inobservable, </w:t>
      </w:r>
      <w:r w:rsidR="006C49E0" w:rsidRPr="00703334">
        <w:t>no obstante, puede</w:t>
      </w:r>
      <w:r w:rsidRPr="00703334">
        <w:t xml:space="preserve"> ser medid</w:t>
      </w:r>
      <w:r w:rsidR="006C49E0" w:rsidRPr="00703334">
        <w:t>o</w:t>
      </w:r>
      <w:r w:rsidRPr="00703334">
        <w:t xml:space="preserve"> de manera indirecta (Sen, 2000)</w:t>
      </w:r>
      <w:r w:rsidR="006C49E0" w:rsidRPr="00703334">
        <w:t xml:space="preserve"> y para ello </w:t>
      </w:r>
      <w:r w:rsidRPr="00703334">
        <w:t xml:space="preserve">pueden </w:t>
      </w:r>
      <w:r w:rsidR="006C49E0" w:rsidRPr="00703334">
        <w:t>utilizarse</w:t>
      </w:r>
      <w:r w:rsidRPr="00703334">
        <w:t xml:space="preserve"> varias técnicas (Lelli, 2008)</w:t>
      </w:r>
      <w:r w:rsidR="006C49E0" w:rsidRPr="00703334">
        <w:t xml:space="preserve"> como </w:t>
      </w:r>
      <w:r w:rsidRPr="00703334">
        <w:t>los modelos de ecuaciones estructurales</w:t>
      </w:r>
      <w:r w:rsidR="006C49E0" w:rsidRPr="00703334">
        <w:t xml:space="preserve"> (SEM, </w:t>
      </w:r>
      <w:r w:rsidR="00090DCB" w:rsidRPr="00703334">
        <w:t xml:space="preserve">por </w:t>
      </w:r>
      <w:r w:rsidR="006C49E0" w:rsidRPr="00703334">
        <w:t>sus siglas en inglés)</w:t>
      </w:r>
      <w:r w:rsidRPr="00703334">
        <w:t xml:space="preserve"> que forman parte de los métodos multivariados los cuales han sido sugeridos por Sen (1990 y 1994) como idóneos para su propuesta teórica. </w:t>
      </w:r>
      <w:r w:rsidR="00622E68" w:rsidRPr="00703334">
        <w:t xml:space="preserve">Asimismo, </w:t>
      </w:r>
      <w:r w:rsidRPr="00703334">
        <w:t>son técnicas muy utilizadas en la investigación empírica, particularmente en las ciencias sociales</w:t>
      </w:r>
      <w:r w:rsidR="006C49E0" w:rsidRPr="00703334">
        <w:t>,</w:t>
      </w:r>
      <w:r w:rsidRPr="00703334">
        <w:t xml:space="preserve"> porque facilitan el análisis de fenómenos complejos (Lelli, 2008). La técnica combina el análisis factorial y la regresión lineal para probar el grado de ajuste entre datos observados y un modelo hipotético con el propósito de resumir los datos disponibles para comprender </w:t>
      </w:r>
      <w:r w:rsidR="00622E68" w:rsidRPr="00703334">
        <w:t xml:space="preserve">con mayor facilidad </w:t>
      </w:r>
      <w:r w:rsidRPr="00703334">
        <w:t xml:space="preserve">las relaciones causales de tipo lineal, así como estimar la relación entre constructos no observables, denominados variables latentes. Los modelos de ecuaciones estructurales no prueban la causalidad, sin embargo, permiten evaluar empíricamente modelos teóricos (Kline, 2011). La técnica ha sido utilizada </w:t>
      </w:r>
      <w:r w:rsidR="00B44AC3" w:rsidRPr="00703334">
        <w:t xml:space="preserve">previamente </w:t>
      </w:r>
      <w:r w:rsidRPr="00703334">
        <w:t xml:space="preserve">para modelos basados en el EC (Lelli, 2008; Krishnakumar y Chávez-Juárez, 2015).  </w:t>
      </w:r>
    </w:p>
    <w:p w14:paraId="2B71B2B0" w14:textId="7C489BEB" w:rsidR="0046682E" w:rsidRPr="00703334" w:rsidRDefault="0046682E" w:rsidP="0046682E">
      <w:pPr>
        <w:pStyle w:val="Textoconsangra"/>
        <w:spacing w:line="360" w:lineRule="auto"/>
        <w:jc w:val="both"/>
      </w:pPr>
      <w:r w:rsidRPr="00703334">
        <w:t xml:space="preserve">Partiendo de lo antes señalado, </w:t>
      </w:r>
      <w:r w:rsidR="00BF6B5A" w:rsidRPr="00703334">
        <w:t xml:space="preserve">este </w:t>
      </w:r>
      <w:r w:rsidRPr="00703334">
        <w:t xml:space="preserve">estudio tiene como objetivo </w:t>
      </w:r>
      <w:r w:rsidR="00BF6B5A" w:rsidRPr="00703334">
        <w:t xml:space="preserve">general </w:t>
      </w:r>
      <w:r w:rsidRPr="00703334">
        <w:t xml:space="preserve">determinar la contribución de la dimensión psicológica en la agencia individual frente a las capacidades educación y empleo a través de un modelo de ecuaciones estructurales (SEM). Para esto, el estudio tiene tres objetivos específicos: </w:t>
      </w:r>
      <w:r w:rsidR="00BF6B5A" w:rsidRPr="00703334">
        <w:t>1</w:t>
      </w:r>
      <w:r w:rsidRPr="00703334">
        <w:t xml:space="preserve">) probar un modelo hipotético de agencia individual basado en el enfoque de capacidades, </w:t>
      </w:r>
      <w:r w:rsidR="00BF6B5A" w:rsidRPr="00703334">
        <w:t>2</w:t>
      </w:r>
      <w:r w:rsidRPr="00703334">
        <w:t xml:space="preserve">) contrastar el peso de las capacidades </w:t>
      </w:r>
      <w:r w:rsidR="00622E68" w:rsidRPr="00703334">
        <w:t xml:space="preserve">-educación y empleo- </w:t>
      </w:r>
      <w:r w:rsidRPr="00703334">
        <w:t>y características psicológicas</w:t>
      </w:r>
      <w:r w:rsidR="00622E68" w:rsidRPr="00703334">
        <w:t xml:space="preserve"> -capacidades psicológicas-</w:t>
      </w:r>
      <w:r w:rsidRPr="00703334">
        <w:t xml:space="preserve"> en la conformación de la agencia individual y </w:t>
      </w:r>
      <w:r w:rsidR="00BF6B5A" w:rsidRPr="00703334">
        <w:t>3</w:t>
      </w:r>
      <w:r w:rsidRPr="00703334">
        <w:t xml:space="preserve">) identificar qué atributos psicológicos favorecen y limitan la agencia de las personas. Las preguntas que se pretenden contestar son: (1) ¿El ingreso que obtienen mujeres y hombres jefes de familia está relacionado con su agencia individual? (2) ¿Las capacidades y las características psicológicas están relacionadas con la agencia individual y con el ingreso? (3) ¿Cuál es el peso de la dimensión psicológica frente a </w:t>
      </w:r>
      <w:r w:rsidR="006C49E0" w:rsidRPr="00703334">
        <w:t>las</w:t>
      </w:r>
      <w:r w:rsidRPr="00703334">
        <w:t xml:space="preserve"> capacidades</w:t>
      </w:r>
      <w:r w:rsidR="006C49E0" w:rsidRPr="00703334">
        <w:t xml:space="preserve"> educación y empleo</w:t>
      </w:r>
      <w:r w:rsidRPr="00703334">
        <w:t xml:space="preserve">? </w:t>
      </w:r>
      <w:r w:rsidR="006C49E0" w:rsidRPr="00703334">
        <w:t>Y,</w:t>
      </w:r>
      <w:r w:rsidRPr="00703334">
        <w:t xml:space="preserve"> de tener relevancia la dimensión psicológica en la agencia individual</w:t>
      </w:r>
      <w:r w:rsidR="006C49E0" w:rsidRPr="00703334">
        <w:t xml:space="preserve">, </w:t>
      </w:r>
      <w:r w:rsidRPr="00703334">
        <w:t>(4) ¿</w:t>
      </w:r>
      <w:r w:rsidR="006C49E0" w:rsidRPr="00703334">
        <w:t>c</w:t>
      </w:r>
      <w:r w:rsidRPr="00703334">
        <w:t>uáles son los principales atributos psicológicos con mayor peso</w:t>
      </w:r>
      <w:r w:rsidR="00BF6B5A" w:rsidRPr="00703334">
        <w:t xml:space="preserve"> factorial</w:t>
      </w:r>
      <w:r w:rsidRPr="00703334">
        <w:t xml:space="preserve">? </w:t>
      </w:r>
    </w:p>
    <w:p w14:paraId="43E0C894" w14:textId="77777777" w:rsidR="0046682E" w:rsidRPr="00703334" w:rsidRDefault="0046682E" w:rsidP="006C49E0">
      <w:pPr>
        <w:spacing w:line="360" w:lineRule="auto"/>
        <w:rPr>
          <w:b/>
          <w:i/>
        </w:rPr>
      </w:pPr>
      <w:bookmarkStart w:id="6" w:name="_Toc38828909"/>
      <w:bookmarkStart w:id="7" w:name="_Toc70185711"/>
      <w:bookmarkStart w:id="8" w:name="_Toc77421168"/>
      <w:r w:rsidRPr="00703334">
        <w:rPr>
          <w:b/>
          <w:i/>
        </w:rPr>
        <w:t>Modelo Hipotético</w:t>
      </w:r>
      <w:bookmarkEnd w:id="6"/>
      <w:bookmarkEnd w:id="7"/>
      <w:bookmarkEnd w:id="8"/>
    </w:p>
    <w:p w14:paraId="44D3AB7A" w14:textId="504242E1" w:rsidR="00703334" w:rsidRPr="00703334" w:rsidRDefault="0046682E" w:rsidP="00400007">
      <w:pPr>
        <w:pStyle w:val="Textoconsangra"/>
        <w:spacing w:line="360" w:lineRule="auto"/>
        <w:ind w:firstLine="737"/>
        <w:jc w:val="both"/>
      </w:pPr>
      <w:r w:rsidRPr="00703334">
        <w:t xml:space="preserve">El modelo hipotético </w:t>
      </w:r>
      <w:r w:rsidR="00622E68" w:rsidRPr="00703334">
        <w:t xml:space="preserve">propuesto </w:t>
      </w:r>
      <w:r w:rsidRPr="00703334">
        <w:t>es de segundo orden (Figura 1)</w:t>
      </w:r>
      <w:r w:rsidR="00622E68" w:rsidRPr="00703334">
        <w:t>.</w:t>
      </w:r>
      <w:r w:rsidRPr="00703334">
        <w:t xml:space="preserve"> </w:t>
      </w:r>
      <w:r w:rsidR="00622E68" w:rsidRPr="00703334">
        <w:t>D</w:t>
      </w:r>
      <w:r w:rsidRPr="00703334">
        <w:t>e izquierda a derecha se encuentran los indicadores observables (rectángulos) que miden la</w:t>
      </w:r>
      <w:r w:rsidR="00622E68" w:rsidRPr="00703334">
        <w:t>s</w:t>
      </w:r>
      <w:r w:rsidRPr="00703334">
        <w:t xml:space="preserve"> capacidad</w:t>
      </w:r>
      <w:r w:rsidR="00622E68" w:rsidRPr="00703334">
        <w:t>es</w:t>
      </w:r>
      <w:r w:rsidRPr="00703334">
        <w:t xml:space="preserve"> psicológica</w:t>
      </w:r>
      <w:r w:rsidR="00622E68" w:rsidRPr="00703334">
        <w:t>s</w:t>
      </w:r>
      <w:r w:rsidRPr="00703334">
        <w:t xml:space="preserve"> y </w:t>
      </w:r>
      <w:r w:rsidR="00622E68" w:rsidRPr="00703334">
        <w:t>las capacidades que engloba educación y empleo</w:t>
      </w:r>
      <w:r w:rsidRPr="00703334">
        <w:t xml:space="preserve">, </w:t>
      </w:r>
      <w:r w:rsidR="00622E68" w:rsidRPr="00703334">
        <w:t xml:space="preserve">ambas capacidades son </w:t>
      </w:r>
      <w:r w:rsidRPr="00703334">
        <w:t>variables latentes de primer orden (elipses)</w:t>
      </w:r>
      <w:r w:rsidR="00622E68" w:rsidRPr="00703334">
        <w:t xml:space="preserve"> y </w:t>
      </w:r>
      <w:r w:rsidRPr="00703334">
        <w:t xml:space="preserve">forman parte del constructo agencia individual, variable latente de </w:t>
      </w:r>
      <w:r w:rsidRPr="00703334">
        <w:lastRenderedPageBreak/>
        <w:t xml:space="preserve">segundo orden (elipse). </w:t>
      </w:r>
      <w:r w:rsidR="00400007">
        <w:t>S</w:t>
      </w:r>
      <w:r w:rsidR="00BF6B5A" w:rsidRPr="00703334">
        <w:t xml:space="preserve">e plantea que </w:t>
      </w:r>
      <w:r w:rsidRPr="00703334">
        <w:t xml:space="preserve">la variable agencia individual y la variable sexo tienen una relación directa </w:t>
      </w:r>
      <w:r w:rsidR="00BF6B5A" w:rsidRPr="00703334">
        <w:t xml:space="preserve">con </w:t>
      </w:r>
      <w:r w:rsidRPr="00703334">
        <w:t xml:space="preserve">el ingreso. </w:t>
      </w:r>
    </w:p>
    <w:p w14:paraId="3F546CE2" w14:textId="77777777" w:rsidR="0046682E" w:rsidRPr="00703334" w:rsidRDefault="0046682E" w:rsidP="006C49E0">
      <w:pPr>
        <w:spacing w:line="360" w:lineRule="auto"/>
        <w:jc w:val="center"/>
      </w:pPr>
      <w:r w:rsidRPr="00703334">
        <w:rPr>
          <w:noProof/>
          <w:lang w:eastAsia="es-ES"/>
        </w:rPr>
        <w:drawing>
          <wp:inline distT="0" distB="0" distL="0" distR="0" wp14:anchorId="10BC1617" wp14:editId="12E6522B">
            <wp:extent cx="4872856" cy="2023305"/>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292" t="14893" r="11621" b="11083"/>
                    <a:stretch/>
                  </pic:blipFill>
                  <pic:spPr bwMode="auto">
                    <a:xfrm>
                      <a:off x="0" y="0"/>
                      <a:ext cx="4957720" cy="2058542"/>
                    </a:xfrm>
                    <a:prstGeom prst="rect">
                      <a:avLst/>
                    </a:prstGeom>
                    <a:ln>
                      <a:noFill/>
                    </a:ln>
                    <a:extLst>
                      <a:ext uri="{53640926-AAD7-44D8-BBD7-CCE9431645EC}">
                        <a14:shadowObscured xmlns:a14="http://schemas.microsoft.com/office/drawing/2010/main"/>
                      </a:ext>
                      <a:ext uri="{53640926-AAD7-44d8-BBD7-CCE9431645EC}">
                        <a14:shadowObscured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781A3963" w14:textId="2FC66ABC" w:rsidR="00703334" w:rsidRPr="00703334" w:rsidRDefault="00400007" w:rsidP="00703334">
      <w:pPr>
        <w:spacing w:line="360" w:lineRule="auto"/>
        <w:jc w:val="both"/>
      </w:pPr>
      <w:bookmarkStart w:id="9" w:name="_Toc70202643"/>
      <w:r>
        <w:rPr>
          <w:i/>
          <w:sz w:val="21"/>
        </w:rPr>
        <w:t xml:space="preserve">           </w:t>
      </w:r>
      <w:r w:rsidR="006C49E0" w:rsidRPr="00703334">
        <w:rPr>
          <w:i/>
          <w:sz w:val="21"/>
        </w:rPr>
        <w:t>Figura</w:t>
      </w:r>
      <w:r w:rsidR="006C49E0" w:rsidRPr="00703334">
        <w:rPr>
          <w:i/>
          <w:caps/>
          <w:sz w:val="21"/>
        </w:rPr>
        <w:t xml:space="preserve"> 1</w:t>
      </w:r>
      <w:r w:rsidR="006C49E0" w:rsidRPr="00703334">
        <w:rPr>
          <w:i/>
          <w:sz w:val="21"/>
        </w:rPr>
        <w:t xml:space="preserve">. </w:t>
      </w:r>
      <w:r w:rsidR="006C49E0" w:rsidRPr="00703334">
        <w:rPr>
          <w:sz w:val="21"/>
        </w:rPr>
        <w:t>Modelo hipotético de agencia individual en el ingreso.</w:t>
      </w:r>
      <w:bookmarkEnd w:id="9"/>
      <w:r w:rsidR="006C49E0" w:rsidRPr="00703334">
        <w:rPr>
          <w:sz w:val="21"/>
        </w:rPr>
        <w:t xml:space="preserve"> </w:t>
      </w:r>
      <w:r w:rsidR="006C49E0" w:rsidRPr="00703334">
        <w:rPr>
          <w:i/>
          <w:sz w:val="21"/>
        </w:rPr>
        <w:t>Fuente:</w:t>
      </w:r>
      <w:r w:rsidR="006C49E0" w:rsidRPr="00703334">
        <w:rPr>
          <w:sz w:val="21"/>
        </w:rPr>
        <w:t xml:space="preserve"> Elaboración propia. </w:t>
      </w:r>
    </w:p>
    <w:p w14:paraId="69D17E9C" w14:textId="036FEE6B" w:rsidR="0046682E" w:rsidRPr="00703334" w:rsidRDefault="0046682E" w:rsidP="0046682E">
      <w:pPr>
        <w:spacing w:line="360" w:lineRule="auto"/>
        <w:ind w:firstLine="737"/>
        <w:jc w:val="both"/>
      </w:pPr>
      <w:r w:rsidRPr="00703334">
        <w:t xml:space="preserve">En este trabajo se agrupan las variables educación y empleo, y se le nombra </w:t>
      </w:r>
      <w:r w:rsidRPr="00703334">
        <w:rPr>
          <w:i/>
        </w:rPr>
        <w:t xml:space="preserve">capacidades estratégicas </w:t>
      </w:r>
      <w:r w:rsidRPr="00703334">
        <w:t xml:space="preserve">para diferenciarlas de las </w:t>
      </w:r>
      <w:r w:rsidRPr="00703334">
        <w:rPr>
          <w:i/>
        </w:rPr>
        <w:t>capacidades psicológicas</w:t>
      </w:r>
      <w:r w:rsidRPr="00703334">
        <w:t>, ello con el fin de observar y comparar la relación que tienen ambas dimensiones sobre la agencia individual. El término de capacidades estratégicas no surge del enfoque de capacidades, para Narayan-Parker (2005) son capacidades humanas</w:t>
      </w:r>
      <w:r w:rsidR="00B44AC3" w:rsidRPr="00703334">
        <w:t>;</w:t>
      </w:r>
      <w:r w:rsidRPr="00703334">
        <w:t xml:space="preserve"> no obstante, las capacidades -características- psicológicas también son humanas, debido a ello se nombran </w:t>
      </w:r>
      <w:r w:rsidRPr="00703334">
        <w:rPr>
          <w:i/>
        </w:rPr>
        <w:t>estratégicas</w:t>
      </w:r>
      <w:r w:rsidRPr="00703334">
        <w:t xml:space="preserve"> </w:t>
      </w:r>
      <w:r w:rsidR="00622E68" w:rsidRPr="00703334">
        <w:t xml:space="preserve">únicamente </w:t>
      </w:r>
      <w:r w:rsidRPr="00703334">
        <w:t>para su diferenciación.</w:t>
      </w:r>
    </w:p>
    <w:p w14:paraId="24F312A5" w14:textId="77777777" w:rsidR="0046682E" w:rsidRPr="00703334" w:rsidRDefault="0046682E" w:rsidP="0046682E">
      <w:pPr>
        <w:pStyle w:val="Textoconsangra"/>
        <w:spacing w:line="360" w:lineRule="auto"/>
        <w:ind w:firstLine="0"/>
        <w:jc w:val="both"/>
        <w:rPr>
          <w:b/>
          <w:i/>
        </w:rPr>
      </w:pPr>
      <w:r w:rsidRPr="00703334">
        <w:rPr>
          <w:b/>
          <w:i/>
        </w:rPr>
        <w:t xml:space="preserve">Especificación de variables </w:t>
      </w:r>
    </w:p>
    <w:p w14:paraId="1C1F13F8" w14:textId="7AFBDEEE" w:rsidR="0046682E" w:rsidRPr="00703334" w:rsidRDefault="0046682E" w:rsidP="0046682E">
      <w:pPr>
        <w:pStyle w:val="Textoconsangra"/>
        <w:spacing w:line="360" w:lineRule="auto"/>
        <w:jc w:val="both"/>
        <w:rPr>
          <w:i/>
        </w:rPr>
      </w:pPr>
      <w:r w:rsidRPr="00703334">
        <w:rPr>
          <w:i/>
        </w:rPr>
        <w:t xml:space="preserve">Variable dependiente: </w:t>
      </w:r>
      <w:r w:rsidRPr="00703334">
        <w:t>Si bien en el EC el ingreso representa un medio para este estudio se considera un logro, ya que</w:t>
      </w:r>
      <w:r w:rsidR="00B44AC3" w:rsidRPr="00703334">
        <w:t>,</w:t>
      </w:r>
      <w:r w:rsidRPr="00703334">
        <w:t xml:space="preserve"> de acuerdo con lo señalado por Attanasio y Székely (1999)</w:t>
      </w:r>
      <w:r w:rsidR="00B44AC3" w:rsidRPr="00703334">
        <w:t>,</w:t>
      </w:r>
      <w:r w:rsidRPr="00703334">
        <w:t xml:space="preserve"> tiene efectos directos sobre el bienestar de las personas y contribuye al logro de propósitos mayores, como la alimentación </w:t>
      </w:r>
      <w:r w:rsidR="00B44AC3" w:rsidRPr="00703334">
        <w:t>y</w:t>
      </w:r>
      <w:r w:rsidRPr="00703334">
        <w:t xml:space="preserve"> </w:t>
      </w:r>
      <w:r w:rsidR="00B44AC3" w:rsidRPr="00703334">
        <w:t xml:space="preserve">la </w:t>
      </w:r>
      <w:r w:rsidRPr="00703334">
        <w:t>vivienda, sobre todo para las personas en condiciones de vulnerabilidad. Asimismo, es un componente del índice de desarrollo humano. Por lo tanto, el logro se aproxima a través del ingreso mensual (</w:t>
      </w:r>
      <w:r w:rsidRPr="00703334">
        <w:rPr>
          <w:i/>
        </w:rPr>
        <w:t>x</w:t>
      </w:r>
      <w:r w:rsidRPr="00703334">
        <w:t>) del jefe de familia, el cual fue transformado a una escala logarítmica y está representado con un rectángulo en el modelo (Figura 1).</w:t>
      </w:r>
    </w:p>
    <w:p w14:paraId="6F4DC444" w14:textId="77777777" w:rsidR="0046682E" w:rsidRPr="00703334" w:rsidRDefault="0046682E" w:rsidP="0046682E">
      <w:pPr>
        <w:pStyle w:val="Textoconsangra"/>
        <w:spacing w:line="360" w:lineRule="auto"/>
        <w:jc w:val="both"/>
        <w:rPr>
          <w:i/>
        </w:rPr>
      </w:pPr>
      <w:r w:rsidRPr="00703334">
        <w:rPr>
          <w:i/>
        </w:rPr>
        <w:t xml:space="preserve">Variables latentes: </w:t>
      </w:r>
      <w:r w:rsidRPr="00703334">
        <w:t xml:space="preserve">Son constructos no observables, </w:t>
      </w:r>
      <w:r w:rsidR="00622E68" w:rsidRPr="00703334">
        <w:t xml:space="preserve">están </w:t>
      </w:r>
      <w:r w:rsidRPr="00703334">
        <w:t xml:space="preserve">representados con una elipse en el modelo gráfico. La agencia individual ( ξ ) es una variable latente exógena de segundo orden conformada por dos dimensiones: </w:t>
      </w:r>
      <w:r w:rsidRPr="00703334">
        <w:rPr>
          <w:i/>
        </w:rPr>
        <w:t>capacidades psicológicas</w:t>
      </w:r>
      <w:r w:rsidRPr="00703334">
        <w:t xml:space="preserve"> (</w:t>
      </w:r>
      <w:r w:rsidRPr="00703334">
        <w:rPr>
          <w:i/>
        </w:rPr>
        <w:t>η</w:t>
      </w:r>
      <w:r w:rsidRPr="00703334">
        <w:rPr>
          <w:vertAlign w:val="subscript"/>
        </w:rPr>
        <w:t>1</w:t>
      </w:r>
      <w:r w:rsidRPr="00703334">
        <w:t xml:space="preserve">) y </w:t>
      </w:r>
      <w:r w:rsidRPr="00703334">
        <w:rPr>
          <w:i/>
        </w:rPr>
        <w:t>capacidades estratégicas</w:t>
      </w:r>
      <w:r w:rsidRPr="00703334">
        <w:t xml:space="preserve"> (</w:t>
      </w:r>
      <w:r w:rsidRPr="00703334">
        <w:rPr>
          <w:i/>
        </w:rPr>
        <w:t>η</w:t>
      </w:r>
      <w:r w:rsidRPr="00703334">
        <w:rPr>
          <w:vertAlign w:val="subscript"/>
        </w:rPr>
        <w:t>2</w:t>
      </w:r>
      <w:r w:rsidRPr="00703334">
        <w:t>), ambos constructos son variables latentes endógenas de primer orden, medidas a través de sus respectivas variables observadas (rectángulos).</w:t>
      </w:r>
    </w:p>
    <w:p w14:paraId="088E8953" w14:textId="1E73DE22" w:rsidR="00B44AC3" w:rsidRPr="00703334" w:rsidRDefault="0046682E" w:rsidP="0046682E">
      <w:pPr>
        <w:pStyle w:val="Textoconsangra"/>
        <w:spacing w:line="360" w:lineRule="auto"/>
        <w:jc w:val="both"/>
      </w:pPr>
      <w:r w:rsidRPr="00703334">
        <w:rPr>
          <w:i/>
        </w:rPr>
        <w:t xml:space="preserve">Variables observadas: </w:t>
      </w:r>
      <w:r w:rsidRPr="00703334">
        <w:rPr>
          <w:iCs/>
        </w:rPr>
        <w:t>Son</w:t>
      </w:r>
      <w:r w:rsidRPr="00703334">
        <w:rPr>
          <w:i/>
        </w:rPr>
        <w:t xml:space="preserve"> </w:t>
      </w:r>
      <w:r w:rsidRPr="00703334">
        <w:t>los puntajes promedio de las escalas: perseverancia (</w:t>
      </w:r>
      <w:r w:rsidRPr="00703334">
        <w:rPr>
          <w:i/>
        </w:rPr>
        <w:t>y</w:t>
      </w:r>
      <w:r w:rsidRPr="00703334">
        <w:rPr>
          <w:vertAlign w:val="subscript"/>
        </w:rPr>
        <w:t>1</w:t>
      </w:r>
      <w:r w:rsidRPr="00703334">
        <w:t>), resiliencia (</w:t>
      </w:r>
      <w:r w:rsidRPr="00703334">
        <w:rPr>
          <w:i/>
        </w:rPr>
        <w:t>y</w:t>
      </w:r>
      <w:r w:rsidRPr="00703334">
        <w:rPr>
          <w:vertAlign w:val="subscript"/>
        </w:rPr>
        <w:t>2</w:t>
      </w:r>
      <w:r w:rsidRPr="00703334">
        <w:t>), impulsividad (</w:t>
      </w:r>
      <w:r w:rsidRPr="00703334">
        <w:rPr>
          <w:i/>
        </w:rPr>
        <w:t>y</w:t>
      </w:r>
      <w:r w:rsidRPr="00703334">
        <w:rPr>
          <w:vertAlign w:val="subscript"/>
        </w:rPr>
        <w:t>3</w:t>
      </w:r>
      <w:r w:rsidRPr="00703334">
        <w:t>) e inteligencia (</w:t>
      </w:r>
      <w:r w:rsidRPr="00703334">
        <w:rPr>
          <w:i/>
        </w:rPr>
        <w:t>y</w:t>
      </w:r>
      <w:r w:rsidRPr="00703334">
        <w:rPr>
          <w:vertAlign w:val="subscript"/>
        </w:rPr>
        <w:t>4</w:t>
      </w:r>
      <w:r w:rsidRPr="00703334">
        <w:t xml:space="preserve">); </w:t>
      </w:r>
      <w:r w:rsidR="00BF6B5A" w:rsidRPr="00703334">
        <w:t xml:space="preserve">que </w:t>
      </w:r>
      <w:r w:rsidRPr="00703334">
        <w:t xml:space="preserve">miden el constructo de </w:t>
      </w:r>
      <w:r w:rsidRPr="00703334">
        <w:rPr>
          <w:i/>
        </w:rPr>
        <w:t>capacidades psicológicas</w:t>
      </w:r>
      <w:r w:rsidRPr="00703334">
        <w:t>.</w:t>
      </w:r>
      <w:r w:rsidRPr="00703334">
        <w:rPr>
          <w:i/>
        </w:rPr>
        <w:t xml:space="preserve"> </w:t>
      </w:r>
      <w:r w:rsidR="00B44AC3" w:rsidRPr="00703334">
        <w:rPr>
          <w:iCs/>
        </w:rPr>
        <w:t>E</w:t>
      </w:r>
      <w:r w:rsidR="00BF6B5A" w:rsidRPr="00703334">
        <w:rPr>
          <w:iCs/>
        </w:rPr>
        <w:t>l</w:t>
      </w:r>
      <w:r w:rsidRPr="00703334">
        <w:t xml:space="preserve"> constructo de </w:t>
      </w:r>
      <w:r w:rsidRPr="00703334">
        <w:rPr>
          <w:i/>
        </w:rPr>
        <w:t>capacidades estratégicas</w:t>
      </w:r>
      <w:r w:rsidRPr="00703334">
        <w:t xml:space="preserve"> se ve reflejado a través de la educación y el tipo de empleo. La educación se mide por los años de escolaridad (</w:t>
      </w:r>
      <w:r w:rsidRPr="00703334">
        <w:rPr>
          <w:i/>
        </w:rPr>
        <w:t>y</w:t>
      </w:r>
      <w:r w:rsidRPr="00703334">
        <w:rPr>
          <w:vertAlign w:val="subscript"/>
        </w:rPr>
        <w:t>5</w:t>
      </w:r>
      <w:r w:rsidRPr="00703334">
        <w:t xml:space="preserve">). El tipo de empleo </w:t>
      </w:r>
      <w:r w:rsidRPr="00703334">
        <w:lastRenderedPageBreak/>
        <w:t>(</w:t>
      </w:r>
      <w:r w:rsidRPr="00703334">
        <w:rPr>
          <w:i/>
        </w:rPr>
        <w:t>y</w:t>
      </w:r>
      <w:r w:rsidRPr="00703334">
        <w:rPr>
          <w:vertAlign w:val="subscript"/>
        </w:rPr>
        <w:t>6</w:t>
      </w:r>
      <w:r w:rsidRPr="00703334">
        <w:t>) es una variable binaria, toma</w:t>
      </w:r>
      <w:r w:rsidR="00BF6B5A" w:rsidRPr="00703334">
        <w:t xml:space="preserve"> el </w:t>
      </w:r>
      <w:r w:rsidRPr="00703334">
        <w:t xml:space="preserve">valor de uno cuando la persona </w:t>
      </w:r>
      <w:r w:rsidR="00B44AC3" w:rsidRPr="00703334">
        <w:t>se</w:t>
      </w:r>
      <w:r w:rsidR="00BF6B5A" w:rsidRPr="00703334">
        <w:t xml:space="preserve"> </w:t>
      </w:r>
      <w:r w:rsidRPr="00703334">
        <w:t>autoemple</w:t>
      </w:r>
      <w:r w:rsidR="00B44AC3" w:rsidRPr="00703334">
        <w:t xml:space="preserve">a </w:t>
      </w:r>
      <w:r w:rsidR="00BF6B5A" w:rsidRPr="00703334">
        <w:t xml:space="preserve">y cero </w:t>
      </w:r>
      <w:r w:rsidR="00B44AC3" w:rsidRPr="00703334">
        <w:t>cuando es empleada</w:t>
      </w:r>
      <w:r w:rsidR="00622E68" w:rsidRPr="00703334">
        <w:t>.</w:t>
      </w:r>
      <w:r w:rsidRPr="00703334">
        <w:t xml:space="preserve"> </w:t>
      </w:r>
      <w:r w:rsidR="00B44AC3" w:rsidRPr="00703334">
        <w:t>Autoempleada implica que la personas realiza una actividad económica por su cuenta para obtener un recurso económico, mientras que cuando la persona está empleada recibe un salario.</w:t>
      </w:r>
    </w:p>
    <w:p w14:paraId="156F673B" w14:textId="3A6E3B1C" w:rsidR="0046682E" w:rsidRPr="00703334" w:rsidRDefault="0046682E" w:rsidP="0046682E">
      <w:pPr>
        <w:pStyle w:val="Textoconsangra"/>
        <w:spacing w:line="360" w:lineRule="auto"/>
        <w:jc w:val="both"/>
        <w:rPr>
          <w:i/>
        </w:rPr>
      </w:pPr>
      <w:r w:rsidRPr="00703334">
        <w:t xml:space="preserve">La variable sexo (ω) es una variable binaria, toma </w:t>
      </w:r>
      <w:r w:rsidR="00BF6B5A" w:rsidRPr="00703334">
        <w:t xml:space="preserve">el valor de uno </w:t>
      </w:r>
      <w:r w:rsidRPr="00703334">
        <w:t>cuando es hombre</w:t>
      </w:r>
      <w:r w:rsidR="00BF6B5A" w:rsidRPr="00703334">
        <w:t xml:space="preserve"> y cero en otro caso</w:t>
      </w:r>
      <w:r w:rsidRPr="00703334">
        <w:t xml:space="preserve">. Se consideró incluir la variable </w:t>
      </w:r>
      <w:r w:rsidR="00BF6B5A" w:rsidRPr="00703334">
        <w:t xml:space="preserve">sexo, </w:t>
      </w:r>
      <w:r w:rsidRPr="00703334">
        <w:t>debido a que existe evidencia de una brecha en el ingreso entre mujeres y hombres, en favor de los segundos (Ponce et al., 2019). Asimismo, según datos de la OCDE, México se encuentra entre los países con la mayor brecha salarial de los países miembros, se estima que en 2019 fue de 18.8 por ciento</w:t>
      </w:r>
      <w:r w:rsidR="003D7D7F" w:rsidRPr="00703334">
        <w:t xml:space="preserve"> (INMUJERES, 2020)</w:t>
      </w:r>
      <w:r w:rsidRPr="00703334">
        <w:t xml:space="preserve">. </w:t>
      </w:r>
    </w:p>
    <w:p w14:paraId="6DD80617" w14:textId="77777777" w:rsidR="0046682E" w:rsidRPr="00703334" w:rsidRDefault="0046682E" w:rsidP="009B76B5">
      <w:pPr>
        <w:pStyle w:val="Ttulo3"/>
      </w:pPr>
      <w:bookmarkStart w:id="10" w:name="_Toc38828910"/>
      <w:bookmarkStart w:id="11" w:name="_Toc70185712"/>
      <w:bookmarkStart w:id="12" w:name="_Toc77421169"/>
      <w:r w:rsidRPr="00703334">
        <w:t>Método</w:t>
      </w:r>
      <w:bookmarkEnd w:id="10"/>
      <w:bookmarkEnd w:id="11"/>
      <w:bookmarkEnd w:id="12"/>
      <w:r w:rsidRPr="00703334">
        <w:t xml:space="preserve"> </w:t>
      </w:r>
    </w:p>
    <w:p w14:paraId="136EA163" w14:textId="77777777" w:rsidR="0046682E" w:rsidRPr="00703334" w:rsidRDefault="0046682E" w:rsidP="0046682E">
      <w:pPr>
        <w:spacing w:line="360" w:lineRule="auto"/>
        <w:rPr>
          <w:i/>
        </w:rPr>
      </w:pPr>
      <w:bookmarkStart w:id="13" w:name="_Toc38828911"/>
      <w:r w:rsidRPr="00703334">
        <w:rPr>
          <w:b/>
          <w:i/>
        </w:rPr>
        <w:t>Diseño y muestra</w:t>
      </w:r>
      <w:bookmarkEnd w:id="13"/>
    </w:p>
    <w:p w14:paraId="1631FE5A" w14:textId="2709707F" w:rsidR="0046682E" w:rsidRPr="00703334" w:rsidRDefault="0046682E" w:rsidP="0046682E">
      <w:pPr>
        <w:pStyle w:val="Textoconsangra"/>
        <w:spacing w:line="360" w:lineRule="auto"/>
        <w:jc w:val="both"/>
      </w:pPr>
      <w:r w:rsidRPr="00703334">
        <w:t xml:space="preserve">El diseño de este estudio es cuantitativo de corte transversal </w:t>
      </w:r>
      <w:r w:rsidR="0067445E" w:rsidRPr="00703334">
        <w:t>con</w:t>
      </w:r>
      <w:r w:rsidRPr="00703334">
        <w:t xml:space="preserve"> datos secundarios. Los datos fueron recolectados con el fin de generar un perfil psicológico y económico que permitiera identificar personas con más posibilidades de emprender proyectos productivos y de pagar microcrédito</w:t>
      </w:r>
      <w:r w:rsidR="00622E68" w:rsidRPr="00703334">
        <w:t>s</w:t>
      </w:r>
      <w:r w:rsidRPr="00703334">
        <w:t xml:space="preserve">. </w:t>
      </w:r>
    </w:p>
    <w:p w14:paraId="60F890FF" w14:textId="5134D9C1" w:rsidR="00900300" w:rsidRPr="00703334" w:rsidRDefault="00900300" w:rsidP="009B76B5">
      <w:pPr>
        <w:spacing w:line="360" w:lineRule="auto"/>
        <w:ind w:firstLine="567"/>
        <w:jc w:val="both"/>
      </w:pPr>
      <w:r w:rsidRPr="00703334">
        <w:t>La muestra es de conveniencia la cual proviene de ocho municipios de la región de Los Tuxtlas, en el estado de Veracruz de Ignacio de la Llave en México, el 90 por ciento de la muestra vive en localidades de alta y muy alta marginación. Se encuestó a 3,419 personas mayores de 18 años. Sin embargo, para el estudio se seleccionaron únicamente mujeres y hombres jefes de hogar que proporcionaron información completa, por lo que la muestra analítica quedó conformada por 1,238 participantes de los cuales el 13.9 % son mujeres</w:t>
      </w:r>
    </w:p>
    <w:p w14:paraId="16F77CB1" w14:textId="426B6CE2" w:rsidR="0046682E" w:rsidRPr="00703334" w:rsidRDefault="0046682E" w:rsidP="0046682E">
      <w:pPr>
        <w:pStyle w:val="Textoconsangra"/>
        <w:spacing w:line="360" w:lineRule="auto"/>
        <w:jc w:val="both"/>
      </w:pPr>
      <w:r w:rsidRPr="00703334">
        <w:t xml:space="preserve">La recolección de los datos se realizó durante cinco semanas </w:t>
      </w:r>
      <w:r w:rsidR="00622E68" w:rsidRPr="00703334">
        <w:t>entre</w:t>
      </w:r>
      <w:r w:rsidRPr="00703334">
        <w:t xml:space="preserve"> los meses de julio y agosto de 2015. La convocatoria para participar fue abierta, se realizó en asambleas comunitarias y se dirigió a personas mayores de 18 años. El método de recolección fue a través de una encuesta y se aplicó a un miembro de cada hogar que aceptó contestar el cuestionario; los participantes no recibieron ningún tipo de incentivo. El levantamiento de la información estuvo a cargo de </w:t>
      </w:r>
      <w:r w:rsidR="00400007">
        <w:t>personas</w:t>
      </w:r>
      <w:r w:rsidRPr="00703334">
        <w:t xml:space="preserve"> capacitad</w:t>
      </w:r>
      <w:r w:rsidR="00400007">
        <w:t>as</w:t>
      </w:r>
      <w:r w:rsidRPr="00703334">
        <w:t xml:space="preserve">. </w:t>
      </w:r>
    </w:p>
    <w:p w14:paraId="1120CDE9" w14:textId="77777777" w:rsidR="0046682E" w:rsidRPr="00703334" w:rsidRDefault="0046682E" w:rsidP="00B44AC3">
      <w:pPr>
        <w:spacing w:line="360" w:lineRule="auto"/>
        <w:rPr>
          <w:b/>
          <w:i/>
        </w:rPr>
      </w:pPr>
      <w:bookmarkStart w:id="14" w:name="_Toc38828912"/>
      <w:bookmarkStart w:id="15" w:name="_Toc70185713"/>
      <w:r w:rsidRPr="00703334">
        <w:rPr>
          <w:b/>
          <w:i/>
        </w:rPr>
        <w:t>Medidas</w:t>
      </w:r>
      <w:bookmarkEnd w:id="14"/>
      <w:bookmarkEnd w:id="15"/>
    </w:p>
    <w:p w14:paraId="32882C1A" w14:textId="2456D41D" w:rsidR="0046682E" w:rsidRPr="00703334" w:rsidRDefault="0046682E" w:rsidP="006C49E0">
      <w:pPr>
        <w:pStyle w:val="Textoconsangra"/>
        <w:spacing w:line="360" w:lineRule="auto"/>
        <w:jc w:val="both"/>
      </w:pPr>
      <w:r w:rsidRPr="00703334">
        <w:t xml:space="preserve">El instrumento </w:t>
      </w:r>
      <w:r w:rsidR="00400007">
        <w:t>se estructuró en</w:t>
      </w:r>
      <w:r w:rsidRPr="00703334">
        <w:t xml:space="preserve"> tres </w:t>
      </w:r>
      <w:r w:rsidR="00400007">
        <w:t>partes</w:t>
      </w:r>
      <w:r w:rsidRPr="00703334">
        <w:t>: (1) psicométrica, (2) sociométrica y (3) sociodemográfica. La primera sección se conform</w:t>
      </w:r>
      <w:r w:rsidR="00400007">
        <w:t>o</w:t>
      </w:r>
      <w:r w:rsidRPr="00703334">
        <w:t xml:space="preserve"> de cinco escalas. </w:t>
      </w:r>
      <w:r w:rsidR="00400007">
        <w:t>En l</w:t>
      </w:r>
      <w:r w:rsidRPr="00703334">
        <w:t xml:space="preserve">a segunda y tercera sección se solicitó información acerca de los participantes como ingreso, edad, sexo y </w:t>
      </w:r>
      <w:r w:rsidRPr="00703334">
        <w:lastRenderedPageBreak/>
        <w:t>escolaridad. El tiempo promedio de aplicación fue de 1.5 horas.</w:t>
      </w:r>
      <w:r w:rsidR="00F2440E" w:rsidRPr="00703334">
        <w:t xml:space="preserve"> A continuación, se describen las escalas psicométricas. </w:t>
      </w:r>
    </w:p>
    <w:p w14:paraId="42EA9FFB" w14:textId="264BA538" w:rsidR="0046682E" w:rsidRPr="00703334" w:rsidRDefault="0046682E" w:rsidP="0046682E">
      <w:pPr>
        <w:pStyle w:val="Textoconsangra"/>
        <w:spacing w:line="360" w:lineRule="auto"/>
        <w:jc w:val="both"/>
        <w:rPr>
          <w:i/>
        </w:rPr>
      </w:pPr>
      <w:r w:rsidRPr="00703334">
        <w:rPr>
          <w:i/>
        </w:rPr>
        <w:t xml:space="preserve">Perseverancia. </w:t>
      </w:r>
      <w:r w:rsidRPr="00703334">
        <w:t>Se utiliz</w:t>
      </w:r>
      <w:r w:rsidR="00622E68" w:rsidRPr="00703334">
        <w:t>ó</w:t>
      </w:r>
      <w:r w:rsidRPr="00703334">
        <w:t xml:space="preserve"> la Escala de Perseverancia Corta (Grit-S) traducida al español, consta de nueve ítems con opciones de respuesta en una escala tipo Likert con un rango de 0 a 4 (completamente en desacuerdo a totalmente de acuerdo). La escala mantiene la estructura de dos factores de la escala original: interés y perseverancia. El puntaje es el promedio de los valores de las respuestas; a mayor puntaje, mayor perseverancia</w:t>
      </w:r>
      <w:r w:rsidR="00F2440E" w:rsidRPr="00703334">
        <w:t xml:space="preserve"> </w:t>
      </w:r>
      <w:r w:rsidRPr="00703334">
        <w:t xml:space="preserve">(Duckworth y Quinn, 2009). </w:t>
      </w:r>
    </w:p>
    <w:p w14:paraId="3E083753" w14:textId="46D76846" w:rsidR="0046682E" w:rsidRPr="00703334" w:rsidRDefault="0046682E" w:rsidP="0046682E">
      <w:pPr>
        <w:pStyle w:val="Textoconsangra"/>
        <w:spacing w:line="360" w:lineRule="auto"/>
        <w:jc w:val="both"/>
        <w:rPr>
          <w:i/>
        </w:rPr>
      </w:pPr>
      <w:r w:rsidRPr="00703334">
        <w:rPr>
          <w:i/>
        </w:rPr>
        <w:t xml:space="preserve">Resiliencia. </w:t>
      </w:r>
      <w:r w:rsidRPr="00703334">
        <w:t xml:space="preserve">Se </w:t>
      </w:r>
      <w:r w:rsidR="00622E68" w:rsidRPr="00703334">
        <w:t>empleó</w:t>
      </w:r>
      <w:r w:rsidRPr="00703334">
        <w:rPr>
          <w:i/>
        </w:rPr>
        <w:t xml:space="preserve"> </w:t>
      </w:r>
      <w:r w:rsidRPr="00703334">
        <w:t xml:space="preserve">la escala de resiliencia Connor-Davidson (CD-RISC) </w:t>
      </w:r>
      <w:r w:rsidR="00622E68" w:rsidRPr="00703334">
        <w:t xml:space="preserve">que </w:t>
      </w:r>
      <w:r w:rsidRPr="00703334">
        <w:t xml:space="preserve">es una medida unidimensional de diez elementos (CD-RISC10) con opciones de respuesta de tipo Likert </w:t>
      </w:r>
      <w:r w:rsidR="00F2440E" w:rsidRPr="00703334">
        <w:t>de cinco puntos</w:t>
      </w:r>
      <w:r w:rsidRPr="00703334">
        <w:t xml:space="preserve"> (nunca / siempre); a mayor puntuación, mayor resiliencia. </w:t>
      </w:r>
      <w:r w:rsidR="00622E68" w:rsidRPr="00703334">
        <w:t xml:space="preserve">La escala </w:t>
      </w:r>
      <w:r w:rsidR="00F2440E" w:rsidRPr="00703334">
        <w:t xml:space="preserve">ha mostrado tener </w:t>
      </w:r>
      <w:r w:rsidRPr="00703334">
        <w:t>propiedades psicométricas adecuadas para medir eficientemente la capacidad de resiliencia (Campbell-Sills y Stein, 2007).</w:t>
      </w:r>
    </w:p>
    <w:p w14:paraId="5C3F4E82" w14:textId="6E545ECD" w:rsidR="0046682E" w:rsidRPr="00703334" w:rsidRDefault="0046682E" w:rsidP="0046682E">
      <w:pPr>
        <w:pStyle w:val="Textoconsangra"/>
        <w:spacing w:line="360" w:lineRule="auto"/>
        <w:jc w:val="both"/>
        <w:rPr>
          <w:i/>
        </w:rPr>
      </w:pPr>
      <w:r w:rsidRPr="00703334">
        <w:rPr>
          <w:i/>
        </w:rPr>
        <w:t xml:space="preserve">Inteligencia. </w:t>
      </w:r>
      <w:r w:rsidRPr="00703334">
        <w:t>Se utiliz</w:t>
      </w:r>
      <w:r w:rsidR="00622E68" w:rsidRPr="00703334">
        <w:t>ó</w:t>
      </w:r>
      <w:r w:rsidRPr="00703334">
        <w:t xml:space="preserve"> la versión reducida de la prueba de matrices progresivas de Raven que consta de 12 reactivos (matrices). Para responder a la prueba, cada participante seleccion</w:t>
      </w:r>
      <w:r w:rsidR="00622E68" w:rsidRPr="00703334">
        <w:t>a</w:t>
      </w:r>
      <w:r w:rsidRPr="00703334">
        <w:t xml:space="preserve"> un elemento de ochos opciones de respuesta para completar cada una de las imágenes (matrices), la complejidad es creciente, se inicia con las imágenes más sencillas hasta concluir con las más complejas. La medida de inteligencia se obtiene sumando el número de reactivos correctos, a mayor número de reactivos correctos, mayor es la inteligencia) (Raven </w:t>
      </w:r>
      <w:r w:rsidR="00375BF3" w:rsidRPr="00703334">
        <w:t>et al.,</w:t>
      </w:r>
      <w:r w:rsidRPr="00703334">
        <w:t>1993).</w:t>
      </w:r>
    </w:p>
    <w:p w14:paraId="03B3A586" w14:textId="3CB33749" w:rsidR="0046682E" w:rsidRPr="00703334" w:rsidRDefault="0046682E" w:rsidP="0046682E">
      <w:pPr>
        <w:pStyle w:val="Textoconsangra"/>
        <w:spacing w:line="360" w:lineRule="auto"/>
        <w:jc w:val="both"/>
      </w:pPr>
      <w:r w:rsidRPr="00703334">
        <w:rPr>
          <w:i/>
        </w:rPr>
        <w:t xml:space="preserve">Impulsividad. </w:t>
      </w:r>
      <w:r w:rsidRPr="00703334">
        <w:t xml:space="preserve">El constructo se mide a través de la escala de impulsividad de Barratt (BIS-11), consta de seis ítems y </w:t>
      </w:r>
      <w:r w:rsidR="00F2440E" w:rsidRPr="00703334">
        <w:t xml:space="preserve">ha </w:t>
      </w:r>
      <w:r w:rsidRPr="00703334">
        <w:t>presenta</w:t>
      </w:r>
      <w:r w:rsidR="00F2440E" w:rsidRPr="00703334">
        <w:t>do</w:t>
      </w:r>
      <w:r w:rsidRPr="00703334">
        <w:t xml:space="preserve"> evidencia de consistencia interna aceptable (</w:t>
      </w:r>
      <w:r w:rsidRPr="00703334">
        <w:sym w:font="Symbol" w:char="F061"/>
      </w:r>
      <w:r w:rsidRPr="00703334">
        <w:t xml:space="preserve">= .77). Las opciones de respuesta es una escala de tipo Likert </w:t>
      </w:r>
      <w:r w:rsidR="00B44AC3" w:rsidRPr="00703334">
        <w:t>que van de</w:t>
      </w:r>
      <w:r w:rsidRPr="00703334">
        <w:t xml:space="preserve"> 0 a 4 (nunca a siempre). No existe un punto de corte propuesto (</w:t>
      </w:r>
      <w:r w:rsidRPr="00703334">
        <w:rPr>
          <w:shd w:val="clear" w:color="auto" w:fill="FFFFFF"/>
        </w:rPr>
        <w:t>Salvo y Castro, 2013</w:t>
      </w:r>
      <w:r w:rsidRPr="00703334">
        <w:t>).</w:t>
      </w:r>
    </w:p>
    <w:p w14:paraId="1DE1C66C" w14:textId="77777777" w:rsidR="0046682E" w:rsidRPr="00703334" w:rsidRDefault="0046682E" w:rsidP="0046682E">
      <w:pPr>
        <w:spacing w:line="360" w:lineRule="auto"/>
        <w:rPr>
          <w:i/>
        </w:rPr>
      </w:pPr>
      <w:bookmarkStart w:id="16" w:name="_Toc38828913"/>
      <w:r w:rsidRPr="00703334">
        <w:rPr>
          <w:b/>
          <w:i/>
        </w:rPr>
        <w:t>Análisis de datos</w:t>
      </w:r>
      <w:bookmarkEnd w:id="16"/>
      <w:r w:rsidRPr="00703334">
        <w:rPr>
          <w:b/>
          <w:i/>
        </w:rPr>
        <w:t xml:space="preserve"> </w:t>
      </w:r>
    </w:p>
    <w:p w14:paraId="7985CE4F" w14:textId="77777777" w:rsidR="00356A60" w:rsidRPr="00703334" w:rsidRDefault="0046682E" w:rsidP="006C49E0">
      <w:pPr>
        <w:pStyle w:val="Textoconsangra"/>
        <w:spacing w:line="360" w:lineRule="auto"/>
        <w:jc w:val="both"/>
      </w:pPr>
      <w:r w:rsidRPr="00703334">
        <w:t xml:space="preserve">La muestra analítica la conforman los datos de jefes de familia (N=1,238) que brindaron información completa por lo que no hubo imputación de datos. La edad promedio es de 42 años (min. =18, máx.=65, DE=11.7) y el 83% </w:t>
      </w:r>
      <w:r w:rsidR="00622E68" w:rsidRPr="00703334">
        <w:t xml:space="preserve">de las personas </w:t>
      </w:r>
      <w:r w:rsidRPr="00703334">
        <w:t xml:space="preserve">se autoemplea. Los estadísticos descriptivos para cada una de las variables con sus respectivos coeficientes de confiabilidad se muestran en la Tabla 1. Con el fin de mejorar la consistencia interna se eliminó un ítem de la escala de perseverancia y dos ítems de la escala de resiliencia los cuales presentaban las cargas factoriales más bajas. </w:t>
      </w:r>
      <w:r w:rsidR="00356A60" w:rsidRPr="00703334">
        <w:t>La escala de perseverancia presentó una consistencia interna baja, las tres escalas restantes los valores son aceptables.</w:t>
      </w:r>
    </w:p>
    <w:p w14:paraId="76A84D0A" w14:textId="055F65D3" w:rsidR="00703334" w:rsidRPr="00123A07" w:rsidRDefault="0046682E" w:rsidP="00123A07">
      <w:pPr>
        <w:pStyle w:val="Textoconsangra"/>
        <w:spacing w:line="360" w:lineRule="auto"/>
        <w:jc w:val="both"/>
      </w:pPr>
      <w:r w:rsidRPr="00703334">
        <w:t xml:space="preserve">Las correlaciones entre las variables de interés se muestran en la Tabla 2. </w:t>
      </w:r>
      <w:r w:rsidR="00356A60" w:rsidRPr="00703334">
        <w:t>Los valores son bajos aunque consistentes con lo que se esperaba, la impulsividad presentó una correlación negativa con la perseverancia y la resilencia.</w:t>
      </w:r>
      <w:bookmarkStart w:id="17" w:name="_Toc70804505"/>
    </w:p>
    <w:p w14:paraId="65563868" w14:textId="07663267" w:rsidR="006C49E0" w:rsidRPr="00703334" w:rsidRDefault="0046682E" w:rsidP="009B76B5">
      <w:pPr>
        <w:spacing w:line="360" w:lineRule="auto"/>
        <w:rPr>
          <w:caps/>
          <w:sz w:val="20"/>
        </w:rPr>
      </w:pPr>
      <w:r w:rsidRPr="00703334">
        <w:rPr>
          <w:sz w:val="20"/>
        </w:rPr>
        <w:lastRenderedPageBreak/>
        <w:t xml:space="preserve">Tabla </w:t>
      </w:r>
      <w:r w:rsidRPr="00703334">
        <w:rPr>
          <w:caps/>
          <w:sz w:val="20"/>
        </w:rPr>
        <w:fldChar w:fldCharType="begin"/>
      </w:r>
      <w:r w:rsidRPr="00703334">
        <w:rPr>
          <w:sz w:val="20"/>
        </w:rPr>
        <w:instrText xml:space="preserve"> SEQ Tabla \* ARABIC </w:instrText>
      </w:r>
      <w:r w:rsidRPr="00703334">
        <w:rPr>
          <w:caps/>
          <w:sz w:val="20"/>
        </w:rPr>
        <w:fldChar w:fldCharType="separate"/>
      </w:r>
      <w:r w:rsidRPr="00703334">
        <w:rPr>
          <w:noProof/>
          <w:sz w:val="20"/>
        </w:rPr>
        <w:t>1</w:t>
      </w:r>
      <w:r w:rsidRPr="00703334">
        <w:rPr>
          <w:caps/>
          <w:sz w:val="20"/>
        </w:rPr>
        <w:fldChar w:fldCharType="end"/>
      </w:r>
      <w:r w:rsidRPr="00703334">
        <w:rPr>
          <w:sz w:val="20"/>
        </w:rPr>
        <w:t xml:space="preserve">. </w:t>
      </w:r>
    </w:p>
    <w:p w14:paraId="37BED542" w14:textId="77777777" w:rsidR="0046682E" w:rsidRPr="00703334" w:rsidRDefault="0046682E" w:rsidP="006C49E0">
      <w:pPr>
        <w:rPr>
          <w:i/>
          <w:caps/>
          <w:sz w:val="20"/>
        </w:rPr>
      </w:pPr>
      <w:r w:rsidRPr="00703334">
        <w:rPr>
          <w:i/>
          <w:sz w:val="20"/>
        </w:rPr>
        <w:t>Estadísticos descriptivos variables psicológicas.</w:t>
      </w:r>
      <w:bookmarkEnd w:id="17"/>
    </w:p>
    <w:tbl>
      <w:tblPr>
        <w:tblW w:w="4950" w:type="pct"/>
        <w:jc w:val="center"/>
        <w:tblLayout w:type="fixed"/>
        <w:tblCellMar>
          <w:left w:w="70" w:type="dxa"/>
          <w:right w:w="70" w:type="dxa"/>
        </w:tblCellMar>
        <w:tblLook w:val="04A0" w:firstRow="1" w:lastRow="0" w:firstColumn="1" w:lastColumn="0" w:noHBand="0" w:noVBand="1"/>
      </w:tblPr>
      <w:tblGrid>
        <w:gridCol w:w="2723"/>
        <w:gridCol w:w="633"/>
        <w:gridCol w:w="704"/>
        <w:gridCol w:w="704"/>
        <w:gridCol w:w="704"/>
        <w:gridCol w:w="703"/>
        <w:gridCol w:w="1262"/>
        <w:gridCol w:w="1540"/>
      </w:tblGrid>
      <w:tr w:rsidR="0046682E" w:rsidRPr="00703334" w14:paraId="4D295E9C" w14:textId="77777777" w:rsidTr="00622E68">
        <w:trPr>
          <w:trHeight w:val="319"/>
          <w:jc w:val="center"/>
        </w:trPr>
        <w:tc>
          <w:tcPr>
            <w:tcW w:w="6171" w:type="dxa"/>
            <w:gridSpan w:val="6"/>
            <w:tcBorders>
              <w:top w:val="single" w:sz="8" w:space="0" w:color="auto"/>
              <w:left w:val="nil"/>
              <w:bottom w:val="nil"/>
              <w:right w:val="nil"/>
            </w:tcBorders>
            <w:shd w:val="clear" w:color="auto" w:fill="auto"/>
            <w:noWrap/>
            <w:vAlign w:val="center"/>
            <w:hideMark/>
          </w:tcPr>
          <w:p w14:paraId="2F0818E6" w14:textId="77777777" w:rsidR="0046682E" w:rsidRPr="00703334" w:rsidRDefault="0046682E" w:rsidP="0098699F">
            <w:pPr>
              <w:contextualSpacing/>
              <w:jc w:val="both"/>
              <w:rPr>
                <w:bCs/>
                <w:iCs/>
                <w:sz w:val="20"/>
                <w:szCs w:val="20"/>
              </w:rPr>
            </w:pPr>
            <w:r w:rsidRPr="00703334">
              <w:rPr>
                <w:bCs/>
                <w:iCs/>
                <w:sz w:val="20"/>
                <w:szCs w:val="20"/>
              </w:rPr>
              <w:t> </w:t>
            </w:r>
          </w:p>
        </w:tc>
        <w:tc>
          <w:tcPr>
            <w:tcW w:w="2802" w:type="dxa"/>
            <w:gridSpan w:val="2"/>
            <w:tcBorders>
              <w:top w:val="single" w:sz="8" w:space="0" w:color="auto"/>
              <w:left w:val="nil"/>
              <w:bottom w:val="single" w:sz="8" w:space="0" w:color="auto"/>
              <w:right w:val="nil"/>
            </w:tcBorders>
            <w:shd w:val="clear" w:color="auto" w:fill="auto"/>
            <w:noWrap/>
            <w:vAlign w:val="center"/>
            <w:hideMark/>
          </w:tcPr>
          <w:p w14:paraId="64AFF3D0" w14:textId="77777777" w:rsidR="0046682E" w:rsidRPr="00703334" w:rsidRDefault="0046682E" w:rsidP="0098699F">
            <w:pPr>
              <w:contextualSpacing/>
              <w:jc w:val="center"/>
              <w:rPr>
                <w:bCs/>
                <w:iCs/>
                <w:sz w:val="20"/>
                <w:szCs w:val="20"/>
              </w:rPr>
            </w:pPr>
            <w:r w:rsidRPr="00703334">
              <w:rPr>
                <w:bCs/>
                <w:iCs/>
                <w:sz w:val="20"/>
                <w:szCs w:val="20"/>
              </w:rPr>
              <w:t>Rango</w:t>
            </w:r>
          </w:p>
        </w:tc>
      </w:tr>
      <w:tr w:rsidR="0046682E" w:rsidRPr="00703334" w14:paraId="60889C96" w14:textId="77777777" w:rsidTr="003D7D7F">
        <w:trPr>
          <w:trHeight w:val="340"/>
          <w:jc w:val="center"/>
        </w:trPr>
        <w:tc>
          <w:tcPr>
            <w:tcW w:w="2723" w:type="dxa"/>
            <w:tcBorders>
              <w:top w:val="nil"/>
              <w:left w:val="nil"/>
              <w:bottom w:val="single" w:sz="8" w:space="0" w:color="auto"/>
              <w:right w:val="nil"/>
            </w:tcBorders>
            <w:shd w:val="clear" w:color="auto" w:fill="auto"/>
            <w:noWrap/>
            <w:vAlign w:val="center"/>
            <w:hideMark/>
          </w:tcPr>
          <w:p w14:paraId="471F5DAA" w14:textId="77777777" w:rsidR="0046682E" w:rsidRPr="00703334" w:rsidRDefault="0046682E" w:rsidP="0098699F">
            <w:pPr>
              <w:jc w:val="both"/>
              <w:rPr>
                <w:bCs/>
                <w:iCs/>
                <w:sz w:val="20"/>
                <w:szCs w:val="20"/>
              </w:rPr>
            </w:pPr>
            <w:r w:rsidRPr="00703334">
              <w:rPr>
                <w:bCs/>
                <w:iCs/>
                <w:sz w:val="20"/>
                <w:szCs w:val="20"/>
              </w:rPr>
              <w:t>Variable</w:t>
            </w:r>
          </w:p>
        </w:tc>
        <w:tc>
          <w:tcPr>
            <w:tcW w:w="633" w:type="dxa"/>
            <w:tcBorders>
              <w:top w:val="nil"/>
              <w:left w:val="nil"/>
              <w:bottom w:val="single" w:sz="8" w:space="0" w:color="auto"/>
              <w:right w:val="nil"/>
            </w:tcBorders>
            <w:shd w:val="clear" w:color="auto" w:fill="auto"/>
            <w:noWrap/>
            <w:vAlign w:val="center"/>
            <w:hideMark/>
          </w:tcPr>
          <w:p w14:paraId="1959182E" w14:textId="77777777" w:rsidR="0046682E" w:rsidRPr="00703334" w:rsidRDefault="0046682E" w:rsidP="0098699F">
            <w:pPr>
              <w:jc w:val="center"/>
              <w:rPr>
                <w:bCs/>
                <w:i/>
                <w:iCs/>
                <w:sz w:val="20"/>
                <w:szCs w:val="20"/>
              </w:rPr>
            </w:pPr>
            <w:r w:rsidRPr="00703334">
              <w:rPr>
                <w:bCs/>
                <w:i/>
                <w:iCs/>
                <w:sz w:val="20"/>
                <w:szCs w:val="20"/>
              </w:rPr>
              <w:t>n</w:t>
            </w:r>
          </w:p>
        </w:tc>
        <w:tc>
          <w:tcPr>
            <w:tcW w:w="704" w:type="dxa"/>
            <w:tcBorders>
              <w:top w:val="nil"/>
              <w:left w:val="nil"/>
              <w:bottom w:val="single" w:sz="8" w:space="0" w:color="auto"/>
              <w:right w:val="nil"/>
            </w:tcBorders>
            <w:shd w:val="clear" w:color="auto" w:fill="auto"/>
            <w:noWrap/>
            <w:vAlign w:val="center"/>
            <w:hideMark/>
          </w:tcPr>
          <w:p w14:paraId="0A0152E3" w14:textId="77777777" w:rsidR="0046682E" w:rsidRPr="00703334" w:rsidRDefault="0046682E" w:rsidP="0098699F">
            <w:pPr>
              <w:jc w:val="center"/>
              <w:rPr>
                <w:bCs/>
                <w:i/>
                <w:iCs/>
                <w:sz w:val="20"/>
                <w:szCs w:val="20"/>
              </w:rPr>
            </w:pPr>
            <w:r w:rsidRPr="00703334">
              <w:rPr>
                <w:bCs/>
                <w:i/>
                <w:iCs/>
                <w:sz w:val="20"/>
                <w:szCs w:val="20"/>
              </w:rPr>
              <w:t>M</w:t>
            </w:r>
          </w:p>
        </w:tc>
        <w:tc>
          <w:tcPr>
            <w:tcW w:w="704" w:type="dxa"/>
            <w:tcBorders>
              <w:top w:val="nil"/>
              <w:left w:val="nil"/>
              <w:bottom w:val="single" w:sz="8" w:space="0" w:color="auto"/>
              <w:right w:val="nil"/>
            </w:tcBorders>
            <w:shd w:val="clear" w:color="auto" w:fill="auto"/>
            <w:noWrap/>
            <w:vAlign w:val="center"/>
            <w:hideMark/>
          </w:tcPr>
          <w:p w14:paraId="6FD58E73" w14:textId="77777777" w:rsidR="0046682E" w:rsidRPr="00703334" w:rsidRDefault="0046682E" w:rsidP="0098699F">
            <w:pPr>
              <w:jc w:val="center"/>
              <w:rPr>
                <w:bCs/>
                <w:i/>
                <w:iCs/>
                <w:sz w:val="20"/>
                <w:szCs w:val="20"/>
              </w:rPr>
            </w:pPr>
            <w:r w:rsidRPr="00703334">
              <w:rPr>
                <w:bCs/>
                <w:i/>
                <w:iCs/>
                <w:sz w:val="20"/>
                <w:szCs w:val="20"/>
              </w:rPr>
              <w:t>DE</w:t>
            </w:r>
          </w:p>
        </w:tc>
        <w:tc>
          <w:tcPr>
            <w:tcW w:w="704" w:type="dxa"/>
            <w:tcBorders>
              <w:top w:val="nil"/>
              <w:left w:val="nil"/>
              <w:bottom w:val="single" w:sz="8" w:space="0" w:color="auto"/>
              <w:right w:val="nil"/>
            </w:tcBorders>
            <w:shd w:val="clear" w:color="auto" w:fill="auto"/>
            <w:noWrap/>
            <w:vAlign w:val="center"/>
            <w:hideMark/>
          </w:tcPr>
          <w:p w14:paraId="6EC6D69F" w14:textId="77777777" w:rsidR="0046682E" w:rsidRPr="00703334" w:rsidRDefault="0046682E" w:rsidP="0098699F">
            <w:pPr>
              <w:jc w:val="center"/>
              <w:rPr>
                <w:bCs/>
                <w:iCs/>
                <w:sz w:val="20"/>
                <w:szCs w:val="20"/>
              </w:rPr>
            </w:pPr>
            <w:r w:rsidRPr="00703334">
              <w:rPr>
                <w:rFonts w:ascii="Cambria Math" w:hAnsi="Cambria Math" w:cs="Cambria Math"/>
                <w:bCs/>
                <w:iCs/>
                <w:sz w:val="20"/>
                <w:szCs w:val="20"/>
              </w:rPr>
              <w:t>𝛂</w:t>
            </w:r>
          </w:p>
        </w:tc>
        <w:tc>
          <w:tcPr>
            <w:tcW w:w="703" w:type="dxa"/>
            <w:tcBorders>
              <w:top w:val="nil"/>
              <w:left w:val="nil"/>
              <w:bottom w:val="single" w:sz="8" w:space="0" w:color="auto"/>
              <w:right w:val="nil"/>
            </w:tcBorders>
            <w:shd w:val="clear" w:color="auto" w:fill="auto"/>
            <w:noWrap/>
            <w:vAlign w:val="center"/>
            <w:hideMark/>
          </w:tcPr>
          <w:p w14:paraId="5D2493E9" w14:textId="77777777" w:rsidR="0046682E" w:rsidRPr="00703334" w:rsidRDefault="0046682E" w:rsidP="0098699F">
            <w:pPr>
              <w:jc w:val="center"/>
              <w:rPr>
                <w:bCs/>
                <w:iCs/>
                <w:sz w:val="20"/>
                <w:szCs w:val="20"/>
              </w:rPr>
            </w:pPr>
            <w:r w:rsidRPr="00703334">
              <w:rPr>
                <w:bCs/>
                <w:iCs/>
                <w:sz w:val="20"/>
                <w:szCs w:val="20"/>
              </w:rPr>
              <w:t>Ítems</w:t>
            </w:r>
          </w:p>
        </w:tc>
        <w:tc>
          <w:tcPr>
            <w:tcW w:w="1262" w:type="dxa"/>
            <w:tcBorders>
              <w:top w:val="nil"/>
              <w:left w:val="nil"/>
              <w:bottom w:val="single" w:sz="8" w:space="0" w:color="auto"/>
              <w:right w:val="nil"/>
            </w:tcBorders>
            <w:shd w:val="clear" w:color="auto" w:fill="auto"/>
            <w:noWrap/>
            <w:vAlign w:val="center"/>
            <w:hideMark/>
          </w:tcPr>
          <w:p w14:paraId="5F4B3F1D" w14:textId="77777777" w:rsidR="0046682E" w:rsidRPr="00703334" w:rsidRDefault="0046682E" w:rsidP="0098699F">
            <w:pPr>
              <w:jc w:val="center"/>
              <w:rPr>
                <w:bCs/>
                <w:iCs/>
                <w:sz w:val="20"/>
                <w:szCs w:val="20"/>
              </w:rPr>
            </w:pPr>
            <w:r w:rsidRPr="00703334">
              <w:rPr>
                <w:bCs/>
                <w:iCs/>
                <w:sz w:val="20"/>
                <w:szCs w:val="20"/>
              </w:rPr>
              <w:t>Potencial</w:t>
            </w:r>
          </w:p>
        </w:tc>
        <w:tc>
          <w:tcPr>
            <w:tcW w:w="1540" w:type="dxa"/>
            <w:tcBorders>
              <w:top w:val="nil"/>
              <w:left w:val="nil"/>
              <w:bottom w:val="single" w:sz="8" w:space="0" w:color="auto"/>
              <w:right w:val="nil"/>
            </w:tcBorders>
            <w:shd w:val="clear" w:color="auto" w:fill="auto"/>
            <w:noWrap/>
            <w:vAlign w:val="center"/>
            <w:hideMark/>
          </w:tcPr>
          <w:p w14:paraId="64C123D5" w14:textId="77777777" w:rsidR="0046682E" w:rsidRPr="00703334" w:rsidRDefault="0046682E" w:rsidP="0098699F">
            <w:pPr>
              <w:jc w:val="center"/>
              <w:rPr>
                <w:bCs/>
                <w:iCs/>
                <w:sz w:val="20"/>
                <w:szCs w:val="20"/>
              </w:rPr>
            </w:pPr>
            <w:r w:rsidRPr="00703334">
              <w:rPr>
                <w:bCs/>
                <w:iCs/>
                <w:sz w:val="20"/>
                <w:szCs w:val="20"/>
              </w:rPr>
              <w:t>Real</w:t>
            </w:r>
          </w:p>
        </w:tc>
      </w:tr>
      <w:tr w:rsidR="0046682E" w:rsidRPr="00703334" w14:paraId="543659C1" w14:textId="77777777" w:rsidTr="003D7D7F">
        <w:trPr>
          <w:trHeight w:val="387"/>
          <w:jc w:val="center"/>
        </w:trPr>
        <w:tc>
          <w:tcPr>
            <w:tcW w:w="2723" w:type="dxa"/>
            <w:tcBorders>
              <w:top w:val="single" w:sz="8" w:space="0" w:color="auto"/>
              <w:left w:val="nil"/>
              <w:bottom w:val="nil"/>
              <w:right w:val="nil"/>
            </w:tcBorders>
            <w:shd w:val="clear" w:color="auto" w:fill="auto"/>
            <w:noWrap/>
            <w:vAlign w:val="center"/>
            <w:hideMark/>
          </w:tcPr>
          <w:p w14:paraId="73EC0A25" w14:textId="77777777" w:rsidR="0046682E" w:rsidRPr="00703334" w:rsidRDefault="0046682E" w:rsidP="009B76B5">
            <w:pPr>
              <w:spacing w:line="360" w:lineRule="auto"/>
              <w:jc w:val="both"/>
              <w:rPr>
                <w:bCs/>
                <w:iCs/>
                <w:sz w:val="20"/>
                <w:szCs w:val="20"/>
              </w:rPr>
            </w:pPr>
            <w:r w:rsidRPr="00703334">
              <w:rPr>
                <w:bCs/>
                <w:iCs/>
                <w:sz w:val="20"/>
                <w:szCs w:val="20"/>
              </w:rPr>
              <w:t>1.-Perseverancia</w:t>
            </w:r>
          </w:p>
        </w:tc>
        <w:tc>
          <w:tcPr>
            <w:tcW w:w="633" w:type="dxa"/>
            <w:tcBorders>
              <w:top w:val="nil"/>
              <w:left w:val="nil"/>
              <w:bottom w:val="nil"/>
              <w:right w:val="nil"/>
            </w:tcBorders>
            <w:shd w:val="clear" w:color="auto" w:fill="auto"/>
            <w:noWrap/>
            <w:vAlign w:val="center"/>
            <w:hideMark/>
          </w:tcPr>
          <w:p w14:paraId="414E1D9C" w14:textId="77777777" w:rsidR="0046682E" w:rsidRPr="00703334" w:rsidRDefault="0046682E" w:rsidP="009B76B5">
            <w:pPr>
              <w:spacing w:line="360" w:lineRule="auto"/>
              <w:jc w:val="center"/>
              <w:rPr>
                <w:iCs/>
                <w:sz w:val="20"/>
                <w:szCs w:val="20"/>
              </w:rPr>
            </w:pPr>
            <w:r w:rsidRPr="00703334">
              <w:rPr>
                <w:iCs/>
                <w:sz w:val="20"/>
                <w:szCs w:val="20"/>
              </w:rPr>
              <w:t>1238</w:t>
            </w:r>
          </w:p>
        </w:tc>
        <w:tc>
          <w:tcPr>
            <w:tcW w:w="704" w:type="dxa"/>
            <w:tcBorders>
              <w:top w:val="nil"/>
              <w:left w:val="nil"/>
              <w:bottom w:val="nil"/>
              <w:right w:val="nil"/>
            </w:tcBorders>
            <w:shd w:val="clear" w:color="auto" w:fill="auto"/>
            <w:noWrap/>
            <w:vAlign w:val="center"/>
            <w:hideMark/>
          </w:tcPr>
          <w:p w14:paraId="6CD2C05D" w14:textId="77777777" w:rsidR="0046682E" w:rsidRPr="00703334" w:rsidRDefault="0046682E" w:rsidP="009B76B5">
            <w:pPr>
              <w:spacing w:line="360" w:lineRule="auto"/>
              <w:jc w:val="center"/>
              <w:rPr>
                <w:iCs/>
                <w:sz w:val="20"/>
                <w:szCs w:val="20"/>
              </w:rPr>
            </w:pPr>
            <w:r w:rsidRPr="00703334">
              <w:rPr>
                <w:iCs/>
                <w:sz w:val="20"/>
                <w:szCs w:val="20"/>
              </w:rPr>
              <w:t>3.0</w:t>
            </w:r>
          </w:p>
        </w:tc>
        <w:tc>
          <w:tcPr>
            <w:tcW w:w="704" w:type="dxa"/>
            <w:tcBorders>
              <w:top w:val="nil"/>
              <w:left w:val="nil"/>
              <w:bottom w:val="nil"/>
              <w:right w:val="nil"/>
            </w:tcBorders>
            <w:shd w:val="clear" w:color="auto" w:fill="auto"/>
            <w:noWrap/>
            <w:vAlign w:val="center"/>
            <w:hideMark/>
          </w:tcPr>
          <w:p w14:paraId="6C2A8FB1" w14:textId="77777777" w:rsidR="0046682E" w:rsidRPr="00703334" w:rsidRDefault="0046682E" w:rsidP="009B76B5">
            <w:pPr>
              <w:spacing w:line="360" w:lineRule="auto"/>
              <w:jc w:val="center"/>
              <w:rPr>
                <w:iCs/>
                <w:sz w:val="20"/>
                <w:szCs w:val="20"/>
              </w:rPr>
            </w:pPr>
            <w:r w:rsidRPr="00703334">
              <w:rPr>
                <w:iCs/>
                <w:sz w:val="20"/>
                <w:szCs w:val="20"/>
              </w:rPr>
              <w:t>.62</w:t>
            </w:r>
          </w:p>
        </w:tc>
        <w:tc>
          <w:tcPr>
            <w:tcW w:w="704" w:type="dxa"/>
            <w:tcBorders>
              <w:top w:val="nil"/>
              <w:left w:val="nil"/>
              <w:bottom w:val="nil"/>
              <w:right w:val="nil"/>
            </w:tcBorders>
            <w:shd w:val="clear" w:color="auto" w:fill="auto"/>
            <w:noWrap/>
            <w:vAlign w:val="center"/>
            <w:hideMark/>
          </w:tcPr>
          <w:p w14:paraId="37D76653" w14:textId="77777777" w:rsidR="0046682E" w:rsidRPr="00703334" w:rsidRDefault="0046682E" w:rsidP="009B76B5">
            <w:pPr>
              <w:spacing w:line="360" w:lineRule="auto"/>
              <w:jc w:val="center"/>
              <w:rPr>
                <w:iCs/>
                <w:sz w:val="20"/>
                <w:szCs w:val="20"/>
              </w:rPr>
            </w:pPr>
            <w:r w:rsidRPr="00703334">
              <w:rPr>
                <w:iCs/>
                <w:sz w:val="20"/>
                <w:szCs w:val="20"/>
              </w:rPr>
              <w:t>.68</w:t>
            </w:r>
          </w:p>
        </w:tc>
        <w:tc>
          <w:tcPr>
            <w:tcW w:w="703" w:type="dxa"/>
            <w:tcBorders>
              <w:top w:val="nil"/>
              <w:left w:val="nil"/>
              <w:bottom w:val="nil"/>
              <w:right w:val="nil"/>
            </w:tcBorders>
            <w:shd w:val="clear" w:color="auto" w:fill="auto"/>
            <w:noWrap/>
            <w:vAlign w:val="center"/>
            <w:hideMark/>
          </w:tcPr>
          <w:p w14:paraId="5D7D3CB7" w14:textId="77777777" w:rsidR="0046682E" w:rsidRPr="00703334" w:rsidRDefault="0046682E" w:rsidP="009B76B5">
            <w:pPr>
              <w:spacing w:line="360" w:lineRule="auto"/>
              <w:jc w:val="center"/>
              <w:rPr>
                <w:iCs/>
                <w:sz w:val="20"/>
                <w:szCs w:val="20"/>
              </w:rPr>
            </w:pPr>
            <w:r w:rsidRPr="00703334">
              <w:rPr>
                <w:iCs/>
                <w:sz w:val="20"/>
                <w:szCs w:val="20"/>
              </w:rPr>
              <w:t>7</w:t>
            </w:r>
          </w:p>
        </w:tc>
        <w:tc>
          <w:tcPr>
            <w:tcW w:w="1262" w:type="dxa"/>
            <w:tcBorders>
              <w:top w:val="nil"/>
              <w:left w:val="nil"/>
              <w:bottom w:val="nil"/>
              <w:right w:val="nil"/>
            </w:tcBorders>
            <w:shd w:val="clear" w:color="auto" w:fill="auto"/>
            <w:noWrap/>
            <w:vAlign w:val="center"/>
            <w:hideMark/>
          </w:tcPr>
          <w:p w14:paraId="288F2C06" w14:textId="77777777" w:rsidR="0046682E" w:rsidRPr="00703334" w:rsidRDefault="0046682E" w:rsidP="009B76B5">
            <w:pPr>
              <w:spacing w:line="360" w:lineRule="auto"/>
              <w:jc w:val="center"/>
              <w:rPr>
                <w:iCs/>
                <w:sz w:val="20"/>
                <w:szCs w:val="20"/>
              </w:rPr>
            </w:pPr>
            <w:r w:rsidRPr="00703334">
              <w:rPr>
                <w:iCs/>
                <w:sz w:val="20"/>
                <w:szCs w:val="20"/>
              </w:rPr>
              <w:t>0 – 4</w:t>
            </w:r>
          </w:p>
        </w:tc>
        <w:tc>
          <w:tcPr>
            <w:tcW w:w="1540" w:type="dxa"/>
            <w:tcBorders>
              <w:top w:val="nil"/>
              <w:left w:val="nil"/>
              <w:bottom w:val="nil"/>
              <w:right w:val="nil"/>
            </w:tcBorders>
            <w:shd w:val="clear" w:color="auto" w:fill="auto"/>
            <w:noWrap/>
            <w:vAlign w:val="center"/>
            <w:hideMark/>
          </w:tcPr>
          <w:p w14:paraId="1798991B" w14:textId="77777777" w:rsidR="0046682E" w:rsidRPr="00703334" w:rsidRDefault="0046682E" w:rsidP="009B76B5">
            <w:pPr>
              <w:spacing w:line="360" w:lineRule="auto"/>
              <w:jc w:val="center"/>
              <w:rPr>
                <w:iCs/>
                <w:sz w:val="20"/>
                <w:szCs w:val="20"/>
              </w:rPr>
            </w:pPr>
            <w:r w:rsidRPr="00703334">
              <w:rPr>
                <w:iCs/>
                <w:sz w:val="20"/>
                <w:szCs w:val="20"/>
              </w:rPr>
              <w:t>1.0 – 4.0</w:t>
            </w:r>
          </w:p>
        </w:tc>
      </w:tr>
      <w:tr w:rsidR="0046682E" w:rsidRPr="00703334" w14:paraId="5F412306" w14:textId="77777777" w:rsidTr="003D7D7F">
        <w:trPr>
          <w:trHeight w:val="387"/>
          <w:jc w:val="center"/>
        </w:trPr>
        <w:tc>
          <w:tcPr>
            <w:tcW w:w="2723" w:type="dxa"/>
            <w:tcBorders>
              <w:top w:val="nil"/>
              <w:left w:val="nil"/>
              <w:bottom w:val="nil"/>
              <w:right w:val="nil"/>
            </w:tcBorders>
            <w:shd w:val="clear" w:color="auto" w:fill="auto"/>
            <w:noWrap/>
            <w:vAlign w:val="center"/>
            <w:hideMark/>
          </w:tcPr>
          <w:p w14:paraId="441E1CC0" w14:textId="77777777" w:rsidR="0046682E" w:rsidRPr="00703334" w:rsidRDefault="0046682E" w:rsidP="009B76B5">
            <w:pPr>
              <w:spacing w:line="360" w:lineRule="auto"/>
              <w:jc w:val="both"/>
              <w:rPr>
                <w:bCs/>
                <w:iCs/>
                <w:sz w:val="20"/>
                <w:szCs w:val="20"/>
              </w:rPr>
            </w:pPr>
            <w:r w:rsidRPr="00703334">
              <w:rPr>
                <w:bCs/>
                <w:iCs/>
                <w:sz w:val="20"/>
                <w:szCs w:val="20"/>
              </w:rPr>
              <w:t>2.-Resiliencia</w:t>
            </w:r>
          </w:p>
        </w:tc>
        <w:tc>
          <w:tcPr>
            <w:tcW w:w="633" w:type="dxa"/>
            <w:tcBorders>
              <w:top w:val="nil"/>
              <w:left w:val="nil"/>
              <w:bottom w:val="nil"/>
              <w:right w:val="nil"/>
            </w:tcBorders>
            <w:shd w:val="clear" w:color="auto" w:fill="auto"/>
            <w:noWrap/>
            <w:vAlign w:val="center"/>
            <w:hideMark/>
          </w:tcPr>
          <w:p w14:paraId="5241D135" w14:textId="77777777" w:rsidR="0046682E" w:rsidRPr="00703334" w:rsidRDefault="0046682E" w:rsidP="009B76B5">
            <w:pPr>
              <w:spacing w:line="360" w:lineRule="auto"/>
              <w:jc w:val="center"/>
              <w:rPr>
                <w:iCs/>
                <w:sz w:val="20"/>
                <w:szCs w:val="20"/>
              </w:rPr>
            </w:pPr>
            <w:r w:rsidRPr="00703334">
              <w:rPr>
                <w:iCs/>
                <w:sz w:val="20"/>
                <w:szCs w:val="20"/>
              </w:rPr>
              <w:t>1238</w:t>
            </w:r>
          </w:p>
        </w:tc>
        <w:tc>
          <w:tcPr>
            <w:tcW w:w="704" w:type="dxa"/>
            <w:tcBorders>
              <w:top w:val="nil"/>
              <w:left w:val="nil"/>
              <w:bottom w:val="nil"/>
              <w:right w:val="nil"/>
            </w:tcBorders>
            <w:shd w:val="clear" w:color="auto" w:fill="auto"/>
            <w:noWrap/>
            <w:vAlign w:val="center"/>
            <w:hideMark/>
          </w:tcPr>
          <w:p w14:paraId="4203C7D4" w14:textId="77777777" w:rsidR="0046682E" w:rsidRPr="00703334" w:rsidRDefault="0046682E" w:rsidP="009B76B5">
            <w:pPr>
              <w:spacing w:line="360" w:lineRule="auto"/>
              <w:jc w:val="center"/>
              <w:rPr>
                <w:iCs/>
                <w:sz w:val="20"/>
                <w:szCs w:val="20"/>
              </w:rPr>
            </w:pPr>
            <w:r w:rsidRPr="00703334">
              <w:rPr>
                <w:iCs/>
                <w:sz w:val="20"/>
                <w:szCs w:val="20"/>
              </w:rPr>
              <w:t>3.2</w:t>
            </w:r>
          </w:p>
        </w:tc>
        <w:tc>
          <w:tcPr>
            <w:tcW w:w="704" w:type="dxa"/>
            <w:tcBorders>
              <w:top w:val="nil"/>
              <w:left w:val="nil"/>
              <w:bottom w:val="nil"/>
              <w:right w:val="nil"/>
            </w:tcBorders>
            <w:shd w:val="clear" w:color="auto" w:fill="auto"/>
            <w:noWrap/>
            <w:vAlign w:val="center"/>
            <w:hideMark/>
          </w:tcPr>
          <w:p w14:paraId="2615E73C" w14:textId="77777777" w:rsidR="0046682E" w:rsidRPr="00703334" w:rsidRDefault="0046682E" w:rsidP="009B76B5">
            <w:pPr>
              <w:spacing w:line="360" w:lineRule="auto"/>
              <w:jc w:val="center"/>
              <w:rPr>
                <w:iCs/>
                <w:sz w:val="20"/>
                <w:szCs w:val="20"/>
              </w:rPr>
            </w:pPr>
            <w:r w:rsidRPr="00703334">
              <w:rPr>
                <w:iCs/>
                <w:sz w:val="20"/>
                <w:szCs w:val="20"/>
              </w:rPr>
              <w:t>.60</w:t>
            </w:r>
          </w:p>
        </w:tc>
        <w:tc>
          <w:tcPr>
            <w:tcW w:w="704" w:type="dxa"/>
            <w:tcBorders>
              <w:top w:val="nil"/>
              <w:left w:val="nil"/>
              <w:bottom w:val="nil"/>
              <w:right w:val="nil"/>
            </w:tcBorders>
            <w:shd w:val="clear" w:color="auto" w:fill="auto"/>
            <w:noWrap/>
            <w:vAlign w:val="center"/>
            <w:hideMark/>
          </w:tcPr>
          <w:p w14:paraId="3154ACC2" w14:textId="77777777" w:rsidR="0046682E" w:rsidRPr="00703334" w:rsidRDefault="0046682E" w:rsidP="009B76B5">
            <w:pPr>
              <w:spacing w:line="360" w:lineRule="auto"/>
              <w:jc w:val="center"/>
              <w:rPr>
                <w:bCs/>
                <w:iCs/>
                <w:sz w:val="20"/>
                <w:szCs w:val="20"/>
              </w:rPr>
            </w:pPr>
            <w:r w:rsidRPr="00703334">
              <w:rPr>
                <w:bCs/>
                <w:iCs/>
                <w:sz w:val="20"/>
                <w:szCs w:val="20"/>
              </w:rPr>
              <w:t>.78</w:t>
            </w:r>
          </w:p>
        </w:tc>
        <w:tc>
          <w:tcPr>
            <w:tcW w:w="703" w:type="dxa"/>
            <w:tcBorders>
              <w:top w:val="nil"/>
              <w:left w:val="nil"/>
              <w:bottom w:val="nil"/>
              <w:right w:val="nil"/>
            </w:tcBorders>
            <w:shd w:val="clear" w:color="auto" w:fill="auto"/>
            <w:noWrap/>
            <w:vAlign w:val="center"/>
            <w:hideMark/>
          </w:tcPr>
          <w:p w14:paraId="18745EA7" w14:textId="77777777" w:rsidR="0046682E" w:rsidRPr="00703334" w:rsidRDefault="0046682E" w:rsidP="009B76B5">
            <w:pPr>
              <w:spacing w:line="360" w:lineRule="auto"/>
              <w:jc w:val="center"/>
              <w:rPr>
                <w:iCs/>
                <w:sz w:val="20"/>
                <w:szCs w:val="20"/>
              </w:rPr>
            </w:pPr>
            <w:r w:rsidRPr="00703334">
              <w:rPr>
                <w:iCs/>
                <w:sz w:val="20"/>
                <w:szCs w:val="20"/>
              </w:rPr>
              <w:t>8</w:t>
            </w:r>
          </w:p>
        </w:tc>
        <w:tc>
          <w:tcPr>
            <w:tcW w:w="1262" w:type="dxa"/>
            <w:tcBorders>
              <w:top w:val="nil"/>
              <w:left w:val="nil"/>
              <w:bottom w:val="nil"/>
              <w:right w:val="nil"/>
            </w:tcBorders>
            <w:shd w:val="clear" w:color="auto" w:fill="auto"/>
            <w:noWrap/>
            <w:vAlign w:val="center"/>
            <w:hideMark/>
          </w:tcPr>
          <w:p w14:paraId="435FEDC8" w14:textId="77777777" w:rsidR="0046682E" w:rsidRPr="00703334" w:rsidRDefault="0046682E" w:rsidP="009B76B5">
            <w:pPr>
              <w:spacing w:line="360" w:lineRule="auto"/>
              <w:jc w:val="center"/>
              <w:rPr>
                <w:iCs/>
                <w:sz w:val="20"/>
                <w:szCs w:val="20"/>
              </w:rPr>
            </w:pPr>
            <w:r w:rsidRPr="00703334">
              <w:rPr>
                <w:iCs/>
                <w:sz w:val="20"/>
                <w:szCs w:val="20"/>
              </w:rPr>
              <w:t>0 – 4</w:t>
            </w:r>
          </w:p>
        </w:tc>
        <w:tc>
          <w:tcPr>
            <w:tcW w:w="1540" w:type="dxa"/>
            <w:tcBorders>
              <w:top w:val="nil"/>
              <w:left w:val="nil"/>
              <w:bottom w:val="nil"/>
              <w:right w:val="nil"/>
            </w:tcBorders>
            <w:shd w:val="clear" w:color="auto" w:fill="auto"/>
            <w:noWrap/>
            <w:vAlign w:val="center"/>
            <w:hideMark/>
          </w:tcPr>
          <w:p w14:paraId="5231E593" w14:textId="77777777" w:rsidR="0046682E" w:rsidRPr="00703334" w:rsidRDefault="0046682E" w:rsidP="009B76B5">
            <w:pPr>
              <w:spacing w:line="360" w:lineRule="auto"/>
              <w:jc w:val="center"/>
              <w:rPr>
                <w:iCs/>
                <w:sz w:val="20"/>
                <w:szCs w:val="20"/>
              </w:rPr>
            </w:pPr>
            <w:r w:rsidRPr="00703334">
              <w:rPr>
                <w:iCs/>
                <w:sz w:val="20"/>
                <w:szCs w:val="20"/>
              </w:rPr>
              <w:t>0.1 – 4.0</w:t>
            </w:r>
          </w:p>
        </w:tc>
      </w:tr>
      <w:tr w:rsidR="0046682E" w:rsidRPr="00703334" w14:paraId="7935F783" w14:textId="77777777" w:rsidTr="003D7D7F">
        <w:trPr>
          <w:trHeight w:val="387"/>
          <w:jc w:val="center"/>
        </w:trPr>
        <w:tc>
          <w:tcPr>
            <w:tcW w:w="2723" w:type="dxa"/>
            <w:tcBorders>
              <w:top w:val="nil"/>
              <w:left w:val="nil"/>
              <w:right w:val="nil"/>
            </w:tcBorders>
            <w:shd w:val="clear" w:color="auto" w:fill="auto"/>
            <w:noWrap/>
            <w:vAlign w:val="center"/>
            <w:hideMark/>
          </w:tcPr>
          <w:p w14:paraId="60E98939" w14:textId="77777777" w:rsidR="0046682E" w:rsidRPr="00703334" w:rsidRDefault="0046682E" w:rsidP="009B76B5">
            <w:pPr>
              <w:spacing w:line="360" w:lineRule="auto"/>
              <w:jc w:val="both"/>
              <w:rPr>
                <w:bCs/>
                <w:iCs/>
                <w:sz w:val="20"/>
                <w:szCs w:val="20"/>
              </w:rPr>
            </w:pPr>
            <w:r w:rsidRPr="00703334">
              <w:rPr>
                <w:bCs/>
                <w:iCs/>
                <w:sz w:val="20"/>
                <w:szCs w:val="20"/>
              </w:rPr>
              <w:t>3.-Impulsividad</w:t>
            </w:r>
          </w:p>
        </w:tc>
        <w:tc>
          <w:tcPr>
            <w:tcW w:w="633" w:type="dxa"/>
            <w:tcBorders>
              <w:top w:val="nil"/>
              <w:left w:val="nil"/>
              <w:right w:val="nil"/>
            </w:tcBorders>
            <w:shd w:val="clear" w:color="auto" w:fill="auto"/>
            <w:noWrap/>
            <w:vAlign w:val="center"/>
            <w:hideMark/>
          </w:tcPr>
          <w:p w14:paraId="7A424D0F" w14:textId="77777777" w:rsidR="0046682E" w:rsidRPr="00703334" w:rsidRDefault="0046682E" w:rsidP="009B76B5">
            <w:pPr>
              <w:spacing w:line="360" w:lineRule="auto"/>
              <w:jc w:val="center"/>
              <w:rPr>
                <w:iCs/>
                <w:sz w:val="20"/>
                <w:szCs w:val="20"/>
              </w:rPr>
            </w:pPr>
            <w:r w:rsidRPr="00703334">
              <w:rPr>
                <w:iCs/>
                <w:sz w:val="20"/>
                <w:szCs w:val="20"/>
              </w:rPr>
              <w:t>1238</w:t>
            </w:r>
          </w:p>
        </w:tc>
        <w:tc>
          <w:tcPr>
            <w:tcW w:w="704" w:type="dxa"/>
            <w:tcBorders>
              <w:top w:val="nil"/>
              <w:left w:val="nil"/>
              <w:right w:val="nil"/>
            </w:tcBorders>
            <w:shd w:val="clear" w:color="auto" w:fill="auto"/>
            <w:noWrap/>
            <w:vAlign w:val="center"/>
            <w:hideMark/>
          </w:tcPr>
          <w:p w14:paraId="5C93343B" w14:textId="77777777" w:rsidR="0046682E" w:rsidRPr="00703334" w:rsidRDefault="0046682E" w:rsidP="009B76B5">
            <w:pPr>
              <w:spacing w:line="360" w:lineRule="auto"/>
              <w:jc w:val="center"/>
              <w:rPr>
                <w:iCs/>
                <w:sz w:val="20"/>
                <w:szCs w:val="20"/>
              </w:rPr>
            </w:pPr>
            <w:r w:rsidRPr="00703334">
              <w:rPr>
                <w:iCs/>
                <w:sz w:val="20"/>
                <w:szCs w:val="20"/>
              </w:rPr>
              <w:t>1.1</w:t>
            </w:r>
          </w:p>
        </w:tc>
        <w:tc>
          <w:tcPr>
            <w:tcW w:w="704" w:type="dxa"/>
            <w:tcBorders>
              <w:top w:val="nil"/>
              <w:left w:val="nil"/>
              <w:right w:val="nil"/>
            </w:tcBorders>
            <w:shd w:val="clear" w:color="auto" w:fill="auto"/>
            <w:noWrap/>
            <w:vAlign w:val="center"/>
            <w:hideMark/>
          </w:tcPr>
          <w:p w14:paraId="164797F9" w14:textId="77777777" w:rsidR="0046682E" w:rsidRPr="00703334" w:rsidRDefault="0046682E" w:rsidP="009B76B5">
            <w:pPr>
              <w:spacing w:line="360" w:lineRule="auto"/>
              <w:jc w:val="center"/>
              <w:rPr>
                <w:iCs/>
                <w:sz w:val="20"/>
                <w:szCs w:val="20"/>
              </w:rPr>
            </w:pPr>
            <w:r w:rsidRPr="00703334">
              <w:rPr>
                <w:iCs/>
                <w:sz w:val="20"/>
                <w:szCs w:val="20"/>
              </w:rPr>
              <w:t>.81</w:t>
            </w:r>
          </w:p>
        </w:tc>
        <w:tc>
          <w:tcPr>
            <w:tcW w:w="704" w:type="dxa"/>
            <w:tcBorders>
              <w:top w:val="nil"/>
              <w:left w:val="nil"/>
              <w:right w:val="nil"/>
            </w:tcBorders>
            <w:shd w:val="clear" w:color="auto" w:fill="auto"/>
            <w:noWrap/>
            <w:vAlign w:val="center"/>
            <w:hideMark/>
          </w:tcPr>
          <w:p w14:paraId="539DEB72" w14:textId="77777777" w:rsidR="0046682E" w:rsidRPr="00703334" w:rsidRDefault="0046682E" w:rsidP="009B76B5">
            <w:pPr>
              <w:spacing w:line="360" w:lineRule="auto"/>
              <w:jc w:val="center"/>
              <w:rPr>
                <w:bCs/>
                <w:iCs/>
                <w:sz w:val="20"/>
                <w:szCs w:val="20"/>
              </w:rPr>
            </w:pPr>
            <w:r w:rsidRPr="00703334">
              <w:rPr>
                <w:bCs/>
                <w:iCs/>
                <w:sz w:val="20"/>
                <w:szCs w:val="20"/>
              </w:rPr>
              <w:t>.72</w:t>
            </w:r>
          </w:p>
        </w:tc>
        <w:tc>
          <w:tcPr>
            <w:tcW w:w="703" w:type="dxa"/>
            <w:tcBorders>
              <w:top w:val="nil"/>
              <w:left w:val="nil"/>
              <w:right w:val="nil"/>
            </w:tcBorders>
            <w:shd w:val="clear" w:color="auto" w:fill="auto"/>
            <w:noWrap/>
            <w:vAlign w:val="center"/>
            <w:hideMark/>
          </w:tcPr>
          <w:p w14:paraId="6C5E52E5" w14:textId="77777777" w:rsidR="0046682E" w:rsidRPr="00703334" w:rsidRDefault="0046682E" w:rsidP="009B76B5">
            <w:pPr>
              <w:spacing w:line="360" w:lineRule="auto"/>
              <w:jc w:val="center"/>
              <w:rPr>
                <w:iCs/>
                <w:sz w:val="20"/>
                <w:szCs w:val="20"/>
              </w:rPr>
            </w:pPr>
            <w:r w:rsidRPr="00703334">
              <w:rPr>
                <w:iCs/>
                <w:sz w:val="20"/>
                <w:szCs w:val="20"/>
              </w:rPr>
              <w:t>6</w:t>
            </w:r>
          </w:p>
        </w:tc>
        <w:tc>
          <w:tcPr>
            <w:tcW w:w="1262" w:type="dxa"/>
            <w:tcBorders>
              <w:top w:val="nil"/>
              <w:left w:val="nil"/>
              <w:right w:val="nil"/>
            </w:tcBorders>
            <w:shd w:val="clear" w:color="auto" w:fill="auto"/>
            <w:noWrap/>
            <w:vAlign w:val="center"/>
            <w:hideMark/>
          </w:tcPr>
          <w:p w14:paraId="799F1D44" w14:textId="77777777" w:rsidR="0046682E" w:rsidRPr="00703334" w:rsidRDefault="0046682E" w:rsidP="009B76B5">
            <w:pPr>
              <w:spacing w:line="360" w:lineRule="auto"/>
              <w:jc w:val="center"/>
              <w:rPr>
                <w:iCs/>
                <w:sz w:val="20"/>
                <w:szCs w:val="20"/>
              </w:rPr>
            </w:pPr>
            <w:r w:rsidRPr="00703334">
              <w:rPr>
                <w:iCs/>
                <w:sz w:val="20"/>
                <w:szCs w:val="20"/>
              </w:rPr>
              <w:t>0 – 4</w:t>
            </w:r>
          </w:p>
        </w:tc>
        <w:tc>
          <w:tcPr>
            <w:tcW w:w="1540" w:type="dxa"/>
            <w:tcBorders>
              <w:top w:val="nil"/>
              <w:left w:val="nil"/>
              <w:right w:val="nil"/>
            </w:tcBorders>
            <w:shd w:val="clear" w:color="auto" w:fill="auto"/>
            <w:noWrap/>
            <w:vAlign w:val="center"/>
            <w:hideMark/>
          </w:tcPr>
          <w:p w14:paraId="6832A021" w14:textId="77777777" w:rsidR="0046682E" w:rsidRPr="00703334" w:rsidRDefault="0046682E" w:rsidP="009B76B5">
            <w:pPr>
              <w:spacing w:line="360" w:lineRule="auto"/>
              <w:jc w:val="center"/>
              <w:rPr>
                <w:iCs/>
                <w:sz w:val="20"/>
                <w:szCs w:val="20"/>
              </w:rPr>
            </w:pPr>
            <w:r w:rsidRPr="00703334">
              <w:rPr>
                <w:iCs/>
                <w:sz w:val="20"/>
                <w:szCs w:val="20"/>
              </w:rPr>
              <w:t>0.0 – 3.8</w:t>
            </w:r>
          </w:p>
        </w:tc>
      </w:tr>
      <w:tr w:rsidR="0046682E" w:rsidRPr="00703334" w14:paraId="74EAB917" w14:textId="77777777" w:rsidTr="003D7D7F">
        <w:trPr>
          <w:trHeight w:val="387"/>
          <w:jc w:val="center"/>
        </w:trPr>
        <w:tc>
          <w:tcPr>
            <w:tcW w:w="2723" w:type="dxa"/>
            <w:tcBorders>
              <w:top w:val="nil"/>
              <w:left w:val="nil"/>
              <w:bottom w:val="nil"/>
              <w:right w:val="nil"/>
            </w:tcBorders>
            <w:shd w:val="clear" w:color="auto" w:fill="auto"/>
            <w:noWrap/>
            <w:vAlign w:val="center"/>
            <w:hideMark/>
          </w:tcPr>
          <w:p w14:paraId="26656184" w14:textId="77777777" w:rsidR="0046682E" w:rsidRPr="00703334" w:rsidRDefault="0046682E" w:rsidP="009B76B5">
            <w:pPr>
              <w:spacing w:line="360" w:lineRule="auto"/>
              <w:jc w:val="both"/>
              <w:rPr>
                <w:bCs/>
                <w:iCs/>
                <w:sz w:val="20"/>
                <w:szCs w:val="20"/>
              </w:rPr>
            </w:pPr>
            <w:r w:rsidRPr="00703334">
              <w:rPr>
                <w:bCs/>
                <w:iCs/>
                <w:sz w:val="20"/>
                <w:szCs w:val="20"/>
              </w:rPr>
              <w:t>4.-Inteligencia</w:t>
            </w:r>
          </w:p>
        </w:tc>
        <w:tc>
          <w:tcPr>
            <w:tcW w:w="633" w:type="dxa"/>
            <w:tcBorders>
              <w:top w:val="nil"/>
              <w:left w:val="nil"/>
              <w:bottom w:val="nil"/>
              <w:right w:val="nil"/>
            </w:tcBorders>
            <w:shd w:val="clear" w:color="auto" w:fill="auto"/>
            <w:noWrap/>
            <w:vAlign w:val="center"/>
            <w:hideMark/>
          </w:tcPr>
          <w:p w14:paraId="1A5AC16C" w14:textId="77777777" w:rsidR="0046682E" w:rsidRPr="00703334" w:rsidRDefault="0046682E" w:rsidP="009B76B5">
            <w:pPr>
              <w:spacing w:line="360" w:lineRule="auto"/>
              <w:jc w:val="center"/>
              <w:rPr>
                <w:iCs/>
                <w:sz w:val="20"/>
                <w:szCs w:val="20"/>
              </w:rPr>
            </w:pPr>
            <w:r w:rsidRPr="00703334">
              <w:rPr>
                <w:iCs/>
                <w:sz w:val="20"/>
                <w:szCs w:val="20"/>
              </w:rPr>
              <w:t>1238</w:t>
            </w:r>
          </w:p>
        </w:tc>
        <w:tc>
          <w:tcPr>
            <w:tcW w:w="704" w:type="dxa"/>
            <w:tcBorders>
              <w:top w:val="nil"/>
              <w:left w:val="nil"/>
              <w:bottom w:val="nil"/>
              <w:right w:val="nil"/>
            </w:tcBorders>
            <w:shd w:val="clear" w:color="auto" w:fill="auto"/>
            <w:noWrap/>
            <w:vAlign w:val="center"/>
            <w:hideMark/>
          </w:tcPr>
          <w:p w14:paraId="26BB161E" w14:textId="77777777" w:rsidR="0046682E" w:rsidRPr="00703334" w:rsidRDefault="0046682E" w:rsidP="009B76B5">
            <w:pPr>
              <w:spacing w:line="360" w:lineRule="auto"/>
              <w:jc w:val="center"/>
              <w:rPr>
                <w:iCs/>
                <w:sz w:val="20"/>
                <w:szCs w:val="20"/>
              </w:rPr>
            </w:pPr>
            <w:r w:rsidRPr="00703334">
              <w:rPr>
                <w:iCs/>
                <w:sz w:val="20"/>
                <w:szCs w:val="20"/>
              </w:rPr>
              <w:t>5.1</w:t>
            </w:r>
          </w:p>
        </w:tc>
        <w:tc>
          <w:tcPr>
            <w:tcW w:w="704" w:type="dxa"/>
            <w:tcBorders>
              <w:top w:val="nil"/>
              <w:left w:val="nil"/>
              <w:bottom w:val="nil"/>
              <w:right w:val="nil"/>
            </w:tcBorders>
            <w:shd w:val="clear" w:color="auto" w:fill="auto"/>
            <w:noWrap/>
            <w:vAlign w:val="center"/>
            <w:hideMark/>
          </w:tcPr>
          <w:p w14:paraId="724C341E" w14:textId="77777777" w:rsidR="0046682E" w:rsidRPr="00703334" w:rsidRDefault="0046682E" w:rsidP="009B76B5">
            <w:pPr>
              <w:spacing w:line="360" w:lineRule="auto"/>
              <w:jc w:val="center"/>
              <w:rPr>
                <w:iCs/>
                <w:sz w:val="20"/>
                <w:szCs w:val="20"/>
              </w:rPr>
            </w:pPr>
            <w:r w:rsidRPr="00703334">
              <w:rPr>
                <w:iCs/>
                <w:sz w:val="20"/>
                <w:szCs w:val="20"/>
              </w:rPr>
              <w:t>3.16</w:t>
            </w:r>
          </w:p>
        </w:tc>
        <w:tc>
          <w:tcPr>
            <w:tcW w:w="704" w:type="dxa"/>
            <w:tcBorders>
              <w:top w:val="nil"/>
              <w:left w:val="nil"/>
              <w:bottom w:val="nil"/>
              <w:right w:val="nil"/>
            </w:tcBorders>
            <w:shd w:val="clear" w:color="auto" w:fill="auto"/>
            <w:noWrap/>
            <w:vAlign w:val="center"/>
            <w:hideMark/>
          </w:tcPr>
          <w:p w14:paraId="70785E14" w14:textId="77777777" w:rsidR="0046682E" w:rsidRPr="00703334" w:rsidRDefault="0046682E" w:rsidP="009B76B5">
            <w:pPr>
              <w:spacing w:line="360" w:lineRule="auto"/>
              <w:jc w:val="center"/>
              <w:rPr>
                <w:bCs/>
                <w:iCs/>
                <w:sz w:val="20"/>
                <w:szCs w:val="20"/>
              </w:rPr>
            </w:pPr>
            <w:r w:rsidRPr="00703334">
              <w:rPr>
                <w:bCs/>
                <w:iCs/>
                <w:sz w:val="20"/>
                <w:szCs w:val="20"/>
              </w:rPr>
              <w:t>.80</w:t>
            </w:r>
          </w:p>
        </w:tc>
        <w:tc>
          <w:tcPr>
            <w:tcW w:w="703" w:type="dxa"/>
            <w:tcBorders>
              <w:top w:val="nil"/>
              <w:left w:val="nil"/>
              <w:bottom w:val="nil"/>
              <w:right w:val="nil"/>
            </w:tcBorders>
            <w:shd w:val="clear" w:color="auto" w:fill="auto"/>
            <w:noWrap/>
            <w:vAlign w:val="center"/>
            <w:hideMark/>
          </w:tcPr>
          <w:p w14:paraId="54BE16C8" w14:textId="77777777" w:rsidR="0046682E" w:rsidRPr="00703334" w:rsidRDefault="0046682E" w:rsidP="009B76B5">
            <w:pPr>
              <w:spacing w:line="360" w:lineRule="auto"/>
              <w:jc w:val="center"/>
              <w:rPr>
                <w:iCs/>
                <w:sz w:val="20"/>
                <w:szCs w:val="20"/>
              </w:rPr>
            </w:pPr>
            <w:r w:rsidRPr="00703334">
              <w:rPr>
                <w:bCs/>
                <w:iCs/>
                <w:sz w:val="20"/>
                <w:szCs w:val="20"/>
              </w:rPr>
              <w:t>12</w:t>
            </w:r>
          </w:p>
        </w:tc>
        <w:tc>
          <w:tcPr>
            <w:tcW w:w="1262" w:type="dxa"/>
            <w:tcBorders>
              <w:top w:val="nil"/>
              <w:left w:val="nil"/>
              <w:bottom w:val="nil"/>
              <w:right w:val="nil"/>
            </w:tcBorders>
            <w:shd w:val="clear" w:color="auto" w:fill="auto"/>
            <w:noWrap/>
            <w:vAlign w:val="center"/>
            <w:hideMark/>
          </w:tcPr>
          <w:p w14:paraId="1B7CD7B1" w14:textId="77777777" w:rsidR="0046682E" w:rsidRPr="00703334" w:rsidRDefault="0046682E" w:rsidP="009B76B5">
            <w:pPr>
              <w:spacing w:line="360" w:lineRule="auto"/>
              <w:jc w:val="center"/>
              <w:rPr>
                <w:iCs/>
                <w:sz w:val="20"/>
                <w:szCs w:val="20"/>
              </w:rPr>
            </w:pPr>
            <w:r w:rsidRPr="00703334">
              <w:rPr>
                <w:iCs/>
                <w:sz w:val="20"/>
                <w:szCs w:val="20"/>
              </w:rPr>
              <w:t>0 –12</w:t>
            </w:r>
          </w:p>
        </w:tc>
        <w:tc>
          <w:tcPr>
            <w:tcW w:w="1540" w:type="dxa"/>
            <w:tcBorders>
              <w:top w:val="nil"/>
              <w:left w:val="nil"/>
              <w:bottom w:val="nil"/>
              <w:right w:val="nil"/>
            </w:tcBorders>
            <w:shd w:val="clear" w:color="auto" w:fill="auto"/>
            <w:noWrap/>
            <w:vAlign w:val="center"/>
            <w:hideMark/>
          </w:tcPr>
          <w:p w14:paraId="1F6B5D65" w14:textId="77777777" w:rsidR="0046682E" w:rsidRPr="00703334" w:rsidRDefault="0046682E" w:rsidP="009B76B5">
            <w:pPr>
              <w:spacing w:line="360" w:lineRule="auto"/>
              <w:jc w:val="center"/>
              <w:rPr>
                <w:iCs/>
                <w:sz w:val="20"/>
                <w:szCs w:val="20"/>
              </w:rPr>
            </w:pPr>
            <w:r w:rsidRPr="00703334">
              <w:rPr>
                <w:iCs/>
                <w:sz w:val="20"/>
                <w:szCs w:val="20"/>
              </w:rPr>
              <w:t>0.0 – 12</w:t>
            </w:r>
          </w:p>
        </w:tc>
      </w:tr>
      <w:tr w:rsidR="0046682E" w:rsidRPr="00703334" w14:paraId="1E745460" w14:textId="77777777" w:rsidTr="003D7D7F">
        <w:trPr>
          <w:trHeight w:val="387"/>
          <w:jc w:val="center"/>
        </w:trPr>
        <w:tc>
          <w:tcPr>
            <w:tcW w:w="2723" w:type="dxa"/>
            <w:tcBorders>
              <w:top w:val="nil"/>
              <w:left w:val="nil"/>
              <w:right w:val="nil"/>
            </w:tcBorders>
            <w:shd w:val="clear" w:color="auto" w:fill="auto"/>
            <w:noWrap/>
            <w:vAlign w:val="center"/>
          </w:tcPr>
          <w:p w14:paraId="6BCB998B" w14:textId="77777777" w:rsidR="0046682E" w:rsidRPr="00703334" w:rsidRDefault="0046682E" w:rsidP="009B76B5">
            <w:pPr>
              <w:spacing w:line="360" w:lineRule="auto"/>
              <w:jc w:val="both"/>
              <w:rPr>
                <w:bCs/>
                <w:iCs/>
                <w:sz w:val="20"/>
                <w:szCs w:val="20"/>
              </w:rPr>
            </w:pPr>
            <w:r w:rsidRPr="00703334">
              <w:rPr>
                <w:bCs/>
                <w:iCs/>
                <w:sz w:val="20"/>
                <w:szCs w:val="20"/>
              </w:rPr>
              <w:t>5.-Escolaridad (años)</w:t>
            </w:r>
          </w:p>
        </w:tc>
        <w:tc>
          <w:tcPr>
            <w:tcW w:w="633" w:type="dxa"/>
            <w:tcBorders>
              <w:top w:val="nil"/>
              <w:left w:val="nil"/>
              <w:right w:val="nil"/>
            </w:tcBorders>
            <w:shd w:val="clear" w:color="auto" w:fill="auto"/>
            <w:noWrap/>
            <w:vAlign w:val="center"/>
          </w:tcPr>
          <w:p w14:paraId="7CCE62CD" w14:textId="77777777" w:rsidR="0046682E" w:rsidRPr="00703334" w:rsidRDefault="0046682E" w:rsidP="009B76B5">
            <w:pPr>
              <w:spacing w:line="360" w:lineRule="auto"/>
              <w:jc w:val="center"/>
              <w:rPr>
                <w:iCs/>
                <w:sz w:val="20"/>
                <w:szCs w:val="20"/>
              </w:rPr>
            </w:pPr>
            <w:r w:rsidRPr="00703334">
              <w:rPr>
                <w:iCs/>
                <w:sz w:val="20"/>
                <w:szCs w:val="20"/>
              </w:rPr>
              <w:t>1238</w:t>
            </w:r>
          </w:p>
        </w:tc>
        <w:tc>
          <w:tcPr>
            <w:tcW w:w="704" w:type="dxa"/>
            <w:tcBorders>
              <w:top w:val="nil"/>
              <w:left w:val="nil"/>
              <w:right w:val="nil"/>
            </w:tcBorders>
            <w:shd w:val="clear" w:color="auto" w:fill="auto"/>
            <w:noWrap/>
            <w:vAlign w:val="center"/>
          </w:tcPr>
          <w:p w14:paraId="14B155AD" w14:textId="77777777" w:rsidR="0046682E" w:rsidRPr="00703334" w:rsidRDefault="0046682E" w:rsidP="009B76B5">
            <w:pPr>
              <w:spacing w:line="360" w:lineRule="auto"/>
              <w:jc w:val="center"/>
              <w:rPr>
                <w:iCs/>
                <w:sz w:val="20"/>
                <w:szCs w:val="20"/>
              </w:rPr>
            </w:pPr>
            <w:r w:rsidRPr="00703334">
              <w:rPr>
                <w:sz w:val="20"/>
                <w:szCs w:val="20"/>
              </w:rPr>
              <w:t>7.8</w:t>
            </w:r>
          </w:p>
        </w:tc>
        <w:tc>
          <w:tcPr>
            <w:tcW w:w="704" w:type="dxa"/>
            <w:tcBorders>
              <w:top w:val="nil"/>
              <w:left w:val="nil"/>
              <w:right w:val="nil"/>
            </w:tcBorders>
            <w:shd w:val="clear" w:color="auto" w:fill="auto"/>
            <w:noWrap/>
            <w:vAlign w:val="center"/>
          </w:tcPr>
          <w:p w14:paraId="7230836B" w14:textId="77777777" w:rsidR="0046682E" w:rsidRPr="00703334" w:rsidRDefault="0046682E" w:rsidP="009B76B5">
            <w:pPr>
              <w:spacing w:line="360" w:lineRule="auto"/>
              <w:jc w:val="center"/>
              <w:rPr>
                <w:iCs/>
                <w:sz w:val="20"/>
                <w:szCs w:val="20"/>
              </w:rPr>
            </w:pPr>
            <w:r w:rsidRPr="00703334">
              <w:rPr>
                <w:iCs/>
                <w:sz w:val="20"/>
                <w:szCs w:val="20"/>
              </w:rPr>
              <w:t>4.1</w:t>
            </w:r>
          </w:p>
        </w:tc>
        <w:tc>
          <w:tcPr>
            <w:tcW w:w="704" w:type="dxa"/>
            <w:tcBorders>
              <w:top w:val="nil"/>
              <w:left w:val="nil"/>
              <w:right w:val="nil"/>
            </w:tcBorders>
            <w:shd w:val="clear" w:color="auto" w:fill="auto"/>
            <w:noWrap/>
            <w:vAlign w:val="center"/>
          </w:tcPr>
          <w:p w14:paraId="4A2E9B34" w14:textId="77777777" w:rsidR="0046682E" w:rsidRPr="00703334" w:rsidRDefault="0046682E" w:rsidP="009B76B5">
            <w:pPr>
              <w:spacing w:line="360" w:lineRule="auto"/>
              <w:jc w:val="center"/>
              <w:rPr>
                <w:bCs/>
                <w:iCs/>
                <w:sz w:val="20"/>
                <w:szCs w:val="20"/>
              </w:rPr>
            </w:pPr>
            <w:r w:rsidRPr="00703334">
              <w:rPr>
                <w:bCs/>
                <w:iCs/>
                <w:sz w:val="20"/>
                <w:szCs w:val="20"/>
              </w:rPr>
              <w:t>-</w:t>
            </w:r>
          </w:p>
        </w:tc>
        <w:tc>
          <w:tcPr>
            <w:tcW w:w="703" w:type="dxa"/>
            <w:tcBorders>
              <w:top w:val="nil"/>
              <w:left w:val="nil"/>
              <w:right w:val="nil"/>
            </w:tcBorders>
            <w:shd w:val="clear" w:color="auto" w:fill="auto"/>
            <w:noWrap/>
            <w:vAlign w:val="center"/>
          </w:tcPr>
          <w:p w14:paraId="7904F321" w14:textId="77777777" w:rsidR="0046682E" w:rsidRPr="00703334" w:rsidRDefault="0046682E" w:rsidP="009B76B5">
            <w:pPr>
              <w:spacing w:line="360" w:lineRule="auto"/>
              <w:jc w:val="center"/>
              <w:rPr>
                <w:bCs/>
                <w:iCs/>
                <w:sz w:val="20"/>
                <w:szCs w:val="20"/>
              </w:rPr>
            </w:pPr>
            <w:r w:rsidRPr="00703334">
              <w:rPr>
                <w:bCs/>
                <w:iCs/>
                <w:sz w:val="20"/>
                <w:szCs w:val="20"/>
              </w:rPr>
              <w:t>1</w:t>
            </w:r>
          </w:p>
        </w:tc>
        <w:tc>
          <w:tcPr>
            <w:tcW w:w="1262" w:type="dxa"/>
            <w:tcBorders>
              <w:top w:val="nil"/>
              <w:left w:val="nil"/>
              <w:right w:val="nil"/>
            </w:tcBorders>
            <w:shd w:val="clear" w:color="auto" w:fill="auto"/>
            <w:noWrap/>
            <w:vAlign w:val="center"/>
          </w:tcPr>
          <w:p w14:paraId="4DF01FA4" w14:textId="77777777" w:rsidR="0046682E" w:rsidRPr="00703334" w:rsidRDefault="0046682E" w:rsidP="009B76B5">
            <w:pPr>
              <w:spacing w:line="360" w:lineRule="auto"/>
              <w:jc w:val="center"/>
              <w:rPr>
                <w:iCs/>
                <w:sz w:val="20"/>
                <w:szCs w:val="20"/>
              </w:rPr>
            </w:pPr>
            <w:r w:rsidRPr="00703334">
              <w:rPr>
                <w:iCs/>
                <w:sz w:val="20"/>
                <w:szCs w:val="20"/>
              </w:rPr>
              <w:t>0 –20</w:t>
            </w:r>
          </w:p>
        </w:tc>
        <w:tc>
          <w:tcPr>
            <w:tcW w:w="1540" w:type="dxa"/>
            <w:tcBorders>
              <w:top w:val="nil"/>
              <w:left w:val="nil"/>
              <w:right w:val="nil"/>
            </w:tcBorders>
            <w:shd w:val="clear" w:color="auto" w:fill="auto"/>
            <w:noWrap/>
            <w:vAlign w:val="center"/>
          </w:tcPr>
          <w:p w14:paraId="0FFAAABA" w14:textId="77777777" w:rsidR="0046682E" w:rsidRPr="00703334" w:rsidRDefault="0046682E" w:rsidP="009B76B5">
            <w:pPr>
              <w:spacing w:line="360" w:lineRule="auto"/>
              <w:jc w:val="center"/>
              <w:rPr>
                <w:iCs/>
                <w:sz w:val="20"/>
                <w:szCs w:val="20"/>
              </w:rPr>
            </w:pPr>
            <w:r w:rsidRPr="00703334">
              <w:rPr>
                <w:iCs/>
                <w:sz w:val="20"/>
                <w:szCs w:val="20"/>
              </w:rPr>
              <w:t>0 – 19</w:t>
            </w:r>
          </w:p>
        </w:tc>
      </w:tr>
      <w:tr w:rsidR="0046682E" w:rsidRPr="00703334" w14:paraId="419B0E2A" w14:textId="77777777" w:rsidTr="003D7D7F">
        <w:trPr>
          <w:trHeight w:val="387"/>
          <w:jc w:val="center"/>
        </w:trPr>
        <w:tc>
          <w:tcPr>
            <w:tcW w:w="2723" w:type="dxa"/>
            <w:tcBorders>
              <w:top w:val="nil"/>
              <w:left w:val="nil"/>
              <w:bottom w:val="single" w:sz="8" w:space="0" w:color="auto"/>
              <w:right w:val="nil"/>
            </w:tcBorders>
            <w:shd w:val="clear" w:color="auto" w:fill="auto"/>
            <w:noWrap/>
            <w:vAlign w:val="center"/>
          </w:tcPr>
          <w:p w14:paraId="6FD5A031" w14:textId="77777777" w:rsidR="0046682E" w:rsidRPr="00703334" w:rsidRDefault="0046682E" w:rsidP="009B76B5">
            <w:pPr>
              <w:spacing w:line="360" w:lineRule="auto"/>
              <w:jc w:val="both"/>
              <w:rPr>
                <w:bCs/>
                <w:iCs/>
                <w:sz w:val="20"/>
                <w:szCs w:val="20"/>
              </w:rPr>
            </w:pPr>
            <w:r w:rsidRPr="00703334">
              <w:rPr>
                <w:bCs/>
                <w:iCs/>
                <w:sz w:val="20"/>
                <w:szCs w:val="20"/>
              </w:rPr>
              <w:t>6.-Ingreso mensual</w:t>
            </w:r>
            <w:r w:rsidR="003D7D7F" w:rsidRPr="00703334">
              <w:rPr>
                <w:bCs/>
                <w:iCs/>
                <w:sz w:val="20"/>
                <w:szCs w:val="20"/>
                <w:vertAlign w:val="superscript"/>
              </w:rPr>
              <w:t>*</w:t>
            </w:r>
          </w:p>
        </w:tc>
        <w:tc>
          <w:tcPr>
            <w:tcW w:w="633" w:type="dxa"/>
            <w:tcBorders>
              <w:top w:val="nil"/>
              <w:left w:val="nil"/>
              <w:bottom w:val="single" w:sz="8" w:space="0" w:color="auto"/>
              <w:right w:val="nil"/>
            </w:tcBorders>
            <w:shd w:val="clear" w:color="auto" w:fill="auto"/>
            <w:noWrap/>
            <w:vAlign w:val="center"/>
          </w:tcPr>
          <w:p w14:paraId="716F7647" w14:textId="77777777" w:rsidR="0046682E" w:rsidRPr="00703334" w:rsidRDefault="0046682E" w:rsidP="009B76B5">
            <w:pPr>
              <w:spacing w:line="360" w:lineRule="auto"/>
              <w:jc w:val="center"/>
              <w:rPr>
                <w:iCs/>
                <w:sz w:val="20"/>
                <w:szCs w:val="20"/>
              </w:rPr>
            </w:pPr>
            <w:r w:rsidRPr="00703334">
              <w:rPr>
                <w:iCs/>
                <w:sz w:val="20"/>
                <w:szCs w:val="20"/>
              </w:rPr>
              <w:t>1238</w:t>
            </w:r>
          </w:p>
        </w:tc>
        <w:tc>
          <w:tcPr>
            <w:tcW w:w="704" w:type="dxa"/>
            <w:tcBorders>
              <w:top w:val="nil"/>
              <w:left w:val="nil"/>
              <w:bottom w:val="single" w:sz="8" w:space="0" w:color="auto"/>
              <w:right w:val="nil"/>
            </w:tcBorders>
            <w:shd w:val="clear" w:color="auto" w:fill="auto"/>
            <w:noWrap/>
            <w:vAlign w:val="center"/>
          </w:tcPr>
          <w:p w14:paraId="5C197302" w14:textId="77777777" w:rsidR="0046682E" w:rsidRPr="00703334" w:rsidRDefault="0046682E" w:rsidP="009B76B5">
            <w:pPr>
              <w:spacing w:line="360" w:lineRule="auto"/>
              <w:jc w:val="center"/>
              <w:rPr>
                <w:iCs/>
                <w:sz w:val="20"/>
                <w:szCs w:val="20"/>
              </w:rPr>
            </w:pPr>
            <w:r w:rsidRPr="00703334">
              <w:rPr>
                <w:iCs/>
                <w:sz w:val="20"/>
                <w:szCs w:val="20"/>
              </w:rPr>
              <w:t>179.4</w:t>
            </w:r>
          </w:p>
        </w:tc>
        <w:tc>
          <w:tcPr>
            <w:tcW w:w="704" w:type="dxa"/>
            <w:tcBorders>
              <w:top w:val="nil"/>
              <w:left w:val="nil"/>
              <w:bottom w:val="single" w:sz="8" w:space="0" w:color="auto"/>
              <w:right w:val="nil"/>
            </w:tcBorders>
            <w:shd w:val="clear" w:color="auto" w:fill="auto"/>
            <w:noWrap/>
            <w:vAlign w:val="center"/>
          </w:tcPr>
          <w:p w14:paraId="575DFF3F" w14:textId="77777777" w:rsidR="0046682E" w:rsidRPr="00703334" w:rsidRDefault="0046682E" w:rsidP="009B76B5">
            <w:pPr>
              <w:spacing w:line="360" w:lineRule="auto"/>
              <w:jc w:val="center"/>
              <w:rPr>
                <w:iCs/>
                <w:sz w:val="20"/>
                <w:szCs w:val="20"/>
              </w:rPr>
            </w:pPr>
            <w:r w:rsidRPr="00703334">
              <w:rPr>
                <w:iCs/>
                <w:sz w:val="20"/>
                <w:szCs w:val="20"/>
              </w:rPr>
              <w:t>174.1</w:t>
            </w:r>
          </w:p>
        </w:tc>
        <w:tc>
          <w:tcPr>
            <w:tcW w:w="704" w:type="dxa"/>
            <w:tcBorders>
              <w:top w:val="nil"/>
              <w:left w:val="nil"/>
              <w:bottom w:val="single" w:sz="8" w:space="0" w:color="auto"/>
              <w:right w:val="nil"/>
            </w:tcBorders>
            <w:shd w:val="clear" w:color="auto" w:fill="auto"/>
            <w:noWrap/>
            <w:vAlign w:val="center"/>
          </w:tcPr>
          <w:p w14:paraId="4C1606D4" w14:textId="77777777" w:rsidR="0046682E" w:rsidRPr="00703334" w:rsidRDefault="0046682E" w:rsidP="009B76B5">
            <w:pPr>
              <w:spacing w:line="360" w:lineRule="auto"/>
              <w:jc w:val="center"/>
              <w:rPr>
                <w:bCs/>
                <w:iCs/>
                <w:sz w:val="20"/>
                <w:szCs w:val="20"/>
              </w:rPr>
            </w:pPr>
            <w:r w:rsidRPr="00703334">
              <w:rPr>
                <w:bCs/>
                <w:iCs/>
                <w:sz w:val="20"/>
                <w:szCs w:val="20"/>
              </w:rPr>
              <w:t>-</w:t>
            </w:r>
          </w:p>
        </w:tc>
        <w:tc>
          <w:tcPr>
            <w:tcW w:w="703" w:type="dxa"/>
            <w:tcBorders>
              <w:top w:val="nil"/>
              <w:left w:val="nil"/>
              <w:bottom w:val="single" w:sz="8" w:space="0" w:color="auto"/>
              <w:right w:val="nil"/>
            </w:tcBorders>
            <w:shd w:val="clear" w:color="auto" w:fill="auto"/>
            <w:noWrap/>
            <w:vAlign w:val="center"/>
          </w:tcPr>
          <w:p w14:paraId="0410BEEC" w14:textId="77777777" w:rsidR="0046682E" w:rsidRPr="00703334" w:rsidRDefault="0046682E" w:rsidP="009B76B5">
            <w:pPr>
              <w:spacing w:line="360" w:lineRule="auto"/>
              <w:jc w:val="center"/>
              <w:rPr>
                <w:bCs/>
                <w:iCs/>
                <w:sz w:val="20"/>
                <w:szCs w:val="20"/>
              </w:rPr>
            </w:pPr>
            <w:r w:rsidRPr="00703334">
              <w:rPr>
                <w:bCs/>
                <w:iCs/>
                <w:sz w:val="20"/>
                <w:szCs w:val="20"/>
              </w:rPr>
              <w:t>-</w:t>
            </w:r>
          </w:p>
        </w:tc>
        <w:tc>
          <w:tcPr>
            <w:tcW w:w="1262" w:type="dxa"/>
            <w:tcBorders>
              <w:top w:val="nil"/>
              <w:left w:val="nil"/>
              <w:bottom w:val="single" w:sz="8" w:space="0" w:color="auto"/>
              <w:right w:val="nil"/>
            </w:tcBorders>
            <w:shd w:val="clear" w:color="auto" w:fill="auto"/>
            <w:noWrap/>
            <w:vAlign w:val="center"/>
          </w:tcPr>
          <w:p w14:paraId="1179174A" w14:textId="77777777" w:rsidR="0046682E" w:rsidRPr="00703334" w:rsidRDefault="0046682E" w:rsidP="009B76B5">
            <w:pPr>
              <w:spacing w:line="360" w:lineRule="auto"/>
              <w:jc w:val="center"/>
              <w:rPr>
                <w:iCs/>
                <w:sz w:val="20"/>
                <w:szCs w:val="20"/>
              </w:rPr>
            </w:pPr>
            <w:r w:rsidRPr="00703334">
              <w:rPr>
                <w:iCs/>
                <w:sz w:val="20"/>
                <w:szCs w:val="20"/>
              </w:rPr>
              <w:sym w:font="Symbol" w:char="F0B3"/>
            </w:r>
            <w:r w:rsidRPr="00703334">
              <w:rPr>
                <w:iCs/>
                <w:sz w:val="20"/>
                <w:szCs w:val="20"/>
              </w:rPr>
              <w:t xml:space="preserve"> 0</w:t>
            </w:r>
          </w:p>
        </w:tc>
        <w:tc>
          <w:tcPr>
            <w:tcW w:w="1540" w:type="dxa"/>
            <w:tcBorders>
              <w:top w:val="nil"/>
              <w:left w:val="nil"/>
              <w:bottom w:val="single" w:sz="8" w:space="0" w:color="auto"/>
              <w:right w:val="nil"/>
            </w:tcBorders>
            <w:shd w:val="clear" w:color="auto" w:fill="auto"/>
            <w:noWrap/>
            <w:vAlign w:val="center"/>
          </w:tcPr>
          <w:p w14:paraId="6D7F2428" w14:textId="77777777" w:rsidR="0046682E" w:rsidRPr="00703334" w:rsidRDefault="0046682E" w:rsidP="009B76B5">
            <w:pPr>
              <w:spacing w:line="360" w:lineRule="auto"/>
              <w:jc w:val="center"/>
              <w:rPr>
                <w:iCs/>
                <w:sz w:val="20"/>
                <w:szCs w:val="20"/>
              </w:rPr>
            </w:pPr>
            <w:r w:rsidRPr="00703334">
              <w:rPr>
                <w:iCs/>
                <w:sz w:val="20"/>
                <w:szCs w:val="20"/>
              </w:rPr>
              <w:t>5.10 – 2,451</w:t>
            </w:r>
          </w:p>
        </w:tc>
      </w:tr>
    </w:tbl>
    <w:p w14:paraId="747B3001" w14:textId="17CD90DD" w:rsidR="0046682E" w:rsidRPr="00703334" w:rsidRDefault="003D7D7F" w:rsidP="00703334">
      <w:pPr>
        <w:spacing w:line="276" w:lineRule="auto"/>
        <w:rPr>
          <w:sz w:val="20"/>
          <w:szCs w:val="20"/>
        </w:rPr>
      </w:pPr>
      <w:r w:rsidRPr="00703334">
        <w:rPr>
          <w:sz w:val="20"/>
          <w:szCs w:val="20"/>
          <w:vertAlign w:val="superscript"/>
        </w:rPr>
        <w:t>*</w:t>
      </w:r>
      <w:r w:rsidRPr="00703334">
        <w:rPr>
          <w:sz w:val="20"/>
          <w:szCs w:val="20"/>
        </w:rPr>
        <w:t xml:space="preserve">Nota: </w:t>
      </w:r>
      <w:r w:rsidRPr="00703334">
        <w:rPr>
          <w:rStyle w:val="Refdenotaalpie"/>
          <w:sz w:val="20"/>
          <w:szCs w:val="20"/>
        </w:rPr>
        <w:t xml:space="preserve">El valor está en dólares </w:t>
      </w:r>
      <w:r w:rsidR="00703334">
        <w:rPr>
          <w:sz w:val="20"/>
          <w:szCs w:val="20"/>
        </w:rPr>
        <w:t>(</w:t>
      </w:r>
      <w:r w:rsidRPr="00703334">
        <w:rPr>
          <w:rStyle w:val="Refdenotaalpie"/>
          <w:sz w:val="20"/>
          <w:szCs w:val="20"/>
        </w:rPr>
        <w:t>$US</w:t>
      </w:r>
      <w:r w:rsidR="00703334">
        <w:rPr>
          <w:rStyle w:val="Refdenotaalpie"/>
          <w:sz w:val="20"/>
          <w:szCs w:val="20"/>
        </w:rPr>
        <w:t>)</w:t>
      </w:r>
      <w:r w:rsidRPr="00703334">
        <w:rPr>
          <w:rStyle w:val="Refdenotaalpie"/>
          <w:sz w:val="20"/>
          <w:szCs w:val="20"/>
        </w:rPr>
        <w:t xml:space="preserve"> y la estimación con base al tipo de cambio corriente (1 dólar=16.32 pesos) de agosto de 2015.</w:t>
      </w:r>
    </w:p>
    <w:p w14:paraId="34ED92E5" w14:textId="77777777" w:rsidR="003D7D7F" w:rsidRPr="00703334" w:rsidRDefault="003D7D7F" w:rsidP="009B76B5">
      <w:pPr>
        <w:spacing w:line="360" w:lineRule="auto"/>
        <w:rPr>
          <w:sz w:val="20"/>
        </w:rPr>
      </w:pPr>
      <w:bookmarkStart w:id="18" w:name="_Toc70804506"/>
    </w:p>
    <w:p w14:paraId="192930D6" w14:textId="77777777" w:rsidR="006C49E0" w:rsidRPr="00703334" w:rsidRDefault="0046682E" w:rsidP="009B76B5">
      <w:pPr>
        <w:spacing w:line="360" w:lineRule="auto"/>
        <w:rPr>
          <w:sz w:val="20"/>
        </w:rPr>
      </w:pPr>
      <w:r w:rsidRPr="00703334">
        <w:rPr>
          <w:sz w:val="20"/>
        </w:rPr>
        <w:t xml:space="preserve">Tabla </w:t>
      </w:r>
      <w:r w:rsidRPr="00703334">
        <w:rPr>
          <w:sz w:val="20"/>
        </w:rPr>
        <w:fldChar w:fldCharType="begin"/>
      </w:r>
      <w:r w:rsidRPr="00703334">
        <w:rPr>
          <w:sz w:val="20"/>
        </w:rPr>
        <w:instrText xml:space="preserve"> SEQ Tabla \* ARABIC </w:instrText>
      </w:r>
      <w:r w:rsidRPr="00703334">
        <w:rPr>
          <w:sz w:val="20"/>
        </w:rPr>
        <w:fldChar w:fldCharType="separate"/>
      </w:r>
      <w:r w:rsidRPr="00703334">
        <w:rPr>
          <w:sz w:val="20"/>
        </w:rPr>
        <w:t>2</w:t>
      </w:r>
      <w:r w:rsidRPr="00703334">
        <w:rPr>
          <w:sz w:val="20"/>
        </w:rPr>
        <w:fldChar w:fldCharType="end"/>
      </w:r>
      <w:r w:rsidRPr="00703334">
        <w:rPr>
          <w:sz w:val="20"/>
        </w:rPr>
        <w:t xml:space="preserve">. </w:t>
      </w:r>
    </w:p>
    <w:p w14:paraId="5C434CD2" w14:textId="77777777" w:rsidR="0046682E" w:rsidRPr="00703334" w:rsidRDefault="0046682E" w:rsidP="009B76B5">
      <w:pPr>
        <w:spacing w:line="360" w:lineRule="auto"/>
        <w:rPr>
          <w:i/>
          <w:sz w:val="20"/>
        </w:rPr>
      </w:pPr>
      <w:r w:rsidRPr="00703334">
        <w:rPr>
          <w:i/>
          <w:sz w:val="20"/>
        </w:rPr>
        <w:t>Correlaciones de las variables</w:t>
      </w:r>
      <w:bookmarkEnd w:id="18"/>
    </w:p>
    <w:tbl>
      <w:tblPr>
        <w:tblW w:w="4950" w:type="pct"/>
        <w:jc w:val="center"/>
        <w:tblBorders>
          <w:bottom w:val="single" w:sz="4" w:space="0" w:color="auto"/>
        </w:tblBorders>
        <w:tblLayout w:type="fixed"/>
        <w:tblCellMar>
          <w:top w:w="113" w:type="dxa"/>
          <w:left w:w="70" w:type="dxa"/>
          <w:right w:w="70" w:type="dxa"/>
        </w:tblCellMar>
        <w:tblLook w:val="04A0" w:firstRow="1" w:lastRow="0" w:firstColumn="1" w:lastColumn="0" w:noHBand="0" w:noVBand="1"/>
      </w:tblPr>
      <w:tblGrid>
        <w:gridCol w:w="2643"/>
        <w:gridCol w:w="1046"/>
        <w:gridCol w:w="1046"/>
        <w:gridCol w:w="1046"/>
        <w:gridCol w:w="1046"/>
        <w:gridCol w:w="1046"/>
        <w:gridCol w:w="1100"/>
      </w:tblGrid>
      <w:tr w:rsidR="0046682E" w:rsidRPr="00703334" w14:paraId="6BFD3EF6" w14:textId="77777777" w:rsidTr="00622E68">
        <w:trPr>
          <w:trHeight w:val="270"/>
          <w:jc w:val="center"/>
        </w:trPr>
        <w:tc>
          <w:tcPr>
            <w:tcW w:w="2750" w:type="dxa"/>
            <w:tcBorders>
              <w:top w:val="single" w:sz="8" w:space="0" w:color="auto"/>
              <w:bottom w:val="single" w:sz="4" w:space="0" w:color="auto"/>
            </w:tcBorders>
            <w:shd w:val="clear" w:color="auto" w:fill="auto"/>
            <w:hideMark/>
          </w:tcPr>
          <w:p w14:paraId="1CE6EE48" w14:textId="77777777" w:rsidR="0046682E" w:rsidRPr="00703334" w:rsidRDefault="0046682E" w:rsidP="009B76B5">
            <w:pPr>
              <w:widowControl w:val="0"/>
              <w:adjustRightInd w:val="0"/>
              <w:snapToGrid w:val="0"/>
              <w:spacing w:line="360" w:lineRule="auto"/>
              <w:jc w:val="center"/>
              <w:rPr>
                <w:bCs/>
                <w:iCs/>
                <w:sz w:val="20"/>
                <w:szCs w:val="20"/>
              </w:rPr>
            </w:pPr>
            <w:r w:rsidRPr="00703334">
              <w:rPr>
                <w:bCs/>
                <w:iCs/>
                <w:sz w:val="20"/>
                <w:szCs w:val="20"/>
              </w:rPr>
              <w:t>Variables Escalas</w:t>
            </w:r>
          </w:p>
        </w:tc>
        <w:tc>
          <w:tcPr>
            <w:tcW w:w="1084" w:type="dxa"/>
            <w:tcBorders>
              <w:top w:val="single" w:sz="8" w:space="0" w:color="auto"/>
              <w:bottom w:val="single" w:sz="4" w:space="0" w:color="auto"/>
            </w:tcBorders>
            <w:shd w:val="clear" w:color="auto" w:fill="auto"/>
            <w:hideMark/>
          </w:tcPr>
          <w:p w14:paraId="624FF966" w14:textId="77777777" w:rsidR="0046682E" w:rsidRPr="00703334" w:rsidRDefault="0046682E" w:rsidP="009B76B5">
            <w:pPr>
              <w:widowControl w:val="0"/>
              <w:adjustRightInd w:val="0"/>
              <w:snapToGrid w:val="0"/>
              <w:spacing w:line="360" w:lineRule="auto"/>
              <w:jc w:val="center"/>
              <w:rPr>
                <w:bCs/>
                <w:iCs/>
                <w:sz w:val="20"/>
                <w:szCs w:val="20"/>
              </w:rPr>
            </w:pPr>
            <w:r w:rsidRPr="00703334">
              <w:rPr>
                <w:bCs/>
                <w:iCs/>
                <w:sz w:val="20"/>
                <w:szCs w:val="20"/>
              </w:rPr>
              <w:t>1</w:t>
            </w:r>
          </w:p>
        </w:tc>
        <w:tc>
          <w:tcPr>
            <w:tcW w:w="1084" w:type="dxa"/>
            <w:tcBorders>
              <w:top w:val="single" w:sz="8" w:space="0" w:color="auto"/>
              <w:bottom w:val="single" w:sz="4" w:space="0" w:color="auto"/>
            </w:tcBorders>
            <w:shd w:val="clear" w:color="auto" w:fill="auto"/>
            <w:hideMark/>
          </w:tcPr>
          <w:p w14:paraId="311FB591" w14:textId="77777777" w:rsidR="0046682E" w:rsidRPr="00703334" w:rsidRDefault="0046682E" w:rsidP="009B76B5">
            <w:pPr>
              <w:widowControl w:val="0"/>
              <w:adjustRightInd w:val="0"/>
              <w:snapToGrid w:val="0"/>
              <w:spacing w:line="360" w:lineRule="auto"/>
              <w:jc w:val="center"/>
              <w:rPr>
                <w:bCs/>
                <w:iCs/>
                <w:sz w:val="20"/>
                <w:szCs w:val="20"/>
              </w:rPr>
            </w:pPr>
            <w:r w:rsidRPr="00703334">
              <w:rPr>
                <w:bCs/>
                <w:iCs/>
                <w:sz w:val="20"/>
                <w:szCs w:val="20"/>
              </w:rPr>
              <w:t>2</w:t>
            </w:r>
          </w:p>
        </w:tc>
        <w:tc>
          <w:tcPr>
            <w:tcW w:w="1084" w:type="dxa"/>
            <w:tcBorders>
              <w:top w:val="single" w:sz="8" w:space="0" w:color="auto"/>
              <w:bottom w:val="single" w:sz="4" w:space="0" w:color="auto"/>
            </w:tcBorders>
            <w:shd w:val="clear" w:color="auto" w:fill="auto"/>
            <w:hideMark/>
          </w:tcPr>
          <w:p w14:paraId="28854AA7" w14:textId="77777777" w:rsidR="0046682E" w:rsidRPr="00703334" w:rsidRDefault="0046682E" w:rsidP="009B76B5">
            <w:pPr>
              <w:widowControl w:val="0"/>
              <w:adjustRightInd w:val="0"/>
              <w:snapToGrid w:val="0"/>
              <w:spacing w:line="360" w:lineRule="auto"/>
              <w:jc w:val="center"/>
              <w:rPr>
                <w:bCs/>
                <w:iCs/>
                <w:sz w:val="20"/>
                <w:szCs w:val="20"/>
              </w:rPr>
            </w:pPr>
            <w:r w:rsidRPr="00703334">
              <w:rPr>
                <w:bCs/>
                <w:iCs/>
                <w:sz w:val="20"/>
                <w:szCs w:val="20"/>
              </w:rPr>
              <w:t>3</w:t>
            </w:r>
          </w:p>
        </w:tc>
        <w:tc>
          <w:tcPr>
            <w:tcW w:w="1084" w:type="dxa"/>
            <w:tcBorders>
              <w:top w:val="single" w:sz="8" w:space="0" w:color="auto"/>
              <w:bottom w:val="single" w:sz="4" w:space="0" w:color="auto"/>
            </w:tcBorders>
            <w:shd w:val="clear" w:color="auto" w:fill="auto"/>
            <w:hideMark/>
          </w:tcPr>
          <w:p w14:paraId="1C8DAD61" w14:textId="77777777" w:rsidR="0046682E" w:rsidRPr="00703334" w:rsidRDefault="0046682E" w:rsidP="009B76B5">
            <w:pPr>
              <w:widowControl w:val="0"/>
              <w:adjustRightInd w:val="0"/>
              <w:snapToGrid w:val="0"/>
              <w:spacing w:line="360" w:lineRule="auto"/>
              <w:jc w:val="center"/>
              <w:rPr>
                <w:bCs/>
                <w:iCs/>
                <w:sz w:val="20"/>
                <w:szCs w:val="20"/>
              </w:rPr>
            </w:pPr>
            <w:r w:rsidRPr="00703334">
              <w:rPr>
                <w:bCs/>
                <w:iCs/>
                <w:sz w:val="20"/>
                <w:szCs w:val="20"/>
              </w:rPr>
              <w:t>4</w:t>
            </w:r>
          </w:p>
        </w:tc>
        <w:tc>
          <w:tcPr>
            <w:tcW w:w="1084" w:type="dxa"/>
            <w:tcBorders>
              <w:top w:val="single" w:sz="8" w:space="0" w:color="auto"/>
              <w:bottom w:val="single" w:sz="4" w:space="0" w:color="auto"/>
            </w:tcBorders>
          </w:tcPr>
          <w:p w14:paraId="02412B5F" w14:textId="77777777" w:rsidR="0046682E" w:rsidRPr="00703334" w:rsidRDefault="0046682E" w:rsidP="009B76B5">
            <w:pPr>
              <w:widowControl w:val="0"/>
              <w:adjustRightInd w:val="0"/>
              <w:snapToGrid w:val="0"/>
              <w:spacing w:line="360" w:lineRule="auto"/>
              <w:jc w:val="center"/>
              <w:rPr>
                <w:bCs/>
                <w:iCs/>
                <w:sz w:val="20"/>
                <w:szCs w:val="20"/>
              </w:rPr>
            </w:pPr>
            <w:r w:rsidRPr="00703334">
              <w:rPr>
                <w:bCs/>
                <w:iCs/>
                <w:sz w:val="20"/>
                <w:szCs w:val="20"/>
              </w:rPr>
              <w:t>5</w:t>
            </w:r>
          </w:p>
        </w:tc>
        <w:tc>
          <w:tcPr>
            <w:tcW w:w="1140" w:type="dxa"/>
            <w:tcBorders>
              <w:top w:val="single" w:sz="8" w:space="0" w:color="auto"/>
              <w:bottom w:val="single" w:sz="4" w:space="0" w:color="auto"/>
            </w:tcBorders>
          </w:tcPr>
          <w:p w14:paraId="192999C8" w14:textId="77777777" w:rsidR="0046682E" w:rsidRPr="00703334" w:rsidRDefault="0046682E" w:rsidP="009B76B5">
            <w:pPr>
              <w:widowControl w:val="0"/>
              <w:adjustRightInd w:val="0"/>
              <w:snapToGrid w:val="0"/>
              <w:spacing w:line="360" w:lineRule="auto"/>
              <w:jc w:val="center"/>
              <w:rPr>
                <w:bCs/>
                <w:iCs/>
                <w:sz w:val="20"/>
                <w:szCs w:val="20"/>
              </w:rPr>
            </w:pPr>
            <w:r w:rsidRPr="00703334">
              <w:rPr>
                <w:bCs/>
                <w:iCs/>
                <w:sz w:val="20"/>
                <w:szCs w:val="20"/>
              </w:rPr>
              <w:t>6</w:t>
            </w:r>
          </w:p>
        </w:tc>
      </w:tr>
      <w:tr w:rsidR="0046682E" w:rsidRPr="00703334" w14:paraId="5A5CA560" w14:textId="77777777" w:rsidTr="00622E68">
        <w:trPr>
          <w:trHeight w:val="270"/>
          <w:jc w:val="center"/>
        </w:trPr>
        <w:tc>
          <w:tcPr>
            <w:tcW w:w="2750" w:type="dxa"/>
            <w:tcBorders>
              <w:top w:val="single" w:sz="4" w:space="0" w:color="auto"/>
            </w:tcBorders>
            <w:shd w:val="clear" w:color="auto" w:fill="auto"/>
            <w:vAlign w:val="center"/>
            <w:hideMark/>
          </w:tcPr>
          <w:p w14:paraId="6D6541C6" w14:textId="77777777" w:rsidR="0046682E" w:rsidRPr="00703334" w:rsidRDefault="0046682E" w:rsidP="009B76B5">
            <w:pPr>
              <w:widowControl w:val="0"/>
              <w:adjustRightInd w:val="0"/>
              <w:snapToGrid w:val="0"/>
              <w:spacing w:line="360" w:lineRule="auto"/>
              <w:jc w:val="both"/>
              <w:rPr>
                <w:bCs/>
                <w:iCs/>
                <w:sz w:val="20"/>
                <w:szCs w:val="20"/>
              </w:rPr>
            </w:pPr>
            <w:r w:rsidRPr="00703334">
              <w:rPr>
                <w:bCs/>
                <w:iCs/>
                <w:sz w:val="20"/>
                <w:szCs w:val="20"/>
              </w:rPr>
              <w:t>1.-Perseverancia</w:t>
            </w:r>
          </w:p>
        </w:tc>
        <w:tc>
          <w:tcPr>
            <w:tcW w:w="1084" w:type="dxa"/>
            <w:tcBorders>
              <w:top w:val="single" w:sz="4" w:space="0" w:color="auto"/>
            </w:tcBorders>
            <w:shd w:val="clear" w:color="auto" w:fill="auto"/>
            <w:vAlign w:val="center"/>
            <w:hideMark/>
          </w:tcPr>
          <w:p w14:paraId="60994409" w14:textId="77777777" w:rsidR="0046682E" w:rsidRPr="00703334" w:rsidRDefault="0046682E" w:rsidP="009B76B5">
            <w:pPr>
              <w:widowControl w:val="0"/>
              <w:adjustRightInd w:val="0"/>
              <w:snapToGrid w:val="0"/>
              <w:spacing w:line="360" w:lineRule="auto"/>
              <w:jc w:val="both"/>
              <w:rPr>
                <w:iCs/>
                <w:sz w:val="20"/>
                <w:szCs w:val="20"/>
              </w:rPr>
            </w:pPr>
            <w:r w:rsidRPr="00703334">
              <w:rPr>
                <w:iCs/>
                <w:sz w:val="20"/>
                <w:szCs w:val="20"/>
              </w:rPr>
              <w:t>-</w:t>
            </w:r>
          </w:p>
        </w:tc>
        <w:tc>
          <w:tcPr>
            <w:tcW w:w="1084" w:type="dxa"/>
            <w:tcBorders>
              <w:top w:val="single" w:sz="4" w:space="0" w:color="auto"/>
            </w:tcBorders>
            <w:shd w:val="clear" w:color="auto" w:fill="auto"/>
            <w:vAlign w:val="center"/>
            <w:hideMark/>
          </w:tcPr>
          <w:p w14:paraId="72D3F7E4" w14:textId="77777777" w:rsidR="0046682E" w:rsidRPr="00703334" w:rsidRDefault="0046682E" w:rsidP="009B76B5">
            <w:pPr>
              <w:widowControl w:val="0"/>
              <w:adjustRightInd w:val="0"/>
              <w:snapToGrid w:val="0"/>
              <w:spacing w:line="360" w:lineRule="auto"/>
              <w:jc w:val="both"/>
              <w:rPr>
                <w:sz w:val="20"/>
                <w:szCs w:val="20"/>
              </w:rPr>
            </w:pPr>
          </w:p>
        </w:tc>
        <w:tc>
          <w:tcPr>
            <w:tcW w:w="1084" w:type="dxa"/>
            <w:tcBorders>
              <w:top w:val="single" w:sz="4" w:space="0" w:color="auto"/>
            </w:tcBorders>
            <w:shd w:val="clear" w:color="auto" w:fill="auto"/>
            <w:vAlign w:val="center"/>
            <w:hideMark/>
          </w:tcPr>
          <w:p w14:paraId="48D9D1E0" w14:textId="77777777" w:rsidR="0046682E" w:rsidRPr="00703334" w:rsidRDefault="0046682E" w:rsidP="009B76B5">
            <w:pPr>
              <w:widowControl w:val="0"/>
              <w:adjustRightInd w:val="0"/>
              <w:snapToGrid w:val="0"/>
              <w:spacing w:line="360" w:lineRule="auto"/>
              <w:jc w:val="both"/>
              <w:rPr>
                <w:sz w:val="20"/>
                <w:szCs w:val="20"/>
              </w:rPr>
            </w:pPr>
          </w:p>
        </w:tc>
        <w:tc>
          <w:tcPr>
            <w:tcW w:w="1084" w:type="dxa"/>
            <w:tcBorders>
              <w:top w:val="single" w:sz="4" w:space="0" w:color="auto"/>
            </w:tcBorders>
            <w:shd w:val="clear" w:color="auto" w:fill="auto"/>
            <w:vAlign w:val="center"/>
            <w:hideMark/>
          </w:tcPr>
          <w:p w14:paraId="67555584" w14:textId="77777777" w:rsidR="0046682E" w:rsidRPr="00703334" w:rsidRDefault="0046682E" w:rsidP="009B76B5">
            <w:pPr>
              <w:widowControl w:val="0"/>
              <w:adjustRightInd w:val="0"/>
              <w:snapToGrid w:val="0"/>
              <w:spacing w:line="360" w:lineRule="auto"/>
              <w:jc w:val="both"/>
              <w:rPr>
                <w:sz w:val="20"/>
                <w:szCs w:val="20"/>
              </w:rPr>
            </w:pPr>
          </w:p>
        </w:tc>
        <w:tc>
          <w:tcPr>
            <w:tcW w:w="1084" w:type="dxa"/>
            <w:tcBorders>
              <w:top w:val="single" w:sz="4" w:space="0" w:color="auto"/>
            </w:tcBorders>
            <w:vAlign w:val="center"/>
          </w:tcPr>
          <w:p w14:paraId="4FBE8C4F" w14:textId="77777777" w:rsidR="0046682E" w:rsidRPr="00703334" w:rsidRDefault="0046682E" w:rsidP="009B76B5">
            <w:pPr>
              <w:widowControl w:val="0"/>
              <w:adjustRightInd w:val="0"/>
              <w:snapToGrid w:val="0"/>
              <w:spacing w:line="360" w:lineRule="auto"/>
              <w:jc w:val="both"/>
              <w:rPr>
                <w:sz w:val="20"/>
                <w:szCs w:val="20"/>
              </w:rPr>
            </w:pPr>
          </w:p>
        </w:tc>
        <w:tc>
          <w:tcPr>
            <w:tcW w:w="1140" w:type="dxa"/>
            <w:tcBorders>
              <w:top w:val="single" w:sz="4" w:space="0" w:color="auto"/>
            </w:tcBorders>
            <w:vAlign w:val="center"/>
          </w:tcPr>
          <w:p w14:paraId="5C1986FE" w14:textId="77777777" w:rsidR="0046682E" w:rsidRPr="00703334" w:rsidRDefault="0046682E" w:rsidP="009B76B5">
            <w:pPr>
              <w:widowControl w:val="0"/>
              <w:adjustRightInd w:val="0"/>
              <w:snapToGrid w:val="0"/>
              <w:spacing w:line="360" w:lineRule="auto"/>
              <w:jc w:val="both"/>
              <w:rPr>
                <w:sz w:val="20"/>
                <w:szCs w:val="20"/>
              </w:rPr>
            </w:pPr>
          </w:p>
        </w:tc>
      </w:tr>
      <w:tr w:rsidR="0046682E" w:rsidRPr="00703334" w14:paraId="29DBF074" w14:textId="77777777" w:rsidTr="00622E68">
        <w:trPr>
          <w:trHeight w:val="270"/>
          <w:jc w:val="center"/>
        </w:trPr>
        <w:tc>
          <w:tcPr>
            <w:tcW w:w="2750" w:type="dxa"/>
            <w:shd w:val="clear" w:color="auto" w:fill="auto"/>
            <w:vAlign w:val="center"/>
            <w:hideMark/>
          </w:tcPr>
          <w:p w14:paraId="2F412B51" w14:textId="77777777" w:rsidR="0046682E" w:rsidRPr="00703334" w:rsidRDefault="0046682E" w:rsidP="009B76B5">
            <w:pPr>
              <w:widowControl w:val="0"/>
              <w:adjustRightInd w:val="0"/>
              <w:snapToGrid w:val="0"/>
              <w:spacing w:line="360" w:lineRule="auto"/>
              <w:jc w:val="both"/>
              <w:rPr>
                <w:bCs/>
                <w:iCs/>
                <w:sz w:val="20"/>
                <w:szCs w:val="20"/>
              </w:rPr>
            </w:pPr>
            <w:r w:rsidRPr="00703334">
              <w:rPr>
                <w:bCs/>
                <w:iCs/>
                <w:sz w:val="20"/>
                <w:szCs w:val="20"/>
              </w:rPr>
              <w:t>2.-Resiliencia</w:t>
            </w:r>
          </w:p>
        </w:tc>
        <w:tc>
          <w:tcPr>
            <w:tcW w:w="1084" w:type="dxa"/>
            <w:shd w:val="clear" w:color="000000" w:fill="FFFFFF"/>
            <w:vAlign w:val="center"/>
            <w:hideMark/>
          </w:tcPr>
          <w:p w14:paraId="72279B4A"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.27</w:t>
            </w:r>
            <w:r w:rsidRPr="00703334">
              <w:rPr>
                <w:sz w:val="20"/>
                <w:szCs w:val="20"/>
                <w:vertAlign w:val="superscript"/>
              </w:rPr>
              <w:t>*</w:t>
            </w:r>
          </w:p>
        </w:tc>
        <w:tc>
          <w:tcPr>
            <w:tcW w:w="1084" w:type="dxa"/>
            <w:shd w:val="clear" w:color="000000" w:fill="FFFFFF"/>
            <w:vAlign w:val="center"/>
            <w:hideMark/>
          </w:tcPr>
          <w:p w14:paraId="747D500E"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w:t>
            </w:r>
          </w:p>
        </w:tc>
        <w:tc>
          <w:tcPr>
            <w:tcW w:w="1084" w:type="dxa"/>
            <w:shd w:val="clear" w:color="000000" w:fill="FFFFFF"/>
            <w:vAlign w:val="center"/>
            <w:hideMark/>
          </w:tcPr>
          <w:p w14:paraId="067511C4" w14:textId="77777777" w:rsidR="0046682E" w:rsidRPr="00703334" w:rsidRDefault="0046682E" w:rsidP="009B76B5">
            <w:pPr>
              <w:widowControl w:val="0"/>
              <w:adjustRightInd w:val="0"/>
              <w:snapToGrid w:val="0"/>
              <w:spacing w:line="360" w:lineRule="auto"/>
              <w:jc w:val="both"/>
              <w:rPr>
                <w:sz w:val="20"/>
                <w:szCs w:val="20"/>
              </w:rPr>
            </w:pPr>
          </w:p>
        </w:tc>
        <w:tc>
          <w:tcPr>
            <w:tcW w:w="1084" w:type="dxa"/>
            <w:shd w:val="clear" w:color="000000" w:fill="FFFFFF"/>
            <w:vAlign w:val="center"/>
            <w:hideMark/>
          </w:tcPr>
          <w:p w14:paraId="5437363D" w14:textId="77777777" w:rsidR="0046682E" w:rsidRPr="00703334" w:rsidRDefault="0046682E" w:rsidP="009B76B5">
            <w:pPr>
              <w:widowControl w:val="0"/>
              <w:adjustRightInd w:val="0"/>
              <w:snapToGrid w:val="0"/>
              <w:spacing w:line="360" w:lineRule="auto"/>
              <w:jc w:val="both"/>
              <w:rPr>
                <w:sz w:val="20"/>
                <w:szCs w:val="20"/>
              </w:rPr>
            </w:pPr>
          </w:p>
        </w:tc>
        <w:tc>
          <w:tcPr>
            <w:tcW w:w="1084" w:type="dxa"/>
            <w:shd w:val="clear" w:color="000000" w:fill="FFFFFF"/>
            <w:vAlign w:val="center"/>
          </w:tcPr>
          <w:p w14:paraId="6528982D" w14:textId="77777777" w:rsidR="0046682E" w:rsidRPr="00703334" w:rsidRDefault="0046682E" w:rsidP="009B76B5">
            <w:pPr>
              <w:widowControl w:val="0"/>
              <w:adjustRightInd w:val="0"/>
              <w:snapToGrid w:val="0"/>
              <w:spacing w:line="360" w:lineRule="auto"/>
              <w:jc w:val="both"/>
              <w:rPr>
                <w:sz w:val="20"/>
                <w:szCs w:val="20"/>
              </w:rPr>
            </w:pPr>
          </w:p>
        </w:tc>
        <w:tc>
          <w:tcPr>
            <w:tcW w:w="1140" w:type="dxa"/>
            <w:shd w:val="clear" w:color="000000" w:fill="FFFFFF"/>
            <w:vAlign w:val="center"/>
          </w:tcPr>
          <w:p w14:paraId="6162E444" w14:textId="77777777" w:rsidR="0046682E" w:rsidRPr="00703334" w:rsidRDefault="0046682E" w:rsidP="009B76B5">
            <w:pPr>
              <w:widowControl w:val="0"/>
              <w:adjustRightInd w:val="0"/>
              <w:snapToGrid w:val="0"/>
              <w:spacing w:line="360" w:lineRule="auto"/>
              <w:jc w:val="both"/>
              <w:rPr>
                <w:sz w:val="20"/>
                <w:szCs w:val="20"/>
              </w:rPr>
            </w:pPr>
          </w:p>
        </w:tc>
      </w:tr>
      <w:tr w:rsidR="0046682E" w:rsidRPr="00703334" w14:paraId="3DBD2BEE" w14:textId="77777777" w:rsidTr="00622E68">
        <w:trPr>
          <w:trHeight w:val="270"/>
          <w:jc w:val="center"/>
        </w:trPr>
        <w:tc>
          <w:tcPr>
            <w:tcW w:w="2750" w:type="dxa"/>
            <w:shd w:val="clear" w:color="auto" w:fill="auto"/>
            <w:vAlign w:val="center"/>
            <w:hideMark/>
          </w:tcPr>
          <w:p w14:paraId="75A44D42" w14:textId="77777777" w:rsidR="0046682E" w:rsidRPr="00703334" w:rsidRDefault="0046682E" w:rsidP="009B76B5">
            <w:pPr>
              <w:widowControl w:val="0"/>
              <w:adjustRightInd w:val="0"/>
              <w:snapToGrid w:val="0"/>
              <w:spacing w:line="360" w:lineRule="auto"/>
              <w:jc w:val="both"/>
              <w:rPr>
                <w:bCs/>
                <w:iCs/>
                <w:sz w:val="20"/>
                <w:szCs w:val="20"/>
              </w:rPr>
            </w:pPr>
            <w:r w:rsidRPr="00703334">
              <w:rPr>
                <w:bCs/>
                <w:iCs/>
                <w:sz w:val="20"/>
                <w:szCs w:val="20"/>
              </w:rPr>
              <w:t>3.-Impulsividad</w:t>
            </w:r>
          </w:p>
        </w:tc>
        <w:tc>
          <w:tcPr>
            <w:tcW w:w="1084" w:type="dxa"/>
            <w:shd w:val="clear" w:color="000000" w:fill="FFFFFF"/>
            <w:vAlign w:val="center"/>
            <w:hideMark/>
          </w:tcPr>
          <w:p w14:paraId="3B34C2E1"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-.46</w:t>
            </w:r>
            <w:r w:rsidRPr="00703334">
              <w:rPr>
                <w:sz w:val="20"/>
                <w:szCs w:val="20"/>
                <w:vertAlign w:val="superscript"/>
              </w:rPr>
              <w:t>*</w:t>
            </w:r>
          </w:p>
        </w:tc>
        <w:tc>
          <w:tcPr>
            <w:tcW w:w="1084" w:type="dxa"/>
            <w:shd w:val="clear" w:color="000000" w:fill="FFFFFF"/>
            <w:vAlign w:val="center"/>
            <w:hideMark/>
          </w:tcPr>
          <w:p w14:paraId="72250CC6"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-.17</w:t>
            </w:r>
            <w:r w:rsidRPr="00703334">
              <w:rPr>
                <w:sz w:val="20"/>
                <w:szCs w:val="20"/>
                <w:vertAlign w:val="superscript"/>
              </w:rPr>
              <w:t>*</w:t>
            </w:r>
          </w:p>
        </w:tc>
        <w:tc>
          <w:tcPr>
            <w:tcW w:w="1084" w:type="dxa"/>
            <w:shd w:val="clear" w:color="000000" w:fill="FFFFFF"/>
            <w:vAlign w:val="center"/>
            <w:hideMark/>
          </w:tcPr>
          <w:p w14:paraId="1267FC5F"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w:t>
            </w:r>
          </w:p>
        </w:tc>
        <w:tc>
          <w:tcPr>
            <w:tcW w:w="1084" w:type="dxa"/>
            <w:shd w:val="clear" w:color="000000" w:fill="FFFFFF"/>
            <w:vAlign w:val="center"/>
            <w:hideMark/>
          </w:tcPr>
          <w:p w14:paraId="3A49867A" w14:textId="77777777" w:rsidR="0046682E" w:rsidRPr="00703334" w:rsidRDefault="0046682E" w:rsidP="009B76B5">
            <w:pPr>
              <w:widowControl w:val="0"/>
              <w:adjustRightInd w:val="0"/>
              <w:snapToGrid w:val="0"/>
              <w:spacing w:line="360" w:lineRule="auto"/>
              <w:jc w:val="both"/>
              <w:rPr>
                <w:sz w:val="20"/>
                <w:szCs w:val="20"/>
              </w:rPr>
            </w:pPr>
          </w:p>
        </w:tc>
        <w:tc>
          <w:tcPr>
            <w:tcW w:w="1084" w:type="dxa"/>
            <w:shd w:val="clear" w:color="000000" w:fill="FFFFFF"/>
            <w:vAlign w:val="center"/>
          </w:tcPr>
          <w:p w14:paraId="31B8D87A" w14:textId="77777777" w:rsidR="0046682E" w:rsidRPr="00703334" w:rsidRDefault="0046682E" w:rsidP="009B76B5">
            <w:pPr>
              <w:widowControl w:val="0"/>
              <w:adjustRightInd w:val="0"/>
              <w:snapToGrid w:val="0"/>
              <w:spacing w:line="360" w:lineRule="auto"/>
              <w:jc w:val="both"/>
              <w:rPr>
                <w:sz w:val="20"/>
                <w:szCs w:val="20"/>
              </w:rPr>
            </w:pPr>
          </w:p>
        </w:tc>
        <w:tc>
          <w:tcPr>
            <w:tcW w:w="1140" w:type="dxa"/>
            <w:shd w:val="clear" w:color="000000" w:fill="FFFFFF"/>
            <w:vAlign w:val="center"/>
          </w:tcPr>
          <w:p w14:paraId="1B559837" w14:textId="77777777" w:rsidR="0046682E" w:rsidRPr="00703334" w:rsidRDefault="0046682E" w:rsidP="009B76B5">
            <w:pPr>
              <w:widowControl w:val="0"/>
              <w:adjustRightInd w:val="0"/>
              <w:snapToGrid w:val="0"/>
              <w:spacing w:line="360" w:lineRule="auto"/>
              <w:jc w:val="both"/>
              <w:rPr>
                <w:sz w:val="20"/>
                <w:szCs w:val="20"/>
              </w:rPr>
            </w:pPr>
          </w:p>
        </w:tc>
      </w:tr>
      <w:tr w:rsidR="0046682E" w:rsidRPr="00703334" w14:paraId="15A32E56" w14:textId="77777777" w:rsidTr="00622E68">
        <w:trPr>
          <w:trHeight w:val="270"/>
          <w:jc w:val="center"/>
        </w:trPr>
        <w:tc>
          <w:tcPr>
            <w:tcW w:w="2750" w:type="dxa"/>
            <w:shd w:val="clear" w:color="auto" w:fill="auto"/>
            <w:vAlign w:val="center"/>
            <w:hideMark/>
          </w:tcPr>
          <w:p w14:paraId="1D4B1AE9" w14:textId="77777777" w:rsidR="0046682E" w:rsidRPr="00703334" w:rsidRDefault="0046682E" w:rsidP="009B76B5">
            <w:pPr>
              <w:widowControl w:val="0"/>
              <w:adjustRightInd w:val="0"/>
              <w:snapToGrid w:val="0"/>
              <w:spacing w:line="360" w:lineRule="auto"/>
              <w:jc w:val="both"/>
              <w:rPr>
                <w:bCs/>
                <w:iCs/>
                <w:sz w:val="20"/>
                <w:szCs w:val="20"/>
              </w:rPr>
            </w:pPr>
            <w:r w:rsidRPr="00703334">
              <w:rPr>
                <w:bCs/>
                <w:iCs/>
                <w:sz w:val="20"/>
                <w:szCs w:val="20"/>
              </w:rPr>
              <w:t>4.-Inteligencia</w:t>
            </w:r>
          </w:p>
        </w:tc>
        <w:tc>
          <w:tcPr>
            <w:tcW w:w="1084" w:type="dxa"/>
            <w:shd w:val="clear" w:color="000000" w:fill="FFFFFF"/>
            <w:vAlign w:val="center"/>
            <w:hideMark/>
          </w:tcPr>
          <w:p w14:paraId="65542121"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.25</w:t>
            </w:r>
            <w:r w:rsidRPr="00703334">
              <w:rPr>
                <w:sz w:val="20"/>
                <w:szCs w:val="20"/>
                <w:vertAlign w:val="superscript"/>
              </w:rPr>
              <w:t>*</w:t>
            </w:r>
          </w:p>
        </w:tc>
        <w:tc>
          <w:tcPr>
            <w:tcW w:w="1084" w:type="dxa"/>
            <w:shd w:val="clear" w:color="000000" w:fill="FFFFFF"/>
            <w:vAlign w:val="center"/>
            <w:hideMark/>
          </w:tcPr>
          <w:p w14:paraId="6787C993"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.11</w:t>
            </w:r>
            <w:r w:rsidRPr="00703334">
              <w:rPr>
                <w:sz w:val="20"/>
                <w:szCs w:val="20"/>
                <w:vertAlign w:val="superscript"/>
              </w:rPr>
              <w:t>*</w:t>
            </w:r>
          </w:p>
        </w:tc>
        <w:tc>
          <w:tcPr>
            <w:tcW w:w="1084" w:type="dxa"/>
            <w:shd w:val="clear" w:color="000000" w:fill="FFFFFF"/>
            <w:vAlign w:val="center"/>
            <w:hideMark/>
          </w:tcPr>
          <w:p w14:paraId="5F4CFD65"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-.28</w:t>
            </w:r>
            <w:r w:rsidRPr="00703334">
              <w:rPr>
                <w:sz w:val="20"/>
                <w:szCs w:val="20"/>
                <w:vertAlign w:val="superscript"/>
              </w:rPr>
              <w:t>*</w:t>
            </w:r>
          </w:p>
        </w:tc>
        <w:tc>
          <w:tcPr>
            <w:tcW w:w="1084" w:type="dxa"/>
            <w:shd w:val="clear" w:color="000000" w:fill="FFFFFF"/>
            <w:vAlign w:val="center"/>
            <w:hideMark/>
          </w:tcPr>
          <w:p w14:paraId="27A1E23C"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w:t>
            </w:r>
          </w:p>
        </w:tc>
        <w:tc>
          <w:tcPr>
            <w:tcW w:w="1084" w:type="dxa"/>
            <w:shd w:val="clear" w:color="000000" w:fill="FFFFFF"/>
            <w:vAlign w:val="center"/>
          </w:tcPr>
          <w:p w14:paraId="0870E9C6" w14:textId="77777777" w:rsidR="0046682E" w:rsidRPr="00703334" w:rsidRDefault="0046682E" w:rsidP="009B76B5">
            <w:pPr>
              <w:widowControl w:val="0"/>
              <w:adjustRightInd w:val="0"/>
              <w:snapToGrid w:val="0"/>
              <w:spacing w:line="360" w:lineRule="auto"/>
              <w:jc w:val="both"/>
              <w:rPr>
                <w:sz w:val="20"/>
                <w:szCs w:val="20"/>
              </w:rPr>
            </w:pPr>
          </w:p>
        </w:tc>
        <w:tc>
          <w:tcPr>
            <w:tcW w:w="1140" w:type="dxa"/>
            <w:shd w:val="clear" w:color="000000" w:fill="FFFFFF"/>
            <w:vAlign w:val="center"/>
          </w:tcPr>
          <w:p w14:paraId="6EC4F977" w14:textId="77777777" w:rsidR="0046682E" w:rsidRPr="00703334" w:rsidRDefault="0046682E" w:rsidP="009B76B5">
            <w:pPr>
              <w:widowControl w:val="0"/>
              <w:adjustRightInd w:val="0"/>
              <w:snapToGrid w:val="0"/>
              <w:spacing w:line="360" w:lineRule="auto"/>
              <w:jc w:val="both"/>
              <w:rPr>
                <w:sz w:val="20"/>
                <w:szCs w:val="20"/>
              </w:rPr>
            </w:pPr>
          </w:p>
        </w:tc>
      </w:tr>
      <w:tr w:rsidR="0046682E" w:rsidRPr="00703334" w14:paraId="720C9E0B" w14:textId="77777777" w:rsidTr="00622E68">
        <w:trPr>
          <w:trHeight w:val="270"/>
          <w:jc w:val="center"/>
        </w:trPr>
        <w:tc>
          <w:tcPr>
            <w:tcW w:w="2750" w:type="dxa"/>
            <w:tcBorders>
              <w:bottom w:val="nil"/>
            </w:tcBorders>
            <w:shd w:val="clear" w:color="auto" w:fill="auto"/>
            <w:vAlign w:val="center"/>
          </w:tcPr>
          <w:p w14:paraId="3035667F" w14:textId="77777777" w:rsidR="0046682E" w:rsidRPr="00703334" w:rsidRDefault="0046682E" w:rsidP="009B76B5">
            <w:pPr>
              <w:widowControl w:val="0"/>
              <w:adjustRightInd w:val="0"/>
              <w:snapToGrid w:val="0"/>
              <w:spacing w:line="360" w:lineRule="auto"/>
              <w:jc w:val="both"/>
              <w:rPr>
                <w:bCs/>
                <w:iCs/>
                <w:sz w:val="20"/>
                <w:szCs w:val="20"/>
              </w:rPr>
            </w:pPr>
            <w:r w:rsidRPr="00703334">
              <w:rPr>
                <w:bCs/>
                <w:iCs/>
                <w:sz w:val="20"/>
                <w:szCs w:val="20"/>
              </w:rPr>
              <w:t>5.-Escolaridad</w:t>
            </w:r>
          </w:p>
        </w:tc>
        <w:tc>
          <w:tcPr>
            <w:tcW w:w="1084" w:type="dxa"/>
            <w:tcBorders>
              <w:bottom w:val="nil"/>
            </w:tcBorders>
            <w:shd w:val="clear" w:color="000000" w:fill="FFFFFF"/>
            <w:vAlign w:val="center"/>
          </w:tcPr>
          <w:p w14:paraId="0BA9D408"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.08</w:t>
            </w:r>
            <w:r w:rsidRPr="00703334">
              <w:rPr>
                <w:sz w:val="20"/>
                <w:szCs w:val="20"/>
                <w:vertAlign w:val="superscript"/>
              </w:rPr>
              <w:t>**</w:t>
            </w:r>
          </w:p>
        </w:tc>
        <w:tc>
          <w:tcPr>
            <w:tcW w:w="1084" w:type="dxa"/>
            <w:tcBorders>
              <w:bottom w:val="nil"/>
            </w:tcBorders>
            <w:shd w:val="clear" w:color="000000" w:fill="FFFFFF"/>
            <w:vAlign w:val="center"/>
          </w:tcPr>
          <w:p w14:paraId="0D37EBBC"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.10</w:t>
            </w:r>
            <w:r w:rsidRPr="00703334">
              <w:rPr>
                <w:sz w:val="20"/>
                <w:szCs w:val="20"/>
                <w:vertAlign w:val="superscript"/>
              </w:rPr>
              <w:t>*</w:t>
            </w:r>
          </w:p>
        </w:tc>
        <w:tc>
          <w:tcPr>
            <w:tcW w:w="1084" w:type="dxa"/>
            <w:tcBorders>
              <w:bottom w:val="nil"/>
            </w:tcBorders>
            <w:shd w:val="clear" w:color="000000" w:fill="FFFFFF"/>
            <w:vAlign w:val="center"/>
          </w:tcPr>
          <w:p w14:paraId="355B40F2"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-.12</w:t>
            </w:r>
            <w:r w:rsidRPr="00703334">
              <w:rPr>
                <w:sz w:val="20"/>
                <w:szCs w:val="20"/>
                <w:vertAlign w:val="superscript"/>
              </w:rPr>
              <w:t>*</w:t>
            </w:r>
          </w:p>
        </w:tc>
        <w:tc>
          <w:tcPr>
            <w:tcW w:w="1084" w:type="dxa"/>
            <w:tcBorders>
              <w:bottom w:val="nil"/>
            </w:tcBorders>
            <w:shd w:val="clear" w:color="000000" w:fill="FFFFFF"/>
            <w:vAlign w:val="center"/>
          </w:tcPr>
          <w:p w14:paraId="08D75FDB"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.18</w:t>
            </w:r>
            <w:r w:rsidRPr="00703334">
              <w:rPr>
                <w:sz w:val="20"/>
                <w:szCs w:val="20"/>
                <w:vertAlign w:val="superscript"/>
              </w:rPr>
              <w:t>*</w:t>
            </w:r>
          </w:p>
        </w:tc>
        <w:tc>
          <w:tcPr>
            <w:tcW w:w="1084" w:type="dxa"/>
            <w:tcBorders>
              <w:bottom w:val="nil"/>
            </w:tcBorders>
            <w:shd w:val="clear" w:color="000000" w:fill="FFFFFF"/>
            <w:vAlign w:val="center"/>
          </w:tcPr>
          <w:p w14:paraId="4985032A"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w:t>
            </w:r>
          </w:p>
        </w:tc>
        <w:tc>
          <w:tcPr>
            <w:tcW w:w="1140" w:type="dxa"/>
            <w:tcBorders>
              <w:bottom w:val="nil"/>
            </w:tcBorders>
            <w:shd w:val="clear" w:color="000000" w:fill="FFFFFF"/>
            <w:vAlign w:val="center"/>
          </w:tcPr>
          <w:p w14:paraId="0ED73B5A" w14:textId="77777777" w:rsidR="0046682E" w:rsidRPr="00703334" w:rsidRDefault="0046682E" w:rsidP="009B76B5">
            <w:pPr>
              <w:widowControl w:val="0"/>
              <w:adjustRightInd w:val="0"/>
              <w:snapToGrid w:val="0"/>
              <w:spacing w:line="360" w:lineRule="auto"/>
              <w:jc w:val="both"/>
              <w:rPr>
                <w:sz w:val="20"/>
                <w:szCs w:val="20"/>
              </w:rPr>
            </w:pPr>
          </w:p>
        </w:tc>
      </w:tr>
      <w:tr w:rsidR="0046682E" w:rsidRPr="00703334" w14:paraId="77CA0260" w14:textId="77777777" w:rsidTr="00622E68">
        <w:trPr>
          <w:trHeight w:val="270"/>
          <w:jc w:val="center"/>
        </w:trPr>
        <w:tc>
          <w:tcPr>
            <w:tcW w:w="2750" w:type="dxa"/>
            <w:tcBorders>
              <w:bottom w:val="single" w:sz="8" w:space="0" w:color="auto"/>
            </w:tcBorders>
            <w:shd w:val="clear" w:color="auto" w:fill="auto"/>
            <w:vAlign w:val="center"/>
          </w:tcPr>
          <w:p w14:paraId="69180E98" w14:textId="77777777" w:rsidR="0046682E" w:rsidRPr="00703334" w:rsidRDefault="0046682E" w:rsidP="009B76B5">
            <w:pPr>
              <w:widowControl w:val="0"/>
              <w:adjustRightInd w:val="0"/>
              <w:snapToGrid w:val="0"/>
              <w:spacing w:line="360" w:lineRule="auto"/>
              <w:jc w:val="both"/>
              <w:rPr>
                <w:bCs/>
                <w:iCs/>
                <w:sz w:val="20"/>
                <w:szCs w:val="20"/>
              </w:rPr>
            </w:pPr>
            <w:r w:rsidRPr="00703334">
              <w:rPr>
                <w:bCs/>
                <w:iCs/>
                <w:sz w:val="20"/>
                <w:szCs w:val="20"/>
              </w:rPr>
              <w:t>6.- Ingreso</w:t>
            </w:r>
            <w:r w:rsidR="003D7D7F" w:rsidRPr="00703334">
              <w:rPr>
                <w:bCs/>
                <w:iCs/>
                <w:sz w:val="20"/>
                <w:szCs w:val="20"/>
                <w:vertAlign w:val="superscript"/>
              </w:rPr>
              <w:t>***</w:t>
            </w:r>
          </w:p>
        </w:tc>
        <w:tc>
          <w:tcPr>
            <w:tcW w:w="1084" w:type="dxa"/>
            <w:tcBorders>
              <w:bottom w:val="single" w:sz="8" w:space="0" w:color="auto"/>
            </w:tcBorders>
            <w:shd w:val="clear" w:color="000000" w:fill="FFFFFF"/>
            <w:vAlign w:val="center"/>
          </w:tcPr>
          <w:p w14:paraId="5AF4CE22"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.18</w:t>
            </w:r>
            <w:r w:rsidRPr="00703334">
              <w:rPr>
                <w:sz w:val="20"/>
                <w:szCs w:val="20"/>
                <w:vertAlign w:val="superscript"/>
              </w:rPr>
              <w:t>*</w:t>
            </w:r>
          </w:p>
        </w:tc>
        <w:tc>
          <w:tcPr>
            <w:tcW w:w="1084" w:type="dxa"/>
            <w:tcBorders>
              <w:bottom w:val="single" w:sz="8" w:space="0" w:color="auto"/>
            </w:tcBorders>
            <w:shd w:val="clear" w:color="000000" w:fill="FFFFFF"/>
            <w:vAlign w:val="center"/>
          </w:tcPr>
          <w:p w14:paraId="7C94E449"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.10*</w:t>
            </w:r>
          </w:p>
        </w:tc>
        <w:tc>
          <w:tcPr>
            <w:tcW w:w="1084" w:type="dxa"/>
            <w:tcBorders>
              <w:bottom w:val="single" w:sz="8" w:space="0" w:color="auto"/>
            </w:tcBorders>
            <w:shd w:val="clear" w:color="000000" w:fill="FFFFFF"/>
            <w:vAlign w:val="center"/>
          </w:tcPr>
          <w:p w14:paraId="7706C0F9"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-.10</w:t>
            </w:r>
          </w:p>
        </w:tc>
        <w:tc>
          <w:tcPr>
            <w:tcW w:w="1084" w:type="dxa"/>
            <w:tcBorders>
              <w:bottom w:val="single" w:sz="8" w:space="0" w:color="auto"/>
            </w:tcBorders>
            <w:shd w:val="clear" w:color="000000" w:fill="FFFFFF"/>
            <w:vAlign w:val="center"/>
          </w:tcPr>
          <w:p w14:paraId="5926056B"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.15</w:t>
            </w:r>
            <w:r w:rsidRPr="00703334">
              <w:rPr>
                <w:sz w:val="20"/>
                <w:szCs w:val="20"/>
                <w:vertAlign w:val="superscript"/>
              </w:rPr>
              <w:t>*</w:t>
            </w:r>
          </w:p>
        </w:tc>
        <w:tc>
          <w:tcPr>
            <w:tcW w:w="1084" w:type="dxa"/>
            <w:tcBorders>
              <w:bottom w:val="single" w:sz="8" w:space="0" w:color="auto"/>
            </w:tcBorders>
            <w:shd w:val="clear" w:color="000000" w:fill="FFFFFF"/>
            <w:vAlign w:val="center"/>
          </w:tcPr>
          <w:p w14:paraId="22AAC88B"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.21</w:t>
            </w:r>
            <w:r w:rsidRPr="00703334">
              <w:rPr>
                <w:sz w:val="20"/>
                <w:szCs w:val="20"/>
                <w:vertAlign w:val="superscript"/>
              </w:rPr>
              <w:t>*</w:t>
            </w:r>
          </w:p>
        </w:tc>
        <w:tc>
          <w:tcPr>
            <w:tcW w:w="1140" w:type="dxa"/>
            <w:tcBorders>
              <w:bottom w:val="single" w:sz="8" w:space="0" w:color="auto"/>
            </w:tcBorders>
            <w:shd w:val="clear" w:color="000000" w:fill="FFFFFF"/>
            <w:vAlign w:val="center"/>
          </w:tcPr>
          <w:p w14:paraId="0CDC3AD7" w14:textId="77777777" w:rsidR="0046682E" w:rsidRPr="00703334" w:rsidRDefault="0046682E" w:rsidP="009B76B5">
            <w:pPr>
              <w:widowControl w:val="0"/>
              <w:adjustRightInd w:val="0"/>
              <w:snapToGrid w:val="0"/>
              <w:spacing w:line="360" w:lineRule="auto"/>
              <w:jc w:val="both"/>
              <w:rPr>
                <w:sz w:val="20"/>
                <w:szCs w:val="20"/>
              </w:rPr>
            </w:pPr>
            <w:r w:rsidRPr="00703334">
              <w:rPr>
                <w:sz w:val="20"/>
                <w:szCs w:val="20"/>
              </w:rPr>
              <w:t>-</w:t>
            </w:r>
          </w:p>
        </w:tc>
      </w:tr>
    </w:tbl>
    <w:p w14:paraId="1BCA0687" w14:textId="77777777" w:rsidR="0046682E" w:rsidRPr="00703334" w:rsidRDefault="0046682E" w:rsidP="00400007">
      <w:pPr>
        <w:spacing w:line="360" w:lineRule="auto"/>
        <w:jc w:val="both"/>
        <w:rPr>
          <w:sz w:val="20"/>
          <w:szCs w:val="20"/>
        </w:rPr>
      </w:pPr>
      <w:r w:rsidRPr="00703334">
        <w:rPr>
          <w:sz w:val="20"/>
          <w:szCs w:val="20"/>
          <w:vertAlign w:val="superscript"/>
        </w:rPr>
        <w:t>*</w:t>
      </w:r>
      <w:r w:rsidRPr="00703334">
        <w:rPr>
          <w:sz w:val="20"/>
          <w:szCs w:val="20"/>
        </w:rPr>
        <w:t xml:space="preserve"> p&lt;0.001 </w:t>
      </w:r>
      <w:r w:rsidRPr="00703334">
        <w:rPr>
          <w:sz w:val="20"/>
          <w:szCs w:val="20"/>
          <w:vertAlign w:val="superscript"/>
        </w:rPr>
        <w:t>**</w:t>
      </w:r>
      <w:r w:rsidRPr="00703334">
        <w:rPr>
          <w:sz w:val="20"/>
          <w:szCs w:val="20"/>
        </w:rPr>
        <w:t xml:space="preserve"> p&lt;0.05</w:t>
      </w:r>
      <w:bookmarkStart w:id="19" w:name="_Toc38828914"/>
      <w:r w:rsidR="003D7D7F" w:rsidRPr="00703334">
        <w:rPr>
          <w:sz w:val="20"/>
          <w:szCs w:val="20"/>
        </w:rPr>
        <w:t xml:space="preserve">. </w:t>
      </w:r>
    </w:p>
    <w:p w14:paraId="7D88FAD3" w14:textId="77777777" w:rsidR="00400007" w:rsidRPr="00400007" w:rsidRDefault="00123A07" w:rsidP="00400007">
      <w:pPr>
        <w:spacing w:line="360" w:lineRule="auto"/>
        <w:rPr>
          <w:b/>
          <w:i/>
        </w:rPr>
      </w:pPr>
      <w:bookmarkStart w:id="20" w:name="_Toc70185714"/>
      <w:bookmarkStart w:id="21" w:name="_Toc77421170"/>
      <w:bookmarkEnd w:id="19"/>
      <w:r w:rsidRPr="00400007">
        <w:rPr>
          <w:b/>
          <w:i/>
        </w:rPr>
        <w:t>Consideraciones éticas</w:t>
      </w:r>
    </w:p>
    <w:p w14:paraId="7C86852F" w14:textId="0A315640" w:rsidR="00123A07" w:rsidRPr="00400007" w:rsidRDefault="00400007" w:rsidP="00400007">
      <w:pPr>
        <w:pStyle w:val="SubtituloInterno"/>
        <w:spacing w:before="0" w:beforeAutospacing="0" w:after="0" w:afterAutospacing="0"/>
        <w:rPr>
          <w:highlight w:val="yellow"/>
          <w:lang w:val="es-ES_tradnl"/>
        </w:rPr>
      </w:pPr>
      <w:bookmarkStart w:id="22" w:name="_GoBack"/>
      <w:r>
        <w:t xml:space="preserve">Este </w:t>
      </w:r>
      <w:r w:rsidRPr="00400007">
        <w:t>estudio</w:t>
      </w:r>
      <w:r>
        <w:t xml:space="preserve"> se realizó</w:t>
      </w:r>
      <w:r w:rsidRPr="00400007">
        <w:t xml:space="preserve"> bajo las normas éticas generales. A las personas participantes se les informó el propósito del estudio, en qué consistía y los alcances del mismo. Asimismo, se les </w:t>
      </w:r>
      <w:r>
        <w:t>informó sobre</w:t>
      </w:r>
      <w:r w:rsidRPr="00400007">
        <w:t xml:space="preserve"> su derecho a decidir</w:t>
      </w:r>
      <w:r>
        <w:t xml:space="preserve">, a </w:t>
      </w:r>
      <w:r w:rsidRPr="00400007">
        <w:t xml:space="preserve">no responder las preguntas que no </w:t>
      </w:r>
      <w:r>
        <w:t>desearan</w:t>
      </w:r>
      <w:r w:rsidRPr="00400007">
        <w:t>; y que su información se mantendría confidencial, d</w:t>
      </w:r>
      <w:r>
        <w:t>á</w:t>
      </w:r>
      <w:r w:rsidRPr="00400007">
        <w:t>ndoles a conocer el aviso de privacidad</w:t>
      </w:r>
      <w:r>
        <w:t xml:space="preserve"> </w:t>
      </w:r>
      <w:r w:rsidRPr="00400007">
        <w:t>apegado a la ley de transparencia y protección de datos personales</w:t>
      </w:r>
      <w:r>
        <w:t xml:space="preserve"> y </w:t>
      </w:r>
      <w:r w:rsidRPr="00400007">
        <w:t>se les dio información sobre los responsables del estudio.</w:t>
      </w:r>
      <w:r>
        <w:t xml:space="preserve"> </w:t>
      </w:r>
    </w:p>
    <w:bookmarkEnd w:id="22"/>
    <w:p w14:paraId="4C24643A" w14:textId="2325CF18" w:rsidR="00356A60" w:rsidRPr="00703334" w:rsidRDefault="00356A60" w:rsidP="009B76B5">
      <w:pPr>
        <w:pStyle w:val="Ttulo3"/>
      </w:pPr>
      <w:r w:rsidRPr="00703334">
        <w:t>Resultados</w:t>
      </w:r>
      <w:bookmarkEnd w:id="20"/>
      <w:bookmarkEnd w:id="21"/>
    </w:p>
    <w:p w14:paraId="6A047E5D" w14:textId="001FBCF5" w:rsidR="0046682E" w:rsidRPr="00703334" w:rsidRDefault="00DE4100" w:rsidP="0046682E">
      <w:pPr>
        <w:pStyle w:val="Textoconsangra"/>
        <w:spacing w:line="360" w:lineRule="auto"/>
        <w:jc w:val="both"/>
        <w:rPr>
          <w:iCs/>
        </w:rPr>
      </w:pPr>
      <w:r w:rsidRPr="00703334">
        <w:t xml:space="preserve">La ejecución del </w:t>
      </w:r>
      <w:r w:rsidR="00356A60" w:rsidRPr="00703334">
        <w:t xml:space="preserve"> modelo hipotético</w:t>
      </w:r>
      <w:r w:rsidRPr="00703334">
        <w:t xml:space="preserve"> se realizó con el paquete estadístico STATA15®. </w:t>
      </w:r>
      <w:r w:rsidR="00084C85" w:rsidRPr="00703334">
        <w:t>Para su estimación s</w:t>
      </w:r>
      <w:r w:rsidRPr="00703334">
        <w:t>e utilizó el método máxima verosimilitud (ML). El programa realizó 24 iteraciones para obtener una solución admisible con coeficientes estandarizados.</w:t>
      </w:r>
      <w:r w:rsidR="00356A60" w:rsidRPr="00703334">
        <w:t xml:space="preserve"> </w:t>
      </w:r>
      <w:r w:rsidRPr="00703334">
        <w:t xml:space="preserve">Los índices de ajuste presentan los siguientes resultados. </w:t>
      </w:r>
      <w:r w:rsidR="00356A60" w:rsidRPr="00703334">
        <w:t>E</w:t>
      </w:r>
      <w:r w:rsidR="0046682E" w:rsidRPr="00703334">
        <w:t xml:space="preserve">l indicador chi-cuadrada muestra que existe una </w:t>
      </w:r>
      <w:r w:rsidR="0046682E" w:rsidRPr="00703334">
        <w:lastRenderedPageBreak/>
        <w:t>diferencia estadísticamente significativa (</w:t>
      </w:r>
      <w:r w:rsidR="0046682E" w:rsidRPr="00703334">
        <w:rPr>
          <w:rFonts w:eastAsiaTheme="minorHAnsi"/>
          <w:i/>
          <w:iCs/>
          <w:sz w:val="22"/>
          <w:szCs w:val="22"/>
        </w:rPr>
        <w:t>X</w:t>
      </w:r>
      <w:r w:rsidR="0046682E" w:rsidRPr="00703334">
        <w:rPr>
          <w:rFonts w:eastAsiaTheme="minorHAnsi"/>
          <w:i/>
          <w:iCs/>
          <w:sz w:val="18"/>
          <w:szCs w:val="18"/>
          <w:vertAlign w:val="superscript"/>
        </w:rPr>
        <w:t>2</w:t>
      </w:r>
      <w:r w:rsidR="0046682E" w:rsidRPr="00703334">
        <w:rPr>
          <w:rFonts w:eastAsiaTheme="minorHAnsi"/>
          <w:sz w:val="18"/>
          <w:szCs w:val="18"/>
          <w:vertAlign w:val="subscript"/>
        </w:rPr>
        <w:t>(15, N=1,238)</w:t>
      </w:r>
      <w:r w:rsidR="0046682E" w:rsidRPr="00703334">
        <w:rPr>
          <w:rFonts w:eastAsiaTheme="minorHAnsi"/>
          <w:sz w:val="22"/>
          <w:szCs w:val="22"/>
        </w:rPr>
        <w:t xml:space="preserve"> = 38.16, </w:t>
      </w:r>
      <w:r w:rsidR="0046682E" w:rsidRPr="00703334">
        <w:rPr>
          <w:rFonts w:eastAsiaTheme="minorHAnsi"/>
          <w:i/>
          <w:sz w:val="22"/>
          <w:szCs w:val="22"/>
        </w:rPr>
        <w:t>p=0.001</w:t>
      </w:r>
      <w:r w:rsidR="0046682E" w:rsidRPr="00703334">
        <w:rPr>
          <w:rFonts w:eastAsiaTheme="minorHAnsi"/>
          <w:sz w:val="22"/>
          <w:szCs w:val="22"/>
        </w:rPr>
        <w:t xml:space="preserve">) </w:t>
      </w:r>
      <w:r w:rsidR="0046682E" w:rsidRPr="00703334">
        <w:t>entre la matriz de covarianza de la muestra y la matriz reproducida por el modelo propuesto</w:t>
      </w:r>
      <w:r w:rsidR="00084C85" w:rsidRPr="00703334">
        <w:t xml:space="preserve">, resultdo que </w:t>
      </w:r>
      <w:r w:rsidR="00C9092A" w:rsidRPr="00703334">
        <w:t>contrasta con el</w:t>
      </w:r>
      <w:r w:rsidR="0046682E" w:rsidRPr="00703334">
        <w:t xml:space="preserve"> valor de</w:t>
      </w:r>
      <w:r w:rsidR="00C9092A" w:rsidRPr="00703334">
        <w:t>l</w:t>
      </w:r>
      <w:r w:rsidR="0046682E" w:rsidRPr="00703334">
        <w:t xml:space="preserve"> índice de ajuste aproximado </w:t>
      </w:r>
      <w:r w:rsidR="00C9092A" w:rsidRPr="00703334">
        <w:t>(</w:t>
      </w:r>
      <w:r w:rsidR="0046682E" w:rsidRPr="00703334">
        <w:t>RMSEA</w:t>
      </w:r>
      <w:r w:rsidR="00C9092A" w:rsidRPr="00703334">
        <w:t>=</w:t>
      </w:r>
      <w:r w:rsidR="0046682E" w:rsidRPr="00703334">
        <w:t>.03</w:t>
      </w:r>
      <w:r w:rsidR="00C9092A" w:rsidRPr="00703334">
        <w:t xml:space="preserve"> </w:t>
      </w:r>
      <w:r w:rsidR="0046682E" w:rsidRPr="00703334">
        <w:rPr>
          <w:i/>
        </w:rPr>
        <w:t>p = 0.05</w:t>
      </w:r>
      <w:r w:rsidR="0046682E" w:rsidRPr="00703334">
        <w:t>)</w:t>
      </w:r>
      <w:r w:rsidR="00B44AC3" w:rsidRPr="00703334">
        <w:t>,</w:t>
      </w:r>
      <w:r w:rsidR="0046682E" w:rsidRPr="00703334">
        <w:t xml:space="preserve"> y</w:t>
      </w:r>
      <w:r w:rsidR="00C9092A" w:rsidRPr="00703334">
        <w:t>a</w:t>
      </w:r>
      <w:r w:rsidR="0046682E" w:rsidRPr="00703334">
        <w:t xml:space="preserve"> </w:t>
      </w:r>
      <w:r w:rsidR="00C9092A" w:rsidRPr="00703334">
        <w:t xml:space="preserve">que con base en </w:t>
      </w:r>
      <w:r w:rsidR="0046682E" w:rsidRPr="00703334">
        <w:t xml:space="preserve">el intervalo de confianza </w:t>
      </w:r>
      <w:r w:rsidR="00C9092A" w:rsidRPr="00703334">
        <w:t>de</w:t>
      </w:r>
      <w:r w:rsidR="0046682E" w:rsidRPr="00703334">
        <w:t xml:space="preserve"> 90% (.022-.049) la hipótesis de ajuste no se rechaza. </w:t>
      </w:r>
      <w:r w:rsidR="00C9092A" w:rsidRPr="00703334">
        <w:t>También se observa que l</w:t>
      </w:r>
      <w:r w:rsidR="0046682E" w:rsidRPr="00703334">
        <w:t xml:space="preserve">a matriz de covarianza predicha por el modelo explica el 95% de la variabilidad total en la matriz de covarianza de la muestra (GFI = .95) y </w:t>
      </w:r>
      <w:r w:rsidR="00C9092A" w:rsidRPr="00703334">
        <w:t xml:space="preserve">que </w:t>
      </w:r>
      <w:r w:rsidR="0046682E" w:rsidRPr="00703334">
        <w:t>el ajuste relativo del modelo es del 97% sobre el ajuste del modelo independiente (CFI = .97)</w:t>
      </w:r>
      <w:r w:rsidR="001101EF" w:rsidRPr="00703334">
        <w:t xml:space="preserve">. Estos resultados </w:t>
      </w:r>
      <w:r w:rsidR="001101EF" w:rsidRPr="00703334">
        <w:rPr>
          <w:iCs/>
        </w:rPr>
        <w:t xml:space="preserve">muestran valores aceptables del modelo empírico, al igual que los </w:t>
      </w:r>
      <w:r w:rsidR="0046682E" w:rsidRPr="00703334">
        <w:t xml:space="preserve">índices de ajuste SRMR (.03), NFI (.95), </w:t>
      </w:r>
      <w:r w:rsidR="0046682E" w:rsidRPr="00703334">
        <w:rPr>
          <w:iCs/>
        </w:rPr>
        <w:t>IFI (.97), TLI</w:t>
      </w:r>
      <w:r w:rsidR="0046682E" w:rsidRPr="00703334">
        <w:t xml:space="preserve"> (.94), </w:t>
      </w:r>
      <w:r w:rsidR="0046682E" w:rsidRPr="00703334">
        <w:rPr>
          <w:iCs/>
        </w:rPr>
        <w:t xml:space="preserve">NNFI (.94) y AGFI (.90). </w:t>
      </w:r>
    </w:p>
    <w:p w14:paraId="4970946B" w14:textId="5675ACCC" w:rsidR="0046682E" w:rsidRPr="00703334" w:rsidRDefault="0046682E" w:rsidP="0046682E">
      <w:pPr>
        <w:pStyle w:val="Textoconsangra"/>
        <w:spacing w:line="360" w:lineRule="auto"/>
        <w:jc w:val="both"/>
      </w:pPr>
      <w:r w:rsidRPr="00703334">
        <w:t xml:space="preserve">Las estimaciones de los parámetros del modelo se presentan en la Figura 2. </w:t>
      </w:r>
      <w:r w:rsidR="001101EF" w:rsidRPr="00703334">
        <w:t>El modelo de medida de las capacidades psicológicas tiene un peso factorial mayor (.59) al peso factorial de las capacidades estratégicas (.55)</w:t>
      </w:r>
      <w:r w:rsidR="00B44AC3" w:rsidRPr="00703334">
        <w:t>,</w:t>
      </w:r>
      <w:r w:rsidR="001101EF" w:rsidRPr="00703334">
        <w:t xml:space="preserve"> ambas respecto a la variable latente agencia individual. Asimismo, se observa que la </w:t>
      </w:r>
      <w:r w:rsidRPr="00703334">
        <w:t>agencia individual</w:t>
      </w:r>
      <w:r w:rsidR="00B24EFF" w:rsidRPr="00703334">
        <w:t xml:space="preserve"> tiene </w:t>
      </w:r>
      <w:r w:rsidRPr="00703334">
        <w:t xml:space="preserve">una relación directa y positiva </w:t>
      </w:r>
      <w:r w:rsidR="00356A60" w:rsidRPr="00703334">
        <w:t>con</w:t>
      </w:r>
      <w:r w:rsidRPr="00703334">
        <w:t xml:space="preserve"> el ingreso</w:t>
      </w:r>
      <w:r w:rsidR="00B24EFF" w:rsidRPr="00703334">
        <w:t xml:space="preserve"> (</w:t>
      </w:r>
      <m:oMath>
        <m:sSub>
          <m:sSubPr>
            <m:ctrlPr>
              <w:rPr>
                <w:rFonts w:ascii="Cambria Math" w:hAnsi="Cambria Math"/>
                <w:i/>
              </w:rPr>
            </m:ctrlPr>
          </m:sSubPr>
          <m:e>
            <m:r>
              <w:rPr>
                <w:rFonts w:ascii="Cambria Math" w:hAnsi="Cambria Math"/>
              </w:rPr>
              <m:t>λ</m:t>
            </m:r>
          </m:e>
          <m:sub>
            <m:r>
              <w:rPr>
                <w:rFonts w:ascii="Cambria Math" w:hAnsi="Cambria Math"/>
              </w:rPr>
              <m:t>1</m:t>
            </m:r>
          </m:sub>
        </m:sSub>
      </m:oMath>
      <w:r w:rsidR="00B24EFF" w:rsidRPr="00703334">
        <w:t>=</w:t>
      </w:r>
      <w:r w:rsidRPr="00703334">
        <w:t xml:space="preserve"> .46</w:t>
      </w:r>
      <w:r w:rsidR="00B24EFF" w:rsidRPr="00703334">
        <w:t xml:space="preserve">, </w:t>
      </w:r>
      <w:r w:rsidRPr="00703334">
        <w:rPr>
          <w:i/>
        </w:rPr>
        <w:t>p=0.001</w:t>
      </w:r>
      <w:r w:rsidRPr="00703334">
        <w:t xml:space="preserve">), </w:t>
      </w:r>
      <w:r w:rsidR="00B24EFF" w:rsidRPr="00703334">
        <w:t xml:space="preserve">lo cual indica que </w:t>
      </w:r>
      <w:r w:rsidRPr="00703334">
        <w:t>niveles altos de agencia predicen niveles más altos de ingreso.</w:t>
      </w:r>
      <w:r w:rsidR="00B24EFF" w:rsidRPr="00703334">
        <w:t xml:space="preserve"> </w:t>
      </w:r>
      <w:r w:rsidR="00F506D1" w:rsidRPr="00703334">
        <w:t>Asimismo, el</w:t>
      </w:r>
      <w:r w:rsidR="00B24EFF" w:rsidRPr="00703334">
        <w:t xml:space="preserve"> ingreso se ve influido positivamente por la </w:t>
      </w:r>
      <w:r w:rsidRPr="00703334">
        <w:t>variable sexo</w:t>
      </w:r>
      <w:r w:rsidR="00B24EFF" w:rsidRPr="00703334">
        <w:t xml:space="preserve"> (</w:t>
      </w:r>
      <m:oMath>
        <m:sSub>
          <m:sSubPr>
            <m:ctrlPr>
              <w:rPr>
                <w:rFonts w:ascii="Cambria Math" w:hAnsi="Cambria Math"/>
                <w:i/>
              </w:rPr>
            </m:ctrlPr>
          </m:sSubPr>
          <m:e>
            <m:r>
              <w:rPr>
                <w:rFonts w:ascii="Cambria Math" w:hAnsi="Cambria Math"/>
              </w:rPr>
              <m:t>λ</m:t>
            </m:r>
          </m:e>
          <m:sub>
            <m:r>
              <w:rPr>
                <w:rFonts w:ascii="Cambria Math" w:hAnsi="Cambria Math"/>
              </w:rPr>
              <m:t>2</m:t>
            </m:r>
          </m:sub>
        </m:sSub>
      </m:oMath>
      <w:r w:rsidR="00B24EFF" w:rsidRPr="00703334">
        <w:t>=</w:t>
      </w:r>
      <w:r w:rsidRPr="00703334">
        <w:t>10</w:t>
      </w:r>
      <w:r w:rsidR="00B24EFF" w:rsidRPr="00703334">
        <w:t xml:space="preserve">, </w:t>
      </w:r>
      <w:r w:rsidRPr="00703334">
        <w:rPr>
          <w:i/>
        </w:rPr>
        <w:t>p=</w:t>
      </w:r>
      <w:r w:rsidRPr="00703334">
        <w:t xml:space="preserve">0.001). </w:t>
      </w:r>
    </w:p>
    <w:p w14:paraId="4B6E5E72" w14:textId="137BF315" w:rsidR="00400007" w:rsidRDefault="0046682E" w:rsidP="00400007">
      <w:pPr>
        <w:pStyle w:val="Textoconsangra"/>
        <w:spacing w:line="360" w:lineRule="auto"/>
        <w:jc w:val="both"/>
      </w:pPr>
      <w:r w:rsidRPr="00703334">
        <w:t xml:space="preserve">Con respecto a las </w:t>
      </w:r>
      <w:r w:rsidR="00F506D1" w:rsidRPr="00703334">
        <w:t xml:space="preserve">variables que manifiestan las </w:t>
      </w:r>
      <w:r w:rsidRPr="00703334">
        <w:t xml:space="preserve">capacidades estratégicas, la escolaridad presenta un peso factorial </w:t>
      </w:r>
      <w:r w:rsidR="00F506D1" w:rsidRPr="00703334">
        <w:t>alto y positivo (</w:t>
      </w:r>
      <w:r w:rsidRPr="00703334">
        <w:t>.83</w:t>
      </w:r>
      <w:r w:rsidR="00F506D1" w:rsidRPr="00703334">
        <w:t>)</w:t>
      </w:r>
      <w:r w:rsidRPr="00703334">
        <w:t xml:space="preserve"> mientras que el </w:t>
      </w:r>
      <w:r w:rsidR="00084C85" w:rsidRPr="00703334">
        <w:t xml:space="preserve">peso factorial del </w:t>
      </w:r>
      <w:r w:rsidRPr="00703334">
        <w:t xml:space="preserve">tipo de empleo </w:t>
      </w:r>
      <w:r w:rsidR="00084C85" w:rsidRPr="00703334">
        <w:t xml:space="preserve">es menor y </w:t>
      </w:r>
      <w:r w:rsidR="00F506D1" w:rsidRPr="00703334">
        <w:t>refleja una relación negativa con las capacidades estratégicas (</w:t>
      </w:r>
      <w:r w:rsidRPr="00703334">
        <w:t>-.20</w:t>
      </w:r>
      <w:r w:rsidR="00F506D1" w:rsidRPr="00703334">
        <w:t>)</w:t>
      </w:r>
      <w:r w:rsidRPr="00703334">
        <w:t xml:space="preserve">. </w:t>
      </w:r>
      <w:r w:rsidR="00C639FA" w:rsidRPr="00703334">
        <w:t>L</w:t>
      </w:r>
      <w:r w:rsidR="00F506D1" w:rsidRPr="00703334">
        <w:t>as variables que manifiestan las capacidades psicológicas, la inteligencia y la perseverancia tienen un peso factorial mayor que la resiliencia</w:t>
      </w:r>
      <w:r w:rsidR="00C639FA" w:rsidRPr="00703334">
        <w:t>, y la impulsividad es negativa.</w:t>
      </w:r>
      <w:bookmarkStart w:id="23" w:name="_Toc38828915"/>
      <w:bookmarkStart w:id="24" w:name="_Toc70185715"/>
      <w:bookmarkStart w:id="25" w:name="_Toc77421171"/>
      <w:bookmarkStart w:id="26" w:name="_Toc70202644"/>
    </w:p>
    <w:p w14:paraId="152933E3" w14:textId="77777777" w:rsidR="00400007" w:rsidRPr="00400007" w:rsidRDefault="00400007" w:rsidP="00400007"/>
    <w:p w14:paraId="3CC078D2" w14:textId="2740EB3E" w:rsidR="00400007" w:rsidRDefault="00400007" w:rsidP="00400007">
      <w:pPr>
        <w:spacing w:line="360" w:lineRule="auto"/>
        <w:jc w:val="center"/>
        <w:rPr>
          <w:i/>
          <w:sz w:val="20"/>
          <w:szCs w:val="20"/>
        </w:rPr>
      </w:pPr>
      <w:r w:rsidRPr="00703334">
        <w:rPr>
          <w:noProof/>
        </w:rPr>
        <w:drawing>
          <wp:inline distT="0" distB="0" distL="0" distR="0" wp14:anchorId="008D7834" wp14:editId="5CD5DC94">
            <wp:extent cx="5111519" cy="21945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4294" b="19030"/>
                    <a:stretch/>
                  </pic:blipFill>
                  <pic:spPr bwMode="auto">
                    <a:xfrm>
                      <a:off x="0" y="0"/>
                      <a:ext cx="5119216" cy="2197864"/>
                    </a:xfrm>
                    <a:prstGeom prst="rect">
                      <a:avLst/>
                    </a:prstGeom>
                    <a:ln>
                      <a:noFill/>
                    </a:ln>
                    <a:extLst>
                      <a:ext uri="{53640926-AAD7-44D8-BBD7-CCE9431645EC}">
                        <a14:shadowObscured xmlns:a14="http://schemas.microsoft.com/office/drawing/2010/main"/>
                      </a:ext>
                    </a:extLst>
                  </pic:spPr>
                </pic:pic>
              </a:graphicData>
            </a:graphic>
          </wp:inline>
        </w:drawing>
      </w:r>
    </w:p>
    <w:p w14:paraId="4AA46FE7" w14:textId="642A104E" w:rsidR="0098699F" w:rsidRPr="00703334" w:rsidRDefault="0098699F" w:rsidP="0098699F">
      <w:pPr>
        <w:spacing w:line="360" w:lineRule="auto"/>
        <w:jc w:val="both"/>
        <w:rPr>
          <w:caps/>
          <w:sz w:val="20"/>
          <w:szCs w:val="20"/>
        </w:rPr>
      </w:pPr>
      <w:r w:rsidRPr="00703334">
        <w:rPr>
          <w:i/>
          <w:sz w:val="20"/>
          <w:szCs w:val="20"/>
        </w:rPr>
        <w:t>Figura</w:t>
      </w:r>
      <w:r w:rsidRPr="00703334">
        <w:rPr>
          <w:i/>
          <w:caps/>
          <w:sz w:val="20"/>
          <w:szCs w:val="20"/>
        </w:rPr>
        <w:t xml:space="preserve"> 2</w:t>
      </w:r>
      <w:r w:rsidRPr="00703334">
        <w:rPr>
          <w:sz w:val="20"/>
          <w:szCs w:val="20"/>
        </w:rPr>
        <w:t>. Modelo estimado de agencia individual en el ingreso.</w:t>
      </w:r>
      <w:bookmarkEnd w:id="26"/>
      <w:r w:rsidRPr="00703334">
        <w:rPr>
          <w:sz w:val="20"/>
          <w:szCs w:val="20"/>
        </w:rPr>
        <w:t xml:space="preserve"> </w:t>
      </w:r>
      <w:r w:rsidRPr="00703334">
        <w:rPr>
          <w:i/>
          <w:sz w:val="20"/>
          <w:szCs w:val="20"/>
        </w:rPr>
        <w:t>Nota:</w:t>
      </w:r>
      <w:r w:rsidR="00F506D1" w:rsidRPr="00703334">
        <w:rPr>
          <w:i/>
          <w:sz w:val="20"/>
          <w:szCs w:val="20"/>
        </w:rPr>
        <w:t xml:space="preserve"> </w:t>
      </w:r>
      <w:r w:rsidRPr="00703334">
        <w:rPr>
          <w:sz w:val="20"/>
          <w:szCs w:val="20"/>
        </w:rPr>
        <w:t xml:space="preserve">Los constructos latentes se muestran en elipses y las variables observables en rectángulos. Todos los coeficientes fueron estadísticamente significativos al </w:t>
      </w:r>
      <w:r w:rsidRPr="00703334">
        <w:rPr>
          <w:i/>
          <w:sz w:val="20"/>
          <w:szCs w:val="20"/>
        </w:rPr>
        <w:t>p&lt; .001.</w:t>
      </w:r>
      <w:r w:rsidRPr="00703334">
        <w:rPr>
          <w:sz w:val="20"/>
          <w:szCs w:val="20"/>
        </w:rPr>
        <w:t xml:space="preserve"> </w:t>
      </w:r>
      <w:r w:rsidRPr="00703334">
        <w:rPr>
          <w:i/>
          <w:sz w:val="20"/>
          <w:szCs w:val="20"/>
        </w:rPr>
        <w:t>Fuente:</w:t>
      </w:r>
      <w:r w:rsidRPr="00703334">
        <w:rPr>
          <w:sz w:val="20"/>
          <w:szCs w:val="20"/>
        </w:rPr>
        <w:t xml:space="preserve"> Elaboración propia.</w:t>
      </w:r>
    </w:p>
    <w:p w14:paraId="2165D2DA" w14:textId="77777777" w:rsidR="0046682E" w:rsidRPr="00703334" w:rsidRDefault="0046682E" w:rsidP="009B76B5">
      <w:pPr>
        <w:pStyle w:val="Ttulo3"/>
      </w:pPr>
      <w:r w:rsidRPr="00703334">
        <w:lastRenderedPageBreak/>
        <w:t>Discusión</w:t>
      </w:r>
      <w:bookmarkEnd w:id="23"/>
      <w:bookmarkEnd w:id="24"/>
      <w:bookmarkEnd w:id="25"/>
    </w:p>
    <w:p w14:paraId="5A56B82E" w14:textId="2B963A42" w:rsidR="0046682E" w:rsidRPr="00703334" w:rsidRDefault="00BB6997" w:rsidP="0046682E">
      <w:pPr>
        <w:pStyle w:val="Textoconsangra"/>
        <w:spacing w:line="360" w:lineRule="auto"/>
        <w:jc w:val="both"/>
        <w:rPr>
          <w:rFonts w:eastAsiaTheme="minorHAnsi"/>
          <w:lang w:eastAsia="en-US"/>
        </w:rPr>
      </w:pPr>
      <w:r w:rsidRPr="00703334">
        <w:t>Tradicionalmente se ha dicho que el ingreso económico de una persona está determinado por los años de escolaridad y la experiencia laboral (Mincer, 1974). Sin embargo, poco se ha comentado de la importancia del factor psicológico. E</w:t>
      </w:r>
      <w:r w:rsidR="0046682E" w:rsidRPr="00703334">
        <w:t>l enfoque de capacidades</w:t>
      </w:r>
      <w:r w:rsidRPr="00703334">
        <w:t xml:space="preserve"> propuesto por Sen (2000)</w:t>
      </w:r>
      <w:r w:rsidR="0046682E" w:rsidRPr="00703334">
        <w:t xml:space="preserve"> </w:t>
      </w:r>
      <w:r w:rsidRPr="00703334">
        <w:t>da la oportunidad de ampliar la visión y evaluar los resultados de las personas a partir de las oportunidades, libertades y capacidades que tuvieron para ejercer su</w:t>
      </w:r>
      <w:r w:rsidR="0046682E" w:rsidRPr="00703334">
        <w:t xml:space="preserve"> agencia individual</w:t>
      </w:r>
      <w:r w:rsidRPr="00703334">
        <w:t>.</w:t>
      </w:r>
      <w:r w:rsidR="0046682E" w:rsidRPr="00703334">
        <w:t xml:space="preserve"> </w:t>
      </w:r>
      <w:r w:rsidRPr="00703334">
        <w:t xml:space="preserve">Esto da la posibilidad de </w:t>
      </w:r>
      <w:r w:rsidR="0046682E" w:rsidRPr="00703334">
        <w:t xml:space="preserve"> </w:t>
      </w:r>
      <w:r w:rsidRPr="00703334">
        <w:t xml:space="preserve">incluir capacidades subjetivas como </w:t>
      </w:r>
      <w:r w:rsidR="0046682E" w:rsidRPr="00703334">
        <w:t>las psicológicas</w:t>
      </w:r>
      <w:r w:rsidRPr="00703334">
        <w:t xml:space="preserve"> y no limitar el análisis </w:t>
      </w:r>
      <w:r w:rsidR="007F3E71" w:rsidRPr="00703334">
        <w:t xml:space="preserve">a los activos o a capacidades como </w:t>
      </w:r>
      <w:r w:rsidR="0046682E" w:rsidRPr="00703334">
        <w:t xml:space="preserve">la educación y el empleo. </w:t>
      </w:r>
      <w:r w:rsidRPr="00703334">
        <w:t>En ese sentido, e</w:t>
      </w:r>
      <w:r w:rsidR="0046682E" w:rsidRPr="00703334">
        <w:t xml:space="preserve">l objetivo </w:t>
      </w:r>
      <w:r w:rsidR="0046682E" w:rsidRPr="00F34FA6">
        <w:t>que guio este</w:t>
      </w:r>
      <w:r w:rsidR="0046682E" w:rsidRPr="00703334">
        <w:t xml:space="preserve"> estudio fue determinar la contribución de la dimensión psicológica en</w:t>
      </w:r>
      <w:r w:rsidR="0091340B" w:rsidRPr="00703334">
        <w:t xml:space="preserve"> el constructo </w:t>
      </w:r>
      <w:r w:rsidR="0046682E" w:rsidRPr="00703334">
        <w:t xml:space="preserve">agencia individual frente a las capacidades educación y </w:t>
      </w:r>
      <w:r w:rsidRPr="00703334">
        <w:t xml:space="preserve">tipo de </w:t>
      </w:r>
      <w:r w:rsidR="0046682E" w:rsidRPr="00703334">
        <w:t xml:space="preserve">empleo. Para esto, se </w:t>
      </w:r>
      <w:r w:rsidR="0091340B" w:rsidRPr="00703334">
        <w:t xml:space="preserve">propuso un modelo que mostrara </w:t>
      </w:r>
      <w:r w:rsidR="0046682E" w:rsidRPr="00703334">
        <w:rPr>
          <w:rFonts w:eastAsiaTheme="minorHAnsi"/>
          <w:lang w:eastAsia="en-US"/>
        </w:rPr>
        <w:t>una serie de relaciones hipotéticas entre las capacidades, la agencia individual y el ingreso.</w:t>
      </w:r>
    </w:p>
    <w:p w14:paraId="0449D38F" w14:textId="671E9EC8" w:rsidR="00BB6997" w:rsidRPr="00703334" w:rsidRDefault="00BB6997" w:rsidP="00BB6997">
      <w:pPr>
        <w:pStyle w:val="Textoconsangra"/>
        <w:spacing w:line="360" w:lineRule="auto"/>
        <w:jc w:val="both"/>
      </w:pPr>
      <w:r w:rsidRPr="00703334">
        <w:t>De acuerdo con el planteamiento de Sen (2000), la agencia individual influye en el logro de un objetivo. En este caso, las personas de la muestra son jefas de familia de localidades de alta y muy alta marginación y cuya principal fuente de ingresos es el autoempleo, tienen como objetivo de todos los días cubrir las necesidades básicas de quienes son responsables, ellos y ellas a través de su agencia individual realizan una serie de actividades para obtener un ingreso y así cumplir con dicho propósito. Con base en el planteamiento y en los resultados del modelo, se corrobora que la agencia individual contribuye a obtener un ingreso el cual es un medio importante para alcanzar otros objetivos.</w:t>
      </w:r>
    </w:p>
    <w:p w14:paraId="1DA9974A" w14:textId="55B22760" w:rsidR="0046682E" w:rsidRPr="00703334" w:rsidRDefault="0046682E" w:rsidP="0046682E">
      <w:pPr>
        <w:pStyle w:val="Textoconsangra"/>
        <w:spacing w:line="360" w:lineRule="auto"/>
        <w:jc w:val="both"/>
      </w:pPr>
      <w:r w:rsidRPr="00703334">
        <w:t xml:space="preserve">El enfoque de desarrollo humano propone que los funcionamientos logrados, las capacidades, las características personales (factores de conversión) y las condiciones del entorno son determinantes en la agencia de las personas y en consecuencia en las posibilidades de acceder a las oportunidades para alcanzar sus objetivos (Sen, 1999). Nayaran-Parker (2005) resalta la importancia de las capacidades psicológicas en la posibilidad de actuar de los individuos. En este </w:t>
      </w:r>
      <w:r w:rsidR="00BB6997" w:rsidRPr="00703334">
        <w:t>estudio</w:t>
      </w:r>
      <w:r w:rsidRPr="00703334">
        <w:t>, los resultados mostraron que tanto las capacidades psicológicas como las estratégicas presentaron un peso factorial similar, esto llama la atención pues la literatura sobre agencia individual (Sen, 1999) hace un mayor énfasis en la importancia de la educación y el empleo</w:t>
      </w:r>
      <w:r w:rsidR="007D4908" w:rsidRPr="00703334">
        <w:t>,</w:t>
      </w:r>
      <w:r w:rsidRPr="00703334">
        <w:t xml:space="preserve"> por lo que se esperaba que la diferencia fuese mayor. El hecho de que la agencia de las personas, en contextos de alta y muy alta marginación, se refleje a través de las capacidades psicológicas sugiere que las personas hacen uso de sus atributos psicológicos para enfrentarse a circunstancias adversas; en donde si bien, la educación tiene un peso importante, no es suficiente cuando el nivel educativo es limitado y cuando las opciones </w:t>
      </w:r>
      <w:r w:rsidR="007F3E71" w:rsidRPr="00703334">
        <w:lastRenderedPageBreak/>
        <w:t xml:space="preserve">laborales </w:t>
      </w:r>
      <w:r w:rsidRPr="00703334">
        <w:t>son escasas</w:t>
      </w:r>
      <w:r w:rsidR="007F3E71" w:rsidRPr="00703334">
        <w:t xml:space="preserve"> o con baja remuneración</w:t>
      </w:r>
      <w:r w:rsidRPr="00703334">
        <w:t xml:space="preserve">. </w:t>
      </w:r>
      <w:r w:rsidR="007F3E71" w:rsidRPr="00703334">
        <w:t xml:space="preserve">En ese sentido, </w:t>
      </w:r>
      <w:r w:rsidRPr="00703334">
        <w:t xml:space="preserve">las personas se apoyan en lo que son y puede hacer. Si las capacidades </w:t>
      </w:r>
      <w:r w:rsidR="007F3E71" w:rsidRPr="00703334">
        <w:t>como</w:t>
      </w:r>
      <w:r w:rsidRPr="00703334">
        <w:t xml:space="preserve"> la educación y al empleo son limitad</w:t>
      </w:r>
      <w:r w:rsidR="007F3E71" w:rsidRPr="00703334">
        <w:t>a</w:t>
      </w:r>
      <w:r w:rsidRPr="00703334">
        <w:t>s, así como el ingreso, sus capacidades se reducen a los funcionamientos existentes, en este caso, los atributos psicológicos para ejercer su agencia.</w:t>
      </w:r>
    </w:p>
    <w:p w14:paraId="0290EE58" w14:textId="2D5326BC" w:rsidR="007F3E71" w:rsidRPr="00703334" w:rsidRDefault="0046682E" w:rsidP="0046682E">
      <w:pPr>
        <w:pStyle w:val="Textoconsangra"/>
        <w:spacing w:line="360" w:lineRule="auto"/>
        <w:jc w:val="both"/>
      </w:pPr>
      <w:r w:rsidRPr="00703334">
        <w:t xml:space="preserve">Las personas de la muestra que viven en localidades de alta y muy alta marginación, que son responsables de satisfacer las necesidades básicas de su familia, se enfrentan a una serie de problemas para conseguir un ingreso. </w:t>
      </w:r>
      <w:r w:rsidR="007F3E71" w:rsidRPr="00703334">
        <w:t>La</w:t>
      </w:r>
      <w:r w:rsidRPr="00703334">
        <w:t xml:space="preserve"> escolaridad que ellos y ellas tienen </w:t>
      </w:r>
      <w:r w:rsidR="00BB6997" w:rsidRPr="00703334">
        <w:t>es limitad</w:t>
      </w:r>
      <w:r w:rsidR="007F3E71" w:rsidRPr="00703334">
        <w:t>a</w:t>
      </w:r>
      <w:r w:rsidRPr="00703334">
        <w:t xml:space="preserve"> para hacer frente a los problemas y alcanzar mejores oportunidades de empleo; asimismo, al </w:t>
      </w:r>
      <w:r w:rsidR="007F3E71" w:rsidRPr="00703334">
        <w:t>estar en</w:t>
      </w:r>
      <w:r w:rsidRPr="00703334">
        <w:t xml:space="preserve"> contextos rurales </w:t>
      </w:r>
      <w:r w:rsidR="007F3E71" w:rsidRPr="00703334">
        <w:t>reduce aún más sus</w:t>
      </w:r>
      <w:r w:rsidRPr="00703334">
        <w:t xml:space="preserve"> </w:t>
      </w:r>
      <w:r w:rsidR="007F3E71" w:rsidRPr="00703334">
        <w:t>opciones</w:t>
      </w:r>
      <w:r w:rsidRPr="00703334">
        <w:t xml:space="preserve">; por lo que la necesidad y el entorno les exige hacer un mayor uso de otras capacidades, en este caso las psicológicas, para tratar de alcanzar sus objetivos. </w:t>
      </w:r>
    </w:p>
    <w:p w14:paraId="267F5C81" w14:textId="354646A9" w:rsidR="0046682E" w:rsidRPr="00703334" w:rsidRDefault="0046682E" w:rsidP="007F3E71">
      <w:pPr>
        <w:pStyle w:val="Textoconsangra"/>
        <w:spacing w:line="360" w:lineRule="auto"/>
        <w:jc w:val="both"/>
      </w:pPr>
      <w:r w:rsidRPr="00703334">
        <w:t>Los resultados de la dimensión psicológica sugieren que, la inteligencia, medida por las matrices de Raven</w:t>
      </w:r>
      <w:r w:rsidR="00573216" w:rsidRPr="00703334">
        <w:t>,</w:t>
      </w:r>
      <w:r w:rsidRPr="00703334">
        <w:t xml:space="preserve"> la cual no está asociado al nivel educativo, tuvo un peso importante dentro de las capacidades psicológicas, </w:t>
      </w:r>
      <w:r w:rsidR="00573216" w:rsidRPr="00703334">
        <w:t xml:space="preserve">esto </w:t>
      </w:r>
      <w:r w:rsidR="007F3E71" w:rsidRPr="00703334">
        <w:t xml:space="preserve">muestra </w:t>
      </w:r>
      <w:r w:rsidRPr="00703334">
        <w:t>que las personas hacen un mayor uso de su capacidad de abstracción y lógica para hacer estrategias</w:t>
      </w:r>
      <w:r w:rsidR="00573216" w:rsidRPr="00703334">
        <w:t>,</w:t>
      </w:r>
      <w:r w:rsidRPr="00703334">
        <w:t xml:space="preserve"> enfrentar sus circunstancias y alcanzar sus objetivos.</w:t>
      </w:r>
      <w:r w:rsidR="007F3E71" w:rsidRPr="00703334">
        <w:t xml:space="preserve"> </w:t>
      </w:r>
      <w:r w:rsidRPr="00703334">
        <w:t xml:space="preserve">La perseverancia es el atributo después de la inteligencia que tuvo mayor peso factorial; lo que podría sugerir </w:t>
      </w:r>
      <w:r w:rsidR="00573216" w:rsidRPr="00703334">
        <w:t>que es</w:t>
      </w:r>
      <w:r w:rsidRPr="00703334">
        <w:t xml:space="preserve"> un rasgo de esta población debido al contexto de vulnerabilidad en el que se encuentran. Las personas</w:t>
      </w:r>
      <w:r w:rsidR="007F3E71" w:rsidRPr="00703334">
        <w:t>,</w:t>
      </w:r>
      <w:r w:rsidRPr="00703334">
        <w:t xml:space="preserve"> ante </w:t>
      </w:r>
      <w:r w:rsidR="007F3E71" w:rsidRPr="00703334">
        <w:t>su</w:t>
      </w:r>
      <w:r w:rsidRPr="00703334">
        <w:t xml:space="preserve"> responsabilidad como jefas de familia, no tienen la opción de no ser perseverantes, ya que dependen de su esfuerzo y del trabajo diario </w:t>
      </w:r>
      <w:r w:rsidR="00BB6997" w:rsidRPr="00703334">
        <w:t xml:space="preserve">para tratar de </w:t>
      </w:r>
      <w:r w:rsidRPr="00703334">
        <w:t>satisfacer sus necesidades</w:t>
      </w:r>
      <w:r w:rsidR="00BB6997" w:rsidRPr="00703334">
        <w:t xml:space="preserve"> básicas</w:t>
      </w:r>
      <w:r w:rsidRPr="00703334">
        <w:t xml:space="preserve"> y las de su familia; mantienen </w:t>
      </w:r>
      <w:r w:rsidR="00573216" w:rsidRPr="00703334">
        <w:t xml:space="preserve">un </w:t>
      </w:r>
      <w:r w:rsidRPr="00703334">
        <w:t>interés y esfuerzo</w:t>
      </w:r>
      <w:r w:rsidR="00573216" w:rsidRPr="00703334">
        <w:t xml:space="preserve"> constante</w:t>
      </w:r>
      <w:r w:rsidRPr="00703334">
        <w:t>, incluso, a pesar de los fracasos y las adversidades</w:t>
      </w:r>
      <w:r w:rsidR="00573216" w:rsidRPr="00703334">
        <w:t xml:space="preserve"> que se les presentan en el día a día</w:t>
      </w:r>
      <w:r w:rsidRPr="00703334">
        <w:t xml:space="preserve">. La atención, el interés, el esfuerzo y el tiempo están enfocados en obtener los recursos económicos que requieren, por lo que el nivel de perseverancia de la que hacen uso es muy alto. </w:t>
      </w:r>
    </w:p>
    <w:p w14:paraId="7F0C85DE" w14:textId="4583FEE8" w:rsidR="0046682E" w:rsidRPr="00703334" w:rsidRDefault="0046682E" w:rsidP="0046682E">
      <w:pPr>
        <w:pStyle w:val="Textoconsangra"/>
        <w:spacing w:line="360" w:lineRule="auto"/>
        <w:ind w:firstLine="737"/>
        <w:jc w:val="both"/>
      </w:pPr>
      <w:r w:rsidRPr="00703334">
        <w:t>Entonces, las personas</w:t>
      </w:r>
      <w:r w:rsidR="007F3E71" w:rsidRPr="00703334">
        <w:t xml:space="preserve"> en situación de carencia</w:t>
      </w:r>
      <w:r w:rsidRPr="00703334">
        <w:t xml:space="preserve"> ejercen un mayor esfuerzo y tiempo para alcanzar sus objetivos, hacen uso de una mayor perseverancia para enfocar su atención y energía en el trayecto hacia su propósito. Esto puede implicar algunas consecuencias tanto positivas como negativas, como ya lo sugirieron Mullainathan y Shafir, (2016); ante la escasez, las personas maximizan sus recursos, incluidos los psicológicos. No obstante, </w:t>
      </w:r>
      <w:r w:rsidR="007F3E71" w:rsidRPr="00703334">
        <w:t xml:space="preserve">también </w:t>
      </w:r>
      <w:r w:rsidRPr="00703334">
        <w:t xml:space="preserve">implica que </w:t>
      </w:r>
      <w:r w:rsidR="00573216" w:rsidRPr="00703334">
        <w:t xml:space="preserve">dejan </w:t>
      </w:r>
      <w:r w:rsidRPr="00703334">
        <w:t xml:space="preserve">de ver posibles alternativas </w:t>
      </w:r>
      <w:r w:rsidR="007F3E71" w:rsidRPr="00703334">
        <w:t>o</w:t>
      </w:r>
      <w:r w:rsidRPr="00703334">
        <w:t xml:space="preserve"> consecuencias de sus decisiones y acciones</w:t>
      </w:r>
      <w:r w:rsidR="007F3E71" w:rsidRPr="00703334">
        <w:t xml:space="preserve"> en el mediano y largo plazo</w:t>
      </w:r>
      <w:r w:rsidRPr="00703334">
        <w:t xml:space="preserve">. Por tanto, tener acceso a una misma cantidad de recurso económico, no necesariamente </w:t>
      </w:r>
      <w:r w:rsidR="00BB6997" w:rsidRPr="00703334">
        <w:t>le implica</w:t>
      </w:r>
      <w:r w:rsidRPr="00703334">
        <w:t xml:space="preserve"> </w:t>
      </w:r>
      <w:r w:rsidR="00BB6997" w:rsidRPr="00703334">
        <w:t xml:space="preserve">a las personas </w:t>
      </w:r>
      <w:r w:rsidRPr="00703334">
        <w:t xml:space="preserve">el mismo esfuerzo y tiempo, ello dependerá de los funcionamientos, las capacidades, las características personales, así como de las </w:t>
      </w:r>
      <w:r w:rsidR="00BB6997" w:rsidRPr="00703334">
        <w:t xml:space="preserve">circunstancias de origen como de las </w:t>
      </w:r>
      <w:r w:rsidRPr="00703334">
        <w:t>oportunidades que el entorno les ofrezca, como lo señaló Sen (2000).</w:t>
      </w:r>
    </w:p>
    <w:p w14:paraId="1E78A104" w14:textId="73D6EE02" w:rsidR="0046682E" w:rsidRPr="00703334" w:rsidRDefault="0046682E" w:rsidP="0046682E">
      <w:pPr>
        <w:pStyle w:val="Textoconsangra"/>
        <w:spacing w:line="360" w:lineRule="auto"/>
        <w:jc w:val="both"/>
      </w:pPr>
      <w:r w:rsidRPr="00703334">
        <w:lastRenderedPageBreak/>
        <w:t>La resiliencia, la cual denota la capacidad de afrontar y superar las adversidades, es una manifestación de la agencia individual al igual que los anteriores atributos, esto puede ser por las condiciones en las que está inmersa la población, debido a que continuamente se enfrenta a la frustración que implica el despliegue de esfuerzos realizados sin que se resuelvan de manera definitiva sus necesidades, por lo tanto la resiliencia termina siendo el resultado de un proceso adaptativo como lo sugirió Ebersöhn (2014). Asimismo, la resiliencia y la perseverancia se retroalimentan. Si las personas no superan las adversidades pese a los esfuerzos, su perseverancia resultaría afectada, pero la resiliencia abre la posibilidad de continuar a pesar de los obstáculos. De igual manera, de no ser perseverantes no tendrían la convicción y la entereza para continuar en su día a día, por lo que la resiliencia y la perseverancia son atributos que reflejan el ejercicio de la agencia porque les permite a las personas continuar permanentemente bajo condiciones de vulnerabilidad.</w:t>
      </w:r>
    </w:p>
    <w:p w14:paraId="14C5EA9A" w14:textId="7658249C" w:rsidR="0046682E" w:rsidRPr="00703334" w:rsidRDefault="0046682E" w:rsidP="0046682E">
      <w:pPr>
        <w:pStyle w:val="Textoconsangra"/>
        <w:spacing w:line="360" w:lineRule="auto"/>
        <w:jc w:val="both"/>
      </w:pPr>
      <w:r w:rsidRPr="00703334">
        <w:t xml:space="preserve">La impulsividad está inversamente relacionada con el constructo capacidades psicológicas, lo cual es consistente con los hallazgos de Van Koningsbruggen et al. (2013), así como de Vigil-Coleṭ y Morales-Vives (2005) en los que muestran que la impulsividad afecta el logro. Los resultados muestran que a mayor agencia </w:t>
      </w:r>
      <w:r w:rsidR="007F3E71" w:rsidRPr="00703334">
        <w:t>menos</w:t>
      </w:r>
      <w:r w:rsidRPr="00703334">
        <w:t xml:space="preserve"> impulsividad. Asimismo, presenta una relación inversa con la perseverancia y la resiliencia. Esto se debe a que las personas impulsivas tienden a desesperarse </w:t>
      </w:r>
      <w:r w:rsidR="00A42F11" w:rsidRPr="00703334">
        <w:t xml:space="preserve">rápidamente </w:t>
      </w:r>
      <w:r w:rsidRPr="00703334">
        <w:t xml:space="preserve">al no obtener los logros esperados de manera inmediata, </w:t>
      </w:r>
      <w:r w:rsidR="00BB6997" w:rsidRPr="00703334">
        <w:t>lo que implica</w:t>
      </w:r>
      <w:r w:rsidRPr="00703334">
        <w:t xml:space="preserve"> una menor perseverancia para continuar hacia sus objetivos. De igual forma ocurre con la resiliencia, ya que las personas que buscan salir de los obstáculos requieren enfocar sus esfuerzos para superarlos, </w:t>
      </w:r>
      <w:r w:rsidR="00BB6997" w:rsidRPr="00703334">
        <w:t>por lo que necesitan</w:t>
      </w:r>
      <w:r w:rsidRPr="00703334">
        <w:t xml:space="preserve"> cierto grado de autocontrol</w:t>
      </w:r>
      <w:r w:rsidR="007F3E71" w:rsidRPr="00703334">
        <w:t xml:space="preserve"> y en consecuencia una menor impulsividad.</w:t>
      </w:r>
    </w:p>
    <w:p w14:paraId="49B32712" w14:textId="354ADF05" w:rsidR="0046682E" w:rsidRPr="00703334" w:rsidRDefault="0046682E" w:rsidP="009B76B5">
      <w:pPr>
        <w:pStyle w:val="Textoconsangra"/>
        <w:spacing w:line="360" w:lineRule="auto"/>
        <w:ind w:firstLine="737"/>
        <w:jc w:val="both"/>
      </w:pPr>
      <w:r w:rsidRPr="00703334">
        <w:t xml:space="preserve">Con respecto a las capacidades estratégicas, </w:t>
      </w:r>
      <w:r w:rsidR="009B76B5" w:rsidRPr="00703334">
        <w:t>en este estudio se consideró que la educación es fundamental porque brinda la oportunidad de potenciar los recursos psicológicos,  acceder a un mejor empleo y tomar mejores decisiones. L</w:t>
      </w:r>
      <w:r w:rsidRPr="00703334">
        <w:t>as estimaciones m</w:t>
      </w:r>
      <w:r w:rsidR="007F3E71" w:rsidRPr="00703334">
        <w:t>o</w:t>
      </w:r>
      <w:r w:rsidRPr="00703334">
        <w:t>str</w:t>
      </w:r>
      <w:r w:rsidR="007F3E71" w:rsidRPr="00703334">
        <w:t>ar</w:t>
      </w:r>
      <w:r w:rsidR="00BB6997" w:rsidRPr="00703334">
        <w:t>o</w:t>
      </w:r>
      <w:r w:rsidRPr="00703334">
        <w:t xml:space="preserve">n que la educación tiene una relación positiva con el constructo y por ende es un elemento clave de la agencia </w:t>
      </w:r>
      <w:r w:rsidR="007F3E71" w:rsidRPr="00703334">
        <w:t>individual, lo cual</w:t>
      </w:r>
      <w:r w:rsidRPr="00703334">
        <w:t xml:space="preserve"> es consistente con </w:t>
      </w:r>
      <w:r w:rsidR="009B76B5" w:rsidRPr="00703334">
        <w:t>el planteamiento de Sen (2000)</w:t>
      </w:r>
      <w:r w:rsidRPr="00703334">
        <w:t xml:space="preserve">. Con relación al tipo de empleo, los resultados </w:t>
      </w:r>
      <w:r w:rsidR="00BB6997" w:rsidRPr="00703334">
        <w:t xml:space="preserve">mostraron </w:t>
      </w:r>
      <w:r w:rsidRPr="00703334">
        <w:t xml:space="preserve">que realizar una actividad económica por cuenta propia presenta una relación negativa con la capacidad estratégica </w:t>
      </w:r>
      <w:r w:rsidR="009B76B5" w:rsidRPr="00703334">
        <w:t>lo que</w:t>
      </w:r>
      <w:r w:rsidRPr="00703334">
        <w:t xml:space="preserve"> implica que la agencia de las personas </w:t>
      </w:r>
      <w:r w:rsidR="00A42F11" w:rsidRPr="00703334">
        <w:t xml:space="preserve">se ve reducida </w:t>
      </w:r>
      <w:r w:rsidR="00BB6997" w:rsidRPr="00703334">
        <w:t>cuando se autoemplean</w:t>
      </w:r>
      <w:r w:rsidRPr="00703334">
        <w:t xml:space="preserve">, ello </w:t>
      </w:r>
      <w:r w:rsidR="009B76B5" w:rsidRPr="00703334">
        <w:t xml:space="preserve">sugiere </w:t>
      </w:r>
      <w:r w:rsidRPr="00703334">
        <w:t xml:space="preserve">que quienes tienen un salario seguro tienen </w:t>
      </w:r>
      <w:r w:rsidR="00A42F11" w:rsidRPr="00703334">
        <w:t>un</w:t>
      </w:r>
      <w:r w:rsidR="00BB6997" w:rsidRPr="00703334">
        <w:t xml:space="preserve">a </w:t>
      </w:r>
      <w:r w:rsidR="00A42F11" w:rsidRPr="00703334">
        <w:t>mayor</w:t>
      </w:r>
      <w:r w:rsidRPr="00703334">
        <w:t xml:space="preserve"> </w:t>
      </w:r>
      <w:r w:rsidR="00BB6997" w:rsidRPr="00703334">
        <w:t xml:space="preserve">libertad </w:t>
      </w:r>
      <w:r w:rsidRPr="00703334">
        <w:t>para actuar</w:t>
      </w:r>
      <w:r w:rsidR="009B76B5" w:rsidRPr="00703334">
        <w:t xml:space="preserve"> lo cual</w:t>
      </w:r>
      <w:r w:rsidRPr="00703334">
        <w:t xml:space="preserve"> es consistente con el planteamiento de Sen (1999) y Narayan-Parker (2005), </w:t>
      </w:r>
      <w:r w:rsidR="008D2211" w:rsidRPr="00703334">
        <w:t xml:space="preserve">al proponer que </w:t>
      </w:r>
      <w:r w:rsidRPr="00703334">
        <w:t>la agencia está determinada en gran medida por los bienes y activos que una persona posee. La certeza de contar con un ingreso seguro</w:t>
      </w:r>
      <w:r w:rsidR="008D2211" w:rsidRPr="00703334">
        <w:t xml:space="preserve"> y constante</w:t>
      </w:r>
      <w:r w:rsidRPr="00703334">
        <w:t xml:space="preserve"> permite mitigar la presión por buscar </w:t>
      </w:r>
      <w:r w:rsidR="009B76B5" w:rsidRPr="00703334">
        <w:t xml:space="preserve">continuamente </w:t>
      </w:r>
      <w:r w:rsidRPr="00703334">
        <w:t xml:space="preserve">opciones para conseguirlo, lo </w:t>
      </w:r>
      <w:r w:rsidRPr="00703334">
        <w:lastRenderedPageBreak/>
        <w:t xml:space="preserve">que a su vez se traduce en una mayor posibilidad para decidir y actuar </w:t>
      </w:r>
      <w:r w:rsidR="00BB6997" w:rsidRPr="00703334">
        <w:t>libremente</w:t>
      </w:r>
      <w:r w:rsidR="009B76B5" w:rsidRPr="00703334">
        <w:t>, así como</w:t>
      </w:r>
      <w:r w:rsidRPr="00703334">
        <w:t xml:space="preserve"> ampliar la visión para poner atención en otras alternativas o posibles consecuencias de las decisiones y acciones.</w:t>
      </w:r>
    </w:p>
    <w:p w14:paraId="78EEB5A7" w14:textId="77777777" w:rsidR="0046682E" w:rsidRPr="00703334" w:rsidRDefault="0046682E" w:rsidP="0046682E">
      <w:pPr>
        <w:spacing w:line="360" w:lineRule="auto"/>
        <w:jc w:val="both"/>
        <w:rPr>
          <w:b/>
          <w:i/>
        </w:rPr>
      </w:pPr>
      <w:r w:rsidRPr="00703334">
        <w:rPr>
          <w:b/>
          <w:i/>
        </w:rPr>
        <w:t>Limitaciones</w:t>
      </w:r>
    </w:p>
    <w:p w14:paraId="78BBB8E2" w14:textId="5019269D" w:rsidR="0046682E" w:rsidRPr="00703334" w:rsidRDefault="000B7BF5" w:rsidP="009B76B5">
      <w:pPr>
        <w:pStyle w:val="Textoconsangra"/>
        <w:spacing w:line="360" w:lineRule="auto"/>
        <w:jc w:val="both"/>
      </w:pPr>
      <w:r w:rsidRPr="00703334">
        <w:t>L</w:t>
      </w:r>
      <w:r w:rsidR="0046682E" w:rsidRPr="00703334">
        <w:t xml:space="preserve">a muestra </w:t>
      </w:r>
      <w:r w:rsidRPr="00703334">
        <w:t xml:space="preserve">la conforman personas a quienes se les invito a participar, por ello </w:t>
      </w:r>
      <w:r w:rsidR="0046682E" w:rsidRPr="00703334">
        <w:t xml:space="preserve">puede tener sesgo de autoselección, </w:t>
      </w:r>
      <w:r w:rsidRPr="00703334">
        <w:t>porque dicha</w:t>
      </w:r>
      <w:r w:rsidR="0046682E" w:rsidRPr="00703334">
        <w:t xml:space="preserve"> población se encontraba motivada </w:t>
      </w:r>
      <w:r w:rsidR="00BB6997" w:rsidRPr="00703334">
        <w:t>posiblemente en tener alg</w:t>
      </w:r>
      <w:r w:rsidR="00F34FA6">
        <w:t>ú</w:t>
      </w:r>
      <w:r w:rsidR="00BB6997" w:rsidRPr="00703334">
        <w:t>n beneficio</w:t>
      </w:r>
      <w:r w:rsidR="0046682E" w:rsidRPr="00703334">
        <w:t xml:space="preserve">. </w:t>
      </w:r>
      <w:r w:rsidR="009B76B5" w:rsidRPr="00703334">
        <w:t>Asimismo,</w:t>
      </w:r>
      <w:r w:rsidR="0046682E" w:rsidRPr="00703334">
        <w:t xml:space="preserve"> no se contó con información de otros </w:t>
      </w:r>
      <w:r w:rsidRPr="00703334">
        <w:t xml:space="preserve">indicadores </w:t>
      </w:r>
      <w:r w:rsidR="0046682E" w:rsidRPr="00703334">
        <w:t xml:space="preserve">como la salud, los medios productivos o los servicios públicos que se hubiesen podido </w:t>
      </w:r>
      <w:r w:rsidR="009B76B5" w:rsidRPr="00703334">
        <w:t xml:space="preserve">incluir </w:t>
      </w:r>
      <w:r w:rsidR="0046682E" w:rsidRPr="00703334">
        <w:t>en la medición de las capacidades</w:t>
      </w:r>
      <w:r w:rsidR="009B76B5" w:rsidRPr="00703334">
        <w:t>.</w:t>
      </w:r>
    </w:p>
    <w:p w14:paraId="54B0A19F" w14:textId="77777777" w:rsidR="0046682E" w:rsidRPr="00703334" w:rsidRDefault="0046682E" w:rsidP="009B76B5">
      <w:pPr>
        <w:pStyle w:val="Ttulo3"/>
      </w:pPr>
      <w:bookmarkStart w:id="27" w:name="_Toc38828916"/>
      <w:bookmarkStart w:id="28" w:name="_Toc70185716"/>
      <w:bookmarkStart w:id="29" w:name="_Toc77421172"/>
      <w:r w:rsidRPr="00703334">
        <w:t>Conclusiones</w:t>
      </w:r>
      <w:bookmarkEnd w:id="27"/>
      <w:bookmarkEnd w:id="28"/>
      <w:bookmarkEnd w:id="29"/>
      <w:r w:rsidRPr="00703334">
        <w:t xml:space="preserve"> </w:t>
      </w:r>
    </w:p>
    <w:p w14:paraId="5657AD0D" w14:textId="4D4CA98B" w:rsidR="0046682E" w:rsidRPr="005C21C7" w:rsidRDefault="0046682E" w:rsidP="009B76B5">
      <w:pPr>
        <w:pStyle w:val="Textoconsangra"/>
        <w:spacing w:line="360" w:lineRule="auto"/>
        <w:jc w:val="both"/>
      </w:pPr>
      <w:r w:rsidRPr="00703334">
        <w:t>Las relaciones hipotéticas del modelo sugieren que, en contextos de pobreza, los factores psicológicos tienen un rol importante</w:t>
      </w:r>
      <w:r w:rsidR="009B76B5" w:rsidRPr="00703334">
        <w:t>,</w:t>
      </w:r>
      <w:r w:rsidR="00375BF3" w:rsidRPr="00703334">
        <w:t xml:space="preserve"> como se ha visto en otros estudios (ver </w:t>
      </w:r>
      <w:r w:rsidRPr="00703334">
        <w:t>Haushofer y Fehr, 2014)</w:t>
      </w:r>
      <w:r w:rsidR="009B76B5" w:rsidRPr="00703334">
        <w:t>.</w:t>
      </w:r>
      <w:r w:rsidRPr="00703334">
        <w:t xml:space="preserve"> </w:t>
      </w:r>
      <w:r w:rsidR="009B76B5" w:rsidRPr="00703334">
        <w:t>En ese sentido,</w:t>
      </w:r>
      <w:r w:rsidRPr="00703334">
        <w:t xml:space="preserve"> es necesario probar este modelo en otros contextos en los que la vulnerabilidad económica no sea la constante con el fin de observar si el modelo propuesto presenta o no resultados similares que puedan derivar en las mismas conclusiones.</w:t>
      </w:r>
      <w:r w:rsidR="009B76B5" w:rsidRPr="00703334">
        <w:t xml:space="preserve"> Además, e</w:t>
      </w:r>
      <w:r w:rsidRPr="00703334">
        <w:t>s importante evaluar las implicaciones que tiene para las personas ser perseverantes todo el tiempo, sobre todo cuando después de un largo periodo no alcanzan los objetivos que anhelan. Ello podría tener efectos en su salud mental</w:t>
      </w:r>
      <w:r w:rsidR="009B76B5" w:rsidRPr="00703334">
        <w:t>, así como</w:t>
      </w:r>
      <w:r w:rsidRPr="00703334">
        <w:t xml:space="preserve"> reducir su visión y dejar de ver otras opciones que les permitan mejorar</w:t>
      </w:r>
      <w:r w:rsidRPr="005C21C7">
        <w:t xml:space="preserve"> sus condiciones de vida. De garantizar que las personas tengan cubiertas sus necesidades básicas, las personas podrían enfocar sus atributos psicológicos y potenciar sus capacidades en llevar la vida que desean y que valoran, incluso, realizar acciones que trasciend</w:t>
      </w:r>
      <w:r>
        <w:t>e</w:t>
      </w:r>
      <w:r w:rsidRPr="005C21C7">
        <w:t>n su propio beneficio.</w:t>
      </w:r>
    </w:p>
    <w:p w14:paraId="14C89D84" w14:textId="5A5A5214" w:rsidR="009B76B5" w:rsidRDefault="00703334" w:rsidP="009B76B5">
      <w:pPr>
        <w:pStyle w:val="Textoconsangra"/>
        <w:spacing w:line="360" w:lineRule="auto"/>
        <w:jc w:val="both"/>
      </w:pPr>
      <w:r>
        <w:t>Finalmente, e</w:t>
      </w:r>
      <w:r w:rsidR="0046682E" w:rsidRPr="005C21C7">
        <w:t>n este trabajo se muestra que los indicadores psicológicos p</w:t>
      </w:r>
      <w:r w:rsidR="0046682E">
        <w:t>ueden</w:t>
      </w:r>
      <w:r w:rsidR="0046682E" w:rsidRPr="005C21C7">
        <w:t xml:space="preserve"> sumarse a otros indicadores que son utilizados para evaluar las capacidades que contribuy</w:t>
      </w:r>
      <w:r w:rsidR="0046682E">
        <w:t>e</w:t>
      </w:r>
      <w:r w:rsidR="0046682E" w:rsidRPr="005C21C7">
        <w:t>n a la medición de la agencia individual y al desarrollo humano</w:t>
      </w:r>
      <w:r w:rsidR="0046682E">
        <w:t>;</w:t>
      </w:r>
      <w:r w:rsidR="0046682E" w:rsidRPr="005C21C7">
        <w:t xml:space="preserve"> </w:t>
      </w:r>
      <w:r w:rsidR="0046682E">
        <w:t>y</w:t>
      </w:r>
      <w:r w:rsidR="0046682E" w:rsidRPr="005C21C7">
        <w:t>a que</w:t>
      </w:r>
      <w:r w:rsidR="0046682E">
        <w:t>,</w:t>
      </w:r>
      <w:r w:rsidR="0046682E" w:rsidRPr="005C21C7">
        <w:t xml:space="preserve"> si bien </w:t>
      </w:r>
      <w:r w:rsidR="0046682E">
        <w:t xml:space="preserve">el </w:t>
      </w:r>
      <w:r w:rsidR="0046682E" w:rsidRPr="005C21C7">
        <w:t xml:space="preserve">ingreso, </w:t>
      </w:r>
      <w:r w:rsidR="0046682E">
        <w:t xml:space="preserve">la </w:t>
      </w:r>
      <w:r w:rsidR="0046682E" w:rsidRPr="005C21C7">
        <w:t xml:space="preserve">educación y </w:t>
      </w:r>
      <w:r w:rsidR="0046682E">
        <w:t xml:space="preserve">la </w:t>
      </w:r>
      <w:r w:rsidR="0046682E" w:rsidRPr="005C21C7">
        <w:t>salud son indicadores claves</w:t>
      </w:r>
      <w:r w:rsidR="0046682E">
        <w:t>;</w:t>
      </w:r>
      <w:r w:rsidR="0046682E" w:rsidRPr="005C21C7">
        <w:t xml:space="preserve"> </w:t>
      </w:r>
      <w:r w:rsidR="0046682E">
        <w:t xml:space="preserve">también </w:t>
      </w:r>
      <w:r w:rsidR="0046682E" w:rsidRPr="005C21C7">
        <w:t>son resultado de un proceso más largo y complejo</w:t>
      </w:r>
      <w:r w:rsidR="009B76B5">
        <w:t xml:space="preserve"> en el que se ven involucrados los atributos psicológicos</w:t>
      </w:r>
      <w:r w:rsidR="0046682E" w:rsidRPr="005C21C7">
        <w:t>. En este sentido</w:t>
      </w:r>
      <w:r w:rsidR="0046682E">
        <w:t>,</w:t>
      </w:r>
      <w:r w:rsidR="0046682E" w:rsidRPr="005C21C7">
        <w:t xml:space="preserve"> sería importante evaluar desde una mirada micro las capacidades y los resultados intermedios que las personas van obteniendo a lo largo de todo el proceso para alcanzar un logro mayor. Ello proporcionar</w:t>
      </w:r>
      <w:r w:rsidR="0046682E">
        <w:t>á</w:t>
      </w:r>
      <w:r w:rsidR="0046682E" w:rsidRPr="005C21C7">
        <w:t xml:space="preserve"> información de las capacidades que las personas emplean para hacer frente a los obstáculos, lo que podría reflejar la desigualdad de agencia y evaluar la igualdad de resultados y el avance en el desarrollo humano.</w:t>
      </w:r>
      <w:r w:rsidR="009B76B5">
        <w:t xml:space="preserve"> </w:t>
      </w:r>
    </w:p>
    <w:p w14:paraId="6807B807" w14:textId="77777777" w:rsidR="0046682E" w:rsidRPr="008222C5" w:rsidRDefault="0046682E" w:rsidP="009B76B5">
      <w:pPr>
        <w:pStyle w:val="Textoconsangra"/>
        <w:spacing w:line="360" w:lineRule="auto"/>
        <w:jc w:val="both"/>
        <w:rPr>
          <w:rFonts w:cs="Times New Roman (Cuerpo en alfa"/>
          <w:b/>
          <w:spacing w:val="5"/>
          <w:sz w:val="32"/>
        </w:rPr>
      </w:pPr>
      <w:bookmarkStart w:id="30" w:name="_Toc70185717"/>
      <w:bookmarkStart w:id="31" w:name="_Toc77421173"/>
      <w:r w:rsidRPr="008222C5">
        <w:br w:type="page"/>
      </w:r>
    </w:p>
    <w:bookmarkEnd w:id="30"/>
    <w:bookmarkEnd w:id="31"/>
    <w:p w14:paraId="0B2BD563" w14:textId="77777777" w:rsidR="0046682E" w:rsidRPr="00271579" w:rsidRDefault="006C49E0" w:rsidP="009B76B5">
      <w:pPr>
        <w:pStyle w:val="Ttulo3"/>
        <w:rPr>
          <w:lang w:val="en-US"/>
        </w:rPr>
      </w:pPr>
      <w:proofErr w:type="spellStart"/>
      <w:r w:rsidRPr="00400007">
        <w:rPr>
          <w:lang w:val="en-US"/>
        </w:rPr>
        <w:lastRenderedPageBreak/>
        <w:t>Referencias</w:t>
      </w:r>
      <w:proofErr w:type="spellEnd"/>
    </w:p>
    <w:p w14:paraId="2BA5FF92" w14:textId="77777777" w:rsidR="0046682E" w:rsidRPr="00375BF3" w:rsidRDefault="0046682E" w:rsidP="00703334">
      <w:pPr>
        <w:pStyle w:val="EndNoteBibliography"/>
        <w:rPr>
          <w:shd w:val="clear" w:color="auto" w:fill="FFFFFF"/>
        </w:rPr>
      </w:pPr>
      <w:proofErr w:type="spellStart"/>
      <w:r w:rsidRPr="00375BF3">
        <w:rPr>
          <w:shd w:val="clear" w:color="auto" w:fill="FFFFFF"/>
        </w:rPr>
        <w:t>Alkire</w:t>
      </w:r>
      <w:proofErr w:type="spellEnd"/>
      <w:r w:rsidRPr="00375BF3">
        <w:rPr>
          <w:shd w:val="clear" w:color="auto" w:fill="FFFFFF"/>
        </w:rPr>
        <w:t xml:space="preserve">, S. (2002). Dimensions of human development. </w:t>
      </w:r>
      <w:r w:rsidRPr="00375BF3">
        <w:rPr>
          <w:i/>
          <w:shd w:val="clear" w:color="auto" w:fill="FFFFFF"/>
        </w:rPr>
        <w:t>World development, 30</w:t>
      </w:r>
      <w:r w:rsidRPr="00375BF3">
        <w:rPr>
          <w:shd w:val="clear" w:color="auto" w:fill="FFFFFF"/>
        </w:rPr>
        <w:t xml:space="preserve">(2), 181-205. </w:t>
      </w:r>
      <w:r w:rsidRPr="00375BF3">
        <w:t>https://doi.org/10.1016/S0305-750X(01)00109-7</w:t>
      </w:r>
    </w:p>
    <w:p w14:paraId="1A4A5E41" w14:textId="77777777" w:rsidR="0046682E" w:rsidRPr="00375BF3" w:rsidRDefault="0046682E" w:rsidP="00703334">
      <w:pPr>
        <w:pStyle w:val="EndNoteBibliography"/>
        <w:rPr>
          <w:shd w:val="clear" w:color="auto" w:fill="FFFFFF"/>
        </w:rPr>
      </w:pPr>
      <w:proofErr w:type="spellStart"/>
      <w:r w:rsidRPr="00375BF3">
        <w:rPr>
          <w:shd w:val="clear" w:color="auto" w:fill="FFFFFF"/>
        </w:rPr>
        <w:t>Alkire</w:t>
      </w:r>
      <w:proofErr w:type="spellEnd"/>
      <w:r w:rsidRPr="00375BF3">
        <w:rPr>
          <w:shd w:val="clear" w:color="auto" w:fill="FFFFFF"/>
        </w:rPr>
        <w:t>, S. (2005). Subjective quantitative studies of human agency.</w:t>
      </w:r>
      <w:r w:rsidRPr="00375BF3">
        <w:t xml:space="preserve"> </w:t>
      </w:r>
      <w:r w:rsidRPr="00375BF3">
        <w:rPr>
          <w:i/>
          <w:shd w:val="clear" w:color="auto" w:fill="FFFFFF"/>
        </w:rPr>
        <w:t>Social Indicators Research</w:t>
      </w:r>
      <w:r w:rsidRPr="00375BF3">
        <w:rPr>
          <w:shd w:val="clear" w:color="auto" w:fill="FFFFFF"/>
        </w:rPr>
        <w:t>,</w:t>
      </w:r>
      <w:r w:rsidRPr="00375BF3">
        <w:t xml:space="preserve"> </w:t>
      </w:r>
      <w:r w:rsidRPr="00375BF3">
        <w:rPr>
          <w:i/>
          <w:shd w:val="clear" w:color="auto" w:fill="FFFFFF"/>
        </w:rPr>
        <w:t>74</w:t>
      </w:r>
      <w:r w:rsidRPr="00375BF3">
        <w:rPr>
          <w:shd w:val="clear" w:color="auto" w:fill="FFFFFF"/>
        </w:rPr>
        <w:t xml:space="preserve">(1), 217-260. </w:t>
      </w:r>
      <w:hyperlink r:id="rId9" w:history="1">
        <w:r w:rsidRPr="00375BF3">
          <w:rPr>
            <w:rStyle w:val="Hipervnculo"/>
          </w:rPr>
          <w:t>https://doi.org/</w:t>
        </w:r>
        <w:r w:rsidRPr="00375BF3">
          <w:rPr>
            <w:rStyle w:val="Hipervnculo"/>
            <w:shd w:val="clear" w:color="auto" w:fill="FFFFFF"/>
          </w:rPr>
          <w:t>10.1007/s11205-005-6525-0</w:t>
        </w:r>
      </w:hyperlink>
    </w:p>
    <w:p w14:paraId="320EB1C4" w14:textId="77777777" w:rsidR="0046682E" w:rsidRPr="00375BF3" w:rsidRDefault="0046682E" w:rsidP="00703334">
      <w:pPr>
        <w:pStyle w:val="EndNoteBibliography"/>
        <w:rPr>
          <w:shd w:val="clear" w:color="auto" w:fill="FFFFFF"/>
        </w:rPr>
      </w:pPr>
      <w:proofErr w:type="spellStart"/>
      <w:r w:rsidRPr="00375BF3">
        <w:rPr>
          <w:shd w:val="clear" w:color="auto" w:fill="FFFFFF"/>
        </w:rPr>
        <w:t>Alkire</w:t>
      </w:r>
      <w:proofErr w:type="spellEnd"/>
      <w:r w:rsidRPr="00375BF3">
        <w:rPr>
          <w:shd w:val="clear" w:color="auto" w:fill="FFFFFF"/>
        </w:rPr>
        <w:t xml:space="preserve">, S. (2008). Concepts and measures of agency. </w:t>
      </w:r>
      <w:r w:rsidRPr="00375BF3">
        <w:rPr>
          <w:i/>
          <w:shd w:val="clear" w:color="auto" w:fill="FFFFFF"/>
        </w:rPr>
        <w:t>Oxford Poverty &amp; Human Development Initiative (OPHI)</w:t>
      </w:r>
      <w:r w:rsidRPr="00375BF3">
        <w:rPr>
          <w:shd w:val="clear" w:color="auto" w:fill="FFFFFF"/>
        </w:rPr>
        <w:t xml:space="preserve">. Working Paper No. 9. </w:t>
      </w:r>
      <w:r w:rsidRPr="00375BF3">
        <w:t>https://ophi.org.uk/working-paper-number-09/</w:t>
      </w:r>
    </w:p>
    <w:p w14:paraId="78C670FC" w14:textId="77777777" w:rsidR="0046682E" w:rsidRPr="00375BF3" w:rsidRDefault="0046682E" w:rsidP="00703334">
      <w:pPr>
        <w:pStyle w:val="EndNoteBibliography"/>
      </w:pPr>
      <w:proofErr w:type="spellStart"/>
      <w:r w:rsidRPr="00375BF3">
        <w:t>Alkire</w:t>
      </w:r>
      <w:proofErr w:type="spellEnd"/>
      <w:r w:rsidRPr="00375BF3">
        <w:t xml:space="preserve"> S. y </w:t>
      </w:r>
      <w:proofErr w:type="spellStart"/>
      <w:r w:rsidRPr="00375BF3">
        <w:t>Deneulin</w:t>
      </w:r>
      <w:proofErr w:type="spellEnd"/>
      <w:r w:rsidRPr="00375BF3">
        <w:t xml:space="preserve">, S. (2009).  The Human Development and Capability Approach (Chapter 2) </w:t>
      </w:r>
      <w:proofErr w:type="spellStart"/>
      <w:r w:rsidRPr="00375BF3">
        <w:t>En</w:t>
      </w:r>
      <w:proofErr w:type="spellEnd"/>
      <w:r w:rsidRPr="00375BF3">
        <w:t xml:space="preserve"> </w:t>
      </w:r>
      <w:r w:rsidRPr="00375BF3">
        <w:rPr>
          <w:i/>
        </w:rPr>
        <w:t>An Introduction to the Human Development and Capability Approach: Freedom and Agency</w:t>
      </w:r>
      <w:r w:rsidRPr="00375BF3">
        <w:t xml:space="preserve"> (1st ed.). Routledge. </w:t>
      </w:r>
      <w:hyperlink r:id="rId10" w:history="1">
        <w:r w:rsidRPr="00375BF3">
          <w:t>https://doi.org/10.4324/9781849770026</w:t>
        </w:r>
      </w:hyperlink>
    </w:p>
    <w:p w14:paraId="6FE96A02" w14:textId="77777777" w:rsidR="0046682E" w:rsidRPr="00375BF3" w:rsidRDefault="0046682E" w:rsidP="00703334">
      <w:pPr>
        <w:pStyle w:val="EndNoteBibliography"/>
      </w:pPr>
      <w:proofErr w:type="spellStart"/>
      <w:r w:rsidRPr="00375BF3">
        <w:t>Almlund</w:t>
      </w:r>
      <w:proofErr w:type="spellEnd"/>
      <w:r w:rsidRPr="00375BF3">
        <w:t xml:space="preserve">, M., Duckworth, A. L., Heckman, J., &amp; Kautz, T. (2011). Personality psychology and economics. </w:t>
      </w:r>
      <w:proofErr w:type="spellStart"/>
      <w:r w:rsidRPr="00375BF3">
        <w:t>En</w:t>
      </w:r>
      <w:proofErr w:type="spellEnd"/>
      <w:r w:rsidRPr="00375BF3">
        <w:t xml:space="preserve"> </w:t>
      </w:r>
      <w:r w:rsidRPr="00375BF3">
        <w:rPr>
          <w:i/>
        </w:rPr>
        <w:t>Handbook of the Economics of Education,</w:t>
      </w:r>
      <w:r w:rsidRPr="00375BF3">
        <w:t xml:space="preserve"> 4, 1-181. Elsevier.</w:t>
      </w:r>
    </w:p>
    <w:p w14:paraId="6894AF4F" w14:textId="77777777" w:rsidR="0046682E" w:rsidRPr="00375BF3" w:rsidRDefault="0046682E" w:rsidP="00703334">
      <w:pPr>
        <w:pStyle w:val="EndNoteBibliography"/>
      </w:pPr>
      <w:r w:rsidRPr="00375BF3">
        <w:t xml:space="preserve">Anand, P., Hunter, G., Carter, I., Dowding, K., </w:t>
      </w:r>
      <w:proofErr w:type="spellStart"/>
      <w:r w:rsidRPr="00375BF3">
        <w:t>Guala</w:t>
      </w:r>
      <w:proofErr w:type="spellEnd"/>
      <w:r w:rsidRPr="00375BF3">
        <w:t xml:space="preserve">, F., &amp; Van </w:t>
      </w:r>
      <w:proofErr w:type="spellStart"/>
      <w:r w:rsidRPr="00375BF3">
        <w:t>Hees</w:t>
      </w:r>
      <w:proofErr w:type="spellEnd"/>
      <w:r w:rsidRPr="00375BF3">
        <w:t xml:space="preserve">, M. (2009). The development of capability indicators. </w:t>
      </w:r>
      <w:r w:rsidRPr="00375BF3">
        <w:rPr>
          <w:i/>
        </w:rPr>
        <w:t>Journal of Human Development and Capabilities</w:t>
      </w:r>
      <w:r w:rsidRPr="00375BF3">
        <w:t xml:space="preserve">, </w:t>
      </w:r>
      <w:r w:rsidRPr="00375BF3">
        <w:rPr>
          <w:i/>
        </w:rPr>
        <w:t>10</w:t>
      </w:r>
      <w:r w:rsidRPr="00375BF3">
        <w:t>(1), 125-152. https://doi.org/10.1080/14649880802675366</w:t>
      </w:r>
    </w:p>
    <w:p w14:paraId="2B1648C9" w14:textId="77777777" w:rsidR="0046682E" w:rsidRPr="00375BF3" w:rsidRDefault="0046682E" w:rsidP="00703334">
      <w:pPr>
        <w:pStyle w:val="EndNoteBibliography"/>
        <w:rPr>
          <w:lang w:val="es-MX"/>
        </w:rPr>
      </w:pPr>
      <w:r w:rsidRPr="00375BF3">
        <w:t xml:space="preserve">Appadurai, A. (2004). The capacity to aspire. </w:t>
      </w:r>
      <w:r w:rsidRPr="00375BF3">
        <w:rPr>
          <w:i/>
          <w:lang w:val="es-MX"/>
        </w:rPr>
        <w:t>Culture and public action</w:t>
      </w:r>
      <w:r w:rsidRPr="00375BF3">
        <w:rPr>
          <w:lang w:val="es-MX"/>
        </w:rPr>
        <w:t>, 59-84.</w:t>
      </w:r>
    </w:p>
    <w:p w14:paraId="10F30DC1" w14:textId="77777777" w:rsidR="0046682E" w:rsidRPr="00400007" w:rsidRDefault="0046682E" w:rsidP="00703334">
      <w:pPr>
        <w:pStyle w:val="EndNoteBibliography"/>
        <w:rPr>
          <w:lang w:val="es-MX"/>
        </w:rPr>
      </w:pPr>
      <w:r w:rsidRPr="00400007">
        <w:rPr>
          <w:lang w:val="es-MX"/>
        </w:rPr>
        <w:t xml:space="preserve">Attanasio, Orazio P. y Székely, M. (1999), Ahorro de los hogares y distribución del ingreso en México, </w:t>
      </w:r>
      <w:r w:rsidRPr="00400007">
        <w:rPr>
          <w:i/>
          <w:lang w:val="es-MX"/>
        </w:rPr>
        <w:t>Economía Mexicana</w:t>
      </w:r>
      <w:r w:rsidRPr="00400007">
        <w:rPr>
          <w:lang w:val="es-MX"/>
        </w:rPr>
        <w:t xml:space="preserve">, </w:t>
      </w:r>
      <w:r w:rsidRPr="00400007">
        <w:rPr>
          <w:i/>
          <w:lang w:val="es-MX"/>
        </w:rPr>
        <w:t>Nueva época, 8</w:t>
      </w:r>
      <w:r w:rsidRPr="00400007">
        <w:rPr>
          <w:lang w:val="es-MX"/>
        </w:rPr>
        <w:t>(2), 267-338. http://www.economiamexicana.cide.edu/num_anteriores/VIII-2/03_ORAZIO_ATTANASIO_267-338.pdf</w:t>
      </w:r>
    </w:p>
    <w:p w14:paraId="57636A92" w14:textId="77777777" w:rsidR="0046682E" w:rsidRPr="00271579" w:rsidRDefault="0046682E" w:rsidP="00703334">
      <w:pPr>
        <w:pStyle w:val="EndNoteBibliography"/>
      </w:pPr>
      <w:r w:rsidRPr="00375BF3">
        <w:rPr>
          <w:shd w:val="clear" w:color="auto" w:fill="FFFFFF"/>
        </w:rPr>
        <w:t xml:space="preserve">Bandura, A. (1982). Self-efficacy mechanism in human agency. </w:t>
      </w:r>
      <w:r w:rsidRPr="00375BF3">
        <w:rPr>
          <w:i/>
          <w:iCs/>
        </w:rPr>
        <w:t>American Psychologist</w:t>
      </w:r>
      <w:r w:rsidRPr="00375BF3">
        <w:rPr>
          <w:shd w:val="clear" w:color="auto" w:fill="FFFFFF"/>
        </w:rPr>
        <w:t xml:space="preserve">, </w:t>
      </w:r>
      <w:r w:rsidRPr="00375BF3">
        <w:rPr>
          <w:i/>
          <w:iCs/>
        </w:rPr>
        <w:t>37</w:t>
      </w:r>
      <w:r w:rsidRPr="00375BF3">
        <w:rPr>
          <w:shd w:val="clear" w:color="auto" w:fill="FFFFFF"/>
        </w:rPr>
        <w:t xml:space="preserve">(2), 122-147. </w:t>
      </w:r>
      <w:hyperlink r:id="rId11" w:history="1">
        <w:r w:rsidRPr="00375BF3">
          <w:rPr>
            <w:rStyle w:val="Hipervnculo"/>
          </w:rPr>
          <w:t>https://doi.org/</w:t>
        </w:r>
      </w:hyperlink>
      <w:r w:rsidRPr="00375BF3">
        <w:rPr>
          <w:shd w:val="clear" w:color="auto" w:fill="FFFFFF"/>
        </w:rPr>
        <w:t>10.1037/0003-066x.37.2.122</w:t>
      </w:r>
    </w:p>
    <w:p w14:paraId="1BFC4B7E" w14:textId="77777777" w:rsidR="0046682E" w:rsidRPr="00271579" w:rsidRDefault="0046682E" w:rsidP="00703334">
      <w:pPr>
        <w:pStyle w:val="EndNoteBibliography"/>
      </w:pPr>
      <w:r w:rsidRPr="00703334">
        <w:t xml:space="preserve">Bandura, A. (1989). Human agency in social cognitive theory. </w:t>
      </w:r>
      <w:r w:rsidRPr="00703334">
        <w:rPr>
          <w:i/>
        </w:rPr>
        <w:t>American psychologist</w:t>
      </w:r>
      <w:r w:rsidRPr="00703334">
        <w:t xml:space="preserve">, </w:t>
      </w:r>
      <w:r w:rsidRPr="00703334">
        <w:rPr>
          <w:i/>
        </w:rPr>
        <w:t>44</w:t>
      </w:r>
      <w:r w:rsidRPr="00703334">
        <w:t xml:space="preserve">(9), 1175-1184. </w:t>
      </w:r>
      <w:hyperlink r:id="rId12" w:history="1">
        <w:r w:rsidRPr="00703334">
          <w:rPr>
            <w:rStyle w:val="Hipervnculo"/>
          </w:rPr>
          <w:t>https://doi.org/</w:t>
        </w:r>
      </w:hyperlink>
      <w:r w:rsidRPr="00703334">
        <w:t>10.1037/0003-066x.44.9.1175</w:t>
      </w:r>
    </w:p>
    <w:p w14:paraId="38E8DC31" w14:textId="77777777" w:rsidR="0046682E" w:rsidRPr="00375BF3" w:rsidRDefault="0046682E" w:rsidP="00703334">
      <w:pPr>
        <w:pStyle w:val="EndNoteBibliography"/>
      </w:pPr>
      <w:r w:rsidRPr="00375BF3">
        <w:rPr>
          <w:shd w:val="clear" w:color="auto" w:fill="FFFFFF"/>
        </w:rPr>
        <w:t xml:space="preserve">Bandura, A. (2001). Social cognitive theory: An agentic perspective. </w:t>
      </w:r>
      <w:r w:rsidRPr="00375BF3">
        <w:rPr>
          <w:i/>
          <w:iCs/>
        </w:rPr>
        <w:t>Annual Review of Psychology</w:t>
      </w:r>
      <w:r w:rsidRPr="00375BF3">
        <w:rPr>
          <w:shd w:val="clear" w:color="auto" w:fill="FFFFFF"/>
        </w:rPr>
        <w:t xml:space="preserve">, </w:t>
      </w:r>
      <w:r w:rsidRPr="00375BF3">
        <w:rPr>
          <w:i/>
          <w:iCs/>
        </w:rPr>
        <w:t>52</w:t>
      </w:r>
      <w:r w:rsidRPr="00375BF3">
        <w:rPr>
          <w:shd w:val="clear" w:color="auto" w:fill="FFFFFF"/>
        </w:rPr>
        <w:t xml:space="preserve">(1), 1-26. </w:t>
      </w:r>
      <w:hyperlink r:id="rId13" w:history="1">
        <w:r w:rsidRPr="00375BF3">
          <w:rPr>
            <w:rStyle w:val="Hipervnculo"/>
          </w:rPr>
          <w:t>https://doi.org/</w:t>
        </w:r>
      </w:hyperlink>
      <w:r w:rsidRPr="00375BF3">
        <w:rPr>
          <w:shd w:val="clear" w:color="auto" w:fill="FFFFFF"/>
        </w:rPr>
        <w:t xml:space="preserve"> 10.1146/annurev.psych.52.1.1</w:t>
      </w:r>
    </w:p>
    <w:p w14:paraId="58541F36" w14:textId="77777777" w:rsidR="0046682E" w:rsidRPr="00375BF3" w:rsidRDefault="0046682E" w:rsidP="00703334">
      <w:pPr>
        <w:pStyle w:val="EndNoteBibliography"/>
      </w:pPr>
      <w:r w:rsidRPr="00375BF3">
        <w:rPr>
          <w:shd w:val="clear" w:color="auto" w:fill="FFFFFF"/>
        </w:rPr>
        <w:t xml:space="preserve">Bandura, A. (2006). Toward a psychology of human agency. </w:t>
      </w:r>
      <w:r w:rsidRPr="00375BF3">
        <w:rPr>
          <w:i/>
          <w:iCs/>
        </w:rPr>
        <w:t>Perspectives on Psychological Science</w:t>
      </w:r>
      <w:r w:rsidRPr="00375BF3">
        <w:rPr>
          <w:shd w:val="clear" w:color="auto" w:fill="FFFFFF"/>
        </w:rPr>
        <w:t xml:space="preserve">, </w:t>
      </w:r>
      <w:r w:rsidRPr="00375BF3">
        <w:rPr>
          <w:i/>
          <w:iCs/>
        </w:rPr>
        <w:t>1</w:t>
      </w:r>
      <w:r w:rsidRPr="00375BF3">
        <w:rPr>
          <w:shd w:val="clear" w:color="auto" w:fill="FFFFFF"/>
        </w:rPr>
        <w:t xml:space="preserve">(2), 164-180. </w:t>
      </w:r>
      <w:hyperlink r:id="rId14" w:history="1">
        <w:r w:rsidRPr="00375BF3">
          <w:rPr>
            <w:rStyle w:val="Hipervnculo"/>
          </w:rPr>
          <w:t>https://doi.org/</w:t>
        </w:r>
      </w:hyperlink>
      <w:r w:rsidRPr="00375BF3">
        <w:rPr>
          <w:shd w:val="clear" w:color="auto" w:fill="FFFFFF"/>
        </w:rPr>
        <w:t>10.1111/j.1745-6916.</w:t>
      </w:r>
      <w:proofErr w:type="gramStart"/>
      <w:r w:rsidRPr="00375BF3">
        <w:rPr>
          <w:shd w:val="clear" w:color="auto" w:fill="FFFFFF"/>
        </w:rPr>
        <w:t>2006.00011.x</w:t>
      </w:r>
      <w:proofErr w:type="gramEnd"/>
    </w:p>
    <w:p w14:paraId="2E3E4B89" w14:textId="77777777" w:rsidR="0046682E" w:rsidRPr="00375BF3" w:rsidRDefault="0046682E" w:rsidP="00703334">
      <w:pPr>
        <w:pStyle w:val="EndNoteBibliography"/>
        <w:rPr>
          <w:shd w:val="clear" w:color="auto" w:fill="FFFFFF"/>
        </w:rPr>
      </w:pPr>
      <w:r w:rsidRPr="00375BF3">
        <w:t>Becker, G. S. (2009). Human capital: A theoretical and empirical analysis, with special reference to education. University of Chicago press.</w:t>
      </w:r>
    </w:p>
    <w:p w14:paraId="26E49658" w14:textId="77777777" w:rsidR="0046682E" w:rsidRPr="00375BF3" w:rsidRDefault="0046682E" w:rsidP="00703334">
      <w:pPr>
        <w:pStyle w:val="EndNoteBibliography"/>
        <w:rPr>
          <w:lang w:val="es-ES"/>
        </w:rPr>
      </w:pPr>
      <w:r w:rsidRPr="00375BF3">
        <w:rPr>
          <w:shd w:val="clear" w:color="auto" w:fill="FFFFFF"/>
        </w:rPr>
        <w:t>Campbell</w:t>
      </w:r>
      <w:r w:rsidRPr="00375BF3">
        <w:rPr>
          <w:rFonts w:ascii="Cambria Math" w:hAnsi="Cambria Math" w:cs="Cambria Math"/>
          <w:shd w:val="clear" w:color="auto" w:fill="FFFFFF"/>
        </w:rPr>
        <w:t>‐</w:t>
      </w:r>
      <w:r w:rsidRPr="00375BF3">
        <w:rPr>
          <w:shd w:val="clear" w:color="auto" w:fill="FFFFFF"/>
        </w:rPr>
        <w:t>Sills, L., &amp; Stein, M. B. (2007). Psychometric analysis and refinement of the Connor–Davidson Resilience Scale (CD</w:t>
      </w:r>
      <w:r w:rsidRPr="00375BF3">
        <w:rPr>
          <w:rFonts w:ascii="Cambria Math" w:hAnsi="Cambria Math" w:cs="Cambria Math"/>
          <w:shd w:val="clear" w:color="auto" w:fill="FFFFFF"/>
        </w:rPr>
        <w:t>‐</w:t>
      </w:r>
      <w:r w:rsidRPr="00375BF3">
        <w:rPr>
          <w:shd w:val="clear" w:color="auto" w:fill="FFFFFF"/>
        </w:rPr>
        <w:t>RISC): Validation of a 10</w:t>
      </w:r>
      <w:r w:rsidRPr="00375BF3">
        <w:rPr>
          <w:rFonts w:ascii="Cambria Math" w:hAnsi="Cambria Math" w:cs="Cambria Math"/>
          <w:shd w:val="clear" w:color="auto" w:fill="FFFFFF"/>
        </w:rPr>
        <w:t>‐</w:t>
      </w:r>
      <w:r w:rsidRPr="00375BF3">
        <w:rPr>
          <w:shd w:val="clear" w:color="auto" w:fill="FFFFFF"/>
        </w:rPr>
        <w:t xml:space="preserve">item measure of resilience. </w:t>
      </w:r>
      <w:r w:rsidRPr="00375BF3">
        <w:rPr>
          <w:i/>
          <w:iCs/>
        </w:rPr>
        <w:t>Journal of Traumatic Stress: Official Publication of The International Society for Traumatic Stress Studies</w:t>
      </w:r>
      <w:r w:rsidRPr="00375BF3">
        <w:rPr>
          <w:shd w:val="clear" w:color="auto" w:fill="FFFFFF"/>
        </w:rPr>
        <w:t xml:space="preserve">, </w:t>
      </w:r>
      <w:r w:rsidRPr="00375BF3">
        <w:rPr>
          <w:i/>
          <w:iCs/>
        </w:rPr>
        <w:t>20</w:t>
      </w:r>
      <w:r w:rsidRPr="00375BF3">
        <w:rPr>
          <w:shd w:val="clear" w:color="auto" w:fill="FFFFFF"/>
        </w:rPr>
        <w:t xml:space="preserve">(6), 1019-1028. </w:t>
      </w:r>
      <w:hyperlink r:id="rId15" w:history="1">
        <w:r w:rsidRPr="00375BF3">
          <w:rPr>
            <w:rStyle w:val="Hipervnculo"/>
            <w:lang w:val="es-ES"/>
          </w:rPr>
          <w:t>https://doi.org/</w:t>
        </w:r>
      </w:hyperlink>
      <w:r w:rsidRPr="00375BF3">
        <w:rPr>
          <w:shd w:val="clear" w:color="auto" w:fill="FFFFFF"/>
          <w:lang w:val="es-ES"/>
        </w:rPr>
        <w:t>10.1002/jts.20271</w:t>
      </w:r>
    </w:p>
    <w:p w14:paraId="2A688410" w14:textId="77777777" w:rsidR="0046682E" w:rsidRPr="00375BF3" w:rsidRDefault="0046682E" w:rsidP="00703334">
      <w:pPr>
        <w:pStyle w:val="EndNoteBibliography"/>
      </w:pPr>
      <w:r w:rsidRPr="00400007">
        <w:rPr>
          <w:lang w:val="es-MX"/>
        </w:rPr>
        <w:t xml:space="preserve">Córdoba, R. C. (2006). Desarrollo humano y capacidades. Aplicaciones de la teoría de las capacidades de Amartya Sen a la educación. </w:t>
      </w:r>
      <w:proofErr w:type="spellStart"/>
      <w:r w:rsidRPr="00375BF3">
        <w:rPr>
          <w:i/>
          <w:iCs/>
        </w:rPr>
        <w:t>Revista</w:t>
      </w:r>
      <w:proofErr w:type="spellEnd"/>
      <w:r w:rsidRPr="00375BF3">
        <w:rPr>
          <w:i/>
          <w:iCs/>
        </w:rPr>
        <w:t xml:space="preserve"> </w:t>
      </w:r>
      <w:proofErr w:type="spellStart"/>
      <w:r w:rsidRPr="00375BF3">
        <w:rPr>
          <w:i/>
          <w:iCs/>
        </w:rPr>
        <w:t>española</w:t>
      </w:r>
      <w:proofErr w:type="spellEnd"/>
      <w:r w:rsidRPr="00375BF3">
        <w:rPr>
          <w:i/>
          <w:iCs/>
        </w:rPr>
        <w:t xml:space="preserve"> de </w:t>
      </w:r>
      <w:proofErr w:type="spellStart"/>
      <w:r w:rsidRPr="00375BF3">
        <w:rPr>
          <w:i/>
          <w:iCs/>
        </w:rPr>
        <w:t>pedagogía</w:t>
      </w:r>
      <w:proofErr w:type="spellEnd"/>
      <w:r w:rsidRPr="00375BF3">
        <w:t>, 365-380.</w:t>
      </w:r>
    </w:p>
    <w:p w14:paraId="069F2857" w14:textId="77777777" w:rsidR="0046682E" w:rsidRPr="00375BF3" w:rsidRDefault="0046682E" w:rsidP="00703334">
      <w:pPr>
        <w:pStyle w:val="EndNoteBibliography"/>
      </w:pPr>
      <w:proofErr w:type="spellStart"/>
      <w:r w:rsidRPr="00375BF3">
        <w:t>Drèze</w:t>
      </w:r>
      <w:proofErr w:type="spellEnd"/>
      <w:r w:rsidRPr="00375BF3">
        <w:t xml:space="preserve">, J., &amp; Sen, A. (2002). Democratic practice and social inequality in India. </w:t>
      </w:r>
      <w:r w:rsidRPr="00375BF3">
        <w:rPr>
          <w:i/>
          <w:iCs/>
        </w:rPr>
        <w:t>Journal of Asian and African studies</w:t>
      </w:r>
      <w:r w:rsidRPr="00375BF3">
        <w:t xml:space="preserve">, </w:t>
      </w:r>
      <w:r w:rsidRPr="00375BF3">
        <w:rPr>
          <w:i/>
          <w:iCs/>
        </w:rPr>
        <w:t>37</w:t>
      </w:r>
      <w:r w:rsidRPr="00375BF3">
        <w:t xml:space="preserve">(2), 6-37. </w:t>
      </w:r>
      <w:hyperlink r:id="rId16" w:history="1">
        <w:r w:rsidRPr="00375BF3">
          <w:rPr>
            <w:rStyle w:val="Hipervnculo"/>
          </w:rPr>
          <w:t>https://doi.org/</w:t>
        </w:r>
      </w:hyperlink>
      <w:r w:rsidRPr="00375BF3">
        <w:t>10.1177/002190960203700202</w:t>
      </w:r>
    </w:p>
    <w:p w14:paraId="22DB52DF" w14:textId="77777777" w:rsidR="0046682E" w:rsidRPr="00375BF3" w:rsidRDefault="0046682E" w:rsidP="00703334">
      <w:pPr>
        <w:pStyle w:val="EndNoteBibliography"/>
        <w:rPr>
          <w:i/>
        </w:rPr>
      </w:pPr>
      <w:r w:rsidRPr="00375BF3">
        <w:rPr>
          <w:shd w:val="clear" w:color="auto" w:fill="FFFFFF"/>
        </w:rPr>
        <w:t xml:space="preserve">Duckworth, A. L., &amp; Gross, J. J. (2014). </w:t>
      </w:r>
      <w:r w:rsidRPr="00375BF3">
        <w:t>Self-Control and Grit: Related but Separable Determinants of Success.</w:t>
      </w:r>
      <w:r w:rsidRPr="00375BF3">
        <w:rPr>
          <w:i/>
        </w:rPr>
        <w:t xml:space="preserve"> Current Directions in Psychological Science, 23</w:t>
      </w:r>
      <w:r w:rsidRPr="00375BF3">
        <w:t>(5), 319–325</w:t>
      </w:r>
      <w:r w:rsidRPr="00375BF3">
        <w:rPr>
          <w:shd w:val="clear" w:color="auto" w:fill="FFFFFF"/>
        </w:rPr>
        <w:t xml:space="preserve">. </w:t>
      </w:r>
      <w:hyperlink r:id="rId17" w:history="1">
        <w:r w:rsidRPr="00375BF3">
          <w:rPr>
            <w:rStyle w:val="Hipervnculo"/>
          </w:rPr>
          <w:t>https://doi.org/</w:t>
        </w:r>
      </w:hyperlink>
      <w:r w:rsidRPr="00375BF3">
        <w:rPr>
          <w:shd w:val="clear" w:color="auto" w:fill="FFFFFF"/>
        </w:rPr>
        <w:t>10.1177/0963721414541462</w:t>
      </w:r>
    </w:p>
    <w:p w14:paraId="5306F081" w14:textId="77777777" w:rsidR="0046682E" w:rsidRPr="00375BF3" w:rsidRDefault="0046682E" w:rsidP="00703334">
      <w:pPr>
        <w:pStyle w:val="EndNoteBibliography"/>
      </w:pPr>
      <w:r w:rsidRPr="00375BF3">
        <w:t xml:space="preserve">Duckworth, A. L., Peterson, C. M., Michael D., &amp; Kelly, D. R. (2007). Grit: Perseverance and passion for long-term goals. </w:t>
      </w:r>
      <w:r w:rsidRPr="00375BF3">
        <w:rPr>
          <w:i/>
        </w:rPr>
        <w:t>Journal of Personality and Social Psychology</w:t>
      </w:r>
      <w:r w:rsidRPr="00375BF3">
        <w:t xml:space="preserve">, 92(6), 1087-1101. </w:t>
      </w:r>
      <w:hyperlink r:id="rId18" w:history="1">
        <w:r w:rsidRPr="00375BF3">
          <w:rPr>
            <w:rStyle w:val="Hipervnculo"/>
          </w:rPr>
          <w:t>https://doi.org/</w:t>
        </w:r>
      </w:hyperlink>
      <w:r w:rsidRPr="00375BF3">
        <w:t>10.1037/0022-3514.92.6.1087</w:t>
      </w:r>
    </w:p>
    <w:p w14:paraId="4C45673E" w14:textId="77777777" w:rsidR="0046682E" w:rsidRPr="00375BF3" w:rsidRDefault="0046682E" w:rsidP="00703334">
      <w:pPr>
        <w:pStyle w:val="EndNoteBibliography"/>
      </w:pPr>
      <w:r w:rsidRPr="00375BF3">
        <w:t xml:space="preserve">Duckworth, A. L. </w:t>
      </w:r>
      <w:r w:rsidRPr="00375BF3">
        <w:rPr>
          <w:shd w:val="clear" w:color="auto" w:fill="FFFFFF"/>
        </w:rPr>
        <w:t>&amp;</w:t>
      </w:r>
      <w:r w:rsidRPr="00375BF3">
        <w:t xml:space="preserve"> Quinn, P. D. (2009). Development and Validation of the Short Grit Scale (Grit–S). </w:t>
      </w:r>
      <w:r w:rsidRPr="00375BF3">
        <w:rPr>
          <w:i/>
        </w:rPr>
        <w:t>Journal of Personality Assessment</w:t>
      </w:r>
      <w:r w:rsidRPr="00375BF3">
        <w:t xml:space="preserve">, </w:t>
      </w:r>
      <w:r w:rsidRPr="00375BF3">
        <w:rPr>
          <w:i/>
        </w:rPr>
        <w:t>91</w:t>
      </w:r>
      <w:r w:rsidRPr="00375BF3">
        <w:t xml:space="preserve">(2), 166-174, </w:t>
      </w:r>
      <w:hyperlink r:id="rId19" w:history="1">
        <w:r w:rsidRPr="00375BF3">
          <w:rPr>
            <w:rStyle w:val="Hipervnculo"/>
          </w:rPr>
          <w:t>https://doi.org/</w:t>
        </w:r>
      </w:hyperlink>
      <w:r w:rsidRPr="00375BF3">
        <w:t>10.1080/00223890802634290</w:t>
      </w:r>
    </w:p>
    <w:p w14:paraId="1D96A252" w14:textId="77777777" w:rsidR="0046682E" w:rsidRPr="00375BF3" w:rsidRDefault="0046682E" w:rsidP="00703334">
      <w:pPr>
        <w:pStyle w:val="EndNoteBibliography"/>
      </w:pPr>
      <w:proofErr w:type="spellStart"/>
      <w:r w:rsidRPr="00375BF3">
        <w:lastRenderedPageBreak/>
        <w:t>Ebersöhn</w:t>
      </w:r>
      <w:proofErr w:type="spellEnd"/>
      <w:r w:rsidRPr="00375BF3">
        <w:t xml:space="preserve">, L. (2014). </w:t>
      </w:r>
      <w:r w:rsidRPr="00375BF3">
        <w:rPr>
          <w:iCs/>
        </w:rPr>
        <w:t>Teacher resilience: theorizing resilience and poverty.</w:t>
      </w:r>
      <w:r w:rsidRPr="00375BF3">
        <w:rPr>
          <w:i/>
          <w:iCs/>
        </w:rPr>
        <w:t xml:space="preserve"> Teachers and Teaching, 20</w:t>
      </w:r>
      <w:r w:rsidRPr="00375BF3">
        <w:rPr>
          <w:iCs/>
        </w:rPr>
        <w:t xml:space="preserve">(5), 568–594. </w:t>
      </w:r>
      <w:hyperlink r:id="rId20" w:history="1">
        <w:r w:rsidRPr="00375BF3">
          <w:rPr>
            <w:rStyle w:val="Hipervnculo"/>
          </w:rPr>
          <w:t>https://doi.org/</w:t>
        </w:r>
      </w:hyperlink>
      <w:r w:rsidRPr="00375BF3">
        <w:t>10.1080/13540602.2014.937960</w:t>
      </w:r>
    </w:p>
    <w:p w14:paraId="36DDF3BD" w14:textId="77777777" w:rsidR="0046682E" w:rsidRPr="00375BF3" w:rsidRDefault="0046682E" w:rsidP="00703334">
      <w:pPr>
        <w:pStyle w:val="EndNoteBibliography"/>
      </w:pPr>
      <w:proofErr w:type="spellStart"/>
      <w:r w:rsidRPr="00375BF3">
        <w:rPr>
          <w:shd w:val="clear" w:color="auto" w:fill="FFFFFF"/>
        </w:rPr>
        <w:t>Emirbayer</w:t>
      </w:r>
      <w:proofErr w:type="spellEnd"/>
      <w:r w:rsidRPr="00375BF3">
        <w:rPr>
          <w:shd w:val="clear" w:color="auto" w:fill="FFFFFF"/>
        </w:rPr>
        <w:t xml:space="preserve">, M., &amp; </w:t>
      </w:r>
      <w:proofErr w:type="spellStart"/>
      <w:r w:rsidRPr="00375BF3">
        <w:rPr>
          <w:shd w:val="clear" w:color="auto" w:fill="FFFFFF"/>
        </w:rPr>
        <w:t>Mische</w:t>
      </w:r>
      <w:proofErr w:type="spellEnd"/>
      <w:r w:rsidRPr="00375BF3">
        <w:rPr>
          <w:shd w:val="clear" w:color="auto" w:fill="FFFFFF"/>
        </w:rPr>
        <w:t xml:space="preserve">, A. (1998). What is agency? </w:t>
      </w:r>
      <w:r w:rsidRPr="00375BF3">
        <w:rPr>
          <w:i/>
          <w:iCs/>
        </w:rPr>
        <w:t>American Journal of Sociology</w:t>
      </w:r>
      <w:r w:rsidRPr="00375BF3">
        <w:rPr>
          <w:shd w:val="clear" w:color="auto" w:fill="FFFFFF"/>
        </w:rPr>
        <w:t xml:space="preserve">, </w:t>
      </w:r>
      <w:r w:rsidRPr="00375BF3">
        <w:rPr>
          <w:i/>
          <w:iCs/>
        </w:rPr>
        <w:t>103</w:t>
      </w:r>
      <w:r w:rsidRPr="00375BF3">
        <w:rPr>
          <w:shd w:val="clear" w:color="auto" w:fill="FFFFFF"/>
        </w:rPr>
        <w:t>(4), 962-1023</w:t>
      </w:r>
      <w:r w:rsidRPr="00375BF3">
        <w:t xml:space="preserve">. </w:t>
      </w:r>
      <w:hyperlink r:id="rId21" w:history="1">
        <w:r w:rsidRPr="00375BF3">
          <w:rPr>
            <w:rStyle w:val="Hipervnculo"/>
          </w:rPr>
          <w:t>https://doi.org/</w:t>
        </w:r>
      </w:hyperlink>
      <w:r w:rsidRPr="00375BF3">
        <w:t>10.1086/231294</w:t>
      </w:r>
    </w:p>
    <w:p w14:paraId="7BDC6C3A" w14:textId="77777777" w:rsidR="0046682E" w:rsidRPr="00400007" w:rsidRDefault="0046682E" w:rsidP="00703334">
      <w:pPr>
        <w:pStyle w:val="EndNoteBibliography"/>
        <w:rPr>
          <w:lang w:val="es-MX"/>
        </w:rPr>
      </w:pPr>
      <w:r w:rsidRPr="00375BF3">
        <w:t xml:space="preserve">Fukuda-Parr, </w:t>
      </w:r>
      <w:proofErr w:type="spellStart"/>
      <w:r w:rsidRPr="00375BF3">
        <w:t>Sakiko</w:t>
      </w:r>
      <w:proofErr w:type="spellEnd"/>
      <w:r w:rsidRPr="00375BF3">
        <w:t xml:space="preserve"> (2003), The human development paradigm: Operationalizing Sen's ideas on capabilities. </w:t>
      </w:r>
      <w:r w:rsidRPr="00400007">
        <w:rPr>
          <w:i/>
          <w:lang w:val="es-MX"/>
        </w:rPr>
        <w:t>Feminist Economics, 9</w:t>
      </w:r>
      <w:r w:rsidRPr="00400007">
        <w:rPr>
          <w:lang w:val="es-MX"/>
        </w:rPr>
        <w:t xml:space="preserve"> (2-3), 301-317, </w:t>
      </w:r>
      <w:r w:rsidR="00FF7FCB">
        <w:fldChar w:fldCharType="begin"/>
      </w:r>
      <w:r w:rsidR="00FF7FCB" w:rsidRPr="00400007">
        <w:rPr>
          <w:lang w:val="es-MX"/>
        </w:rPr>
        <w:instrText xml:space="preserve"> HYPERLINK "https://doi.org/10.1109/5.771073" </w:instrText>
      </w:r>
      <w:r w:rsidR="00FF7FCB">
        <w:fldChar w:fldCharType="separate"/>
      </w:r>
      <w:r w:rsidRPr="00375BF3">
        <w:rPr>
          <w:rStyle w:val="Hipervnculo"/>
          <w:lang w:val="es-MX"/>
        </w:rPr>
        <w:t>https://doi.org/</w:t>
      </w:r>
      <w:r w:rsidR="00FF7FCB">
        <w:rPr>
          <w:rStyle w:val="Hipervnculo"/>
          <w:lang w:val="es-MX"/>
        </w:rPr>
        <w:fldChar w:fldCharType="end"/>
      </w:r>
      <w:r w:rsidRPr="00400007">
        <w:rPr>
          <w:lang w:val="es-MX"/>
        </w:rPr>
        <w:t>10.1080/1354570022000077980</w:t>
      </w:r>
    </w:p>
    <w:p w14:paraId="5230F3B7" w14:textId="77777777" w:rsidR="0046682E" w:rsidRPr="00375BF3" w:rsidRDefault="0046682E" w:rsidP="00703334">
      <w:pPr>
        <w:pStyle w:val="EndNoteBibliography"/>
      </w:pPr>
      <w:r w:rsidRPr="00400007">
        <w:rPr>
          <w:lang w:val="es-MX"/>
        </w:rPr>
        <w:t xml:space="preserve">Good, T., &amp; Brophy, J. (1997). </w:t>
      </w:r>
      <w:r w:rsidRPr="00400007">
        <w:rPr>
          <w:i/>
          <w:lang w:val="es-MX"/>
        </w:rPr>
        <w:t>Psicología Educativa Contemporánea</w:t>
      </w:r>
      <w:r w:rsidRPr="00400007">
        <w:rPr>
          <w:lang w:val="es-MX"/>
        </w:rPr>
        <w:t xml:space="preserve">. </w:t>
      </w:r>
      <w:r w:rsidRPr="00375BF3">
        <w:t xml:space="preserve">Quinta </w:t>
      </w:r>
      <w:proofErr w:type="spellStart"/>
      <w:r w:rsidRPr="00375BF3">
        <w:t>Edición</w:t>
      </w:r>
      <w:proofErr w:type="spellEnd"/>
      <w:r w:rsidRPr="00375BF3">
        <w:t>. McGraw-Hill.</w:t>
      </w:r>
    </w:p>
    <w:p w14:paraId="3B029D0E" w14:textId="77777777" w:rsidR="0046682E" w:rsidRPr="00375BF3" w:rsidRDefault="0046682E" w:rsidP="00703334">
      <w:pPr>
        <w:pStyle w:val="EndNoteBibliography"/>
      </w:pPr>
      <w:r w:rsidRPr="00375BF3">
        <w:t xml:space="preserve">Gottfredson, L. S. (1997). Mainstream science on intelligence: An editorial with 52 signatories, history, and bibliography. </w:t>
      </w:r>
      <w:r w:rsidRPr="00375BF3">
        <w:rPr>
          <w:i/>
        </w:rPr>
        <w:t>Intelligence</w:t>
      </w:r>
      <w:r w:rsidRPr="00375BF3">
        <w:t xml:space="preserve">, </w:t>
      </w:r>
      <w:r w:rsidRPr="00375BF3">
        <w:rPr>
          <w:i/>
        </w:rPr>
        <w:t>24</w:t>
      </w:r>
      <w:r w:rsidRPr="00375BF3">
        <w:t xml:space="preserve">(1), 13–23. </w:t>
      </w:r>
      <w:hyperlink r:id="rId22" w:history="1">
        <w:r w:rsidRPr="00375BF3">
          <w:rPr>
            <w:rStyle w:val="Hipervnculo"/>
          </w:rPr>
          <w:t>https://doi.org/</w:t>
        </w:r>
      </w:hyperlink>
      <w:r w:rsidRPr="00375BF3">
        <w:t>10.1016/s0160-2896(97)90011-8.</w:t>
      </w:r>
    </w:p>
    <w:p w14:paraId="6E4FF94D" w14:textId="77777777" w:rsidR="0046682E" w:rsidRPr="00375BF3" w:rsidRDefault="0046682E" w:rsidP="00703334">
      <w:pPr>
        <w:pStyle w:val="EndNoteBibliography"/>
      </w:pPr>
      <w:r w:rsidRPr="00375BF3">
        <w:t xml:space="preserve">Haushofer, J., &amp; Fehr, E. (2014). On the psychology of poverty. </w:t>
      </w:r>
      <w:r w:rsidRPr="00375BF3">
        <w:rPr>
          <w:i/>
          <w:iCs/>
        </w:rPr>
        <w:t>Science</w:t>
      </w:r>
      <w:r w:rsidRPr="00375BF3">
        <w:t xml:space="preserve">, </w:t>
      </w:r>
      <w:r w:rsidRPr="00375BF3">
        <w:rPr>
          <w:i/>
          <w:iCs/>
        </w:rPr>
        <w:t>344</w:t>
      </w:r>
      <w:r w:rsidRPr="00375BF3">
        <w:t xml:space="preserve">(6186), 862-867. </w:t>
      </w:r>
      <w:hyperlink r:id="rId23" w:history="1">
        <w:r w:rsidRPr="00375BF3">
          <w:rPr>
            <w:rStyle w:val="Hipervnculo"/>
          </w:rPr>
          <w:t>https://doi.org/</w:t>
        </w:r>
      </w:hyperlink>
      <w:r w:rsidRPr="00375BF3">
        <w:t>10.1126/science.1232491</w:t>
      </w:r>
    </w:p>
    <w:p w14:paraId="0D1BE94D" w14:textId="77777777" w:rsidR="0046682E" w:rsidRPr="00400007" w:rsidRDefault="0046682E" w:rsidP="00703334">
      <w:pPr>
        <w:pStyle w:val="EndNoteBibliography"/>
        <w:rPr>
          <w:rFonts w:eastAsiaTheme="minorHAnsi"/>
          <w:lang w:val="es-MX"/>
        </w:rPr>
      </w:pPr>
      <w:r w:rsidRPr="00400007">
        <w:rPr>
          <w:rFonts w:eastAsiaTheme="minorHAnsi"/>
          <w:lang w:val="es-MX"/>
        </w:rPr>
        <w:t>Heckman J.J., (2010). La economía y psicología del desarrollo humano en contextos de inequidad. No. 35, Universidad de Chicago. Consultado el 7 de abril de 2019. http://www.superacionpobreza.cl/wp-content/uploads/2014/01/economia_psicologia.pdf.</w:t>
      </w:r>
    </w:p>
    <w:p w14:paraId="02D1D8DD" w14:textId="77777777" w:rsidR="0046682E" w:rsidRPr="00375BF3" w:rsidRDefault="0046682E" w:rsidP="00703334">
      <w:pPr>
        <w:pStyle w:val="EndNoteBibliography"/>
      </w:pPr>
      <w:r w:rsidRPr="00375BF3">
        <w:t xml:space="preserve">Heckman, J. J., &amp; Kautz, T. (2012). Hard evidence on soft skills. </w:t>
      </w:r>
      <w:proofErr w:type="spellStart"/>
      <w:r w:rsidRPr="00375BF3">
        <w:rPr>
          <w:i/>
          <w:iCs/>
        </w:rPr>
        <w:t>Labour</w:t>
      </w:r>
      <w:proofErr w:type="spellEnd"/>
      <w:r w:rsidRPr="00375BF3">
        <w:rPr>
          <w:i/>
          <w:iCs/>
        </w:rPr>
        <w:t xml:space="preserve"> economics</w:t>
      </w:r>
      <w:r w:rsidRPr="00375BF3">
        <w:t xml:space="preserve">, </w:t>
      </w:r>
      <w:r w:rsidRPr="00375BF3">
        <w:rPr>
          <w:i/>
          <w:iCs/>
        </w:rPr>
        <w:t>19</w:t>
      </w:r>
      <w:r w:rsidRPr="00375BF3">
        <w:t xml:space="preserve">(4), 451-464., </w:t>
      </w:r>
      <w:hyperlink r:id="rId24" w:history="1">
        <w:r w:rsidRPr="00375BF3">
          <w:rPr>
            <w:rStyle w:val="Hipervnculo"/>
          </w:rPr>
          <w:t>https://doi.org/</w:t>
        </w:r>
      </w:hyperlink>
      <w:r w:rsidRPr="00375BF3">
        <w:t>10.3386/w18121</w:t>
      </w:r>
    </w:p>
    <w:p w14:paraId="47793801" w14:textId="77777777" w:rsidR="0046682E" w:rsidRPr="00C77F68" w:rsidRDefault="0046682E" w:rsidP="00703334">
      <w:pPr>
        <w:pStyle w:val="EndNoteBibliography"/>
        <w:rPr>
          <w:rFonts w:eastAsiaTheme="minorHAnsi"/>
        </w:rPr>
      </w:pPr>
      <w:r w:rsidRPr="00375BF3">
        <w:t xml:space="preserve">Heckman, J. J., </w:t>
      </w:r>
      <w:proofErr w:type="spellStart"/>
      <w:r w:rsidRPr="00375BF3">
        <w:t>Stixrud</w:t>
      </w:r>
      <w:proofErr w:type="spellEnd"/>
      <w:r w:rsidRPr="00375BF3">
        <w:t xml:space="preserve">, J., &amp; </w:t>
      </w:r>
      <w:proofErr w:type="spellStart"/>
      <w:r w:rsidRPr="00375BF3">
        <w:t>Urzua</w:t>
      </w:r>
      <w:proofErr w:type="spellEnd"/>
      <w:r w:rsidRPr="00375BF3">
        <w:t xml:space="preserve">, S. (2006). The effects of cognitive and noncognitive abilities on labor market outcomes and social behavior. </w:t>
      </w:r>
      <w:r w:rsidRPr="00375BF3">
        <w:rPr>
          <w:i/>
          <w:iCs/>
        </w:rPr>
        <w:t>Journal of Labor economics</w:t>
      </w:r>
      <w:r w:rsidRPr="00375BF3">
        <w:t xml:space="preserve">, </w:t>
      </w:r>
      <w:r w:rsidRPr="00375BF3">
        <w:rPr>
          <w:i/>
          <w:iCs/>
        </w:rPr>
        <w:t>24</w:t>
      </w:r>
      <w:r w:rsidRPr="00375BF3">
        <w:t xml:space="preserve">(3), 411-482. </w:t>
      </w:r>
      <w:hyperlink r:id="rId25" w:history="1">
        <w:r w:rsidRPr="00375BF3">
          <w:rPr>
            <w:rStyle w:val="Hipervnculo"/>
          </w:rPr>
          <w:t>https://doi.org/</w:t>
        </w:r>
      </w:hyperlink>
      <w:r w:rsidRPr="00375BF3">
        <w:t>10.1086/504455</w:t>
      </w:r>
    </w:p>
    <w:p w14:paraId="10664E2B" w14:textId="6B97F39C" w:rsidR="003D7D7F" w:rsidRPr="00400007" w:rsidRDefault="003D7D7F" w:rsidP="00703334">
      <w:pPr>
        <w:pStyle w:val="EndNoteBibliography"/>
        <w:rPr>
          <w:shd w:val="clear" w:color="auto" w:fill="FFFFFF"/>
          <w:lang w:val="es-MX"/>
        </w:rPr>
      </w:pPr>
      <w:r w:rsidRPr="00734976">
        <w:rPr>
          <w:shd w:val="clear" w:color="auto" w:fill="FFFFFF"/>
        </w:rPr>
        <w:t>INMUJERES (</w:t>
      </w:r>
      <w:r w:rsidR="00734976" w:rsidRPr="00734976">
        <w:rPr>
          <w:shd w:val="clear" w:color="auto" w:fill="FFFFFF"/>
        </w:rPr>
        <w:t xml:space="preserve">9 de noviembre de </w:t>
      </w:r>
      <w:r w:rsidRPr="00734976">
        <w:rPr>
          <w:shd w:val="clear" w:color="auto" w:fill="FFFFFF"/>
        </w:rPr>
        <w:t xml:space="preserve">2020). </w:t>
      </w:r>
      <w:r w:rsidR="00734976" w:rsidRPr="00400007">
        <w:rPr>
          <w:shd w:val="clear" w:color="auto" w:fill="FFFFFF"/>
          <w:lang w:val="es-MX"/>
        </w:rPr>
        <w:t xml:space="preserve">Cuatro causas que propician la brecha salarial de género. </w:t>
      </w:r>
      <w:r w:rsidR="00734976" w:rsidRPr="00400007">
        <w:rPr>
          <w:i/>
          <w:shd w:val="clear" w:color="auto" w:fill="FFFFFF"/>
          <w:lang w:val="es-MX"/>
        </w:rPr>
        <w:t>Instituto Nacional de las Mujeres</w:t>
      </w:r>
      <w:r w:rsidR="00734976" w:rsidRPr="00400007">
        <w:rPr>
          <w:shd w:val="clear" w:color="auto" w:fill="FFFFFF"/>
          <w:lang w:val="es-MX"/>
        </w:rPr>
        <w:t>.</w:t>
      </w:r>
      <w:r w:rsidRPr="00400007">
        <w:rPr>
          <w:shd w:val="clear" w:color="auto" w:fill="FFFFFF"/>
          <w:lang w:val="es-MX"/>
        </w:rPr>
        <w:t xml:space="preserve"> https://www.gob.mx/inmujeres/es/articulos/cuatro-causas-que-propician-la-brecha-salarial-de-genero?idiom=es.</w:t>
      </w:r>
    </w:p>
    <w:p w14:paraId="3FD17CE5" w14:textId="77777777" w:rsidR="0046682E" w:rsidRPr="00375BF3" w:rsidRDefault="0046682E" w:rsidP="00703334">
      <w:pPr>
        <w:pStyle w:val="EndNoteBibliography"/>
      </w:pPr>
      <w:r w:rsidRPr="00375BF3">
        <w:rPr>
          <w:shd w:val="clear" w:color="auto" w:fill="FFFFFF"/>
        </w:rPr>
        <w:t>Kabeer, N. (2002) Resources, Agency, Achievement: Reflections on the Measurement on the Women`s Empowerment</w:t>
      </w:r>
      <w:r w:rsidRPr="00375BF3">
        <w:rPr>
          <w:i/>
          <w:shd w:val="clear" w:color="auto" w:fill="FFFFFF"/>
        </w:rPr>
        <w:t xml:space="preserve">. Development as Change, 30 </w:t>
      </w:r>
      <w:r w:rsidRPr="00375BF3">
        <w:rPr>
          <w:shd w:val="clear" w:color="auto" w:fill="FFFFFF"/>
        </w:rPr>
        <w:t>(3),</w:t>
      </w:r>
      <w:r w:rsidRPr="00375BF3">
        <w:rPr>
          <w:i/>
          <w:shd w:val="clear" w:color="auto" w:fill="FFFFFF"/>
        </w:rPr>
        <w:t xml:space="preserve"> </w:t>
      </w:r>
      <w:r w:rsidRPr="00375BF3">
        <w:rPr>
          <w:shd w:val="clear" w:color="auto" w:fill="FFFFFF"/>
        </w:rPr>
        <w:t xml:space="preserve">435-464. </w:t>
      </w:r>
      <w:hyperlink r:id="rId26" w:history="1">
        <w:r w:rsidRPr="00375BF3">
          <w:rPr>
            <w:rStyle w:val="Hipervnculo"/>
          </w:rPr>
          <w:t>https://doi.org/</w:t>
        </w:r>
      </w:hyperlink>
      <w:r w:rsidRPr="00375BF3">
        <w:rPr>
          <w:shd w:val="clear" w:color="auto" w:fill="FFFFFF"/>
        </w:rPr>
        <w:t>10.1111/1467-7660.00125</w:t>
      </w:r>
    </w:p>
    <w:p w14:paraId="62B13CA6" w14:textId="77777777" w:rsidR="0046682E" w:rsidRPr="00375BF3" w:rsidRDefault="0046682E" w:rsidP="00703334">
      <w:pPr>
        <w:pStyle w:val="EndNoteBibliography"/>
      </w:pPr>
      <w:r w:rsidRPr="00375BF3">
        <w:t xml:space="preserve">Kabeer, N. (2005). Gender Equality and Women's Empowerment: A Critical Analysis of the Third Millennium Development Goal. </w:t>
      </w:r>
      <w:r w:rsidRPr="00375BF3">
        <w:rPr>
          <w:i/>
          <w:iCs/>
        </w:rPr>
        <w:t>Gender &amp; Development</w:t>
      </w:r>
      <w:r w:rsidRPr="00375BF3">
        <w:t xml:space="preserve">, </w:t>
      </w:r>
      <w:r w:rsidRPr="00375BF3">
        <w:rPr>
          <w:i/>
        </w:rPr>
        <w:t>13</w:t>
      </w:r>
      <w:r w:rsidRPr="00375BF3">
        <w:t xml:space="preserve">(1), 13-24 </w:t>
      </w:r>
      <w:hyperlink r:id="rId27" w:history="1">
        <w:r w:rsidRPr="00375BF3">
          <w:rPr>
            <w:rStyle w:val="Hipervnculo"/>
          </w:rPr>
          <w:t>https://doi.org/</w:t>
        </w:r>
      </w:hyperlink>
      <w:r w:rsidRPr="00375BF3">
        <w:t>10.1080/13552070512331332273</w:t>
      </w:r>
    </w:p>
    <w:p w14:paraId="447095E1" w14:textId="77777777" w:rsidR="0046682E" w:rsidRPr="00375BF3" w:rsidRDefault="0046682E" w:rsidP="00703334">
      <w:pPr>
        <w:pStyle w:val="EndNoteBibliography"/>
      </w:pPr>
      <w:proofErr w:type="spellStart"/>
      <w:r w:rsidRPr="00375BF3">
        <w:t>Kagitcibasi</w:t>
      </w:r>
      <w:proofErr w:type="spellEnd"/>
      <w:r w:rsidRPr="00375BF3">
        <w:t xml:space="preserve">, C. (2005). Autonomy and relatedness in cultural context: Implications for self and family. </w:t>
      </w:r>
      <w:r w:rsidRPr="00375BF3">
        <w:rPr>
          <w:i/>
          <w:iCs/>
        </w:rPr>
        <w:t>Journal of cross-cultural psychology</w:t>
      </w:r>
      <w:r w:rsidRPr="00375BF3">
        <w:t xml:space="preserve">, </w:t>
      </w:r>
      <w:r w:rsidRPr="00375BF3">
        <w:rPr>
          <w:i/>
          <w:iCs/>
        </w:rPr>
        <w:t>36</w:t>
      </w:r>
      <w:r w:rsidRPr="00375BF3">
        <w:t xml:space="preserve">(4), 403-422. </w:t>
      </w:r>
      <w:hyperlink r:id="rId28" w:history="1">
        <w:r w:rsidRPr="00375BF3">
          <w:rPr>
            <w:rStyle w:val="Hipervnculo"/>
          </w:rPr>
          <w:t>https://doi.org/</w:t>
        </w:r>
      </w:hyperlink>
      <w:r w:rsidRPr="00375BF3">
        <w:t>10.1177/0022022105275959</w:t>
      </w:r>
    </w:p>
    <w:p w14:paraId="2E32AFF5" w14:textId="77777777" w:rsidR="0046682E" w:rsidRPr="00375BF3" w:rsidRDefault="0046682E" w:rsidP="00703334">
      <w:pPr>
        <w:pStyle w:val="EndNoteBibliography"/>
      </w:pPr>
      <w:r w:rsidRPr="00375BF3">
        <w:t xml:space="preserve">Kline, R. B. (2011). </w:t>
      </w:r>
      <w:r w:rsidRPr="00375BF3">
        <w:rPr>
          <w:i/>
          <w:iCs/>
        </w:rPr>
        <w:t>Principles and practice of structural equation modeling</w:t>
      </w:r>
      <w:r w:rsidRPr="00375BF3">
        <w:t xml:space="preserve">. </w:t>
      </w:r>
      <w:proofErr w:type="spellStart"/>
      <w:r w:rsidRPr="00375BF3">
        <w:t>Tercera</w:t>
      </w:r>
      <w:proofErr w:type="spellEnd"/>
      <w:r w:rsidRPr="00375BF3">
        <w:t xml:space="preserve"> </w:t>
      </w:r>
      <w:proofErr w:type="spellStart"/>
      <w:r w:rsidRPr="00375BF3">
        <w:t>Edición</w:t>
      </w:r>
      <w:proofErr w:type="spellEnd"/>
      <w:r w:rsidRPr="00375BF3">
        <w:t>. Guilford publications.</w:t>
      </w:r>
    </w:p>
    <w:p w14:paraId="69950DF6" w14:textId="77777777" w:rsidR="0046682E" w:rsidRPr="00375BF3" w:rsidRDefault="0046682E" w:rsidP="00703334">
      <w:pPr>
        <w:pStyle w:val="EndNoteBibliography"/>
      </w:pPr>
      <w:proofErr w:type="spellStart"/>
      <w:r w:rsidRPr="00375BF3">
        <w:t>Krishnakumar</w:t>
      </w:r>
      <w:proofErr w:type="spellEnd"/>
      <w:r w:rsidRPr="00375BF3">
        <w:t>, J., &amp; Chávez-Juárez, F. (2015). Estimating capabilities with structural equation models: How well are we doing in a ‘</w:t>
      </w:r>
      <w:proofErr w:type="spellStart"/>
      <w:r w:rsidRPr="00375BF3">
        <w:t>real’world</w:t>
      </w:r>
      <w:proofErr w:type="spellEnd"/>
      <w:r w:rsidRPr="00375BF3">
        <w:t xml:space="preserve">? </w:t>
      </w:r>
      <w:r w:rsidRPr="00375BF3">
        <w:rPr>
          <w:i/>
          <w:iCs/>
        </w:rPr>
        <w:t>Social Indicators Research</w:t>
      </w:r>
      <w:r w:rsidRPr="00375BF3">
        <w:t xml:space="preserve">, </w:t>
      </w:r>
      <w:r w:rsidRPr="00375BF3">
        <w:rPr>
          <w:i/>
          <w:iCs/>
        </w:rPr>
        <w:t>129</w:t>
      </w:r>
      <w:r w:rsidRPr="00375BF3">
        <w:t xml:space="preserve">(2), 717-737. </w:t>
      </w:r>
      <w:hyperlink r:id="rId29" w:history="1">
        <w:r w:rsidRPr="00375BF3">
          <w:rPr>
            <w:rStyle w:val="Hipervnculo"/>
          </w:rPr>
          <w:t>https://doi.org/</w:t>
        </w:r>
      </w:hyperlink>
      <w:r w:rsidRPr="00375BF3">
        <w:t>10.1007/s11205-015-1148-6</w:t>
      </w:r>
    </w:p>
    <w:p w14:paraId="16458CE8" w14:textId="77777777" w:rsidR="0046682E" w:rsidRPr="00375BF3" w:rsidRDefault="0046682E" w:rsidP="00703334">
      <w:pPr>
        <w:pStyle w:val="EndNoteBibliography"/>
      </w:pPr>
      <w:proofErr w:type="spellStart"/>
      <w:r w:rsidRPr="00375BF3">
        <w:rPr>
          <w:shd w:val="clear" w:color="auto" w:fill="FFFFFF"/>
        </w:rPr>
        <w:t>Lelli</w:t>
      </w:r>
      <w:proofErr w:type="spellEnd"/>
      <w:r w:rsidRPr="00375BF3">
        <w:rPr>
          <w:shd w:val="clear" w:color="auto" w:fill="FFFFFF"/>
        </w:rPr>
        <w:t xml:space="preserve">, S. (2008). </w:t>
      </w:r>
      <w:proofErr w:type="spellStart"/>
      <w:r w:rsidRPr="00375BF3">
        <w:rPr>
          <w:shd w:val="clear" w:color="auto" w:fill="FFFFFF"/>
        </w:rPr>
        <w:t>Operationalising</w:t>
      </w:r>
      <w:proofErr w:type="spellEnd"/>
      <w:r w:rsidRPr="00375BF3">
        <w:rPr>
          <w:shd w:val="clear" w:color="auto" w:fill="FFFFFF"/>
        </w:rPr>
        <w:t xml:space="preserve"> Sen's capability approach: The influence of the selected technique. </w:t>
      </w:r>
      <w:r w:rsidRPr="00375BF3">
        <w:rPr>
          <w:i/>
          <w:shd w:val="clear" w:color="auto" w:fill="FFFFFF"/>
        </w:rPr>
        <w:t>The Capability approach: Concepts, Measures and Application</w:t>
      </w:r>
      <w:r w:rsidRPr="00375BF3">
        <w:rPr>
          <w:shd w:val="clear" w:color="auto" w:fill="FFFFFF"/>
        </w:rPr>
        <w:t xml:space="preserve">, 310-361. </w:t>
      </w:r>
      <w:hyperlink r:id="rId30" w:history="1">
        <w:r w:rsidRPr="00375BF3">
          <w:rPr>
            <w:rStyle w:val="Hipervnculo"/>
          </w:rPr>
          <w:t>https://doi.org/</w:t>
        </w:r>
      </w:hyperlink>
      <w:r w:rsidRPr="00375BF3">
        <w:rPr>
          <w:shd w:val="clear" w:color="auto" w:fill="FFFFFF"/>
        </w:rPr>
        <w:t>10.1017/CBO9780511492587.011</w:t>
      </w:r>
    </w:p>
    <w:p w14:paraId="053B6166" w14:textId="77777777" w:rsidR="0046682E" w:rsidRPr="00375BF3" w:rsidRDefault="0046682E" w:rsidP="00703334">
      <w:pPr>
        <w:pStyle w:val="EndNoteBibliography"/>
      </w:pPr>
      <w:proofErr w:type="spellStart"/>
      <w:r w:rsidRPr="00375BF3">
        <w:rPr>
          <w:shd w:val="clear" w:color="auto" w:fill="FFFFFF"/>
        </w:rPr>
        <w:t>Luthar</w:t>
      </w:r>
      <w:proofErr w:type="spellEnd"/>
      <w:r w:rsidRPr="00375BF3">
        <w:rPr>
          <w:shd w:val="clear" w:color="auto" w:fill="FFFFFF"/>
        </w:rPr>
        <w:t xml:space="preserve">, S. S. (2015). Resilience in Development: A Synthesis of Research across Five Decades. </w:t>
      </w:r>
      <w:proofErr w:type="spellStart"/>
      <w:r w:rsidRPr="00375BF3">
        <w:rPr>
          <w:shd w:val="clear" w:color="auto" w:fill="FFFFFF"/>
        </w:rPr>
        <w:t>En</w:t>
      </w:r>
      <w:proofErr w:type="spellEnd"/>
      <w:r w:rsidRPr="00375BF3">
        <w:rPr>
          <w:shd w:val="clear" w:color="auto" w:fill="FFFFFF"/>
        </w:rPr>
        <w:t xml:space="preserve"> </w:t>
      </w:r>
      <w:r w:rsidRPr="00375BF3">
        <w:rPr>
          <w:i/>
          <w:shd w:val="clear" w:color="auto" w:fill="FFFFFF"/>
        </w:rPr>
        <w:t>Developmental Psychopathology</w:t>
      </w:r>
      <w:r w:rsidRPr="00375BF3">
        <w:rPr>
          <w:shd w:val="clear" w:color="auto" w:fill="FFFFFF"/>
        </w:rPr>
        <w:t xml:space="preserve">, 739–795. </w:t>
      </w:r>
      <w:hyperlink r:id="rId31" w:history="1">
        <w:r w:rsidRPr="00375BF3">
          <w:rPr>
            <w:rStyle w:val="Hipervnculo"/>
          </w:rPr>
          <w:t>https://doi.org/</w:t>
        </w:r>
      </w:hyperlink>
      <w:r w:rsidRPr="00375BF3">
        <w:rPr>
          <w:shd w:val="clear" w:color="auto" w:fill="FFFFFF"/>
        </w:rPr>
        <w:t xml:space="preserve">10.1002/9780470939406.ch20 </w:t>
      </w:r>
    </w:p>
    <w:p w14:paraId="5214339C" w14:textId="77777777" w:rsidR="0046682E" w:rsidRPr="00271579" w:rsidRDefault="0046682E" w:rsidP="00703334">
      <w:pPr>
        <w:pStyle w:val="EndNoteBibliography"/>
        <w:rPr>
          <w:shd w:val="clear" w:color="auto" w:fill="FFFFFF"/>
        </w:rPr>
      </w:pPr>
      <w:proofErr w:type="spellStart"/>
      <w:r w:rsidRPr="00375BF3">
        <w:rPr>
          <w:shd w:val="clear" w:color="auto" w:fill="FFFFFF"/>
        </w:rPr>
        <w:t>Luthar</w:t>
      </w:r>
      <w:proofErr w:type="spellEnd"/>
      <w:r w:rsidRPr="00375BF3">
        <w:rPr>
          <w:shd w:val="clear" w:color="auto" w:fill="FFFFFF"/>
        </w:rPr>
        <w:t xml:space="preserve"> S.S. &amp; Cushing G. (1999) Measurement Issues in the Empirical Study of Resilience. </w:t>
      </w:r>
      <w:proofErr w:type="spellStart"/>
      <w:r w:rsidRPr="00375BF3">
        <w:rPr>
          <w:shd w:val="clear" w:color="auto" w:fill="FFFFFF"/>
        </w:rPr>
        <w:t>En</w:t>
      </w:r>
      <w:proofErr w:type="spellEnd"/>
      <w:r w:rsidRPr="00375BF3">
        <w:rPr>
          <w:shd w:val="clear" w:color="auto" w:fill="FFFFFF"/>
        </w:rPr>
        <w:t xml:space="preserve"> </w:t>
      </w:r>
      <w:proofErr w:type="spellStart"/>
      <w:r w:rsidRPr="00375BF3">
        <w:rPr>
          <w:shd w:val="clear" w:color="auto" w:fill="FFFFFF"/>
        </w:rPr>
        <w:t>Glantz</w:t>
      </w:r>
      <w:proofErr w:type="spellEnd"/>
      <w:r w:rsidRPr="00375BF3">
        <w:rPr>
          <w:shd w:val="clear" w:color="auto" w:fill="FFFFFF"/>
        </w:rPr>
        <w:t xml:space="preserve"> M.D., Johnson J.L. (</w:t>
      </w:r>
      <w:proofErr w:type="spellStart"/>
      <w:r w:rsidRPr="00375BF3">
        <w:rPr>
          <w:shd w:val="clear" w:color="auto" w:fill="FFFFFF"/>
        </w:rPr>
        <w:t>eds</w:t>
      </w:r>
      <w:proofErr w:type="spellEnd"/>
      <w:r w:rsidRPr="00375BF3">
        <w:rPr>
          <w:shd w:val="clear" w:color="auto" w:fill="FFFFFF"/>
        </w:rPr>
        <w:t xml:space="preserve">) Resilience and Development. Longitudinal </w:t>
      </w:r>
      <w:r w:rsidRPr="00375BF3">
        <w:rPr>
          <w:shd w:val="clear" w:color="auto" w:fill="FFFFFF"/>
        </w:rPr>
        <w:lastRenderedPageBreak/>
        <w:t>Research in the Social and Behavioral Sciences: An Interdisciplinary Series. Springer, Boston, MA. https://doi.org/10.1007/0-306-47167-1_7</w:t>
      </w:r>
      <w:r w:rsidRPr="00271579">
        <w:rPr>
          <w:shd w:val="clear" w:color="auto" w:fill="FFFFFF"/>
        </w:rPr>
        <w:t xml:space="preserve"> </w:t>
      </w:r>
    </w:p>
    <w:p w14:paraId="6C0CD24B" w14:textId="77777777" w:rsidR="0046682E" w:rsidRPr="00375BF3" w:rsidRDefault="0046682E" w:rsidP="00703334">
      <w:pPr>
        <w:pStyle w:val="EndNoteBibliography"/>
      </w:pPr>
      <w:proofErr w:type="spellStart"/>
      <w:r w:rsidRPr="00375BF3">
        <w:rPr>
          <w:shd w:val="clear" w:color="auto" w:fill="FFFFFF"/>
        </w:rPr>
        <w:t>Lybbert</w:t>
      </w:r>
      <w:proofErr w:type="spellEnd"/>
      <w:r w:rsidRPr="00375BF3">
        <w:rPr>
          <w:shd w:val="clear" w:color="auto" w:fill="FFFFFF"/>
        </w:rPr>
        <w:t xml:space="preserve">, T. J., &amp; </w:t>
      </w:r>
      <w:proofErr w:type="spellStart"/>
      <w:r w:rsidRPr="00375BF3">
        <w:rPr>
          <w:shd w:val="clear" w:color="auto" w:fill="FFFFFF"/>
        </w:rPr>
        <w:t>Wydick</w:t>
      </w:r>
      <w:proofErr w:type="spellEnd"/>
      <w:r w:rsidRPr="00375BF3">
        <w:rPr>
          <w:shd w:val="clear" w:color="auto" w:fill="FFFFFF"/>
        </w:rPr>
        <w:t xml:space="preserve">, B. (2017). Hope as aspirations, agency, and pathways: poverty dynamics and microfinance in Oaxaca, Mexico. </w:t>
      </w:r>
      <w:proofErr w:type="spellStart"/>
      <w:r w:rsidRPr="00375BF3">
        <w:rPr>
          <w:shd w:val="clear" w:color="auto" w:fill="FFFFFF"/>
        </w:rPr>
        <w:t>En</w:t>
      </w:r>
      <w:proofErr w:type="spellEnd"/>
      <w:r w:rsidRPr="00375BF3">
        <w:rPr>
          <w:shd w:val="clear" w:color="auto" w:fill="FFFFFF"/>
        </w:rPr>
        <w:t xml:space="preserve"> </w:t>
      </w:r>
      <w:r w:rsidRPr="00375BF3">
        <w:rPr>
          <w:i/>
          <w:iCs/>
        </w:rPr>
        <w:t>The Economics of Poverty Traps</w:t>
      </w:r>
      <w:r w:rsidRPr="00375BF3">
        <w:rPr>
          <w:shd w:val="clear" w:color="auto" w:fill="FFFFFF"/>
        </w:rPr>
        <w:t xml:space="preserve">. University of Chicago Press. </w:t>
      </w:r>
      <w:hyperlink r:id="rId32" w:history="1">
        <w:r w:rsidRPr="00375BF3">
          <w:rPr>
            <w:rStyle w:val="Hipervnculo"/>
          </w:rPr>
          <w:t>https://doi.org/</w:t>
        </w:r>
      </w:hyperlink>
      <w:r w:rsidRPr="00375BF3">
        <w:rPr>
          <w:shd w:val="clear" w:color="auto" w:fill="FFFFFF"/>
        </w:rPr>
        <w:t>10.3386/w22661</w:t>
      </w:r>
    </w:p>
    <w:p w14:paraId="42EC734B" w14:textId="77777777" w:rsidR="0046682E" w:rsidRPr="00375BF3" w:rsidRDefault="0046682E" w:rsidP="00703334">
      <w:pPr>
        <w:pStyle w:val="EndNoteBibliography"/>
      </w:pPr>
      <w:proofErr w:type="spellStart"/>
      <w:r w:rsidRPr="00375BF3">
        <w:t>Masten</w:t>
      </w:r>
      <w:proofErr w:type="spellEnd"/>
      <w:r w:rsidRPr="00375BF3">
        <w:t xml:space="preserve">, A. S., &amp; Powell, J. L. (2003). A resilience framework for research, policy, and practice. </w:t>
      </w:r>
      <w:proofErr w:type="spellStart"/>
      <w:r w:rsidRPr="00375BF3">
        <w:t>En</w:t>
      </w:r>
      <w:proofErr w:type="spellEnd"/>
      <w:r w:rsidRPr="00375BF3">
        <w:t xml:space="preserve"> </w:t>
      </w:r>
      <w:r w:rsidRPr="00375BF3">
        <w:rPr>
          <w:i/>
        </w:rPr>
        <w:t>Resilience and vulnerability: Adaptation in the context of childhood adversities</w:t>
      </w:r>
      <w:r w:rsidRPr="00375BF3">
        <w:t>, Cambridge University Press. 1–25. https://doi.org/10.1017/CBO9780511615788.003</w:t>
      </w:r>
    </w:p>
    <w:p w14:paraId="040FDB64" w14:textId="77777777" w:rsidR="0046682E" w:rsidRPr="00375BF3" w:rsidRDefault="0046682E" w:rsidP="00703334">
      <w:pPr>
        <w:pStyle w:val="EndNoteBibliography"/>
      </w:pPr>
      <w:r w:rsidRPr="00375BF3">
        <w:t xml:space="preserve">Metcalfe, J., &amp; </w:t>
      </w:r>
      <w:proofErr w:type="spellStart"/>
      <w:r w:rsidRPr="00375BF3">
        <w:t>Mischel</w:t>
      </w:r>
      <w:proofErr w:type="spellEnd"/>
      <w:r w:rsidRPr="00375BF3">
        <w:t xml:space="preserve">, W. (1999). A hot/cool-system analysis of delay of gratification: dynamics of willpower. </w:t>
      </w:r>
      <w:r w:rsidRPr="00375BF3">
        <w:rPr>
          <w:i/>
          <w:iCs/>
        </w:rPr>
        <w:t>Psychological review</w:t>
      </w:r>
      <w:r w:rsidRPr="00375BF3">
        <w:t xml:space="preserve">, </w:t>
      </w:r>
      <w:r w:rsidRPr="00375BF3">
        <w:rPr>
          <w:i/>
          <w:iCs/>
        </w:rPr>
        <w:t>106</w:t>
      </w:r>
      <w:r w:rsidRPr="00375BF3">
        <w:t xml:space="preserve">(1), 3-19., </w:t>
      </w:r>
      <w:hyperlink r:id="rId33" w:history="1">
        <w:r w:rsidRPr="00375BF3">
          <w:rPr>
            <w:rStyle w:val="Hipervnculo"/>
          </w:rPr>
          <w:t>https://doi.org/</w:t>
        </w:r>
      </w:hyperlink>
      <w:r w:rsidRPr="00375BF3">
        <w:t>10.1037/0033-295x.106.1.3</w:t>
      </w:r>
    </w:p>
    <w:p w14:paraId="6F604851" w14:textId="77777777" w:rsidR="0046682E" w:rsidRPr="00375BF3" w:rsidRDefault="0046682E" w:rsidP="00703334">
      <w:pPr>
        <w:pStyle w:val="EndNoteBibliography"/>
      </w:pPr>
      <w:r w:rsidRPr="00375BF3">
        <w:t xml:space="preserve">Mincer, J. (1974). </w:t>
      </w:r>
      <w:r w:rsidRPr="00375BF3">
        <w:rPr>
          <w:i/>
        </w:rPr>
        <w:t>Schooling, Experience, and Earnings</w:t>
      </w:r>
      <w:r w:rsidRPr="00375BF3">
        <w:t>. Human Behavior &amp; Social Institutions No. 2.</w:t>
      </w:r>
    </w:p>
    <w:p w14:paraId="5BC34615" w14:textId="77777777" w:rsidR="0046682E" w:rsidRPr="00375BF3" w:rsidRDefault="0046682E" w:rsidP="00703334">
      <w:pPr>
        <w:pStyle w:val="EndNoteBibliography"/>
        <w:rPr>
          <w:lang w:val="es-ES"/>
        </w:rPr>
      </w:pPr>
      <w:r w:rsidRPr="00375BF3">
        <w:rPr>
          <w:lang w:val="es-ES"/>
        </w:rPr>
        <w:t xml:space="preserve">Montenegro, C. E., &amp; </w:t>
      </w:r>
      <w:proofErr w:type="spellStart"/>
      <w:r w:rsidRPr="00375BF3">
        <w:rPr>
          <w:lang w:val="es-ES"/>
        </w:rPr>
        <w:t>Patrinos</w:t>
      </w:r>
      <w:proofErr w:type="spellEnd"/>
      <w:r w:rsidRPr="00375BF3">
        <w:rPr>
          <w:lang w:val="es-ES"/>
        </w:rPr>
        <w:t xml:space="preserve">, H. A. (2014). </w:t>
      </w:r>
      <w:r w:rsidRPr="00375BF3">
        <w:rPr>
          <w:i/>
          <w:iCs/>
        </w:rPr>
        <w:t>Comparable estimates of returns to schooling around the world</w:t>
      </w:r>
      <w:r w:rsidRPr="00375BF3">
        <w:t xml:space="preserve">. </w:t>
      </w:r>
      <w:proofErr w:type="spellStart"/>
      <w:r w:rsidRPr="00375BF3">
        <w:rPr>
          <w:lang w:val="es-ES"/>
        </w:rPr>
        <w:t>The</w:t>
      </w:r>
      <w:proofErr w:type="spellEnd"/>
      <w:r w:rsidRPr="00375BF3">
        <w:rPr>
          <w:lang w:val="es-ES"/>
        </w:rPr>
        <w:t xml:space="preserve"> </w:t>
      </w:r>
      <w:proofErr w:type="spellStart"/>
      <w:r w:rsidRPr="00375BF3">
        <w:rPr>
          <w:lang w:val="es-ES"/>
        </w:rPr>
        <w:t>World</w:t>
      </w:r>
      <w:proofErr w:type="spellEnd"/>
      <w:r w:rsidRPr="00375BF3">
        <w:rPr>
          <w:lang w:val="es-ES"/>
        </w:rPr>
        <w:t xml:space="preserve"> Bank.</w:t>
      </w:r>
    </w:p>
    <w:p w14:paraId="6D647ACD" w14:textId="77777777" w:rsidR="0046682E" w:rsidRPr="00375BF3" w:rsidRDefault="0046682E" w:rsidP="00703334">
      <w:pPr>
        <w:pStyle w:val="EndNoteBibliography"/>
      </w:pPr>
      <w:r w:rsidRPr="00400007">
        <w:rPr>
          <w:lang w:val="es-MX"/>
        </w:rPr>
        <w:t xml:space="preserve">Mullainathan, S., &amp; Shafir, E. (2016). </w:t>
      </w:r>
      <w:r w:rsidRPr="00400007">
        <w:rPr>
          <w:i/>
          <w:iCs/>
          <w:lang w:val="es-MX"/>
        </w:rPr>
        <w:t>Escasez:¿Por qué tener muy poco significa tanto?</w:t>
      </w:r>
      <w:r w:rsidRPr="00400007">
        <w:rPr>
          <w:lang w:val="es-MX"/>
        </w:rPr>
        <w:t xml:space="preserve"> </w:t>
      </w:r>
      <w:proofErr w:type="spellStart"/>
      <w:r w:rsidRPr="00375BF3">
        <w:t>Fondo</w:t>
      </w:r>
      <w:proofErr w:type="spellEnd"/>
      <w:r w:rsidRPr="00375BF3">
        <w:t xml:space="preserve"> de </w:t>
      </w:r>
      <w:proofErr w:type="spellStart"/>
      <w:r w:rsidRPr="00375BF3">
        <w:t>Cultura</w:t>
      </w:r>
      <w:proofErr w:type="spellEnd"/>
      <w:r w:rsidRPr="00375BF3">
        <w:t xml:space="preserve"> </w:t>
      </w:r>
      <w:proofErr w:type="spellStart"/>
      <w:r w:rsidRPr="00375BF3">
        <w:t>Económica</w:t>
      </w:r>
      <w:proofErr w:type="spellEnd"/>
      <w:r w:rsidRPr="00375BF3">
        <w:t>.</w:t>
      </w:r>
    </w:p>
    <w:p w14:paraId="42C80F3F" w14:textId="77777777" w:rsidR="0046682E" w:rsidRPr="00375BF3" w:rsidRDefault="0046682E" w:rsidP="00703334">
      <w:pPr>
        <w:pStyle w:val="EndNoteBibliography"/>
      </w:pPr>
      <w:r w:rsidRPr="00375BF3">
        <w:t xml:space="preserve">Narayan-Parker, D. (Ed.). (2005). </w:t>
      </w:r>
      <w:r w:rsidRPr="00375BF3">
        <w:rPr>
          <w:i/>
          <w:iCs/>
        </w:rPr>
        <w:t>Measuring empowerment: cross-disciplinary perspectives</w:t>
      </w:r>
      <w:r w:rsidRPr="00375BF3">
        <w:t>. World Bank Publications.</w:t>
      </w:r>
    </w:p>
    <w:p w14:paraId="0FFDB8A2" w14:textId="77777777" w:rsidR="0046682E" w:rsidRPr="00375BF3" w:rsidRDefault="0046682E" w:rsidP="00703334">
      <w:pPr>
        <w:pStyle w:val="EndNoteBibliography"/>
      </w:pPr>
      <w:r w:rsidRPr="00375BF3">
        <w:t xml:space="preserve">Nussbaum, M. C. (2000). Women and human development: The capabilities </w:t>
      </w:r>
      <w:proofErr w:type="spellStart"/>
      <w:proofErr w:type="gramStart"/>
      <w:r w:rsidRPr="00375BF3">
        <w:t>approach.Cambridge</w:t>
      </w:r>
      <w:proofErr w:type="spellEnd"/>
      <w:proofErr w:type="gramEnd"/>
      <w:r w:rsidRPr="00375BF3">
        <w:t xml:space="preserve"> University Press.</w:t>
      </w:r>
    </w:p>
    <w:p w14:paraId="13A0E30A" w14:textId="77777777" w:rsidR="0046682E" w:rsidRPr="00400007" w:rsidRDefault="0046682E" w:rsidP="00703334">
      <w:pPr>
        <w:pStyle w:val="EndNoteBibliography"/>
        <w:rPr>
          <w:shd w:val="clear" w:color="auto" w:fill="FFFFFF"/>
          <w:lang w:val="es-MX"/>
        </w:rPr>
      </w:pPr>
      <w:r w:rsidRPr="00400007">
        <w:rPr>
          <w:shd w:val="clear" w:color="auto" w:fill="FFFFFF"/>
          <w:lang w:val="es-MX"/>
        </w:rPr>
        <w:t xml:space="preserve">Nussbaum, M. C. (2012). </w:t>
      </w:r>
      <w:r w:rsidRPr="00400007">
        <w:rPr>
          <w:lang w:val="es-MX"/>
        </w:rPr>
        <w:t>Crear capacidades: propuesta para el desarrollo humano</w:t>
      </w:r>
      <w:r w:rsidRPr="00400007">
        <w:rPr>
          <w:shd w:val="clear" w:color="auto" w:fill="FFFFFF"/>
          <w:lang w:val="es-MX"/>
        </w:rPr>
        <w:t>. Barcelona: Paidós.</w:t>
      </w:r>
    </w:p>
    <w:p w14:paraId="1E32B55A" w14:textId="77777777" w:rsidR="0046682E" w:rsidRPr="00400007" w:rsidRDefault="0046682E" w:rsidP="00703334">
      <w:pPr>
        <w:pStyle w:val="EndNoteBibliography"/>
        <w:rPr>
          <w:lang w:val="es-MX"/>
        </w:rPr>
      </w:pPr>
      <w:r w:rsidRPr="00400007">
        <w:rPr>
          <w:lang w:val="es-MX"/>
        </w:rPr>
        <w:t xml:space="preserve">Oxford Poverty &amp; Human Development Initiative (OPHI), &amp; CAF. (2016). </w:t>
      </w:r>
      <w:r w:rsidRPr="00400007">
        <w:rPr>
          <w:i/>
          <w:lang w:val="es-MX"/>
        </w:rPr>
        <w:t>Las dimensiones faltantes en la medición de la pobreza</w:t>
      </w:r>
      <w:r w:rsidRPr="00400007">
        <w:rPr>
          <w:lang w:val="es-MX"/>
        </w:rPr>
        <w:t>. Bogotá: Centro para el Desarrollo Humano Centro Lyra; Centro para el Desarrollo Humano IERU; CAF; Oxford Poverty &amp; Human Development Initiative (OPHI). http://scioteca.caf.com/handle/123456789/833</w:t>
      </w:r>
    </w:p>
    <w:p w14:paraId="1A63F273" w14:textId="77777777" w:rsidR="0046682E" w:rsidRPr="00400007" w:rsidRDefault="0046682E" w:rsidP="00703334">
      <w:pPr>
        <w:pStyle w:val="EndNoteBibliography"/>
        <w:rPr>
          <w:lang w:val="es-MX"/>
        </w:rPr>
      </w:pPr>
      <w:r w:rsidRPr="00400007">
        <w:rPr>
          <w:lang w:val="es-MX"/>
        </w:rPr>
        <w:t>Patrinos, H. A. (2016). Por qué la educación es importante para el desarrollo económico. Consultado el 19 de julio de 2019; https://blogs.worldbank.org/es/voices/por-que-la-educacion-es-importante-para-el-desarrollo-economico.</w:t>
      </w:r>
    </w:p>
    <w:p w14:paraId="0758D476" w14:textId="77777777" w:rsidR="0046682E" w:rsidRPr="00400007" w:rsidRDefault="0046682E" w:rsidP="00703334">
      <w:pPr>
        <w:pStyle w:val="EndNoteBibliography"/>
        <w:rPr>
          <w:lang w:val="es-MX"/>
        </w:rPr>
      </w:pPr>
      <w:r w:rsidRPr="00400007">
        <w:rPr>
          <w:lang w:val="es-MX"/>
        </w:rPr>
        <w:t xml:space="preserve">Pick, S., Sirkin, J., Ortega, I., Osorio, P., Martínez, R., Xocolotzin, U., &amp; Givaudan, M. (2007). Escala Para Medir Agencia Personal y Empoderamiento (ESAGE). </w:t>
      </w:r>
      <w:r w:rsidRPr="00400007">
        <w:rPr>
          <w:i/>
          <w:iCs/>
          <w:lang w:val="es-MX"/>
        </w:rPr>
        <w:t>Interamerican Journal of Psychology</w:t>
      </w:r>
      <w:r w:rsidRPr="00400007">
        <w:rPr>
          <w:lang w:val="es-MX"/>
        </w:rPr>
        <w:t xml:space="preserve">, </w:t>
      </w:r>
      <w:r w:rsidRPr="00400007">
        <w:rPr>
          <w:i/>
          <w:iCs/>
          <w:lang w:val="es-MX"/>
        </w:rPr>
        <w:t>41</w:t>
      </w:r>
      <w:r w:rsidRPr="00400007">
        <w:rPr>
          <w:lang w:val="es-MX"/>
        </w:rPr>
        <w:t>(3), 295-304. http://pepsic.bvsalud.org/scielo.php?script=sci_arttext&amp;pid=S0034-96902007000300004&amp;lng=pt&amp;tlng=es.</w:t>
      </w:r>
    </w:p>
    <w:p w14:paraId="75DB6C8F" w14:textId="77777777" w:rsidR="0046682E" w:rsidRPr="00400007" w:rsidRDefault="0046682E" w:rsidP="00703334">
      <w:pPr>
        <w:pStyle w:val="EndNoteBibliography"/>
        <w:rPr>
          <w:lang w:val="es-MX"/>
        </w:rPr>
      </w:pPr>
      <w:r w:rsidRPr="00400007">
        <w:rPr>
          <w:lang w:val="es-MX"/>
        </w:rPr>
        <w:t xml:space="preserve">Ponce, P., Robles, S., Alvarado, R., &amp; Ortiz, C. (2019). Efecto del capital humano en la brecha de ingresos: un enfoque utilizando propensity score matching. </w:t>
      </w:r>
      <w:r w:rsidRPr="00400007">
        <w:rPr>
          <w:i/>
          <w:lang w:val="es-MX"/>
        </w:rPr>
        <w:t>Revista Economía y Política</w:t>
      </w:r>
      <w:r w:rsidRPr="00400007">
        <w:rPr>
          <w:lang w:val="es-MX"/>
        </w:rPr>
        <w:t xml:space="preserve">, (29), 25-47. </w:t>
      </w:r>
      <w:r w:rsidR="00FF7FCB">
        <w:fldChar w:fldCharType="begin"/>
      </w:r>
      <w:r w:rsidR="00FF7FCB" w:rsidRPr="00400007">
        <w:rPr>
          <w:lang w:val="es-MX"/>
        </w:rPr>
        <w:instrText xml:space="preserve"> HYPERLINK "https://doi.org/10.1109/5.771073" </w:instrText>
      </w:r>
      <w:r w:rsidR="00FF7FCB">
        <w:fldChar w:fldCharType="separate"/>
      </w:r>
      <w:r w:rsidRPr="00375BF3">
        <w:rPr>
          <w:rStyle w:val="Hipervnculo"/>
          <w:lang w:val="es-ES"/>
        </w:rPr>
        <w:t>https://doi.org/</w:t>
      </w:r>
      <w:r w:rsidR="00FF7FCB">
        <w:rPr>
          <w:rStyle w:val="Hipervnculo"/>
          <w:lang w:val="es-ES"/>
        </w:rPr>
        <w:fldChar w:fldCharType="end"/>
      </w:r>
      <w:r w:rsidRPr="00400007">
        <w:rPr>
          <w:lang w:val="es-MX"/>
        </w:rPr>
        <w:t>10.25097/</w:t>
      </w:r>
      <w:proofErr w:type="gramStart"/>
      <w:r w:rsidRPr="00400007">
        <w:rPr>
          <w:lang w:val="es-MX"/>
        </w:rPr>
        <w:t>rep.n</w:t>
      </w:r>
      <w:proofErr w:type="gramEnd"/>
      <w:r w:rsidRPr="00400007">
        <w:rPr>
          <w:lang w:val="es-MX"/>
        </w:rPr>
        <w:t>29.2019.02</w:t>
      </w:r>
    </w:p>
    <w:p w14:paraId="7DE0A4E7" w14:textId="77777777" w:rsidR="00375BF3" w:rsidRPr="00375BF3" w:rsidRDefault="00375BF3" w:rsidP="00703334">
      <w:pPr>
        <w:pStyle w:val="EndNoteBibliography"/>
        <w:rPr>
          <w:shd w:val="clear" w:color="auto" w:fill="FFFFFF"/>
        </w:rPr>
      </w:pPr>
      <w:r w:rsidRPr="00400007">
        <w:rPr>
          <w:shd w:val="clear" w:color="auto" w:fill="FFFFFF"/>
          <w:lang w:val="es-MX"/>
        </w:rPr>
        <w:t xml:space="preserve">Raven, J. C., Court, J. y Raven J.(1993). Test de matrices progresivas. Escalas coloreada, general y avanzada. </w:t>
      </w:r>
      <w:r w:rsidRPr="00375BF3">
        <w:rPr>
          <w:shd w:val="clear" w:color="auto" w:fill="FFFFFF"/>
        </w:rPr>
        <w:t xml:space="preserve">Manual. Ed. </w:t>
      </w:r>
      <w:proofErr w:type="spellStart"/>
      <w:r w:rsidRPr="00375BF3">
        <w:rPr>
          <w:shd w:val="clear" w:color="auto" w:fill="FFFFFF"/>
        </w:rPr>
        <w:t>Paidos</w:t>
      </w:r>
      <w:proofErr w:type="spellEnd"/>
      <w:r w:rsidRPr="00375BF3">
        <w:rPr>
          <w:shd w:val="clear" w:color="auto" w:fill="FFFFFF"/>
        </w:rPr>
        <w:t xml:space="preserve">. </w:t>
      </w:r>
    </w:p>
    <w:p w14:paraId="2E2334F8" w14:textId="77777777" w:rsidR="0046682E" w:rsidRPr="00375BF3" w:rsidRDefault="0046682E" w:rsidP="00703334">
      <w:pPr>
        <w:pStyle w:val="EndNoteBibliography"/>
      </w:pPr>
      <w:r w:rsidRPr="00375BF3">
        <w:rPr>
          <w:shd w:val="clear" w:color="auto" w:fill="FFFFFF"/>
        </w:rPr>
        <w:t xml:space="preserve">Richardson, G. E., </w:t>
      </w:r>
      <w:proofErr w:type="spellStart"/>
      <w:r w:rsidRPr="00375BF3">
        <w:rPr>
          <w:shd w:val="clear" w:color="auto" w:fill="FFFFFF"/>
        </w:rPr>
        <w:t>Neiger</w:t>
      </w:r>
      <w:proofErr w:type="spellEnd"/>
      <w:r w:rsidRPr="00375BF3">
        <w:rPr>
          <w:shd w:val="clear" w:color="auto" w:fill="FFFFFF"/>
        </w:rPr>
        <w:t xml:space="preserve">, B. L., Jensen, S., &amp; </w:t>
      </w:r>
      <w:proofErr w:type="spellStart"/>
      <w:r w:rsidRPr="00375BF3">
        <w:rPr>
          <w:shd w:val="clear" w:color="auto" w:fill="FFFFFF"/>
        </w:rPr>
        <w:t>Kumpfer</w:t>
      </w:r>
      <w:proofErr w:type="spellEnd"/>
      <w:r w:rsidRPr="00375BF3">
        <w:rPr>
          <w:shd w:val="clear" w:color="auto" w:fill="FFFFFF"/>
        </w:rPr>
        <w:t xml:space="preserve">, K. L. (1990). The Resiliency Model. </w:t>
      </w:r>
      <w:r w:rsidRPr="00375BF3">
        <w:rPr>
          <w:i/>
          <w:shd w:val="clear" w:color="auto" w:fill="FFFFFF"/>
        </w:rPr>
        <w:t>Health Education, 21</w:t>
      </w:r>
      <w:r w:rsidRPr="00375BF3">
        <w:rPr>
          <w:shd w:val="clear" w:color="auto" w:fill="FFFFFF"/>
        </w:rPr>
        <w:t xml:space="preserve">(6), 33–39. </w:t>
      </w:r>
      <w:hyperlink r:id="rId34" w:history="1">
        <w:r w:rsidRPr="00375BF3">
          <w:rPr>
            <w:rStyle w:val="Hipervnculo"/>
          </w:rPr>
          <w:t>https://doi.org/</w:t>
        </w:r>
      </w:hyperlink>
      <w:r w:rsidRPr="00375BF3">
        <w:rPr>
          <w:shd w:val="clear" w:color="auto" w:fill="FFFFFF"/>
        </w:rPr>
        <w:t>10.1080/00970050.1990.10614589 </w:t>
      </w:r>
    </w:p>
    <w:p w14:paraId="17B3DC19" w14:textId="77777777" w:rsidR="0046682E" w:rsidRPr="00375BF3" w:rsidRDefault="0046682E" w:rsidP="00703334">
      <w:pPr>
        <w:pStyle w:val="EndNoteBibliography"/>
      </w:pPr>
      <w:proofErr w:type="spellStart"/>
      <w:r w:rsidRPr="00375BF3">
        <w:t>Rimfeld</w:t>
      </w:r>
      <w:proofErr w:type="spellEnd"/>
      <w:r w:rsidRPr="00375BF3">
        <w:t xml:space="preserve">, K., </w:t>
      </w:r>
      <w:proofErr w:type="spellStart"/>
      <w:r w:rsidRPr="00375BF3">
        <w:t>Kovas</w:t>
      </w:r>
      <w:proofErr w:type="spellEnd"/>
      <w:r w:rsidRPr="00375BF3">
        <w:t xml:space="preserve">, Y., Dale, P. S., &amp; Plomin, R. (2016). True grit and genetics: Predicting academic achievement from personality. </w:t>
      </w:r>
      <w:r w:rsidRPr="00375BF3">
        <w:rPr>
          <w:i/>
          <w:iCs/>
        </w:rPr>
        <w:t>Journal of personality and social psychology</w:t>
      </w:r>
      <w:r w:rsidRPr="00375BF3">
        <w:rPr>
          <w:i/>
        </w:rPr>
        <w:t xml:space="preserve">, </w:t>
      </w:r>
      <w:r w:rsidRPr="00375BF3">
        <w:rPr>
          <w:i/>
          <w:iCs/>
        </w:rPr>
        <w:t>111</w:t>
      </w:r>
      <w:r w:rsidRPr="00375BF3">
        <w:t xml:space="preserve">(5), 780-789., </w:t>
      </w:r>
      <w:hyperlink r:id="rId35" w:history="1">
        <w:r w:rsidRPr="00375BF3">
          <w:rPr>
            <w:rStyle w:val="Hipervnculo"/>
          </w:rPr>
          <w:t>https://doi.org/</w:t>
        </w:r>
      </w:hyperlink>
      <w:r w:rsidRPr="00375BF3">
        <w:t>10.1037/pspp0000089</w:t>
      </w:r>
    </w:p>
    <w:p w14:paraId="6A0F61ED" w14:textId="77777777" w:rsidR="0046682E" w:rsidRPr="00375BF3" w:rsidRDefault="0046682E" w:rsidP="00703334">
      <w:pPr>
        <w:pStyle w:val="EndNoteBibliography"/>
      </w:pPr>
      <w:proofErr w:type="spellStart"/>
      <w:r w:rsidRPr="00375BF3">
        <w:t>Robeyns</w:t>
      </w:r>
      <w:proofErr w:type="spellEnd"/>
      <w:r w:rsidRPr="00375BF3">
        <w:t xml:space="preserve">, I. (2005). The capability approach: a theoretical survey. </w:t>
      </w:r>
      <w:r w:rsidRPr="00375BF3">
        <w:rPr>
          <w:i/>
          <w:iCs/>
        </w:rPr>
        <w:t>Journal of human development</w:t>
      </w:r>
      <w:r w:rsidRPr="00375BF3">
        <w:rPr>
          <w:i/>
        </w:rPr>
        <w:t xml:space="preserve">, </w:t>
      </w:r>
      <w:r w:rsidRPr="00375BF3">
        <w:rPr>
          <w:i/>
          <w:iCs/>
        </w:rPr>
        <w:t>6</w:t>
      </w:r>
      <w:r w:rsidRPr="00375BF3">
        <w:t xml:space="preserve">(1), 93-117. </w:t>
      </w:r>
      <w:hyperlink r:id="rId36" w:history="1">
        <w:r w:rsidRPr="00375BF3">
          <w:rPr>
            <w:rStyle w:val="Hipervnculo"/>
          </w:rPr>
          <w:t>https://doi.org/</w:t>
        </w:r>
      </w:hyperlink>
      <w:r w:rsidRPr="00375BF3">
        <w:t>10.1080/146498805200034266</w:t>
      </w:r>
    </w:p>
    <w:p w14:paraId="6B2CBFCD" w14:textId="77777777" w:rsidR="0046682E" w:rsidRPr="00375BF3" w:rsidRDefault="0046682E" w:rsidP="00703334">
      <w:pPr>
        <w:pStyle w:val="EndNoteBibliography"/>
      </w:pPr>
      <w:proofErr w:type="spellStart"/>
      <w:r w:rsidRPr="00375BF3">
        <w:t>Robeyns</w:t>
      </w:r>
      <w:proofErr w:type="spellEnd"/>
      <w:r w:rsidRPr="00375BF3">
        <w:t xml:space="preserve">, I. (2006). The capability approach in practice. </w:t>
      </w:r>
      <w:r w:rsidRPr="00375BF3">
        <w:rPr>
          <w:i/>
          <w:iCs/>
        </w:rPr>
        <w:t>Journal of Political Philosophy</w:t>
      </w:r>
      <w:r w:rsidRPr="00375BF3">
        <w:rPr>
          <w:i/>
        </w:rPr>
        <w:t xml:space="preserve">, </w:t>
      </w:r>
      <w:r w:rsidRPr="00375BF3">
        <w:rPr>
          <w:i/>
          <w:iCs/>
        </w:rPr>
        <w:t>14</w:t>
      </w:r>
      <w:r w:rsidRPr="00375BF3">
        <w:t xml:space="preserve">(3), 351-376., </w:t>
      </w:r>
      <w:hyperlink r:id="rId37" w:history="1">
        <w:r w:rsidRPr="00375BF3">
          <w:rPr>
            <w:rStyle w:val="Hipervnculo"/>
          </w:rPr>
          <w:t>https://doi.org/</w:t>
        </w:r>
      </w:hyperlink>
      <w:r w:rsidRPr="00375BF3">
        <w:t>10.1111/j.1467-9760.</w:t>
      </w:r>
      <w:proofErr w:type="gramStart"/>
      <w:r w:rsidRPr="00375BF3">
        <w:t>2006.00263.x</w:t>
      </w:r>
      <w:proofErr w:type="gramEnd"/>
    </w:p>
    <w:p w14:paraId="2EC6FB3B" w14:textId="77777777" w:rsidR="0046682E" w:rsidRPr="00375BF3" w:rsidRDefault="0046682E" w:rsidP="00703334">
      <w:pPr>
        <w:pStyle w:val="EndNoteBibliography"/>
      </w:pPr>
      <w:proofErr w:type="spellStart"/>
      <w:r w:rsidRPr="00375BF3">
        <w:lastRenderedPageBreak/>
        <w:t>Rosander</w:t>
      </w:r>
      <w:proofErr w:type="spellEnd"/>
      <w:r w:rsidRPr="00375BF3">
        <w:t xml:space="preserve">, P., </w:t>
      </w:r>
      <w:proofErr w:type="spellStart"/>
      <w:r w:rsidRPr="00375BF3">
        <w:t>Bäckström</w:t>
      </w:r>
      <w:proofErr w:type="spellEnd"/>
      <w:r w:rsidRPr="00375BF3">
        <w:t xml:space="preserve">, M., &amp; Stenberg, G. (2011). Personality traits and general intelligence as predictors of academic performance: A structural equation modelling approach. </w:t>
      </w:r>
      <w:r w:rsidRPr="00375BF3">
        <w:rPr>
          <w:i/>
        </w:rPr>
        <w:t>Learning and individual differences, 21</w:t>
      </w:r>
      <w:r w:rsidRPr="00375BF3">
        <w:t xml:space="preserve">(5), 590-596. </w:t>
      </w:r>
      <w:hyperlink r:id="rId38" w:history="1">
        <w:r w:rsidRPr="00375BF3">
          <w:rPr>
            <w:rStyle w:val="Hipervnculo"/>
          </w:rPr>
          <w:t>https://doi.org/</w:t>
        </w:r>
      </w:hyperlink>
      <w:r w:rsidRPr="00375BF3">
        <w:t>10.1016/j.lindif.2011.04.004</w:t>
      </w:r>
    </w:p>
    <w:p w14:paraId="22A0E5AB" w14:textId="77777777" w:rsidR="0046682E" w:rsidRPr="00375BF3" w:rsidRDefault="0046682E" w:rsidP="00703334">
      <w:pPr>
        <w:pStyle w:val="EndNoteBibliography"/>
      </w:pPr>
      <w:r w:rsidRPr="00375BF3">
        <w:t xml:space="preserve">Ryan, R., &amp; Deci, E. L. (2000). </w:t>
      </w:r>
      <w:r w:rsidRPr="00375BF3">
        <w:rPr>
          <w:lang w:val="es-ES"/>
        </w:rPr>
        <w:t xml:space="preserve">La Teoría de la Autodeterminación y la Facilitación de la Motivación Intrínseca, el Desarrollo Social, y el Bienestar. </w:t>
      </w:r>
      <w:r w:rsidRPr="00375BF3">
        <w:rPr>
          <w:i/>
          <w:iCs/>
        </w:rPr>
        <w:t>American Psychologist</w:t>
      </w:r>
      <w:r w:rsidRPr="00375BF3">
        <w:rPr>
          <w:i/>
        </w:rPr>
        <w:t xml:space="preserve">, </w:t>
      </w:r>
      <w:r w:rsidRPr="00375BF3">
        <w:rPr>
          <w:i/>
          <w:iCs/>
        </w:rPr>
        <w:t>55</w:t>
      </w:r>
      <w:r w:rsidRPr="00375BF3">
        <w:t xml:space="preserve">(1), 68-78. </w:t>
      </w:r>
      <w:hyperlink r:id="rId39" w:history="1">
        <w:r w:rsidRPr="00375BF3">
          <w:rPr>
            <w:rStyle w:val="Hipervnculo"/>
          </w:rPr>
          <w:t>https://doi.org/</w:t>
        </w:r>
      </w:hyperlink>
      <w:r w:rsidRPr="00375BF3">
        <w:t>10.1037110003-066X.55.1.68</w:t>
      </w:r>
    </w:p>
    <w:p w14:paraId="1197A5CB" w14:textId="77777777" w:rsidR="0046682E" w:rsidRPr="00375BF3" w:rsidRDefault="0046682E" w:rsidP="00703334">
      <w:pPr>
        <w:pStyle w:val="EndNoteBibliography"/>
      </w:pPr>
      <w:r w:rsidRPr="00375BF3">
        <w:rPr>
          <w:shd w:val="clear" w:color="auto" w:fill="FFFFFF"/>
        </w:rPr>
        <w:t xml:space="preserve">Rutter, M. (1985). </w:t>
      </w:r>
      <w:r w:rsidRPr="00375BF3">
        <w:t xml:space="preserve">Resilience in the face of adversity. Protective factors and resistance to psychiatric disorder. </w:t>
      </w:r>
      <w:r w:rsidRPr="00375BF3">
        <w:rPr>
          <w:i/>
        </w:rPr>
        <w:t>The British Journal of Psychiatry, 147</w:t>
      </w:r>
      <w:r w:rsidRPr="00375BF3">
        <w:t xml:space="preserve">(6), 598–611. </w:t>
      </w:r>
      <w:hyperlink r:id="rId40" w:history="1">
        <w:r w:rsidRPr="00375BF3">
          <w:rPr>
            <w:rStyle w:val="Hipervnculo"/>
          </w:rPr>
          <w:t>https://doi.org/</w:t>
        </w:r>
      </w:hyperlink>
      <w:r w:rsidRPr="00375BF3">
        <w:rPr>
          <w:shd w:val="clear" w:color="auto" w:fill="FFFFFF"/>
        </w:rPr>
        <w:t>10.1192/bjp.147.6.598</w:t>
      </w:r>
    </w:p>
    <w:p w14:paraId="01C019F7" w14:textId="77777777" w:rsidR="0046682E" w:rsidRPr="00375BF3" w:rsidRDefault="0046682E" w:rsidP="00703334">
      <w:pPr>
        <w:pStyle w:val="EndNoteBibliography"/>
      </w:pPr>
      <w:r w:rsidRPr="00375BF3">
        <w:rPr>
          <w:shd w:val="clear" w:color="auto" w:fill="FFFFFF"/>
        </w:rPr>
        <w:t>Salvo G, L., &amp; Castro S, A. (2013).</w:t>
      </w:r>
      <w:r w:rsidRPr="00375BF3">
        <w:t xml:space="preserve"> </w:t>
      </w:r>
      <w:r w:rsidRPr="00375BF3">
        <w:rPr>
          <w:shd w:val="clear" w:color="auto" w:fill="FFFFFF"/>
          <w:lang w:val="es-ES"/>
        </w:rPr>
        <w:t xml:space="preserve">Confiabilidad y validez de la escala de impulsividad de </w:t>
      </w:r>
      <w:proofErr w:type="spellStart"/>
      <w:r w:rsidRPr="00375BF3">
        <w:rPr>
          <w:shd w:val="clear" w:color="auto" w:fill="FFFFFF"/>
          <w:lang w:val="es-ES"/>
        </w:rPr>
        <w:t>Barratt</w:t>
      </w:r>
      <w:proofErr w:type="spellEnd"/>
      <w:r w:rsidRPr="00375BF3">
        <w:rPr>
          <w:shd w:val="clear" w:color="auto" w:fill="FFFFFF"/>
          <w:lang w:val="es-ES"/>
        </w:rPr>
        <w:t xml:space="preserve"> (BIS-11) en adolescentes. </w:t>
      </w:r>
      <w:proofErr w:type="spellStart"/>
      <w:r w:rsidRPr="00375BF3">
        <w:rPr>
          <w:i/>
          <w:shd w:val="clear" w:color="auto" w:fill="FFFFFF"/>
        </w:rPr>
        <w:t>Revista</w:t>
      </w:r>
      <w:proofErr w:type="spellEnd"/>
      <w:r w:rsidRPr="00375BF3">
        <w:rPr>
          <w:i/>
          <w:shd w:val="clear" w:color="auto" w:fill="FFFFFF"/>
        </w:rPr>
        <w:t xml:space="preserve"> </w:t>
      </w:r>
      <w:proofErr w:type="spellStart"/>
      <w:r w:rsidRPr="00375BF3">
        <w:rPr>
          <w:i/>
          <w:shd w:val="clear" w:color="auto" w:fill="FFFFFF"/>
        </w:rPr>
        <w:t>Chilena</w:t>
      </w:r>
      <w:proofErr w:type="spellEnd"/>
      <w:r w:rsidRPr="00375BF3">
        <w:rPr>
          <w:i/>
          <w:shd w:val="clear" w:color="auto" w:fill="FFFFFF"/>
        </w:rPr>
        <w:t xml:space="preserve"> de Neuro-</w:t>
      </w:r>
      <w:proofErr w:type="spellStart"/>
      <w:r w:rsidRPr="00375BF3">
        <w:rPr>
          <w:i/>
          <w:shd w:val="clear" w:color="auto" w:fill="FFFFFF"/>
        </w:rPr>
        <w:t>Psiquiatría</w:t>
      </w:r>
      <w:proofErr w:type="spellEnd"/>
      <w:r w:rsidRPr="00375BF3">
        <w:rPr>
          <w:i/>
          <w:shd w:val="clear" w:color="auto" w:fill="FFFFFF"/>
        </w:rPr>
        <w:t>, 51</w:t>
      </w:r>
      <w:r w:rsidRPr="00375BF3">
        <w:rPr>
          <w:shd w:val="clear" w:color="auto" w:fill="FFFFFF"/>
        </w:rPr>
        <w:t xml:space="preserve">(4), 245–254. </w:t>
      </w:r>
      <w:hyperlink r:id="rId41" w:history="1">
        <w:r w:rsidRPr="00375BF3">
          <w:rPr>
            <w:rStyle w:val="Hipervnculo"/>
          </w:rPr>
          <w:t>https://doi.org/</w:t>
        </w:r>
      </w:hyperlink>
      <w:r w:rsidRPr="00375BF3">
        <w:rPr>
          <w:shd w:val="clear" w:color="auto" w:fill="FFFFFF"/>
        </w:rPr>
        <w:t xml:space="preserve">10.4067/s0717-92272013000400003 </w:t>
      </w:r>
    </w:p>
    <w:p w14:paraId="41B0DB91" w14:textId="77777777" w:rsidR="0046682E" w:rsidRPr="00375BF3" w:rsidRDefault="0046682E" w:rsidP="00703334">
      <w:pPr>
        <w:pStyle w:val="EndNoteBibliography"/>
      </w:pPr>
      <w:proofErr w:type="spellStart"/>
      <w:r w:rsidRPr="00375BF3">
        <w:rPr>
          <w:shd w:val="clear" w:color="auto" w:fill="FFFFFF"/>
        </w:rPr>
        <w:t>Samman</w:t>
      </w:r>
      <w:proofErr w:type="spellEnd"/>
      <w:r w:rsidRPr="00375BF3">
        <w:rPr>
          <w:shd w:val="clear" w:color="auto" w:fill="FFFFFF"/>
        </w:rPr>
        <w:t xml:space="preserve">, E. (2007) Psychological and Subjective Well-being: A Proposal for Internationally Comparable Indicators, </w:t>
      </w:r>
      <w:r w:rsidRPr="00375BF3">
        <w:rPr>
          <w:i/>
          <w:shd w:val="clear" w:color="auto" w:fill="FFFFFF"/>
        </w:rPr>
        <w:t>Oxford Development Studies, 35</w:t>
      </w:r>
      <w:r w:rsidRPr="00375BF3">
        <w:rPr>
          <w:shd w:val="clear" w:color="auto" w:fill="FFFFFF"/>
        </w:rPr>
        <w:t xml:space="preserve">(4), 459-486, </w:t>
      </w:r>
      <w:hyperlink r:id="rId42" w:history="1">
        <w:r w:rsidRPr="00375BF3">
          <w:rPr>
            <w:rStyle w:val="Hipervnculo"/>
          </w:rPr>
          <w:t>https://doi.org/</w:t>
        </w:r>
      </w:hyperlink>
      <w:r w:rsidRPr="00375BF3">
        <w:rPr>
          <w:shd w:val="clear" w:color="auto" w:fill="FFFFFF"/>
        </w:rPr>
        <w:t>10.1080/13600810701701939</w:t>
      </w:r>
    </w:p>
    <w:p w14:paraId="38E4246B" w14:textId="77777777" w:rsidR="0046682E" w:rsidRPr="00375BF3" w:rsidRDefault="0046682E" w:rsidP="00703334">
      <w:pPr>
        <w:pStyle w:val="EndNoteBibliography"/>
        <w:rPr>
          <w:shd w:val="clear" w:color="auto" w:fill="FFFFFF"/>
        </w:rPr>
      </w:pPr>
      <w:proofErr w:type="spellStart"/>
      <w:r w:rsidRPr="00375BF3">
        <w:rPr>
          <w:shd w:val="clear" w:color="auto" w:fill="FFFFFF"/>
        </w:rPr>
        <w:t>Samman</w:t>
      </w:r>
      <w:proofErr w:type="spellEnd"/>
      <w:r w:rsidRPr="00375BF3">
        <w:rPr>
          <w:shd w:val="clear" w:color="auto" w:fill="FFFFFF"/>
        </w:rPr>
        <w:t xml:space="preserve">, E., &amp; Santos, M. E. (2009). Agency and Empowerment: A review of concepts, indicators, and empirical evidence. Oxford Poverty &amp; Human Development Initiative, </w:t>
      </w:r>
      <w:r w:rsidRPr="00375BF3">
        <w:rPr>
          <w:i/>
          <w:shd w:val="clear" w:color="auto" w:fill="FFFFFF"/>
        </w:rPr>
        <w:t>OPHI, Research in Progress series 2009</w:t>
      </w:r>
      <w:r w:rsidRPr="00375BF3">
        <w:rPr>
          <w:shd w:val="clear" w:color="auto" w:fill="FFFFFF"/>
        </w:rPr>
        <w:t>. https://ophi.org.uk/ophi-research-paper-10a/</w:t>
      </w:r>
    </w:p>
    <w:p w14:paraId="2355E614" w14:textId="77777777" w:rsidR="0046682E" w:rsidRPr="00375BF3" w:rsidRDefault="0046682E" w:rsidP="00703334">
      <w:pPr>
        <w:pStyle w:val="EndNoteBibliography"/>
      </w:pPr>
      <w:r w:rsidRPr="00375BF3">
        <w:t xml:space="preserve">Seligman, M. E. P., &amp; Csikszentmihalyi, M. (2000). Positive psychology: An introduction. </w:t>
      </w:r>
      <w:r w:rsidRPr="00375BF3">
        <w:rPr>
          <w:i/>
        </w:rPr>
        <w:t>American Psychologist, 55</w:t>
      </w:r>
      <w:r w:rsidRPr="00375BF3">
        <w:t xml:space="preserve">(1), 5–14. </w:t>
      </w:r>
      <w:hyperlink r:id="rId43" w:history="1">
        <w:r w:rsidRPr="00375BF3">
          <w:rPr>
            <w:rStyle w:val="Hipervnculo"/>
          </w:rPr>
          <w:t>https://doi.org/</w:t>
        </w:r>
      </w:hyperlink>
      <w:r w:rsidRPr="00375BF3">
        <w:t>10.1037/0003-066x.55.1.5</w:t>
      </w:r>
    </w:p>
    <w:p w14:paraId="31685280" w14:textId="77777777" w:rsidR="0046682E" w:rsidRPr="00375BF3" w:rsidRDefault="0046682E" w:rsidP="00703334">
      <w:pPr>
        <w:pStyle w:val="EndNoteBibliography"/>
      </w:pPr>
      <w:r w:rsidRPr="00375BF3">
        <w:t xml:space="preserve">Sen, A. (1985). Well-Being, Agency, and Freedom: The Dewey Lectures 1984. </w:t>
      </w:r>
      <w:r w:rsidRPr="00375BF3">
        <w:rPr>
          <w:i/>
        </w:rPr>
        <w:t>The Journal of Philosophy, 82</w:t>
      </w:r>
      <w:r w:rsidRPr="00375BF3">
        <w:t xml:space="preserve">(4), 169-221. </w:t>
      </w:r>
      <w:hyperlink r:id="rId44" w:history="1">
        <w:r w:rsidRPr="00375BF3">
          <w:rPr>
            <w:rStyle w:val="Hipervnculo"/>
          </w:rPr>
          <w:t>https://doi.org/</w:t>
        </w:r>
      </w:hyperlink>
      <w:r w:rsidRPr="00375BF3">
        <w:t>10.2307/2026184</w:t>
      </w:r>
    </w:p>
    <w:p w14:paraId="0A31CC0C" w14:textId="77777777" w:rsidR="0046682E" w:rsidRPr="00400007" w:rsidRDefault="0046682E" w:rsidP="00703334">
      <w:pPr>
        <w:pStyle w:val="EndNoteBibliography"/>
        <w:rPr>
          <w:lang w:val="es-MX"/>
        </w:rPr>
      </w:pPr>
      <w:r w:rsidRPr="00375BF3">
        <w:t xml:space="preserve">Sen, A. (1990). Welfare, freedom, and social choice: a reply. </w:t>
      </w:r>
      <w:r w:rsidRPr="00400007">
        <w:rPr>
          <w:i/>
          <w:lang w:val="es-MX"/>
        </w:rPr>
        <w:t>Recherches Economiques de Louvain 56</w:t>
      </w:r>
      <w:r w:rsidRPr="00400007">
        <w:rPr>
          <w:lang w:val="es-MX"/>
        </w:rPr>
        <w:t xml:space="preserve">(3/4), 451–485. </w:t>
      </w:r>
      <w:r w:rsidR="00FF7FCB">
        <w:fldChar w:fldCharType="begin"/>
      </w:r>
      <w:r w:rsidR="00FF7FCB" w:rsidRPr="00400007">
        <w:rPr>
          <w:lang w:val="es-MX"/>
        </w:rPr>
        <w:instrText xml:space="preserve"> HYPERLINK "https://doi.org/10.1109/5.771073" </w:instrText>
      </w:r>
      <w:r w:rsidR="00FF7FCB">
        <w:fldChar w:fldCharType="separate"/>
      </w:r>
      <w:r w:rsidRPr="00375BF3">
        <w:rPr>
          <w:rStyle w:val="Hipervnculo"/>
          <w:lang w:val="es-MX"/>
        </w:rPr>
        <w:t>https://doi.org/</w:t>
      </w:r>
      <w:r w:rsidR="00FF7FCB">
        <w:rPr>
          <w:rStyle w:val="Hipervnculo"/>
          <w:lang w:val="es-MX"/>
        </w:rPr>
        <w:fldChar w:fldCharType="end"/>
      </w:r>
      <w:r w:rsidRPr="00400007">
        <w:rPr>
          <w:lang w:val="es-MX"/>
        </w:rPr>
        <w:t>10.1017/S0770451800043992</w:t>
      </w:r>
    </w:p>
    <w:p w14:paraId="336DB024" w14:textId="77777777" w:rsidR="0046682E" w:rsidRPr="00375BF3" w:rsidRDefault="0046682E" w:rsidP="00703334">
      <w:pPr>
        <w:pStyle w:val="EndNoteBibliography"/>
        <w:rPr>
          <w:lang w:val="es-ES"/>
        </w:rPr>
      </w:pPr>
      <w:r w:rsidRPr="00375BF3">
        <w:t xml:space="preserve">Sen, A. (1994). Well-being, capability, and public policy. </w:t>
      </w:r>
      <w:proofErr w:type="spellStart"/>
      <w:r w:rsidRPr="00375BF3">
        <w:rPr>
          <w:i/>
          <w:lang w:val="es-ES"/>
        </w:rPr>
        <w:t>Giornale</w:t>
      </w:r>
      <w:proofErr w:type="spellEnd"/>
      <w:r w:rsidRPr="00375BF3">
        <w:rPr>
          <w:i/>
          <w:lang w:val="es-ES"/>
        </w:rPr>
        <w:t xml:space="preserve"> </w:t>
      </w:r>
      <w:proofErr w:type="spellStart"/>
      <w:r w:rsidRPr="00375BF3">
        <w:rPr>
          <w:i/>
          <w:lang w:val="es-ES"/>
        </w:rPr>
        <w:t>degli</w:t>
      </w:r>
      <w:proofErr w:type="spellEnd"/>
      <w:r w:rsidRPr="00375BF3">
        <w:rPr>
          <w:i/>
          <w:lang w:val="es-ES"/>
        </w:rPr>
        <w:t xml:space="preserve"> </w:t>
      </w:r>
      <w:proofErr w:type="spellStart"/>
      <w:r w:rsidRPr="00375BF3">
        <w:rPr>
          <w:i/>
          <w:lang w:val="es-ES"/>
        </w:rPr>
        <w:t>economisti</w:t>
      </w:r>
      <w:proofErr w:type="spellEnd"/>
      <w:r w:rsidRPr="00375BF3">
        <w:rPr>
          <w:i/>
          <w:lang w:val="es-ES"/>
        </w:rPr>
        <w:t xml:space="preserve"> e </w:t>
      </w:r>
      <w:proofErr w:type="spellStart"/>
      <w:r w:rsidRPr="00375BF3">
        <w:rPr>
          <w:i/>
          <w:lang w:val="es-ES"/>
        </w:rPr>
        <w:t>annali</w:t>
      </w:r>
      <w:proofErr w:type="spellEnd"/>
      <w:r w:rsidRPr="00375BF3">
        <w:rPr>
          <w:i/>
          <w:lang w:val="es-ES"/>
        </w:rPr>
        <w:t xml:space="preserve"> di </w:t>
      </w:r>
      <w:proofErr w:type="spellStart"/>
      <w:r w:rsidRPr="00375BF3">
        <w:rPr>
          <w:i/>
          <w:lang w:val="es-ES"/>
        </w:rPr>
        <w:t>economia</w:t>
      </w:r>
      <w:proofErr w:type="spellEnd"/>
      <w:r w:rsidRPr="00375BF3">
        <w:rPr>
          <w:lang w:val="es-ES"/>
        </w:rPr>
        <w:t>, 333-347.</w:t>
      </w:r>
    </w:p>
    <w:p w14:paraId="120B2F5F" w14:textId="77777777" w:rsidR="0046682E" w:rsidRPr="00375BF3" w:rsidRDefault="0046682E" w:rsidP="00703334">
      <w:pPr>
        <w:pStyle w:val="EndNoteBibliography"/>
      </w:pPr>
      <w:r w:rsidRPr="00375BF3">
        <w:t xml:space="preserve">Sen, A. (1999). </w:t>
      </w:r>
      <w:r w:rsidRPr="00375BF3">
        <w:rPr>
          <w:i/>
        </w:rPr>
        <w:t>Commodities and Capabilities</w:t>
      </w:r>
      <w:r w:rsidRPr="00375BF3">
        <w:t>, OUP Catalogue, Oxford University Press.</w:t>
      </w:r>
    </w:p>
    <w:p w14:paraId="5224FE44" w14:textId="77777777" w:rsidR="0046682E" w:rsidRPr="00400007" w:rsidRDefault="0046682E" w:rsidP="00703334">
      <w:pPr>
        <w:pStyle w:val="EndNoteBibliography"/>
        <w:rPr>
          <w:lang w:val="es-MX"/>
        </w:rPr>
      </w:pPr>
      <w:r w:rsidRPr="00400007">
        <w:rPr>
          <w:lang w:val="es-MX"/>
        </w:rPr>
        <w:t xml:space="preserve">Sen, A. (2000). </w:t>
      </w:r>
      <w:r w:rsidRPr="00400007">
        <w:rPr>
          <w:i/>
          <w:lang w:val="es-MX"/>
        </w:rPr>
        <w:t>Desarrollo y libertad</w:t>
      </w:r>
      <w:r w:rsidRPr="00400007">
        <w:rPr>
          <w:lang w:val="es-MX"/>
        </w:rPr>
        <w:t>. Editoral Planeta Argentina.</w:t>
      </w:r>
    </w:p>
    <w:p w14:paraId="703B5DBA" w14:textId="77777777" w:rsidR="0046682E" w:rsidRPr="00375BF3" w:rsidRDefault="0046682E" w:rsidP="00703334">
      <w:pPr>
        <w:pStyle w:val="EndNoteBibliography"/>
      </w:pPr>
      <w:r w:rsidRPr="00400007">
        <w:rPr>
          <w:lang w:val="es-MX"/>
        </w:rPr>
        <w:t xml:space="preserve">Sen, A., Bravo, A. M., &amp; Schwartz, P. (1999). </w:t>
      </w:r>
      <w:r w:rsidRPr="00400007">
        <w:rPr>
          <w:i/>
          <w:lang w:val="es-MX"/>
        </w:rPr>
        <w:t>Nuevo examen de la desigualdad</w:t>
      </w:r>
      <w:r w:rsidRPr="00400007">
        <w:rPr>
          <w:lang w:val="es-MX"/>
        </w:rPr>
        <w:t xml:space="preserve">. </w:t>
      </w:r>
      <w:r w:rsidRPr="00375BF3">
        <w:t xml:space="preserve">Madrid: </w:t>
      </w:r>
      <w:proofErr w:type="spellStart"/>
      <w:r w:rsidRPr="00375BF3">
        <w:t>Alianza</w:t>
      </w:r>
      <w:proofErr w:type="spellEnd"/>
      <w:r w:rsidRPr="00375BF3">
        <w:t>.</w:t>
      </w:r>
    </w:p>
    <w:p w14:paraId="30879F68" w14:textId="77777777" w:rsidR="0046682E" w:rsidRPr="00375BF3" w:rsidRDefault="0046682E" w:rsidP="00703334">
      <w:pPr>
        <w:pStyle w:val="EndNoteBibliography"/>
      </w:pPr>
      <w:r w:rsidRPr="00375BF3">
        <w:rPr>
          <w:shd w:val="clear" w:color="auto" w:fill="FFFFFF"/>
        </w:rPr>
        <w:t xml:space="preserve">Snyder, C. R. (1994). </w:t>
      </w:r>
      <w:r w:rsidRPr="00375BF3">
        <w:t>The psychology of hope: You can get there from here</w:t>
      </w:r>
      <w:r w:rsidRPr="00375BF3">
        <w:rPr>
          <w:shd w:val="clear" w:color="auto" w:fill="FFFFFF"/>
        </w:rPr>
        <w:t>. Simon and Schuster.</w:t>
      </w:r>
    </w:p>
    <w:p w14:paraId="5DFB35EA" w14:textId="77777777" w:rsidR="0046682E" w:rsidRPr="00375BF3" w:rsidRDefault="0046682E" w:rsidP="00703334">
      <w:pPr>
        <w:pStyle w:val="EndNoteBibliography"/>
      </w:pPr>
      <w:r w:rsidRPr="00375BF3">
        <w:rPr>
          <w:shd w:val="clear" w:color="auto" w:fill="FFFFFF"/>
        </w:rPr>
        <w:t xml:space="preserve">Snyder, C. R. (2002). Hope theory: Rainbows in the mind. </w:t>
      </w:r>
      <w:r w:rsidRPr="00375BF3">
        <w:rPr>
          <w:i/>
          <w:iCs/>
        </w:rPr>
        <w:t>Psychological inquiry</w:t>
      </w:r>
      <w:r w:rsidRPr="00375BF3">
        <w:rPr>
          <w:shd w:val="clear" w:color="auto" w:fill="FFFFFF"/>
        </w:rPr>
        <w:t xml:space="preserve">, </w:t>
      </w:r>
      <w:r w:rsidRPr="00375BF3">
        <w:rPr>
          <w:i/>
          <w:iCs/>
        </w:rPr>
        <w:t>13</w:t>
      </w:r>
      <w:r w:rsidRPr="00375BF3">
        <w:rPr>
          <w:shd w:val="clear" w:color="auto" w:fill="FFFFFF"/>
        </w:rPr>
        <w:t>(4), 249-275.</w:t>
      </w:r>
      <w:r w:rsidRPr="00375BF3">
        <w:t xml:space="preserve"> </w:t>
      </w:r>
      <w:hyperlink r:id="rId45" w:history="1">
        <w:r w:rsidRPr="00375BF3">
          <w:rPr>
            <w:rStyle w:val="Hipervnculo"/>
          </w:rPr>
          <w:t>https://doi.org/</w:t>
        </w:r>
      </w:hyperlink>
      <w:r w:rsidRPr="00375BF3">
        <w:rPr>
          <w:shd w:val="clear" w:color="auto" w:fill="FFFFFF"/>
        </w:rPr>
        <w:t>10.1207/s15327965pli1304_01</w:t>
      </w:r>
    </w:p>
    <w:p w14:paraId="095049BF" w14:textId="77777777" w:rsidR="0046682E" w:rsidRPr="00400007" w:rsidRDefault="0046682E" w:rsidP="00703334">
      <w:pPr>
        <w:pStyle w:val="EndNoteBibliography"/>
        <w:rPr>
          <w:lang w:val="es-MX"/>
        </w:rPr>
      </w:pPr>
      <w:proofErr w:type="spellStart"/>
      <w:r w:rsidRPr="00375BF3">
        <w:t>Squillace</w:t>
      </w:r>
      <w:proofErr w:type="spellEnd"/>
      <w:r w:rsidRPr="00375BF3">
        <w:t xml:space="preserve">, M., &amp; </w:t>
      </w:r>
      <w:proofErr w:type="spellStart"/>
      <w:r w:rsidRPr="00375BF3">
        <w:t>Picón</w:t>
      </w:r>
      <w:proofErr w:type="spellEnd"/>
      <w:r w:rsidRPr="00375BF3">
        <w:t xml:space="preserve"> J. J., &amp; Schmidt, V. (2011). </w:t>
      </w:r>
      <w:r w:rsidRPr="00400007">
        <w:rPr>
          <w:lang w:val="es-MX"/>
        </w:rPr>
        <w:t xml:space="preserve">El concepto de impulsividad y su ubicación en las teorías psicobiológicas de la personalidad. </w:t>
      </w:r>
      <w:r w:rsidRPr="00400007">
        <w:rPr>
          <w:i/>
          <w:iCs/>
          <w:lang w:val="es-MX"/>
        </w:rPr>
        <w:t>Revista Neuropsicología Latinoamericana, 3</w:t>
      </w:r>
      <w:r w:rsidRPr="00400007">
        <w:rPr>
          <w:lang w:val="es-MX"/>
        </w:rPr>
        <w:t xml:space="preserve">(1), 8-18. </w:t>
      </w:r>
      <w:r w:rsidR="00FF7FCB">
        <w:fldChar w:fldCharType="begin"/>
      </w:r>
      <w:r w:rsidR="00FF7FCB" w:rsidRPr="00400007">
        <w:rPr>
          <w:lang w:val="es-MX"/>
        </w:rPr>
        <w:instrText xml:space="preserve"> HYPERLINK "https://doi.org/10.1109/5.771073" </w:instrText>
      </w:r>
      <w:r w:rsidR="00FF7FCB">
        <w:fldChar w:fldCharType="separate"/>
      </w:r>
      <w:r w:rsidRPr="00375BF3">
        <w:rPr>
          <w:rStyle w:val="Hipervnculo"/>
          <w:lang w:val="es-ES"/>
        </w:rPr>
        <w:t>https://doi.org/</w:t>
      </w:r>
      <w:r w:rsidR="00FF7FCB">
        <w:rPr>
          <w:rStyle w:val="Hipervnculo"/>
          <w:lang w:val="es-ES"/>
        </w:rPr>
        <w:fldChar w:fldCharType="end"/>
      </w:r>
      <w:r w:rsidRPr="00400007">
        <w:rPr>
          <w:lang w:val="es-MX"/>
        </w:rPr>
        <w:t xml:space="preserve">10.5579/rnl.2011.0057 </w:t>
      </w:r>
    </w:p>
    <w:p w14:paraId="6829E1E7" w14:textId="77777777" w:rsidR="0046682E" w:rsidRPr="00375BF3" w:rsidRDefault="0046682E" w:rsidP="00703334">
      <w:pPr>
        <w:pStyle w:val="EndNoteBibliography"/>
      </w:pPr>
      <w:proofErr w:type="spellStart"/>
      <w:r w:rsidRPr="00375BF3">
        <w:rPr>
          <w:shd w:val="clear" w:color="auto" w:fill="FFFFFF"/>
          <w:lang w:val="es-ES"/>
        </w:rPr>
        <w:t>Vallacher</w:t>
      </w:r>
      <w:proofErr w:type="spellEnd"/>
      <w:r w:rsidRPr="00375BF3">
        <w:rPr>
          <w:shd w:val="clear" w:color="auto" w:fill="FFFFFF"/>
          <w:lang w:val="es-ES"/>
        </w:rPr>
        <w:t xml:space="preserve">, R. R., &amp; </w:t>
      </w:r>
      <w:proofErr w:type="spellStart"/>
      <w:r w:rsidRPr="00375BF3">
        <w:rPr>
          <w:shd w:val="clear" w:color="auto" w:fill="FFFFFF"/>
          <w:lang w:val="es-ES"/>
        </w:rPr>
        <w:t>Wegner</w:t>
      </w:r>
      <w:proofErr w:type="spellEnd"/>
      <w:r w:rsidRPr="00375BF3">
        <w:rPr>
          <w:shd w:val="clear" w:color="auto" w:fill="FFFFFF"/>
          <w:lang w:val="es-ES"/>
        </w:rPr>
        <w:t xml:space="preserve">, D. M. (1989). </w:t>
      </w:r>
      <w:r w:rsidRPr="00375BF3">
        <w:rPr>
          <w:shd w:val="clear" w:color="auto" w:fill="FFFFFF"/>
        </w:rPr>
        <w:t xml:space="preserve">Levels of personal agency: Individual variation in action identification. </w:t>
      </w:r>
      <w:r w:rsidRPr="00375BF3">
        <w:rPr>
          <w:rStyle w:val="nfasis"/>
          <w:b w:val="0"/>
          <w:shd w:val="clear" w:color="auto" w:fill="FFFFFF"/>
          <w:lang w:val="en-US"/>
        </w:rPr>
        <w:t>Journal of Personality and Social Psychology, 57</w:t>
      </w:r>
      <w:r w:rsidRPr="00375BF3">
        <w:rPr>
          <w:shd w:val="clear" w:color="auto" w:fill="FFFFFF"/>
        </w:rPr>
        <w:t xml:space="preserve">(4), 660-671. </w:t>
      </w:r>
      <w:hyperlink r:id="rId46" w:history="1">
        <w:r w:rsidRPr="00375BF3">
          <w:rPr>
            <w:rStyle w:val="Hipervnculo"/>
          </w:rPr>
          <w:t>https://doi.org/</w:t>
        </w:r>
      </w:hyperlink>
      <w:r w:rsidRPr="00375BF3">
        <w:rPr>
          <w:shd w:val="clear" w:color="auto" w:fill="FFFFFF"/>
        </w:rPr>
        <w:t>10.1037/0022-3514.57.4.660</w:t>
      </w:r>
    </w:p>
    <w:p w14:paraId="29CC39A1" w14:textId="77777777" w:rsidR="0046682E" w:rsidRPr="00375BF3" w:rsidRDefault="0046682E" w:rsidP="00703334">
      <w:pPr>
        <w:pStyle w:val="EndNoteBibliography"/>
      </w:pPr>
      <w:r w:rsidRPr="00375BF3">
        <w:rPr>
          <w:shd w:val="clear" w:color="auto" w:fill="FFFFFF"/>
        </w:rPr>
        <w:t xml:space="preserve">Van </w:t>
      </w:r>
      <w:proofErr w:type="spellStart"/>
      <w:r w:rsidRPr="00375BF3">
        <w:rPr>
          <w:shd w:val="clear" w:color="auto" w:fill="FFFFFF"/>
        </w:rPr>
        <w:t>Koningsbruggen</w:t>
      </w:r>
      <w:proofErr w:type="spellEnd"/>
      <w:r w:rsidRPr="00375BF3">
        <w:rPr>
          <w:shd w:val="clear" w:color="auto" w:fill="FFFFFF"/>
        </w:rPr>
        <w:t xml:space="preserve">, G. M., </w:t>
      </w:r>
      <w:proofErr w:type="spellStart"/>
      <w:r w:rsidRPr="00375BF3">
        <w:rPr>
          <w:shd w:val="clear" w:color="auto" w:fill="FFFFFF"/>
        </w:rPr>
        <w:t>Stroebe</w:t>
      </w:r>
      <w:proofErr w:type="spellEnd"/>
      <w:r w:rsidRPr="00375BF3">
        <w:rPr>
          <w:shd w:val="clear" w:color="auto" w:fill="FFFFFF"/>
        </w:rPr>
        <w:t xml:space="preserve">, W., &amp; </w:t>
      </w:r>
      <w:proofErr w:type="spellStart"/>
      <w:r w:rsidRPr="00375BF3">
        <w:rPr>
          <w:shd w:val="clear" w:color="auto" w:fill="FFFFFF"/>
        </w:rPr>
        <w:t>Aarts</w:t>
      </w:r>
      <w:proofErr w:type="spellEnd"/>
      <w:r w:rsidRPr="00375BF3">
        <w:rPr>
          <w:shd w:val="clear" w:color="auto" w:fill="FFFFFF"/>
        </w:rPr>
        <w:t xml:space="preserve">, H. (2013). </w:t>
      </w:r>
      <w:r w:rsidRPr="00375BF3">
        <w:rPr>
          <w:iCs/>
        </w:rPr>
        <w:t>Successful restrained eating and trait impulsiveness.</w:t>
      </w:r>
      <w:r w:rsidRPr="00375BF3">
        <w:rPr>
          <w:i/>
          <w:iCs/>
        </w:rPr>
        <w:t xml:space="preserve"> Appetite,</w:t>
      </w:r>
      <w:r w:rsidRPr="00375BF3">
        <w:rPr>
          <w:iCs/>
        </w:rPr>
        <w:t xml:space="preserve"> 60, 81–84. </w:t>
      </w:r>
      <w:hyperlink r:id="rId47" w:history="1">
        <w:r w:rsidRPr="00375BF3">
          <w:rPr>
            <w:rStyle w:val="Hipervnculo"/>
          </w:rPr>
          <w:t>https://doi.org/</w:t>
        </w:r>
      </w:hyperlink>
      <w:r w:rsidRPr="00375BF3">
        <w:rPr>
          <w:shd w:val="clear" w:color="auto" w:fill="FFFFFF"/>
        </w:rPr>
        <w:t>10.1016/j.appet.2012.09.016</w:t>
      </w:r>
    </w:p>
    <w:p w14:paraId="1ACB9FBF" w14:textId="77777777" w:rsidR="00BE4CEE" w:rsidRDefault="0046682E" w:rsidP="006C49E0">
      <w:pPr>
        <w:ind w:left="709" w:hanging="709"/>
      </w:pPr>
      <w:r w:rsidRPr="000E4DA0">
        <w:rPr>
          <w:shd w:val="clear" w:color="auto" w:fill="FFFFFF"/>
          <w:lang w:val="en-GB"/>
        </w:rPr>
        <w:t>Vigil-</w:t>
      </w:r>
      <w:proofErr w:type="spellStart"/>
      <w:r w:rsidRPr="000E4DA0">
        <w:rPr>
          <w:shd w:val="clear" w:color="auto" w:fill="FFFFFF"/>
          <w:lang w:val="en-GB"/>
        </w:rPr>
        <w:t>Coleṭ</w:t>
      </w:r>
      <w:proofErr w:type="spellEnd"/>
      <w:r w:rsidRPr="000E4DA0">
        <w:rPr>
          <w:shd w:val="clear" w:color="auto" w:fill="FFFFFF"/>
          <w:lang w:val="en-GB"/>
        </w:rPr>
        <w:t>, A., &amp; Morales-</w:t>
      </w:r>
      <w:proofErr w:type="spellStart"/>
      <w:r w:rsidRPr="000E4DA0">
        <w:rPr>
          <w:shd w:val="clear" w:color="auto" w:fill="FFFFFF"/>
          <w:lang w:val="en-GB"/>
        </w:rPr>
        <w:t>Vives</w:t>
      </w:r>
      <w:proofErr w:type="spellEnd"/>
      <w:r w:rsidRPr="000E4DA0">
        <w:rPr>
          <w:shd w:val="clear" w:color="auto" w:fill="FFFFFF"/>
          <w:lang w:val="en-GB"/>
        </w:rPr>
        <w:t xml:space="preserve">, F. (2005). </w:t>
      </w:r>
      <w:r w:rsidRPr="00375BF3">
        <w:rPr>
          <w:shd w:val="clear" w:color="auto" w:fill="FFFFFF"/>
          <w:lang w:val="en-US"/>
        </w:rPr>
        <w:t>How impulsivity is related to intelligence and academic achievement.</w:t>
      </w:r>
      <w:r w:rsidRPr="00375BF3">
        <w:rPr>
          <w:lang w:val="en-US"/>
        </w:rPr>
        <w:t xml:space="preserve"> </w:t>
      </w:r>
      <w:r w:rsidRPr="00375BF3">
        <w:rPr>
          <w:i/>
          <w:shd w:val="clear" w:color="auto" w:fill="FFFFFF"/>
        </w:rPr>
        <w:t>The Spanish Journal of Psychology</w:t>
      </w:r>
      <w:r w:rsidRPr="00375BF3">
        <w:rPr>
          <w:shd w:val="clear" w:color="auto" w:fill="FFFFFF"/>
        </w:rPr>
        <w:t>,</w:t>
      </w:r>
      <w:r w:rsidRPr="00375BF3">
        <w:t xml:space="preserve"> </w:t>
      </w:r>
      <w:r w:rsidRPr="00375BF3">
        <w:rPr>
          <w:shd w:val="clear" w:color="auto" w:fill="FFFFFF"/>
        </w:rPr>
        <w:t xml:space="preserve">8(2), 199-204. </w:t>
      </w:r>
      <w:hyperlink r:id="rId48" w:history="1">
        <w:r w:rsidRPr="00375BF3">
          <w:rPr>
            <w:rStyle w:val="Hipervnculo"/>
          </w:rPr>
          <w:t>https://doi.org/</w:t>
        </w:r>
      </w:hyperlink>
      <w:r w:rsidRPr="00375BF3">
        <w:rPr>
          <w:shd w:val="clear" w:color="auto" w:fill="FFFFFF"/>
        </w:rPr>
        <w:t>10.1017/s1138741600005072</w:t>
      </w:r>
    </w:p>
    <w:sectPr w:rsidR="00BE4CEE" w:rsidSect="006C49E0">
      <w:footerReference w:type="even" r:id="rId49"/>
      <w:footerReference w:type="default" r:id="rId50"/>
      <w:pgSz w:w="11900" w:h="1682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6F891" w14:textId="77777777" w:rsidR="00174653" w:rsidRDefault="00174653" w:rsidP="0046682E">
      <w:r>
        <w:separator/>
      </w:r>
    </w:p>
  </w:endnote>
  <w:endnote w:type="continuationSeparator" w:id="0">
    <w:p w14:paraId="71999827" w14:textId="77777777" w:rsidR="00174653" w:rsidRDefault="00174653" w:rsidP="0046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Cuerpo en alfa">
    <w:altName w:val="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Cuerpo)">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84375820"/>
      <w:docPartObj>
        <w:docPartGallery w:val="Page Numbers (Bottom of Page)"/>
        <w:docPartUnique/>
      </w:docPartObj>
    </w:sdtPr>
    <w:sdtEndPr>
      <w:rPr>
        <w:rStyle w:val="Nmerodepgina"/>
      </w:rPr>
    </w:sdtEndPr>
    <w:sdtContent>
      <w:p w14:paraId="43D11BEE" w14:textId="77777777" w:rsidR="006C49E0" w:rsidRDefault="006C49E0" w:rsidP="009E51A6">
        <w:pPr>
          <w:pStyle w:val="Piedepgina"/>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829580F" w14:textId="77777777" w:rsidR="006C49E0" w:rsidRDefault="006C49E0" w:rsidP="006C49E0">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43377267"/>
      <w:docPartObj>
        <w:docPartGallery w:val="Page Numbers (Bottom of Page)"/>
        <w:docPartUnique/>
      </w:docPartObj>
    </w:sdtPr>
    <w:sdtEndPr>
      <w:rPr>
        <w:rStyle w:val="Nmerodepgina"/>
      </w:rPr>
    </w:sdtEndPr>
    <w:sdtContent>
      <w:p w14:paraId="02B28154" w14:textId="77777777" w:rsidR="006C49E0" w:rsidRDefault="006C49E0" w:rsidP="009E51A6">
        <w:pPr>
          <w:pStyle w:val="Piedepgina"/>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5181E01" w14:textId="77777777" w:rsidR="006C49E0" w:rsidRDefault="006C49E0" w:rsidP="006C49E0">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4189B" w14:textId="77777777" w:rsidR="00174653" w:rsidRDefault="00174653" w:rsidP="0046682E">
      <w:r>
        <w:separator/>
      </w:r>
    </w:p>
  </w:footnote>
  <w:footnote w:type="continuationSeparator" w:id="0">
    <w:p w14:paraId="70BE3DFF" w14:textId="77777777" w:rsidR="00174653" w:rsidRDefault="00174653" w:rsidP="00466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A63E9"/>
    <w:multiLevelType w:val="hybridMultilevel"/>
    <w:tmpl w:val="4E9883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B7F753E"/>
    <w:multiLevelType w:val="hybridMultilevel"/>
    <w:tmpl w:val="3520570E"/>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 w15:restartNumberingAfterBreak="0">
    <w:nsid w:val="338E7C2D"/>
    <w:multiLevelType w:val="hybridMultilevel"/>
    <w:tmpl w:val="21B0BFD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F0F36AB"/>
    <w:multiLevelType w:val="hybridMultilevel"/>
    <w:tmpl w:val="B46C2B50"/>
    <w:lvl w:ilvl="0" w:tplc="ECB0DCCC">
      <w:start w:val="1"/>
      <w:numFmt w:val="decimal"/>
      <w:lvlText w:val="%1."/>
      <w:lvlJc w:val="left"/>
      <w:pPr>
        <w:ind w:left="1457" w:hanging="360"/>
      </w:pPr>
      <w:rPr>
        <w:b/>
      </w:rPr>
    </w:lvl>
    <w:lvl w:ilvl="1" w:tplc="040A0019" w:tentative="1">
      <w:start w:val="1"/>
      <w:numFmt w:val="lowerLetter"/>
      <w:lvlText w:val="%2."/>
      <w:lvlJc w:val="left"/>
      <w:pPr>
        <w:ind w:left="2177" w:hanging="360"/>
      </w:pPr>
    </w:lvl>
    <w:lvl w:ilvl="2" w:tplc="040A001B" w:tentative="1">
      <w:start w:val="1"/>
      <w:numFmt w:val="lowerRoman"/>
      <w:lvlText w:val="%3."/>
      <w:lvlJc w:val="right"/>
      <w:pPr>
        <w:ind w:left="2897" w:hanging="180"/>
      </w:pPr>
    </w:lvl>
    <w:lvl w:ilvl="3" w:tplc="040A000F" w:tentative="1">
      <w:start w:val="1"/>
      <w:numFmt w:val="decimal"/>
      <w:lvlText w:val="%4."/>
      <w:lvlJc w:val="left"/>
      <w:pPr>
        <w:ind w:left="3617" w:hanging="360"/>
      </w:pPr>
    </w:lvl>
    <w:lvl w:ilvl="4" w:tplc="040A0019" w:tentative="1">
      <w:start w:val="1"/>
      <w:numFmt w:val="lowerLetter"/>
      <w:lvlText w:val="%5."/>
      <w:lvlJc w:val="left"/>
      <w:pPr>
        <w:ind w:left="4337" w:hanging="360"/>
      </w:pPr>
    </w:lvl>
    <w:lvl w:ilvl="5" w:tplc="040A001B" w:tentative="1">
      <w:start w:val="1"/>
      <w:numFmt w:val="lowerRoman"/>
      <w:lvlText w:val="%6."/>
      <w:lvlJc w:val="right"/>
      <w:pPr>
        <w:ind w:left="5057" w:hanging="180"/>
      </w:pPr>
    </w:lvl>
    <w:lvl w:ilvl="6" w:tplc="040A000F" w:tentative="1">
      <w:start w:val="1"/>
      <w:numFmt w:val="decimal"/>
      <w:lvlText w:val="%7."/>
      <w:lvlJc w:val="left"/>
      <w:pPr>
        <w:ind w:left="5777" w:hanging="360"/>
      </w:pPr>
    </w:lvl>
    <w:lvl w:ilvl="7" w:tplc="040A0019" w:tentative="1">
      <w:start w:val="1"/>
      <w:numFmt w:val="lowerLetter"/>
      <w:lvlText w:val="%8."/>
      <w:lvlJc w:val="left"/>
      <w:pPr>
        <w:ind w:left="6497" w:hanging="360"/>
      </w:pPr>
    </w:lvl>
    <w:lvl w:ilvl="8" w:tplc="040A001B" w:tentative="1">
      <w:start w:val="1"/>
      <w:numFmt w:val="lowerRoman"/>
      <w:lvlText w:val="%9."/>
      <w:lvlJc w:val="right"/>
      <w:pPr>
        <w:ind w:left="7217" w:hanging="180"/>
      </w:pPr>
    </w:lvl>
  </w:abstractNum>
  <w:abstractNum w:abstractNumId="4" w15:restartNumberingAfterBreak="0">
    <w:nsid w:val="64D34AB3"/>
    <w:multiLevelType w:val="hybridMultilevel"/>
    <w:tmpl w:val="FC4A5F1C"/>
    <w:lvl w:ilvl="0" w:tplc="040A000F">
      <w:start w:val="1"/>
      <w:numFmt w:val="decimal"/>
      <w:lvlText w:val="%1."/>
      <w:lvlJc w:val="left"/>
      <w:pPr>
        <w:ind w:left="1457" w:hanging="360"/>
      </w:pPr>
    </w:lvl>
    <w:lvl w:ilvl="1" w:tplc="040A0019" w:tentative="1">
      <w:start w:val="1"/>
      <w:numFmt w:val="lowerLetter"/>
      <w:lvlText w:val="%2."/>
      <w:lvlJc w:val="left"/>
      <w:pPr>
        <w:ind w:left="2177" w:hanging="360"/>
      </w:pPr>
    </w:lvl>
    <w:lvl w:ilvl="2" w:tplc="040A001B" w:tentative="1">
      <w:start w:val="1"/>
      <w:numFmt w:val="lowerRoman"/>
      <w:lvlText w:val="%3."/>
      <w:lvlJc w:val="right"/>
      <w:pPr>
        <w:ind w:left="2897" w:hanging="180"/>
      </w:pPr>
    </w:lvl>
    <w:lvl w:ilvl="3" w:tplc="040A000F" w:tentative="1">
      <w:start w:val="1"/>
      <w:numFmt w:val="decimal"/>
      <w:lvlText w:val="%4."/>
      <w:lvlJc w:val="left"/>
      <w:pPr>
        <w:ind w:left="3617" w:hanging="360"/>
      </w:pPr>
    </w:lvl>
    <w:lvl w:ilvl="4" w:tplc="040A0019" w:tentative="1">
      <w:start w:val="1"/>
      <w:numFmt w:val="lowerLetter"/>
      <w:lvlText w:val="%5."/>
      <w:lvlJc w:val="left"/>
      <w:pPr>
        <w:ind w:left="4337" w:hanging="360"/>
      </w:pPr>
    </w:lvl>
    <w:lvl w:ilvl="5" w:tplc="040A001B" w:tentative="1">
      <w:start w:val="1"/>
      <w:numFmt w:val="lowerRoman"/>
      <w:lvlText w:val="%6."/>
      <w:lvlJc w:val="right"/>
      <w:pPr>
        <w:ind w:left="5057" w:hanging="180"/>
      </w:pPr>
    </w:lvl>
    <w:lvl w:ilvl="6" w:tplc="040A000F" w:tentative="1">
      <w:start w:val="1"/>
      <w:numFmt w:val="decimal"/>
      <w:lvlText w:val="%7."/>
      <w:lvlJc w:val="left"/>
      <w:pPr>
        <w:ind w:left="5777" w:hanging="360"/>
      </w:pPr>
    </w:lvl>
    <w:lvl w:ilvl="7" w:tplc="040A0019" w:tentative="1">
      <w:start w:val="1"/>
      <w:numFmt w:val="lowerLetter"/>
      <w:lvlText w:val="%8."/>
      <w:lvlJc w:val="left"/>
      <w:pPr>
        <w:ind w:left="6497" w:hanging="360"/>
      </w:pPr>
    </w:lvl>
    <w:lvl w:ilvl="8" w:tplc="040A001B" w:tentative="1">
      <w:start w:val="1"/>
      <w:numFmt w:val="lowerRoman"/>
      <w:lvlText w:val="%9."/>
      <w:lvlJc w:val="right"/>
      <w:pPr>
        <w:ind w:left="7217" w:hanging="180"/>
      </w:pPr>
    </w:lvl>
  </w:abstractNum>
  <w:abstractNum w:abstractNumId="5" w15:restartNumberingAfterBreak="0">
    <w:nsid w:val="680313DF"/>
    <w:multiLevelType w:val="hybridMultilevel"/>
    <w:tmpl w:val="5F5A9CDE"/>
    <w:lvl w:ilvl="0" w:tplc="91AABEC8">
      <w:start w:val="1"/>
      <w:numFmt w:val="decimal"/>
      <w:lvlText w:val="%1."/>
      <w:lvlJc w:val="left"/>
      <w:pPr>
        <w:ind w:left="1287" w:hanging="360"/>
      </w:pPr>
      <w:rPr>
        <w:b w:val="0"/>
      </w:r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6" w15:restartNumberingAfterBreak="0">
    <w:nsid w:val="6D117AE3"/>
    <w:multiLevelType w:val="hybridMultilevel"/>
    <w:tmpl w:val="61DCD40C"/>
    <w:lvl w:ilvl="0" w:tplc="8528F574">
      <w:start w:val="1"/>
      <w:numFmt w:val="bullet"/>
      <w:lvlText w:val=""/>
      <w:lvlJc w:val="left"/>
      <w:pPr>
        <w:ind w:left="720" w:hanging="360"/>
      </w:pPr>
      <w:rPr>
        <w:rFonts w:ascii="Symbol" w:hAnsi="Symbol" w:hint="default"/>
        <w:b/>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FA01B0A"/>
    <w:multiLevelType w:val="hybridMultilevel"/>
    <w:tmpl w:val="F7D687C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2E"/>
    <w:rsid w:val="00001909"/>
    <w:rsid w:val="000301E0"/>
    <w:rsid w:val="00063CAD"/>
    <w:rsid w:val="00084C85"/>
    <w:rsid w:val="00090DCB"/>
    <w:rsid w:val="00096226"/>
    <w:rsid w:val="000B7BF5"/>
    <w:rsid w:val="000E4DA0"/>
    <w:rsid w:val="001101EF"/>
    <w:rsid w:val="00110B38"/>
    <w:rsid w:val="00123A07"/>
    <w:rsid w:val="00132A4F"/>
    <w:rsid w:val="00174653"/>
    <w:rsid w:val="001A6686"/>
    <w:rsid w:val="001B136D"/>
    <w:rsid w:val="00270556"/>
    <w:rsid w:val="00275042"/>
    <w:rsid w:val="002803BF"/>
    <w:rsid w:val="002C3355"/>
    <w:rsid w:val="002F00A8"/>
    <w:rsid w:val="0032487E"/>
    <w:rsid w:val="0035539A"/>
    <w:rsid w:val="00356A60"/>
    <w:rsid w:val="00375BF3"/>
    <w:rsid w:val="003C400F"/>
    <w:rsid w:val="003D7D7F"/>
    <w:rsid w:val="003E1125"/>
    <w:rsid w:val="00400007"/>
    <w:rsid w:val="004332DA"/>
    <w:rsid w:val="0046682E"/>
    <w:rsid w:val="004A0300"/>
    <w:rsid w:val="004C443E"/>
    <w:rsid w:val="00511A20"/>
    <w:rsid w:val="00536524"/>
    <w:rsid w:val="00573216"/>
    <w:rsid w:val="00587CCA"/>
    <w:rsid w:val="00622E68"/>
    <w:rsid w:val="0065198D"/>
    <w:rsid w:val="00665340"/>
    <w:rsid w:val="0067445E"/>
    <w:rsid w:val="006A3AF4"/>
    <w:rsid w:val="006C49E0"/>
    <w:rsid w:val="006E01B6"/>
    <w:rsid w:val="00703334"/>
    <w:rsid w:val="00703680"/>
    <w:rsid w:val="00716191"/>
    <w:rsid w:val="00717492"/>
    <w:rsid w:val="00724C00"/>
    <w:rsid w:val="00734976"/>
    <w:rsid w:val="00772C88"/>
    <w:rsid w:val="00783DB5"/>
    <w:rsid w:val="00786879"/>
    <w:rsid w:val="007A4414"/>
    <w:rsid w:val="007D4908"/>
    <w:rsid w:val="007F3E71"/>
    <w:rsid w:val="007F4F30"/>
    <w:rsid w:val="008124E0"/>
    <w:rsid w:val="00825A47"/>
    <w:rsid w:val="008819AD"/>
    <w:rsid w:val="00893707"/>
    <w:rsid w:val="008B7CC2"/>
    <w:rsid w:val="008D2211"/>
    <w:rsid w:val="00900300"/>
    <w:rsid w:val="009028E5"/>
    <w:rsid w:val="00903F73"/>
    <w:rsid w:val="0091340B"/>
    <w:rsid w:val="0096267F"/>
    <w:rsid w:val="00976AF7"/>
    <w:rsid w:val="0098699F"/>
    <w:rsid w:val="009A03EF"/>
    <w:rsid w:val="009B76B5"/>
    <w:rsid w:val="00A01EC4"/>
    <w:rsid w:val="00A42F11"/>
    <w:rsid w:val="00AA29F6"/>
    <w:rsid w:val="00AA74D5"/>
    <w:rsid w:val="00AC4F38"/>
    <w:rsid w:val="00AE20D1"/>
    <w:rsid w:val="00B0232C"/>
    <w:rsid w:val="00B24EFF"/>
    <w:rsid w:val="00B44AC3"/>
    <w:rsid w:val="00B86F56"/>
    <w:rsid w:val="00BA006E"/>
    <w:rsid w:val="00BB6997"/>
    <w:rsid w:val="00BE4CEE"/>
    <w:rsid w:val="00BF6B5A"/>
    <w:rsid w:val="00C01E04"/>
    <w:rsid w:val="00C639FA"/>
    <w:rsid w:val="00C9092A"/>
    <w:rsid w:val="00C96083"/>
    <w:rsid w:val="00CA031F"/>
    <w:rsid w:val="00CC65F9"/>
    <w:rsid w:val="00CD1F74"/>
    <w:rsid w:val="00CD7F07"/>
    <w:rsid w:val="00CE6498"/>
    <w:rsid w:val="00CF0E2A"/>
    <w:rsid w:val="00D25A5D"/>
    <w:rsid w:val="00D87B01"/>
    <w:rsid w:val="00DA26BB"/>
    <w:rsid w:val="00DE4100"/>
    <w:rsid w:val="00DE5365"/>
    <w:rsid w:val="00E4432A"/>
    <w:rsid w:val="00E523EF"/>
    <w:rsid w:val="00E960E4"/>
    <w:rsid w:val="00ED1673"/>
    <w:rsid w:val="00EF518A"/>
    <w:rsid w:val="00F2440E"/>
    <w:rsid w:val="00F34FA6"/>
    <w:rsid w:val="00F506D1"/>
    <w:rsid w:val="00F6036C"/>
    <w:rsid w:val="00FA039E"/>
    <w:rsid w:val="00FB4667"/>
    <w:rsid w:val="00FC1A2D"/>
    <w:rsid w:val="00FC3280"/>
    <w:rsid w:val="00FF7F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5E38"/>
  <w15:chartTrackingRefBased/>
  <w15:docId w15:val="{BD2D9808-A93F-684D-AF81-15A70A83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82E"/>
    <w:rPr>
      <w:rFonts w:ascii="Times New Roman" w:eastAsia="Times New Roman" w:hAnsi="Times New Roman" w:cs="Times New Roman"/>
      <w:lang w:eastAsia="es-ES_tradnl"/>
    </w:rPr>
  </w:style>
  <w:style w:type="paragraph" w:styleId="Ttulo1">
    <w:name w:val="heading 1"/>
    <w:basedOn w:val="Normal"/>
    <w:next w:val="Normal"/>
    <w:link w:val="Ttulo1Car"/>
    <w:autoRedefine/>
    <w:uiPriority w:val="9"/>
    <w:qFormat/>
    <w:rsid w:val="0046682E"/>
    <w:pPr>
      <w:jc w:val="center"/>
      <w:outlineLvl w:val="0"/>
    </w:pPr>
    <w:rPr>
      <w:rFonts w:cs="Times New Roman (Cuerpo en alfa"/>
      <w:b/>
      <w:smallCaps/>
      <w:color w:val="000000" w:themeColor="text1"/>
      <w:spacing w:val="5"/>
      <w:sz w:val="48"/>
      <w:szCs w:val="32"/>
      <w:lang w:val="en-US"/>
    </w:rPr>
  </w:style>
  <w:style w:type="paragraph" w:styleId="Ttulo2">
    <w:name w:val="heading 2"/>
    <w:basedOn w:val="Normal"/>
    <w:next w:val="Normal"/>
    <w:link w:val="Ttulo2Car"/>
    <w:autoRedefine/>
    <w:uiPriority w:val="9"/>
    <w:unhideWhenUsed/>
    <w:qFormat/>
    <w:rsid w:val="0046682E"/>
    <w:pPr>
      <w:spacing w:before="120" w:after="120"/>
      <w:contextualSpacing/>
      <w:jc w:val="right"/>
      <w:outlineLvl w:val="1"/>
    </w:pPr>
    <w:rPr>
      <w:b/>
      <w:smallCaps/>
      <w:sz w:val="36"/>
    </w:rPr>
  </w:style>
  <w:style w:type="paragraph" w:styleId="Ttulo3">
    <w:name w:val="heading 3"/>
    <w:basedOn w:val="Normal"/>
    <w:next w:val="Normal"/>
    <w:link w:val="Ttulo3Car"/>
    <w:autoRedefine/>
    <w:uiPriority w:val="9"/>
    <w:unhideWhenUsed/>
    <w:qFormat/>
    <w:rsid w:val="009B76B5"/>
    <w:pPr>
      <w:spacing w:before="120" w:after="120" w:line="360" w:lineRule="auto"/>
      <w:jc w:val="center"/>
      <w:outlineLvl w:val="2"/>
    </w:pPr>
    <w:rPr>
      <w:rFonts w:cs="Times New Roman (Cuerpo en alfa"/>
      <w:b/>
      <w:spacing w:val="5"/>
    </w:rPr>
  </w:style>
  <w:style w:type="paragraph" w:styleId="Ttulo4">
    <w:name w:val="heading 4"/>
    <w:basedOn w:val="Normal"/>
    <w:next w:val="Normal"/>
    <w:link w:val="Ttulo4Car"/>
    <w:autoRedefine/>
    <w:uiPriority w:val="9"/>
    <w:unhideWhenUsed/>
    <w:qFormat/>
    <w:rsid w:val="0046682E"/>
    <w:pPr>
      <w:spacing w:before="120" w:after="120" w:line="480" w:lineRule="auto"/>
      <w:ind w:firstLine="737"/>
      <w:jc w:val="both"/>
      <w:outlineLvl w:val="3"/>
    </w:pPr>
    <w:rPr>
      <w:spacing w:val="10"/>
      <w:sz w:val="32"/>
      <w:szCs w:val="22"/>
    </w:rPr>
  </w:style>
  <w:style w:type="paragraph" w:styleId="Ttulo5">
    <w:name w:val="heading 5"/>
    <w:basedOn w:val="Normal"/>
    <w:next w:val="Normal"/>
    <w:link w:val="Ttulo5Car"/>
    <w:uiPriority w:val="9"/>
    <w:semiHidden/>
    <w:unhideWhenUsed/>
    <w:qFormat/>
    <w:rsid w:val="0046682E"/>
    <w:pPr>
      <w:spacing w:before="200"/>
      <w:outlineLvl w:val="4"/>
    </w:pPr>
    <w:rPr>
      <w:smallCaps/>
      <w:color w:val="C45911" w:themeColor="accent2" w:themeShade="BF"/>
      <w:spacing w:val="10"/>
      <w:sz w:val="22"/>
      <w:szCs w:val="26"/>
    </w:rPr>
  </w:style>
  <w:style w:type="paragraph" w:styleId="Ttulo6">
    <w:name w:val="heading 6"/>
    <w:basedOn w:val="Normal"/>
    <w:next w:val="Normal"/>
    <w:link w:val="Ttulo6Car"/>
    <w:uiPriority w:val="9"/>
    <w:semiHidden/>
    <w:unhideWhenUsed/>
    <w:qFormat/>
    <w:rsid w:val="0046682E"/>
    <w:pPr>
      <w:outlineLvl w:val="5"/>
    </w:pPr>
    <w:rPr>
      <w:smallCaps/>
      <w:color w:val="ED7D31" w:themeColor="accent2"/>
      <w:spacing w:val="5"/>
      <w:sz w:val="22"/>
    </w:rPr>
  </w:style>
  <w:style w:type="paragraph" w:styleId="Ttulo7">
    <w:name w:val="heading 7"/>
    <w:basedOn w:val="Normal"/>
    <w:next w:val="Normal"/>
    <w:link w:val="Ttulo7Car"/>
    <w:uiPriority w:val="9"/>
    <w:semiHidden/>
    <w:unhideWhenUsed/>
    <w:qFormat/>
    <w:rsid w:val="0046682E"/>
    <w:pPr>
      <w:outlineLvl w:val="6"/>
    </w:pPr>
    <w:rPr>
      <w:b/>
      <w:smallCaps/>
      <w:color w:val="ED7D31" w:themeColor="accent2"/>
      <w:spacing w:val="10"/>
    </w:rPr>
  </w:style>
  <w:style w:type="paragraph" w:styleId="Ttulo8">
    <w:name w:val="heading 8"/>
    <w:basedOn w:val="Normal"/>
    <w:next w:val="Normal"/>
    <w:link w:val="Ttulo8Car"/>
    <w:uiPriority w:val="9"/>
    <w:semiHidden/>
    <w:unhideWhenUsed/>
    <w:qFormat/>
    <w:rsid w:val="0046682E"/>
    <w:pPr>
      <w:outlineLvl w:val="7"/>
    </w:pPr>
    <w:rPr>
      <w:b/>
      <w:i/>
      <w:smallCaps/>
      <w:color w:val="C45911" w:themeColor="accent2" w:themeShade="BF"/>
    </w:rPr>
  </w:style>
  <w:style w:type="paragraph" w:styleId="Ttulo9">
    <w:name w:val="heading 9"/>
    <w:basedOn w:val="Normal"/>
    <w:next w:val="Normal"/>
    <w:link w:val="Ttulo9Car"/>
    <w:uiPriority w:val="9"/>
    <w:semiHidden/>
    <w:unhideWhenUsed/>
    <w:qFormat/>
    <w:rsid w:val="0046682E"/>
    <w:pPr>
      <w:outlineLvl w:val="8"/>
    </w:pPr>
    <w:rPr>
      <w:b/>
      <w:i/>
      <w:smallCaps/>
      <w:color w:val="823B0B" w:themeColor="accent2"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aliases w:val="Tabla de figuras"/>
    <w:basedOn w:val="Normal"/>
    <w:next w:val="Normal"/>
    <w:autoRedefine/>
    <w:uiPriority w:val="99"/>
    <w:unhideWhenUsed/>
    <w:qFormat/>
    <w:rsid w:val="00E4432A"/>
    <w:pPr>
      <w:spacing w:before="120" w:after="120" w:line="360" w:lineRule="auto"/>
    </w:pPr>
    <w:rPr>
      <w:b/>
      <w:lang w:val="es-ES_tradnl"/>
    </w:rPr>
  </w:style>
  <w:style w:type="character" w:customStyle="1" w:styleId="Ttulo1Car">
    <w:name w:val="Título 1 Car"/>
    <w:basedOn w:val="Fuentedeprrafopredeter"/>
    <w:link w:val="Ttulo1"/>
    <w:uiPriority w:val="9"/>
    <w:rsid w:val="0046682E"/>
    <w:rPr>
      <w:rFonts w:ascii="Times New Roman" w:eastAsia="Times New Roman" w:hAnsi="Times New Roman" w:cs="Times New Roman (Cuerpo en alfa"/>
      <w:b/>
      <w:smallCaps/>
      <w:color w:val="000000" w:themeColor="text1"/>
      <w:spacing w:val="5"/>
      <w:sz w:val="48"/>
      <w:szCs w:val="32"/>
      <w:lang w:val="en-US" w:eastAsia="es-ES_tradnl"/>
    </w:rPr>
  </w:style>
  <w:style w:type="character" w:customStyle="1" w:styleId="Ttulo2Car">
    <w:name w:val="Título 2 Car"/>
    <w:basedOn w:val="Fuentedeprrafopredeter"/>
    <w:link w:val="Ttulo2"/>
    <w:uiPriority w:val="9"/>
    <w:rsid w:val="0046682E"/>
    <w:rPr>
      <w:rFonts w:ascii="Times New Roman" w:eastAsia="Times New Roman" w:hAnsi="Times New Roman" w:cs="Times New Roman"/>
      <w:b/>
      <w:smallCaps/>
      <w:sz w:val="36"/>
      <w:lang w:eastAsia="es-ES_tradnl"/>
    </w:rPr>
  </w:style>
  <w:style w:type="character" w:customStyle="1" w:styleId="Ttulo3Car">
    <w:name w:val="Título 3 Car"/>
    <w:basedOn w:val="Fuentedeprrafopredeter"/>
    <w:link w:val="Ttulo3"/>
    <w:uiPriority w:val="9"/>
    <w:rsid w:val="009B76B5"/>
    <w:rPr>
      <w:rFonts w:ascii="Times New Roman" w:eastAsia="Times New Roman" w:hAnsi="Times New Roman" w:cs="Times New Roman (Cuerpo en alfa"/>
      <w:b/>
      <w:spacing w:val="5"/>
      <w:lang w:eastAsia="es-ES_tradnl"/>
    </w:rPr>
  </w:style>
  <w:style w:type="character" w:customStyle="1" w:styleId="Ttulo4Car">
    <w:name w:val="Título 4 Car"/>
    <w:basedOn w:val="Fuentedeprrafopredeter"/>
    <w:link w:val="Ttulo4"/>
    <w:uiPriority w:val="9"/>
    <w:rsid w:val="0046682E"/>
    <w:rPr>
      <w:rFonts w:ascii="Times New Roman" w:eastAsia="Times New Roman" w:hAnsi="Times New Roman" w:cs="Times New Roman"/>
      <w:spacing w:val="10"/>
      <w:sz w:val="32"/>
      <w:szCs w:val="22"/>
      <w:lang w:eastAsia="es-ES_tradnl"/>
    </w:rPr>
  </w:style>
  <w:style w:type="character" w:customStyle="1" w:styleId="Ttulo5Car">
    <w:name w:val="Título 5 Car"/>
    <w:basedOn w:val="Fuentedeprrafopredeter"/>
    <w:link w:val="Ttulo5"/>
    <w:uiPriority w:val="9"/>
    <w:semiHidden/>
    <w:rsid w:val="0046682E"/>
    <w:rPr>
      <w:rFonts w:ascii="Times New Roman" w:eastAsia="Times New Roman" w:hAnsi="Times New Roman" w:cs="Times New Roman"/>
      <w:smallCaps/>
      <w:color w:val="C45911" w:themeColor="accent2" w:themeShade="BF"/>
      <w:spacing w:val="10"/>
      <w:sz w:val="22"/>
      <w:szCs w:val="26"/>
      <w:lang w:eastAsia="es-ES_tradnl"/>
    </w:rPr>
  </w:style>
  <w:style w:type="character" w:customStyle="1" w:styleId="Ttulo6Car">
    <w:name w:val="Título 6 Car"/>
    <w:basedOn w:val="Fuentedeprrafopredeter"/>
    <w:link w:val="Ttulo6"/>
    <w:uiPriority w:val="9"/>
    <w:semiHidden/>
    <w:rsid w:val="0046682E"/>
    <w:rPr>
      <w:rFonts w:ascii="Times New Roman" w:eastAsia="Times New Roman" w:hAnsi="Times New Roman" w:cs="Times New Roman"/>
      <w:smallCaps/>
      <w:color w:val="ED7D31" w:themeColor="accent2"/>
      <w:spacing w:val="5"/>
      <w:sz w:val="22"/>
      <w:lang w:eastAsia="es-ES_tradnl"/>
    </w:rPr>
  </w:style>
  <w:style w:type="character" w:customStyle="1" w:styleId="Ttulo7Car">
    <w:name w:val="Título 7 Car"/>
    <w:basedOn w:val="Fuentedeprrafopredeter"/>
    <w:link w:val="Ttulo7"/>
    <w:uiPriority w:val="9"/>
    <w:semiHidden/>
    <w:rsid w:val="0046682E"/>
    <w:rPr>
      <w:rFonts w:ascii="Times New Roman" w:eastAsia="Times New Roman" w:hAnsi="Times New Roman" w:cs="Times New Roman"/>
      <w:b/>
      <w:smallCaps/>
      <w:color w:val="ED7D31" w:themeColor="accent2"/>
      <w:spacing w:val="10"/>
      <w:lang w:eastAsia="es-ES_tradnl"/>
    </w:rPr>
  </w:style>
  <w:style w:type="character" w:customStyle="1" w:styleId="Ttulo8Car">
    <w:name w:val="Título 8 Car"/>
    <w:basedOn w:val="Fuentedeprrafopredeter"/>
    <w:link w:val="Ttulo8"/>
    <w:uiPriority w:val="9"/>
    <w:semiHidden/>
    <w:rsid w:val="0046682E"/>
    <w:rPr>
      <w:rFonts w:ascii="Times New Roman" w:eastAsia="Times New Roman" w:hAnsi="Times New Roman" w:cs="Times New Roman"/>
      <w:b/>
      <w:i/>
      <w:smallCaps/>
      <w:color w:val="C45911" w:themeColor="accent2" w:themeShade="BF"/>
      <w:lang w:eastAsia="es-ES_tradnl"/>
    </w:rPr>
  </w:style>
  <w:style w:type="character" w:customStyle="1" w:styleId="Ttulo9Car">
    <w:name w:val="Título 9 Car"/>
    <w:basedOn w:val="Fuentedeprrafopredeter"/>
    <w:link w:val="Ttulo9"/>
    <w:uiPriority w:val="9"/>
    <w:semiHidden/>
    <w:rsid w:val="0046682E"/>
    <w:rPr>
      <w:rFonts w:ascii="Times New Roman" w:eastAsia="Times New Roman" w:hAnsi="Times New Roman" w:cs="Times New Roman"/>
      <w:b/>
      <w:i/>
      <w:smallCaps/>
      <w:color w:val="823B0B" w:themeColor="accent2" w:themeShade="7F"/>
      <w:lang w:eastAsia="es-ES_tradnl"/>
    </w:rPr>
  </w:style>
  <w:style w:type="paragraph" w:styleId="Prrafodelista">
    <w:name w:val="List Paragraph"/>
    <w:basedOn w:val="Normal"/>
    <w:uiPriority w:val="34"/>
    <w:qFormat/>
    <w:rsid w:val="0046682E"/>
    <w:pPr>
      <w:ind w:left="720"/>
      <w:contextualSpacing/>
    </w:pPr>
  </w:style>
  <w:style w:type="paragraph" w:customStyle="1" w:styleId="p1">
    <w:name w:val="p1"/>
    <w:basedOn w:val="Normal"/>
    <w:rsid w:val="0046682E"/>
    <w:rPr>
      <w:rFonts w:ascii="Times" w:hAnsi="Times"/>
      <w:sz w:val="15"/>
      <w:szCs w:val="15"/>
    </w:rPr>
  </w:style>
  <w:style w:type="character" w:customStyle="1" w:styleId="Mencinsinresolver1">
    <w:name w:val="Mención sin resolver1"/>
    <w:basedOn w:val="Fuentedeprrafopredeter"/>
    <w:uiPriority w:val="99"/>
    <w:semiHidden/>
    <w:unhideWhenUsed/>
    <w:rsid w:val="0046682E"/>
    <w:rPr>
      <w:color w:val="605E5C"/>
      <w:shd w:val="clear" w:color="auto" w:fill="E1DFDD"/>
    </w:rPr>
  </w:style>
  <w:style w:type="paragraph" w:styleId="Textonotapie">
    <w:name w:val="footnote text"/>
    <w:basedOn w:val="Normal"/>
    <w:link w:val="TextonotapieCar"/>
    <w:uiPriority w:val="99"/>
    <w:unhideWhenUsed/>
    <w:rsid w:val="0046682E"/>
  </w:style>
  <w:style w:type="character" w:customStyle="1" w:styleId="TextonotapieCar">
    <w:name w:val="Texto nota pie Car"/>
    <w:basedOn w:val="Fuentedeprrafopredeter"/>
    <w:link w:val="Textonotapie"/>
    <w:uiPriority w:val="99"/>
    <w:rsid w:val="0046682E"/>
    <w:rPr>
      <w:rFonts w:ascii="Times New Roman" w:eastAsia="Times New Roman" w:hAnsi="Times New Roman" w:cs="Times New Roman"/>
      <w:lang w:eastAsia="es-ES_tradnl"/>
    </w:rPr>
  </w:style>
  <w:style w:type="character" w:styleId="Refdenotaalpie">
    <w:name w:val="footnote reference"/>
    <w:basedOn w:val="Fuentedeprrafopredeter"/>
    <w:uiPriority w:val="99"/>
    <w:unhideWhenUsed/>
    <w:rsid w:val="0046682E"/>
    <w:rPr>
      <w:rFonts w:ascii="Times New Roman" w:hAnsi="Times New Roman"/>
      <w:caps w:val="0"/>
      <w:smallCaps w:val="0"/>
      <w:strike w:val="0"/>
      <w:dstrike w:val="0"/>
      <w:vanish w:val="0"/>
      <w:sz w:val="16"/>
      <w:vertAlign w:val="baseline"/>
    </w:rPr>
  </w:style>
  <w:style w:type="character" w:styleId="Refdecomentario">
    <w:name w:val="annotation reference"/>
    <w:basedOn w:val="Fuentedeprrafopredeter"/>
    <w:uiPriority w:val="99"/>
    <w:semiHidden/>
    <w:unhideWhenUsed/>
    <w:rsid w:val="0046682E"/>
    <w:rPr>
      <w:sz w:val="18"/>
      <w:szCs w:val="18"/>
    </w:rPr>
  </w:style>
  <w:style w:type="paragraph" w:styleId="Textocomentario">
    <w:name w:val="annotation text"/>
    <w:basedOn w:val="Normal"/>
    <w:link w:val="TextocomentarioCar"/>
    <w:uiPriority w:val="99"/>
    <w:unhideWhenUsed/>
    <w:rsid w:val="0046682E"/>
  </w:style>
  <w:style w:type="character" w:customStyle="1" w:styleId="TextocomentarioCar">
    <w:name w:val="Texto comentario Car"/>
    <w:basedOn w:val="Fuentedeprrafopredeter"/>
    <w:link w:val="Textocomentario"/>
    <w:uiPriority w:val="99"/>
    <w:rsid w:val="0046682E"/>
    <w:rPr>
      <w:rFonts w:ascii="Times New Roman" w:eastAsia="Times New Roman" w:hAnsi="Times New Roman" w:cs="Times New Roman"/>
      <w:lang w:eastAsia="es-ES_tradnl"/>
    </w:rPr>
  </w:style>
  <w:style w:type="paragraph" w:styleId="Asuntodelcomentario">
    <w:name w:val="annotation subject"/>
    <w:basedOn w:val="Textocomentario"/>
    <w:next w:val="Textocomentario"/>
    <w:link w:val="AsuntodelcomentarioCar"/>
    <w:uiPriority w:val="99"/>
    <w:semiHidden/>
    <w:unhideWhenUsed/>
    <w:rsid w:val="0046682E"/>
    <w:rPr>
      <w:b/>
      <w:bCs/>
    </w:rPr>
  </w:style>
  <w:style w:type="character" w:customStyle="1" w:styleId="AsuntodelcomentarioCar">
    <w:name w:val="Asunto del comentario Car"/>
    <w:basedOn w:val="TextocomentarioCar"/>
    <w:link w:val="Asuntodelcomentario"/>
    <w:uiPriority w:val="99"/>
    <w:semiHidden/>
    <w:rsid w:val="0046682E"/>
    <w:rPr>
      <w:rFonts w:ascii="Times New Roman" w:eastAsia="Times New Roman" w:hAnsi="Times New Roman" w:cs="Times New Roman"/>
      <w:b/>
      <w:bCs/>
      <w:lang w:eastAsia="es-ES_tradnl"/>
    </w:rPr>
  </w:style>
  <w:style w:type="paragraph" w:styleId="Textodeglobo">
    <w:name w:val="Balloon Text"/>
    <w:basedOn w:val="Normal"/>
    <w:link w:val="TextodegloboCar"/>
    <w:uiPriority w:val="99"/>
    <w:semiHidden/>
    <w:unhideWhenUsed/>
    <w:rsid w:val="0046682E"/>
    <w:rPr>
      <w:sz w:val="18"/>
      <w:szCs w:val="18"/>
    </w:rPr>
  </w:style>
  <w:style w:type="character" w:customStyle="1" w:styleId="TextodegloboCar">
    <w:name w:val="Texto de globo Car"/>
    <w:basedOn w:val="Fuentedeprrafopredeter"/>
    <w:link w:val="Textodeglobo"/>
    <w:uiPriority w:val="99"/>
    <w:semiHidden/>
    <w:rsid w:val="0046682E"/>
    <w:rPr>
      <w:rFonts w:ascii="Times New Roman" w:eastAsia="Times New Roman" w:hAnsi="Times New Roman" w:cs="Times New Roman"/>
      <w:sz w:val="18"/>
      <w:szCs w:val="18"/>
      <w:lang w:eastAsia="es-ES_tradnl"/>
    </w:rPr>
  </w:style>
  <w:style w:type="paragraph" w:customStyle="1" w:styleId="p2">
    <w:name w:val="p2"/>
    <w:basedOn w:val="Normal"/>
    <w:rsid w:val="0046682E"/>
    <w:pPr>
      <w:spacing w:after="38"/>
    </w:pPr>
    <w:rPr>
      <w:rFonts w:ascii="Century Gothic" w:hAnsi="Century Gothic"/>
      <w:sz w:val="14"/>
      <w:szCs w:val="14"/>
    </w:rPr>
  </w:style>
  <w:style w:type="paragraph" w:customStyle="1" w:styleId="p3">
    <w:name w:val="p3"/>
    <w:basedOn w:val="Normal"/>
    <w:rsid w:val="0046682E"/>
    <w:rPr>
      <w:rFonts w:ascii="Century Gothic" w:hAnsi="Century Gothic"/>
      <w:sz w:val="14"/>
      <w:szCs w:val="14"/>
    </w:rPr>
  </w:style>
  <w:style w:type="character" w:styleId="Hipervnculo">
    <w:name w:val="Hyperlink"/>
    <w:basedOn w:val="Fuentedeprrafopredeter"/>
    <w:uiPriority w:val="99"/>
    <w:unhideWhenUsed/>
    <w:rsid w:val="0046682E"/>
    <w:rPr>
      <w:color w:val="0000FF"/>
      <w:u w:val="single"/>
    </w:rPr>
  </w:style>
  <w:style w:type="paragraph" w:customStyle="1" w:styleId="EndNoteBibliography">
    <w:name w:val="EndNote Bibliography"/>
    <w:basedOn w:val="Normal"/>
    <w:autoRedefine/>
    <w:qFormat/>
    <w:rsid w:val="00703334"/>
    <w:pPr>
      <w:tabs>
        <w:tab w:val="left" w:pos="1701"/>
      </w:tabs>
      <w:ind w:left="567" w:hanging="567"/>
    </w:pPr>
    <w:rPr>
      <w:lang w:val="en-US"/>
    </w:rPr>
  </w:style>
  <w:style w:type="character" w:styleId="nfasis">
    <w:name w:val="Emphasis"/>
    <w:aliases w:val="4"/>
    <w:basedOn w:val="Ttulo4Car"/>
    <w:uiPriority w:val="20"/>
    <w:qFormat/>
    <w:rsid w:val="0046682E"/>
    <w:rPr>
      <w:rFonts w:ascii="Times New Roman" w:eastAsia="Times New Roman" w:hAnsi="Times New Roman" w:cs="Times New Roman"/>
      <w:b/>
      <w:i/>
      <w:iCs/>
      <w:spacing w:val="10"/>
      <w:sz w:val="24"/>
      <w:szCs w:val="22"/>
      <w:lang w:val="es-MX" w:eastAsia="es-ES_tradnl"/>
    </w:rPr>
  </w:style>
  <w:style w:type="character" w:styleId="Hipervnculovisitado">
    <w:name w:val="FollowedHyperlink"/>
    <w:basedOn w:val="Fuentedeprrafopredeter"/>
    <w:uiPriority w:val="99"/>
    <w:semiHidden/>
    <w:unhideWhenUsed/>
    <w:rsid w:val="0046682E"/>
    <w:rPr>
      <w:color w:val="954F72" w:themeColor="followedHyperlink"/>
      <w:u w:val="single"/>
    </w:rPr>
  </w:style>
  <w:style w:type="paragraph" w:styleId="NormalWeb">
    <w:name w:val="Normal (Web)"/>
    <w:basedOn w:val="Normal"/>
    <w:uiPriority w:val="99"/>
    <w:semiHidden/>
    <w:unhideWhenUsed/>
    <w:rsid w:val="0046682E"/>
    <w:pPr>
      <w:spacing w:before="100" w:beforeAutospacing="1" w:after="100" w:afterAutospacing="1"/>
    </w:pPr>
  </w:style>
  <w:style w:type="paragraph" w:customStyle="1" w:styleId="citation">
    <w:name w:val="citation"/>
    <w:basedOn w:val="Normal"/>
    <w:rsid w:val="0046682E"/>
    <w:pPr>
      <w:spacing w:before="100" w:beforeAutospacing="1" w:after="100" w:afterAutospacing="1"/>
    </w:pPr>
  </w:style>
  <w:style w:type="paragraph" w:styleId="Revisin">
    <w:name w:val="Revision"/>
    <w:hidden/>
    <w:uiPriority w:val="99"/>
    <w:semiHidden/>
    <w:rsid w:val="0046682E"/>
    <w:pPr>
      <w:spacing w:after="200" w:line="276" w:lineRule="auto"/>
      <w:jc w:val="both"/>
    </w:pPr>
    <w:rPr>
      <w:rFonts w:ascii="Times New Roman" w:eastAsia="Times New Roman" w:hAnsi="Times New Roman"/>
      <w:i/>
      <w:lang w:eastAsia="es-ES_tradnl"/>
    </w:rPr>
  </w:style>
  <w:style w:type="character" w:customStyle="1" w:styleId="highwire-citation-author">
    <w:name w:val="highwire-citation-author"/>
    <w:basedOn w:val="Fuentedeprrafopredeter"/>
    <w:rsid w:val="0046682E"/>
  </w:style>
  <w:style w:type="character" w:customStyle="1" w:styleId="Mencinsinresolver11">
    <w:name w:val="Mención sin resolver11"/>
    <w:basedOn w:val="Fuentedeprrafopredeter"/>
    <w:uiPriority w:val="99"/>
    <w:semiHidden/>
    <w:unhideWhenUsed/>
    <w:rsid w:val="0046682E"/>
    <w:rPr>
      <w:color w:val="605E5C"/>
      <w:shd w:val="clear" w:color="auto" w:fill="E1DFDD"/>
    </w:rPr>
  </w:style>
  <w:style w:type="paragraph" w:styleId="Piedepgina">
    <w:name w:val="footer"/>
    <w:basedOn w:val="Normal"/>
    <w:link w:val="PiedepginaCar"/>
    <w:uiPriority w:val="99"/>
    <w:unhideWhenUsed/>
    <w:rsid w:val="0046682E"/>
    <w:pPr>
      <w:tabs>
        <w:tab w:val="center" w:pos="4419"/>
        <w:tab w:val="right" w:pos="8838"/>
      </w:tabs>
    </w:pPr>
  </w:style>
  <w:style w:type="character" w:customStyle="1" w:styleId="PiedepginaCar">
    <w:name w:val="Pie de página Car"/>
    <w:basedOn w:val="Fuentedeprrafopredeter"/>
    <w:link w:val="Piedepgina"/>
    <w:uiPriority w:val="99"/>
    <w:rsid w:val="0046682E"/>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46682E"/>
  </w:style>
  <w:style w:type="paragraph" w:styleId="Encabezado">
    <w:name w:val="header"/>
    <w:basedOn w:val="Normal"/>
    <w:link w:val="EncabezadoCar"/>
    <w:autoRedefine/>
    <w:uiPriority w:val="99"/>
    <w:unhideWhenUsed/>
    <w:qFormat/>
    <w:rsid w:val="0046682E"/>
    <w:pPr>
      <w:tabs>
        <w:tab w:val="center" w:pos="4419"/>
        <w:tab w:val="right" w:pos="8838"/>
      </w:tabs>
      <w:jc w:val="center"/>
    </w:pPr>
    <w:rPr>
      <w:b/>
      <w:sz w:val="28"/>
    </w:rPr>
  </w:style>
  <w:style w:type="character" w:customStyle="1" w:styleId="EncabezadoCar">
    <w:name w:val="Encabezado Car"/>
    <w:basedOn w:val="Fuentedeprrafopredeter"/>
    <w:link w:val="Encabezado"/>
    <w:uiPriority w:val="99"/>
    <w:rsid w:val="0046682E"/>
    <w:rPr>
      <w:rFonts w:ascii="Times New Roman" w:eastAsia="Times New Roman" w:hAnsi="Times New Roman" w:cs="Times New Roman"/>
      <w:b/>
      <w:sz w:val="28"/>
      <w:lang w:eastAsia="es-ES_tradnl"/>
    </w:rPr>
  </w:style>
  <w:style w:type="character" w:styleId="Textodelmarcadordeposicin">
    <w:name w:val="Placeholder Text"/>
    <w:basedOn w:val="Fuentedeprrafopredeter"/>
    <w:uiPriority w:val="99"/>
    <w:semiHidden/>
    <w:rsid w:val="0046682E"/>
    <w:rPr>
      <w:color w:val="808080"/>
    </w:rPr>
  </w:style>
  <w:style w:type="table" w:styleId="Tablaconcuadrcula">
    <w:name w:val="Table Grid"/>
    <w:basedOn w:val="Tablanormal"/>
    <w:uiPriority w:val="39"/>
    <w:rsid w:val="0046682E"/>
    <w:pPr>
      <w:spacing w:after="200" w:line="276" w:lineRule="auto"/>
      <w:jc w:val="both"/>
    </w:pPr>
    <w:rPr>
      <w:rFonts w:eastAsiaTheme="minorEastAsia"/>
      <w:sz w:val="20"/>
      <w:szCs w:val="20"/>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6682E"/>
    <w:pPr>
      <w:spacing w:after="200" w:line="276" w:lineRule="auto"/>
      <w:jc w:val="both"/>
    </w:pPr>
    <w:rPr>
      <w:rFonts w:eastAsiaTheme="minorEastAsia"/>
      <w:sz w:val="20"/>
      <w:szCs w:val="20"/>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682E"/>
    <w:pPr>
      <w:autoSpaceDE w:val="0"/>
      <w:autoSpaceDN w:val="0"/>
      <w:adjustRightInd w:val="0"/>
      <w:spacing w:after="200" w:line="276" w:lineRule="auto"/>
      <w:jc w:val="both"/>
    </w:pPr>
    <w:rPr>
      <w:rFonts w:ascii="Times New Roman" w:eastAsia="Times New Roman" w:hAnsi="Times New Roman"/>
      <w:i/>
      <w:lang w:val="es-ES_tradnl"/>
    </w:rPr>
  </w:style>
  <w:style w:type="paragraph" w:customStyle="1" w:styleId="EndNoteBibliographyTitle">
    <w:name w:val="EndNote Bibliography Title"/>
    <w:basedOn w:val="Normal"/>
    <w:rsid w:val="0046682E"/>
    <w:pPr>
      <w:jc w:val="center"/>
    </w:pPr>
    <w:rPr>
      <w:lang w:val="en-US"/>
    </w:rPr>
  </w:style>
  <w:style w:type="character" w:customStyle="1" w:styleId="Mencinsinresolver2">
    <w:name w:val="Mención sin resolver2"/>
    <w:basedOn w:val="Fuentedeprrafopredeter"/>
    <w:uiPriority w:val="99"/>
    <w:semiHidden/>
    <w:unhideWhenUsed/>
    <w:rsid w:val="0046682E"/>
    <w:rPr>
      <w:rFonts w:cs="Times New Roman"/>
      <w:color w:val="605E5C"/>
      <w:shd w:val="clear" w:color="auto" w:fill="E1DFDD"/>
    </w:rPr>
  </w:style>
  <w:style w:type="paragraph" w:styleId="Textoindependiente">
    <w:name w:val="Body Text"/>
    <w:basedOn w:val="Normal"/>
    <w:link w:val="TextoindependienteCar"/>
    <w:uiPriority w:val="1"/>
    <w:rsid w:val="0046682E"/>
    <w:pPr>
      <w:widowControl w:val="0"/>
      <w:autoSpaceDE w:val="0"/>
      <w:autoSpaceDN w:val="0"/>
    </w:pPr>
    <w:rPr>
      <w:rFonts w:ascii="Arial" w:hAnsi="Arial" w:cs="Arial"/>
      <w:sz w:val="19"/>
      <w:szCs w:val="19"/>
      <w:lang w:val="en-US"/>
    </w:rPr>
  </w:style>
  <w:style w:type="character" w:customStyle="1" w:styleId="TextoindependienteCar">
    <w:name w:val="Texto independiente Car"/>
    <w:basedOn w:val="Fuentedeprrafopredeter"/>
    <w:link w:val="Textoindependiente"/>
    <w:uiPriority w:val="1"/>
    <w:rsid w:val="0046682E"/>
    <w:rPr>
      <w:rFonts w:ascii="Arial" w:eastAsia="Times New Roman" w:hAnsi="Arial" w:cs="Arial"/>
      <w:sz w:val="19"/>
      <w:szCs w:val="19"/>
      <w:lang w:val="en-US" w:eastAsia="es-ES_tradnl"/>
    </w:rPr>
  </w:style>
  <w:style w:type="table" w:customStyle="1" w:styleId="Tablanormal11">
    <w:name w:val="Tabla normal 11"/>
    <w:basedOn w:val="Tablanormal"/>
    <w:uiPriority w:val="41"/>
    <w:rsid w:val="0046682E"/>
    <w:pPr>
      <w:spacing w:after="200" w:line="276" w:lineRule="auto"/>
      <w:jc w:val="both"/>
    </w:pPr>
    <w:rPr>
      <w:rFonts w:eastAsia="Times New Roman"/>
      <w: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tuloTDC">
    <w:name w:val="TOC Heading"/>
    <w:basedOn w:val="Ttulo1"/>
    <w:next w:val="Normal"/>
    <w:autoRedefine/>
    <w:uiPriority w:val="39"/>
    <w:unhideWhenUsed/>
    <w:qFormat/>
    <w:rsid w:val="0046682E"/>
    <w:pPr>
      <w:spacing w:before="120" w:after="120" w:line="480" w:lineRule="auto"/>
      <w:jc w:val="left"/>
      <w:outlineLvl w:val="9"/>
    </w:pPr>
    <w:rPr>
      <w:sz w:val="24"/>
    </w:rPr>
  </w:style>
  <w:style w:type="paragraph" w:styleId="TDC1">
    <w:name w:val="toc 1"/>
    <w:basedOn w:val="Normal"/>
    <w:next w:val="Normal"/>
    <w:autoRedefine/>
    <w:uiPriority w:val="39"/>
    <w:unhideWhenUsed/>
    <w:rsid w:val="0046682E"/>
    <w:pPr>
      <w:tabs>
        <w:tab w:val="right" w:leader="dot" w:pos="9394"/>
      </w:tabs>
      <w:spacing w:before="120" w:after="120" w:line="276" w:lineRule="auto"/>
    </w:pPr>
    <w:rPr>
      <w:rFonts w:cs="Calibri (Cuerpo)"/>
      <w:b/>
      <w:bCs/>
      <w:i/>
      <w:noProof/>
      <w:sz w:val="20"/>
      <w:szCs w:val="20"/>
      <w:lang w:val="es-ES"/>
    </w:rPr>
  </w:style>
  <w:style w:type="paragraph" w:styleId="TDC2">
    <w:name w:val="toc 2"/>
    <w:basedOn w:val="Normal"/>
    <w:next w:val="Normal"/>
    <w:autoRedefine/>
    <w:uiPriority w:val="39"/>
    <w:unhideWhenUsed/>
    <w:rsid w:val="0046682E"/>
    <w:pPr>
      <w:tabs>
        <w:tab w:val="right" w:leader="dot" w:pos="9394"/>
      </w:tabs>
      <w:ind w:left="240"/>
    </w:pPr>
    <w:rPr>
      <w:rFonts w:cs="Calibri (Cuerpo)"/>
      <w:b/>
      <w:i/>
      <w:smallCaps/>
      <w:noProof/>
      <w:sz w:val="20"/>
      <w:szCs w:val="20"/>
    </w:rPr>
  </w:style>
  <w:style w:type="paragraph" w:styleId="TDC3">
    <w:name w:val="toc 3"/>
    <w:basedOn w:val="Normal"/>
    <w:next w:val="Normal"/>
    <w:autoRedefine/>
    <w:uiPriority w:val="39"/>
    <w:unhideWhenUsed/>
    <w:rsid w:val="0046682E"/>
    <w:pPr>
      <w:tabs>
        <w:tab w:val="right" w:leader="dot" w:pos="9394"/>
      </w:tabs>
      <w:spacing w:line="276" w:lineRule="auto"/>
      <w:ind w:left="480"/>
    </w:pPr>
    <w:rPr>
      <w:rFonts w:asciiTheme="minorHAnsi" w:hAnsiTheme="minorHAnsi" w:cstheme="minorHAnsi"/>
      <w:i/>
      <w:iCs/>
      <w:sz w:val="20"/>
      <w:szCs w:val="20"/>
    </w:rPr>
  </w:style>
  <w:style w:type="character" w:customStyle="1" w:styleId="Mencinsinresolver3">
    <w:name w:val="Mención sin resolver3"/>
    <w:basedOn w:val="Fuentedeprrafopredeter"/>
    <w:uiPriority w:val="99"/>
    <w:semiHidden/>
    <w:unhideWhenUsed/>
    <w:rsid w:val="0046682E"/>
    <w:rPr>
      <w:color w:val="605E5C"/>
      <w:shd w:val="clear" w:color="auto" w:fill="E1DFDD"/>
    </w:rPr>
  </w:style>
  <w:style w:type="paragraph" w:styleId="Descripcin">
    <w:name w:val="caption"/>
    <w:basedOn w:val="Normal"/>
    <w:next w:val="Normal"/>
    <w:uiPriority w:val="35"/>
    <w:unhideWhenUsed/>
    <w:qFormat/>
    <w:rsid w:val="0046682E"/>
    <w:rPr>
      <w:b/>
      <w:bCs/>
      <w:caps/>
      <w:sz w:val="16"/>
      <w:szCs w:val="18"/>
    </w:rPr>
  </w:style>
  <w:style w:type="paragraph" w:styleId="Ttulo">
    <w:name w:val="Title"/>
    <w:basedOn w:val="Normal"/>
    <w:next w:val="Normal"/>
    <w:link w:val="TtuloCar"/>
    <w:uiPriority w:val="10"/>
    <w:qFormat/>
    <w:rsid w:val="0046682E"/>
    <w:pPr>
      <w:pBdr>
        <w:top w:val="single" w:sz="12" w:space="1" w:color="ED7D31" w:themeColor="accent2"/>
      </w:pBdr>
      <w:jc w:val="right"/>
    </w:pPr>
    <w:rPr>
      <w:smallCaps/>
      <w:sz w:val="48"/>
      <w:szCs w:val="48"/>
    </w:rPr>
  </w:style>
  <w:style w:type="character" w:customStyle="1" w:styleId="TtuloCar">
    <w:name w:val="Título Car"/>
    <w:basedOn w:val="Fuentedeprrafopredeter"/>
    <w:link w:val="Ttulo"/>
    <w:uiPriority w:val="10"/>
    <w:rsid w:val="0046682E"/>
    <w:rPr>
      <w:rFonts w:ascii="Times New Roman" w:eastAsia="Times New Roman" w:hAnsi="Times New Roman" w:cs="Times New Roman"/>
      <w:smallCaps/>
      <w:sz w:val="48"/>
      <w:szCs w:val="48"/>
      <w:lang w:eastAsia="es-ES_tradnl"/>
    </w:rPr>
  </w:style>
  <w:style w:type="paragraph" w:styleId="Subttulo">
    <w:name w:val="Subtitle"/>
    <w:basedOn w:val="Normal"/>
    <w:next w:val="Normal"/>
    <w:link w:val="SubttuloCar"/>
    <w:uiPriority w:val="11"/>
    <w:qFormat/>
    <w:rsid w:val="0046682E"/>
    <w:pPr>
      <w:spacing w:after="720"/>
      <w:jc w:val="right"/>
    </w:pPr>
    <w:rPr>
      <w:rFonts w:asciiTheme="majorHAnsi" w:eastAsiaTheme="majorEastAsia" w:hAnsiTheme="majorHAnsi" w:cstheme="majorBidi"/>
      <w:szCs w:val="22"/>
    </w:rPr>
  </w:style>
  <w:style w:type="character" w:customStyle="1" w:styleId="SubttuloCar">
    <w:name w:val="Subtítulo Car"/>
    <w:basedOn w:val="Fuentedeprrafopredeter"/>
    <w:link w:val="Subttulo"/>
    <w:uiPriority w:val="11"/>
    <w:rsid w:val="0046682E"/>
    <w:rPr>
      <w:rFonts w:asciiTheme="majorHAnsi" w:eastAsiaTheme="majorEastAsia" w:hAnsiTheme="majorHAnsi" w:cstheme="majorBidi"/>
      <w:szCs w:val="22"/>
      <w:lang w:eastAsia="es-ES_tradnl"/>
    </w:rPr>
  </w:style>
  <w:style w:type="character" w:styleId="Textoennegrita">
    <w:name w:val="Strong"/>
    <w:uiPriority w:val="22"/>
    <w:qFormat/>
    <w:rsid w:val="0046682E"/>
    <w:rPr>
      <w:b/>
      <w:color w:val="ED7D31" w:themeColor="accent2"/>
    </w:rPr>
  </w:style>
  <w:style w:type="paragraph" w:styleId="Sinespaciado">
    <w:name w:val="No Spacing"/>
    <w:basedOn w:val="Normal"/>
    <w:link w:val="SinespaciadoCar"/>
    <w:uiPriority w:val="1"/>
    <w:qFormat/>
    <w:rsid w:val="0046682E"/>
  </w:style>
  <w:style w:type="character" w:customStyle="1" w:styleId="SinespaciadoCar">
    <w:name w:val="Sin espaciado Car"/>
    <w:basedOn w:val="Fuentedeprrafopredeter"/>
    <w:link w:val="Sinespaciado"/>
    <w:uiPriority w:val="1"/>
    <w:rsid w:val="0046682E"/>
    <w:rPr>
      <w:rFonts w:ascii="Times New Roman" w:eastAsia="Times New Roman" w:hAnsi="Times New Roman" w:cs="Times New Roman"/>
      <w:lang w:eastAsia="es-ES_tradnl"/>
    </w:rPr>
  </w:style>
  <w:style w:type="paragraph" w:styleId="Cita">
    <w:name w:val="Quote"/>
    <w:basedOn w:val="Normal"/>
    <w:next w:val="Normal"/>
    <w:link w:val="CitaCar"/>
    <w:uiPriority w:val="29"/>
    <w:qFormat/>
    <w:rsid w:val="0046682E"/>
    <w:rPr>
      <w:i/>
    </w:rPr>
  </w:style>
  <w:style w:type="character" w:customStyle="1" w:styleId="CitaCar">
    <w:name w:val="Cita Car"/>
    <w:basedOn w:val="Fuentedeprrafopredeter"/>
    <w:link w:val="Cita"/>
    <w:uiPriority w:val="29"/>
    <w:rsid w:val="0046682E"/>
    <w:rPr>
      <w:rFonts w:ascii="Times New Roman" w:eastAsia="Times New Roman" w:hAnsi="Times New Roman" w:cs="Times New Roman"/>
      <w:i/>
      <w:lang w:eastAsia="es-ES_tradnl"/>
    </w:rPr>
  </w:style>
  <w:style w:type="paragraph" w:styleId="Citadestacada">
    <w:name w:val="Intense Quote"/>
    <w:basedOn w:val="Normal"/>
    <w:next w:val="Normal"/>
    <w:link w:val="CitadestacadaCar"/>
    <w:uiPriority w:val="30"/>
    <w:qFormat/>
    <w:rsid w:val="0046682E"/>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itadestacadaCar">
    <w:name w:val="Cita destacada Car"/>
    <w:basedOn w:val="Fuentedeprrafopredeter"/>
    <w:link w:val="Citadestacada"/>
    <w:uiPriority w:val="30"/>
    <w:rsid w:val="0046682E"/>
    <w:rPr>
      <w:rFonts w:ascii="Times New Roman" w:eastAsia="Times New Roman" w:hAnsi="Times New Roman" w:cs="Times New Roman"/>
      <w:b/>
      <w:i/>
      <w:color w:val="FFFFFF" w:themeColor="background1"/>
      <w:shd w:val="clear" w:color="auto" w:fill="ED7D31" w:themeFill="accent2"/>
      <w:lang w:eastAsia="es-ES_tradnl"/>
    </w:rPr>
  </w:style>
  <w:style w:type="character" w:styleId="nfasissutil">
    <w:name w:val="Subtle Emphasis"/>
    <w:uiPriority w:val="19"/>
    <w:qFormat/>
    <w:rsid w:val="0046682E"/>
    <w:rPr>
      <w:i/>
    </w:rPr>
  </w:style>
  <w:style w:type="character" w:styleId="nfasisintenso">
    <w:name w:val="Intense Emphasis"/>
    <w:uiPriority w:val="21"/>
    <w:qFormat/>
    <w:rsid w:val="0046682E"/>
    <w:rPr>
      <w:b/>
      <w:i/>
      <w:color w:val="ED7D31" w:themeColor="accent2"/>
      <w:spacing w:val="10"/>
    </w:rPr>
  </w:style>
  <w:style w:type="character" w:styleId="Referenciasutil">
    <w:name w:val="Subtle Reference"/>
    <w:uiPriority w:val="31"/>
    <w:qFormat/>
    <w:rsid w:val="0046682E"/>
    <w:rPr>
      <w:b/>
    </w:rPr>
  </w:style>
  <w:style w:type="character" w:styleId="Referenciaintensa">
    <w:name w:val="Intense Reference"/>
    <w:uiPriority w:val="32"/>
    <w:qFormat/>
    <w:rsid w:val="0046682E"/>
    <w:rPr>
      <w:b/>
      <w:bCs/>
      <w:smallCaps/>
      <w:spacing w:val="5"/>
      <w:sz w:val="22"/>
      <w:szCs w:val="22"/>
      <w:u w:val="single"/>
    </w:rPr>
  </w:style>
  <w:style w:type="character" w:styleId="Ttulodellibro">
    <w:name w:val="Book Title"/>
    <w:uiPriority w:val="33"/>
    <w:qFormat/>
    <w:rsid w:val="0046682E"/>
    <w:rPr>
      <w:rFonts w:asciiTheme="majorHAnsi" w:eastAsiaTheme="majorEastAsia" w:hAnsiTheme="majorHAnsi" w:cstheme="majorBidi"/>
      <w:i/>
      <w:iCs/>
      <w:sz w:val="20"/>
      <w:szCs w:val="20"/>
    </w:rPr>
  </w:style>
  <w:style w:type="paragraph" w:styleId="TDC4">
    <w:name w:val="toc 4"/>
    <w:basedOn w:val="Normal"/>
    <w:next w:val="Normal"/>
    <w:autoRedefine/>
    <w:uiPriority w:val="39"/>
    <w:unhideWhenUsed/>
    <w:rsid w:val="0046682E"/>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46682E"/>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46682E"/>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46682E"/>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46682E"/>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46682E"/>
    <w:pPr>
      <w:ind w:left="1920"/>
    </w:pPr>
    <w:rPr>
      <w:rFonts w:asciiTheme="minorHAnsi" w:hAnsiTheme="minorHAnsi" w:cstheme="minorHAnsi"/>
      <w:sz w:val="18"/>
      <w:szCs w:val="18"/>
    </w:rPr>
  </w:style>
  <w:style w:type="paragraph" w:styleId="Textoconsangra">
    <w:name w:val="table of authorities"/>
    <w:basedOn w:val="Normal"/>
    <w:next w:val="Normal"/>
    <w:uiPriority w:val="99"/>
    <w:unhideWhenUsed/>
    <w:rsid w:val="0046682E"/>
    <w:pPr>
      <w:spacing w:line="480" w:lineRule="auto"/>
      <w:ind w:firstLine="567"/>
    </w:pPr>
  </w:style>
  <w:style w:type="paragraph" w:styleId="ndice1">
    <w:name w:val="index 1"/>
    <w:basedOn w:val="Normal"/>
    <w:next w:val="Normal"/>
    <w:autoRedefine/>
    <w:uiPriority w:val="99"/>
    <w:semiHidden/>
    <w:unhideWhenUsed/>
    <w:rsid w:val="0046682E"/>
    <w:pPr>
      <w:ind w:left="200" w:hanging="200"/>
    </w:pPr>
  </w:style>
  <w:style w:type="character" w:customStyle="1" w:styleId="apple-converted-space">
    <w:name w:val="apple-converted-space"/>
    <w:basedOn w:val="Fuentedeprrafopredeter"/>
    <w:rsid w:val="0046682E"/>
  </w:style>
  <w:style w:type="paragraph" w:customStyle="1" w:styleId="xgmail-msolistparagraph">
    <w:name w:val="x_gmail-msolistparagraph"/>
    <w:basedOn w:val="Normal"/>
    <w:rsid w:val="0046682E"/>
    <w:pPr>
      <w:spacing w:before="100" w:beforeAutospacing="1" w:after="100" w:afterAutospacing="1"/>
    </w:pPr>
  </w:style>
  <w:style w:type="character" w:customStyle="1" w:styleId="jlqj4b">
    <w:name w:val="jlqj4b"/>
    <w:basedOn w:val="Fuentedeprrafopredeter"/>
    <w:rsid w:val="0046682E"/>
  </w:style>
  <w:style w:type="paragraph" w:customStyle="1" w:styleId="xmsonormal">
    <w:name w:val="x_msonormal"/>
    <w:basedOn w:val="Normal"/>
    <w:rsid w:val="0046682E"/>
    <w:pPr>
      <w:spacing w:before="100" w:beforeAutospacing="1" w:after="100" w:afterAutospacing="1"/>
    </w:pPr>
  </w:style>
  <w:style w:type="character" w:styleId="Mencinsinresolver">
    <w:name w:val="Unresolved Mention"/>
    <w:basedOn w:val="Fuentedeprrafopredeter"/>
    <w:uiPriority w:val="99"/>
    <w:semiHidden/>
    <w:unhideWhenUsed/>
    <w:rsid w:val="0046682E"/>
    <w:rPr>
      <w:color w:val="605E5C"/>
      <w:shd w:val="clear" w:color="auto" w:fill="E1DFDD"/>
    </w:rPr>
  </w:style>
  <w:style w:type="character" w:customStyle="1" w:styleId="ng-tns-c1-0">
    <w:name w:val="ng-tns-c1-0"/>
    <w:basedOn w:val="Fuentedeprrafopredeter"/>
    <w:rsid w:val="0046682E"/>
  </w:style>
  <w:style w:type="character" w:customStyle="1" w:styleId="xapple-converted-space">
    <w:name w:val="x_apple-converted-space"/>
    <w:basedOn w:val="Fuentedeprrafopredeter"/>
    <w:rsid w:val="0046682E"/>
  </w:style>
  <w:style w:type="paragraph" w:customStyle="1" w:styleId="Ttuloprincipiodeartculo">
    <w:name w:val="Título principio de artículo"/>
    <w:basedOn w:val="Normal"/>
    <w:link w:val="TtuloprincipiodeartculoCar"/>
    <w:autoRedefine/>
    <w:qFormat/>
    <w:rsid w:val="006C49E0"/>
    <w:pPr>
      <w:jc w:val="center"/>
      <w:outlineLvl w:val="0"/>
    </w:pPr>
    <w:rPr>
      <w:b/>
      <w:lang w:val="es-AR"/>
    </w:rPr>
  </w:style>
  <w:style w:type="character" w:customStyle="1" w:styleId="TtuloprincipiodeartculoCar">
    <w:name w:val="Título principio de artículo Car"/>
    <w:basedOn w:val="Fuentedeprrafopredeter"/>
    <w:link w:val="Ttuloprincipiodeartculo"/>
    <w:rsid w:val="006C49E0"/>
    <w:rPr>
      <w:rFonts w:ascii="Times New Roman" w:eastAsia="Times New Roman" w:hAnsi="Times New Roman" w:cs="Times New Roman"/>
      <w:b/>
      <w:lang w:val="es-AR" w:eastAsia="es-ES_tradnl"/>
    </w:rPr>
  </w:style>
  <w:style w:type="paragraph" w:customStyle="1" w:styleId="Ttulosinternos">
    <w:name w:val="Títulos internos"/>
    <w:basedOn w:val="Normal"/>
    <w:link w:val="TtulosinternosCar"/>
    <w:autoRedefine/>
    <w:qFormat/>
    <w:rsid w:val="006C49E0"/>
    <w:pPr>
      <w:spacing w:before="100" w:beforeAutospacing="1" w:after="100" w:afterAutospacing="1"/>
      <w:jc w:val="center"/>
      <w:outlineLvl w:val="0"/>
    </w:pPr>
    <w:rPr>
      <w:b/>
      <w:lang w:val="en-US" w:eastAsia="en-US"/>
    </w:rPr>
  </w:style>
  <w:style w:type="character" w:customStyle="1" w:styleId="TtulosinternosCar">
    <w:name w:val="Títulos internos Car"/>
    <w:basedOn w:val="Fuentedeprrafopredeter"/>
    <w:link w:val="Ttulosinternos"/>
    <w:rsid w:val="006C49E0"/>
    <w:rPr>
      <w:rFonts w:ascii="Times New Roman" w:eastAsia="Times New Roman" w:hAnsi="Times New Roman" w:cs="Times New Roman"/>
      <w:b/>
      <w:lang w:val="en-US"/>
    </w:rPr>
  </w:style>
  <w:style w:type="paragraph" w:customStyle="1" w:styleId="SubtituloInterno">
    <w:name w:val="Subtitulo Interno"/>
    <w:basedOn w:val="Normal"/>
    <w:autoRedefine/>
    <w:qFormat/>
    <w:rsid w:val="00400007"/>
    <w:pPr>
      <w:spacing w:before="100" w:beforeAutospacing="1" w:after="100" w:afterAutospacing="1" w:line="360" w:lineRule="auto"/>
      <w:ind w:firstLine="709"/>
      <w:contextualSpacing/>
      <w:jc w:val="both"/>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8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5.771073" TargetMode="External"/><Relationship Id="rId18" Type="http://schemas.openxmlformats.org/officeDocument/2006/relationships/hyperlink" Target="https://doi.org/10.1109/5.771073" TargetMode="External"/><Relationship Id="rId26" Type="http://schemas.openxmlformats.org/officeDocument/2006/relationships/hyperlink" Target="https://doi.org/10.1109/5.771073" TargetMode="External"/><Relationship Id="rId39" Type="http://schemas.openxmlformats.org/officeDocument/2006/relationships/hyperlink" Target="https://doi.org/10.1109/5.771073" TargetMode="External"/><Relationship Id="rId21" Type="http://schemas.openxmlformats.org/officeDocument/2006/relationships/hyperlink" Target="https://doi.org/10.1109/5.771073" TargetMode="External"/><Relationship Id="rId34" Type="http://schemas.openxmlformats.org/officeDocument/2006/relationships/hyperlink" Target="https://doi.org/10.1109/5.771073" TargetMode="External"/><Relationship Id="rId42" Type="http://schemas.openxmlformats.org/officeDocument/2006/relationships/hyperlink" Target="https://doi.org/10.1109/5.771073" TargetMode="External"/><Relationship Id="rId47" Type="http://schemas.openxmlformats.org/officeDocument/2006/relationships/hyperlink" Target="https://doi.org/10.1109/5.771073" TargetMode="External"/><Relationship Id="rId50"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1109/5.771073" TargetMode="External"/><Relationship Id="rId29" Type="http://schemas.openxmlformats.org/officeDocument/2006/relationships/hyperlink" Target="https://doi.org/10.1109/5.771073" TargetMode="External"/><Relationship Id="rId11" Type="http://schemas.openxmlformats.org/officeDocument/2006/relationships/hyperlink" Target="https://doi.org/10.1109/5.771073" TargetMode="External"/><Relationship Id="rId24" Type="http://schemas.openxmlformats.org/officeDocument/2006/relationships/hyperlink" Target="https://doi.org/10.1109/5.771073" TargetMode="External"/><Relationship Id="rId32" Type="http://schemas.openxmlformats.org/officeDocument/2006/relationships/hyperlink" Target="https://doi.org/10.1109/5.771073" TargetMode="External"/><Relationship Id="rId37" Type="http://schemas.openxmlformats.org/officeDocument/2006/relationships/hyperlink" Target="https://doi.org/10.1109/5.771073" TargetMode="External"/><Relationship Id="rId40" Type="http://schemas.openxmlformats.org/officeDocument/2006/relationships/hyperlink" Target="https://doi.org/10.1109/5.771073" TargetMode="External"/><Relationship Id="rId45" Type="http://schemas.openxmlformats.org/officeDocument/2006/relationships/hyperlink" Target="https://doi.org/10.1109/5.771073" TargetMode="External"/><Relationship Id="rId5" Type="http://schemas.openxmlformats.org/officeDocument/2006/relationships/footnotes" Target="footnotes.xml"/><Relationship Id="rId15" Type="http://schemas.openxmlformats.org/officeDocument/2006/relationships/hyperlink" Target="https://doi.org/10.1109/5.771073" TargetMode="External"/><Relationship Id="rId23" Type="http://schemas.openxmlformats.org/officeDocument/2006/relationships/hyperlink" Target="https://doi.org/10.1109/5.771073" TargetMode="External"/><Relationship Id="rId28" Type="http://schemas.openxmlformats.org/officeDocument/2006/relationships/hyperlink" Target="https://doi.org/10.1109/5.771073" TargetMode="External"/><Relationship Id="rId36" Type="http://schemas.openxmlformats.org/officeDocument/2006/relationships/hyperlink" Target="https://doi.org/10.1109/5.771073" TargetMode="External"/><Relationship Id="rId49" Type="http://schemas.openxmlformats.org/officeDocument/2006/relationships/footer" Target="footer1.xml"/><Relationship Id="rId10" Type="http://schemas.openxmlformats.org/officeDocument/2006/relationships/hyperlink" Target="https://doi.org/10.4324/9781849770026" TargetMode="External"/><Relationship Id="rId19" Type="http://schemas.openxmlformats.org/officeDocument/2006/relationships/hyperlink" Target="https://doi.org/10.1109/5.771073" TargetMode="External"/><Relationship Id="rId31" Type="http://schemas.openxmlformats.org/officeDocument/2006/relationships/hyperlink" Target="https://doi.org/10.1109/5.771073" TargetMode="External"/><Relationship Id="rId44" Type="http://schemas.openxmlformats.org/officeDocument/2006/relationships/hyperlink" Target="https://doi.org/10.1109/5.771073"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1205-005-6525-0" TargetMode="External"/><Relationship Id="rId14" Type="http://schemas.openxmlformats.org/officeDocument/2006/relationships/hyperlink" Target="https://doi.org/10.1109/5.771073" TargetMode="External"/><Relationship Id="rId22" Type="http://schemas.openxmlformats.org/officeDocument/2006/relationships/hyperlink" Target="https://doi.org/10.1109/5.771073" TargetMode="External"/><Relationship Id="rId27" Type="http://schemas.openxmlformats.org/officeDocument/2006/relationships/hyperlink" Target="https://doi.org/10.1109/5.771073" TargetMode="External"/><Relationship Id="rId30" Type="http://schemas.openxmlformats.org/officeDocument/2006/relationships/hyperlink" Target="https://doi.org/10.1109/5.771073" TargetMode="External"/><Relationship Id="rId35" Type="http://schemas.openxmlformats.org/officeDocument/2006/relationships/hyperlink" Target="https://doi.org/10.1109/5.771073" TargetMode="External"/><Relationship Id="rId43" Type="http://schemas.openxmlformats.org/officeDocument/2006/relationships/hyperlink" Target="https://doi.org/10.1109/5.771073" TargetMode="External"/><Relationship Id="rId48" Type="http://schemas.openxmlformats.org/officeDocument/2006/relationships/hyperlink" Target="https://doi.org/10.1109/5.771073" TargetMode="External"/><Relationship Id="rId8" Type="http://schemas.openxmlformats.org/officeDocument/2006/relationships/image" Target="media/image2.emf"/><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109/5.771073" TargetMode="External"/><Relationship Id="rId17" Type="http://schemas.openxmlformats.org/officeDocument/2006/relationships/hyperlink" Target="https://doi.org/10.1109/5.771073" TargetMode="External"/><Relationship Id="rId25" Type="http://schemas.openxmlformats.org/officeDocument/2006/relationships/hyperlink" Target="https://doi.org/10.1109/5.771073" TargetMode="External"/><Relationship Id="rId33" Type="http://schemas.openxmlformats.org/officeDocument/2006/relationships/hyperlink" Target="https://doi.org/10.1109/5.771073" TargetMode="External"/><Relationship Id="rId38" Type="http://schemas.openxmlformats.org/officeDocument/2006/relationships/hyperlink" Target="https://doi.org/10.1109/5.771073" TargetMode="External"/><Relationship Id="rId46" Type="http://schemas.openxmlformats.org/officeDocument/2006/relationships/hyperlink" Target="https://doi.org/10.1109/5.771073" TargetMode="External"/><Relationship Id="rId20" Type="http://schemas.openxmlformats.org/officeDocument/2006/relationships/hyperlink" Target="https://doi.org/10.1109/5.771073" TargetMode="External"/><Relationship Id="rId41" Type="http://schemas.openxmlformats.org/officeDocument/2006/relationships/hyperlink" Target="https://doi.org/10.1109/5.77107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20</Pages>
  <Words>8445</Words>
  <Characters>49321</Characters>
  <Application>Microsoft Office Word</Application>
  <DocSecurity>0</DocSecurity>
  <Lines>850</Lines>
  <Paragraphs>308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57458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Clariss</cp:lastModifiedBy>
  <cp:revision>4</cp:revision>
  <dcterms:created xsi:type="dcterms:W3CDTF">2021-11-09T05:28:00Z</dcterms:created>
  <dcterms:modified xsi:type="dcterms:W3CDTF">2021-11-12T05:04:00Z</dcterms:modified>
  <cp:category/>
</cp:coreProperties>
</file>