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8879" w14:textId="2D27B703" w:rsidR="0087198C" w:rsidRPr="00AC45FC" w:rsidRDefault="0087198C" w:rsidP="004B0326">
      <w:pPr>
        <w:spacing w:line="240" w:lineRule="auto"/>
        <w:jc w:val="center"/>
        <w:rPr>
          <w:sz w:val="24"/>
          <w:szCs w:val="24"/>
        </w:rPr>
      </w:pPr>
      <w:r w:rsidRPr="00AC45FC">
        <w:rPr>
          <w:sz w:val="24"/>
          <w:szCs w:val="24"/>
        </w:rPr>
        <w:t>La justificación del sistema en la explicación social de la violencia contra</w:t>
      </w:r>
    </w:p>
    <w:p w14:paraId="1BA74AEC" w14:textId="77777777" w:rsidR="0087198C" w:rsidRPr="00AC45FC" w:rsidRDefault="0087198C" w:rsidP="004B0326">
      <w:pPr>
        <w:spacing w:line="240" w:lineRule="auto"/>
        <w:jc w:val="center"/>
        <w:rPr>
          <w:sz w:val="24"/>
          <w:szCs w:val="24"/>
        </w:rPr>
      </w:pPr>
      <w:r w:rsidRPr="00AC45FC">
        <w:rPr>
          <w:sz w:val="24"/>
          <w:szCs w:val="24"/>
        </w:rPr>
        <w:t>grupos minoritarios</w:t>
      </w:r>
    </w:p>
    <w:p w14:paraId="7BF205B7" w14:textId="77777777" w:rsidR="0087198C" w:rsidRDefault="0087198C" w:rsidP="0087198C">
      <w:r>
        <w:t>_____________________________________________________________________________</w:t>
      </w:r>
    </w:p>
    <w:p w14:paraId="0ED23059" w14:textId="77777777" w:rsidR="0087198C" w:rsidRDefault="0087198C" w:rsidP="0087198C"/>
    <w:p w14:paraId="30958B58" w14:textId="77777777" w:rsidR="0087198C" w:rsidRDefault="0087198C" w:rsidP="00AC45FC">
      <w:pPr>
        <w:jc w:val="both"/>
      </w:pPr>
      <w:r>
        <w:t>RESUMEN</w:t>
      </w:r>
    </w:p>
    <w:p w14:paraId="0EECCDD2" w14:textId="7F940A97" w:rsidR="0087198C" w:rsidRDefault="0087198C" w:rsidP="00AC45FC">
      <w:pPr>
        <w:jc w:val="both"/>
      </w:pPr>
      <w:r>
        <w:t>La violencia contra los grupos minoritarios sigue siendo omnipresente a pesar de las normas sociales que prescriben la no violencia porque está legitimada en las sociedades democráticas. Es probable que, cuando los individuos se enfrentan a la aparición de la violencia en su entorno social, la justifiquen porque tienden a percibir y defender todos los acontecimientos sociales como justos, legítimos y necesarios. Abordamos esta posibilidad en dos estudios experimentales en los que manipulamos el grupo minoritario víctima de la violencia (negros vs. mujeres vs. gays vs. control). En el Estudio 1 (N= 104), los participantes culparon más a las mujeres por su propia victimización; culparon menos al agresor cuando la víctima era gente negra y representaron la violencia homofóbica como un problema social similar a la violencia general en la sociedad. El estudio 2 (N = 217) fue más allá al mostrar que estos efectos se producen especialmente cuando se pidió a los participantes que respondieran como piensa la sociedad. Discutimos las explicaciones de la violencia como ejemplos de la tendencia de los individuos a justificar el sistema social y proporcionamos nuevas ideas para la investigación de la victimización secundaria.</w:t>
      </w:r>
    </w:p>
    <w:p w14:paraId="18EC987E" w14:textId="78FF9214" w:rsidR="0087198C" w:rsidRDefault="0087198C" w:rsidP="00AC45FC">
      <w:pPr>
        <w:jc w:val="both"/>
      </w:pPr>
      <w:r>
        <w:t>Palabras clave: Violencia; Justificación del sistema; Racismo; Sexismo; Homofobia</w:t>
      </w:r>
    </w:p>
    <w:p w14:paraId="2DAE2E87" w14:textId="77777777" w:rsidR="0087198C" w:rsidRDefault="0087198C" w:rsidP="00AC45FC">
      <w:pPr>
        <w:jc w:val="both"/>
      </w:pPr>
      <w:r>
        <w:t>Introducción</w:t>
      </w:r>
    </w:p>
    <w:p w14:paraId="0E3BC604" w14:textId="77777777" w:rsidR="0087198C" w:rsidRDefault="0087198C" w:rsidP="00AC45FC">
      <w:pPr>
        <w:jc w:val="both"/>
      </w:pPr>
      <w:r>
        <w:tab/>
        <w:t>La violencia no victimiza a la población al azar. Las personas de raza negra, las mujeres y los homosexuales son los grupos sociales más victimizados en todo el mundo (por ejemplo, Carroll, 2016; Global Violent Deaths; 2017; Mapping Police Violence, 2019). La generalización de la violencia física, sexual, emocional y psicológica contra los grupos minorizados es un drama social generalizado con fuertes consecuencias negativas para la calidad de vida de la sociedad, ya que refleja y perpetúa la jerarquización de los grupos sociales (véase Kunst et al., 2017). A pesar de la presión de las normas sociales que prescriben la no violencia y los valores antiprejuicios como principio organizador de la vida social en las sociedades democráticas (por ejemplo, OMS, 2009; Banhs y Crandall, 2013; Banhs y Branscombe, 2011), la alta frecuencia de la agresión hacia las minorías sociales parece ser descriptivamente normativa, lo que sugiere un grado de legitimidad social.</w:t>
      </w:r>
    </w:p>
    <w:p w14:paraId="26283A2E" w14:textId="77777777" w:rsidR="0087198C" w:rsidRDefault="0087198C" w:rsidP="00AC45FC">
      <w:pPr>
        <w:jc w:val="both"/>
      </w:pPr>
      <w:r>
        <w:tab/>
        <w:t xml:space="preserve">Una línea consolidada de investigación en psicología social de la legitimidad (por ejemplo, Jost &amp; Major, 2001) ha demostrado que las personas utilizan justificaciones aparentemente imparciales para percibir las desigualdades sociales como legítimas (para revisiones, véase Costa-Lopes et al., 2013; Abad-Merino et al., 2018). Las investigaciones llevadas a cabo en el marco de la teoría de la justificación del sistema (SJT), por ejemplo, han demostrado que las personas en general, ya sean de grupos aventajados o desfavorecidos, están motivadas para justificar el sistema social de manera que se perciba como justo, legítimo y necesario (Jost y Banaji, 1994; Jost, 2019). Aunque la legitimación de la violencia no ha sido el objetivo directo del SJT, estudios anteriores han destacado la necesidad de considerar el papel central de los mitos legitimadores para justificar los actos, las </w:t>
      </w:r>
      <w:r>
        <w:lastRenderedPageBreak/>
        <w:t xml:space="preserve">prácticas y las políticas injustas, incluida la violencia individual y estatal (por ejemplo, Shaw et al., 2017). </w:t>
      </w:r>
    </w:p>
    <w:p w14:paraId="4C85B86A" w14:textId="209C7D93" w:rsidR="004B0326" w:rsidRDefault="0087198C" w:rsidP="00AC45FC">
      <w:pPr>
        <w:jc w:val="both"/>
      </w:pPr>
      <w:r>
        <w:tab/>
        <w:t>En consecuencia, analizar la legitimación de la violencia en el marco del SJT puede iluminar los procesos psicológicos sociales que subyacen a la motivación de los individuos para justificar el sistema social que promueve, acepta y mantiene la violencia, especialmente contra los grupos minoritarios. Basándonos en la SJT, proponemos que, dado que "las personas exhiben tendencias de justificación del sistema para defender y racionalizar los acuerdos sociales, económicos y políticos existentes" (Jost, 2019, p. 1), es probable que también estén motivadas para explicar la violencia contra los grupos minoritarios de una manera que justifique por qué esto sucede. En este artículo, presentamos dos estudios formulados para abordar esta posibilidad.</w:t>
      </w:r>
    </w:p>
    <w:p w14:paraId="595CA32F" w14:textId="2E2B20B2" w:rsidR="0087198C" w:rsidRDefault="0087198C" w:rsidP="00AC45FC">
      <w:pPr>
        <w:jc w:val="both"/>
      </w:pPr>
      <w:r>
        <w:t>Las explicaciones de la violencia y las creencias de justificación del sistema</w:t>
      </w:r>
    </w:p>
    <w:p w14:paraId="51ED182B" w14:textId="77777777" w:rsidR="0087198C" w:rsidRDefault="0087198C" w:rsidP="00AC45FC">
      <w:pPr>
        <w:jc w:val="both"/>
      </w:pPr>
      <w:r>
        <w:tab/>
        <w:t>La mayoría de las sociedades occidentales asumen valores fundamentales de justicia e igualdad. Al mismo tiempo, la distribución injusta de la riqueza ha aumentado en casi todas las regiones del mundo, incluidas las más democratizadas (Word Inequality, 2018), en las que las relaciones jerárquicas entre grupos sociales se siguen percibiendo como legítimas. Para entender la aparente paradoja, la psicología social de la legitimidad ha propuesto algunos modelos analíticos y teorías que destacan el papel central de la legitimación de las desigualdades sociales. Por ejemplo, basándose en una revisión de la teoría del racismo aversivo, la teoría de la dominación social y la justificación del sistema, Cost-Lopes et al. (2013) se refieren a la legitimación como los procesos psicológicos y sociales por los que se justifican las actitudes, los comportamientos y los acuerdos sociales de acuerdo con las normas. Destacaron que la legitimación implica al menos tres niveles de análisis: individual (por la defensa de la imagen propia), grupal (por el mantenimiento de la jerarquía) y de sistema (por la justificación del sistema en su conjunto). Tyler (2006) señaló que un conjunto de creencias puede explicar y dar sentido a un sistema social para justificar las diferencias de poder, autoridad, riqueza o estatus presentes en la sociedad. En consecuencia, se puede alentar a las personas a que acepten y defiendan voluntariamente las normas, decisiones o acuerdos sociales que se consideran legítimos.</w:t>
      </w:r>
    </w:p>
    <w:p w14:paraId="12708B12" w14:textId="41009C70" w:rsidR="0087198C" w:rsidRDefault="0087198C" w:rsidP="00AC45FC">
      <w:pPr>
        <w:jc w:val="both"/>
      </w:pPr>
      <w:r>
        <w:tab/>
        <w:t xml:space="preserve">En el contexto de la violencia y su relación con las percepciones de justicia, este fenómeno también puede presentarse como un proceso por el </w:t>
      </w:r>
      <w:r w:rsidRPr="004B0326">
        <w:t>que se justifica la aparición de la violencia y el comportamiento agresivo. Por ejemplo, la violencia puede percibirse como natural, justa y necesaria. En este sentido, la forma en que se percibe y se explica socialmente la violencia puede estar relacionada con la categoría de pertenencia de la víctima</w:t>
      </w:r>
      <w:r>
        <w:t>, especialmente cuando es miembro de un grupo minoritario. Dado que las personas actúan hacia las minorías sociales de una manera que legitima su desventaja social (véase Pereira et al., 2010; Jost y Banaji, 1994), es probable que la violencia contra los miembros de los grupos minorizados esté igualmente legitimada.</w:t>
      </w:r>
    </w:p>
    <w:p w14:paraId="3B5AD8E0" w14:textId="4F7E5E09" w:rsidR="006678A2" w:rsidRDefault="006678A2" w:rsidP="00AC45FC">
      <w:pPr>
        <w:jc w:val="both"/>
      </w:pPr>
      <w:r>
        <w:t xml:space="preserve">Mientras que, por un lado, la violencia es condenada socialmente, por otro </w:t>
      </w:r>
      <w:r w:rsidR="0024607D">
        <w:t>lado,</w:t>
      </w:r>
      <w:r>
        <w:t xml:space="preserve"> puede ser legitimada bajo ciertas condiciones. Al igual que la legitimación de la desigualdad social y la exclusión</w:t>
      </w:r>
      <w:r w:rsidRPr="004B0326">
        <w:t>, la violencia también puede legitimarse a través de motivaciones de justificación del sistema para el mantenimiento del statu quo. Esta</w:t>
      </w:r>
      <w:r>
        <w:t xml:space="preserve"> tendencia a defender el sistema y, en consecuencia, a mantener el statu quo se ha explicado adecuadamente durante más de 25 años de investigación en la teoría de la justificación del sistema (Jost y Banaji, 1994; Jost, 2019</w:t>
      </w:r>
      <w:r w:rsidRPr="004B0326">
        <w:t xml:space="preserve">). Esta teoría afirma que los individuos están motivados para defender, apoyar y justificar los acuerdos sociales, </w:t>
      </w:r>
      <w:r w:rsidRPr="004B0326">
        <w:lastRenderedPageBreak/>
        <w:t>económicos y políticos imperantes, legitimando así el sistema social del que dependen (Jost &amp; van der Toorn, 2012; van der Toorn &amp; Jost, 2014). La teoría predice que incluso los miembros de grupos socialmente desfavorecidos en determinados contextos están motivados para justificar el sistema, percibiéndolo como bueno, justo y legítimo (Jost &amp; Banaji, 1994; Just &amp; Toorn, 2012). Ejemplos de acciones que justifican el sistema son los estereotipos, el uso de algunas ideologías para explicar los hechos sociales y culpar a las víctimas de su desgracia. En este sentido, las justificaciones pueden ser creencias, actitudes o acciones que legitiman implícita o explícitamente los hechos que ocurren en todos los aspectos de la vida social y contribuyen a la preservación de las jerarquías y desigualdades sociales (Jost &amp; Banaji, 1994; Jost, Burgess &amp; Mosso, 2001). La pregunta que nos planteamos aquí es: ¿Cuáles son los factores justificativos que los individuos utilizan para explicar</w:t>
      </w:r>
      <w:r>
        <w:t xml:space="preserve"> las razones de la violencia contra los grupos minoritarios?</w:t>
      </w:r>
    </w:p>
    <w:p w14:paraId="67958205" w14:textId="77777777" w:rsidR="00AD2923" w:rsidRPr="004B0326" w:rsidRDefault="00AD2923" w:rsidP="00AC45FC">
      <w:pPr>
        <w:jc w:val="both"/>
      </w:pPr>
      <w:r>
        <w:t xml:space="preserve">Es posible </w:t>
      </w:r>
      <w:r w:rsidRPr="004B0326">
        <w:t>que las razones que los individuos utilizan para explicar la violencia impliquen al menos tres tipos diferentes de justificaciones: la culpabilización de la víctima por su propia situación; la minimización de la responsabilidad de los agresores por su comportamiento; y la renuncia personal al percibir la violencia como algo sistémico y, por tanto, inevitable. Es probable que el uso de este tipo de explicaciones de la violencia esté en consonancia con la motivación de los individuos para defender y justificar el sistema. Un ejemplo de este tipo de justificación se produce cuando los individuos culpan a las víctimas de su propio sufrimiento (véase Campbell y Raja, 1999). Este fenómeno se ha estudiado especialmente a partir de la teoría del mundo justo (BJW, Lerner, 1980), que predice que las personas se comportan como si creyeran que viven en un mundo justo, donde merecen lo que tienen y tienen lo que merecen. Según esta teoría, cuando las personas se enfrentan a situaciones de injusticia que amenazan su BJW</w:t>
      </w:r>
      <w:r>
        <w:t xml:space="preserve">, están motivadas para defender su creencia en un mundo justo (por ejemplo, Dalbert, 2009; Jolley et al., 2018). Por ejemplo, cuando se enfrentan a víctimas de la violencia, las personas tratan de defender su creencia en un mundo justo culpando a las víctimas de su desgracia. Así, es probable que uno de los factores que legitima la violencia sea la atribución de la culpa a las víctimas por lo que les ocurrió. Este fenómeno se produce cuando los individuos se enfrentan a la victimización de grupos minoritarios. Esto ocurre, por ejemplo, cuando los individuos perciben que los negros, ellos mismos, son racistas (Ryan, 1971/1976), o que las mujeres son culpables por haber sido violadas (Howard, 1984), o incluso cuando culpan a los individuos homosexuales de la violencia que sufren (véase Ford et al., 1998; Wakelin &amp; Long, 2003). En consecuencia, la gente puede invocar fácilmente la culpabilidad de las víctimas para explicar las </w:t>
      </w:r>
      <w:r w:rsidRPr="004B0326">
        <w:t>razones de la violencia en la sociedad.</w:t>
      </w:r>
    </w:p>
    <w:p w14:paraId="6DA9DAD9" w14:textId="77777777" w:rsidR="00AD2923" w:rsidRDefault="00AD2923" w:rsidP="00AC45FC">
      <w:pPr>
        <w:jc w:val="both"/>
      </w:pPr>
      <w:r w:rsidRPr="004B0326">
        <w:tab/>
        <w:t>Otra forma de justificar la violencia es cuando la gente minimiza la responsabilidad de los autores por su comportamiento, como se ha demostrado en la investigación sobre la violencia policial contra la población negra. De hecho, estudios recientes han demostrado la negación de la responsabilidad de los agresores cuando las víctimas de la agresión policial son negras, los agentes de policía reciben penas más bajas y las víctimas</w:t>
      </w:r>
      <w:r>
        <w:t xml:space="preserve"> menores indemnizaciones (Johnson y Lecci, 2020; Lima et al., 2018; Correll et al., 2014). Esto sugiere que hay una tendencia a evitar culpar directamente a las víctimas de la agresión. Esta culpabilización parece expresarse en la absolución de los agresores.</w:t>
      </w:r>
    </w:p>
    <w:p w14:paraId="283D994A" w14:textId="77777777" w:rsidR="00AD2923" w:rsidRDefault="00AD2923" w:rsidP="00AC45FC">
      <w:pPr>
        <w:jc w:val="both"/>
      </w:pPr>
      <w:r>
        <w:tab/>
      </w:r>
      <w:r w:rsidRPr="004B0326">
        <w:t xml:space="preserve">Finalmente, una tercera forma de justificar la violencia se produce cuando los individuos perciben la violencia social como algo sistémico dentro de una sociedad y niegan su responsabilidad en la ocurrencia de los hechos (véase Camino et al., 2001; Abad-Merino et al., 2018). Un fenómeno </w:t>
      </w:r>
      <w:r w:rsidRPr="004B0326">
        <w:lastRenderedPageBreak/>
        <w:t>similar apareció en la literatura sobre el prejuicio social. Por ejemplo, en un estudio sobre estereotipos culturales, Devine (1989) mostró que los participantes negaban tener estereotipos negativos sobre las personas negras, mientras que percibían los estereotipos negativos sobre las personas negras como algo sistémico en la sociedad y, por tanto, inevitable. Del mismo modo, Camino et al. (2001) descubrieron que los participantes blancos reconocían que el racismo en Brasil se produce porque el racismo es sistémico e inevitable, pero se percibían a sí mismos como no racistas. Esta idea de que el prejuicio contra los grupos minoritarios es sistémico fue demostrada experimentalmente por Lima et al. (2019), cuando los participantes apoyaron</w:t>
      </w:r>
      <w:r>
        <w:t xml:space="preserve"> la discriminación contra las personas negras después de que se les pidiera que respondieran según el funcionamiento de la sociedad, separándose del significado discriminatorio de sus acciones.</w:t>
      </w:r>
    </w:p>
    <w:p w14:paraId="5941F80F" w14:textId="37F57117" w:rsidR="0087198C" w:rsidRDefault="00AD2923" w:rsidP="00AC45FC">
      <w:pPr>
        <w:jc w:val="both"/>
      </w:pPr>
      <w:r>
        <w:tab/>
        <w:t xml:space="preserve">En </w:t>
      </w:r>
      <w:r w:rsidRPr="004B0326">
        <w:t>resumen, las personas están motivadas para justificar la forma en que se organiza la sociedad y los acontecimientos que tienen lugar en ella (Jost, 2019), por lo que es probable que apelen a factores justificativos que les ayuden a explicar</w:t>
      </w:r>
      <w:r>
        <w:t xml:space="preserve"> las razones de la violencia. Proponemos que los individuos apelan a al menos tres razones basadas en la culpa para justificar la violencia: las víctimas, los autores y la violencia como sistema. También sugerimos que la frecuencia de cada uno de estos tipos de justificación puede depender de la pertenencia de la víctima al grupo. Desarrollamos dos estudios en los que pusimos a prueba estas hipótesis.</w:t>
      </w:r>
    </w:p>
    <w:p w14:paraId="5E004A0F" w14:textId="4C25FEF6" w:rsidR="00AD2923" w:rsidRDefault="00AD2923" w:rsidP="00AC45FC">
      <w:pPr>
        <w:jc w:val="both"/>
      </w:pPr>
    </w:p>
    <w:p w14:paraId="49B9F033" w14:textId="3DEA67F2" w:rsidR="00AD2923" w:rsidRDefault="00AD2923" w:rsidP="00AC45FC">
      <w:pPr>
        <w:jc w:val="both"/>
      </w:pPr>
      <w:r>
        <w:t>Estudio 1</w:t>
      </w:r>
    </w:p>
    <w:p w14:paraId="7D40B123" w14:textId="77777777" w:rsidR="00AD2923" w:rsidRDefault="00AD2923" w:rsidP="00AC45FC">
      <w:pPr>
        <w:jc w:val="both"/>
      </w:pPr>
      <w:r>
        <w:t>Método</w:t>
      </w:r>
    </w:p>
    <w:p w14:paraId="35D87909" w14:textId="77777777" w:rsidR="00AD2923" w:rsidRDefault="00AD2923" w:rsidP="00AC45FC">
      <w:pPr>
        <w:jc w:val="both"/>
      </w:pPr>
      <w:r>
        <w:tab/>
        <w:t xml:space="preserve">En este estudio, presentamos a los participantes una descripción de una situación de violencia hipotética en la que el grupo objetivo victimizado variaba (es decir, personas de raza negra frente a mujeres frente a individuos homosexuales frente a controles) en un diseño entre participantes. La tarea de los participantes era escribir las razones que creían que podían explicar la ocurrencia de la violencia descrita en esta situación. El objetivo de este estudio era analizar si los individuos daban razones que pudieran legitimar la violencia contra las minorías. Dado que los individuos están motivados para justificar la sociedad tal y como es (por ejemplo, Jost, 2019), predijimos que los individuos utilizarían al menos tres tipos de explicaciones para justificar la violencia: culpar a la víctima, culpar al agresor y considerar la violencia como algo sistémico. También predijimos que estas razones para la violencia variarían según el grupo objetivo de la violencia, lo que nos permitiría caracterizar la especificidad de la legitimación para cada grupo objetivo. </w:t>
      </w:r>
    </w:p>
    <w:p w14:paraId="4CA828B5" w14:textId="77777777" w:rsidR="00AD2923" w:rsidRDefault="00AD2923" w:rsidP="00AC45FC">
      <w:pPr>
        <w:jc w:val="both"/>
      </w:pPr>
    </w:p>
    <w:p w14:paraId="6A2E8ACF" w14:textId="77777777" w:rsidR="00AD2923" w:rsidRDefault="00AD2923" w:rsidP="00AC45FC">
      <w:pPr>
        <w:jc w:val="both"/>
      </w:pPr>
      <w:r>
        <w:t>Participantes</w:t>
      </w:r>
    </w:p>
    <w:p w14:paraId="169005FD" w14:textId="77777777" w:rsidR="00AD2923" w:rsidRDefault="00AD2923" w:rsidP="00AC45FC">
      <w:pPr>
        <w:jc w:val="both"/>
      </w:pPr>
      <w:r>
        <w:tab/>
        <w:t xml:space="preserve">Participaron en este </w:t>
      </w:r>
      <w:r w:rsidRPr="004B0326">
        <w:t>estudio 104 estudiantes universitarios de una universidad pública</w:t>
      </w:r>
      <w:r>
        <w:t xml:space="preserve"> de la ciudad de João Pessoa, Brasil (Edad = 22,58; DT = 6,44; 54,8% hombres). Los participantes fueron asignados aleatoriamente a una de las cuatro condiciones en consonancia con el grupo objetivo de la violencia: negro (n = 26), mujer (n = 26), gay (n = 26), control (n = 26). Un análisis de potencia de sensibilidad para los efectos principales y las interacciones en el ANOVA, utilizando Webpower </w:t>
      </w:r>
      <w:r>
        <w:lastRenderedPageBreak/>
        <w:t>(Zhang &amp; Yuan, 2018) con α = 0,05 y cuatro grupos, mostró que tenemos un 80% de potencia de detectar un tamaño de efecto medio de f = 0,36 o superior.</w:t>
      </w:r>
    </w:p>
    <w:p w14:paraId="2E4265C5" w14:textId="77777777" w:rsidR="00AD2923" w:rsidRDefault="00AD2923" w:rsidP="00AC45FC">
      <w:pPr>
        <w:jc w:val="both"/>
      </w:pPr>
      <w:r>
        <w:t>Materiales</w:t>
      </w:r>
    </w:p>
    <w:p w14:paraId="44470C82" w14:textId="77777777" w:rsidR="00AD2923" w:rsidRDefault="00AD2923" w:rsidP="00AC45FC">
      <w:pPr>
        <w:jc w:val="both"/>
      </w:pPr>
      <w:r>
        <w:t>Observamos la evocación de los individuos de las razones de la violencia. Les pedimos que escribieran en una hoja en blanco por qué se produce ese tipo de violencia en Brasil. Categorizamos las respuestas de los participantes utilizando como marco previo las tres categorías previstas (percibir la violencia como sistémica; culpar a la víctima; culpar al agresor). Dado que los participantes escribieron varias frases con contenidos diferentes dentro del mismo párrafo, fue posible ver un tipo de categoría más evocada por el mismo participante. Esto nos permitió conocer la intensidad de cada contenido presente en la evocación de los participantes para cada tipo de violencia. Para abordar esta posibilidad, cuantificamos el grado de categorización de los contenidos como elementos de cada tipo de explicación, por lo que calculamos la fuerza de evocación para cada tipo de justificación frecuentemente evocada por los participantes. Para esta cuantificación, cuatro expertos independientes en relaciones intergrupales indicaron el número de veces que cada participante evocaba elementos que culpaban a la víctima, al agresor y concebían la violencia como sistémica en sus respuestas. Los expertos no conocían las hipótesis de la investigación ni la condición a la que estaban asignados los participantes. Leyeron las respuestas de cada participante y para cada una de ellas indicaron cuántas respuestas se referían a elementos que culpaban a la víctima, al agresor y al sistema. Esto nos permitió calcular el grado y la consistencia interna en las evaluaciones de los calificadores. Esta consistencia fue alta para los tres tipos de culpabilidad evocados: culpabilización de la víctima, α = 0,87; violencia sistémica, α = 0,83; y culpabilización del agresor, α = 0,71. Esta alta consistencia nos permitió calcular la intensidad del tipo de explicación atribuida a la violencia. Así, esta medida indicaba la intensidad con la que los participantes evocaban cada tipo de explicación de la violencia.</w:t>
      </w:r>
    </w:p>
    <w:p w14:paraId="68B2F137" w14:textId="76436B52" w:rsidR="00AD2923" w:rsidRDefault="00AD2923" w:rsidP="00AC45FC">
      <w:pPr>
        <w:jc w:val="both"/>
      </w:pPr>
      <w:r>
        <w:t>Instrumento y procedimiento</w:t>
      </w:r>
    </w:p>
    <w:p w14:paraId="1877CDA7" w14:textId="77777777" w:rsidR="007A7C6C" w:rsidRDefault="007A7C6C" w:rsidP="00AC45FC">
      <w:pPr>
        <w:jc w:val="both"/>
      </w:pPr>
      <w:r>
        <w:t xml:space="preserve">Pedimos a los participantes que colaboraran en una encuesta de opinión sobre la violencia en Brasil. Cada participante respondió individualmente a una de las cuatro condiciones: una condición de control, en la que les preguntamos sobre la violencia sin especificar ningún grupo objetivo concreto; y tres condiciones experimentales, cada una de ellas con un grupo objetivo concreto (individuo negro frente a mujer frente a homosexual). En concreto, en la condición de control, los participantes leyeron: "En Brasil, muchas personas viven situaciones de violencia. En su opinión personal, ¿cuáles son las principales razones que contribuyen a que estas personas sean objeto de violencia?". En la condición de objetivo negro, leyeron: "En Brasil, somos testigos de muchos casos de homicidio. Las estadísticas muestran que los negros son asesinados de forma desproporcionada. ¿Cuáles crees que son las principales razones por las que los negros son objeto de este tipo de violencia?". En la condición femenina, los participantes leyeron: "Vemos casos en Brasil en los que las mujeres son objeto de violencia doméstica (por ejemplo, son golpeadas por sus parejas), con graves consecuencias para su integridad física y psicológica. Pero no todas las mujeres pasan por esta situación. En su opinión personal, ¿cuáles son las principales razones por las que algunas mujeres se ven afectadas por esta situación?". En la condición de objetivo gay, leyeron: "Somos testigos en Brasil de situaciones de violencia con gran crueldad. Cuando se revisa la historia de estos casos, </w:t>
      </w:r>
      <w:r>
        <w:lastRenderedPageBreak/>
        <w:t>resulta que en muchos casos las víctimas eran personas homosexuales. ¿Cuáles cree usted que son las principales razones por las que algunos homosexuales son sometidos a este tipo de violencia?"</w:t>
      </w:r>
    </w:p>
    <w:p w14:paraId="471949EC" w14:textId="07EB7D2E" w:rsidR="007A7C6C" w:rsidRDefault="007A7C6C" w:rsidP="00AC45FC">
      <w:pPr>
        <w:jc w:val="both"/>
      </w:pPr>
      <w:r>
        <w:t>Observamos la evocación por parte de los individuos de las razones de la violencia. Les pedimos que escribieran en una hoja en blanco por qué se produce ese tipo de violencia en Brasil.</w:t>
      </w:r>
      <w:r w:rsidR="002B0B4C">
        <w:t xml:space="preserve"> </w:t>
      </w:r>
      <w:r>
        <w:t>Categorizamos las respuestas de los participantes utilizando como marco previo las tres categorías previstas (percibir la violencia como sistémica; culpar a la víctima; culpar al agresor). Como los participantes escribieron varias frases con contenidos diferentes dentro del mismo párrafo, fue posible ver un tipo de categoría más evocada por el mismo participante. Esto nos permitió conocer la intensidad de cada contenido presente en la evocación de los participantes para cada tipo de violencia. Para abordar esta posibilidad, cuantificamos el grado de categorización de los contenidos como elementos de cada tipo de explicación, por lo que calculamos la fuerza de la evocación para cada tipo de justificación frecuentemente evocada por los participantes. Para esta cuantificación, cuatro expertos independientes en relaciones intergrupales indicaron el número de veces que cada participante evocaba elementos que culpaban a la víctima, al agresor y concebían la violencia como sistémica en sus respuestas. Los expertos no conocían las hipótesis de la investigación ni la condición a la que estaban asignados los participantes. Leyeron las respuestas de cada participante y para cada una de ellas indicaron cuántas respuestas se referían a elementos que culpaban a la víctima, al agresor y al sistema. Esto nos permitió calcular el grado y la consistencia interna en las evaluaciones de los calificadores. Esta consistencia fue alta para los tres tipos de culpabilidad evocados: culpabilización de la víctima, α = 0,87; violencia sistémica, α = 0,83; y culpabilización del agresor, α = 0,71. Esta alta consistencia nos permitió calcular la intensidad del tipo de explicación atribuida a la violencia. Así, esta medida indicó la intensidad con la que los participantes evocaron cada tipo de explicación de la violencia.</w:t>
      </w:r>
    </w:p>
    <w:p w14:paraId="3035BCCD" w14:textId="77777777" w:rsidR="007A7C6C" w:rsidRDefault="007A7C6C" w:rsidP="00AC45FC">
      <w:pPr>
        <w:jc w:val="both"/>
      </w:pPr>
      <w:r>
        <w:t>Cabe destacar que la investigación que presentamos en este manuscrito fue aprobada por el Comité de Ética de la Investigación de una universidad brasileña (CAE 66357516.9.0000.5188) y cumple con las Directrices de Ética del Consejo Nacional de Salud de Brasil (Resolución 466/12). También se pusieron a disposición del público los datos de todos los estudios a través del Open Science Framework (OSF).</w:t>
      </w:r>
    </w:p>
    <w:p w14:paraId="1898C4B0" w14:textId="77777777" w:rsidR="007A7C6C" w:rsidRDefault="007A7C6C" w:rsidP="00AC45FC">
      <w:pPr>
        <w:jc w:val="both"/>
      </w:pPr>
      <w:r>
        <w:t>Análisis de los datos</w:t>
      </w:r>
    </w:p>
    <w:p w14:paraId="13792EC4" w14:textId="1D9AB315" w:rsidR="00AD2923" w:rsidRDefault="007A7C6C" w:rsidP="00AC45FC">
      <w:pPr>
        <w:jc w:val="both"/>
      </w:pPr>
      <w:r>
        <w:t>Se analizaron los datos con el programa SPSS versión 25. Se aplicó un ANOVA factorial de medidas repetidas con diseño 3 (tipos de culpa: culpa de la víctima, violencia sistémica y culpa del perpetrador) X 4 (objetivo de la violencia: control, personas negras, mujeres y homosexuales), con el primer factor variando dentro del sujeto y el segundo variando entre sujetos.</w:t>
      </w:r>
    </w:p>
    <w:p w14:paraId="3B89B364" w14:textId="64A27F3C" w:rsidR="007A7C6C" w:rsidRDefault="007A7C6C" w:rsidP="00AC45FC">
      <w:pPr>
        <w:jc w:val="both"/>
      </w:pPr>
      <w:r>
        <w:t>Resultados</w:t>
      </w:r>
    </w:p>
    <w:p w14:paraId="2CB3D6A6" w14:textId="702E1027" w:rsidR="007A7C6C" w:rsidRDefault="007A7C6C" w:rsidP="00AC45FC">
      <w:pPr>
        <w:jc w:val="both"/>
      </w:pPr>
      <w:r>
        <w:t xml:space="preserve">Encontramos una fuerte consistencia entre los tres tipos de explicaciones de la violencia presentes en los cuatro contextos analizados: la violencia como sistémica, la culpabilización de la víctima y la culpabilización del agresor. Los contenidos de la categoría de violencia sistémica caracterizaron la violencia como algo generalizado en toda la sociedad debido al funcionamiento habitual de la cultura brasileña (por ejemplo, "una sociedad jerárquica, en la que todavía predominan las diferencias de clase, raza y género"; "esto se debe a que todavía existe una hegemonía social y política que ensalza la raza blanca"); los contenidos de culpabilización de la víctima tendían a culpar </w:t>
      </w:r>
      <w:r>
        <w:lastRenderedPageBreak/>
        <w:t>a las víctimas de la violencia que sufrían (por ejemplo, "aceptan la violencia verbal como algo normal"; "las víctimas pasan por una situación de violencia", "aceptan la violencia verbal como algo normal"; "las víctimas pasan por cuestiones relacionadas con el miedo a morir, el miedo por la familia y también ocurre porque creen en el amor y acaban aceptando la violencia"); y la culpabilización del autor se refería principalmente a la atribución de la culpa de la violencia a la persona que la ejerce (por ejemplo, "los agresores que todavía tienen una mentalidad colonizada"; "hay que culpar al agresor"). La lista completa de evocaciones de estas categorías en cada grupo objetivo analizado se encuentra en el FSO.</w:t>
      </w:r>
    </w:p>
    <w:p w14:paraId="0A3E778C" w14:textId="77777777" w:rsidR="007A7C6C" w:rsidRDefault="007A7C6C" w:rsidP="00AC45FC">
      <w:pPr>
        <w:jc w:val="both"/>
      </w:pPr>
      <w:r>
        <w:tab/>
        <w:t>Los resultados mostraron un efecto principal del objetivo no significativo, F(3, 100) = 2,13, p = 0,10, η² = 0,06, lo que significa que los participantes evocaron el mismo número medio de motivos de violencia en cada condición experimental. Sin embargo, el efecto principal del tipo de culpa fue significativo, F(2, 200) = 47,99, p = .001, η² = .32. Los participantes tendieron a percibir la violencia sistémica significativamente más que la culpa del agresor (b= 0,92, SE= 0,13, p= .001; d= 1,15), y que la culpa de la víctima (b= 1,04, SE= 0,13, p= .001; d= 1,24), pero no diferenciaron entre la culpa de la víctima y del agresor (b= -0,12, SE= 0,09, p= .16; d= -0,21). Lo más importante es que este efecto estaba matizado por una interacción entre el objetivo y el tipo de culpa, F(6, 200) = 2,47, p = .025, η² = .07, lo que indica que el tipo de culpa evocada estaba influenciado por la manipulación del grupo objetivo. Desglosamos esta interacción analizando las diferencias en los tipos de culpa en cada grupo objetivo (ver Tabla 1).</w:t>
      </w:r>
    </w:p>
    <w:p w14:paraId="52D4EDD1" w14:textId="5E10170E" w:rsidR="007A7C6C" w:rsidRDefault="007A7C6C" w:rsidP="00AC45FC">
      <w:pPr>
        <w:jc w:val="both"/>
      </w:pPr>
      <w:r>
        <w:t>Las comparaciones múltiples mostraron que</w:t>
      </w:r>
      <w:r w:rsidR="005C7DEE">
        <w:t>,</w:t>
      </w:r>
      <w:r>
        <w:t xml:space="preserve"> en la condición de control, la violencia sistémica fue más evocada que la culpabilización del agresor (b = 0,96, SE= 0,26, p= .001, d= 1,14), y la culpabilización de la víctima (b= 1,28, SE= 0,26, p= .001, d= 1,48). La diferencia entre culpar a la víctima y al agresor fue sólo marginalmente significativa (b= -0,32, SE= 0,17, p= .07, d= -0,54). En la condición de objetivo negro, los participantes también evocaron más la violencia sistémica que el agresor (b= 1,10, SE= 0,26; p= .001,d= 1,30), y la culpabilización de la víctima (b= 1,27, SE= 0,26, p= .001, d= 1,48). Las diferencias no fueron significativas entre la culpabilidad del agresor y de la víctima (b= 0,17, SE= 0,17, p= 0,32). En la condición de objetivo gay, los participantes también percibieron más violencia sistémica que culpar al agresor (b= 1,03, SE= 0. 26, p= .001. d= 1,23), y que culpar a la víctima (b= 1,35, SE= 0,26, p= .001, d= 1,58). Culpaban marginalmente más al agresor que a la víctima (b= 0,32, SE= 0,17, p= .07, d= 0,56). En el contexto en el que las mujeres eran las víctimas de la violencia, los resultados fueron diferentes. De hecho, los participantes percibieron más la violencia sistémica que la culpa del agresor (b= 0,60, SE= 0,26, p= .02, d= 0,70), pero culparon igualmente a la víctima y percibieron la violencia sistémica en la sociedad (b= 0,23, SE= 0,26, p= .29, d= 0,31). La diferencia entre culpar a la víctima y al agresor fue sólo marginalmente significativa (b= 0,32, SE= 0,17, p= .07, d= 0,56).</w:t>
      </w:r>
    </w:p>
    <w:p w14:paraId="3780BE26" w14:textId="77777777" w:rsidR="007A7C6C" w:rsidRDefault="007A7C6C" w:rsidP="00AC45FC">
      <w:pPr>
        <w:jc w:val="both"/>
      </w:pPr>
      <w:r>
        <w:t xml:space="preserve">Tabla 1. </w:t>
      </w:r>
    </w:p>
    <w:p w14:paraId="7F5EFAB2" w14:textId="14C52E45" w:rsidR="007A7C6C" w:rsidRDefault="007A7C6C" w:rsidP="00AC45FC">
      <w:pPr>
        <w:jc w:val="both"/>
      </w:pPr>
      <w:r>
        <w:t>Medias marginales estimadas y errores estándar (entre paréntesis) de los motivos de la violencia según el grupo objetivo y el tipo de culpa evocada</w:t>
      </w:r>
    </w:p>
    <w:tbl>
      <w:tblPr>
        <w:tblW w:w="88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65"/>
        <w:gridCol w:w="2250"/>
        <w:gridCol w:w="2010"/>
        <w:gridCol w:w="1905"/>
        <w:gridCol w:w="1320"/>
      </w:tblGrid>
      <w:tr w:rsidR="007A7C6C" w:rsidRPr="005C7DEE" w14:paraId="5D37E764" w14:textId="77777777" w:rsidTr="003C65F2">
        <w:trPr>
          <w:trHeight w:val="648"/>
        </w:trPr>
        <w:tc>
          <w:tcPr>
            <w:tcW w:w="1365"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01E2F746" w14:textId="09F79883" w:rsidR="007A7C6C" w:rsidRPr="005C7DEE" w:rsidRDefault="007A7C6C" w:rsidP="00AC45FC">
            <w:pPr>
              <w:pStyle w:val="Corpo"/>
              <w:spacing w:line="276" w:lineRule="auto"/>
              <w:jc w:val="both"/>
              <w:rPr>
                <w:sz w:val="22"/>
                <w:szCs w:val="22"/>
              </w:rPr>
            </w:pPr>
            <w:r w:rsidRPr="005C7DEE">
              <w:rPr>
                <w:sz w:val="22"/>
                <w:szCs w:val="22"/>
                <w:lang w:val="en-US"/>
              </w:rPr>
              <w:t>Grupos de objetivo</w:t>
            </w:r>
          </w:p>
        </w:tc>
        <w:tc>
          <w:tcPr>
            <w:tcW w:w="225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7B34F6FE" w14:textId="34B4C8F0" w:rsidR="007A7C6C" w:rsidRPr="005C7DEE" w:rsidRDefault="007A7C6C" w:rsidP="00AC45FC">
            <w:pPr>
              <w:pStyle w:val="Corpo"/>
              <w:spacing w:line="276" w:lineRule="auto"/>
              <w:jc w:val="both"/>
              <w:rPr>
                <w:sz w:val="22"/>
                <w:szCs w:val="22"/>
              </w:rPr>
            </w:pPr>
            <w:r w:rsidRPr="005C7DEE">
              <w:rPr>
                <w:sz w:val="22"/>
                <w:szCs w:val="22"/>
                <w:lang w:val="en-US"/>
              </w:rPr>
              <w:t>Culpabilidad de la victima</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39F461D1" w14:textId="1C16A893" w:rsidR="007A7C6C" w:rsidRPr="005C7DEE" w:rsidRDefault="007A7C6C" w:rsidP="00AC45FC">
            <w:pPr>
              <w:pStyle w:val="Corpo"/>
              <w:spacing w:line="276" w:lineRule="auto"/>
              <w:jc w:val="both"/>
              <w:rPr>
                <w:sz w:val="22"/>
                <w:szCs w:val="22"/>
              </w:rPr>
            </w:pPr>
            <w:r w:rsidRPr="005C7DEE">
              <w:rPr>
                <w:sz w:val="22"/>
                <w:szCs w:val="22"/>
                <w:lang w:val="en-US"/>
              </w:rPr>
              <w:t>Violencia sistémica</w:t>
            </w:r>
          </w:p>
        </w:tc>
        <w:tc>
          <w:tcPr>
            <w:tcW w:w="1905" w:type="dxa"/>
            <w:tcBorders>
              <w:top w:val="single" w:sz="6" w:space="0" w:color="000000"/>
              <w:left w:val="nil"/>
              <w:bottom w:val="single" w:sz="6" w:space="0" w:color="000000"/>
              <w:right w:val="single" w:sz="4" w:space="0" w:color="000000"/>
            </w:tcBorders>
            <w:shd w:val="clear" w:color="auto" w:fill="FFFFFF"/>
            <w:tcMar>
              <w:top w:w="80" w:type="dxa"/>
              <w:left w:w="80" w:type="dxa"/>
              <w:bottom w:w="80" w:type="dxa"/>
              <w:right w:w="80" w:type="dxa"/>
            </w:tcMar>
            <w:vAlign w:val="bottom"/>
          </w:tcPr>
          <w:p w14:paraId="6F595CEC" w14:textId="60BDF343" w:rsidR="007A7C6C" w:rsidRPr="005C7DEE" w:rsidRDefault="007A7C6C" w:rsidP="00AC45FC">
            <w:pPr>
              <w:pStyle w:val="Corpo"/>
              <w:spacing w:line="276" w:lineRule="auto"/>
              <w:jc w:val="both"/>
              <w:rPr>
                <w:sz w:val="22"/>
                <w:szCs w:val="22"/>
              </w:rPr>
            </w:pPr>
            <w:r w:rsidRPr="005C7DEE">
              <w:rPr>
                <w:sz w:val="22"/>
                <w:szCs w:val="22"/>
                <w:lang w:val="en-US"/>
              </w:rPr>
              <w:t>Culpabilidad del agresor</w:t>
            </w:r>
          </w:p>
        </w:tc>
        <w:tc>
          <w:tcPr>
            <w:tcW w:w="1320" w:type="dxa"/>
            <w:tcBorders>
              <w:top w:val="single" w:sz="6" w:space="0" w:color="000000"/>
              <w:left w:val="single" w:sz="4" w:space="0" w:color="000000"/>
              <w:bottom w:val="single" w:sz="6" w:space="0" w:color="000000"/>
              <w:right w:val="nil"/>
            </w:tcBorders>
            <w:shd w:val="clear" w:color="auto" w:fill="FFFFFF"/>
            <w:tcMar>
              <w:top w:w="80" w:type="dxa"/>
              <w:left w:w="80" w:type="dxa"/>
              <w:bottom w:w="80" w:type="dxa"/>
              <w:right w:w="80" w:type="dxa"/>
            </w:tcMar>
          </w:tcPr>
          <w:p w14:paraId="524ECD4F" w14:textId="77777777" w:rsidR="007A7C6C" w:rsidRPr="005C7DEE" w:rsidRDefault="007A7C6C" w:rsidP="00AC45FC">
            <w:pPr>
              <w:pStyle w:val="Corpo"/>
              <w:spacing w:line="276" w:lineRule="auto"/>
              <w:jc w:val="both"/>
              <w:rPr>
                <w:sz w:val="22"/>
                <w:szCs w:val="22"/>
                <w:lang w:val="en-US"/>
              </w:rPr>
            </w:pPr>
          </w:p>
          <w:p w14:paraId="3427280A" w14:textId="77777777" w:rsidR="007A7C6C" w:rsidRPr="005C7DEE" w:rsidRDefault="007A7C6C" w:rsidP="00AC45FC">
            <w:pPr>
              <w:pStyle w:val="Corpo"/>
              <w:spacing w:line="276" w:lineRule="auto"/>
              <w:jc w:val="both"/>
              <w:rPr>
                <w:sz w:val="22"/>
                <w:szCs w:val="22"/>
              </w:rPr>
            </w:pPr>
            <w:r w:rsidRPr="005C7DEE">
              <w:rPr>
                <w:sz w:val="22"/>
                <w:szCs w:val="22"/>
                <w:lang w:val="en-US"/>
              </w:rPr>
              <w:t>Total</w:t>
            </w:r>
          </w:p>
        </w:tc>
      </w:tr>
      <w:tr w:rsidR="007A7C6C" w:rsidRPr="005C7DEE" w14:paraId="1B4517F4" w14:textId="77777777" w:rsidTr="003C65F2">
        <w:trPr>
          <w:trHeight w:val="641"/>
        </w:trPr>
        <w:tc>
          <w:tcPr>
            <w:tcW w:w="1365"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44B4C66A" w14:textId="77777777" w:rsidR="007A7C6C" w:rsidRPr="005C7DEE" w:rsidRDefault="007A7C6C" w:rsidP="00AC45FC">
            <w:pPr>
              <w:pStyle w:val="Corpo"/>
              <w:spacing w:line="276" w:lineRule="auto"/>
              <w:jc w:val="both"/>
              <w:rPr>
                <w:sz w:val="22"/>
                <w:szCs w:val="22"/>
              </w:rPr>
            </w:pPr>
            <w:r w:rsidRPr="005C7DEE">
              <w:rPr>
                <w:sz w:val="22"/>
                <w:szCs w:val="22"/>
                <w:lang w:val="en-US"/>
              </w:rPr>
              <w:lastRenderedPageBreak/>
              <w:t>Control</w:t>
            </w:r>
          </w:p>
        </w:tc>
        <w:tc>
          <w:tcPr>
            <w:tcW w:w="2250" w:type="dxa"/>
            <w:tcBorders>
              <w:top w:val="single" w:sz="6" w:space="0" w:color="000000"/>
              <w:left w:val="nil"/>
              <w:bottom w:val="nil"/>
              <w:right w:val="single" w:sz="6" w:space="0" w:color="000000"/>
            </w:tcBorders>
            <w:shd w:val="clear" w:color="auto" w:fill="FFFFFF"/>
            <w:tcMar>
              <w:top w:w="80" w:type="dxa"/>
              <w:left w:w="80" w:type="dxa"/>
              <w:bottom w:w="80" w:type="dxa"/>
              <w:right w:w="80" w:type="dxa"/>
            </w:tcMar>
            <w:vAlign w:val="center"/>
          </w:tcPr>
          <w:p w14:paraId="662C973D" w14:textId="77777777" w:rsidR="007A7C6C" w:rsidRPr="005C7DEE" w:rsidRDefault="007A7C6C" w:rsidP="00AC45FC">
            <w:pPr>
              <w:pStyle w:val="Corpo"/>
              <w:spacing w:line="276" w:lineRule="auto"/>
              <w:jc w:val="both"/>
              <w:rPr>
                <w:sz w:val="22"/>
                <w:szCs w:val="22"/>
                <w:vertAlign w:val="subscript"/>
              </w:rPr>
            </w:pPr>
            <w:r w:rsidRPr="005C7DEE">
              <w:rPr>
                <w:sz w:val="22"/>
                <w:szCs w:val="22"/>
                <w:lang w:val="en-US"/>
              </w:rPr>
              <w:t>0.35</w:t>
            </w:r>
            <w:r w:rsidRPr="005C7DEE">
              <w:rPr>
                <w:sz w:val="22"/>
                <w:szCs w:val="22"/>
                <w:vertAlign w:val="subscript"/>
                <w:lang w:val="en-US"/>
              </w:rPr>
              <w:t>c</w:t>
            </w:r>
          </w:p>
          <w:p w14:paraId="57B2EAFB" w14:textId="77777777" w:rsidR="007A7C6C" w:rsidRPr="005C7DEE" w:rsidRDefault="007A7C6C" w:rsidP="00AC45FC">
            <w:pPr>
              <w:pStyle w:val="Corpo"/>
              <w:spacing w:line="276" w:lineRule="auto"/>
              <w:jc w:val="both"/>
              <w:rPr>
                <w:sz w:val="22"/>
                <w:szCs w:val="22"/>
              </w:rPr>
            </w:pPr>
            <w:r w:rsidRPr="005C7DEE">
              <w:rPr>
                <w:sz w:val="22"/>
                <w:szCs w:val="22"/>
                <w:lang w:val="en-US"/>
              </w:rPr>
              <w:t>(0.12)</w:t>
            </w:r>
          </w:p>
        </w:tc>
        <w:tc>
          <w:tcPr>
            <w:tcW w:w="2010"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05ED87A3"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1.62</w:t>
            </w:r>
            <w:r w:rsidRPr="005C7DEE">
              <w:rPr>
                <w:sz w:val="22"/>
                <w:szCs w:val="22"/>
                <w:vertAlign w:val="superscript"/>
                <w:lang w:val="en-US"/>
              </w:rPr>
              <w:t>a</w:t>
            </w:r>
          </w:p>
          <w:p w14:paraId="047933A3" w14:textId="77777777" w:rsidR="007A7C6C" w:rsidRPr="005C7DEE" w:rsidRDefault="007A7C6C" w:rsidP="00AC45FC">
            <w:pPr>
              <w:pStyle w:val="Corpo"/>
              <w:spacing w:line="276" w:lineRule="auto"/>
              <w:jc w:val="both"/>
              <w:rPr>
                <w:sz w:val="22"/>
                <w:szCs w:val="22"/>
              </w:rPr>
            </w:pPr>
            <w:r w:rsidRPr="005C7DEE">
              <w:rPr>
                <w:sz w:val="22"/>
                <w:szCs w:val="22"/>
                <w:lang w:val="en-US"/>
              </w:rPr>
              <w:t>(0.21)</w:t>
            </w:r>
          </w:p>
        </w:tc>
        <w:tc>
          <w:tcPr>
            <w:tcW w:w="1905"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8BEA944" w14:textId="77777777" w:rsidR="007A7C6C" w:rsidRPr="005C7DEE" w:rsidRDefault="007A7C6C" w:rsidP="00AC45FC">
            <w:pPr>
              <w:pStyle w:val="Corpo"/>
              <w:spacing w:line="276" w:lineRule="auto"/>
              <w:jc w:val="both"/>
              <w:rPr>
                <w:sz w:val="22"/>
                <w:szCs w:val="22"/>
                <w:vertAlign w:val="subscript"/>
              </w:rPr>
            </w:pPr>
            <w:r w:rsidRPr="005C7DEE">
              <w:rPr>
                <w:sz w:val="22"/>
                <w:szCs w:val="22"/>
                <w:lang w:val="en-US"/>
              </w:rPr>
              <w:t>0.66</w:t>
            </w:r>
            <w:r w:rsidRPr="005C7DEE">
              <w:rPr>
                <w:sz w:val="22"/>
                <w:szCs w:val="22"/>
                <w:vertAlign w:val="subscript"/>
                <w:lang w:val="en-US"/>
              </w:rPr>
              <w:t>bc</w:t>
            </w:r>
          </w:p>
          <w:p w14:paraId="05706043" w14:textId="77777777" w:rsidR="007A7C6C" w:rsidRPr="005C7DEE" w:rsidRDefault="007A7C6C" w:rsidP="00AC45FC">
            <w:pPr>
              <w:pStyle w:val="Corpo"/>
              <w:spacing w:line="276" w:lineRule="auto"/>
              <w:jc w:val="both"/>
              <w:rPr>
                <w:sz w:val="22"/>
                <w:szCs w:val="22"/>
              </w:rPr>
            </w:pPr>
            <w:r w:rsidRPr="005C7DEE">
              <w:rPr>
                <w:sz w:val="22"/>
                <w:szCs w:val="22"/>
                <w:lang w:val="en-US"/>
              </w:rPr>
              <w:t>(0.11)</w:t>
            </w:r>
          </w:p>
        </w:tc>
        <w:tc>
          <w:tcPr>
            <w:tcW w:w="1320" w:type="dxa"/>
            <w:tcBorders>
              <w:top w:val="single" w:sz="6" w:space="0" w:color="000000"/>
              <w:left w:val="single" w:sz="6" w:space="0" w:color="000000"/>
              <w:bottom w:val="nil"/>
              <w:right w:val="nil"/>
            </w:tcBorders>
            <w:shd w:val="clear" w:color="auto" w:fill="FFFFFF"/>
            <w:tcMar>
              <w:top w:w="80" w:type="dxa"/>
              <w:left w:w="80" w:type="dxa"/>
              <w:bottom w:w="80" w:type="dxa"/>
              <w:right w:w="80" w:type="dxa"/>
            </w:tcMar>
            <w:vAlign w:val="center"/>
          </w:tcPr>
          <w:p w14:paraId="4329938D"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0.88</w:t>
            </w:r>
            <w:r w:rsidRPr="005C7DEE">
              <w:rPr>
                <w:sz w:val="22"/>
                <w:szCs w:val="22"/>
                <w:vertAlign w:val="superscript"/>
                <w:lang w:val="en-US"/>
              </w:rPr>
              <w:t>a</w:t>
            </w:r>
          </w:p>
          <w:p w14:paraId="2D0E5E51" w14:textId="77777777" w:rsidR="007A7C6C" w:rsidRPr="005C7DEE" w:rsidRDefault="007A7C6C" w:rsidP="00AC45FC">
            <w:pPr>
              <w:pStyle w:val="Corpo"/>
              <w:spacing w:line="276" w:lineRule="auto"/>
              <w:jc w:val="both"/>
              <w:rPr>
                <w:sz w:val="22"/>
                <w:szCs w:val="22"/>
              </w:rPr>
            </w:pPr>
            <w:r w:rsidRPr="005C7DEE">
              <w:rPr>
                <w:sz w:val="22"/>
                <w:szCs w:val="22"/>
                <w:lang w:val="en-US"/>
              </w:rPr>
              <w:t>(0.07)</w:t>
            </w:r>
          </w:p>
        </w:tc>
      </w:tr>
      <w:tr w:rsidR="007A7C6C" w:rsidRPr="005C7DEE" w14:paraId="07D537B2" w14:textId="77777777" w:rsidTr="003C65F2">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44B4ACE7" w14:textId="77777777" w:rsidR="007A7C6C" w:rsidRPr="005C7DEE" w:rsidRDefault="007A7C6C" w:rsidP="00AC45FC">
            <w:pPr>
              <w:pStyle w:val="Corpo"/>
              <w:spacing w:line="276" w:lineRule="auto"/>
              <w:jc w:val="both"/>
              <w:rPr>
                <w:sz w:val="22"/>
                <w:szCs w:val="22"/>
              </w:rPr>
            </w:pPr>
            <w:r w:rsidRPr="005C7DEE">
              <w:rPr>
                <w:sz w:val="22"/>
                <w:szCs w:val="22"/>
                <w:lang w:val="en-US"/>
              </w:rPr>
              <w:t>Black people</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6259FBC6"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0.16</w:t>
            </w:r>
            <w:r w:rsidRPr="005C7DEE">
              <w:rPr>
                <w:sz w:val="22"/>
                <w:szCs w:val="22"/>
                <w:vertAlign w:val="superscript"/>
                <w:lang w:val="en-US"/>
              </w:rPr>
              <w:t>cd</w:t>
            </w:r>
          </w:p>
          <w:p w14:paraId="311CBD50" w14:textId="77777777" w:rsidR="007A7C6C" w:rsidRPr="005C7DEE" w:rsidRDefault="007A7C6C" w:rsidP="00AC45FC">
            <w:pPr>
              <w:pStyle w:val="Corpo"/>
              <w:spacing w:line="276" w:lineRule="auto"/>
              <w:jc w:val="both"/>
              <w:rPr>
                <w:sz w:val="22"/>
                <w:szCs w:val="22"/>
              </w:rPr>
            </w:pPr>
            <w:r w:rsidRPr="005C7DEE">
              <w:rPr>
                <w:sz w:val="22"/>
                <w:szCs w:val="22"/>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6976C7F"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1.43</w:t>
            </w:r>
            <w:r w:rsidRPr="005C7DEE">
              <w:rPr>
                <w:sz w:val="22"/>
                <w:szCs w:val="22"/>
                <w:vertAlign w:val="superscript"/>
                <w:lang w:val="en-US"/>
              </w:rPr>
              <w:t>a</w:t>
            </w:r>
          </w:p>
          <w:p w14:paraId="6A2A1415" w14:textId="77777777" w:rsidR="007A7C6C" w:rsidRPr="005C7DEE" w:rsidRDefault="007A7C6C" w:rsidP="00AC45FC">
            <w:pPr>
              <w:pStyle w:val="Corpo"/>
              <w:spacing w:line="276" w:lineRule="auto"/>
              <w:jc w:val="both"/>
              <w:rPr>
                <w:sz w:val="22"/>
                <w:szCs w:val="22"/>
              </w:rPr>
            </w:pPr>
            <w:r w:rsidRPr="005C7DEE">
              <w:rPr>
                <w:sz w:val="22"/>
                <w:szCs w:val="22"/>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6B516290"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0.34</w:t>
            </w:r>
            <w:r w:rsidRPr="005C7DEE">
              <w:rPr>
                <w:sz w:val="22"/>
                <w:szCs w:val="22"/>
                <w:vertAlign w:val="superscript"/>
                <w:lang w:val="en-US"/>
              </w:rPr>
              <w:t>d</w:t>
            </w:r>
          </w:p>
          <w:p w14:paraId="2C3F0E99" w14:textId="77777777" w:rsidR="007A7C6C" w:rsidRPr="005C7DEE" w:rsidRDefault="007A7C6C" w:rsidP="00AC45FC">
            <w:pPr>
              <w:pStyle w:val="Corpo"/>
              <w:spacing w:line="276" w:lineRule="auto"/>
              <w:jc w:val="both"/>
              <w:rPr>
                <w:sz w:val="22"/>
                <w:szCs w:val="22"/>
              </w:rPr>
            </w:pPr>
            <w:r w:rsidRPr="005C7DEE">
              <w:rPr>
                <w:sz w:val="22"/>
                <w:szCs w:val="22"/>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0A1FC6CC"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0.64</w:t>
            </w:r>
            <w:r w:rsidRPr="005C7DEE">
              <w:rPr>
                <w:sz w:val="22"/>
                <w:szCs w:val="22"/>
                <w:vertAlign w:val="superscript"/>
                <w:lang w:val="en-US"/>
              </w:rPr>
              <w:t>b</w:t>
            </w:r>
          </w:p>
          <w:p w14:paraId="001A30F8" w14:textId="77777777" w:rsidR="007A7C6C" w:rsidRPr="005C7DEE" w:rsidRDefault="007A7C6C" w:rsidP="00AC45FC">
            <w:pPr>
              <w:pStyle w:val="Corpo"/>
              <w:spacing w:line="276" w:lineRule="auto"/>
              <w:jc w:val="both"/>
              <w:rPr>
                <w:sz w:val="22"/>
                <w:szCs w:val="22"/>
              </w:rPr>
            </w:pPr>
            <w:r w:rsidRPr="005C7DEE">
              <w:rPr>
                <w:sz w:val="22"/>
                <w:szCs w:val="22"/>
                <w:lang w:val="en-US"/>
              </w:rPr>
              <w:t>(0.07)</w:t>
            </w:r>
          </w:p>
        </w:tc>
      </w:tr>
      <w:tr w:rsidR="007A7C6C" w:rsidRPr="005C7DEE" w14:paraId="1B6D3E14" w14:textId="77777777" w:rsidTr="003C65F2">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19C6517A" w14:textId="77777777" w:rsidR="007A7C6C" w:rsidRPr="005C7DEE" w:rsidRDefault="007A7C6C" w:rsidP="00AC45FC">
            <w:pPr>
              <w:pStyle w:val="Corpo"/>
              <w:spacing w:line="276" w:lineRule="auto"/>
              <w:jc w:val="both"/>
              <w:rPr>
                <w:sz w:val="22"/>
                <w:szCs w:val="22"/>
              </w:rPr>
            </w:pPr>
            <w:r w:rsidRPr="005C7DEE">
              <w:rPr>
                <w:sz w:val="22"/>
                <w:szCs w:val="22"/>
                <w:lang w:val="en-US"/>
              </w:rPr>
              <w:t>Women</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683084CF"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0.84</w:t>
            </w:r>
            <w:r w:rsidRPr="005C7DEE">
              <w:rPr>
                <w:sz w:val="22"/>
                <w:szCs w:val="22"/>
                <w:vertAlign w:val="superscript"/>
                <w:lang w:val="en-US"/>
              </w:rPr>
              <w:t>ab</w:t>
            </w:r>
          </w:p>
          <w:p w14:paraId="2863DF71" w14:textId="77777777" w:rsidR="007A7C6C" w:rsidRPr="005C7DEE" w:rsidRDefault="007A7C6C" w:rsidP="00AC45FC">
            <w:pPr>
              <w:pStyle w:val="Corpo"/>
              <w:spacing w:line="276" w:lineRule="auto"/>
              <w:jc w:val="both"/>
              <w:rPr>
                <w:sz w:val="22"/>
                <w:szCs w:val="22"/>
              </w:rPr>
            </w:pPr>
            <w:r w:rsidRPr="005C7DEE">
              <w:rPr>
                <w:sz w:val="22"/>
                <w:szCs w:val="22"/>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1A7FB2F1"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1.11</w:t>
            </w:r>
            <w:r w:rsidRPr="005C7DEE">
              <w:rPr>
                <w:sz w:val="22"/>
                <w:szCs w:val="22"/>
                <w:vertAlign w:val="superscript"/>
                <w:lang w:val="en-US"/>
              </w:rPr>
              <w:t>a</w:t>
            </w:r>
          </w:p>
          <w:p w14:paraId="30008691" w14:textId="77777777" w:rsidR="007A7C6C" w:rsidRPr="005C7DEE" w:rsidRDefault="007A7C6C" w:rsidP="00AC45FC">
            <w:pPr>
              <w:pStyle w:val="Corpo"/>
              <w:spacing w:line="276" w:lineRule="auto"/>
              <w:jc w:val="both"/>
              <w:rPr>
                <w:sz w:val="22"/>
                <w:szCs w:val="22"/>
              </w:rPr>
            </w:pPr>
            <w:r w:rsidRPr="005C7DEE">
              <w:rPr>
                <w:sz w:val="22"/>
                <w:szCs w:val="22"/>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1F37394D"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0.52</w:t>
            </w:r>
            <w:r w:rsidRPr="005C7DEE">
              <w:rPr>
                <w:sz w:val="22"/>
                <w:szCs w:val="22"/>
                <w:vertAlign w:val="superscript"/>
                <w:lang w:val="en-US"/>
              </w:rPr>
              <w:t>bd</w:t>
            </w:r>
          </w:p>
          <w:p w14:paraId="249E0389" w14:textId="77777777" w:rsidR="007A7C6C" w:rsidRPr="005C7DEE" w:rsidRDefault="007A7C6C" w:rsidP="00AC45FC">
            <w:pPr>
              <w:pStyle w:val="Corpo"/>
              <w:spacing w:line="276" w:lineRule="auto"/>
              <w:jc w:val="both"/>
              <w:rPr>
                <w:sz w:val="22"/>
                <w:szCs w:val="22"/>
              </w:rPr>
            </w:pPr>
            <w:r w:rsidRPr="005C7DEE">
              <w:rPr>
                <w:sz w:val="22"/>
                <w:szCs w:val="22"/>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5CFA59F6"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0.82</w:t>
            </w:r>
            <w:r w:rsidRPr="005C7DEE">
              <w:rPr>
                <w:sz w:val="22"/>
                <w:szCs w:val="22"/>
                <w:vertAlign w:val="superscript"/>
                <w:lang w:val="en-US"/>
              </w:rPr>
              <w:t>ab</w:t>
            </w:r>
          </w:p>
          <w:p w14:paraId="0B5A1F3E" w14:textId="77777777" w:rsidR="007A7C6C" w:rsidRPr="005C7DEE" w:rsidRDefault="007A7C6C" w:rsidP="00AC45FC">
            <w:pPr>
              <w:pStyle w:val="Corpo"/>
              <w:spacing w:line="276" w:lineRule="auto"/>
              <w:jc w:val="both"/>
              <w:rPr>
                <w:sz w:val="22"/>
                <w:szCs w:val="22"/>
              </w:rPr>
            </w:pPr>
            <w:r w:rsidRPr="005C7DEE">
              <w:rPr>
                <w:sz w:val="22"/>
                <w:szCs w:val="22"/>
                <w:lang w:val="en-US"/>
              </w:rPr>
              <w:t>(0.07)</w:t>
            </w:r>
          </w:p>
        </w:tc>
      </w:tr>
      <w:tr w:rsidR="007A7C6C" w:rsidRPr="005C7DEE" w14:paraId="70536498" w14:textId="77777777" w:rsidTr="003C65F2">
        <w:trPr>
          <w:trHeight w:val="641"/>
        </w:trPr>
        <w:tc>
          <w:tcPr>
            <w:tcW w:w="1365"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48F353B7" w14:textId="77777777" w:rsidR="007A7C6C" w:rsidRPr="005C7DEE" w:rsidRDefault="007A7C6C" w:rsidP="00AC45FC">
            <w:pPr>
              <w:pStyle w:val="Corpo"/>
              <w:spacing w:line="276" w:lineRule="auto"/>
              <w:jc w:val="both"/>
              <w:rPr>
                <w:sz w:val="22"/>
                <w:szCs w:val="22"/>
              </w:rPr>
            </w:pPr>
            <w:r w:rsidRPr="005C7DEE">
              <w:rPr>
                <w:sz w:val="22"/>
                <w:szCs w:val="22"/>
                <w:lang w:val="en-US"/>
              </w:rPr>
              <w:t>Gay people</w:t>
            </w:r>
          </w:p>
        </w:tc>
        <w:tc>
          <w:tcPr>
            <w:tcW w:w="2250" w:type="dxa"/>
            <w:tcBorders>
              <w:top w:val="nil"/>
              <w:left w:val="nil"/>
              <w:bottom w:val="single" w:sz="6" w:space="0" w:color="000000"/>
              <w:right w:val="single" w:sz="6" w:space="0" w:color="000000"/>
            </w:tcBorders>
            <w:shd w:val="clear" w:color="auto" w:fill="FFFFFF"/>
            <w:tcMar>
              <w:top w:w="80" w:type="dxa"/>
              <w:left w:w="80" w:type="dxa"/>
              <w:bottom w:w="80" w:type="dxa"/>
              <w:right w:w="80" w:type="dxa"/>
            </w:tcMar>
            <w:vAlign w:val="center"/>
          </w:tcPr>
          <w:p w14:paraId="39DF7423" w14:textId="77777777" w:rsidR="007A7C6C" w:rsidRPr="005C7DEE" w:rsidRDefault="007A7C6C" w:rsidP="00AC45FC">
            <w:pPr>
              <w:pStyle w:val="Corpo"/>
              <w:spacing w:line="276" w:lineRule="auto"/>
              <w:jc w:val="both"/>
              <w:rPr>
                <w:sz w:val="22"/>
                <w:szCs w:val="22"/>
                <w:vertAlign w:val="subscript"/>
              </w:rPr>
            </w:pPr>
            <w:r w:rsidRPr="005C7DEE">
              <w:rPr>
                <w:sz w:val="22"/>
                <w:szCs w:val="22"/>
                <w:lang w:val="en-US"/>
              </w:rPr>
              <w:t>0.22</w:t>
            </w:r>
            <w:r w:rsidRPr="005C7DEE">
              <w:rPr>
                <w:sz w:val="22"/>
                <w:szCs w:val="22"/>
                <w:vertAlign w:val="subscript"/>
                <w:lang w:val="en-US"/>
              </w:rPr>
              <w:t>c</w:t>
            </w:r>
          </w:p>
          <w:p w14:paraId="4C7748B1" w14:textId="77777777" w:rsidR="007A7C6C" w:rsidRPr="005C7DEE" w:rsidRDefault="007A7C6C" w:rsidP="00AC45FC">
            <w:pPr>
              <w:pStyle w:val="Corpo"/>
              <w:spacing w:line="276" w:lineRule="auto"/>
              <w:jc w:val="both"/>
              <w:rPr>
                <w:sz w:val="22"/>
                <w:szCs w:val="22"/>
              </w:rPr>
            </w:pPr>
            <w:r w:rsidRPr="005C7DEE">
              <w:rPr>
                <w:sz w:val="22"/>
                <w:szCs w:val="22"/>
                <w:lang w:val="en-US"/>
              </w:rPr>
              <w:t>(0.21)</w:t>
            </w:r>
          </w:p>
        </w:tc>
        <w:tc>
          <w:tcPr>
            <w:tcW w:w="2010"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72C904F"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1.57</w:t>
            </w:r>
            <w:r w:rsidRPr="005C7DEE">
              <w:rPr>
                <w:sz w:val="22"/>
                <w:szCs w:val="22"/>
                <w:vertAlign w:val="superscript"/>
                <w:lang w:val="en-US"/>
              </w:rPr>
              <w:t>a</w:t>
            </w:r>
          </w:p>
          <w:p w14:paraId="23A8F0A8" w14:textId="77777777" w:rsidR="007A7C6C" w:rsidRPr="005C7DEE" w:rsidRDefault="007A7C6C" w:rsidP="00AC45FC">
            <w:pPr>
              <w:pStyle w:val="Corpo"/>
              <w:spacing w:line="276" w:lineRule="auto"/>
              <w:jc w:val="both"/>
              <w:rPr>
                <w:sz w:val="22"/>
                <w:szCs w:val="22"/>
              </w:rPr>
            </w:pPr>
            <w:r w:rsidRPr="005C7DEE">
              <w:rPr>
                <w:sz w:val="22"/>
                <w:szCs w:val="22"/>
                <w:lang w:val="en-US"/>
              </w:rPr>
              <w:t>(0.21)</w:t>
            </w:r>
          </w:p>
        </w:tc>
        <w:tc>
          <w:tcPr>
            <w:tcW w:w="1905"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3251B39"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0.54</w:t>
            </w:r>
            <w:r w:rsidRPr="005C7DEE">
              <w:rPr>
                <w:sz w:val="22"/>
                <w:szCs w:val="22"/>
                <w:vertAlign w:val="superscript"/>
                <w:lang w:val="en-US"/>
              </w:rPr>
              <w:t>cd</w:t>
            </w:r>
          </w:p>
          <w:p w14:paraId="61922A67" w14:textId="77777777" w:rsidR="007A7C6C" w:rsidRPr="005C7DEE" w:rsidRDefault="007A7C6C" w:rsidP="00AC45FC">
            <w:pPr>
              <w:pStyle w:val="Corpo"/>
              <w:spacing w:line="276" w:lineRule="auto"/>
              <w:jc w:val="both"/>
              <w:rPr>
                <w:sz w:val="22"/>
                <w:szCs w:val="22"/>
              </w:rPr>
            </w:pPr>
            <w:r w:rsidRPr="005C7DEE">
              <w:rPr>
                <w:sz w:val="22"/>
                <w:szCs w:val="22"/>
                <w:lang w:val="en-US"/>
              </w:rPr>
              <w:t>(0.11)</w:t>
            </w:r>
          </w:p>
        </w:tc>
        <w:tc>
          <w:tcPr>
            <w:tcW w:w="1320" w:type="dxa"/>
            <w:tcBorders>
              <w:top w:val="nil"/>
              <w:left w:val="single" w:sz="6" w:space="0" w:color="000000"/>
              <w:bottom w:val="single" w:sz="6" w:space="0" w:color="000000"/>
              <w:right w:val="nil"/>
            </w:tcBorders>
            <w:shd w:val="clear" w:color="auto" w:fill="FFFFFF"/>
            <w:tcMar>
              <w:top w:w="80" w:type="dxa"/>
              <w:left w:w="80" w:type="dxa"/>
              <w:bottom w:w="80" w:type="dxa"/>
              <w:right w:w="80" w:type="dxa"/>
            </w:tcMar>
            <w:vAlign w:val="center"/>
          </w:tcPr>
          <w:p w14:paraId="3F71A34F"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0.78</w:t>
            </w:r>
            <w:r w:rsidRPr="005C7DEE">
              <w:rPr>
                <w:sz w:val="22"/>
                <w:szCs w:val="22"/>
                <w:vertAlign w:val="superscript"/>
                <w:lang w:val="en-US"/>
              </w:rPr>
              <w:t>ab</w:t>
            </w:r>
          </w:p>
          <w:p w14:paraId="0592EB24" w14:textId="77777777" w:rsidR="007A7C6C" w:rsidRPr="005C7DEE" w:rsidRDefault="007A7C6C" w:rsidP="00AC45FC">
            <w:pPr>
              <w:pStyle w:val="Corpo"/>
              <w:spacing w:line="276" w:lineRule="auto"/>
              <w:jc w:val="both"/>
              <w:rPr>
                <w:sz w:val="22"/>
                <w:szCs w:val="22"/>
              </w:rPr>
            </w:pPr>
            <w:r w:rsidRPr="005C7DEE">
              <w:rPr>
                <w:sz w:val="22"/>
                <w:szCs w:val="22"/>
                <w:lang w:val="en-US"/>
              </w:rPr>
              <w:t>(0.07)</w:t>
            </w:r>
          </w:p>
        </w:tc>
      </w:tr>
      <w:tr w:rsidR="007A7C6C" w:rsidRPr="005C7DEE" w14:paraId="05955D88" w14:textId="77777777" w:rsidTr="003C65F2">
        <w:trPr>
          <w:trHeight w:val="648"/>
        </w:trPr>
        <w:tc>
          <w:tcPr>
            <w:tcW w:w="136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4A4714FA" w14:textId="77777777" w:rsidR="007A7C6C" w:rsidRPr="005C7DEE" w:rsidRDefault="007A7C6C" w:rsidP="00AC45FC">
            <w:pPr>
              <w:pStyle w:val="Corpo"/>
              <w:spacing w:line="276" w:lineRule="auto"/>
              <w:jc w:val="both"/>
              <w:rPr>
                <w:sz w:val="22"/>
                <w:szCs w:val="22"/>
              </w:rPr>
            </w:pPr>
            <w:r w:rsidRPr="005C7DEE">
              <w:rPr>
                <w:sz w:val="22"/>
                <w:szCs w:val="22"/>
                <w:lang w:val="en-US"/>
              </w:rPr>
              <w:t xml:space="preserve">Total </w:t>
            </w:r>
          </w:p>
        </w:tc>
        <w:tc>
          <w:tcPr>
            <w:tcW w:w="225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3FC9B1B"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0.39</w:t>
            </w:r>
            <w:r w:rsidRPr="005C7DEE">
              <w:rPr>
                <w:sz w:val="22"/>
                <w:szCs w:val="22"/>
                <w:vertAlign w:val="superscript"/>
                <w:lang w:val="en-US"/>
              </w:rPr>
              <w:t>b</w:t>
            </w:r>
          </w:p>
          <w:p w14:paraId="2CD71DF2" w14:textId="77777777" w:rsidR="007A7C6C" w:rsidRPr="005C7DEE" w:rsidRDefault="007A7C6C" w:rsidP="00AC45FC">
            <w:pPr>
              <w:pStyle w:val="Corpo"/>
              <w:spacing w:line="276" w:lineRule="auto"/>
              <w:jc w:val="both"/>
              <w:rPr>
                <w:sz w:val="22"/>
                <w:szCs w:val="22"/>
              </w:rPr>
            </w:pPr>
            <w:r w:rsidRPr="005C7DEE">
              <w:rPr>
                <w:sz w:val="22"/>
                <w:szCs w:val="22"/>
                <w:lang w:val="en-US"/>
              </w:rPr>
              <w:t>(0.06)</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3A49D29"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1.43</w:t>
            </w:r>
            <w:r w:rsidRPr="005C7DEE">
              <w:rPr>
                <w:sz w:val="22"/>
                <w:szCs w:val="22"/>
                <w:vertAlign w:val="superscript"/>
                <w:lang w:val="en-US"/>
              </w:rPr>
              <w:t>a</w:t>
            </w:r>
          </w:p>
          <w:p w14:paraId="6D2E1C56" w14:textId="77777777" w:rsidR="007A7C6C" w:rsidRPr="005C7DEE" w:rsidRDefault="007A7C6C" w:rsidP="00AC45FC">
            <w:pPr>
              <w:pStyle w:val="Corpo"/>
              <w:spacing w:line="276" w:lineRule="auto"/>
              <w:jc w:val="both"/>
              <w:rPr>
                <w:sz w:val="22"/>
                <w:szCs w:val="22"/>
              </w:rPr>
            </w:pPr>
            <w:r w:rsidRPr="005C7DEE">
              <w:rPr>
                <w:sz w:val="22"/>
                <w:szCs w:val="22"/>
                <w:lang w:val="en-US"/>
              </w:rPr>
              <w:t>(0.10)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020568" w14:textId="77777777" w:rsidR="007A7C6C" w:rsidRPr="005C7DEE" w:rsidRDefault="007A7C6C" w:rsidP="00AC45FC">
            <w:pPr>
              <w:pStyle w:val="Corpo"/>
              <w:spacing w:line="276" w:lineRule="auto"/>
              <w:jc w:val="both"/>
              <w:rPr>
                <w:sz w:val="22"/>
                <w:szCs w:val="22"/>
                <w:vertAlign w:val="superscript"/>
              </w:rPr>
            </w:pPr>
            <w:r w:rsidRPr="005C7DEE">
              <w:rPr>
                <w:sz w:val="22"/>
                <w:szCs w:val="22"/>
                <w:lang w:val="en-US"/>
              </w:rPr>
              <w:t>0.51</w:t>
            </w:r>
            <w:r w:rsidRPr="005C7DEE">
              <w:rPr>
                <w:sz w:val="22"/>
                <w:szCs w:val="22"/>
                <w:vertAlign w:val="superscript"/>
                <w:lang w:val="en-US"/>
              </w:rPr>
              <w:t>b</w:t>
            </w:r>
          </w:p>
          <w:p w14:paraId="71962B7D" w14:textId="77777777" w:rsidR="007A7C6C" w:rsidRPr="005C7DEE" w:rsidRDefault="007A7C6C" w:rsidP="00AC45FC">
            <w:pPr>
              <w:pStyle w:val="Corpo"/>
              <w:spacing w:line="276" w:lineRule="auto"/>
              <w:jc w:val="both"/>
              <w:rPr>
                <w:sz w:val="22"/>
                <w:szCs w:val="22"/>
              </w:rPr>
            </w:pPr>
            <w:r w:rsidRPr="005C7DEE">
              <w:rPr>
                <w:sz w:val="22"/>
                <w:szCs w:val="22"/>
                <w:lang w:val="en-US"/>
              </w:rPr>
              <w:t>(0.05)</w:t>
            </w:r>
          </w:p>
        </w:tc>
        <w:tc>
          <w:tcPr>
            <w:tcW w:w="132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290F49E8" w14:textId="77777777" w:rsidR="007A7C6C" w:rsidRPr="005C7DEE" w:rsidRDefault="007A7C6C" w:rsidP="00AC45FC">
            <w:pPr>
              <w:pStyle w:val="Corpo"/>
              <w:spacing w:line="276" w:lineRule="auto"/>
              <w:jc w:val="both"/>
              <w:rPr>
                <w:sz w:val="22"/>
                <w:szCs w:val="22"/>
              </w:rPr>
            </w:pPr>
            <w:r w:rsidRPr="005C7DEE">
              <w:rPr>
                <w:sz w:val="22"/>
                <w:szCs w:val="22"/>
                <w:lang w:val="en-US"/>
              </w:rPr>
              <w:t>0.78</w:t>
            </w:r>
          </w:p>
          <w:p w14:paraId="4A93078C" w14:textId="77777777" w:rsidR="007A7C6C" w:rsidRPr="005C7DEE" w:rsidRDefault="007A7C6C" w:rsidP="00AC45FC">
            <w:pPr>
              <w:pStyle w:val="Corpo"/>
              <w:spacing w:line="276" w:lineRule="auto"/>
              <w:jc w:val="both"/>
              <w:rPr>
                <w:sz w:val="22"/>
                <w:szCs w:val="22"/>
              </w:rPr>
            </w:pPr>
            <w:r w:rsidRPr="005C7DEE">
              <w:rPr>
                <w:sz w:val="22"/>
                <w:szCs w:val="22"/>
                <w:lang w:val="en-US"/>
              </w:rPr>
              <w:t>(0.03)</w:t>
            </w:r>
          </w:p>
        </w:tc>
      </w:tr>
    </w:tbl>
    <w:p w14:paraId="3F514409" w14:textId="2B8A43F4" w:rsidR="001B2440" w:rsidRDefault="001B2440" w:rsidP="00AC45FC">
      <w:pPr>
        <w:jc w:val="both"/>
      </w:pPr>
      <w:r w:rsidRPr="001B2440">
        <w:t>Nota. Dentro de cada sección de línea o columna, las medias con letras distintas son significativamente diferentes a p &lt;.05 (diferencia mínima significativa).</w:t>
      </w:r>
    </w:p>
    <w:p w14:paraId="0A66EE63" w14:textId="725DA59B" w:rsidR="001B2440" w:rsidRDefault="001B2440" w:rsidP="00AC45FC">
      <w:pPr>
        <w:jc w:val="both"/>
      </w:pPr>
      <w:r>
        <w:t>Esta interacción también puede analizarse desde otra perspectiva. Los participantes culparon marginalmente menos al sistema social por la violencia contra las mujeres que en la condición de control (b= -0,51, SE= 0,29, p= .08, d= -0,50). También culparon más a las mujeres que a los gays (b= 0,61, SE= 0,17, p= 0,001, d= -0,44), a los negros (b= 0,67, SE= 0,17, p= 0,04, d= -0,30) y que en la condición de control (b= 0,49, SE= 0,17, p= 0,001, d= -0,49). La culpabilidad del agresor fue menos evocada para las víctimas negras que en la situación de control (b=0,33, SE= 0,15, p= .03, d= -0,58).</w:t>
      </w:r>
    </w:p>
    <w:p w14:paraId="09F5EDA7" w14:textId="77777777" w:rsidR="001B2440" w:rsidRDefault="001B2440" w:rsidP="00AC45FC">
      <w:pPr>
        <w:jc w:val="both"/>
      </w:pPr>
      <w:r>
        <w:t>Discusión</w:t>
      </w:r>
    </w:p>
    <w:p w14:paraId="45732FA0" w14:textId="18DB3FEB" w:rsidR="001B2440" w:rsidRDefault="001B2440" w:rsidP="00AC45FC">
      <w:pPr>
        <w:jc w:val="both"/>
      </w:pPr>
      <w:r>
        <w:tab/>
        <w:t>Los resultados nos permitieron clasificar las evocaciones de los participantes en tres tipos de razones de la violencia: percibir la violencia como sistémica; culpar a la víctima; culpar al agresor. Además, los participantes tendieron a percibir la violencia como sistémica en la sociedad más que los otros dos tipos de agentes sociales. En conjunto, los resultados de este estudio indican que las personas tendían a asignar la culpa según el grupo de pertenencia de la víctima. Sin embargo, debido a la norma anti</w:t>
      </w:r>
      <w:r w:rsidR="00AB676A">
        <w:t>-</w:t>
      </w:r>
      <w:r>
        <w:t>prejuicio de las sociedades occidentales que prescribe que "las personas buenas no tienen prejuicios y demuestran una visión positiva de las minorías", es posible que el contenido de las respuestas se haya visto inhibido por el deseo de los participantes de presentarse como más sensibles al sufrimiento de las minorías (véase Abad-Merino et al., 2018). Para abordar esta limitación, realizamos un segundo estudio en el que se pidió a la mitad de los encuestados que informaran de su opinión personal sobre las razones de la aparición de la violencia, mientras que la otra mitad describió la opinión de la sociedad sobre este fenómeno.</w:t>
      </w:r>
    </w:p>
    <w:p w14:paraId="6EF6D5A7" w14:textId="77777777" w:rsidR="001B2440" w:rsidRDefault="001B2440" w:rsidP="00AC45FC">
      <w:pPr>
        <w:jc w:val="both"/>
      </w:pPr>
      <w:r>
        <w:t>Estudio 2</w:t>
      </w:r>
    </w:p>
    <w:p w14:paraId="61F3B323" w14:textId="2E2FCE4C" w:rsidR="001B2440" w:rsidRDefault="001B2440" w:rsidP="00AC45FC">
      <w:pPr>
        <w:jc w:val="both"/>
      </w:pPr>
      <w:r>
        <w:t xml:space="preserve">El propósito de este estudio era replicar el Estudio 1 y analizar cómo las personas atribuyen la percepción de la sociedad sobre la violencia contra los grupos minoritarios. Al igual que en el estudio 1, pretendíamos comprobar la influencia de la víctima objetivo de la violencia en el contenido de las evocaciones de los individuos, no sólo como opiniones personales, sino también respecto a lo que piensa la sociedad sobre la ocurrencia de esta violencia. Nuestras hipótesis eran similares a las del Estudio 1: los individuos explicarían la violencia evocando elementos que justifican el sistema, de </w:t>
      </w:r>
      <w:r>
        <w:lastRenderedPageBreak/>
        <w:t>modo que el contenido de las evocaciones variaría en función del grupo objetivo de la violencia. Sin embargo, consideramos que la intensidad de las respuestas a los tipos de culpa variaría no sólo en relación con el grupo objetivo de la violencia, sino también en relación con el tipo de opinión (opinión personal vs. opinión social). La hipótesis era que las personas que responden como sociedad no están presionadas por la norma antiprejuicio para suprimir las opiniones negativas y, en consecuencia, serían más propensas a culpar a las víctimas.</w:t>
      </w:r>
    </w:p>
    <w:p w14:paraId="5D2C3774" w14:textId="77777777" w:rsidR="001B2440" w:rsidRDefault="001B2440" w:rsidP="00AC45FC">
      <w:pPr>
        <w:jc w:val="both"/>
      </w:pPr>
      <w:r>
        <w:t>Método</w:t>
      </w:r>
    </w:p>
    <w:p w14:paraId="04585302" w14:textId="77777777" w:rsidR="001B2440" w:rsidRDefault="001B2440" w:rsidP="00AC45FC">
      <w:pPr>
        <w:jc w:val="both"/>
      </w:pPr>
      <w:r>
        <w:t xml:space="preserve">Participantes </w:t>
      </w:r>
    </w:p>
    <w:p w14:paraId="7EB698DB" w14:textId="4A636340" w:rsidR="001B2440" w:rsidRDefault="001B2440" w:rsidP="00AC45FC">
      <w:pPr>
        <w:jc w:val="both"/>
      </w:pPr>
      <w:r>
        <w:tab/>
        <w:t>La muestra está compuesta por 220 estudiantes universitarios de la ciudad de João Pessoa, Brasil (Edad = 21,20; SD = 5,92; 61% hombres). Se excluyeron tres participantes porque no respondieron a la variable dependiente (es decir, valor perdido), lo que redujo la muestra a 217 participantes. Un análisis de potencia de sensibilidad para los efectos de interacción en el ANOVA mostró que tenemos un 80% de potencia de detectar un efecto al menos de f = 0,25. Los participantes fueron asignados aleatoriamente a una de las ocho condiciones según un diseño factorial entre sujetos de 2 (foco de opinión: opinión personal vs. opinión de la sociedad) X 4 (objetivo de la violencia: personas de control vs. personas negras vs. mujeres vs. personas homosexuales).</w:t>
      </w:r>
    </w:p>
    <w:p w14:paraId="2D1518C9" w14:textId="77777777" w:rsidR="001B2440" w:rsidRDefault="001B2440" w:rsidP="00AC45FC">
      <w:pPr>
        <w:jc w:val="both"/>
      </w:pPr>
      <w:r>
        <w:t>Instrumentos y procedimientos</w:t>
      </w:r>
    </w:p>
    <w:p w14:paraId="3B0CD7A8" w14:textId="7B0A0EBA" w:rsidR="001B2440" w:rsidRDefault="001B2440" w:rsidP="00AC45FC">
      <w:pPr>
        <w:jc w:val="both"/>
      </w:pPr>
      <w:r>
        <w:tab/>
        <w:t>Al igual que en el Estudio 1, los participantes recibieron una hoja con una viñeta que abordaba el problema de la violencia en Brasil. Dependiendo de la condición experimental, la viñeta abordaba la violencia sin especificar un grupo objetivo (condición de control) o abordando este problema en relación con los negros, las mujeres o los homosexuales. La diferencia con respecto al primer estudio fue la manipulación del papel desempeñado por los participantes. Pedimos a la mitad de ellos que respondieran según "su opinión personal". A la otra mitad, les pedimos que no expresaran su opinión personal, sino la opinión de la sociedad ante el caso de violencia presentado.</w:t>
      </w:r>
    </w:p>
    <w:p w14:paraId="76BA09F7" w14:textId="77777777" w:rsidR="001B2440" w:rsidRDefault="001B2440" w:rsidP="00AC45FC">
      <w:pPr>
        <w:jc w:val="both"/>
      </w:pPr>
      <w:r>
        <w:t>Medidas</w:t>
      </w:r>
    </w:p>
    <w:p w14:paraId="54FE0C25" w14:textId="7F92AA20" w:rsidR="001B2440" w:rsidRDefault="001B2440" w:rsidP="00AC45FC">
      <w:pPr>
        <w:jc w:val="both"/>
      </w:pPr>
      <w:r>
        <w:t xml:space="preserve">La medida principal fueron las respuestas de los participantes a la pregunta abierta sobre las razones de la violencia. Al igual que en el Estudio 1, clasificamos las respuestas de los participantes en tres categorías: percibir la violencia como algo sistémico (por ejemplo, "la sociedad brasileña la utiliza como pretexto principalmente como algo cultural, como una sociedad sexista y con un sistema político fallido"; "todavía hay muchos prejuicios por parte de la sociedad en general"); culpar a las víctimas (por ejemplo, "la razón por la que estos homicidios son principalmente de negros es porque están más involucrados en el tráfico de drogas que los blancos) y la culpabilización del agresor ("Hay mucha gente agresiva, en algunos casos esta gente comete estas atrocidades"; "pareja agresiva, pareja muy celosa hasta el punto de agredir a su pareja"). La lista completa de evocaciones de estas categorías en cada grupo objetivo puede encontrarse en los materiales en línea (https://osf.io/wmrzs/).  También pedimos a cuatro jueces que no tenían conocimiento de las hipótesis que clasificaran las evocaciones según las tres categorías previstas. Al igual que en el Estudio 1, los expertos no conocían las hipótesis de la investigación y no sabían la condición en la que estaban asignados los participantes. Indicaron el número de descriptores de categoría evocados por cada participante. Los análisis tuvieron una alta consistencia interjueces. Encontramos las </w:t>
      </w:r>
      <w:r>
        <w:lastRenderedPageBreak/>
        <w:t>siguientes consistencias internas entre evaluadores: culpabilización de la víctima (α = 0,87); violencia sistémica (α = 0,77); culpabilización del agresor (α = 0,71). Agregamos las respuestas para obtener una medida general para cada tipo de culpa.</w:t>
      </w:r>
    </w:p>
    <w:p w14:paraId="3124B9F0" w14:textId="77777777" w:rsidR="001B2440" w:rsidRDefault="001B2440" w:rsidP="00AC45FC">
      <w:pPr>
        <w:jc w:val="both"/>
      </w:pPr>
      <w:r>
        <w:t>Análisis de los datos</w:t>
      </w:r>
    </w:p>
    <w:p w14:paraId="1324C23F" w14:textId="08679800" w:rsidR="00AC45FC" w:rsidRDefault="001B2440" w:rsidP="00AC45FC">
      <w:pPr>
        <w:jc w:val="both"/>
      </w:pPr>
      <w:r>
        <w:t>Al igual que en el primer estudio, analizamos los datos utilizando el SPSS versión 25 en el que aplicamos un ANOVA factorial de medidas repetidas con diseño 3 (tipos de culpa: culpa de la víctima, violencia sistémica y culpa del agresor) X 4 (objetivo de la violencia: control, personas negras, mujeres y homosexuales) X 2 (enfoque de la opinión: opinión personal vs. opinión de la sociedad) con el primer factor variando dentro de un sujeto y los dos últimos variando entre sujetos.</w:t>
      </w:r>
    </w:p>
    <w:p w14:paraId="76871601" w14:textId="77777777" w:rsidR="00AC45FC" w:rsidRDefault="00AC45FC" w:rsidP="00AC45FC">
      <w:pPr>
        <w:jc w:val="both"/>
      </w:pPr>
      <w:r>
        <w:t xml:space="preserve">Resultados </w:t>
      </w:r>
    </w:p>
    <w:p w14:paraId="37642B03" w14:textId="77777777" w:rsidR="00AC45FC" w:rsidRDefault="00AC45FC" w:rsidP="00AC45FC">
      <w:pPr>
        <w:jc w:val="both"/>
      </w:pPr>
      <w:r>
        <w:t>Las estadísticas descriptivas se presentan en la Tabla 2. Los resultados revelaron un efecto principal significativo del tipo de culpa, F(2, 418) = 121,13, p = .001, η² = .37. Al igual que en el Estudio 1, los participantes tendieron a percibir la violencia como sistémica más que como culpa de la víctima (b = 0,82, SE = 0,09, p = .001, d = 1,00), y luego la culpa del agresor (b = 1,07, SE = 0,06, p = .001, d = 1,54). Culpaban menos al agresor que a la víctima (b = 0,25, SE = 0,09, p = 0,001, d = -0,43). El efecto principal del enfoque de los participantes fue significativo, F(1, 209) = 5,01, p = 0,03, η² = 0,02. Los participantes a los que se les indicó que respondieran según su propia opinión emitieron más evocaciones que los que respondieron según la opinión de la sociedad. El efecto principal del objetivo también fue significativo, F(3, 209) = 3,01, p = .03, η² = .04. Las evocaciones fueron menores en la condición de violencia contra los negros que en el control (b = 1,17, SE = 0,06, p = .01, d = -0,58); violencia contra las mujeres (b = 0,14, SE = 0,06, p = .02, d = -0,51); y violencia contra los gays (b = 0,13, SE = 0,06, p = .03, d = -0,48). No hubo diferencias significativas entre los demás objetivos de la violencia.</w:t>
      </w:r>
    </w:p>
    <w:p w14:paraId="18D2D54E" w14:textId="77777777" w:rsidR="00AC45FC" w:rsidRDefault="00AC45FC" w:rsidP="00AC45FC">
      <w:pPr>
        <w:jc w:val="both"/>
      </w:pPr>
      <w:r>
        <w:t>La interacción entre el tipo de culpa y el enfoque de los participantes fue significativa, F(2, 418) = 4,46, p = .01, η² = 0,02). Los participantes que respondieron según la opinión personal percibieron más violencia sistémica que a la víctima (b = 0,90, SE = 0,12, p = .001, d = 1,14) y que la culpa del agresor (b = 0,94, SE = 0,09, p = .001, d = 1,41). En la condición en la que los participantes respondieron sobre la opinión de la sociedad, la violencia también fue percibida como sistémica más que como culpabilización de la víctima (b = 0,73, SE = 0,12, p = .001, d = 0,94) y que como culpabilización del agresor (b = 1,18, SE = 0,09, p = .001, d = 1,74). La comparación entre las condiciones experimentales indicó que la diferencia era significativa sólo para la culpabilización del agresor, ya que los participantes en la condición de sociedad culpaban menos al agresor que los de la condición personal (b = 0,33, SE = 0,06, p = 0,001, d = -0,70).</w:t>
      </w:r>
    </w:p>
    <w:p w14:paraId="211F95C3" w14:textId="093EE962" w:rsidR="00AC45FC" w:rsidRDefault="00AC45FC" w:rsidP="00AC45FC">
      <w:pPr>
        <w:jc w:val="both"/>
      </w:pPr>
      <w:r>
        <w:t xml:space="preserve">La interacción entre el tipo de culpa y el objetivo también fue significativa, F(6, 418) = 16,76, p = .001, η² = .19). En la condición de control, los participantes percibieron más violencia sistémica que la culpa del agresor (b = 1,14, SE 0,13, p= .001, d = 1,75) y la culpa de la víctima (b = 1,23, SE = 0,17, p= .001, d =1,59). En el contexto de la violencia contra las personas de raza negra, la violencia sistémica fue mayor que la culpabilización de la víctima (b = 1,08, SE = 0,17, p = .001, d = 1,44), y que la culpabilización del agresor (b = 1,38, SE = 0,13, p = .001, d =2,14). En el contexto de la violencia contra las mujeres, los participantes culparon más a la víctima que a la violencia sistémica percibida (b = 0,41, SE = 0,17, p = 0,017, d = 0,53), y que al agresor (b = 0,91, SE = 0,12, p = 0,001, d = 1,54). En </w:t>
      </w:r>
      <w:r>
        <w:lastRenderedPageBreak/>
        <w:t>el contexto de la violencia contra personas homosexuales, los participantes percibieron más violencia sistémica que la culpabilidad del agresor (b = 1,24, SE = 0,13, p = 0,001, d = 1,89), y que la culpabilidad de la víctima (b = 1,36, SE = 0,17, p = 0,001, d = 1,76).</w:t>
      </w:r>
    </w:p>
    <w:p w14:paraId="53C12A16" w14:textId="77777777" w:rsidR="00AC45FC" w:rsidRDefault="00AC45FC" w:rsidP="00AC45FC">
      <w:pPr>
        <w:jc w:val="both"/>
      </w:pPr>
      <w:r>
        <w:t xml:space="preserve">Tabla 2. </w:t>
      </w:r>
    </w:p>
    <w:p w14:paraId="241E4CC3" w14:textId="0D4AA47D" w:rsidR="00AC45FC" w:rsidRDefault="00AC45FC" w:rsidP="00AC45FC">
      <w:pPr>
        <w:jc w:val="both"/>
      </w:pPr>
      <w:r>
        <w:t>Medias marginales estimadas y errores estándar (entre paréntesis) de los motivos de la violencia en cada condición experimental (Estudio 2)</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5"/>
        <w:gridCol w:w="1005"/>
        <w:gridCol w:w="855"/>
        <w:gridCol w:w="975"/>
        <w:gridCol w:w="960"/>
        <w:gridCol w:w="975"/>
        <w:gridCol w:w="1170"/>
        <w:gridCol w:w="1005"/>
        <w:gridCol w:w="1080"/>
      </w:tblGrid>
      <w:tr w:rsidR="00AC45FC" w:rsidRPr="0049376D" w14:paraId="330FB1F7" w14:textId="77777777" w:rsidTr="003C65F2">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0B22B5E" w14:textId="77777777" w:rsidR="00AC45FC" w:rsidRPr="0049376D" w:rsidRDefault="00AC45FC" w:rsidP="00AC45FC">
            <w:pPr>
              <w:jc w:val="both"/>
              <w:rPr>
                <w:sz w:val="18"/>
                <w:szCs w:val="18"/>
              </w:rPr>
            </w:pPr>
          </w:p>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7E369CC5" w14:textId="77777777" w:rsidR="00AC45FC" w:rsidRPr="0049376D" w:rsidRDefault="00AC45FC" w:rsidP="00AC45FC">
            <w:pPr>
              <w:pStyle w:val="Corpo"/>
              <w:spacing w:line="360" w:lineRule="auto"/>
              <w:jc w:val="both"/>
              <w:rPr>
                <w:sz w:val="18"/>
                <w:szCs w:val="18"/>
              </w:rPr>
            </w:pPr>
            <w:r w:rsidRPr="0049376D">
              <w:rPr>
                <w:sz w:val="18"/>
                <w:szCs w:val="18"/>
                <w:lang w:val="en-US"/>
              </w:rPr>
              <w:t xml:space="preserve">Victim </w:t>
            </w:r>
          </w:p>
          <w:p w14:paraId="102939DD" w14:textId="77777777" w:rsidR="00AC45FC" w:rsidRPr="0049376D" w:rsidRDefault="00AC45FC" w:rsidP="00AC45FC">
            <w:pPr>
              <w:pStyle w:val="Corpo"/>
              <w:spacing w:line="360" w:lineRule="auto"/>
              <w:jc w:val="both"/>
              <w:rPr>
                <w:sz w:val="18"/>
                <w:szCs w:val="18"/>
              </w:rPr>
            </w:pPr>
            <w:r w:rsidRPr="0049376D">
              <w:rPr>
                <w:sz w:val="18"/>
                <w:szCs w:val="18"/>
                <w:lang w:val="en-US"/>
              </w:rPr>
              <w:t>Blaming</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189D9659" w14:textId="77777777" w:rsidR="00AC45FC" w:rsidRPr="0049376D" w:rsidRDefault="00AC45FC" w:rsidP="00AC45FC">
            <w:pPr>
              <w:pStyle w:val="Corpo"/>
              <w:spacing w:line="360" w:lineRule="auto"/>
              <w:jc w:val="both"/>
              <w:rPr>
                <w:sz w:val="18"/>
                <w:szCs w:val="18"/>
              </w:rPr>
            </w:pPr>
            <w:r w:rsidRPr="0049376D">
              <w:rPr>
                <w:sz w:val="18"/>
                <w:szCs w:val="18"/>
                <w:lang w:val="en-US"/>
              </w:rPr>
              <w:t xml:space="preserve">Systemic </w:t>
            </w:r>
          </w:p>
          <w:p w14:paraId="709D9D9C" w14:textId="77777777" w:rsidR="00AC45FC" w:rsidRPr="0049376D" w:rsidRDefault="00AC45FC" w:rsidP="00AC45FC">
            <w:pPr>
              <w:pStyle w:val="Corpo"/>
              <w:spacing w:line="360" w:lineRule="auto"/>
              <w:jc w:val="both"/>
              <w:rPr>
                <w:sz w:val="18"/>
                <w:szCs w:val="18"/>
              </w:rPr>
            </w:pPr>
            <w:r w:rsidRPr="0049376D">
              <w:rPr>
                <w:sz w:val="18"/>
                <w:szCs w:val="18"/>
                <w:lang w:val="en-US"/>
              </w:rPr>
              <w:t>Violence</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69B45C3C" w14:textId="77777777" w:rsidR="00AC45FC" w:rsidRPr="0049376D" w:rsidRDefault="00AC45FC" w:rsidP="00AC45FC">
            <w:pPr>
              <w:pStyle w:val="Corpo"/>
              <w:spacing w:line="360" w:lineRule="auto"/>
              <w:jc w:val="both"/>
              <w:rPr>
                <w:sz w:val="18"/>
                <w:szCs w:val="18"/>
              </w:rPr>
            </w:pPr>
            <w:r w:rsidRPr="0049376D">
              <w:rPr>
                <w:sz w:val="18"/>
                <w:szCs w:val="18"/>
                <w:lang w:val="en-US"/>
              </w:rPr>
              <w:t>Offender</w:t>
            </w:r>
          </w:p>
          <w:p w14:paraId="47435FA9" w14:textId="77777777" w:rsidR="00AC45FC" w:rsidRPr="0049376D" w:rsidRDefault="00AC45FC" w:rsidP="00AC45FC">
            <w:pPr>
              <w:pStyle w:val="Corpo"/>
              <w:spacing w:line="360" w:lineRule="auto"/>
              <w:jc w:val="both"/>
              <w:rPr>
                <w:sz w:val="18"/>
                <w:szCs w:val="18"/>
              </w:rPr>
            </w:pPr>
            <w:r w:rsidRPr="0049376D">
              <w:rPr>
                <w:sz w:val="18"/>
                <w:szCs w:val="18"/>
                <w:lang w:val="en-US"/>
              </w:rPr>
              <w:t>Blaming</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7EB9A584" w14:textId="77777777" w:rsidR="00AC45FC" w:rsidRPr="0049376D" w:rsidRDefault="00AC45FC" w:rsidP="00AC45FC">
            <w:pPr>
              <w:pStyle w:val="Corpo"/>
              <w:spacing w:line="360" w:lineRule="auto"/>
              <w:jc w:val="both"/>
              <w:rPr>
                <w:sz w:val="18"/>
                <w:szCs w:val="18"/>
              </w:rPr>
            </w:pPr>
            <w:r w:rsidRPr="0049376D">
              <w:rPr>
                <w:sz w:val="18"/>
                <w:szCs w:val="18"/>
                <w:lang w:val="en-US"/>
              </w:rPr>
              <w:t xml:space="preserve">Total </w:t>
            </w:r>
          </w:p>
        </w:tc>
      </w:tr>
      <w:tr w:rsidR="00AC45FC" w:rsidRPr="0049376D" w14:paraId="4950F9F9" w14:textId="77777777" w:rsidTr="003C65F2">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C2B11B1" w14:textId="77777777" w:rsidR="00AC45FC" w:rsidRPr="0049376D" w:rsidRDefault="00AC45FC" w:rsidP="00AC45FC">
            <w:pPr>
              <w:jc w:val="both"/>
              <w:rPr>
                <w:sz w:val="18"/>
                <w:szCs w:val="18"/>
              </w:rPr>
            </w:pPr>
          </w:p>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B529FA6" w14:textId="77777777" w:rsidR="00AC45FC" w:rsidRPr="0049376D" w:rsidRDefault="00AC45FC" w:rsidP="00AC45FC">
            <w:pPr>
              <w:pStyle w:val="Corpo"/>
              <w:spacing w:line="360" w:lineRule="auto"/>
              <w:jc w:val="both"/>
              <w:rPr>
                <w:sz w:val="18"/>
                <w:szCs w:val="18"/>
              </w:rPr>
            </w:pPr>
            <w:r w:rsidRPr="0049376D">
              <w:rPr>
                <w:sz w:val="18"/>
                <w:szCs w:val="18"/>
                <w:lang w:val="en-US"/>
              </w:rPr>
              <w:t>Personal</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BC36FF5" w14:textId="77777777" w:rsidR="00AC45FC" w:rsidRPr="0049376D" w:rsidRDefault="00AC45FC" w:rsidP="00AC45FC">
            <w:pPr>
              <w:pStyle w:val="Corpo"/>
              <w:spacing w:line="360" w:lineRule="auto"/>
              <w:jc w:val="both"/>
              <w:rPr>
                <w:sz w:val="18"/>
                <w:szCs w:val="18"/>
              </w:rPr>
            </w:pPr>
            <w:r w:rsidRPr="0049376D">
              <w:rPr>
                <w:sz w:val="18"/>
                <w:szCs w:val="18"/>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3AADCE0" w14:textId="77777777" w:rsidR="00AC45FC" w:rsidRPr="0049376D" w:rsidRDefault="00AC45FC" w:rsidP="00AC45FC">
            <w:pPr>
              <w:pStyle w:val="Corpo"/>
              <w:spacing w:line="360" w:lineRule="auto"/>
              <w:jc w:val="both"/>
              <w:rPr>
                <w:sz w:val="18"/>
                <w:szCs w:val="18"/>
              </w:rPr>
            </w:pPr>
            <w:r w:rsidRPr="0049376D">
              <w:rPr>
                <w:sz w:val="18"/>
                <w:szCs w:val="18"/>
                <w:lang w:val="en-US"/>
              </w:rPr>
              <w:t>Personal</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CE8532A" w14:textId="77777777" w:rsidR="00AC45FC" w:rsidRPr="0049376D" w:rsidRDefault="00AC45FC" w:rsidP="00AC45FC">
            <w:pPr>
              <w:pStyle w:val="Corpo"/>
              <w:spacing w:line="360" w:lineRule="auto"/>
              <w:jc w:val="both"/>
              <w:rPr>
                <w:sz w:val="18"/>
                <w:szCs w:val="18"/>
              </w:rPr>
            </w:pPr>
            <w:r w:rsidRPr="0049376D">
              <w:rPr>
                <w:sz w:val="18"/>
                <w:szCs w:val="18"/>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7CB71A3" w14:textId="77777777" w:rsidR="00AC45FC" w:rsidRPr="0049376D" w:rsidRDefault="00AC45FC" w:rsidP="00AC45FC">
            <w:pPr>
              <w:pStyle w:val="Corpo"/>
              <w:spacing w:line="360" w:lineRule="auto"/>
              <w:jc w:val="both"/>
              <w:rPr>
                <w:sz w:val="18"/>
                <w:szCs w:val="18"/>
              </w:rPr>
            </w:pPr>
            <w:r w:rsidRPr="0049376D">
              <w:rPr>
                <w:sz w:val="18"/>
                <w:szCs w:val="18"/>
                <w:lang w:val="en-US"/>
              </w:rPr>
              <w:t>Personal</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42D34BF6" w14:textId="77777777" w:rsidR="00AC45FC" w:rsidRPr="0049376D" w:rsidRDefault="00AC45FC" w:rsidP="00AC45FC">
            <w:pPr>
              <w:pStyle w:val="Corpo"/>
              <w:spacing w:line="360" w:lineRule="auto"/>
              <w:jc w:val="both"/>
              <w:rPr>
                <w:sz w:val="18"/>
                <w:szCs w:val="18"/>
              </w:rPr>
            </w:pPr>
            <w:r w:rsidRPr="0049376D">
              <w:rPr>
                <w:sz w:val="18"/>
                <w:szCs w:val="18"/>
                <w:lang w:val="en-US"/>
              </w:rPr>
              <w:t>Society</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3F15FCBA" w14:textId="77777777" w:rsidR="00AC45FC" w:rsidRPr="0049376D" w:rsidRDefault="00AC45FC" w:rsidP="00AC45FC">
            <w:pPr>
              <w:pStyle w:val="Corpo"/>
              <w:spacing w:line="360" w:lineRule="auto"/>
              <w:jc w:val="both"/>
              <w:rPr>
                <w:sz w:val="18"/>
                <w:szCs w:val="18"/>
              </w:rPr>
            </w:pPr>
            <w:r w:rsidRPr="0049376D">
              <w:rPr>
                <w:sz w:val="18"/>
                <w:szCs w:val="18"/>
                <w:lang w:val="en-US"/>
              </w:rPr>
              <w:t>Personal</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98D35AD" w14:textId="77777777" w:rsidR="00AC45FC" w:rsidRPr="0049376D" w:rsidRDefault="00AC45FC" w:rsidP="00AC45FC">
            <w:pPr>
              <w:pStyle w:val="Corpo"/>
              <w:spacing w:line="360" w:lineRule="auto"/>
              <w:jc w:val="both"/>
              <w:rPr>
                <w:sz w:val="18"/>
                <w:szCs w:val="18"/>
              </w:rPr>
            </w:pPr>
            <w:r w:rsidRPr="0049376D">
              <w:rPr>
                <w:sz w:val="18"/>
                <w:szCs w:val="18"/>
                <w:lang w:val="en-US"/>
              </w:rPr>
              <w:t>Society</w:t>
            </w:r>
          </w:p>
        </w:tc>
      </w:tr>
      <w:tr w:rsidR="00AC45FC" w:rsidRPr="0049376D" w14:paraId="561B00CE" w14:textId="77777777" w:rsidTr="003C65F2">
        <w:trPr>
          <w:trHeight w:val="742"/>
        </w:trPr>
        <w:tc>
          <w:tcPr>
            <w:tcW w:w="975" w:type="dxa"/>
            <w:tcBorders>
              <w:top w:val="single" w:sz="6" w:space="0" w:color="000000"/>
              <w:left w:val="nil"/>
              <w:bottom w:val="nil"/>
              <w:right w:val="nil"/>
            </w:tcBorders>
            <w:shd w:val="clear" w:color="auto" w:fill="FEFEFE"/>
            <w:tcMar>
              <w:top w:w="80" w:type="dxa"/>
              <w:left w:w="80" w:type="dxa"/>
              <w:bottom w:w="80" w:type="dxa"/>
              <w:right w:w="80" w:type="dxa"/>
            </w:tcMar>
          </w:tcPr>
          <w:p w14:paraId="4292B447" w14:textId="77777777" w:rsidR="00AC45FC" w:rsidRPr="0049376D" w:rsidRDefault="00AC45FC" w:rsidP="00AC45FC">
            <w:pPr>
              <w:pStyle w:val="Corpo"/>
              <w:spacing w:line="360" w:lineRule="auto"/>
              <w:jc w:val="both"/>
              <w:rPr>
                <w:sz w:val="18"/>
                <w:szCs w:val="18"/>
              </w:rPr>
            </w:pPr>
            <w:r w:rsidRPr="0049376D">
              <w:rPr>
                <w:sz w:val="18"/>
                <w:szCs w:val="18"/>
                <w:lang w:val="en-US"/>
              </w:rPr>
              <w:t xml:space="preserve">Control </w:t>
            </w:r>
          </w:p>
        </w:tc>
        <w:tc>
          <w:tcPr>
            <w:tcW w:w="100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111AD413"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0.29</w:t>
            </w:r>
            <w:r w:rsidRPr="0049376D">
              <w:rPr>
                <w:sz w:val="18"/>
                <w:szCs w:val="18"/>
                <w:vertAlign w:val="superscript"/>
                <w:lang w:val="en-US"/>
              </w:rPr>
              <w:t>bc</w:t>
            </w:r>
          </w:p>
          <w:p w14:paraId="4D468CEE"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85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269970DC"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0.48</w:t>
            </w:r>
            <w:r w:rsidRPr="0049376D">
              <w:rPr>
                <w:sz w:val="18"/>
                <w:szCs w:val="18"/>
                <w:vertAlign w:val="superscript"/>
                <w:lang w:val="en-US"/>
              </w:rPr>
              <w:t>b</w:t>
            </w:r>
          </w:p>
          <w:p w14:paraId="678B7F10"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D966C2A"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1.78</w:t>
            </w:r>
            <w:r w:rsidRPr="0049376D">
              <w:rPr>
                <w:sz w:val="18"/>
                <w:szCs w:val="18"/>
                <w:vertAlign w:val="superscript"/>
                <w:lang w:val="en-US"/>
              </w:rPr>
              <w:t>a</w:t>
            </w:r>
          </w:p>
          <w:p w14:paraId="3EC081EA" w14:textId="77777777" w:rsidR="00AC45FC" w:rsidRPr="0049376D" w:rsidRDefault="00AC45FC" w:rsidP="00AC45FC">
            <w:pPr>
              <w:pStyle w:val="Corpo"/>
              <w:spacing w:line="360" w:lineRule="auto"/>
              <w:jc w:val="both"/>
              <w:rPr>
                <w:sz w:val="18"/>
                <w:szCs w:val="18"/>
              </w:rPr>
            </w:pPr>
            <w:r w:rsidRPr="0049376D">
              <w:rPr>
                <w:sz w:val="18"/>
                <w:szCs w:val="18"/>
                <w:lang w:val="en-US"/>
              </w:rPr>
              <w:t>(0.15)</w:t>
            </w:r>
          </w:p>
        </w:tc>
        <w:tc>
          <w:tcPr>
            <w:tcW w:w="96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7A44D52E"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1.44</w:t>
            </w:r>
            <w:r w:rsidRPr="0049376D">
              <w:rPr>
                <w:sz w:val="18"/>
                <w:szCs w:val="18"/>
                <w:vertAlign w:val="superscript"/>
                <w:lang w:val="en-US"/>
              </w:rPr>
              <w:t>a</w:t>
            </w:r>
          </w:p>
          <w:p w14:paraId="3DB34A7C" w14:textId="77777777" w:rsidR="00AC45FC" w:rsidRPr="0049376D" w:rsidRDefault="00AC45FC" w:rsidP="00AC45FC">
            <w:pPr>
              <w:pStyle w:val="Corpo"/>
              <w:spacing w:line="360" w:lineRule="auto"/>
              <w:jc w:val="both"/>
              <w:rPr>
                <w:sz w:val="18"/>
                <w:szCs w:val="18"/>
              </w:rPr>
            </w:pPr>
            <w:r w:rsidRPr="0049376D">
              <w:rPr>
                <w:sz w:val="18"/>
                <w:szCs w:val="18"/>
                <w:lang w:val="en-US"/>
              </w:rPr>
              <w:t>(0.16)</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223D4BCB"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0.79</w:t>
            </w:r>
            <w:r w:rsidRPr="0049376D">
              <w:rPr>
                <w:sz w:val="18"/>
                <w:szCs w:val="18"/>
                <w:vertAlign w:val="superscript"/>
                <w:lang w:val="en-US"/>
              </w:rPr>
              <w:t>b</w:t>
            </w:r>
          </w:p>
          <w:p w14:paraId="24916EEF"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170" w:type="dxa"/>
            <w:tcBorders>
              <w:top w:val="single" w:sz="6" w:space="0" w:color="000000"/>
              <w:left w:val="nil"/>
              <w:bottom w:val="nil"/>
              <w:right w:val="single" w:sz="6" w:space="0" w:color="000000"/>
            </w:tcBorders>
            <w:shd w:val="clear" w:color="auto" w:fill="FEFEFE"/>
            <w:tcMar>
              <w:top w:w="80" w:type="dxa"/>
              <w:left w:w="80" w:type="dxa"/>
              <w:bottom w:w="80" w:type="dxa"/>
              <w:right w:w="80" w:type="dxa"/>
            </w:tcMar>
            <w:vAlign w:val="center"/>
          </w:tcPr>
          <w:p w14:paraId="7A598589"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0.16</w:t>
            </w:r>
            <w:r w:rsidRPr="0049376D">
              <w:rPr>
                <w:sz w:val="18"/>
                <w:szCs w:val="18"/>
                <w:vertAlign w:val="superscript"/>
                <w:lang w:val="en-US"/>
              </w:rPr>
              <w:t>c</w:t>
            </w:r>
          </w:p>
          <w:p w14:paraId="5764DA3F"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005" w:type="dxa"/>
            <w:tcBorders>
              <w:top w:val="single" w:sz="6" w:space="0" w:color="000000"/>
              <w:left w:val="single" w:sz="6" w:space="0" w:color="000000"/>
              <w:bottom w:val="nil"/>
              <w:right w:val="nil"/>
            </w:tcBorders>
            <w:shd w:val="clear" w:color="auto" w:fill="FEFEFE"/>
            <w:tcMar>
              <w:top w:w="80" w:type="dxa"/>
              <w:left w:w="80" w:type="dxa"/>
              <w:bottom w:w="80" w:type="dxa"/>
              <w:right w:w="80" w:type="dxa"/>
            </w:tcMar>
            <w:vAlign w:val="center"/>
          </w:tcPr>
          <w:p w14:paraId="531577EE"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0.95</w:t>
            </w:r>
            <w:r w:rsidRPr="0049376D">
              <w:rPr>
                <w:sz w:val="18"/>
                <w:szCs w:val="18"/>
                <w:vertAlign w:val="superscript"/>
                <w:lang w:val="en-US"/>
              </w:rPr>
              <w:t>a</w:t>
            </w:r>
          </w:p>
          <w:p w14:paraId="79A6C584"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c>
          <w:tcPr>
            <w:tcW w:w="108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0DF453EA"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0.69</w:t>
            </w:r>
            <w:r w:rsidRPr="0049376D">
              <w:rPr>
                <w:sz w:val="18"/>
                <w:szCs w:val="18"/>
                <w:vertAlign w:val="superscript"/>
                <w:lang w:val="en-US"/>
              </w:rPr>
              <w:t>b</w:t>
            </w:r>
          </w:p>
          <w:p w14:paraId="7143EE54"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r>
      <w:tr w:rsidR="00AC45FC" w:rsidRPr="0049376D" w14:paraId="2AE75C18" w14:textId="77777777" w:rsidTr="003C65F2">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64FAB514" w14:textId="77777777" w:rsidR="00AC45FC" w:rsidRPr="0049376D" w:rsidRDefault="00AC45FC" w:rsidP="00AC45FC">
            <w:pPr>
              <w:pStyle w:val="Corpo"/>
              <w:jc w:val="both"/>
              <w:rPr>
                <w:sz w:val="18"/>
                <w:szCs w:val="18"/>
              </w:rPr>
            </w:pPr>
            <w:r w:rsidRPr="0049376D">
              <w:rPr>
                <w:sz w:val="18"/>
                <w:szCs w:val="18"/>
                <w:lang w:val="en-US"/>
              </w:rPr>
              <w:t>Black people</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01019CBB"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0.40</w:t>
            </w:r>
            <w:r w:rsidRPr="0049376D">
              <w:rPr>
                <w:sz w:val="18"/>
                <w:szCs w:val="18"/>
                <w:vertAlign w:val="superscript"/>
                <w:lang w:val="en-US"/>
              </w:rPr>
              <w:t>bc</w:t>
            </w:r>
          </w:p>
          <w:p w14:paraId="35E66AF4"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63A1F53F"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0.37</w:t>
            </w:r>
            <w:r w:rsidRPr="0049376D">
              <w:rPr>
                <w:sz w:val="18"/>
                <w:szCs w:val="18"/>
                <w:vertAlign w:val="superscript"/>
                <w:lang w:val="en-US"/>
              </w:rPr>
              <w:t>b</w:t>
            </w:r>
          </w:p>
          <w:p w14:paraId="574A58B0"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5A3939DE"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1.49</w:t>
            </w:r>
            <w:r w:rsidRPr="0049376D">
              <w:rPr>
                <w:sz w:val="18"/>
                <w:szCs w:val="18"/>
                <w:vertAlign w:val="superscript"/>
                <w:lang w:val="en-US"/>
              </w:rPr>
              <w:t>a</w:t>
            </w:r>
          </w:p>
          <w:p w14:paraId="606DE2FF" w14:textId="77777777" w:rsidR="00AC45FC" w:rsidRPr="0049376D" w:rsidRDefault="00AC45FC" w:rsidP="00AC45FC">
            <w:pPr>
              <w:pStyle w:val="Corpo"/>
              <w:spacing w:line="360" w:lineRule="auto"/>
              <w:jc w:val="both"/>
              <w:rPr>
                <w:sz w:val="18"/>
                <w:szCs w:val="18"/>
              </w:rPr>
            </w:pPr>
            <w:r w:rsidRPr="0049376D">
              <w:rPr>
                <w:sz w:val="18"/>
                <w:szCs w:val="18"/>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72AA394F"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1.46</w:t>
            </w:r>
            <w:r w:rsidRPr="0049376D">
              <w:rPr>
                <w:sz w:val="18"/>
                <w:szCs w:val="18"/>
                <w:vertAlign w:val="superscript"/>
                <w:lang w:val="en-US"/>
              </w:rPr>
              <w:t>a</w:t>
            </w:r>
          </w:p>
          <w:p w14:paraId="07658264" w14:textId="77777777" w:rsidR="00AC45FC" w:rsidRPr="0049376D" w:rsidRDefault="00AC45FC" w:rsidP="00AC45FC">
            <w:pPr>
              <w:pStyle w:val="Corpo"/>
              <w:spacing w:line="360" w:lineRule="auto"/>
              <w:jc w:val="both"/>
              <w:rPr>
                <w:sz w:val="18"/>
                <w:szCs w:val="18"/>
              </w:rPr>
            </w:pPr>
            <w:r w:rsidRPr="0049376D">
              <w:rPr>
                <w:sz w:val="18"/>
                <w:szCs w:val="18"/>
                <w:lang w:val="en-US"/>
              </w:rPr>
              <w:t>(0.16)</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5C47DF03"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0.08</w:t>
            </w:r>
            <w:r w:rsidRPr="0049376D">
              <w:rPr>
                <w:sz w:val="18"/>
                <w:szCs w:val="18"/>
                <w:vertAlign w:val="superscript"/>
                <w:lang w:val="en-US"/>
              </w:rPr>
              <w:t>c</w:t>
            </w:r>
          </w:p>
          <w:p w14:paraId="4C436821"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50FEA55C"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0.11</w:t>
            </w:r>
            <w:r w:rsidRPr="0049376D">
              <w:rPr>
                <w:sz w:val="18"/>
                <w:szCs w:val="18"/>
                <w:vertAlign w:val="superscript"/>
                <w:lang w:val="en-US"/>
              </w:rPr>
              <w:t>c</w:t>
            </w:r>
          </w:p>
          <w:p w14:paraId="541A9F6D"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1C62ECBF" w14:textId="77777777" w:rsidR="00AC45FC" w:rsidRPr="0049376D" w:rsidRDefault="00AC45FC" w:rsidP="00AC45FC">
            <w:pPr>
              <w:pStyle w:val="Corpo"/>
              <w:spacing w:line="360" w:lineRule="auto"/>
              <w:jc w:val="both"/>
              <w:rPr>
                <w:sz w:val="18"/>
                <w:szCs w:val="18"/>
                <w:vertAlign w:val="subscript"/>
              </w:rPr>
            </w:pPr>
            <w:r w:rsidRPr="0049376D">
              <w:rPr>
                <w:sz w:val="18"/>
                <w:szCs w:val="18"/>
                <w:lang w:val="en-US"/>
              </w:rPr>
              <w:t>0.66</w:t>
            </w:r>
            <w:r w:rsidRPr="0049376D">
              <w:rPr>
                <w:sz w:val="18"/>
                <w:szCs w:val="18"/>
                <w:vertAlign w:val="subscript"/>
                <w:lang w:val="en-US"/>
              </w:rPr>
              <w:t>b</w:t>
            </w:r>
          </w:p>
          <w:p w14:paraId="1A210E31"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012A2720" w14:textId="77777777" w:rsidR="00AC45FC" w:rsidRPr="0049376D" w:rsidRDefault="00AC45FC" w:rsidP="00AC45FC">
            <w:pPr>
              <w:pStyle w:val="Corpo"/>
              <w:spacing w:line="360" w:lineRule="auto"/>
              <w:jc w:val="both"/>
              <w:rPr>
                <w:sz w:val="18"/>
                <w:szCs w:val="18"/>
                <w:vertAlign w:val="subscript"/>
              </w:rPr>
            </w:pPr>
            <w:r w:rsidRPr="0049376D">
              <w:rPr>
                <w:sz w:val="18"/>
                <w:szCs w:val="18"/>
                <w:lang w:val="en-US"/>
              </w:rPr>
              <w:t>0.65</w:t>
            </w:r>
            <w:r w:rsidRPr="0049376D">
              <w:rPr>
                <w:sz w:val="18"/>
                <w:szCs w:val="18"/>
                <w:vertAlign w:val="subscript"/>
                <w:lang w:val="en-US"/>
              </w:rPr>
              <w:t>b</w:t>
            </w:r>
          </w:p>
          <w:p w14:paraId="492BA861"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r>
      <w:tr w:rsidR="00AC45FC" w:rsidRPr="0049376D" w14:paraId="5B6C5C3D" w14:textId="77777777" w:rsidTr="003C65F2">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08C4D545" w14:textId="77777777" w:rsidR="00AC45FC" w:rsidRPr="0049376D" w:rsidRDefault="00AC45FC" w:rsidP="00AC45FC">
            <w:pPr>
              <w:pStyle w:val="Corpo"/>
              <w:spacing w:line="360" w:lineRule="auto"/>
              <w:jc w:val="both"/>
              <w:rPr>
                <w:sz w:val="18"/>
                <w:szCs w:val="18"/>
              </w:rPr>
            </w:pPr>
            <w:r w:rsidRPr="0049376D">
              <w:rPr>
                <w:sz w:val="18"/>
                <w:szCs w:val="18"/>
                <w:lang w:val="en-US"/>
              </w:rPr>
              <w:t>Women</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023675A9"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1.24</w:t>
            </w:r>
            <w:r w:rsidRPr="0049376D">
              <w:rPr>
                <w:sz w:val="18"/>
                <w:szCs w:val="18"/>
                <w:vertAlign w:val="superscript"/>
                <w:lang w:val="en-US"/>
              </w:rPr>
              <w:t>a</w:t>
            </w:r>
          </w:p>
          <w:p w14:paraId="7E4C93B5"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5ACB7340"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1.22</w:t>
            </w:r>
            <w:r w:rsidRPr="0049376D">
              <w:rPr>
                <w:sz w:val="18"/>
                <w:szCs w:val="18"/>
                <w:vertAlign w:val="superscript"/>
                <w:lang w:val="en-US"/>
              </w:rPr>
              <w:t>a</w:t>
            </w:r>
          </w:p>
          <w:p w14:paraId="4A114FC4"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152DF32A"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0.79</w:t>
            </w:r>
            <w:r w:rsidRPr="0049376D">
              <w:rPr>
                <w:sz w:val="18"/>
                <w:szCs w:val="18"/>
                <w:vertAlign w:val="superscript"/>
                <w:lang w:val="en-US"/>
              </w:rPr>
              <w:t>b</w:t>
            </w:r>
          </w:p>
          <w:p w14:paraId="1ED64762" w14:textId="77777777" w:rsidR="00AC45FC" w:rsidRPr="0049376D" w:rsidRDefault="00AC45FC" w:rsidP="00AC45FC">
            <w:pPr>
              <w:pStyle w:val="Corpo"/>
              <w:spacing w:line="360" w:lineRule="auto"/>
              <w:jc w:val="both"/>
              <w:rPr>
                <w:sz w:val="18"/>
                <w:szCs w:val="18"/>
              </w:rPr>
            </w:pPr>
            <w:r w:rsidRPr="0049376D">
              <w:rPr>
                <w:sz w:val="18"/>
                <w:szCs w:val="18"/>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1D7D4C20"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0.87</w:t>
            </w:r>
            <w:r w:rsidRPr="0049376D">
              <w:rPr>
                <w:sz w:val="18"/>
                <w:szCs w:val="18"/>
                <w:vertAlign w:val="superscript"/>
                <w:lang w:val="en-US"/>
              </w:rPr>
              <w:t>b</w:t>
            </w:r>
          </w:p>
          <w:p w14:paraId="6ADE3313" w14:textId="77777777" w:rsidR="00AC45FC" w:rsidRPr="0049376D" w:rsidRDefault="00AC45FC" w:rsidP="00AC45FC">
            <w:pPr>
              <w:pStyle w:val="Corpo"/>
              <w:spacing w:line="360" w:lineRule="auto"/>
              <w:jc w:val="both"/>
              <w:rPr>
                <w:sz w:val="18"/>
                <w:szCs w:val="18"/>
              </w:rPr>
            </w:pPr>
            <w:r w:rsidRPr="0049376D">
              <w:rPr>
                <w:sz w:val="18"/>
                <w:szCs w:val="18"/>
                <w:lang w:val="en-US"/>
              </w:rPr>
              <w:t>(0.15)</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695A5CBB"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0.44</w:t>
            </w:r>
            <w:r w:rsidRPr="0049376D">
              <w:rPr>
                <w:sz w:val="18"/>
                <w:szCs w:val="18"/>
                <w:vertAlign w:val="superscript"/>
                <w:lang w:val="en-US"/>
              </w:rPr>
              <w:t>b</w:t>
            </w:r>
          </w:p>
          <w:p w14:paraId="4AA46373"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1F8813BD" w14:textId="77777777" w:rsidR="00AC45FC" w:rsidRPr="0049376D" w:rsidRDefault="00AC45FC" w:rsidP="00AC45FC">
            <w:pPr>
              <w:pStyle w:val="Corpo"/>
              <w:spacing w:line="360" w:lineRule="auto"/>
              <w:jc w:val="both"/>
              <w:rPr>
                <w:sz w:val="18"/>
                <w:szCs w:val="18"/>
                <w:vertAlign w:val="subscript"/>
              </w:rPr>
            </w:pPr>
            <w:r w:rsidRPr="0049376D">
              <w:rPr>
                <w:sz w:val="18"/>
                <w:szCs w:val="18"/>
                <w:lang w:val="en-US"/>
              </w:rPr>
              <w:t>0.20</w:t>
            </w:r>
            <w:r w:rsidRPr="0049376D">
              <w:rPr>
                <w:sz w:val="18"/>
                <w:szCs w:val="18"/>
                <w:vertAlign w:val="subscript"/>
                <w:lang w:val="en-US"/>
              </w:rPr>
              <w:t>c</w:t>
            </w:r>
          </w:p>
          <w:p w14:paraId="4269EEC9"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74FA668A"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0.82</w:t>
            </w:r>
            <w:r w:rsidRPr="0049376D">
              <w:rPr>
                <w:sz w:val="18"/>
                <w:szCs w:val="18"/>
                <w:vertAlign w:val="superscript"/>
                <w:lang w:val="en-US"/>
              </w:rPr>
              <w:t>a</w:t>
            </w:r>
          </w:p>
          <w:p w14:paraId="453CADF3"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43EA19D2"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0.76</w:t>
            </w:r>
            <w:r w:rsidRPr="0049376D">
              <w:rPr>
                <w:sz w:val="18"/>
                <w:szCs w:val="18"/>
                <w:vertAlign w:val="superscript"/>
                <w:lang w:val="en-US"/>
              </w:rPr>
              <w:t>ab</w:t>
            </w:r>
          </w:p>
          <w:p w14:paraId="06ED5F44"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r>
      <w:tr w:rsidR="00AC45FC" w:rsidRPr="0049376D" w14:paraId="3D4C91A4" w14:textId="77777777" w:rsidTr="003C65F2">
        <w:trPr>
          <w:trHeight w:val="742"/>
        </w:trPr>
        <w:tc>
          <w:tcPr>
            <w:tcW w:w="975" w:type="dxa"/>
            <w:tcBorders>
              <w:top w:val="nil"/>
              <w:left w:val="nil"/>
              <w:bottom w:val="single" w:sz="6" w:space="0" w:color="000000"/>
              <w:right w:val="nil"/>
            </w:tcBorders>
            <w:shd w:val="clear" w:color="auto" w:fill="FEFEFE"/>
            <w:tcMar>
              <w:top w:w="80" w:type="dxa"/>
              <w:left w:w="80" w:type="dxa"/>
              <w:bottom w:w="80" w:type="dxa"/>
              <w:right w:w="80" w:type="dxa"/>
            </w:tcMar>
          </w:tcPr>
          <w:p w14:paraId="671B7443" w14:textId="77777777" w:rsidR="00AC45FC" w:rsidRPr="0049376D" w:rsidRDefault="00AC45FC" w:rsidP="00AC45FC">
            <w:pPr>
              <w:pStyle w:val="Corpo"/>
              <w:jc w:val="both"/>
              <w:rPr>
                <w:sz w:val="18"/>
                <w:szCs w:val="18"/>
              </w:rPr>
            </w:pPr>
            <w:r w:rsidRPr="0049376D">
              <w:rPr>
                <w:sz w:val="18"/>
                <w:szCs w:val="18"/>
                <w:lang w:val="en-US"/>
              </w:rPr>
              <w:t xml:space="preserve">Gay </w:t>
            </w:r>
          </w:p>
          <w:p w14:paraId="234821F5" w14:textId="77777777" w:rsidR="00AC45FC" w:rsidRPr="0049376D" w:rsidRDefault="00AC45FC" w:rsidP="00AC45FC">
            <w:pPr>
              <w:pStyle w:val="Corpo"/>
              <w:jc w:val="both"/>
              <w:rPr>
                <w:sz w:val="18"/>
                <w:szCs w:val="18"/>
              </w:rPr>
            </w:pPr>
            <w:r w:rsidRPr="0049376D">
              <w:rPr>
                <w:sz w:val="18"/>
                <w:szCs w:val="18"/>
                <w:lang w:val="en-US"/>
              </w:rPr>
              <w:t>people</w:t>
            </w:r>
          </w:p>
        </w:tc>
        <w:tc>
          <w:tcPr>
            <w:tcW w:w="100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214B71E6"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0.18</w:t>
            </w:r>
            <w:r w:rsidRPr="0049376D">
              <w:rPr>
                <w:sz w:val="18"/>
                <w:szCs w:val="18"/>
                <w:vertAlign w:val="superscript"/>
                <w:lang w:val="en-US"/>
              </w:rPr>
              <w:t>c</w:t>
            </w:r>
          </w:p>
          <w:p w14:paraId="665D3961"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85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216F1A41"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0.41</w:t>
            </w:r>
            <w:r w:rsidRPr="0049376D">
              <w:rPr>
                <w:sz w:val="18"/>
                <w:szCs w:val="18"/>
                <w:vertAlign w:val="superscript"/>
                <w:lang w:val="en-US"/>
              </w:rPr>
              <w:t>bc</w:t>
            </w:r>
          </w:p>
          <w:p w14:paraId="3E4EE530" w14:textId="77777777" w:rsidR="00AC45FC" w:rsidRPr="0049376D" w:rsidRDefault="00AC45FC" w:rsidP="00AC45FC">
            <w:pPr>
              <w:pStyle w:val="Corpo"/>
              <w:spacing w:line="360" w:lineRule="auto"/>
              <w:jc w:val="both"/>
              <w:rPr>
                <w:sz w:val="18"/>
                <w:szCs w:val="18"/>
              </w:rPr>
            </w:pPr>
            <w:r w:rsidRPr="0049376D">
              <w:rPr>
                <w:sz w:val="18"/>
                <w:szCs w:val="18"/>
                <w:lang w:val="en-US"/>
              </w:rPr>
              <w:t>(0.14)</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3BB3767"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1.67</w:t>
            </w:r>
            <w:r w:rsidRPr="0049376D">
              <w:rPr>
                <w:sz w:val="18"/>
                <w:szCs w:val="18"/>
                <w:vertAlign w:val="superscript"/>
                <w:lang w:val="en-US"/>
              </w:rPr>
              <w:t>a</w:t>
            </w:r>
          </w:p>
          <w:p w14:paraId="704969DE" w14:textId="77777777" w:rsidR="00AC45FC" w:rsidRPr="0049376D" w:rsidRDefault="00AC45FC" w:rsidP="00AC45FC">
            <w:pPr>
              <w:pStyle w:val="Corpo"/>
              <w:spacing w:line="360" w:lineRule="auto"/>
              <w:jc w:val="both"/>
              <w:rPr>
                <w:sz w:val="18"/>
                <w:szCs w:val="18"/>
              </w:rPr>
            </w:pPr>
            <w:r w:rsidRPr="0049376D">
              <w:rPr>
                <w:sz w:val="18"/>
                <w:szCs w:val="18"/>
                <w:lang w:val="en-US"/>
              </w:rPr>
              <w:t>(0.15)</w:t>
            </w:r>
          </w:p>
        </w:tc>
        <w:tc>
          <w:tcPr>
            <w:tcW w:w="96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4B6F68CD"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1.64</w:t>
            </w:r>
            <w:r w:rsidRPr="0049376D">
              <w:rPr>
                <w:sz w:val="18"/>
                <w:szCs w:val="18"/>
                <w:vertAlign w:val="superscript"/>
                <w:lang w:val="en-US"/>
              </w:rPr>
              <w:t>a</w:t>
            </w:r>
          </w:p>
          <w:p w14:paraId="0C1463C2" w14:textId="77777777" w:rsidR="00AC45FC" w:rsidRPr="0049376D" w:rsidRDefault="00AC45FC" w:rsidP="00AC45FC">
            <w:pPr>
              <w:pStyle w:val="Corpo"/>
              <w:spacing w:line="360" w:lineRule="auto"/>
              <w:jc w:val="both"/>
              <w:rPr>
                <w:sz w:val="18"/>
                <w:szCs w:val="18"/>
              </w:rPr>
            </w:pPr>
            <w:r w:rsidRPr="0049376D">
              <w:rPr>
                <w:sz w:val="18"/>
                <w:szCs w:val="18"/>
                <w:lang w:val="en-US"/>
              </w:rPr>
              <w:t>(0.16)</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0543B071"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0.64</w:t>
            </w:r>
            <w:r w:rsidRPr="0049376D">
              <w:rPr>
                <w:sz w:val="18"/>
                <w:szCs w:val="18"/>
                <w:vertAlign w:val="superscript"/>
                <w:lang w:val="en-US"/>
              </w:rPr>
              <w:t>b</w:t>
            </w:r>
          </w:p>
          <w:p w14:paraId="10D4A3EA"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170" w:type="dxa"/>
            <w:tcBorders>
              <w:top w:val="nil"/>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48A0F8B6"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0.19</w:t>
            </w:r>
            <w:r w:rsidRPr="0049376D">
              <w:rPr>
                <w:sz w:val="18"/>
                <w:szCs w:val="18"/>
                <w:vertAlign w:val="superscript"/>
                <w:lang w:val="en-US"/>
              </w:rPr>
              <w:t>c</w:t>
            </w:r>
          </w:p>
          <w:p w14:paraId="62723A81" w14:textId="77777777" w:rsidR="00AC45FC" w:rsidRPr="0049376D" w:rsidRDefault="00AC45FC" w:rsidP="00AC45FC">
            <w:pPr>
              <w:pStyle w:val="Corpo"/>
              <w:spacing w:line="360" w:lineRule="auto"/>
              <w:jc w:val="both"/>
              <w:rPr>
                <w:sz w:val="18"/>
                <w:szCs w:val="18"/>
              </w:rPr>
            </w:pPr>
            <w:r w:rsidRPr="0049376D">
              <w:rPr>
                <w:sz w:val="18"/>
                <w:szCs w:val="18"/>
                <w:lang w:val="en-US"/>
              </w:rPr>
              <w:t>(0.09)</w:t>
            </w:r>
          </w:p>
        </w:tc>
        <w:tc>
          <w:tcPr>
            <w:tcW w:w="1005" w:type="dxa"/>
            <w:tcBorders>
              <w:top w:val="nil"/>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533B3F47"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0.83</w:t>
            </w:r>
            <w:r w:rsidRPr="0049376D">
              <w:rPr>
                <w:sz w:val="18"/>
                <w:szCs w:val="18"/>
                <w:vertAlign w:val="superscript"/>
                <w:lang w:val="en-US"/>
              </w:rPr>
              <w:t>a</w:t>
            </w:r>
          </w:p>
          <w:p w14:paraId="22F76D86"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c>
          <w:tcPr>
            <w:tcW w:w="108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09316248"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0.75</w:t>
            </w:r>
            <w:r w:rsidRPr="0049376D">
              <w:rPr>
                <w:sz w:val="18"/>
                <w:szCs w:val="18"/>
                <w:vertAlign w:val="superscript"/>
                <w:lang w:val="en-US"/>
              </w:rPr>
              <w:t>ab</w:t>
            </w:r>
          </w:p>
          <w:p w14:paraId="46942B43"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r>
      <w:tr w:rsidR="00AC45FC" w:rsidRPr="0049376D" w14:paraId="3C6BE348" w14:textId="77777777" w:rsidTr="003C65F2">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3D7C146C" w14:textId="77777777" w:rsidR="00AC45FC" w:rsidRPr="0049376D" w:rsidRDefault="00AC45FC" w:rsidP="00AC45FC">
            <w:pPr>
              <w:pStyle w:val="Corpo"/>
              <w:spacing w:line="360" w:lineRule="auto"/>
              <w:jc w:val="both"/>
              <w:rPr>
                <w:sz w:val="18"/>
                <w:szCs w:val="18"/>
              </w:rPr>
            </w:pPr>
            <w:r w:rsidRPr="0049376D">
              <w:rPr>
                <w:sz w:val="18"/>
                <w:szCs w:val="18"/>
                <w:lang w:val="en-US"/>
              </w:rPr>
              <w:t xml:space="preserve">Subtotal </w:t>
            </w:r>
          </w:p>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C2856E3"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0.53</w:t>
            </w:r>
            <w:r w:rsidRPr="0049376D">
              <w:rPr>
                <w:sz w:val="18"/>
                <w:szCs w:val="18"/>
                <w:vertAlign w:val="superscript"/>
                <w:lang w:val="en-US"/>
              </w:rPr>
              <w:t>b</w:t>
            </w:r>
          </w:p>
          <w:p w14:paraId="129A32A3" w14:textId="77777777" w:rsidR="00AC45FC" w:rsidRPr="0049376D" w:rsidRDefault="00AC45FC" w:rsidP="00AC45FC">
            <w:pPr>
              <w:pStyle w:val="Corpo"/>
              <w:spacing w:line="360" w:lineRule="auto"/>
              <w:jc w:val="both"/>
              <w:rPr>
                <w:sz w:val="18"/>
                <w:szCs w:val="18"/>
              </w:rPr>
            </w:pPr>
            <w:r w:rsidRPr="0049376D">
              <w:rPr>
                <w:sz w:val="18"/>
                <w:szCs w:val="18"/>
                <w:lang w:val="en-US"/>
              </w:rPr>
              <w:t>(0.07)</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0954778"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0.62</w:t>
            </w:r>
            <w:r w:rsidRPr="0049376D">
              <w:rPr>
                <w:sz w:val="18"/>
                <w:szCs w:val="18"/>
                <w:vertAlign w:val="superscript"/>
                <w:lang w:val="en-US"/>
              </w:rPr>
              <w:t>b</w:t>
            </w:r>
          </w:p>
          <w:p w14:paraId="39E39F89" w14:textId="77777777" w:rsidR="00AC45FC" w:rsidRPr="0049376D" w:rsidRDefault="00AC45FC" w:rsidP="00AC45FC">
            <w:pPr>
              <w:pStyle w:val="Corpo"/>
              <w:spacing w:line="360" w:lineRule="auto"/>
              <w:jc w:val="both"/>
              <w:rPr>
                <w:sz w:val="18"/>
                <w:szCs w:val="18"/>
              </w:rPr>
            </w:pPr>
            <w:r w:rsidRPr="0049376D">
              <w:rPr>
                <w:sz w:val="18"/>
                <w:szCs w:val="18"/>
                <w:lang w:val="en-US"/>
              </w:rPr>
              <w:t>(0.07)</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C6C158C"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1.43</w:t>
            </w:r>
            <w:r w:rsidRPr="0049376D">
              <w:rPr>
                <w:sz w:val="18"/>
                <w:szCs w:val="18"/>
                <w:vertAlign w:val="superscript"/>
                <w:lang w:val="en-US"/>
              </w:rPr>
              <w:t>a</w:t>
            </w:r>
          </w:p>
          <w:p w14:paraId="09838058" w14:textId="77777777" w:rsidR="00AC45FC" w:rsidRPr="0049376D" w:rsidRDefault="00AC45FC" w:rsidP="00AC45FC">
            <w:pPr>
              <w:pStyle w:val="Corpo"/>
              <w:spacing w:line="360" w:lineRule="auto"/>
              <w:jc w:val="both"/>
              <w:rPr>
                <w:sz w:val="18"/>
                <w:szCs w:val="18"/>
              </w:rPr>
            </w:pPr>
            <w:r w:rsidRPr="0049376D">
              <w:rPr>
                <w:sz w:val="18"/>
                <w:szCs w:val="18"/>
                <w:lang w:val="en-US"/>
              </w:rPr>
              <w:t>(0,08)</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4DF536A"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1.35</w:t>
            </w:r>
            <w:r w:rsidRPr="0049376D">
              <w:rPr>
                <w:sz w:val="18"/>
                <w:szCs w:val="18"/>
                <w:vertAlign w:val="superscript"/>
                <w:lang w:val="en-US"/>
              </w:rPr>
              <w:t>a</w:t>
            </w:r>
          </w:p>
          <w:p w14:paraId="568FB9C3" w14:textId="77777777" w:rsidR="00AC45FC" w:rsidRPr="0049376D" w:rsidRDefault="00AC45FC" w:rsidP="00AC45FC">
            <w:pPr>
              <w:pStyle w:val="Corpo"/>
              <w:spacing w:line="360" w:lineRule="auto"/>
              <w:jc w:val="both"/>
              <w:rPr>
                <w:sz w:val="18"/>
                <w:szCs w:val="18"/>
              </w:rPr>
            </w:pPr>
            <w:r w:rsidRPr="0049376D">
              <w:rPr>
                <w:sz w:val="18"/>
                <w:szCs w:val="18"/>
                <w:lang w:val="en-US"/>
              </w:rPr>
              <w:t>(0.08)</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2D646C7" w14:textId="77777777" w:rsidR="00AC45FC" w:rsidRPr="0049376D" w:rsidRDefault="00AC45FC" w:rsidP="00AC45FC">
            <w:pPr>
              <w:pStyle w:val="Corpo"/>
              <w:spacing w:line="360" w:lineRule="auto"/>
              <w:jc w:val="both"/>
              <w:rPr>
                <w:sz w:val="18"/>
                <w:szCs w:val="18"/>
                <w:vertAlign w:val="subscript"/>
              </w:rPr>
            </w:pPr>
            <w:r w:rsidRPr="0049376D">
              <w:rPr>
                <w:sz w:val="18"/>
                <w:szCs w:val="18"/>
                <w:lang w:val="en-US"/>
              </w:rPr>
              <w:t>0.49</w:t>
            </w:r>
            <w:r w:rsidRPr="0049376D">
              <w:rPr>
                <w:sz w:val="18"/>
                <w:szCs w:val="18"/>
                <w:vertAlign w:val="subscript"/>
                <w:lang w:val="en-US"/>
              </w:rPr>
              <w:t>b</w:t>
            </w:r>
          </w:p>
          <w:p w14:paraId="5166316F" w14:textId="77777777" w:rsidR="00AC45FC" w:rsidRPr="0049376D" w:rsidRDefault="00AC45FC" w:rsidP="00AC45FC">
            <w:pPr>
              <w:pStyle w:val="Corpo"/>
              <w:spacing w:line="360" w:lineRule="auto"/>
              <w:jc w:val="both"/>
              <w:rPr>
                <w:sz w:val="18"/>
                <w:szCs w:val="18"/>
              </w:rPr>
            </w:pPr>
            <w:r w:rsidRPr="0049376D">
              <w:rPr>
                <w:sz w:val="18"/>
                <w:szCs w:val="18"/>
                <w:lang w:val="en-US"/>
              </w:rPr>
              <w:t>(0.04)</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88353CD"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0.17</w:t>
            </w:r>
            <w:r w:rsidRPr="0049376D">
              <w:rPr>
                <w:sz w:val="18"/>
                <w:szCs w:val="18"/>
                <w:vertAlign w:val="superscript"/>
                <w:lang w:val="en-US"/>
              </w:rPr>
              <w:t>c</w:t>
            </w:r>
          </w:p>
          <w:p w14:paraId="4132CF91" w14:textId="77777777" w:rsidR="00AC45FC" w:rsidRPr="0049376D" w:rsidRDefault="00AC45FC" w:rsidP="00AC45FC">
            <w:pPr>
              <w:pStyle w:val="Corpo"/>
              <w:spacing w:line="360" w:lineRule="auto"/>
              <w:jc w:val="both"/>
              <w:rPr>
                <w:sz w:val="18"/>
                <w:szCs w:val="18"/>
              </w:rPr>
            </w:pPr>
            <w:r w:rsidRPr="0049376D">
              <w:rPr>
                <w:sz w:val="18"/>
                <w:szCs w:val="18"/>
                <w:lang w:val="en-US"/>
              </w:rPr>
              <w:t>(0.05)</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5551BD53"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0.82</w:t>
            </w:r>
            <w:r w:rsidRPr="0049376D">
              <w:rPr>
                <w:sz w:val="18"/>
                <w:szCs w:val="18"/>
                <w:vertAlign w:val="superscript"/>
                <w:lang w:val="en-US"/>
              </w:rPr>
              <w:t>a</w:t>
            </w:r>
          </w:p>
          <w:p w14:paraId="3BD8F637" w14:textId="77777777" w:rsidR="00AC45FC" w:rsidRPr="0049376D" w:rsidRDefault="00AC45FC" w:rsidP="00AC45FC">
            <w:pPr>
              <w:pStyle w:val="Corpo"/>
              <w:spacing w:line="360" w:lineRule="auto"/>
              <w:jc w:val="both"/>
              <w:rPr>
                <w:sz w:val="18"/>
                <w:szCs w:val="18"/>
              </w:rPr>
            </w:pPr>
            <w:r w:rsidRPr="0049376D">
              <w:rPr>
                <w:sz w:val="18"/>
                <w:szCs w:val="18"/>
                <w:lang w:val="en-US"/>
              </w:rPr>
              <w:t>(0.03)</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D6A6663"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0.72</w:t>
            </w:r>
            <w:r w:rsidRPr="0049376D">
              <w:rPr>
                <w:sz w:val="18"/>
                <w:szCs w:val="18"/>
                <w:vertAlign w:val="superscript"/>
                <w:lang w:val="en-US"/>
              </w:rPr>
              <w:t>b</w:t>
            </w:r>
          </w:p>
          <w:p w14:paraId="45E6A59A" w14:textId="77777777" w:rsidR="00AC45FC" w:rsidRPr="0049376D" w:rsidRDefault="00AC45FC" w:rsidP="00AC45FC">
            <w:pPr>
              <w:pStyle w:val="Corpo"/>
              <w:spacing w:line="360" w:lineRule="auto"/>
              <w:jc w:val="both"/>
              <w:rPr>
                <w:sz w:val="18"/>
                <w:szCs w:val="18"/>
              </w:rPr>
            </w:pPr>
            <w:r w:rsidRPr="0049376D">
              <w:rPr>
                <w:sz w:val="18"/>
                <w:szCs w:val="18"/>
                <w:lang w:val="en-US"/>
              </w:rPr>
              <w:t>(0.03)</w:t>
            </w:r>
          </w:p>
        </w:tc>
      </w:tr>
      <w:tr w:rsidR="00AC45FC" w:rsidRPr="0049376D" w14:paraId="2E8FBB7B" w14:textId="77777777" w:rsidTr="003C65F2">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11FB0EEF" w14:textId="77777777" w:rsidR="00AC45FC" w:rsidRPr="0049376D" w:rsidRDefault="00AC45FC" w:rsidP="00AC45FC">
            <w:pPr>
              <w:pStyle w:val="Corpo"/>
              <w:spacing w:line="360" w:lineRule="auto"/>
              <w:jc w:val="both"/>
              <w:rPr>
                <w:sz w:val="18"/>
                <w:szCs w:val="18"/>
              </w:rPr>
            </w:pPr>
            <w:r w:rsidRPr="0049376D">
              <w:rPr>
                <w:sz w:val="18"/>
                <w:szCs w:val="18"/>
                <w:lang w:val="en-US"/>
              </w:rPr>
              <w:t>Total</w:t>
            </w:r>
          </w:p>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6778AF21"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0.58</w:t>
            </w:r>
            <w:r w:rsidRPr="0049376D">
              <w:rPr>
                <w:sz w:val="18"/>
                <w:szCs w:val="18"/>
                <w:vertAlign w:val="superscript"/>
                <w:lang w:val="en-US"/>
              </w:rPr>
              <w:t>b</w:t>
            </w:r>
          </w:p>
          <w:p w14:paraId="1BE369B2" w14:textId="77777777" w:rsidR="00AC45FC" w:rsidRPr="0049376D" w:rsidRDefault="00AC45FC" w:rsidP="00AC45FC">
            <w:pPr>
              <w:pStyle w:val="Corpo"/>
              <w:spacing w:line="360" w:lineRule="auto"/>
              <w:jc w:val="both"/>
              <w:rPr>
                <w:sz w:val="18"/>
                <w:szCs w:val="18"/>
              </w:rPr>
            </w:pPr>
            <w:r w:rsidRPr="0049376D">
              <w:rPr>
                <w:sz w:val="18"/>
                <w:szCs w:val="18"/>
                <w:lang w:val="en-US"/>
              </w:rPr>
              <w:t>(0.05)</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7E5A89EF"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1.40</w:t>
            </w:r>
            <w:r w:rsidRPr="0049376D">
              <w:rPr>
                <w:sz w:val="18"/>
                <w:szCs w:val="18"/>
                <w:vertAlign w:val="superscript"/>
                <w:lang w:val="en-US"/>
              </w:rPr>
              <w:t>a</w:t>
            </w:r>
          </w:p>
          <w:p w14:paraId="726A7F78" w14:textId="77777777" w:rsidR="00AC45FC" w:rsidRPr="0049376D" w:rsidRDefault="00AC45FC" w:rsidP="00AC45FC">
            <w:pPr>
              <w:pStyle w:val="Corpo"/>
              <w:spacing w:line="360" w:lineRule="auto"/>
              <w:jc w:val="both"/>
              <w:rPr>
                <w:sz w:val="18"/>
                <w:szCs w:val="18"/>
              </w:rPr>
            </w:pPr>
            <w:r w:rsidRPr="0049376D">
              <w:rPr>
                <w:sz w:val="18"/>
                <w:szCs w:val="18"/>
                <w:lang w:val="en-US"/>
              </w:rPr>
              <w:t>(0.06)</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7AA9234A" w14:textId="77777777" w:rsidR="00AC45FC" w:rsidRPr="0049376D" w:rsidRDefault="00AC45FC" w:rsidP="00AC45FC">
            <w:pPr>
              <w:pStyle w:val="Corpo"/>
              <w:spacing w:line="360" w:lineRule="auto"/>
              <w:jc w:val="both"/>
              <w:rPr>
                <w:sz w:val="18"/>
                <w:szCs w:val="18"/>
                <w:vertAlign w:val="superscript"/>
              </w:rPr>
            </w:pPr>
            <w:r w:rsidRPr="0049376D">
              <w:rPr>
                <w:sz w:val="18"/>
                <w:szCs w:val="18"/>
                <w:lang w:val="en-US"/>
              </w:rPr>
              <w:t>0.33</w:t>
            </w:r>
            <w:r w:rsidRPr="0049376D">
              <w:rPr>
                <w:sz w:val="18"/>
                <w:szCs w:val="18"/>
                <w:vertAlign w:val="superscript"/>
                <w:lang w:val="en-US"/>
              </w:rPr>
              <w:t>c</w:t>
            </w:r>
          </w:p>
          <w:p w14:paraId="45BBC219" w14:textId="77777777" w:rsidR="00AC45FC" w:rsidRPr="0049376D" w:rsidRDefault="00AC45FC" w:rsidP="00AC45FC">
            <w:pPr>
              <w:pStyle w:val="Corpo"/>
              <w:spacing w:line="360" w:lineRule="auto"/>
              <w:jc w:val="both"/>
              <w:rPr>
                <w:sz w:val="18"/>
                <w:szCs w:val="18"/>
              </w:rPr>
            </w:pPr>
            <w:r w:rsidRPr="0049376D">
              <w:rPr>
                <w:sz w:val="18"/>
                <w:szCs w:val="18"/>
                <w:lang w:val="en-US"/>
              </w:rPr>
              <w:t>(0.03)</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4F12086E" w14:textId="77777777" w:rsidR="00AC45FC" w:rsidRPr="0049376D" w:rsidRDefault="00AC45FC" w:rsidP="00AC45FC">
            <w:pPr>
              <w:pStyle w:val="Corpo"/>
              <w:spacing w:line="360" w:lineRule="auto"/>
              <w:jc w:val="both"/>
              <w:rPr>
                <w:sz w:val="18"/>
                <w:szCs w:val="18"/>
              </w:rPr>
            </w:pPr>
            <w:r w:rsidRPr="0049376D">
              <w:rPr>
                <w:sz w:val="18"/>
                <w:szCs w:val="18"/>
                <w:lang w:val="en-US"/>
              </w:rPr>
              <w:t>0.77</w:t>
            </w:r>
          </w:p>
          <w:p w14:paraId="01DA4B84" w14:textId="77777777" w:rsidR="00AC45FC" w:rsidRPr="0049376D" w:rsidRDefault="00AC45FC" w:rsidP="00AC45FC">
            <w:pPr>
              <w:pStyle w:val="Corpo"/>
              <w:spacing w:line="360" w:lineRule="auto"/>
              <w:jc w:val="both"/>
              <w:rPr>
                <w:sz w:val="18"/>
                <w:szCs w:val="18"/>
              </w:rPr>
            </w:pPr>
            <w:r w:rsidRPr="0049376D">
              <w:rPr>
                <w:sz w:val="18"/>
                <w:szCs w:val="18"/>
                <w:lang w:val="en-US"/>
              </w:rPr>
              <w:t>(0.02)</w:t>
            </w:r>
          </w:p>
        </w:tc>
      </w:tr>
    </w:tbl>
    <w:p w14:paraId="641B1AE5" w14:textId="180D3A92" w:rsidR="00AC45FC" w:rsidRDefault="00AC45FC" w:rsidP="00AC45FC">
      <w:pPr>
        <w:jc w:val="both"/>
      </w:pPr>
      <w:r>
        <w:t>Nota. Dentro de cada sección de línea o columna, las medias con letras distintas son significativamente diferentes a p &lt;0,05 (Diferencia mínima significativa).</w:t>
      </w:r>
    </w:p>
    <w:p w14:paraId="0175BAC2" w14:textId="48F81636" w:rsidR="00AC45FC" w:rsidRDefault="00AC45FC" w:rsidP="00AC45FC">
      <w:pPr>
        <w:jc w:val="both"/>
      </w:pPr>
      <w:r>
        <w:t>Analizando esta interacción desde otra perspectiva, observamos que la atribución de culpa a las víctimas en la condición de violencia contra la mujer era mayor que en las otras situaciones. Se atribuyó más culpa cuando el objetivo de la violencia era una mujer que en la condición de control (b = 0,85 , SE = 0,14, p = .001, d = 1,15), que en la condición de negro (b = 0,84, SE = 0,14, p = .001, d =1,14) y que la condición de gay (b = 0,10, SE = 0,14, p = .001, d = 1,27). Por el contrario, los participantes percibieron menos violencia sistémica cuando la víctima era una mujer que en la condición de control (b = -0,78, SE = 0,15, p = .001, d = -0,96), en la condición negr</w:t>
      </w:r>
      <w:r w:rsidR="0049376D">
        <w:t>o</w:t>
      </w:r>
      <w:r>
        <w:t xml:space="preserve"> (b = -0,65, SE = 0,15, p = .001, d = -0,39) y en la condición gay (b = -0,83, SE = 0,15, p = .001, d = -1,00). La culpabilidad del agresor fue significativamente menor en la condición de negro que en la condición de control (b </w:t>
      </w:r>
      <w:r>
        <w:lastRenderedPageBreak/>
        <w:t>= 0,37, SE = 0,09, p= .001, d = -0,84), gay (b = 0,32, SE = 0,09, p= .001, d = -0,73) y mujer (b = 0,22, SE = 0,09, p = .001, d = - 0,50). La culpabilidad del agresor fue marginalmente menor cuando el objetivo era una mujer que en la condición de control (b = -0,15, SE = 0,09, p = .09, d = 0,34. Por último, la interacción de tres vías entre el tipo de culpa, el objetivo y el enfoque de la opinión de los participantes no fue significativa, F(6, 418) = 1,17, p = .32, η² = 0,02.</w:t>
      </w:r>
    </w:p>
    <w:p w14:paraId="1C8A4F43" w14:textId="77777777" w:rsidR="00AC45FC" w:rsidRDefault="00AC45FC" w:rsidP="00AC45FC">
      <w:pPr>
        <w:jc w:val="both"/>
      </w:pPr>
      <w:r>
        <w:t>Discusión</w:t>
      </w:r>
    </w:p>
    <w:p w14:paraId="010F8C52" w14:textId="77777777" w:rsidR="00AC45FC" w:rsidRDefault="00AC45FC" w:rsidP="00AC45FC">
      <w:pPr>
        <w:jc w:val="both"/>
      </w:pPr>
      <w:r>
        <w:t>En conjunto, los resultados aquí obtenidos corroboran los del Estudio 1. Los participantes percibían la violencia como algo sistémico más que como algo que culpaba a la víctima; y culpaban más a la víctima que al autor de la violencia. Además, el Estudio 2 fue más allá al mostrar que los participantes explican la violencia de acuerdo con el grupo objetivo de la misma y con el enfoque de su opinión (personal frente a social). Culpaban más a las mujeres de su victimización que a los agresores y tendían a negar la responsabilidad de los agresores en la violencia hacia los negros. Cuando los participantes respondieron a lo que piensa la sociedad, culparon menos al autor de la violencia contra las personas negras.</w:t>
      </w:r>
    </w:p>
    <w:p w14:paraId="4C86CFA3" w14:textId="77777777" w:rsidR="00AC45FC" w:rsidRDefault="00AC45FC" w:rsidP="00AC45FC">
      <w:pPr>
        <w:jc w:val="both"/>
      </w:pPr>
      <w:r>
        <w:t>Discusión general</w:t>
      </w:r>
    </w:p>
    <w:p w14:paraId="6AD877FE" w14:textId="77777777" w:rsidR="00AC45FC" w:rsidRDefault="00AC45FC" w:rsidP="00AC45FC">
      <w:pPr>
        <w:jc w:val="both"/>
      </w:pPr>
      <w:r>
        <w:tab/>
        <w:t>En dos estudios manipulamos el grupo objetivo de la violencia y pedimos a los participantes brasileños que indicaran las razones de la violencia en Brasil. Los resultados fueron consistentes entre los dos experimentos, ya que los participantes evocaron elementos que presentaban la violencia como sistémica, seguida de la culpabilización de las víctimas y, la culpabilización del agresor. Por lo tanto, la percepción de la violencia sistémica fue la más evocada para explicar la violencia contra cada categoría de víctimas. Esto sugiere que los participantes creen principalmente que la violencia es normativa, al menos a nivel descriptivo. Además, como preveíamos, los participantes evocaron las razones de la violencia según el grupo de víctimas. En concreto, responsabilizaron más a las mujeres de la violencia que sufren y culparon menos al agresor cuando la víctima era una persona negra, mientras que no distinguieron un patrón específico de explicación cuando la víctima era un individuo gay. Esta tendencia se produjo con mayor intensidad en el Estudio 2, especialmente cuando se pidió a los participantes que respondieran como pensaba la sociedad. En resumen, los participantes consideraron principalmente que la violencia en Brasil es un fenómeno característico de la sociedad brasileña, lo que probablemente funciona como una forma de percibirla como inevitable. En la situación específica de las mujeres, culpaban a la propia víctima. Cuando era contra los negros, la responsabilidad no se atribuía a los agresores.</w:t>
      </w:r>
    </w:p>
    <w:p w14:paraId="67AA881A" w14:textId="0D803BD2" w:rsidR="00AC45FC" w:rsidRDefault="00AC45FC" w:rsidP="00AC45FC">
      <w:pPr>
        <w:jc w:val="both"/>
      </w:pPr>
      <w:r>
        <w:t xml:space="preserve">           Nuestra interpretación es que la violencia no se dirige a individuos al azar, sino a objetivos específicos, normalmente percibidos como minorías. Esta interpretación sigue la literatura que describe la violencia como una forma dramática de discriminación (Pereira et al., 2010). De hecho, además de la elevada tasa de violencia dirigida a personas negras, mujeres e individuos homosexuales, la forma en que la sociedad percibe y trata esta violencia puede favorecer su perpetuación. Los resultados de los dos estudios sugieren que una de estas formas de perpetuación puede reflejarse en las evocaciones que hacen los participantes de las razones de la violencia, que pueden entenderse como diferentes formas de justificar el sistema y mantener el statu quo (véase Jost y Banaji, 1994). En consecuencia, las justificaciones de la violencia también pueden entenderse como ejemplos de legitimación de la dominación. Kunst et al. (2017), por ejemplo, encontraron en </w:t>
      </w:r>
      <w:r>
        <w:lastRenderedPageBreak/>
        <w:t>varios países que la orientación de la dominación social tiene un papel central en la relación entre la desigualdad social y la violencia contra las minorías sociales.</w:t>
      </w:r>
    </w:p>
    <w:p w14:paraId="74D90991" w14:textId="77777777" w:rsidR="00AC45FC" w:rsidRDefault="00AC45FC" w:rsidP="00AC45FC">
      <w:pPr>
        <w:jc w:val="both"/>
      </w:pPr>
      <w:r>
        <w:t>Nuestros resultados tienen varias implicaciones teóricas y prácticas interesantes para los estudios sobre los factores que legitiman las desigualdades sociales, especialmente la investigación y la teorización sobre la motivación de las personas para legitimar la forma en que está organizada la sociedad (por ejemplo, Jost y Banaji, 1994). Aquí introducimos una innovación en este campo de estudio al analizar la legitimación de la violencia como ejemplo de la tendencia de las personas a justificar el sistema. Nuestros resultados sirven como evidencia experimental inicial de que las personas evocan elementos que justifican la violencia.</w:t>
      </w:r>
    </w:p>
    <w:p w14:paraId="4550EC66" w14:textId="77777777" w:rsidR="00AC45FC" w:rsidRDefault="00AC45FC" w:rsidP="00AC45FC">
      <w:pPr>
        <w:jc w:val="both"/>
      </w:pPr>
      <w:r>
        <w:tab/>
        <w:t>Los resultados también aportan una nueva perspectiva a la investigación sobre la victimización secundaria. De hecho, además de sufrir la violencia contra sí mismos, algunos grupos sociales son visiblemente culpables de su propio sufrimiento. Este trabajo muestra que la gente lo hace abiertamente, especialmente contra las mujeres. De hecho, aunque el fenómeno de la culpabilización de las víctimas está presente en todos los contextos estudiados, en el contexto en el que las víctimas eran mujeres, este fenómeno resultó ser más fuerte que en las demás situaciones. Esta tendencia ya se ha observado en otros estudios que han mostrado que las personas perciben a las mujeres como culpables de su propio sufrimiento (por ejemplo, Felson y Palmore, 2018; Bothamley y Tully, 2018; Canto et al., 2017). Esta mayor tendencia a percibir a las mujeres como responsables de su situación puede estar relacionada con las ideologías sexistas que impregnan las representaciones que las personas tienen sobre las mujeres, que se reflejan en la cultura del honor (por ejemplo, Canto et al., 2017), los mitos de la violación (por ejemplo, Shaw et al., 2017), los roles de género (por ejemplo, Bothamley &amp; Tully, 2018) y la ruptura de los patrones patriarcales establecidos (por ejemplo, Baldry et al., 2015). Nuestros resultados también pueden contribuir a la comprensión del impacto social de estas representaciones, centrándose en la necesidad de tener en cuenta la tendencia de las personas a legitimar la situación social de las mujeres en situaciones de violencia, culpándolas de su victimización.</w:t>
      </w:r>
    </w:p>
    <w:p w14:paraId="4C89CE1C" w14:textId="77777777" w:rsidR="00AC45FC" w:rsidRDefault="00AC45FC" w:rsidP="00AC45FC">
      <w:pPr>
        <w:jc w:val="both"/>
      </w:pPr>
      <w:r>
        <w:tab/>
        <w:t>Quizás el resultado más dramático es la menor culpabilización del agresor cuando la víctima era negra. Como se destacó en el Estudio 1, este resultado corrobora los estudios que han indicado que cuando la víctima es negra, la tolerancia a la violencia policial es generalizada y ampliamente tolerada en varios contextos culturales (Johnson &amp; Lecci, 2020; Lima, et al., 2018; Silva et. al., 2018). Aunque no manipulamos la pertenencia al grupo de los agresores, este estudio dilucida este fenómeno al mostrar que la legitimación de la violencia contra los negros puede ir más allá de los contextos policiales, reflejando una motivación general en las personas para minimizar la responsabilidad de los agresores por su conducta de abuso. Esta motivación ya ha sido descrita en estudios sobre la violencia policial contra los negros (por ejemplo, Johnson y Lecci, 2020), pero aquí documentamos por primera vez la presencia de una inhibición en la evocación que lleva a las personas a absolver a los autores de actos agresivos contra individuos negros. Esto puede indicar no sólo la tolerancia de la violencia contra las personas negras, sino también la aceptación de la absolución de los agresores.</w:t>
      </w:r>
    </w:p>
    <w:p w14:paraId="6E068E22" w14:textId="7FE1F82A" w:rsidR="001B2440" w:rsidRDefault="00AC45FC" w:rsidP="00AC45FC">
      <w:pPr>
        <w:jc w:val="both"/>
      </w:pPr>
      <w:r>
        <w:tab/>
        <w:t xml:space="preserve">Aunque no pudimos comprobar ningún patrón específico de justificación de la violencia contra los individuos homosexuales, encontramos que los participantes tendían a explicar este tipo de violencia evocando el mismo patrón de motivos atribuidos a la violencia en general. Como </w:t>
      </w:r>
      <w:r>
        <w:lastRenderedPageBreak/>
        <w:t>demostraron Banhs y Branscombe (2011), la legitimación de la discriminación contra los homosexuales aumenta la probabilidad de que los hombres heterosexuales se impliquen en agresiones verbales, y el efecto de legitimar el "golpeo a los homosexuales" está mediado por una menor culpabilidad colectiva. Además, Bahns y Crandall (2013) se preguntaron si los heterosexuales que respaldan la desigualdad social presentan una mayor discriminación contra los individuos homosexuales cuando los perciben como una amenaza para la jerarquía social. Descubrieron que las ideologías que legitiman la prevalencia de la jerarquía de estatus, en la que los heterosexuales tienen ventaja sobre los homosexuales, permiten la persistencia de los prejuicios y la discriminación contra los individuos homosexuales. Además, las creencias sobre la desigualdad social fueron utilizadas por los participantes heterosexuales para legitimar la discriminación contra los homosexuales cuando las posiciones de estatus entre individuos heterosexuales y homosexuales se ven amenazadas.</w:t>
      </w:r>
    </w:p>
    <w:p w14:paraId="1CA7A3C7" w14:textId="77777777" w:rsidR="00AC45FC" w:rsidRDefault="00AC45FC" w:rsidP="00AC45FC">
      <w:pPr>
        <w:jc w:val="both"/>
      </w:pPr>
      <w:r>
        <w:t xml:space="preserve">Aunque los tres tipos de culpa son frecuentes en la condición en la que el objetivo de la violencia es un individuo gay, no pudimos identificar los contenidos más distintivos de las explicaciones de la violencia en esta condición. Por lo tanto, este es un aspecto que merece ser estudiado mejor en el futuro, quizás centrándose específicamente en la violencia homofóbica. </w:t>
      </w:r>
    </w:p>
    <w:p w14:paraId="1AFA50A8" w14:textId="7881808F" w:rsidR="00AC45FC" w:rsidRDefault="00AC45FC" w:rsidP="0014444B">
      <w:pPr>
        <w:spacing w:line="276" w:lineRule="auto"/>
        <w:jc w:val="both"/>
      </w:pPr>
      <w:r>
        <w:tab/>
        <w:t>Finalmente, a pesar de estas limitaciones, la presente investigación nos permite ofrecer un primer análisis en el campo de la psicología social sobre la legitimación de la violencia en Brasil, un contexto en el que este tema es uno de los mayores problemas sociales actuales, con drásticas repercusiones en la calidad de la democracia y de la vida de los miembros de grupos minoritarios. Los resultados encontrados arrojan luz sobre los procesos de legitimación de las desigualdades sociales, mostrando que las personas evocan elementos que les permiten culpar al sistema social y a la víctima por la agresión sufrida, especialmente en el caso de la violencia contra las mujeres, y culpan al agresor cuando el objetivo es la población negra.</w:t>
      </w:r>
    </w:p>
    <w:p w14:paraId="48618A98" w14:textId="77777777" w:rsidR="0014444B" w:rsidRPr="0014444B" w:rsidRDefault="0014444B" w:rsidP="0014444B">
      <w:pPr>
        <w:pStyle w:val="Corpo"/>
        <w:spacing w:line="276" w:lineRule="auto"/>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References</w:t>
      </w:r>
    </w:p>
    <w:p w14:paraId="610EB472"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Abad-Merino, S., Dovidio, J. F., Tabernero, C. (2018). The systematic study of how subtle forms of bias related to prosocial behaviour operate in racial and gender relations. Theory &amp; Psychology. https://doi.org/10.1177/0959354317745588 </w:t>
      </w:r>
    </w:p>
    <w:p w14:paraId="0C2D6158"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Aguiar, P., Vala, J., Correia, I., &amp; Pereira, C. (2008). Justice in our world and in others' world: Belief in a just world and reactions to victims. Social Justice Research, 21, 50–68. https://doi.org/10.1007/s11211-007-0059-3. </w:t>
      </w:r>
    </w:p>
    <w:p w14:paraId="43FC1DF9" w14:textId="5F9F7509"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val="en-US" w:eastAsia="en-US"/>
          <w14:textOutline w14:w="0" w14:cap="rnd" w14:cmpd="sng" w14:algn="ctr">
            <w14:noFill/>
            <w14:prstDash w14:val="solid"/>
            <w14:bevel/>
          </w14:textOutline>
        </w:rPr>
        <w:t>Alvaredo, F., Chancel, L., Piketty, T., Saez, E., Zucman, G. (2018).</w:t>
      </w:r>
      <w:r w:rsidRPr="0014444B">
        <w:rPr>
          <w:rFonts w:asciiTheme="minorHAnsi" w:eastAsiaTheme="minorHAnsi" w:hAnsiTheme="minorHAnsi" w:cstheme="minorBidi"/>
          <w:color w:val="auto"/>
          <w:sz w:val="22"/>
          <w:szCs w:val="22"/>
          <w:bdr w:val="none" w:sz="0" w:space="0" w:color="auto"/>
          <w:lang w:val="en-US" w:eastAsia="en-US"/>
          <w14:textOutline w14:w="0" w14:cap="rnd" w14:cmpd="sng" w14:algn="ctr">
            <w14:noFill/>
            <w14:prstDash w14:val="solid"/>
            <w14:bevel/>
          </w14:textOutline>
        </w:rPr>
        <w:t xml:space="preserve"> </w:t>
      </w: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World Inequality Report. </w:t>
      </w:r>
      <w:hyperlink r:id="rId4"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5"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https://wir2018.wid.world/files/download/wir2018-summary-english.pdf</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Acessed 22 May 2019.</w:t>
      </w:r>
    </w:p>
    <w:p w14:paraId="3A16AB5B"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Bahns, A. &amp; Branscombe, N. (2011). Effects of legitimizing discrimination against homosexuals on gay bashing. European Journal of Social Psychology, 41, 388-396.</w:t>
      </w:r>
      <w:hyperlink r:id="rId6"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7"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https://doi.org/10.1002/ejsp.784</w:t>
        </w:r>
      </w:hyperlink>
    </w:p>
    <w:p w14:paraId="12B889FE"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Bahns, A. &amp; Crandall, C. (2013). The opposite of backlash: High-SDO people show enhanced tolerance when gay people pose little threat. European Journal of Social Psychology, 43,</w:t>
      </w:r>
      <w:hyperlink r:id="rId8"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9"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https://doi.org/10.1002/ejsp.1947</w:t>
        </w:r>
      </w:hyperlink>
    </w:p>
    <w:p w14:paraId="4C929723"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lastRenderedPageBreak/>
        <w:t>Baldry, A. C., Pacilli, M. G., &amp; Pagliaro, S. (2015). She’s Not a Person . . . She’s Just a Woman! Infra-Humanization and Intimate Partner Violence. Journal of Interpersonal Violence, 30(9), 1567–1582.</w:t>
      </w:r>
      <w:hyperlink r:id="rId10"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11"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https://doi.org/10.1177/0886260514540801</w:t>
        </w:r>
      </w:hyperlink>
    </w:p>
    <w:p w14:paraId="2EBCE698"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Bothamley, S., &amp; Tully, R. J. (2018). Understanding revenge pornography: Public perceptions of revenge pornography and victim blaming. Journal of Aggression, Conflict and Peace Research, 10(1), 1-10.</w:t>
      </w:r>
      <w:hyperlink r:id="rId12"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https://doi.org/10.1108/JACPR-09-2016-0253</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t>
      </w:r>
    </w:p>
    <w:p w14:paraId="1FE716A2"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Camino, L., Silva, P., Machado, A., &amp; Pereira, C. (2001). A face oculta do racismo no Brasil: Uma análise psicossociológica [The hidden face of racism in Brazil: A psycho-sociological analysis]. Revista Psicologia Política, 1, 13–36. Recovered from http://www.fafic h.ufmg.br/~psicopol/psicopol/artigos_pub/artigo_4.pdf. </w:t>
      </w:r>
    </w:p>
    <w:p w14:paraId="7F5C0E47"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Campbell, R., &amp; Raja, S. (1999). The secondary victimization of rape victims: Insights from mental health professionals who treat survivors of violence. Violence and Victims, 14, 261–275. http//doi.org/10.1891/0886-6708.14.3.261.</w:t>
      </w:r>
    </w:p>
    <w:p w14:paraId="099CBA4C"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Canto, J., Perles, F. &amp; Martín, J. S. (2017). Culture of honour and the blaming of women in cases of rape / La cultura del honor y la inculpación de la mujer en casos de violación, Revista de Psicología Social, 32:1, 80-107, http//doi.org/10.1080/02134748.2016.1250488. </w:t>
      </w:r>
    </w:p>
    <w:p w14:paraId="5CA3BCDD"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Carroll, A. (2016). State-Sponsored homofobia: A world survey of sexual orientations laws: criminalisation, protection and recognition. 11th Edition.</w:t>
      </w:r>
      <w:hyperlink r:id="rId13"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14"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https://ilga.org/sites/default/files/02_ILGA_State_Sponsored_Homophobia_2016_ENG_WEB_150516.pdf</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Acessed 22 May 2019.</w:t>
      </w:r>
    </w:p>
    <w:p w14:paraId="10916086"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Correll, J., &amp; Hudson, S. M., Guillermo, S. &amp; Ma, D. S. (2014). The Police Officer's Dilemma: A Decade of Research on Racial Bias in the Decision to Shoot. Social and Personality Psychology Compass, 8/5. 201-213. http//</w:t>
      </w:r>
      <w:hyperlink r:id="rId15"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doi.org/10.1111/spc3.12099</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t>
      </w:r>
    </w:p>
    <w:p w14:paraId="3430C049"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Costa-Lopes, R., Dovidio, J. F., Pereira, C. &amp; Jost, J. T (2013). Social psychological perspectives on the legitimation of social inequality: Past, present and future. European Journal of Social Psychology, 43(4), 229-237. https://doi.org/10.1002/ejsp.1966. </w:t>
      </w:r>
    </w:p>
    <w:p w14:paraId="4D4D6E8F"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Dalbert, C. (2009). Belief in a just world. In Leary, M. R. &amp; Hoyle, R. H. (Eds.), Handbook of Individual Differences in Social Behavior (pp. 288-297). New York: Guilford Publications. </w:t>
      </w:r>
    </w:p>
    <w:p w14:paraId="2E974D13"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Devine, P. G. (1989). Stereotypes and prejudice: Their automatic and controlled components. Journal of Person- ality and Social Psychology, 56(1), 1–18. https://doi. org/10.1037//0022-3514.56.1.5. </w:t>
      </w:r>
    </w:p>
    <w:p w14:paraId="7D74A5AB"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Droogendyk, L. &amp; Wright, S. (2014). Perceptions of Interpersonal Versus Intergroup Violence: The Case of Sexual Assault. PloS ONE, 9(11).</w:t>
      </w:r>
      <w:hyperlink r:id="rId16"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https://doi.org/10.1371/journal.pone.0112365</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t>
      </w:r>
    </w:p>
    <w:p w14:paraId="7F04942B"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Evoy, C. M. &amp; Hideg, C. (2017). Global violent deaths - Time to decide. Small Arms Survey. Graduate Institute of International and Development Studies. Switzerland.</w:t>
      </w:r>
      <w:hyperlink r:id="rId17"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18"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http://www.smallarmssurvey.org/fileadmin/docs/U-Reports/SAS-Report-GVD2017.pdf</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Acessed 22 May 2019.</w:t>
      </w:r>
    </w:p>
    <w:p w14:paraId="6DB529FB"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Felson, R. B., &amp; Palmore, C. (2018). Biases in blaming victims of rape and other crime. Psychology of Violence, 8(3), 390-399. http://doi.org/110.1037/vio0000168.</w:t>
      </w:r>
    </w:p>
    <w:p w14:paraId="5A1885D5"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Ford, T. M., Liwag-McLamb, M. G., &amp; Foley, L. A. (1998). Perceptions of rape based on sex and sexual orientation of the victim. Journal of Social Behaviour and Personality, 13. 253- 263. Recovered from</w:t>
      </w:r>
      <w:hyperlink r:id="rId19"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20"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https://psycnet.apa.org/record/1998-10358-004</w:t>
        </w:r>
      </w:hyperlink>
    </w:p>
    <w:p w14:paraId="79D31BC2" w14:textId="77777777" w:rsidR="0014444B" w:rsidRPr="0014444B" w:rsidRDefault="0014444B" w:rsidP="0014444B">
      <w:pPr>
        <w:pStyle w:val="Corpo"/>
        <w:shd w:val="clear" w:color="auto" w:fill="FBFBFB"/>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lastRenderedPageBreak/>
        <w:t>Howard, J. (1984b). Societal influences on attribution: Blaming some victims more than others. Journal of Personality and Social Psychology, 47, 494–505.</w:t>
      </w:r>
      <w:hyperlink r:id="rId21"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22"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https://doi.org/10.1037/0022-3514.47.3.494</w:t>
        </w:r>
      </w:hyperlink>
    </w:p>
    <w:p w14:paraId="32DCEA72"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Johnson, J., &amp; Lecci, L. (2020). How caring is “nullified”: Strong racial identity eliminates White participant empathy effects when police shoot an unarmed Black male. Psychology of Violence, 10(1), 58–67.</w:t>
      </w:r>
      <w:hyperlink r:id="rId23"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24"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https://doi.org/10.1037/vio0000228</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t>
      </w:r>
    </w:p>
    <w:p w14:paraId="601AF2C0"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Jolley, D., Douglas, K. M., &amp; Sutton, R. M. (2018). Blaming a few bad apples to save a threatened barrel: The system-justifying function of conspiracy theories. Political Psychology, 39, 465– 478.</w:t>
      </w:r>
      <w:hyperlink r:id="rId25"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26"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https://doi.org/10.1111/pops.12404</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t>
      </w:r>
    </w:p>
    <w:p w14:paraId="04DF99B4"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Jost, J. T. (2019). A quarter century of system justification theory: Questions, answers, criticisms, and societal applications. British Journal of Social Psychology. 58. http://doi: 10.1111/bjso.12297.</w:t>
      </w:r>
    </w:p>
    <w:p w14:paraId="11183BBA"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Jost, J. T., Burgess, D., &amp; Mosso, C. (2001). Conflicts of legitimation among self, group, and system: The integrative potential of system justification theory. In Jost, J. T. &amp; Major, B. (Eds.), The psychology of legitimacy: Emerging perspectives on ideology, justice, and intergroup relations (pp. 363–388). New York, NY: Cambridge University Press. </w:t>
      </w:r>
    </w:p>
    <w:p w14:paraId="69B7FDEC"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Jost, J. T., &amp; Banaji, M. R. (1994). The role of stereotyping in system-justification and the production of false consciousness. British Journal of Social Psychology, 33, 1-27. https://doi.org/10.1111/j.2044-8309.1994.tb01008.x.</w:t>
      </w:r>
    </w:p>
    <w:p w14:paraId="52953F25"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Jost, J. T., &amp; Major, B. (2001). Emerging perspectives on the psychology of legitimacy. In Jost, J. T. &amp; Major, B. (Eds.), The psychology of legitimacy: Emerging perspective on ideology, justice, and intergroup relations (pp. 3–30). Cambridge: Cambridge University Press.</w:t>
      </w:r>
    </w:p>
    <w:p w14:paraId="42A4444F"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Jost, J. T., &amp; van der Toorn, J. (2012). System justification theory. In P.A.M. van Lange, A. W. Kruglanski, &amp; E. T. Higgins (Eds.), Handbook of theories of social psychology (pp. 313–343) London, UK: Sage. </w:t>
      </w:r>
    </w:p>
    <w:p w14:paraId="32DD6AAF"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Kunst, J. R., Fischer, R., Sidanius, J., &amp; Thomsen, L. (2017). Preferences for group dominance track and mediate the effects of macro-level social inequality and violence across societies. Proceedings of the National Academy of Sciences, 114 (21). https://doi.org/114. 10.1073/pnas.1616572114. </w:t>
      </w:r>
    </w:p>
    <w:p w14:paraId="73528932"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Lerner, M. J. (1980). Belief in a just world: A fundamental delusion. New York: Plenum Publishing Corporation. </w:t>
      </w:r>
    </w:p>
    <w:p w14:paraId="40664A43"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Lima, M. &amp; Araujo, C. &amp; Poderoso, E. (2018). The Decision to Shoot Black Suspects in Brazil: The Police Officer’s Dilemma. Race and Social Problems,10, 101-112. doi: 10.1007/s12552-018-9225-5. </w:t>
      </w:r>
    </w:p>
    <w:p w14:paraId="2F3BB300"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Lima-Nunes, A., Pereira, C. R., &amp; Correia, I. (2013). Restricting the scope of justice to justify discrimination: The role played by justice perceptions in discrimination against immigrants. European Journal of Social Psychology, 43, 627–636. http://dx.</w:t>
      </w:r>
      <w:hyperlink r:id="rId27"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28"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doi.org/10.1002/ejsp.1981</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t>
      </w:r>
    </w:p>
    <w:p w14:paraId="204EC57E"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Lima, T. J. S., Pereira, C. R., Torres, A. R., Souza, L. E., &amp; Albuquerque, I. M. (2019). Black people are convicted more for being black than for being poor: The role of social norms and cultural prejudice on biased racial judgments. PLOS ONE, 14(9), e0222874. https://doi.org/10.1371/journal.pone.0222874.</w:t>
      </w:r>
    </w:p>
    <w:p w14:paraId="08FB38FC"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lastRenderedPageBreak/>
        <w:t>Pereira, C., Vala, J. &amp; Costa Lopes, R. (2010). From Prejudice to Discrimination: the justifying role of perceived threat in discrimination against immigrants. European Journal of Social Psychology, 40, 1231-1250. https://doi.org/10.1002/ejsp.718.</w:t>
      </w:r>
    </w:p>
    <w:p w14:paraId="28C5D698"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Ryan, W. (1971/1976). Blaming the victim. New York: Vintage Books Edition.</w:t>
      </w:r>
    </w:p>
    <w:p w14:paraId="48C63DCA"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Shaw, J., Campbell, R., Cain, D., &amp; Feeney, H. (2017). Beyond surveys and scales: How rape myths manifest in sexual assault police records. Psychology of Violence, 7(4), 602-614, doi: http://doi.org/1 0.1 037/vio0000072</w:t>
      </w:r>
    </w:p>
    <w:p w14:paraId="783D4D8A"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Silva, K. C., &amp; Torres, A. R. R. &amp; Estramiana, J. A., Luque, A. &amp; Linhares, L. (2017). Racial discrimination and belief in a just world: Police violence against teenagers in Brazil. Journal of Experimental Social Psychology, 74, 317-327. https://doi.org/10.1016/j.jesp.2017.10.009. </w:t>
      </w:r>
    </w:p>
    <w:p w14:paraId="62D49B32"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Souza, E. D. J., Silva, J. P., &amp; Santos, C. (2015). Homofobia na Escola : As Representaçõesde Educadores. Temas Em Psicologia, 23, 635–647. http://doi.org/10.9788/TP2015.3-09</w:t>
      </w:r>
    </w:p>
    <w:p w14:paraId="1152B4F1"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val="en-US"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Tyler, T. (2006). Psychological Perspectives on Legitimacy and Legitimation. </w:t>
      </w:r>
      <w:r w:rsidRPr="0014444B">
        <w:rPr>
          <w:rFonts w:asciiTheme="minorHAnsi" w:eastAsiaTheme="minorHAnsi" w:hAnsiTheme="minorHAnsi" w:cstheme="minorBidi"/>
          <w:color w:val="auto"/>
          <w:sz w:val="22"/>
          <w:szCs w:val="22"/>
          <w:bdr w:val="none" w:sz="0" w:space="0" w:color="auto"/>
          <w:lang w:val="en-US" w:eastAsia="en-US"/>
          <w14:textOutline w14:w="0" w14:cap="rnd" w14:cmpd="sng" w14:algn="ctr">
            <w14:noFill/>
            <w14:prstDash w14:val="solid"/>
            <w14:bevel/>
          </w14:textOutline>
        </w:rPr>
        <w:t>Annual review of psychology, 57, 375-400. http://doi.org/10.1146/annurev.psych.57.102904.190038</w:t>
      </w:r>
    </w:p>
    <w:p w14:paraId="2CF44AFB" w14:textId="2858541C"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val="en-US" w:eastAsia="en-US"/>
          <w14:textOutline w14:w="0" w14:cap="rnd" w14:cmpd="sng" w14:algn="ctr">
            <w14:noFill/>
            <w14:prstDash w14:val="solid"/>
            <w14:bevel/>
          </w14:textOutline>
        </w:rPr>
        <w:t>V</w:t>
      </w:r>
      <w:r w:rsidRPr="0014444B">
        <w:rPr>
          <w:rFonts w:asciiTheme="minorHAnsi" w:eastAsiaTheme="minorHAnsi" w:hAnsiTheme="minorHAnsi" w:cstheme="minorBidi"/>
          <w:color w:val="auto"/>
          <w:sz w:val="22"/>
          <w:szCs w:val="22"/>
          <w:bdr w:val="none" w:sz="0" w:space="0" w:color="auto"/>
          <w:lang w:val="en-US" w:eastAsia="en-US"/>
          <w14:textOutline w14:w="0" w14:cap="rnd" w14:cmpd="sng" w14:algn="ctr">
            <w14:noFill/>
            <w14:prstDash w14:val="solid"/>
            <w14:bevel/>
          </w14:textOutline>
        </w:rPr>
        <w:t xml:space="preserve">an der Toorn, J., &amp; Jost, J. (Eds.) (2014). </w:t>
      </w: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Special issue: Ideology and system justification processes. Group Processes and Intergroup Relations, 17(4).</w:t>
      </w:r>
    </w:p>
    <w:p w14:paraId="32ED5953" w14:textId="77777777" w:rsidR="0014444B" w:rsidRPr="0014444B" w:rsidRDefault="0014444B" w:rsidP="0014444B">
      <w:pPr>
        <w:pStyle w:val="Corpo"/>
        <w:shd w:val="clear" w:color="auto" w:fill="FFFFFF"/>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Wakelin, A., &amp; Long, K. M. (2003). Effects of victim gender and sexuality on attributions of blame to rape victims. Sex Roles, 49, 477-487. http://doi.org/10.1023/A:1025876522024</w:t>
      </w:r>
    </w:p>
    <w:p w14:paraId="56888C55"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World Health Organization (2009). Changing cultural and social norms that support violence.</w:t>
      </w:r>
      <w:hyperlink r:id="rId29"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hyperlink>
      <w:hyperlink r:id="rId30"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https://www.who.int/violence_injury_prevention/violence/norms.pdf</w:t>
        </w:r>
      </w:hyperlink>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Acessed 22 May 2019.</w:t>
      </w:r>
    </w:p>
    <w:p w14:paraId="4F7C8826" w14:textId="77777777" w:rsidR="0014444B" w:rsidRPr="0014444B" w:rsidRDefault="0014444B" w:rsidP="0014444B">
      <w:pPr>
        <w:pStyle w:val="Corpo"/>
        <w:spacing w:line="276" w:lineRule="auto"/>
        <w:ind w:left="560" w:hanging="280"/>
        <w:jc w:val="both"/>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 xml:space="preserve">Zhang, Z., &amp; Yuan, K.-H. (2018). Practical Statistical Power Analysis Using Webpower and R (Eds). Granger, IN: ISDSA Press. Recovered from </w:t>
      </w:r>
      <w:hyperlink r:id="rId31" w:history="1">
        <w:r w:rsidRPr="0014444B">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t>https://webpower.psychstat.org/wiki/models/index</w:t>
        </w:r>
      </w:hyperlink>
    </w:p>
    <w:p w14:paraId="1B2DD56E" w14:textId="77777777" w:rsidR="0014444B" w:rsidRPr="0014444B" w:rsidRDefault="0014444B" w:rsidP="0014444B">
      <w:pPr>
        <w:spacing w:line="276" w:lineRule="auto"/>
        <w:jc w:val="both"/>
        <w:rPr>
          <w:lang w:val="en-US"/>
        </w:rPr>
      </w:pPr>
    </w:p>
    <w:sectPr w:rsidR="0014444B" w:rsidRPr="001444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8C"/>
    <w:rsid w:val="0014444B"/>
    <w:rsid w:val="001B2440"/>
    <w:rsid w:val="0024607D"/>
    <w:rsid w:val="002B0B4C"/>
    <w:rsid w:val="003A247D"/>
    <w:rsid w:val="00437F1A"/>
    <w:rsid w:val="0049376D"/>
    <w:rsid w:val="004B0326"/>
    <w:rsid w:val="004B295A"/>
    <w:rsid w:val="005C7DEE"/>
    <w:rsid w:val="006678A2"/>
    <w:rsid w:val="007A7C6C"/>
    <w:rsid w:val="0087198C"/>
    <w:rsid w:val="00AB676A"/>
    <w:rsid w:val="00AC45FC"/>
    <w:rsid w:val="00AD2923"/>
    <w:rsid w:val="00E32843"/>
    <w:rsid w:val="00F55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2F54"/>
  <w15:chartTrackingRefBased/>
  <w15:docId w15:val="{F0C8E63D-AEE9-4C11-93D6-74D166F0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198C"/>
    <w:rPr>
      <w:color w:val="0563C1" w:themeColor="hyperlink"/>
      <w:u w:val="single"/>
    </w:rPr>
  </w:style>
  <w:style w:type="character" w:styleId="Mencinsinresolver">
    <w:name w:val="Unresolved Mention"/>
    <w:basedOn w:val="Fuentedeprrafopredeter"/>
    <w:uiPriority w:val="99"/>
    <w:semiHidden/>
    <w:unhideWhenUsed/>
    <w:rsid w:val="0087198C"/>
    <w:rPr>
      <w:color w:val="605E5C"/>
      <w:shd w:val="clear" w:color="auto" w:fill="E1DFDD"/>
    </w:rPr>
  </w:style>
  <w:style w:type="paragraph" w:customStyle="1" w:styleId="Corpo">
    <w:name w:val="Corpo"/>
    <w:rsid w:val="007A7C6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Nenhum">
    <w:name w:val="Nenhum"/>
    <w:rsid w:val="0014444B"/>
  </w:style>
  <w:style w:type="character" w:customStyle="1" w:styleId="Hyperlink0">
    <w:name w:val="Hyperlink.0"/>
    <w:basedOn w:val="Nenhum"/>
    <w:rsid w:val="0014444B"/>
    <w:rPr>
      <w:outline w:val="0"/>
      <w:color w:val="110807"/>
      <w:u w:color="110807"/>
      <w:lang w:val="en-US"/>
    </w:rPr>
  </w:style>
  <w:style w:type="character" w:customStyle="1" w:styleId="Hyperlink1">
    <w:name w:val="Hyperlink.1"/>
    <w:basedOn w:val="Nenhum"/>
    <w:rsid w:val="0014444B"/>
    <w:rPr>
      <w:outline w:val="0"/>
      <w:color w:val="110807"/>
      <w:u w:val="single" w:color="110807"/>
      <w:lang w:val="en-US"/>
    </w:rPr>
  </w:style>
  <w:style w:type="character" w:customStyle="1" w:styleId="Hyperlink2">
    <w:name w:val="Hyperlink.2"/>
    <w:basedOn w:val="Nenhum"/>
    <w:rsid w:val="0014444B"/>
    <w:rPr>
      <w:outline w:val="0"/>
      <w:color w:val="0000FF"/>
      <w:u w:val="single" w:color="0000FF"/>
      <w:lang w:val="en-US"/>
    </w:rPr>
  </w:style>
  <w:style w:type="character" w:customStyle="1" w:styleId="Hyperlink3">
    <w:name w:val="Hyperlink.3"/>
    <w:basedOn w:val="Nenhum"/>
    <w:rsid w:val="0014444B"/>
    <w:rPr>
      <w:outline w:val="0"/>
      <w:color w:val="0953C0"/>
      <w:u w:val="single" w:color="0953C0"/>
      <w:lang w:val="en-US"/>
    </w:rPr>
  </w:style>
  <w:style w:type="character" w:customStyle="1" w:styleId="Hyperlink4">
    <w:name w:val="Hyperlink.4"/>
    <w:basedOn w:val="Nenhum"/>
    <w:rsid w:val="0014444B"/>
    <w:rPr>
      <w:outline w:val="0"/>
      <w:color w:val="0000FF"/>
      <w:u w:val="single" w:color="0000FF"/>
      <w:shd w:val="clear" w:color="auto" w:fill="FFFFFF"/>
      <w:lang w:val="en-US"/>
    </w:rPr>
  </w:style>
  <w:style w:type="character" w:customStyle="1" w:styleId="Hyperlink5">
    <w:name w:val="Hyperlink.5"/>
    <w:basedOn w:val="Nenhum"/>
    <w:rsid w:val="0014444B"/>
    <w:rPr>
      <w:lang w:val="en-US"/>
    </w:rPr>
  </w:style>
  <w:style w:type="character" w:customStyle="1" w:styleId="Hyperlink6">
    <w:name w:val="Hyperlink.6"/>
    <w:basedOn w:val="Nenhum"/>
    <w:rsid w:val="0014444B"/>
    <w:rPr>
      <w:outline w:val="0"/>
      <w:color w:val="262626"/>
      <w:u w:color="262626"/>
      <w:lang w:val="en-US"/>
    </w:rPr>
  </w:style>
  <w:style w:type="character" w:customStyle="1" w:styleId="Hyperlink7">
    <w:name w:val="Hyperlink.7"/>
    <w:basedOn w:val="Nenhum"/>
    <w:rsid w:val="0014444B"/>
    <w:rPr>
      <w:outline w:val="0"/>
      <w:color w:val="2965A8"/>
      <w:u w:val="single" w:color="2965A8"/>
      <w:lang w:val="en-US"/>
    </w:rPr>
  </w:style>
  <w:style w:type="character" w:customStyle="1" w:styleId="Hyperlink8">
    <w:name w:val="Hyperlink.8"/>
    <w:basedOn w:val="Fuentedeprrafopredeter"/>
    <w:rsid w:val="0014444B"/>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ejsp.1947" TargetMode="External"/><Relationship Id="rId13" Type="http://schemas.openxmlformats.org/officeDocument/2006/relationships/hyperlink" Target="https://ilga.org/sites/default/files/02_ILGA_State_Sponsored_Homophobia_2016_ENG_WEB_150516.pdf" TargetMode="External"/><Relationship Id="rId18" Type="http://schemas.openxmlformats.org/officeDocument/2006/relationships/hyperlink" Target="http://www.smallarmssurvey.org/fileadmin/docs/U-Reports/SAS-Report-GVD2017.pdf" TargetMode="External"/><Relationship Id="rId26" Type="http://schemas.openxmlformats.org/officeDocument/2006/relationships/hyperlink" Target="https://doi.org/10.1111/pops.12404" TargetMode="External"/><Relationship Id="rId3" Type="http://schemas.openxmlformats.org/officeDocument/2006/relationships/webSettings" Target="webSettings.xml"/><Relationship Id="rId21" Type="http://schemas.openxmlformats.org/officeDocument/2006/relationships/hyperlink" Target="https://psycnet.apa.org/doi/10.1037/0022-3514.47.3.494" TargetMode="External"/><Relationship Id="rId7" Type="http://schemas.openxmlformats.org/officeDocument/2006/relationships/hyperlink" Target="https://doi.org/10.1002/ejsp.784" TargetMode="External"/><Relationship Id="rId12" Type="http://schemas.openxmlformats.org/officeDocument/2006/relationships/hyperlink" Target="https://doi.org/10.1108/JACPR-09-2016-0253" TargetMode="External"/><Relationship Id="rId17" Type="http://schemas.openxmlformats.org/officeDocument/2006/relationships/hyperlink" Target="http://www.smallarmssurvey.org/fileadmin/docs/U-Reports/SAS-Report-GVD2017.pdf" TargetMode="External"/><Relationship Id="rId25" Type="http://schemas.openxmlformats.org/officeDocument/2006/relationships/hyperlink" Target="https://doi.org/10.1111/pops.1240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371/journal.pone.0112365" TargetMode="External"/><Relationship Id="rId20" Type="http://schemas.openxmlformats.org/officeDocument/2006/relationships/hyperlink" Target="https://psycnet.apa.org/record/1998-10358-004" TargetMode="External"/><Relationship Id="rId29" Type="http://schemas.openxmlformats.org/officeDocument/2006/relationships/hyperlink" Target="https://www.who.int/violence_injury_prevention/violence/norms.pdf" TargetMode="External"/><Relationship Id="rId1" Type="http://schemas.openxmlformats.org/officeDocument/2006/relationships/styles" Target="styles.xml"/><Relationship Id="rId6" Type="http://schemas.openxmlformats.org/officeDocument/2006/relationships/hyperlink" Target="https://doi.org/10.1002/ejsp.784" TargetMode="External"/><Relationship Id="rId11" Type="http://schemas.openxmlformats.org/officeDocument/2006/relationships/hyperlink" Target="https://doi.org/10.1177/0886260514540801" TargetMode="External"/><Relationship Id="rId24" Type="http://schemas.openxmlformats.org/officeDocument/2006/relationships/hyperlink" Target="https://psycnet.apa.org/doi/10.1037/vio0000228" TargetMode="External"/><Relationship Id="rId32" Type="http://schemas.openxmlformats.org/officeDocument/2006/relationships/fontTable" Target="fontTable.xml"/><Relationship Id="rId5" Type="http://schemas.openxmlformats.org/officeDocument/2006/relationships/hyperlink" Target="https://wir2018.wid.world/files/download/wir2018-summary-english.pdf" TargetMode="External"/><Relationship Id="rId15" Type="http://schemas.openxmlformats.org/officeDocument/2006/relationships/hyperlink" Target="http://doi.org/10.1111/spc3.12099" TargetMode="External"/><Relationship Id="rId23" Type="http://schemas.openxmlformats.org/officeDocument/2006/relationships/hyperlink" Target="https://psycnet.apa.org/doi/10.1037/vio0000228" TargetMode="External"/><Relationship Id="rId28" Type="http://schemas.openxmlformats.org/officeDocument/2006/relationships/hyperlink" Target="http://doi.org/10.1002/ejsp.1981" TargetMode="External"/><Relationship Id="rId10" Type="http://schemas.openxmlformats.org/officeDocument/2006/relationships/hyperlink" Target="https://doi.org/10.1177/0886260514540801" TargetMode="External"/><Relationship Id="rId19" Type="http://schemas.openxmlformats.org/officeDocument/2006/relationships/hyperlink" Target="https://psycnet.apa.org/record/1998-10358-004" TargetMode="External"/><Relationship Id="rId31" Type="http://schemas.openxmlformats.org/officeDocument/2006/relationships/hyperlink" Target="https://webpower.psychstat.org/wiki/models/index" TargetMode="External"/><Relationship Id="rId4" Type="http://schemas.openxmlformats.org/officeDocument/2006/relationships/hyperlink" Target="https://wir2018.wid.world/files/download/wir2018-summary-english.pdf" TargetMode="External"/><Relationship Id="rId9" Type="http://schemas.openxmlformats.org/officeDocument/2006/relationships/hyperlink" Target="https://doi.org/10.1002/ejsp.1947" TargetMode="External"/><Relationship Id="rId14" Type="http://schemas.openxmlformats.org/officeDocument/2006/relationships/hyperlink" Target="https://ilga.org/sites/default/files/02_ILGA_State_Sponsored_Homophobia_2016_ENG_WEB_150516.pdf" TargetMode="External"/><Relationship Id="rId22" Type="http://schemas.openxmlformats.org/officeDocument/2006/relationships/hyperlink" Target="https://psycnet.apa.org/doi/10.1037/0022-3514.47.3.494" TargetMode="External"/><Relationship Id="rId27" Type="http://schemas.openxmlformats.org/officeDocument/2006/relationships/hyperlink" Target="http://doi.org/10.1002/ejsp.1981" TargetMode="External"/><Relationship Id="rId30" Type="http://schemas.openxmlformats.org/officeDocument/2006/relationships/hyperlink" Target="https://www.who.int/violence_injury_prevention/violence/norm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17</Pages>
  <Words>9069</Words>
  <Characters>49885</Characters>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2022-01-13T18:45:00Z</dcterms:created>
  <dcterms:modified xsi:type="dcterms:W3CDTF">2022-01-13T20:24:00Z</dcterms:modified>
</cp:coreProperties>
</file>