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5633D87F" w:rsidR="00742E4A" w:rsidRPr="004150CA" w:rsidRDefault="00722A5B" w:rsidP="002B04BE">
      <w:pPr>
        <w:pStyle w:val="Titulodeartculo"/>
        <w:rPr>
          <w:lang w:val="en-US"/>
        </w:rPr>
      </w:pPr>
      <w:r w:rsidRPr="00333677">
        <w:rPr>
          <w:lang w:val="en-US" w:eastAsia="en-US"/>
        </w:rPr>
        <w:drawing>
          <wp:anchor distT="0" distB="0" distL="114300" distR="114300" simplePos="0" relativeHeight="251664384" behindDoc="0" locked="0" layoutInCell="1" allowOverlap="1" wp14:anchorId="4437BD97" wp14:editId="0320DDE8">
            <wp:simplePos x="0" y="0"/>
            <wp:positionH relativeFrom="column">
              <wp:posOffset>3873500</wp:posOffset>
            </wp:positionH>
            <wp:positionV relativeFrom="paragraph">
              <wp:posOffset>307340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4150CA" w:rsidRPr="004150CA">
        <w:rPr>
          <w:lang w:val="en-US" w:eastAsia="en-US"/>
        </w:rPr>
        <w:t>Relation between the SOC model and depressive symptoms in the elderly</w:t>
      </w:r>
    </w:p>
    <w:p w14:paraId="07B1149B" w14:textId="5618C0E8" w:rsidR="008E17AF" w:rsidRPr="00E82CE6" w:rsidRDefault="008E17AF" w:rsidP="00C413D4">
      <w:pPr>
        <w:rPr>
          <w:b/>
          <w:lang w:val="en-US"/>
        </w:rPr>
      </w:pPr>
      <w:bookmarkStart w:id="0" w:name="_Hlk90834151"/>
      <w:bookmarkEnd w:id="0"/>
    </w:p>
    <w:p w14:paraId="7DE2414F" w14:textId="2E9D324A" w:rsidR="004B2E6E" w:rsidRPr="00BE7510" w:rsidRDefault="00BE7510" w:rsidP="00BE7510">
      <w:pPr>
        <w:pStyle w:val="Body"/>
        <w:jc w:val="both"/>
        <w:rPr>
          <w:b/>
          <w:bCs/>
          <w:color w:val="222222"/>
          <w:u w:color="222222"/>
          <w:lang w:val="pt-BR"/>
        </w:rPr>
      </w:pPr>
      <w:bookmarkStart w:id="1" w:name="_Hlk90835901"/>
      <w:r w:rsidRPr="00BE7510">
        <w:rPr>
          <w:b/>
          <w:bCs/>
          <w:color w:val="222222"/>
          <w:u w:color="222222"/>
          <w:lang w:val="pt-BR"/>
        </w:rPr>
        <w:t>Nathalya Cruz</w:t>
      </w:r>
      <w:r w:rsidR="0014506C" w:rsidRPr="00BE7510">
        <w:rPr>
          <w:b/>
          <w:bCs/>
          <w:color w:val="222222"/>
          <w:u w:color="222222"/>
          <w:lang w:val="pt-BR"/>
        </w:rPr>
        <w:t xml:space="preserve"> </w:t>
      </w:r>
      <w:r w:rsidR="001E0A61" w:rsidRPr="001F7BA0">
        <w:rPr>
          <w:b/>
          <w:bCs/>
          <w:color w:val="222222"/>
          <w:u w:color="222222"/>
          <w:vertAlign w:val="superscript"/>
          <w:lang w:val="en-GB"/>
        </w:rPr>
        <w:footnoteReference w:id="1"/>
      </w:r>
      <w:r w:rsidR="005E205D" w:rsidRPr="001F7BA0">
        <w:rPr>
          <w:b/>
          <w:bCs/>
          <w:noProof/>
          <w:color w:val="222222"/>
          <w:u w:color="222222"/>
          <w:lang w:val="en-US" w:eastAsia="en-US"/>
        </w:rPr>
        <w:drawing>
          <wp:inline distT="0" distB="0" distL="0" distR="0" wp14:anchorId="16FCC1C7" wp14:editId="362FD3B1">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BE7510">
        <w:rPr>
          <w:b/>
          <w:bCs/>
          <w:color w:val="222222"/>
          <w:u w:color="222222"/>
          <w:lang w:val="pt-BR"/>
        </w:rPr>
        <w:t xml:space="preserve">, </w:t>
      </w:r>
      <w:r w:rsidR="00CC7D22" w:rsidRPr="00BE7510">
        <w:rPr>
          <w:b/>
          <w:bCs/>
          <w:color w:val="222222"/>
          <w:u w:color="222222"/>
          <w:lang w:val="pt-BR"/>
        </w:rPr>
        <w:t xml:space="preserve">&amp; </w:t>
      </w:r>
      <w:bookmarkEnd w:id="1"/>
      <w:proofErr w:type="spellStart"/>
      <w:r w:rsidR="00B01635">
        <w:rPr>
          <w:b/>
          <w:bCs/>
          <w:color w:val="222222"/>
          <w:u w:color="222222"/>
          <w:lang w:val="pt-BR"/>
        </w:rPr>
        <w:t>Pricila</w:t>
      </w:r>
      <w:proofErr w:type="spellEnd"/>
      <w:r w:rsidR="00B01635">
        <w:rPr>
          <w:b/>
          <w:bCs/>
          <w:color w:val="222222"/>
          <w:u w:color="222222"/>
          <w:lang w:val="pt-BR"/>
        </w:rPr>
        <w:t xml:space="preserve"> </w:t>
      </w:r>
      <w:r w:rsidR="00B01635" w:rsidRPr="00B01635">
        <w:rPr>
          <w:b/>
          <w:bCs/>
          <w:color w:val="222222"/>
          <w:u w:color="222222"/>
          <w:lang w:val="pt-BR"/>
        </w:rPr>
        <w:t>Ribeiro</w:t>
      </w:r>
      <w:r w:rsidR="00063302" w:rsidRPr="00BE7510">
        <w:rPr>
          <w:b/>
          <w:bCs/>
          <w:color w:val="222222"/>
          <w:u w:color="222222"/>
          <w:vertAlign w:val="superscript"/>
          <w:lang w:val="pt-BR"/>
        </w:rPr>
        <w:t xml:space="preserve"> </w:t>
      </w:r>
      <w:r w:rsidR="00CC7D22" w:rsidRPr="001F7BA0">
        <w:rPr>
          <w:b/>
          <w:bCs/>
          <w:noProof/>
          <w:color w:val="222222"/>
          <w:u w:color="222222"/>
          <w:lang w:val="en-US" w:eastAsia="en-US"/>
        </w:rPr>
        <w:drawing>
          <wp:inline distT="0" distB="0" distL="0" distR="0" wp14:anchorId="20800533" wp14:editId="0EE90DD3">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BE7510">
        <w:rPr>
          <w:b/>
          <w:bCs/>
          <w:color w:val="4472C4" w:themeColor="accent1"/>
          <w:u w:color="222222"/>
          <w:vertAlign w:val="superscript"/>
          <w:lang w:val="pt-BR"/>
        </w:rPr>
        <w:t xml:space="preserve"> </w:t>
      </w:r>
      <w:r w:rsidR="00CC7D22" w:rsidRPr="001F7BA0">
        <w:rPr>
          <w:rStyle w:val="Refdenotaalpie"/>
          <w:b/>
          <w:bCs/>
          <w:color w:val="auto"/>
          <w:u w:color="222222"/>
          <w:lang w:val="en-GB"/>
        </w:rPr>
        <w:footnoteReference w:id="2"/>
      </w:r>
    </w:p>
    <w:p w14:paraId="4310D418" w14:textId="77777777" w:rsidR="008C5B2C" w:rsidRPr="00BE7510" w:rsidRDefault="008C5B2C" w:rsidP="00CC7D22">
      <w:pPr>
        <w:tabs>
          <w:tab w:val="left" w:pos="7005"/>
        </w:tabs>
        <w:jc w:val="both"/>
        <w:rPr>
          <w:rFonts w:eastAsia="Arial Unicode MS" w:cs="Arial Unicode MS"/>
          <w:bCs/>
          <w:i/>
          <w:iCs/>
          <w:sz w:val="22"/>
          <w:szCs w:val="22"/>
          <w:lang w:val="pt-BR"/>
        </w:rPr>
      </w:pPr>
    </w:p>
    <w:p w14:paraId="540F2DB5" w14:textId="5C0E3CA7" w:rsidR="004E5581" w:rsidRDefault="00B01635" w:rsidP="00CC7D22">
      <w:pPr>
        <w:tabs>
          <w:tab w:val="left" w:pos="7005"/>
        </w:tabs>
        <w:jc w:val="both"/>
        <w:rPr>
          <w:rFonts w:eastAsia="Arial Unicode MS" w:cs="Arial Unicode MS"/>
          <w:bCs/>
          <w:i/>
          <w:iCs/>
          <w:szCs w:val="22"/>
          <w:lang w:val="pt-BR"/>
        </w:rPr>
      </w:pPr>
      <w:r>
        <w:rPr>
          <w:rFonts w:eastAsia="Arial Unicode MS" w:cs="Arial Unicode MS"/>
          <w:bCs/>
          <w:i/>
          <w:iCs/>
          <w:szCs w:val="22"/>
          <w:lang w:val="pt-BR"/>
        </w:rPr>
        <w:t>Universidade Fede</w:t>
      </w:r>
      <w:r w:rsidR="00BE7510" w:rsidRPr="00BE7510">
        <w:rPr>
          <w:rFonts w:eastAsia="Arial Unicode MS" w:cs="Arial Unicode MS"/>
          <w:bCs/>
          <w:i/>
          <w:iCs/>
          <w:szCs w:val="22"/>
          <w:lang w:val="pt-BR"/>
        </w:rPr>
        <w:t>ral de Minas Gerais,</w:t>
      </w:r>
      <w:r w:rsidR="00557E28" w:rsidRPr="00BE7510">
        <w:rPr>
          <w:rFonts w:eastAsia="Arial Unicode MS" w:cs="Arial Unicode MS"/>
          <w:bCs/>
          <w:i/>
          <w:iCs/>
          <w:szCs w:val="22"/>
          <w:lang w:val="pt-BR"/>
        </w:rPr>
        <w:t xml:space="preserve"> </w:t>
      </w:r>
      <w:r w:rsidR="00D34102">
        <w:rPr>
          <w:rFonts w:eastAsia="Arial Unicode MS" w:cs="Arial Unicode MS"/>
          <w:bCs/>
          <w:i/>
          <w:iCs/>
          <w:szCs w:val="22"/>
          <w:lang w:val="pt-BR"/>
        </w:rPr>
        <w:t>Belo Horizonte</w:t>
      </w:r>
      <w:r w:rsidR="001002F5">
        <w:rPr>
          <w:rFonts w:eastAsia="Arial Unicode MS" w:cs="Arial Unicode MS"/>
          <w:bCs/>
          <w:i/>
          <w:iCs/>
          <w:szCs w:val="22"/>
          <w:lang w:val="pt-BR"/>
        </w:rPr>
        <w:t xml:space="preserve">, </w:t>
      </w:r>
      <w:r w:rsidR="00BE7510" w:rsidRPr="00BE7510">
        <w:rPr>
          <w:rFonts w:eastAsia="Arial Unicode MS" w:cs="Arial Unicode MS"/>
          <w:bCs/>
          <w:i/>
          <w:iCs/>
          <w:szCs w:val="22"/>
          <w:lang w:val="pt-BR"/>
        </w:rPr>
        <w:t>Brasil</w:t>
      </w:r>
      <w:r w:rsidR="008C5B2C" w:rsidRPr="00BE7510">
        <w:rPr>
          <w:rFonts w:eastAsia="Arial Unicode MS" w:cs="Arial Unicode MS"/>
          <w:bCs/>
          <w:i/>
          <w:iCs/>
          <w:szCs w:val="22"/>
          <w:lang w:val="pt-BR"/>
        </w:rPr>
        <w:t>.</w:t>
      </w:r>
    </w:p>
    <w:p w14:paraId="2D31BDDD" w14:textId="77777777" w:rsidR="001A588D" w:rsidRPr="00BE7510" w:rsidRDefault="001A588D" w:rsidP="00CC7D22">
      <w:pPr>
        <w:tabs>
          <w:tab w:val="left" w:pos="7005"/>
        </w:tabs>
        <w:jc w:val="both"/>
        <w:rPr>
          <w:rFonts w:eastAsia="Arial Unicode MS" w:cs="Arial Unicode MS"/>
          <w:i/>
          <w:iCs/>
          <w:szCs w:val="22"/>
          <w:lang w:val="pt-BR"/>
        </w:rPr>
      </w:pPr>
    </w:p>
    <w:p w14:paraId="6036645E" w14:textId="1811780B" w:rsidR="00A95630" w:rsidRPr="00BE7510"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12160FF1" w14:textId="4E66CE9F" w:rsidR="006845CB" w:rsidRPr="006845CB" w:rsidRDefault="004150CA" w:rsidP="006845CB">
      <w:pPr>
        <w:jc w:val="both"/>
        <w:rPr>
          <w:bCs/>
          <w:iCs/>
          <w:sz w:val="20"/>
          <w:szCs w:val="20"/>
          <w:lang w:val="en-US" w:eastAsia="es-ES_tradnl"/>
        </w:rPr>
      </w:pPr>
      <w:r w:rsidRPr="004150CA">
        <w:rPr>
          <w:bCs/>
          <w:iCs/>
          <w:sz w:val="20"/>
          <w:szCs w:val="20"/>
          <w:lang w:val="en-US" w:eastAsia="es-ES_tradnl"/>
        </w:rPr>
        <w:t xml:space="preserve">The theoretical model known as </w:t>
      </w:r>
      <w:proofErr w:type="spellStart"/>
      <w:r w:rsidRPr="004150CA">
        <w:rPr>
          <w:bCs/>
          <w:iCs/>
          <w:sz w:val="20"/>
          <w:szCs w:val="20"/>
          <w:lang w:val="en-US" w:eastAsia="es-ES_tradnl"/>
        </w:rPr>
        <w:t>Baltes</w:t>
      </w:r>
      <w:proofErr w:type="spellEnd"/>
      <w:r w:rsidRPr="004150CA">
        <w:rPr>
          <w:bCs/>
          <w:iCs/>
          <w:sz w:val="20"/>
          <w:szCs w:val="20"/>
          <w:lang w:val="en-US" w:eastAsia="es-ES_tradnl"/>
        </w:rPr>
        <w:t>' Selection, Optimization and Compensation (SOC) (1990), presents strategies for loss regulation and facing normative and non-normative changes. Objective: To analyze the relation between the use of SOC strategies with the depressive symptoms of the elderly when stress events occur. Method: Non-probabilistic sample, with individuals aged 60 and over, participating in activities of groups for the elderly. The instruments were self-applicable and the collection was made in groups, starting with a meeting to present the objectives of the research and scheduling, for a later moment, for the participants to respond to the research instruments. The application of the instruments was divided in two moments. Result: It was observed that the use of SOC works as an effect modifier in the relation between stressors and depression, being that the chances of the elderly with low use of SOC resources to present depressive symptoms were 2.46 times bigger than in elderly that present high use of these resources. The modifying effect of SOC resources on the relationship between stress and depression in the elderly reinforces the relevance of stimulating intervention and prevention programs in mental health, and studies have shown that the insertion of these strategies can help promote well-being, decrease depressive symptoms, improve the ability to cope with diseases and self-image. Conclusion: These results reinforce the relevance of the insertion of these strategies in studies and interventions on the theme, since their use can help in the promotion of well-being and confrontation of diseases</w:t>
      </w:r>
      <w:r w:rsidR="006845CB" w:rsidRPr="006845CB">
        <w:rPr>
          <w:bCs/>
          <w:iCs/>
          <w:sz w:val="20"/>
          <w:szCs w:val="20"/>
          <w:lang w:val="en-US" w:eastAsia="es-ES_tradnl"/>
        </w:rPr>
        <w:t>.</w:t>
      </w: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180B1296" w14:textId="071920B2" w:rsidR="001F7BA0" w:rsidRDefault="004150CA" w:rsidP="008C5B2C">
      <w:pPr>
        <w:pStyle w:val="Resumen"/>
      </w:pPr>
      <w:r>
        <w:t>selection; optimization; compensation; depression; elderly</w:t>
      </w:r>
    </w:p>
    <w:p w14:paraId="68694C78" w14:textId="77777777" w:rsidR="001F7BA0" w:rsidRDefault="001F7BA0" w:rsidP="008C5B2C">
      <w:pPr>
        <w:pStyle w:val="Resumen"/>
        <w:rPr>
          <w:rStyle w:val="TtuloResumenCar"/>
          <w:lang w:val="en-US"/>
        </w:rPr>
      </w:pPr>
    </w:p>
    <w:p w14:paraId="7CEB0B24" w14:textId="77777777" w:rsidR="001A588D" w:rsidRPr="00D31F87" w:rsidRDefault="001A588D" w:rsidP="001F7BA0">
      <w:pPr>
        <w:pStyle w:val="TtuloResumen"/>
        <w:rPr>
          <w:lang w:val="en-US"/>
        </w:rPr>
      </w:pPr>
    </w:p>
    <w:p w14:paraId="5E4C21C3" w14:textId="18512AFE" w:rsidR="00E82CE6" w:rsidRPr="0091040E" w:rsidRDefault="008B2D7F" w:rsidP="001F7BA0">
      <w:pPr>
        <w:pStyle w:val="TtuloResumen"/>
        <w:rPr>
          <w:rStyle w:val="TtuloResumenCar"/>
        </w:rPr>
      </w:pPr>
      <w:r w:rsidRPr="0091040E">
        <w:t>Resumo</w:t>
      </w:r>
    </w:p>
    <w:p w14:paraId="29B82B08" w14:textId="601329F2" w:rsidR="00E82CE6" w:rsidRDefault="008B2D7F" w:rsidP="008C5B2C">
      <w:pPr>
        <w:pStyle w:val="Resumen"/>
        <w:rPr>
          <w:lang w:val="pt-BR"/>
        </w:rPr>
      </w:pPr>
      <w:r w:rsidRPr="0066499F">
        <w:rPr>
          <w:lang w:val="pt-BR"/>
        </w:rPr>
        <w:t xml:space="preserve">O modelo teórico conhecido como Seleção, Otimização e Compensação (SOC), de </w:t>
      </w:r>
      <w:proofErr w:type="spellStart"/>
      <w:r w:rsidRPr="0066499F">
        <w:rPr>
          <w:lang w:val="pt-BR"/>
        </w:rPr>
        <w:t>Baltes</w:t>
      </w:r>
      <w:proofErr w:type="spellEnd"/>
      <w:r w:rsidRPr="0066499F">
        <w:rPr>
          <w:lang w:val="pt-BR"/>
        </w:rPr>
        <w:t xml:space="preserve"> (1990), apresenta estratégias para a regulação de perdas e enfrentamento de mudanças normativas e não normativas. Objetivo: Analisar a associação do uso das estratégias SOC com os sintomas depressivos de idosos</w:t>
      </w:r>
      <w:r w:rsidRPr="008B2D7F">
        <w:rPr>
          <w:lang w:val="pt-BR"/>
        </w:rPr>
        <w:t xml:space="preserve"> diante da ocorrência de eventos estressores. Método: Amostra não probabilística, com indivíduos com idade a partir de 60 anos, participantes de atividades de grupos para idosos. </w:t>
      </w:r>
      <w:r w:rsidR="0066499F" w:rsidRPr="008B2D7F">
        <w:rPr>
          <w:lang w:val="pt-BR"/>
        </w:rPr>
        <w:t>Os instrumentos foram autoaplicáveis</w:t>
      </w:r>
      <w:r w:rsidR="0066499F">
        <w:rPr>
          <w:lang w:val="pt-BR"/>
        </w:rPr>
        <w:t xml:space="preserve"> e a coleta foi feita em grupos.  Iniciou-se</w:t>
      </w:r>
      <w:r w:rsidR="0066499F" w:rsidRPr="008B2D7F">
        <w:rPr>
          <w:lang w:val="pt-BR"/>
        </w:rPr>
        <w:t xml:space="preserve"> com uma reunião para apresentar os </w:t>
      </w:r>
      <w:r w:rsidR="0066499F">
        <w:rPr>
          <w:lang w:val="pt-BR"/>
        </w:rPr>
        <w:t xml:space="preserve">objetivos da pesquisa e agendar um momento posterior para os participantes </w:t>
      </w:r>
      <w:r w:rsidR="0066499F" w:rsidRPr="008B2D7F">
        <w:rPr>
          <w:lang w:val="pt-BR"/>
        </w:rPr>
        <w:t>responderem aos instrumentos d</w:t>
      </w:r>
      <w:r w:rsidR="0066499F">
        <w:rPr>
          <w:lang w:val="pt-BR"/>
        </w:rPr>
        <w:t>a</w:t>
      </w:r>
      <w:r w:rsidR="0066499F" w:rsidRPr="008B2D7F">
        <w:rPr>
          <w:lang w:val="pt-BR"/>
        </w:rPr>
        <w:t xml:space="preserve"> pesquisa. A aplicação dos instrumentos foi dividida em dois momentos. </w:t>
      </w:r>
      <w:r w:rsidRPr="008B2D7F">
        <w:rPr>
          <w:lang w:val="pt-BR"/>
        </w:rPr>
        <w:t>Resultado: Foi observado que o uso de SOC funciona como modificador de efeito na relação entre estressores e depressão, sendo que as chances dos idosos com baixo uso de recursos SOC apresentar</w:t>
      </w:r>
      <w:r w:rsidR="00B01635">
        <w:rPr>
          <w:lang w:val="pt-BR"/>
        </w:rPr>
        <w:t>em sintomas depressivos foram 2.</w:t>
      </w:r>
      <w:r w:rsidRPr="008B2D7F">
        <w:rPr>
          <w:lang w:val="pt-BR"/>
        </w:rPr>
        <w:t xml:space="preserve">46 vezes maiores do que em idosos que apresentam uso elevado destes recursos. </w:t>
      </w:r>
      <w:r w:rsidR="0066499F" w:rsidRPr="008B2D7F">
        <w:rPr>
          <w:lang w:val="pt-BR"/>
        </w:rPr>
        <w:t>O efeito modificador dos recursos SOC na relação entre estresse e depressão em idosos reforça a relevância de programas de intervençã</w:t>
      </w:r>
      <w:r w:rsidR="0066499F">
        <w:rPr>
          <w:lang w:val="pt-BR"/>
        </w:rPr>
        <w:t>o e prevenção em saúde mental. E</w:t>
      </w:r>
      <w:r w:rsidR="0066499F" w:rsidRPr="008B2D7F">
        <w:rPr>
          <w:lang w:val="pt-BR"/>
        </w:rPr>
        <w:t>studos têm mostrado que a inserção dessas estratégias pode ajudar a promover o bem-estar, diminuir os sintomas depressivos, melhorar a capacidade de lidar com doenças e autoimagem.</w:t>
      </w:r>
      <w:r w:rsidR="0066499F">
        <w:rPr>
          <w:lang w:val="pt-BR"/>
        </w:rPr>
        <w:t xml:space="preserve"> </w:t>
      </w:r>
      <w:r w:rsidRPr="008B2D7F">
        <w:rPr>
          <w:lang w:val="pt-BR"/>
        </w:rPr>
        <w:t>Conclusão: Esses resultados reforçam a relevância da inserção dessas estratégias em estudos e intervenções sobre a temática, já que o uso delas pode auxiliar na promoção de bem</w:t>
      </w:r>
      <w:r w:rsidR="0066499F">
        <w:rPr>
          <w:lang w:val="pt-BR"/>
        </w:rPr>
        <w:t>-</w:t>
      </w:r>
      <w:r w:rsidRPr="008B2D7F">
        <w:rPr>
          <w:lang w:val="pt-BR"/>
        </w:rPr>
        <w:t>estar e enfrentamento de doenças.</w:t>
      </w:r>
    </w:p>
    <w:p w14:paraId="3D62A017" w14:textId="42A2422D" w:rsidR="008B2D7F" w:rsidRDefault="008B2D7F" w:rsidP="008C5B2C">
      <w:pPr>
        <w:pStyle w:val="Resumen"/>
        <w:rPr>
          <w:lang w:val="pt-BR"/>
        </w:rPr>
      </w:pPr>
    </w:p>
    <w:p w14:paraId="195788AE" w14:textId="189E4270" w:rsidR="00E82CE6" w:rsidRPr="0066499F" w:rsidRDefault="0066499F" w:rsidP="001F7BA0">
      <w:pPr>
        <w:rPr>
          <w:b/>
          <w:bCs/>
          <w:iCs/>
          <w:sz w:val="20"/>
          <w:szCs w:val="20"/>
          <w:lang w:val="pt-BR" w:eastAsia="es-ES_tradnl"/>
        </w:rPr>
      </w:pPr>
      <w:r>
        <w:rPr>
          <w:b/>
          <w:bCs/>
          <w:iCs/>
          <w:sz w:val="20"/>
          <w:szCs w:val="20"/>
          <w:lang w:val="pt-BR" w:eastAsia="es-ES_tradnl"/>
        </w:rPr>
        <w:t>Palavras-chave</w:t>
      </w:r>
    </w:p>
    <w:p w14:paraId="7DBC3419" w14:textId="5266799F" w:rsidR="00E82CE6" w:rsidRDefault="0066499F">
      <w:pPr>
        <w:rPr>
          <w:bCs/>
          <w:iCs/>
          <w:sz w:val="20"/>
          <w:szCs w:val="20"/>
          <w:lang w:val="pt-BR" w:eastAsia="es-ES_tradnl"/>
        </w:rPr>
      </w:pPr>
      <w:r w:rsidRPr="0066499F">
        <w:rPr>
          <w:bCs/>
          <w:iCs/>
          <w:sz w:val="20"/>
          <w:szCs w:val="20"/>
          <w:lang w:val="pt-BR" w:eastAsia="es-ES_tradnl"/>
        </w:rPr>
        <w:t>seleção; otimização; compensação; depressão; idosos</w:t>
      </w:r>
    </w:p>
    <w:p w14:paraId="4054ADC4" w14:textId="5EB29D7E" w:rsidR="001A588D" w:rsidRDefault="001A588D">
      <w:pPr>
        <w:rPr>
          <w:bCs/>
          <w:iCs/>
          <w:sz w:val="20"/>
          <w:szCs w:val="20"/>
          <w:lang w:val="pt-BR" w:eastAsia="es-ES_tradnl"/>
        </w:rPr>
      </w:pPr>
    </w:p>
    <w:p w14:paraId="0550D639" w14:textId="1EF41A85" w:rsidR="001A588D" w:rsidRDefault="001A588D">
      <w:pPr>
        <w:rPr>
          <w:bCs/>
          <w:iCs/>
          <w:sz w:val="20"/>
          <w:szCs w:val="20"/>
          <w:lang w:val="pt-BR" w:eastAsia="es-ES_tradnl"/>
        </w:rPr>
      </w:pPr>
    </w:p>
    <w:p w14:paraId="10FFDE9F" w14:textId="1B3CF13A" w:rsidR="006845CB" w:rsidRPr="004150CA" w:rsidRDefault="004150CA" w:rsidP="00225541">
      <w:pPr>
        <w:pStyle w:val="Ttulosinternos"/>
        <w:rPr>
          <w:b w:val="0"/>
          <w:bCs w:val="0"/>
          <w:lang w:val="pt-BR"/>
        </w:rPr>
      </w:pPr>
      <w:r w:rsidRPr="004150CA">
        <w:rPr>
          <w:b w:val="0"/>
          <w:bCs w:val="0"/>
          <w:lang w:val="pt-BR"/>
        </w:rPr>
        <w:lastRenderedPageBreak/>
        <w:t>Relação entre o modelo SOC e os sintomas depressivos em idosos</w:t>
      </w:r>
    </w:p>
    <w:p w14:paraId="512A04F3" w14:textId="00A8ED3B" w:rsidR="00333677" w:rsidRPr="00225541" w:rsidRDefault="00225541" w:rsidP="00225541">
      <w:pPr>
        <w:pStyle w:val="Ttulosinternos"/>
        <w:rPr>
          <w:lang w:val="en-US"/>
        </w:rPr>
      </w:pPr>
      <w:r w:rsidRPr="00225541">
        <w:rPr>
          <w:lang w:val="en-US"/>
        </w:rPr>
        <w:t>Introduction</w:t>
      </w:r>
    </w:p>
    <w:p w14:paraId="2C148F84" w14:textId="2954186B" w:rsidR="0066499F" w:rsidRDefault="0066499F" w:rsidP="00225541">
      <w:pPr>
        <w:pStyle w:val="Prrafocomn"/>
        <w:spacing w:line="400" w:lineRule="exact"/>
        <w:ind w:firstLine="709"/>
      </w:pPr>
      <w:r w:rsidRPr="0066499F">
        <w:t>The accelerated aging of the population around the world has marked the increase of studies on the subject, which has contributed to the formulation of theories that have approached old age under new perceptions and overcame the perspectives that limited this phase to losses and declines (</w:t>
      </w:r>
      <w:proofErr w:type="spellStart"/>
      <w:r w:rsidRPr="0066499F">
        <w:t>Neri</w:t>
      </w:r>
      <w:proofErr w:type="spellEnd"/>
      <w:r w:rsidRPr="0066499F">
        <w:t>, 2006; Santana, Garcia, &amp; Araújo, 2017). Among these theories, Lifespan (</w:t>
      </w:r>
      <w:proofErr w:type="spellStart"/>
      <w:r w:rsidRPr="0066499F">
        <w:t>Baltes</w:t>
      </w:r>
      <w:proofErr w:type="spellEnd"/>
      <w:r w:rsidRPr="0066499F">
        <w:t>, 1987) stands out, which assumes development as a phenomenon that happens throughout life and considers the occurrence of adaptive changes in old age. In this conception, the variability and possibility of differentiated courses of life are explained by the influences of multiple factors such as genetic, biological and socio-cultural aspects and development occurs from the balance between gains and losses (Xavier, Bueno, Assis, Almeida, &amp; Assis, 2017).</w:t>
      </w:r>
    </w:p>
    <w:p w14:paraId="1A39988A" w14:textId="507C0DD0" w:rsidR="0066499F" w:rsidRPr="0066499F" w:rsidRDefault="0066499F" w:rsidP="0066499F">
      <w:pPr>
        <w:pStyle w:val="Prrafocomn"/>
        <w:spacing w:line="400" w:lineRule="exact"/>
        <w:ind w:firstLine="709"/>
      </w:pPr>
      <w:r w:rsidRPr="0066499F">
        <w:t>Throughout life, biological development occurs accompanied by several external and internal determinants to the individual, besides opportunities and socio-structural limitations. The biological and socio-cultural factors may vary from one individual to another, and it is essential in old age to maintain a balance in the distribution of personal efforts to continue to achieve the goals and to regulate the losses that intensify with increasing age (Freire, et al, 2012). Throughout life, people seek to maximize gains and minimize losses as a way to react to the biological, social and psychological determinants that limit or enhance their development (</w:t>
      </w:r>
      <w:proofErr w:type="spellStart"/>
      <w:r w:rsidRPr="0066499F">
        <w:t>Baltes</w:t>
      </w:r>
      <w:proofErr w:type="spellEnd"/>
      <w:r w:rsidRPr="0066499F">
        <w:t>, 1997). In addition to that, this development is in constant dynamic interaction with available resources (Xavier et al., 2017). This dynamic of gains and losses is conditioned by individual and cultural factors, as well as by the moment experienced by the individual. The implications of this global view of human development are examined at levels of analysis that involve consideration of three general functions: the development function; the maintenance function, including recovery (resilience); and the loss regulation function. These three functions represent the systemic conjunction of individual development (</w:t>
      </w:r>
      <w:proofErr w:type="spellStart"/>
      <w:r w:rsidRPr="0066499F">
        <w:t>Baltes</w:t>
      </w:r>
      <w:proofErr w:type="spellEnd"/>
      <w:r w:rsidRPr="0066499F">
        <w:t xml:space="preserve">, 1995; </w:t>
      </w:r>
      <w:proofErr w:type="spellStart"/>
      <w:r w:rsidRPr="0066499F">
        <w:t>Baltes</w:t>
      </w:r>
      <w:proofErr w:type="spellEnd"/>
      <w:r w:rsidRPr="0066499F">
        <w:t>, 1997).</w:t>
      </w:r>
    </w:p>
    <w:p w14:paraId="2F97B981" w14:textId="30A84930" w:rsidR="0066499F" w:rsidRPr="0066499F" w:rsidRDefault="0066499F" w:rsidP="0066499F">
      <w:pPr>
        <w:pStyle w:val="Prrafocomn"/>
        <w:spacing w:line="400" w:lineRule="exact"/>
        <w:ind w:firstLine="709"/>
      </w:pPr>
      <w:r w:rsidRPr="0066499F">
        <w:t>The adaptive development function concerns behaviors involved in achieving higher levels of functioning or adaptive capacity. The maintenance and recovery function (resilience) is associated with the selection of behaviors involved in maintaining operating levels when facing a new contextual challenge or loss of potential. The regulation of loss or management includes the behaviors that organize the operation at lower levels when maintenance or recovery (resilience) is no longer possible (</w:t>
      </w:r>
      <w:proofErr w:type="spellStart"/>
      <w:r w:rsidRPr="0066499F">
        <w:t>Baltes</w:t>
      </w:r>
      <w:proofErr w:type="spellEnd"/>
      <w:r w:rsidRPr="0066499F">
        <w:t xml:space="preserve">, 1994, Freire, et al, 2012). These adaptive functions were defined through three </w:t>
      </w:r>
      <w:r w:rsidRPr="0066499F">
        <w:lastRenderedPageBreak/>
        <w:t>development regulation processes: selection, optimization and compensation. The so-called SOC Selection, Optimization and Compensation model (</w:t>
      </w:r>
      <w:proofErr w:type="spellStart"/>
      <w:r w:rsidRPr="0066499F">
        <w:t>Baltes</w:t>
      </w:r>
      <w:proofErr w:type="spellEnd"/>
      <w:r w:rsidRPr="0066499F">
        <w:t>, 1997) considers that there are different ways of allocating resources to face the normative and non-regulatory changes experienced throughout life, seeking the elaboration of a successful or adaptive development (</w:t>
      </w:r>
      <w:proofErr w:type="spellStart"/>
      <w:r w:rsidRPr="0066499F">
        <w:t>Carpentieri</w:t>
      </w:r>
      <w:proofErr w:type="spellEnd"/>
      <w:r w:rsidRPr="0066499F">
        <w:t xml:space="preserve">, Elliott, Brett, &amp; Deary, 2017; Freire, </w:t>
      </w:r>
      <w:proofErr w:type="spellStart"/>
      <w:r w:rsidRPr="0066499F">
        <w:t>Resende</w:t>
      </w:r>
      <w:proofErr w:type="spellEnd"/>
      <w:r w:rsidRPr="0066499F">
        <w:t xml:space="preserve">, &amp; </w:t>
      </w:r>
      <w:proofErr w:type="spellStart"/>
      <w:r w:rsidRPr="0066499F">
        <w:t>Rabelo</w:t>
      </w:r>
      <w:proofErr w:type="spellEnd"/>
      <w:r w:rsidRPr="0066499F">
        <w:t>, 2012).</w:t>
      </w:r>
    </w:p>
    <w:p w14:paraId="558CEE57" w14:textId="65F89A9C" w:rsidR="0066499F" w:rsidRPr="0066499F" w:rsidRDefault="0066499F" w:rsidP="0066499F">
      <w:pPr>
        <w:pStyle w:val="Prrafocomn"/>
        <w:spacing w:line="400" w:lineRule="exact"/>
        <w:ind w:firstLine="709"/>
      </w:pPr>
      <w:r w:rsidRPr="0066499F">
        <w:t>Selection is understood as the definition and/or reduction of alternatives or personal objectives. It is an active or passive process that helps to conserve energy and motivation, eliminating or reducing less valued goals. Optimization refers to the identification, search, refinement and acquisition of additional goals. It includes persistence, practice, skill development and resource enhancement, modeling successful behaviors, and investing in time and energy. Optimization ultimately aims to complement the behavioral strategies used to achieve the goals. Compensation is the component that concerns the adaptation to maintain the balance in the face of losses experienced, whether physical, emotional, environmental or social (</w:t>
      </w:r>
      <w:proofErr w:type="spellStart"/>
      <w:r w:rsidRPr="0066499F">
        <w:t>Baltes</w:t>
      </w:r>
      <w:proofErr w:type="spellEnd"/>
      <w:r w:rsidRPr="0066499F">
        <w:t xml:space="preserve">, 1997; </w:t>
      </w:r>
      <w:proofErr w:type="spellStart"/>
      <w:r w:rsidRPr="0066499F">
        <w:t>Carpentieri</w:t>
      </w:r>
      <w:proofErr w:type="spellEnd"/>
      <w:r w:rsidRPr="0066499F">
        <w:t xml:space="preserve"> et al., 2017; Grove, Loeb, &amp; Penrod, 2009).</w:t>
      </w:r>
    </w:p>
    <w:p w14:paraId="517850BB" w14:textId="0C5A9486" w:rsidR="0066499F" w:rsidRDefault="0066499F" w:rsidP="00225541">
      <w:pPr>
        <w:pStyle w:val="Prrafocomn"/>
        <w:spacing w:line="400" w:lineRule="exact"/>
        <w:ind w:firstLine="709"/>
      </w:pPr>
      <w:r w:rsidRPr="0066499F">
        <w:t>Among the adverse outcomes associated with adaptive difficulties in old age, depression stands out for being disabling and highly prevalent in the elderly, and may lead to suicide attempts or suicide itself. By 2030, depression will be the most common disease in the world, currently with an estimated 350 million people affected by the disease (WHO, 2016). According to IBGE (2014), among the people in general who reported a diagnosis of depression, only 16.4% were receiving psychotherapy and 46.4% received medical assistance for depression in the last 12 months. A nationwide study showed a prevalence of 34.9% of depression in the elderly, 15.9% with mild to moderate depression and 19.1% with severe depression (Sousa et al., 2017).</w:t>
      </w:r>
    </w:p>
    <w:p w14:paraId="0A008FC1" w14:textId="106DF3FF" w:rsidR="0066499F" w:rsidRPr="0066499F" w:rsidRDefault="0066499F" w:rsidP="00225541">
      <w:pPr>
        <w:pStyle w:val="Prrafocomn"/>
        <w:spacing w:line="400" w:lineRule="exact"/>
        <w:ind w:firstLine="709"/>
      </w:pPr>
      <w:r w:rsidRPr="0066499F">
        <w:t>In this scenario, studies on depressive symptoms and their associated factors can help professionals in early diagnostic evaluation and appropriate interventions in mental health of the elderly (Sousa et al., 2017). Some studies have highlighted the relevance of using SOC resources to minimize depressive symptoms in the workplace (Shang et al., 2015) and in adolescence (</w:t>
      </w:r>
      <w:proofErr w:type="spellStart"/>
      <w:r w:rsidRPr="0066499F">
        <w:t>Gestsdottir</w:t>
      </w:r>
      <w:proofErr w:type="spellEnd"/>
      <w:r w:rsidRPr="0066499F">
        <w:t xml:space="preserve">, Urban, Bowers, Lerner, &amp; Lerner, 2011). In contrast, no significant direct relationships were found between adaptive coping, as measured by the use of SOC resources, and the depression outcome in American elderly women (Warner et al., 2017) and stroke patients (Donnellan, </w:t>
      </w:r>
      <w:proofErr w:type="spellStart"/>
      <w:r w:rsidRPr="0066499F">
        <w:t>Hevey</w:t>
      </w:r>
      <w:proofErr w:type="spellEnd"/>
      <w:r w:rsidRPr="0066499F">
        <w:t xml:space="preserve">, Hickey, &amp; O'Neill, 2012). The main explanations for the lack of relationship between SOC and depression </w:t>
      </w:r>
      <w:r w:rsidRPr="0066499F">
        <w:lastRenderedPageBreak/>
        <w:t>were attributed to limitation in measuring SOC resources. Thus, the findings on the relationship between SOC and depressive symptoms remain controversial, which indicates the need for further research. Thus, this study aimed to analyze the association between stress and depression in the elderly and the influence of SOC resources on this association</w:t>
      </w:r>
      <w:r>
        <w:t>.</w:t>
      </w:r>
    </w:p>
    <w:p w14:paraId="13E8D865" w14:textId="1299218D" w:rsidR="00C672C3" w:rsidRPr="0066499F" w:rsidRDefault="00BA637E" w:rsidP="0066499F">
      <w:pPr>
        <w:pStyle w:val="Ttulosinternos"/>
        <w:rPr>
          <w:lang w:val="en-US"/>
        </w:rPr>
      </w:pPr>
      <w:r w:rsidRPr="00BA637E">
        <w:rPr>
          <w:lang w:val="en-US"/>
        </w:rPr>
        <w:t>Method</w:t>
      </w:r>
    </w:p>
    <w:p w14:paraId="34416987" w14:textId="33CAEF07" w:rsidR="00BA637E" w:rsidRPr="00BA637E" w:rsidRDefault="0066499F" w:rsidP="00BA637E">
      <w:pPr>
        <w:pStyle w:val="Prrafocomn"/>
        <w:rPr>
          <w:bCs/>
          <w:iCs/>
        </w:rPr>
      </w:pPr>
      <w:r w:rsidRPr="0066499F">
        <w:rPr>
          <w:bCs/>
          <w:iCs/>
        </w:rPr>
        <w:t xml:space="preserve">The data were obtained through a non-probabilistic sample, captured for convenience among individuals over 60 years of age, participating in activities of groups for the elderly, such as gymnastics and religious groups. The collection was carried out between September 2017 and August 2018 with 196 elderly people from Belo Horizonte aged between 60 and 87 years old. The instruments were self-applicable and the collection was made in groups, starting with a meeting to present the objectives of the research and scheduling, for a later moment, for the participants to respond to the research instruments. The application of the instruments was divided in two moments. The following inclusion criteria were adopted: to be 60 years old or older, to present physical and mental state capable of answering the questionnaire, showing awareness and orientation in time and space. Exclusion criteria: elderly hospitalized, institutionalized and those who refused to sign the Term of Free and Informed Consent (TCLE). The study was approved by the Research Ethics Committee of the Federal University of Minas Gerais (CAAE: 57343816.0.00000.5149). </w:t>
      </w:r>
      <w:r w:rsidR="00BA637E" w:rsidRPr="00BA637E">
        <w:rPr>
          <w:bCs/>
          <w:iCs/>
        </w:rPr>
        <w:t xml:space="preserve"> </w:t>
      </w:r>
    </w:p>
    <w:p w14:paraId="10F230EB" w14:textId="1C2EABF2" w:rsidR="00714485" w:rsidRPr="00BA637E" w:rsidRDefault="0066499F" w:rsidP="00471F54">
      <w:pPr>
        <w:pStyle w:val="SubtituloInterno"/>
        <w:rPr>
          <w:bCs/>
          <w:iCs/>
          <w:lang w:val="en-US"/>
        </w:rPr>
      </w:pPr>
      <w:r w:rsidRPr="0066499F">
        <w:rPr>
          <w:bCs/>
          <w:iCs/>
          <w:lang w:val="en-US"/>
        </w:rPr>
        <w:t>Instruments</w:t>
      </w:r>
    </w:p>
    <w:p w14:paraId="563B7A19" w14:textId="4BC9D1C7" w:rsidR="0066499F" w:rsidRPr="0066499F" w:rsidRDefault="0066499F" w:rsidP="0066499F">
      <w:pPr>
        <w:pStyle w:val="SubtituloInterno1"/>
        <w:rPr>
          <w:lang w:val="en-US"/>
        </w:rPr>
      </w:pPr>
      <w:r w:rsidRPr="0066499F">
        <w:rPr>
          <w:bCs/>
          <w:lang w:val="en-US"/>
        </w:rPr>
        <w:t xml:space="preserve">Sociodemographic questionnaire </w:t>
      </w:r>
    </w:p>
    <w:p w14:paraId="03AD0C22" w14:textId="77777777" w:rsidR="0066499F" w:rsidRDefault="0066499F" w:rsidP="00164171">
      <w:pPr>
        <w:pStyle w:val="Prrafocomn"/>
        <w:ind w:firstLine="720"/>
        <w:rPr>
          <w:bCs/>
        </w:rPr>
      </w:pPr>
      <w:r w:rsidRPr="0066499F">
        <w:rPr>
          <w:bCs/>
        </w:rPr>
        <w:t xml:space="preserve">The sociodemographic data collected were age, sex, education, family income and marital status. </w:t>
      </w:r>
    </w:p>
    <w:p w14:paraId="02F35A06" w14:textId="6CC0CF8B" w:rsidR="0066499F" w:rsidRPr="0066499F" w:rsidRDefault="0066499F" w:rsidP="0066499F">
      <w:pPr>
        <w:pStyle w:val="SubtituloInterno1"/>
        <w:rPr>
          <w:lang w:val="en-US"/>
        </w:rPr>
      </w:pPr>
      <w:r>
        <w:rPr>
          <w:bCs/>
          <w:lang w:val="en-US"/>
        </w:rPr>
        <w:t>Emotional state scale</w:t>
      </w:r>
    </w:p>
    <w:p w14:paraId="7D69CFD4" w14:textId="77777777" w:rsidR="0066499F" w:rsidRDefault="0066499F" w:rsidP="00164171">
      <w:pPr>
        <w:pStyle w:val="Prrafocomn"/>
        <w:ind w:firstLine="720"/>
        <w:rPr>
          <w:bCs/>
        </w:rPr>
      </w:pPr>
      <w:r w:rsidRPr="0066499F">
        <w:rPr>
          <w:bCs/>
        </w:rPr>
        <w:t>The Geriatric Depression Scale (</w:t>
      </w:r>
      <w:proofErr w:type="spellStart"/>
      <w:r w:rsidRPr="0066499F">
        <w:rPr>
          <w:bCs/>
        </w:rPr>
        <w:t>Paradela</w:t>
      </w:r>
      <w:proofErr w:type="spellEnd"/>
      <w:r w:rsidRPr="0066499F">
        <w:rPr>
          <w:bCs/>
        </w:rPr>
        <w:t xml:space="preserve">, et al, 2005), used as an aid in tracking depressive pictures in the elderly, is composed of 15 items, among which the participants must mark yes or no, according to how they felt in the last week. Each question is scored in 0 or 1 point, when corresponds the presence of depressive symptom. The total score is </w:t>
      </w:r>
      <w:r w:rsidRPr="0066499F">
        <w:rPr>
          <w:bCs/>
        </w:rPr>
        <w:lastRenderedPageBreak/>
        <w:t xml:space="preserve">the sum of the 15 questions, being a score equal or superior to 5 indicative of the presence of depression. </w:t>
      </w:r>
    </w:p>
    <w:p w14:paraId="53757823" w14:textId="15A1BC6C" w:rsidR="0066499F" w:rsidRPr="0066499F" w:rsidRDefault="0066499F" w:rsidP="0066499F">
      <w:pPr>
        <w:pStyle w:val="SubtituloInterno1"/>
        <w:rPr>
          <w:lang w:val="en-US"/>
        </w:rPr>
      </w:pPr>
      <w:r>
        <w:rPr>
          <w:bCs/>
          <w:lang w:val="en-US"/>
        </w:rPr>
        <w:t>Social Support</w:t>
      </w:r>
      <w:r w:rsidRPr="0066499F">
        <w:rPr>
          <w:bCs/>
          <w:lang w:val="en-US"/>
        </w:rPr>
        <w:t xml:space="preserve"> </w:t>
      </w:r>
    </w:p>
    <w:p w14:paraId="01CABA66" w14:textId="77777777" w:rsidR="0066499F" w:rsidRDefault="0066499F" w:rsidP="00164171">
      <w:pPr>
        <w:pStyle w:val="Prrafocomn"/>
        <w:ind w:firstLine="720"/>
        <w:rPr>
          <w:bCs/>
        </w:rPr>
      </w:pPr>
      <w:r w:rsidRPr="0066499F">
        <w:rPr>
          <w:bCs/>
        </w:rPr>
        <w:t>On this scale the person answers in each item how often they consider to have available each type of support, being able to choose between "never", "rarely", "sometimes", "almost always" or "always". The scale is composed of 19 items that represent five dimensions: material, affective, emotional, information and positive social interaction. Therefore, the higher the score, the higher the level of social support (</w:t>
      </w:r>
      <w:proofErr w:type="spellStart"/>
      <w:r w:rsidRPr="0066499F">
        <w:rPr>
          <w:bCs/>
        </w:rPr>
        <w:t>Pais</w:t>
      </w:r>
      <w:proofErr w:type="spellEnd"/>
      <w:r w:rsidRPr="0066499F">
        <w:rPr>
          <w:bCs/>
        </w:rPr>
        <w:t xml:space="preserve">-Ribeiro &amp; Ponte, 2009). </w:t>
      </w:r>
    </w:p>
    <w:p w14:paraId="5A4B0C2B" w14:textId="1E3F15AF" w:rsidR="0066499F" w:rsidRPr="0066499F" w:rsidRDefault="0066499F" w:rsidP="0066499F">
      <w:pPr>
        <w:pStyle w:val="SubtituloInterno1"/>
        <w:rPr>
          <w:lang w:val="en-US"/>
        </w:rPr>
      </w:pPr>
      <w:r w:rsidRPr="0066499F">
        <w:rPr>
          <w:bCs/>
          <w:lang w:val="en-US"/>
        </w:rPr>
        <w:t>Th</w:t>
      </w:r>
      <w:r>
        <w:rPr>
          <w:bCs/>
          <w:lang w:val="en-US"/>
        </w:rPr>
        <w:t>e Elders Life Stress Inventory</w:t>
      </w:r>
    </w:p>
    <w:p w14:paraId="62720C2B" w14:textId="77777777" w:rsidR="0066499F" w:rsidRDefault="0066499F" w:rsidP="00164171">
      <w:pPr>
        <w:pStyle w:val="Prrafocomn"/>
        <w:ind w:firstLine="720"/>
        <w:rPr>
          <w:bCs/>
        </w:rPr>
      </w:pPr>
      <w:r w:rsidRPr="0066499F">
        <w:rPr>
          <w:bCs/>
        </w:rPr>
        <w:t>The Elders Life Stress Inventory (ELSI) (</w:t>
      </w:r>
      <w:proofErr w:type="spellStart"/>
      <w:r w:rsidRPr="0066499F">
        <w:rPr>
          <w:bCs/>
        </w:rPr>
        <w:t>Aldwin</w:t>
      </w:r>
      <w:proofErr w:type="spellEnd"/>
      <w:r w:rsidRPr="0066499F">
        <w:rPr>
          <w:bCs/>
        </w:rPr>
        <w:t>, 1990) has been translated and adapted to Portuguese (</w:t>
      </w:r>
      <w:proofErr w:type="spellStart"/>
      <w:r w:rsidRPr="0066499F">
        <w:rPr>
          <w:bCs/>
        </w:rPr>
        <w:t>Batistoni</w:t>
      </w:r>
      <w:proofErr w:type="spellEnd"/>
      <w:r w:rsidRPr="0066499F">
        <w:rPr>
          <w:bCs/>
        </w:rPr>
        <w:t xml:space="preserve">, Cupertino, &amp; </w:t>
      </w:r>
      <w:proofErr w:type="spellStart"/>
      <w:r w:rsidRPr="0066499F">
        <w:rPr>
          <w:bCs/>
        </w:rPr>
        <w:t>Neri</w:t>
      </w:r>
      <w:proofErr w:type="spellEnd"/>
      <w:r w:rsidRPr="0066499F">
        <w:rPr>
          <w:bCs/>
        </w:rPr>
        <w:t xml:space="preserve">, 2009). It is composed by 32 items and the person must mark in each item how stressful the events mentioned were, being 0 corresponding to the event in question did not happen, 1 for events not stressful at all, 2 for little stressful, 3 for events moderately stressful, 4 for very stressful and 5 for extremely stressful. The higher the score, the higher the stress level of the individual. </w:t>
      </w:r>
    </w:p>
    <w:p w14:paraId="5F92E9CA" w14:textId="32C6A971" w:rsidR="00164171" w:rsidRPr="00164171" w:rsidRDefault="00164171" w:rsidP="00164171">
      <w:pPr>
        <w:pStyle w:val="SubtituloInterno1"/>
        <w:rPr>
          <w:lang w:val="en-US"/>
        </w:rPr>
      </w:pPr>
      <w:r>
        <w:rPr>
          <w:bCs/>
          <w:lang w:val="en-US"/>
        </w:rPr>
        <w:t>SOC Questionnaire</w:t>
      </w:r>
      <w:r w:rsidR="0066499F" w:rsidRPr="0066499F">
        <w:rPr>
          <w:bCs/>
          <w:lang w:val="en-US"/>
        </w:rPr>
        <w:t xml:space="preserve"> </w:t>
      </w:r>
    </w:p>
    <w:p w14:paraId="674681A0" w14:textId="77777777" w:rsidR="00164171" w:rsidRDefault="0066499F" w:rsidP="00164171">
      <w:pPr>
        <w:pStyle w:val="Prrafocomn"/>
        <w:ind w:firstLine="720"/>
        <w:rPr>
          <w:bCs/>
        </w:rPr>
      </w:pPr>
      <w:r w:rsidRPr="0066499F">
        <w:rPr>
          <w:bCs/>
        </w:rPr>
        <w:t xml:space="preserve">The SOC questionnaire (Almeida et al, 2013) is an instrument composed by 48 items, being 12 items for each of the 4 sub-scales: (1) elective selection, (2) selection based on losses, (3) optimization and (4) compensation. The instrument is made of two expressions in each of the 48 items, the first being a target phrase that defines the resource of the SOC model and the second phrase a disperser, that is, a possible action, but which is not based on theory. The evaluator is asked to choose which of the statements characterizing the behavior of two fictional individuals, A and B, best describes it. </w:t>
      </w:r>
    </w:p>
    <w:p w14:paraId="2340CED3" w14:textId="77777777" w:rsidR="00164171" w:rsidRDefault="0066499F" w:rsidP="00164171">
      <w:pPr>
        <w:pStyle w:val="Prrafocomn"/>
        <w:ind w:firstLine="720"/>
        <w:rPr>
          <w:bCs/>
        </w:rPr>
      </w:pPr>
      <w:r w:rsidRPr="0066499F">
        <w:rPr>
          <w:bCs/>
        </w:rPr>
        <w:t xml:space="preserve">Depending on the answer chosen, the facet is scored or not, because there is a proper behavior of the evaluated strategy which receives a score, and an opposite behavior, thus, that does not fit the strategy of the SOC model and is not scored. At the end of the completion, the points for each strategy are added up to a maximum total of 12 points for each one, making a maximum total of 48 points for the instrument. High scores </w:t>
      </w:r>
      <w:r w:rsidRPr="0066499F">
        <w:rPr>
          <w:bCs/>
        </w:rPr>
        <w:lastRenderedPageBreak/>
        <w:t xml:space="preserve">show more resilience and indicate that the individual is operating according to the SOC model. </w:t>
      </w:r>
    </w:p>
    <w:p w14:paraId="630D2B1D" w14:textId="79B2AD5C" w:rsidR="00164171" w:rsidRPr="00164171" w:rsidRDefault="00164171" w:rsidP="00164171">
      <w:pPr>
        <w:pStyle w:val="SubtituloInterno1"/>
        <w:rPr>
          <w:lang w:val="en-US"/>
        </w:rPr>
      </w:pPr>
      <w:r>
        <w:rPr>
          <w:bCs/>
          <w:lang w:val="en-US"/>
        </w:rPr>
        <w:t>General Health</w:t>
      </w:r>
    </w:p>
    <w:p w14:paraId="03F0B3C0" w14:textId="64A16F29" w:rsidR="00BA637E" w:rsidRDefault="0066499F" w:rsidP="00164171">
      <w:pPr>
        <w:pStyle w:val="Prrafocomn"/>
        <w:ind w:firstLine="720"/>
        <w:rPr>
          <w:bCs/>
        </w:rPr>
      </w:pPr>
      <w:r w:rsidRPr="0066499F">
        <w:rPr>
          <w:bCs/>
        </w:rPr>
        <w:t>This variable is composed by a question that asks about how the person perceives his/her own health in a general way. There are five answer options, which vary from very bad to excellent.</w:t>
      </w:r>
    </w:p>
    <w:p w14:paraId="0A938B7F" w14:textId="3F7923F5" w:rsidR="00164171" w:rsidRPr="00164171" w:rsidRDefault="00164171" w:rsidP="00164171">
      <w:pPr>
        <w:pStyle w:val="SubtituloInterno1"/>
        <w:rPr>
          <w:lang w:val="en-US"/>
        </w:rPr>
      </w:pPr>
      <w:r>
        <w:rPr>
          <w:bCs/>
          <w:lang w:val="en-US"/>
        </w:rPr>
        <w:t>Comparative Health</w:t>
      </w:r>
    </w:p>
    <w:p w14:paraId="166F6E73" w14:textId="77777777" w:rsidR="00164171" w:rsidRDefault="00164171" w:rsidP="00164171">
      <w:pPr>
        <w:pStyle w:val="Prrafocomn"/>
        <w:ind w:firstLine="720"/>
        <w:rPr>
          <w:bCs/>
        </w:rPr>
      </w:pPr>
      <w:r w:rsidRPr="00164171">
        <w:rPr>
          <w:bCs/>
        </w:rPr>
        <w:t xml:space="preserve">It consists of a question in which the participant is asked to evaluate his or her own health in comparison with that of other people they know of the same age. As an answer, the options are better, equal or worse than most people's health. </w:t>
      </w:r>
    </w:p>
    <w:p w14:paraId="6563190A" w14:textId="0948914E" w:rsidR="00164171" w:rsidRPr="00164171" w:rsidRDefault="00164171" w:rsidP="00164171">
      <w:pPr>
        <w:pStyle w:val="SubtituloInterno1"/>
        <w:rPr>
          <w:lang w:val="en-US"/>
        </w:rPr>
      </w:pPr>
      <w:r w:rsidRPr="00164171">
        <w:rPr>
          <w:bCs/>
          <w:lang w:val="en-US"/>
        </w:rPr>
        <w:t xml:space="preserve">Data Analysis </w:t>
      </w:r>
    </w:p>
    <w:p w14:paraId="41717F4A" w14:textId="77777777" w:rsidR="00164171" w:rsidRDefault="00164171" w:rsidP="00164171">
      <w:pPr>
        <w:pStyle w:val="Prrafocomn"/>
      </w:pPr>
      <w:r w:rsidRPr="00164171">
        <w:rPr>
          <w:bCs/>
        </w:rPr>
        <w:t>The variables SOC, depression, stress and social support were treated as dichotomous. For this purpose, the median was used as a reference for the cutoff point in the analysis. Analyses were conducted with Pearson's Chi-square test (</w:t>
      </w:r>
      <w:r w:rsidRPr="00164171">
        <w:rPr>
          <w:bCs/>
          <w:lang w:val="es-AR"/>
        </w:rPr>
        <w:t>χ</w:t>
      </w:r>
      <w:r w:rsidRPr="00164171">
        <w:rPr>
          <w:bCs/>
        </w:rPr>
        <w:t>²), to test the association between depression and the variables: gender, schooling, income, general health, comparative health, stress and SOC. Mantel Haenszel's interaction test was performed to verify if the SOC variable acted as an effect modifier in the association between stress and depression. Later, logistic regression was performed, using the Stepwise selection method, to evaluate the association of the variables considered significant (p</w:t>
      </w:r>
      <w:r>
        <w:rPr>
          <w:rFonts w:ascii="Arial" w:hAnsi="Arial" w:cs="Arial"/>
          <w:color w:val="4D5156"/>
          <w:sz w:val="21"/>
          <w:szCs w:val="21"/>
          <w:shd w:val="clear" w:color="auto" w:fill="FFFFFF"/>
        </w:rPr>
        <w:t>&lt;</w:t>
      </w:r>
      <w:r>
        <w:rPr>
          <w:bCs/>
        </w:rPr>
        <w:t>0</w:t>
      </w:r>
      <w:r>
        <w:t xml:space="preserve">.05) with depression. In addition, social support was included due to the possibility of being a confounding due to its possible impact on depression. </w:t>
      </w:r>
    </w:p>
    <w:p w14:paraId="203255B5" w14:textId="310FAD20" w:rsidR="00164171" w:rsidRPr="00164171" w:rsidRDefault="00164171" w:rsidP="00164171">
      <w:pPr>
        <w:pStyle w:val="Prrafocomn"/>
        <w:rPr>
          <w:bCs/>
        </w:rPr>
      </w:pPr>
      <w:r>
        <w:t>The calculation of the odds ratio, and its respective 95% confidence intervals, was carried out in order to compare the probability of the elderly having depression in relation to stress levels and the use of SOC resources. The data were analyzed using the statistical program R.</w:t>
      </w:r>
    </w:p>
    <w:p w14:paraId="6F711A20" w14:textId="579A4214" w:rsidR="008565A0" w:rsidRPr="00164171" w:rsidRDefault="00A2611C" w:rsidP="00164171">
      <w:pPr>
        <w:pStyle w:val="Ttulosinternos"/>
        <w:rPr>
          <w:lang w:val="en-US"/>
        </w:rPr>
      </w:pPr>
      <w:r w:rsidRPr="00A2611C">
        <w:rPr>
          <w:lang w:val="en-US"/>
        </w:rPr>
        <w:t>Results</w:t>
      </w:r>
    </w:p>
    <w:p w14:paraId="5A3430E3" w14:textId="77777777" w:rsidR="00164171" w:rsidRDefault="00164171" w:rsidP="002A1733">
      <w:pPr>
        <w:pStyle w:val="Prrafocomn"/>
        <w:spacing w:line="360" w:lineRule="exact"/>
        <w:ind w:firstLine="709"/>
        <w:rPr>
          <w:bCs/>
        </w:rPr>
      </w:pPr>
      <w:r w:rsidRPr="00164171">
        <w:rPr>
          <w:bCs/>
        </w:rPr>
        <w:t xml:space="preserve">The sample was composed by 196 elderly, between 60 and 87 years old, being 81.6% female, and 176 seniors were members of groups linked to public services or college extension projects, such as “Academia da </w:t>
      </w:r>
      <w:proofErr w:type="spellStart"/>
      <w:r w:rsidRPr="00164171">
        <w:rPr>
          <w:bCs/>
        </w:rPr>
        <w:t>Cidade</w:t>
      </w:r>
      <w:proofErr w:type="spellEnd"/>
      <w:r w:rsidRPr="00164171">
        <w:rPr>
          <w:bCs/>
        </w:rPr>
        <w:t>” (City Gym) and “</w:t>
      </w:r>
      <w:proofErr w:type="spellStart"/>
      <w:r w:rsidRPr="00164171">
        <w:rPr>
          <w:bCs/>
        </w:rPr>
        <w:t>Programa</w:t>
      </w:r>
      <w:proofErr w:type="spellEnd"/>
      <w:r w:rsidRPr="00164171">
        <w:rPr>
          <w:bCs/>
        </w:rPr>
        <w:t xml:space="preserve"> </w:t>
      </w:r>
      <w:proofErr w:type="spellStart"/>
      <w:r w:rsidRPr="00164171">
        <w:rPr>
          <w:bCs/>
        </w:rPr>
        <w:lastRenderedPageBreak/>
        <w:t>Envelhecimento</w:t>
      </w:r>
      <w:proofErr w:type="spellEnd"/>
      <w:r w:rsidRPr="00164171">
        <w:rPr>
          <w:bCs/>
        </w:rPr>
        <w:t xml:space="preserve"> </w:t>
      </w:r>
      <w:proofErr w:type="spellStart"/>
      <w:r w:rsidRPr="00164171">
        <w:rPr>
          <w:bCs/>
        </w:rPr>
        <w:t>Ativo</w:t>
      </w:r>
      <w:proofErr w:type="spellEnd"/>
      <w:r w:rsidRPr="00164171">
        <w:rPr>
          <w:bCs/>
        </w:rPr>
        <w:t>” (Active Aging Program), respectively. The rest of the elderly were linked to groups of private institutions. The percentage of elderly people with about 9 years of schooling was high, being 20% with a college degree, 5.5% with incomplete college degree, 44% with high school degree, 21.5% elementary school and 9% who can read and write without formal study.</w:t>
      </w:r>
    </w:p>
    <w:p w14:paraId="77BED087" w14:textId="137FE10F" w:rsidR="00164171" w:rsidRDefault="00164171" w:rsidP="002A1733">
      <w:pPr>
        <w:pStyle w:val="Prrafocomn"/>
        <w:spacing w:line="360" w:lineRule="exact"/>
        <w:ind w:firstLine="709"/>
        <w:rPr>
          <w:bCs/>
        </w:rPr>
      </w:pPr>
      <w:r w:rsidRPr="00164171">
        <w:rPr>
          <w:bCs/>
        </w:rPr>
        <w:t>The distribution of the population according to income was bigger betw</w:t>
      </w:r>
      <w:r w:rsidR="00B01635">
        <w:rPr>
          <w:bCs/>
        </w:rPr>
        <w:t>een 1.1 and 2 minimum wages (25.</w:t>
      </w:r>
      <w:r w:rsidRPr="00164171">
        <w:rPr>
          <w:bCs/>
        </w:rPr>
        <w:t>4%) and it occurred greater homogeneity</w:t>
      </w:r>
      <w:r w:rsidR="00B01635">
        <w:rPr>
          <w:bCs/>
        </w:rPr>
        <w:t xml:space="preserve"> on the other income groups: 15.</w:t>
      </w:r>
      <w:r w:rsidRPr="00164171">
        <w:rPr>
          <w:bCs/>
        </w:rPr>
        <w:t>2% of people that re</w:t>
      </w:r>
      <w:r w:rsidR="00B01635">
        <w:rPr>
          <w:bCs/>
        </w:rPr>
        <w:t>ceived up to a minimum wage; 18.</w:t>
      </w:r>
      <w:r w:rsidRPr="00164171">
        <w:rPr>
          <w:bCs/>
        </w:rPr>
        <w:t xml:space="preserve">3% </w:t>
      </w:r>
      <w:r w:rsidR="00B01635">
        <w:rPr>
          <w:bCs/>
        </w:rPr>
        <w:t>from 2.1 to 3 minimum wages; 20.8% received from 3.1 to 4 minimum wages; and 20.</w:t>
      </w:r>
      <w:r w:rsidRPr="00164171">
        <w:rPr>
          <w:bCs/>
        </w:rPr>
        <w:t>3% received more than 4 minimum wages. Before the transformation as dichotomy, the media of the</w:t>
      </w:r>
      <w:r w:rsidR="00B01635">
        <w:rPr>
          <w:bCs/>
        </w:rPr>
        <w:t xml:space="preserve"> variable Social Support was 82.</w:t>
      </w:r>
      <w:r w:rsidRPr="00164171">
        <w:rPr>
          <w:bCs/>
        </w:rPr>
        <w:t xml:space="preserve">42 and </w:t>
      </w:r>
      <w:r w:rsidR="00B01635">
        <w:rPr>
          <w:bCs/>
        </w:rPr>
        <w:t>median of 86.</w:t>
      </w:r>
      <w:r w:rsidRPr="00164171">
        <w:rPr>
          <w:bCs/>
        </w:rPr>
        <w:t>32 points.</w:t>
      </w:r>
    </w:p>
    <w:p w14:paraId="697B6855" w14:textId="77777777" w:rsidR="00164171" w:rsidRDefault="00164171" w:rsidP="002A1733">
      <w:pPr>
        <w:pStyle w:val="Prrafocomn"/>
        <w:spacing w:line="360" w:lineRule="exact"/>
        <w:ind w:firstLine="709"/>
        <w:rPr>
          <w:bCs/>
        </w:rPr>
      </w:pPr>
      <w:r w:rsidRPr="00164171">
        <w:rPr>
          <w:bCs/>
        </w:rPr>
        <w:t xml:space="preserve">Regarding self-perception of health in general, 51.5% of the elderly considered their health good, 27.5% defined it as very good or excellent and 21% as reasonable or very bad. When asked to evaluate health compared to other people of the same age group, 50.2% considered their health to be equal or worse than most and 49.7% consider that their health is better than most. The average of the SOC variable in the sample was high compared to the maximum score of 48 (M = 33.28) and the median, used as a cutoff point for the analyses was 34 points. Regarding stressors, the mean was 18.77 and the median was equivalent to 13.5 points. </w:t>
      </w:r>
    </w:p>
    <w:p w14:paraId="58E7F739" w14:textId="3C3F9AE9" w:rsidR="00A2179E" w:rsidRDefault="00164171" w:rsidP="00A2179E">
      <w:pPr>
        <w:pStyle w:val="Prrafocomn"/>
        <w:spacing w:line="360" w:lineRule="exact"/>
        <w:ind w:firstLine="709"/>
        <w:rPr>
          <w:bCs/>
        </w:rPr>
      </w:pPr>
      <w:r w:rsidRPr="00164171">
        <w:rPr>
          <w:bCs/>
        </w:rPr>
        <w:t xml:space="preserve">The prevalence of elderly people with depression in this sample corresponds to 19.5%. In Pearson's Chi-square test, the presence of depression obtained a higher percentage among elderly with income between 1.1 and 2 minimum wages; with little social support; with little use of SOC resources; with confrontation of many stressors; and with self-perceived health as reasonable/poor. However, depression was significantly associated only with SOC, Stressors, and General Health (Table 1). The use of SOC resources behaved as an effect modifier (Mantel Haenszel, </w:t>
      </w:r>
      <w:r w:rsidRPr="00164171">
        <w:rPr>
          <w:bCs/>
          <w:lang w:val="es-AR"/>
        </w:rPr>
        <w:t>χ</w:t>
      </w:r>
      <w:r w:rsidRPr="00164171">
        <w:rPr>
          <w:bCs/>
        </w:rPr>
        <w:t>² = 5.942, p=0.015) for the association between stressors and depression</w:t>
      </w:r>
      <w:r>
        <w:rPr>
          <w:bCs/>
        </w:rPr>
        <w:t>.</w:t>
      </w:r>
    </w:p>
    <w:p w14:paraId="6F26A21A" w14:textId="5B32CA30" w:rsidR="00A2179E" w:rsidRPr="00A2179E" w:rsidRDefault="00A2179E" w:rsidP="00A2179E">
      <w:pPr>
        <w:pStyle w:val="Prrafocomn"/>
        <w:spacing w:line="360" w:lineRule="exact"/>
        <w:ind w:firstLine="709"/>
        <w:rPr>
          <w:bCs/>
        </w:rPr>
      </w:pPr>
      <w:r w:rsidRPr="00A2179E">
        <w:rPr>
          <w:bCs/>
        </w:rPr>
        <w:t>In logistic regression, it was observed that the variables that had statistically significant association with depression were: self-perceived health (p-value = 0.025), stress (p-value = 0.017) and SOC (p-value = 0.014). The prerequisite of absence of multicollinearity was met, since the tolerance values are greater than 0.1 and the VIF (variance inflation factors) less than 10. Moreover, within each category of independent variables, there were a minimum of 50 cases, which allowed the analysis of Logistic Regression. The adjustment quality tests are all higher than the 0.05 significance level, which indicates that there is not enough evidence to conclude that the model does not adjust to the data.</w:t>
      </w:r>
    </w:p>
    <w:p w14:paraId="10FE8A4F" w14:textId="77777777" w:rsidR="00A2179E" w:rsidRDefault="00A2179E" w:rsidP="00A2179E">
      <w:pPr>
        <w:pStyle w:val="Prrafocomn"/>
        <w:spacing w:line="360" w:lineRule="exact"/>
        <w:ind w:firstLine="0"/>
        <w:rPr>
          <w:rFonts w:eastAsia="Calibri"/>
          <w:b/>
          <w:lang w:eastAsia="en-US"/>
        </w:rPr>
      </w:pPr>
    </w:p>
    <w:p w14:paraId="6FB28E57" w14:textId="77777777" w:rsidR="00A2179E" w:rsidRDefault="00A2179E" w:rsidP="00A2179E">
      <w:pPr>
        <w:pStyle w:val="Prrafocomn"/>
        <w:spacing w:line="360" w:lineRule="exact"/>
        <w:ind w:firstLine="0"/>
        <w:rPr>
          <w:rFonts w:eastAsia="Calibri"/>
          <w:b/>
          <w:lang w:eastAsia="en-US"/>
        </w:rPr>
      </w:pPr>
    </w:p>
    <w:p w14:paraId="2F4FA17D" w14:textId="1B50394A" w:rsidR="00A2179E" w:rsidRPr="00A2179E" w:rsidRDefault="00A2179E" w:rsidP="00A2179E">
      <w:pPr>
        <w:pStyle w:val="Prrafocomn"/>
        <w:spacing w:line="360" w:lineRule="exact"/>
        <w:ind w:firstLine="0"/>
        <w:rPr>
          <w:rFonts w:eastAsia="Calibri"/>
          <w:b/>
          <w:lang w:eastAsia="en-US"/>
        </w:rPr>
      </w:pPr>
      <w:r w:rsidRPr="00A2179E">
        <w:rPr>
          <w:rFonts w:eastAsia="Calibri"/>
          <w:b/>
          <w:lang w:eastAsia="en-US"/>
        </w:rPr>
        <w:lastRenderedPageBreak/>
        <w:t>Table 1</w:t>
      </w:r>
    </w:p>
    <w:p w14:paraId="5424095E" w14:textId="30A366E8" w:rsidR="00A2179E" w:rsidRPr="00A2179E" w:rsidRDefault="00A2179E" w:rsidP="00A2179E">
      <w:pPr>
        <w:pStyle w:val="Prrafocomn"/>
        <w:spacing w:line="360" w:lineRule="exact"/>
        <w:ind w:firstLine="0"/>
        <w:rPr>
          <w:bCs/>
          <w:i/>
        </w:rPr>
      </w:pPr>
      <w:r w:rsidRPr="00A2179E">
        <w:rPr>
          <w:rFonts w:eastAsia="Calibri"/>
          <w:i/>
          <w:lang w:eastAsia="en-US"/>
        </w:rPr>
        <w:t>Distribution of sociodemographic characteristics, social support, general health, Stress and SOC by total sample and Depression</w:t>
      </w:r>
    </w:p>
    <w:tbl>
      <w:tblPr>
        <w:tblW w:w="5000" w:type="pct"/>
        <w:tblLayout w:type="fixed"/>
        <w:tblCellMar>
          <w:left w:w="70" w:type="dxa"/>
          <w:right w:w="70" w:type="dxa"/>
        </w:tblCellMar>
        <w:tblLook w:val="04A0" w:firstRow="1" w:lastRow="0" w:firstColumn="1" w:lastColumn="0" w:noHBand="0" w:noVBand="1"/>
      </w:tblPr>
      <w:tblGrid>
        <w:gridCol w:w="911"/>
        <w:gridCol w:w="1924"/>
        <w:gridCol w:w="747"/>
        <w:gridCol w:w="820"/>
        <w:gridCol w:w="820"/>
        <w:gridCol w:w="820"/>
        <w:gridCol w:w="820"/>
        <w:gridCol w:w="821"/>
        <w:gridCol w:w="821"/>
      </w:tblGrid>
      <w:tr w:rsidR="00A2179E" w:rsidRPr="00A2179E" w14:paraId="7A38E60D" w14:textId="77777777" w:rsidTr="0091040E">
        <w:trPr>
          <w:trHeight w:val="330"/>
        </w:trPr>
        <w:tc>
          <w:tcPr>
            <w:tcW w:w="1667"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5883298" w14:textId="77777777" w:rsidR="00A2179E" w:rsidRPr="00A2179E" w:rsidRDefault="00A2179E" w:rsidP="00A2179E">
            <w:pPr>
              <w:spacing w:line="360" w:lineRule="auto"/>
              <w:jc w:val="center"/>
              <w:rPr>
                <w:rFonts w:eastAsia="Calibri"/>
                <w:b/>
                <w:color w:val="000000"/>
                <w:sz w:val="22"/>
                <w:szCs w:val="22"/>
                <w:lang w:val="pt-BR" w:eastAsia="en-US"/>
              </w:rPr>
            </w:pPr>
            <w:r w:rsidRPr="00A2179E">
              <w:rPr>
                <w:rFonts w:eastAsia="Calibri"/>
                <w:b/>
                <w:color w:val="000000"/>
                <w:sz w:val="22"/>
                <w:szCs w:val="22"/>
                <w:lang w:val="pt-BR" w:eastAsia="en-US"/>
              </w:rPr>
              <w:t>Variable</w:t>
            </w:r>
          </w:p>
        </w:tc>
        <w:tc>
          <w:tcPr>
            <w:tcW w:w="921"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509A3B8" w14:textId="77777777" w:rsidR="00A2179E" w:rsidRPr="00A2179E" w:rsidRDefault="00A2179E" w:rsidP="00A2179E">
            <w:pPr>
              <w:spacing w:line="360" w:lineRule="auto"/>
              <w:jc w:val="center"/>
              <w:rPr>
                <w:rFonts w:eastAsia="Calibri"/>
                <w:b/>
                <w:color w:val="000000"/>
                <w:sz w:val="22"/>
                <w:szCs w:val="22"/>
                <w:lang w:val="pt-BR" w:eastAsia="en-US"/>
              </w:rPr>
            </w:pPr>
            <w:r w:rsidRPr="00A2179E">
              <w:rPr>
                <w:rFonts w:eastAsia="Calibri"/>
                <w:b/>
                <w:color w:val="000000"/>
                <w:sz w:val="22"/>
                <w:szCs w:val="22"/>
                <w:lang w:val="pt-BR" w:eastAsia="en-US"/>
              </w:rPr>
              <w:t>Total sample</w:t>
            </w:r>
          </w:p>
        </w:tc>
        <w:tc>
          <w:tcPr>
            <w:tcW w:w="2412" w:type="pct"/>
            <w:gridSpan w:val="5"/>
            <w:tcBorders>
              <w:top w:val="single" w:sz="4" w:space="0" w:color="auto"/>
              <w:left w:val="nil"/>
              <w:bottom w:val="single" w:sz="4" w:space="0" w:color="auto"/>
            </w:tcBorders>
            <w:shd w:val="clear" w:color="000000" w:fill="FFFFFF"/>
            <w:vAlign w:val="center"/>
            <w:hideMark/>
          </w:tcPr>
          <w:p w14:paraId="6DDAB404" w14:textId="77777777" w:rsidR="00A2179E" w:rsidRPr="00A2179E" w:rsidRDefault="00A2179E" w:rsidP="00A2179E">
            <w:pPr>
              <w:spacing w:line="360" w:lineRule="auto"/>
              <w:jc w:val="center"/>
              <w:rPr>
                <w:rFonts w:eastAsia="Calibri"/>
                <w:b/>
                <w:color w:val="000000"/>
                <w:sz w:val="22"/>
                <w:szCs w:val="22"/>
                <w:lang w:val="pt-BR" w:eastAsia="en-US"/>
              </w:rPr>
            </w:pPr>
            <w:proofErr w:type="spellStart"/>
            <w:r w:rsidRPr="00A2179E">
              <w:rPr>
                <w:rFonts w:eastAsia="Calibri"/>
                <w:b/>
                <w:color w:val="000000"/>
                <w:sz w:val="22"/>
                <w:szCs w:val="22"/>
                <w:lang w:val="pt-BR" w:eastAsia="en-US"/>
              </w:rPr>
              <w:t>Depression</w:t>
            </w:r>
            <w:proofErr w:type="spellEnd"/>
          </w:p>
        </w:tc>
      </w:tr>
      <w:tr w:rsidR="00A2179E" w:rsidRPr="00A2179E" w14:paraId="29290492" w14:textId="77777777" w:rsidTr="00B01635">
        <w:trPr>
          <w:trHeight w:val="480"/>
        </w:trPr>
        <w:tc>
          <w:tcPr>
            <w:tcW w:w="1667" w:type="pct"/>
            <w:gridSpan w:val="2"/>
            <w:vMerge/>
            <w:tcBorders>
              <w:top w:val="single" w:sz="4" w:space="0" w:color="auto"/>
              <w:left w:val="nil"/>
              <w:bottom w:val="single" w:sz="4" w:space="0" w:color="auto"/>
              <w:right w:val="single" w:sz="4" w:space="0" w:color="auto"/>
            </w:tcBorders>
            <w:vAlign w:val="center"/>
            <w:hideMark/>
          </w:tcPr>
          <w:p w14:paraId="73DE7070" w14:textId="77777777" w:rsidR="00A2179E" w:rsidRPr="00A2179E" w:rsidRDefault="00A2179E" w:rsidP="00A2179E">
            <w:pPr>
              <w:spacing w:line="360" w:lineRule="auto"/>
              <w:jc w:val="center"/>
              <w:rPr>
                <w:rFonts w:eastAsia="Calibri"/>
                <w:color w:val="000000"/>
                <w:sz w:val="22"/>
                <w:szCs w:val="22"/>
                <w:lang w:val="pt-BR" w:eastAsia="en-US"/>
              </w:rPr>
            </w:pPr>
          </w:p>
        </w:tc>
        <w:tc>
          <w:tcPr>
            <w:tcW w:w="921" w:type="pct"/>
            <w:gridSpan w:val="2"/>
            <w:vMerge/>
            <w:tcBorders>
              <w:top w:val="single" w:sz="4" w:space="0" w:color="auto"/>
              <w:left w:val="nil"/>
              <w:bottom w:val="single" w:sz="4" w:space="0" w:color="auto"/>
              <w:right w:val="single" w:sz="4" w:space="0" w:color="auto"/>
            </w:tcBorders>
            <w:vAlign w:val="center"/>
            <w:hideMark/>
          </w:tcPr>
          <w:p w14:paraId="378C724C" w14:textId="77777777" w:rsidR="00A2179E" w:rsidRPr="00A2179E" w:rsidRDefault="00A2179E" w:rsidP="00A2179E">
            <w:pPr>
              <w:spacing w:line="360" w:lineRule="auto"/>
              <w:jc w:val="center"/>
              <w:rPr>
                <w:rFonts w:eastAsia="Calibri"/>
                <w:b/>
                <w:color w:val="000000"/>
                <w:sz w:val="22"/>
                <w:szCs w:val="22"/>
                <w:lang w:val="pt-BR" w:eastAsia="en-US"/>
              </w:rPr>
            </w:pPr>
          </w:p>
        </w:tc>
        <w:tc>
          <w:tcPr>
            <w:tcW w:w="964" w:type="pct"/>
            <w:gridSpan w:val="2"/>
            <w:tcBorders>
              <w:top w:val="single" w:sz="4" w:space="0" w:color="auto"/>
              <w:left w:val="nil"/>
              <w:bottom w:val="single" w:sz="4" w:space="0" w:color="auto"/>
            </w:tcBorders>
            <w:shd w:val="clear" w:color="000000" w:fill="FFFFFF"/>
            <w:vAlign w:val="center"/>
            <w:hideMark/>
          </w:tcPr>
          <w:p w14:paraId="22099FF5" w14:textId="77777777" w:rsidR="00A2179E" w:rsidRPr="00A2179E" w:rsidRDefault="00A2179E" w:rsidP="00A2179E">
            <w:pPr>
              <w:spacing w:line="360" w:lineRule="auto"/>
              <w:jc w:val="center"/>
              <w:rPr>
                <w:rFonts w:eastAsia="Calibri"/>
                <w:b/>
                <w:color w:val="000000"/>
                <w:sz w:val="22"/>
                <w:szCs w:val="22"/>
                <w:lang w:val="pt-BR" w:eastAsia="en-US"/>
              </w:rPr>
            </w:pPr>
            <w:proofErr w:type="spellStart"/>
            <w:r w:rsidRPr="00A2179E">
              <w:rPr>
                <w:rFonts w:eastAsia="Calibri"/>
                <w:b/>
                <w:color w:val="000000"/>
                <w:sz w:val="22"/>
                <w:szCs w:val="22"/>
                <w:lang w:val="pt-BR" w:eastAsia="en-US"/>
              </w:rPr>
              <w:t>With</w:t>
            </w:r>
            <w:proofErr w:type="spellEnd"/>
            <w:r w:rsidRPr="00A2179E">
              <w:rPr>
                <w:rFonts w:eastAsia="Calibri"/>
                <w:b/>
                <w:color w:val="000000"/>
                <w:sz w:val="22"/>
                <w:szCs w:val="22"/>
                <w:lang w:val="pt-BR" w:eastAsia="en-US"/>
              </w:rPr>
              <w:t xml:space="preserve"> </w:t>
            </w:r>
            <w:proofErr w:type="spellStart"/>
            <w:r w:rsidRPr="00A2179E">
              <w:rPr>
                <w:rFonts w:eastAsia="Calibri"/>
                <w:b/>
                <w:color w:val="000000"/>
                <w:sz w:val="22"/>
                <w:szCs w:val="22"/>
                <w:lang w:val="pt-BR" w:eastAsia="en-US"/>
              </w:rPr>
              <w:t>Depressive</w:t>
            </w:r>
            <w:proofErr w:type="spellEnd"/>
            <w:r w:rsidRPr="00A2179E">
              <w:rPr>
                <w:rFonts w:eastAsia="Calibri"/>
                <w:b/>
                <w:color w:val="000000"/>
                <w:sz w:val="22"/>
                <w:szCs w:val="22"/>
                <w:lang w:val="pt-BR" w:eastAsia="en-US"/>
              </w:rPr>
              <w:t xml:space="preserve"> </w:t>
            </w:r>
            <w:proofErr w:type="spellStart"/>
            <w:r w:rsidRPr="00A2179E">
              <w:rPr>
                <w:rFonts w:eastAsia="Calibri"/>
                <w:b/>
                <w:color w:val="000000"/>
                <w:sz w:val="22"/>
                <w:szCs w:val="22"/>
                <w:lang w:val="pt-BR" w:eastAsia="en-US"/>
              </w:rPr>
              <w:t>Symptoms</w:t>
            </w:r>
            <w:proofErr w:type="spellEnd"/>
          </w:p>
        </w:tc>
        <w:tc>
          <w:tcPr>
            <w:tcW w:w="965" w:type="pct"/>
            <w:gridSpan w:val="2"/>
            <w:tcBorders>
              <w:top w:val="single" w:sz="4" w:space="0" w:color="auto"/>
              <w:bottom w:val="single" w:sz="4" w:space="0" w:color="auto"/>
            </w:tcBorders>
            <w:shd w:val="clear" w:color="000000" w:fill="FFFFFF"/>
            <w:vAlign w:val="center"/>
            <w:hideMark/>
          </w:tcPr>
          <w:p w14:paraId="664A4561" w14:textId="77777777" w:rsidR="00A2179E" w:rsidRPr="00A2179E" w:rsidRDefault="00A2179E" w:rsidP="00A2179E">
            <w:pPr>
              <w:spacing w:line="360" w:lineRule="auto"/>
              <w:jc w:val="center"/>
              <w:rPr>
                <w:rFonts w:eastAsia="Calibri"/>
                <w:b/>
                <w:color w:val="000000"/>
                <w:sz w:val="22"/>
                <w:szCs w:val="22"/>
                <w:lang w:val="pt-BR" w:eastAsia="en-US"/>
              </w:rPr>
            </w:pPr>
            <w:proofErr w:type="spellStart"/>
            <w:r w:rsidRPr="00A2179E">
              <w:rPr>
                <w:rFonts w:eastAsia="Calibri"/>
                <w:b/>
                <w:color w:val="000000"/>
                <w:sz w:val="22"/>
                <w:szCs w:val="22"/>
                <w:lang w:val="pt-BR" w:eastAsia="en-US"/>
              </w:rPr>
              <w:t>Without</w:t>
            </w:r>
            <w:proofErr w:type="spellEnd"/>
            <w:r w:rsidRPr="00A2179E">
              <w:rPr>
                <w:rFonts w:eastAsia="Calibri"/>
                <w:b/>
                <w:color w:val="000000"/>
                <w:sz w:val="22"/>
                <w:szCs w:val="22"/>
                <w:lang w:val="pt-BR" w:eastAsia="en-US"/>
              </w:rPr>
              <w:t xml:space="preserve"> </w:t>
            </w:r>
            <w:proofErr w:type="spellStart"/>
            <w:r w:rsidRPr="00A2179E">
              <w:rPr>
                <w:rFonts w:eastAsia="Calibri"/>
                <w:b/>
                <w:color w:val="000000"/>
                <w:sz w:val="22"/>
                <w:szCs w:val="22"/>
                <w:lang w:val="pt-BR" w:eastAsia="en-US"/>
              </w:rPr>
              <w:t>Depression</w:t>
            </w:r>
            <w:proofErr w:type="spellEnd"/>
          </w:p>
        </w:tc>
        <w:tc>
          <w:tcPr>
            <w:tcW w:w="483" w:type="pct"/>
            <w:tcBorders>
              <w:top w:val="nil"/>
              <w:left w:val="nil"/>
              <w:bottom w:val="single" w:sz="4" w:space="0" w:color="auto"/>
            </w:tcBorders>
            <w:shd w:val="clear" w:color="000000" w:fill="FFFFFF"/>
            <w:vAlign w:val="center"/>
            <w:hideMark/>
          </w:tcPr>
          <w:p w14:paraId="4A54901A" w14:textId="77777777" w:rsidR="00A2179E" w:rsidRPr="00A2179E" w:rsidRDefault="00A2179E" w:rsidP="00A2179E">
            <w:pPr>
              <w:spacing w:line="360" w:lineRule="auto"/>
              <w:jc w:val="center"/>
              <w:rPr>
                <w:rFonts w:eastAsia="Calibri"/>
                <w:color w:val="000000"/>
                <w:sz w:val="22"/>
                <w:szCs w:val="22"/>
                <w:lang w:val="pt-BR" w:eastAsia="en-US"/>
              </w:rPr>
            </w:pPr>
          </w:p>
        </w:tc>
      </w:tr>
      <w:tr w:rsidR="00A2179E" w:rsidRPr="00A2179E" w14:paraId="03A63B8B" w14:textId="77777777" w:rsidTr="00B01635">
        <w:trPr>
          <w:trHeight w:val="525"/>
        </w:trPr>
        <w:tc>
          <w:tcPr>
            <w:tcW w:w="1667" w:type="pct"/>
            <w:gridSpan w:val="2"/>
            <w:vMerge/>
            <w:tcBorders>
              <w:top w:val="single" w:sz="4" w:space="0" w:color="auto"/>
              <w:left w:val="nil"/>
              <w:bottom w:val="single" w:sz="4" w:space="0" w:color="auto"/>
              <w:right w:val="single" w:sz="4" w:space="0" w:color="auto"/>
            </w:tcBorders>
            <w:vAlign w:val="center"/>
            <w:hideMark/>
          </w:tcPr>
          <w:p w14:paraId="25A127B0" w14:textId="77777777" w:rsidR="00A2179E" w:rsidRPr="00A2179E" w:rsidRDefault="00A2179E" w:rsidP="00A2179E">
            <w:pPr>
              <w:spacing w:line="360" w:lineRule="auto"/>
              <w:jc w:val="center"/>
              <w:rPr>
                <w:rFonts w:eastAsia="Calibri"/>
                <w:color w:val="000000"/>
                <w:sz w:val="22"/>
                <w:szCs w:val="22"/>
                <w:lang w:val="pt-BR" w:eastAsia="en-US"/>
              </w:rPr>
            </w:pPr>
          </w:p>
        </w:tc>
        <w:tc>
          <w:tcPr>
            <w:tcW w:w="439" w:type="pct"/>
            <w:tcBorders>
              <w:top w:val="nil"/>
              <w:left w:val="nil"/>
              <w:bottom w:val="single" w:sz="4" w:space="0" w:color="auto"/>
              <w:right w:val="nil"/>
            </w:tcBorders>
            <w:shd w:val="clear" w:color="000000" w:fill="FFFFFF"/>
            <w:vAlign w:val="center"/>
            <w:hideMark/>
          </w:tcPr>
          <w:p w14:paraId="327C4BD4"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n</w:t>
            </w:r>
          </w:p>
        </w:tc>
        <w:tc>
          <w:tcPr>
            <w:tcW w:w="482" w:type="pct"/>
            <w:tcBorders>
              <w:top w:val="nil"/>
              <w:left w:val="nil"/>
              <w:bottom w:val="single" w:sz="4" w:space="0" w:color="auto"/>
              <w:right w:val="nil"/>
            </w:tcBorders>
            <w:shd w:val="clear" w:color="000000" w:fill="FFFFFF"/>
            <w:vAlign w:val="center"/>
            <w:hideMark/>
          </w:tcPr>
          <w:p w14:paraId="6575C307"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w:t>
            </w:r>
          </w:p>
        </w:tc>
        <w:tc>
          <w:tcPr>
            <w:tcW w:w="482" w:type="pct"/>
            <w:tcBorders>
              <w:top w:val="nil"/>
              <w:left w:val="nil"/>
              <w:bottom w:val="single" w:sz="4" w:space="0" w:color="auto"/>
              <w:right w:val="nil"/>
            </w:tcBorders>
            <w:shd w:val="clear" w:color="000000" w:fill="FFFFFF"/>
            <w:vAlign w:val="center"/>
            <w:hideMark/>
          </w:tcPr>
          <w:p w14:paraId="71C7DA87"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N</w:t>
            </w:r>
          </w:p>
        </w:tc>
        <w:tc>
          <w:tcPr>
            <w:tcW w:w="482" w:type="pct"/>
            <w:tcBorders>
              <w:top w:val="nil"/>
              <w:left w:val="nil"/>
              <w:bottom w:val="single" w:sz="4" w:space="0" w:color="auto"/>
              <w:right w:val="nil"/>
            </w:tcBorders>
            <w:shd w:val="clear" w:color="000000" w:fill="FFFFFF"/>
            <w:vAlign w:val="center"/>
            <w:hideMark/>
          </w:tcPr>
          <w:p w14:paraId="1B1757F8"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w:t>
            </w:r>
          </w:p>
        </w:tc>
        <w:tc>
          <w:tcPr>
            <w:tcW w:w="482" w:type="pct"/>
            <w:tcBorders>
              <w:top w:val="nil"/>
              <w:left w:val="nil"/>
              <w:bottom w:val="single" w:sz="4" w:space="0" w:color="auto"/>
              <w:right w:val="nil"/>
            </w:tcBorders>
            <w:shd w:val="clear" w:color="000000" w:fill="FFFFFF"/>
            <w:vAlign w:val="center"/>
            <w:hideMark/>
          </w:tcPr>
          <w:p w14:paraId="6996805C"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n</w:t>
            </w:r>
          </w:p>
        </w:tc>
        <w:tc>
          <w:tcPr>
            <w:tcW w:w="483" w:type="pct"/>
            <w:tcBorders>
              <w:top w:val="nil"/>
              <w:left w:val="nil"/>
              <w:bottom w:val="single" w:sz="4" w:space="0" w:color="auto"/>
              <w:right w:val="nil"/>
            </w:tcBorders>
            <w:shd w:val="clear" w:color="000000" w:fill="FFFFFF"/>
            <w:vAlign w:val="center"/>
            <w:hideMark/>
          </w:tcPr>
          <w:p w14:paraId="4DC73D43"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w:t>
            </w:r>
          </w:p>
        </w:tc>
        <w:tc>
          <w:tcPr>
            <w:tcW w:w="483" w:type="pct"/>
            <w:tcBorders>
              <w:top w:val="nil"/>
              <w:left w:val="nil"/>
              <w:bottom w:val="single" w:sz="4" w:space="0" w:color="auto"/>
              <w:right w:val="nil"/>
            </w:tcBorders>
            <w:shd w:val="clear" w:color="000000" w:fill="FFFFFF"/>
            <w:vAlign w:val="center"/>
            <w:hideMark/>
          </w:tcPr>
          <w:p w14:paraId="6F860622"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p-</w:t>
            </w:r>
            <w:proofErr w:type="spellStart"/>
            <w:r w:rsidRPr="00A2179E">
              <w:rPr>
                <w:rFonts w:eastAsia="Calibri"/>
                <w:color w:val="000000"/>
                <w:sz w:val="22"/>
                <w:szCs w:val="22"/>
                <w:lang w:val="pt-BR" w:eastAsia="en-US"/>
              </w:rPr>
              <w:t>value</w:t>
            </w:r>
            <w:proofErr w:type="spellEnd"/>
            <w:r w:rsidRPr="00A2179E">
              <w:rPr>
                <w:rFonts w:eastAsia="Calibri"/>
                <w:color w:val="000000"/>
                <w:sz w:val="22"/>
                <w:szCs w:val="22"/>
                <w:lang w:val="pt-BR" w:eastAsia="en-US"/>
              </w:rPr>
              <w:t>*</w:t>
            </w:r>
          </w:p>
        </w:tc>
      </w:tr>
      <w:tr w:rsidR="00A2179E" w:rsidRPr="00A2179E" w14:paraId="14A2E92E" w14:textId="77777777" w:rsidTr="00B01635">
        <w:trPr>
          <w:trHeight w:val="315"/>
        </w:trPr>
        <w:tc>
          <w:tcPr>
            <w:tcW w:w="536" w:type="pct"/>
            <w:tcBorders>
              <w:top w:val="nil"/>
              <w:left w:val="nil"/>
              <w:bottom w:val="nil"/>
              <w:right w:val="nil"/>
            </w:tcBorders>
            <w:shd w:val="clear" w:color="000000" w:fill="FFFFFF"/>
            <w:vAlign w:val="center"/>
            <w:hideMark/>
          </w:tcPr>
          <w:p w14:paraId="1B46FA45" w14:textId="77777777" w:rsidR="00A2179E" w:rsidRPr="00A2179E" w:rsidRDefault="00A2179E" w:rsidP="00A2179E">
            <w:pPr>
              <w:spacing w:line="360" w:lineRule="auto"/>
              <w:jc w:val="center"/>
              <w:rPr>
                <w:rFonts w:eastAsia="Calibri"/>
                <w:b/>
                <w:bCs/>
                <w:color w:val="000000"/>
                <w:sz w:val="22"/>
                <w:szCs w:val="22"/>
                <w:lang w:val="pt-BR" w:eastAsia="en-US"/>
              </w:rPr>
            </w:pPr>
            <w:proofErr w:type="spellStart"/>
            <w:r w:rsidRPr="00A2179E">
              <w:rPr>
                <w:rFonts w:eastAsia="Calibri"/>
                <w:b/>
                <w:bCs/>
                <w:color w:val="000000"/>
                <w:sz w:val="22"/>
                <w:szCs w:val="22"/>
                <w:lang w:val="pt-BR" w:eastAsia="en-US"/>
              </w:rPr>
              <w:t>Gender</w:t>
            </w:r>
            <w:proofErr w:type="spellEnd"/>
          </w:p>
        </w:tc>
        <w:tc>
          <w:tcPr>
            <w:tcW w:w="1131" w:type="pct"/>
            <w:tcBorders>
              <w:top w:val="nil"/>
              <w:left w:val="nil"/>
              <w:bottom w:val="nil"/>
              <w:right w:val="nil"/>
            </w:tcBorders>
            <w:shd w:val="clear" w:color="000000" w:fill="FFFFFF"/>
            <w:hideMark/>
          </w:tcPr>
          <w:p w14:paraId="0CFBFA71"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Man</w:t>
            </w:r>
          </w:p>
        </w:tc>
        <w:tc>
          <w:tcPr>
            <w:tcW w:w="439" w:type="pct"/>
            <w:tcBorders>
              <w:top w:val="nil"/>
              <w:left w:val="nil"/>
              <w:bottom w:val="nil"/>
              <w:right w:val="nil"/>
            </w:tcBorders>
            <w:shd w:val="clear" w:color="000000" w:fill="FFFFFF"/>
            <w:vAlign w:val="center"/>
            <w:hideMark/>
          </w:tcPr>
          <w:p w14:paraId="39C37E91"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36</w:t>
            </w:r>
          </w:p>
        </w:tc>
        <w:tc>
          <w:tcPr>
            <w:tcW w:w="482" w:type="pct"/>
            <w:tcBorders>
              <w:top w:val="nil"/>
              <w:left w:val="nil"/>
              <w:bottom w:val="nil"/>
              <w:right w:val="nil"/>
            </w:tcBorders>
            <w:shd w:val="clear" w:color="000000" w:fill="FFFFFF"/>
            <w:vAlign w:val="center"/>
            <w:hideMark/>
          </w:tcPr>
          <w:p w14:paraId="1BDB5F63"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18,4</w:t>
            </w:r>
          </w:p>
        </w:tc>
        <w:tc>
          <w:tcPr>
            <w:tcW w:w="482" w:type="pct"/>
            <w:tcBorders>
              <w:top w:val="nil"/>
              <w:left w:val="nil"/>
              <w:bottom w:val="nil"/>
              <w:right w:val="nil"/>
            </w:tcBorders>
            <w:shd w:val="clear" w:color="000000" w:fill="FFFFFF"/>
            <w:vAlign w:val="center"/>
            <w:hideMark/>
          </w:tcPr>
          <w:p w14:paraId="49E72338"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w:t>
            </w:r>
          </w:p>
        </w:tc>
        <w:tc>
          <w:tcPr>
            <w:tcW w:w="482" w:type="pct"/>
            <w:tcBorders>
              <w:top w:val="nil"/>
              <w:left w:val="nil"/>
              <w:bottom w:val="nil"/>
              <w:right w:val="nil"/>
            </w:tcBorders>
            <w:shd w:val="clear" w:color="000000" w:fill="FFFFFF"/>
            <w:vAlign w:val="center"/>
            <w:hideMark/>
          </w:tcPr>
          <w:p w14:paraId="433EF568"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16,7</w:t>
            </w:r>
          </w:p>
        </w:tc>
        <w:tc>
          <w:tcPr>
            <w:tcW w:w="482" w:type="pct"/>
            <w:tcBorders>
              <w:top w:val="nil"/>
              <w:left w:val="nil"/>
              <w:bottom w:val="nil"/>
              <w:right w:val="nil"/>
            </w:tcBorders>
            <w:shd w:val="clear" w:color="000000" w:fill="FFFFFF"/>
            <w:vAlign w:val="center"/>
            <w:hideMark/>
          </w:tcPr>
          <w:p w14:paraId="61597D5B"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30</w:t>
            </w:r>
          </w:p>
        </w:tc>
        <w:tc>
          <w:tcPr>
            <w:tcW w:w="483" w:type="pct"/>
            <w:tcBorders>
              <w:top w:val="nil"/>
              <w:left w:val="nil"/>
              <w:bottom w:val="nil"/>
              <w:right w:val="nil"/>
            </w:tcBorders>
            <w:shd w:val="clear" w:color="000000" w:fill="FFFFFF"/>
            <w:vAlign w:val="center"/>
            <w:hideMark/>
          </w:tcPr>
          <w:p w14:paraId="412AFF73"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83,3</w:t>
            </w:r>
          </w:p>
        </w:tc>
        <w:tc>
          <w:tcPr>
            <w:tcW w:w="483" w:type="pct"/>
            <w:vMerge w:val="restart"/>
            <w:tcBorders>
              <w:top w:val="single" w:sz="4" w:space="0" w:color="auto"/>
              <w:left w:val="nil"/>
              <w:right w:val="nil"/>
            </w:tcBorders>
            <w:shd w:val="clear" w:color="000000" w:fill="FFFFFF"/>
            <w:vAlign w:val="center"/>
            <w:hideMark/>
          </w:tcPr>
          <w:p w14:paraId="2996AE21"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0,591</w:t>
            </w:r>
          </w:p>
        </w:tc>
      </w:tr>
      <w:tr w:rsidR="00A2179E" w:rsidRPr="00A2179E" w14:paraId="4F1DE3D8" w14:textId="77777777" w:rsidTr="00B01635">
        <w:trPr>
          <w:trHeight w:val="611"/>
        </w:trPr>
        <w:tc>
          <w:tcPr>
            <w:tcW w:w="536" w:type="pct"/>
            <w:tcBorders>
              <w:top w:val="nil"/>
              <w:left w:val="nil"/>
              <w:bottom w:val="nil"/>
              <w:right w:val="nil"/>
            </w:tcBorders>
            <w:shd w:val="clear" w:color="000000" w:fill="FFFFFF"/>
            <w:vAlign w:val="center"/>
            <w:hideMark/>
          </w:tcPr>
          <w:p w14:paraId="48D83E3C" w14:textId="77777777" w:rsidR="00A2179E" w:rsidRPr="00A2179E" w:rsidRDefault="00A2179E" w:rsidP="00A2179E">
            <w:pPr>
              <w:spacing w:line="360" w:lineRule="auto"/>
              <w:jc w:val="center"/>
              <w:rPr>
                <w:rFonts w:eastAsia="Calibri"/>
                <w:color w:val="000000"/>
                <w:sz w:val="22"/>
                <w:szCs w:val="22"/>
                <w:lang w:val="pt-BR" w:eastAsia="en-US"/>
              </w:rPr>
            </w:pPr>
          </w:p>
        </w:tc>
        <w:tc>
          <w:tcPr>
            <w:tcW w:w="1131" w:type="pct"/>
            <w:tcBorders>
              <w:top w:val="nil"/>
              <w:left w:val="nil"/>
              <w:bottom w:val="nil"/>
              <w:right w:val="nil"/>
            </w:tcBorders>
            <w:shd w:val="clear" w:color="000000" w:fill="FFFFFF"/>
            <w:hideMark/>
          </w:tcPr>
          <w:p w14:paraId="2AD86A4D"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Woman</w:t>
            </w:r>
          </w:p>
        </w:tc>
        <w:tc>
          <w:tcPr>
            <w:tcW w:w="439" w:type="pct"/>
            <w:tcBorders>
              <w:top w:val="nil"/>
              <w:left w:val="nil"/>
              <w:bottom w:val="nil"/>
              <w:right w:val="nil"/>
            </w:tcBorders>
            <w:shd w:val="clear" w:color="000000" w:fill="FFFFFF"/>
            <w:hideMark/>
          </w:tcPr>
          <w:p w14:paraId="4B72D208"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160</w:t>
            </w:r>
          </w:p>
        </w:tc>
        <w:tc>
          <w:tcPr>
            <w:tcW w:w="482" w:type="pct"/>
            <w:tcBorders>
              <w:top w:val="nil"/>
              <w:left w:val="nil"/>
              <w:bottom w:val="nil"/>
              <w:right w:val="nil"/>
            </w:tcBorders>
            <w:shd w:val="clear" w:color="000000" w:fill="FFFFFF"/>
            <w:hideMark/>
          </w:tcPr>
          <w:p w14:paraId="0EF05061"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81,6</w:t>
            </w:r>
          </w:p>
        </w:tc>
        <w:tc>
          <w:tcPr>
            <w:tcW w:w="482" w:type="pct"/>
            <w:tcBorders>
              <w:top w:val="nil"/>
              <w:left w:val="nil"/>
              <w:bottom w:val="nil"/>
              <w:right w:val="nil"/>
            </w:tcBorders>
            <w:shd w:val="clear" w:color="000000" w:fill="FFFFFF"/>
            <w:hideMark/>
          </w:tcPr>
          <w:p w14:paraId="34485A0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33</w:t>
            </w:r>
          </w:p>
        </w:tc>
        <w:tc>
          <w:tcPr>
            <w:tcW w:w="482" w:type="pct"/>
            <w:tcBorders>
              <w:top w:val="nil"/>
              <w:left w:val="nil"/>
              <w:bottom w:val="nil"/>
              <w:right w:val="nil"/>
            </w:tcBorders>
            <w:shd w:val="clear" w:color="000000" w:fill="FFFFFF"/>
            <w:hideMark/>
          </w:tcPr>
          <w:p w14:paraId="56B3832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20,6</w:t>
            </w:r>
          </w:p>
        </w:tc>
        <w:tc>
          <w:tcPr>
            <w:tcW w:w="482" w:type="pct"/>
            <w:tcBorders>
              <w:top w:val="nil"/>
              <w:left w:val="nil"/>
              <w:bottom w:val="nil"/>
              <w:right w:val="nil"/>
            </w:tcBorders>
            <w:shd w:val="clear" w:color="000000" w:fill="FFFFFF"/>
            <w:hideMark/>
          </w:tcPr>
          <w:p w14:paraId="3FBA841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127</w:t>
            </w:r>
          </w:p>
        </w:tc>
        <w:tc>
          <w:tcPr>
            <w:tcW w:w="483" w:type="pct"/>
            <w:tcBorders>
              <w:top w:val="nil"/>
              <w:left w:val="nil"/>
              <w:bottom w:val="nil"/>
              <w:right w:val="nil"/>
            </w:tcBorders>
            <w:shd w:val="clear" w:color="000000" w:fill="FFFFFF"/>
            <w:hideMark/>
          </w:tcPr>
          <w:p w14:paraId="716A7744"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79,4</w:t>
            </w:r>
          </w:p>
        </w:tc>
        <w:tc>
          <w:tcPr>
            <w:tcW w:w="483" w:type="pct"/>
            <w:vMerge/>
            <w:tcBorders>
              <w:top w:val="single" w:sz="4" w:space="0" w:color="auto"/>
              <w:left w:val="nil"/>
              <w:right w:val="nil"/>
            </w:tcBorders>
            <w:vAlign w:val="center"/>
            <w:hideMark/>
          </w:tcPr>
          <w:p w14:paraId="1C6E50C9" w14:textId="77777777" w:rsidR="00A2179E" w:rsidRPr="00A2179E" w:rsidRDefault="00A2179E" w:rsidP="00A2179E">
            <w:pPr>
              <w:spacing w:line="360" w:lineRule="auto"/>
              <w:jc w:val="center"/>
              <w:rPr>
                <w:rFonts w:eastAsia="Calibri"/>
                <w:color w:val="000000"/>
                <w:sz w:val="22"/>
                <w:szCs w:val="22"/>
                <w:lang w:val="pt-BR" w:eastAsia="en-US"/>
              </w:rPr>
            </w:pPr>
          </w:p>
        </w:tc>
      </w:tr>
      <w:tr w:rsidR="00A2179E" w:rsidRPr="00A2179E" w14:paraId="33EADFE9" w14:textId="77777777" w:rsidTr="00B01635">
        <w:trPr>
          <w:trHeight w:val="315"/>
        </w:trPr>
        <w:tc>
          <w:tcPr>
            <w:tcW w:w="536" w:type="pct"/>
            <w:vMerge w:val="restart"/>
            <w:tcBorders>
              <w:top w:val="nil"/>
              <w:left w:val="nil"/>
              <w:bottom w:val="nil"/>
              <w:right w:val="nil"/>
            </w:tcBorders>
            <w:shd w:val="clear" w:color="000000" w:fill="FFFFFF"/>
            <w:vAlign w:val="center"/>
            <w:hideMark/>
          </w:tcPr>
          <w:p w14:paraId="48BAB17B" w14:textId="77777777" w:rsidR="00A2179E" w:rsidRPr="00A2179E" w:rsidRDefault="00A2179E" w:rsidP="00A2179E">
            <w:pPr>
              <w:spacing w:line="360" w:lineRule="auto"/>
              <w:jc w:val="center"/>
              <w:rPr>
                <w:rFonts w:eastAsia="Calibri"/>
                <w:b/>
                <w:bCs/>
                <w:color w:val="000000"/>
                <w:sz w:val="22"/>
                <w:szCs w:val="22"/>
                <w:lang w:val="pt-BR" w:eastAsia="en-US"/>
              </w:rPr>
            </w:pPr>
            <w:r w:rsidRPr="00A2179E">
              <w:rPr>
                <w:rFonts w:eastAsia="Calibri"/>
                <w:b/>
                <w:bCs/>
                <w:color w:val="000000"/>
                <w:sz w:val="22"/>
                <w:szCs w:val="22"/>
                <w:lang w:val="pt-BR" w:eastAsia="en-US"/>
              </w:rPr>
              <w:t xml:space="preserve">Age </w:t>
            </w:r>
          </w:p>
        </w:tc>
        <w:tc>
          <w:tcPr>
            <w:tcW w:w="1131" w:type="pct"/>
            <w:tcBorders>
              <w:top w:val="nil"/>
              <w:left w:val="nil"/>
              <w:bottom w:val="nil"/>
              <w:right w:val="nil"/>
            </w:tcBorders>
            <w:shd w:val="clear" w:color="000000" w:fill="FFFFFF"/>
            <w:hideMark/>
          </w:tcPr>
          <w:p w14:paraId="3D37979F"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60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64</w:t>
            </w:r>
          </w:p>
        </w:tc>
        <w:tc>
          <w:tcPr>
            <w:tcW w:w="439" w:type="pct"/>
            <w:tcBorders>
              <w:top w:val="nil"/>
              <w:left w:val="nil"/>
              <w:bottom w:val="nil"/>
              <w:right w:val="nil"/>
            </w:tcBorders>
            <w:shd w:val="clear" w:color="000000" w:fill="FFFFFF"/>
            <w:vAlign w:val="bottom"/>
            <w:hideMark/>
          </w:tcPr>
          <w:p w14:paraId="18C083B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64</w:t>
            </w:r>
          </w:p>
        </w:tc>
        <w:tc>
          <w:tcPr>
            <w:tcW w:w="482" w:type="pct"/>
            <w:tcBorders>
              <w:top w:val="nil"/>
              <w:left w:val="nil"/>
              <w:bottom w:val="nil"/>
              <w:right w:val="nil"/>
            </w:tcBorders>
            <w:shd w:val="clear" w:color="000000" w:fill="FFFFFF"/>
            <w:vAlign w:val="bottom"/>
            <w:hideMark/>
          </w:tcPr>
          <w:p w14:paraId="2C8A7606"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33,3</w:t>
            </w:r>
          </w:p>
        </w:tc>
        <w:tc>
          <w:tcPr>
            <w:tcW w:w="482" w:type="pct"/>
            <w:tcBorders>
              <w:top w:val="nil"/>
              <w:left w:val="nil"/>
              <w:bottom w:val="nil"/>
              <w:right w:val="nil"/>
            </w:tcBorders>
            <w:shd w:val="clear" w:color="000000" w:fill="FFFFFF"/>
            <w:vAlign w:val="bottom"/>
            <w:hideMark/>
          </w:tcPr>
          <w:p w14:paraId="56DE9CE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12</w:t>
            </w:r>
          </w:p>
        </w:tc>
        <w:tc>
          <w:tcPr>
            <w:tcW w:w="482" w:type="pct"/>
            <w:tcBorders>
              <w:top w:val="nil"/>
              <w:left w:val="nil"/>
              <w:bottom w:val="nil"/>
              <w:right w:val="nil"/>
            </w:tcBorders>
            <w:shd w:val="clear" w:color="000000" w:fill="FFFFFF"/>
            <w:vAlign w:val="bottom"/>
            <w:hideMark/>
          </w:tcPr>
          <w:p w14:paraId="3535D96E"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18,8</w:t>
            </w:r>
          </w:p>
        </w:tc>
        <w:tc>
          <w:tcPr>
            <w:tcW w:w="482" w:type="pct"/>
            <w:tcBorders>
              <w:top w:val="nil"/>
              <w:left w:val="nil"/>
              <w:bottom w:val="nil"/>
              <w:right w:val="nil"/>
            </w:tcBorders>
            <w:shd w:val="clear" w:color="000000" w:fill="FFFFFF"/>
            <w:vAlign w:val="bottom"/>
            <w:hideMark/>
          </w:tcPr>
          <w:p w14:paraId="6DE31B70"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52</w:t>
            </w:r>
          </w:p>
        </w:tc>
        <w:tc>
          <w:tcPr>
            <w:tcW w:w="483" w:type="pct"/>
            <w:tcBorders>
              <w:top w:val="nil"/>
              <w:left w:val="nil"/>
              <w:bottom w:val="nil"/>
              <w:right w:val="nil"/>
            </w:tcBorders>
            <w:shd w:val="clear" w:color="000000" w:fill="FFFFFF"/>
            <w:vAlign w:val="bottom"/>
            <w:hideMark/>
          </w:tcPr>
          <w:p w14:paraId="3CA086A8"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81,2</w:t>
            </w:r>
          </w:p>
        </w:tc>
        <w:tc>
          <w:tcPr>
            <w:tcW w:w="483" w:type="pct"/>
            <w:vMerge w:val="restart"/>
            <w:tcBorders>
              <w:left w:val="nil"/>
              <w:bottom w:val="nil"/>
              <w:right w:val="nil"/>
            </w:tcBorders>
            <w:shd w:val="clear" w:color="000000" w:fill="FFFFFF"/>
            <w:vAlign w:val="center"/>
            <w:hideMark/>
          </w:tcPr>
          <w:p w14:paraId="755AB551" w14:textId="77777777" w:rsidR="00A2179E" w:rsidRPr="00A2179E" w:rsidRDefault="00A2179E" w:rsidP="00A2179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0,817</w:t>
            </w:r>
          </w:p>
        </w:tc>
      </w:tr>
      <w:tr w:rsidR="00A2179E" w:rsidRPr="00A2179E" w14:paraId="4FF4FC7C" w14:textId="77777777" w:rsidTr="0091040E">
        <w:trPr>
          <w:trHeight w:val="300"/>
        </w:trPr>
        <w:tc>
          <w:tcPr>
            <w:tcW w:w="536" w:type="pct"/>
            <w:vMerge/>
            <w:tcBorders>
              <w:top w:val="nil"/>
              <w:left w:val="nil"/>
              <w:bottom w:val="nil"/>
              <w:right w:val="nil"/>
            </w:tcBorders>
            <w:vAlign w:val="center"/>
            <w:hideMark/>
          </w:tcPr>
          <w:p w14:paraId="549CAE4F"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19D7DD2D"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65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69</w:t>
            </w:r>
          </w:p>
        </w:tc>
        <w:tc>
          <w:tcPr>
            <w:tcW w:w="439" w:type="pct"/>
            <w:tcBorders>
              <w:top w:val="nil"/>
              <w:left w:val="nil"/>
              <w:bottom w:val="nil"/>
              <w:right w:val="nil"/>
            </w:tcBorders>
            <w:shd w:val="clear" w:color="000000" w:fill="FFFFFF"/>
            <w:vAlign w:val="center"/>
            <w:hideMark/>
          </w:tcPr>
          <w:p w14:paraId="094CBDF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58</w:t>
            </w:r>
          </w:p>
        </w:tc>
        <w:tc>
          <w:tcPr>
            <w:tcW w:w="482" w:type="pct"/>
            <w:tcBorders>
              <w:top w:val="nil"/>
              <w:left w:val="nil"/>
              <w:bottom w:val="nil"/>
              <w:right w:val="nil"/>
            </w:tcBorders>
            <w:shd w:val="clear" w:color="000000" w:fill="FFFFFF"/>
            <w:vAlign w:val="center"/>
            <w:hideMark/>
          </w:tcPr>
          <w:p w14:paraId="6020BCE4"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30,2</w:t>
            </w:r>
          </w:p>
        </w:tc>
        <w:tc>
          <w:tcPr>
            <w:tcW w:w="482" w:type="pct"/>
            <w:tcBorders>
              <w:top w:val="nil"/>
              <w:left w:val="nil"/>
              <w:bottom w:val="nil"/>
              <w:right w:val="nil"/>
            </w:tcBorders>
            <w:shd w:val="clear" w:color="000000" w:fill="FFFFFF"/>
            <w:vAlign w:val="center"/>
            <w:hideMark/>
          </w:tcPr>
          <w:p w14:paraId="62FB62F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13</w:t>
            </w:r>
          </w:p>
        </w:tc>
        <w:tc>
          <w:tcPr>
            <w:tcW w:w="482" w:type="pct"/>
            <w:tcBorders>
              <w:top w:val="nil"/>
              <w:left w:val="nil"/>
              <w:bottom w:val="nil"/>
              <w:right w:val="nil"/>
            </w:tcBorders>
            <w:shd w:val="clear" w:color="000000" w:fill="FFFFFF"/>
            <w:vAlign w:val="center"/>
            <w:hideMark/>
          </w:tcPr>
          <w:p w14:paraId="610FE23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22,4</w:t>
            </w:r>
          </w:p>
        </w:tc>
        <w:tc>
          <w:tcPr>
            <w:tcW w:w="482" w:type="pct"/>
            <w:tcBorders>
              <w:top w:val="nil"/>
              <w:left w:val="nil"/>
              <w:bottom w:val="nil"/>
              <w:right w:val="nil"/>
            </w:tcBorders>
            <w:shd w:val="clear" w:color="000000" w:fill="FFFFFF"/>
            <w:vAlign w:val="center"/>
            <w:hideMark/>
          </w:tcPr>
          <w:p w14:paraId="39670F7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45</w:t>
            </w:r>
          </w:p>
        </w:tc>
        <w:tc>
          <w:tcPr>
            <w:tcW w:w="483" w:type="pct"/>
            <w:tcBorders>
              <w:top w:val="nil"/>
              <w:left w:val="nil"/>
              <w:bottom w:val="nil"/>
              <w:right w:val="nil"/>
            </w:tcBorders>
            <w:shd w:val="clear" w:color="000000" w:fill="FFFFFF"/>
            <w:vAlign w:val="center"/>
            <w:hideMark/>
          </w:tcPr>
          <w:p w14:paraId="41C8D86A"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77,6</w:t>
            </w:r>
          </w:p>
        </w:tc>
        <w:tc>
          <w:tcPr>
            <w:tcW w:w="483" w:type="pct"/>
            <w:vMerge/>
            <w:tcBorders>
              <w:top w:val="nil"/>
              <w:left w:val="nil"/>
              <w:bottom w:val="nil"/>
              <w:right w:val="nil"/>
            </w:tcBorders>
            <w:vAlign w:val="center"/>
            <w:hideMark/>
          </w:tcPr>
          <w:p w14:paraId="51233D56" w14:textId="77777777" w:rsidR="00A2179E" w:rsidRPr="00A2179E" w:rsidRDefault="00A2179E" w:rsidP="00A2179E">
            <w:pPr>
              <w:spacing w:line="360" w:lineRule="auto"/>
              <w:jc w:val="center"/>
              <w:rPr>
                <w:rFonts w:eastAsia="Calibri"/>
                <w:color w:val="000000"/>
                <w:sz w:val="22"/>
                <w:szCs w:val="22"/>
                <w:lang w:val="pt-BR" w:eastAsia="en-US"/>
              </w:rPr>
            </w:pPr>
          </w:p>
        </w:tc>
      </w:tr>
      <w:tr w:rsidR="00A2179E" w:rsidRPr="00A2179E" w14:paraId="3A44CAFB" w14:textId="77777777" w:rsidTr="0091040E">
        <w:trPr>
          <w:trHeight w:val="300"/>
        </w:trPr>
        <w:tc>
          <w:tcPr>
            <w:tcW w:w="536" w:type="pct"/>
            <w:vMerge/>
            <w:tcBorders>
              <w:top w:val="nil"/>
              <w:left w:val="nil"/>
              <w:bottom w:val="nil"/>
              <w:right w:val="nil"/>
            </w:tcBorders>
            <w:vAlign w:val="center"/>
            <w:hideMark/>
          </w:tcPr>
          <w:p w14:paraId="0486FEA3"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49E361AC"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70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74</w:t>
            </w:r>
          </w:p>
        </w:tc>
        <w:tc>
          <w:tcPr>
            <w:tcW w:w="439" w:type="pct"/>
            <w:tcBorders>
              <w:top w:val="nil"/>
              <w:left w:val="nil"/>
              <w:bottom w:val="nil"/>
              <w:right w:val="nil"/>
            </w:tcBorders>
            <w:shd w:val="clear" w:color="000000" w:fill="FFFFFF"/>
            <w:vAlign w:val="center"/>
            <w:hideMark/>
          </w:tcPr>
          <w:p w14:paraId="3326CEA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38</w:t>
            </w:r>
          </w:p>
        </w:tc>
        <w:tc>
          <w:tcPr>
            <w:tcW w:w="482" w:type="pct"/>
            <w:tcBorders>
              <w:top w:val="nil"/>
              <w:left w:val="nil"/>
              <w:bottom w:val="nil"/>
              <w:right w:val="nil"/>
            </w:tcBorders>
            <w:shd w:val="clear" w:color="000000" w:fill="FFFFFF"/>
            <w:vAlign w:val="center"/>
            <w:hideMark/>
          </w:tcPr>
          <w:p w14:paraId="72D2242B"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19,8</w:t>
            </w:r>
          </w:p>
        </w:tc>
        <w:tc>
          <w:tcPr>
            <w:tcW w:w="482" w:type="pct"/>
            <w:tcBorders>
              <w:top w:val="nil"/>
              <w:left w:val="nil"/>
              <w:bottom w:val="nil"/>
              <w:right w:val="nil"/>
            </w:tcBorders>
            <w:shd w:val="clear" w:color="000000" w:fill="FFFFFF"/>
            <w:vAlign w:val="center"/>
            <w:hideMark/>
          </w:tcPr>
          <w:p w14:paraId="02C2877A"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w:t>
            </w:r>
          </w:p>
        </w:tc>
        <w:tc>
          <w:tcPr>
            <w:tcW w:w="482" w:type="pct"/>
            <w:tcBorders>
              <w:top w:val="nil"/>
              <w:left w:val="nil"/>
              <w:bottom w:val="nil"/>
              <w:right w:val="nil"/>
            </w:tcBorders>
            <w:shd w:val="clear" w:color="000000" w:fill="FFFFFF"/>
            <w:vAlign w:val="center"/>
            <w:hideMark/>
          </w:tcPr>
          <w:p w14:paraId="7BD3FE8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15,8</w:t>
            </w:r>
          </w:p>
        </w:tc>
        <w:tc>
          <w:tcPr>
            <w:tcW w:w="482" w:type="pct"/>
            <w:tcBorders>
              <w:top w:val="nil"/>
              <w:left w:val="nil"/>
              <w:bottom w:val="nil"/>
              <w:right w:val="nil"/>
            </w:tcBorders>
            <w:shd w:val="clear" w:color="000000" w:fill="FFFFFF"/>
            <w:vAlign w:val="center"/>
            <w:hideMark/>
          </w:tcPr>
          <w:p w14:paraId="0ED9600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32</w:t>
            </w:r>
          </w:p>
        </w:tc>
        <w:tc>
          <w:tcPr>
            <w:tcW w:w="483" w:type="pct"/>
            <w:tcBorders>
              <w:top w:val="nil"/>
              <w:left w:val="nil"/>
              <w:bottom w:val="nil"/>
              <w:right w:val="nil"/>
            </w:tcBorders>
            <w:shd w:val="clear" w:color="000000" w:fill="FFFFFF"/>
            <w:vAlign w:val="center"/>
            <w:hideMark/>
          </w:tcPr>
          <w:p w14:paraId="44451627"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84,2</w:t>
            </w:r>
          </w:p>
        </w:tc>
        <w:tc>
          <w:tcPr>
            <w:tcW w:w="483" w:type="pct"/>
            <w:vMerge/>
            <w:tcBorders>
              <w:top w:val="nil"/>
              <w:left w:val="nil"/>
              <w:bottom w:val="nil"/>
              <w:right w:val="nil"/>
            </w:tcBorders>
            <w:vAlign w:val="center"/>
            <w:hideMark/>
          </w:tcPr>
          <w:p w14:paraId="296F9F73" w14:textId="77777777" w:rsidR="00A2179E" w:rsidRPr="00A2179E" w:rsidRDefault="00A2179E" w:rsidP="00A2179E">
            <w:pPr>
              <w:spacing w:line="360" w:lineRule="auto"/>
              <w:jc w:val="center"/>
              <w:rPr>
                <w:rFonts w:eastAsia="Calibri"/>
                <w:color w:val="000000"/>
                <w:sz w:val="22"/>
                <w:szCs w:val="22"/>
                <w:lang w:val="pt-BR" w:eastAsia="en-US"/>
              </w:rPr>
            </w:pPr>
          </w:p>
        </w:tc>
      </w:tr>
      <w:tr w:rsidR="00A2179E" w:rsidRPr="00A2179E" w14:paraId="18DC8373" w14:textId="77777777" w:rsidTr="0091040E">
        <w:trPr>
          <w:trHeight w:val="675"/>
        </w:trPr>
        <w:tc>
          <w:tcPr>
            <w:tcW w:w="536" w:type="pct"/>
            <w:vMerge/>
            <w:tcBorders>
              <w:top w:val="nil"/>
              <w:left w:val="nil"/>
              <w:bottom w:val="nil"/>
              <w:right w:val="nil"/>
            </w:tcBorders>
            <w:vAlign w:val="center"/>
            <w:hideMark/>
          </w:tcPr>
          <w:p w14:paraId="7C2BCE9B"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37A1FED4"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75 </w:t>
            </w:r>
            <w:proofErr w:type="spellStart"/>
            <w:r w:rsidRPr="00A2179E">
              <w:rPr>
                <w:rFonts w:eastAsia="Calibri"/>
                <w:color w:val="000000"/>
                <w:sz w:val="22"/>
                <w:szCs w:val="22"/>
                <w:lang w:val="pt-BR" w:eastAsia="en-US"/>
              </w:rPr>
              <w:t>or</w:t>
            </w:r>
            <w:proofErr w:type="spellEnd"/>
            <w:r w:rsidRPr="00A2179E">
              <w:rPr>
                <w:rFonts w:eastAsia="Calibri"/>
                <w:color w:val="000000"/>
                <w:sz w:val="22"/>
                <w:szCs w:val="22"/>
                <w:lang w:val="pt-BR" w:eastAsia="en-US"/>
              </w:rPr>
              <w:t xml:space="preserve"> more</w:t>
            </w:r>
          </w:p>
        </w:tc>
        <w:tc>
          <w:tcPr>
            <w:tcW w:w="439" w:type="pct"/>
            <w:tcBorders>
              <w:top w:val="nil"/>
              <w:left w:val="nil"/>
              <w:bottom w:val="nil"/>
              <w:right w:val="nil"/>
            </w:tcBorders>
            <w:shd w:val="clear" w:color="000000" w:fill="FFFFFF"/>
            <w:hideMark/>
          </w:tcPr>
          <w:p w14:paraId="5CB9E1DB"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32</w:t>
            </w:r>
          </w:p>
        </w:tc>
        <w:tc>
          <w:tcPr>
            <w:tcW w:w="482" w:type="pct"/>
            <w:tcBorders>
              <w:top w:val="nil"/>
              <w:left w:val="nil"/>
              <w:bottom w:val="nil"/>
              <w:right w:val="nil"/>
            </w:tcBorders>
            <w:shd w:val="clear" w:color="000000" w:fill="FFFFFF"/>
            <w:hideMark/>
          </w:tcPr>
          <w:p w14:paraId="621A7C67"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16,7</w:t>
            </w:r>
          </w:p>
        </w:tc>
        <w:tc>
          <w:tcPr>
            <w:tcW w:w="482" w:type="pct"/>
            <w:tcBorders>
              <w:top w:val="nil"/>
              <w:left w:val="nil"/>
              <w:bottom w:val="nil"/>
              <w:right w:val="nil"/>
            </w:tcBorders>
            <w:shd w:val="clear" w:color="000000" w:fill="FFFFFF"/>
            <w:hideMark/>
          </w:tcPr>
          <w:p w14:paraId="2D23603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w:t>
            </w:r>
          </w:p>
        </w:tc>
        <w:tc>
          <w:tcPr>
            <w:tcW w:w="482" w:type="pct"/>
            <w:tcBorders>
              <w:top w:val="nil"/>
              <w:left w:val="nil"/>
              <w:bottom w:val="nil"/>
              <w:right w:val="nil"/>
            </w:tcBorders>
            <w:shd w:val="clear" w:color="000000" w:fill="FFFFFF"/>
            <w:hideMark/>
          </w:tcPr>
          <w:p w14:paraId="412E43C4"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15,6</w:t>
            </w:r>
          </w:p>
        </w:tc>
        <w:tc>
          <w:tcPr>
            <w:tcW w:w="482" w:type="pct"/>
            <w:tcBorders>
              <w:top w:val="nil"/>
              <w:left w:val="nil"/>
              <w:bottom w:val="nil"/>
              <w:right w:val="nil"/>
            </w:tcBorders>
            <w:shd w:val="clear" w:color="000000" w:fill="FFFFFF"/>
            <w:hideMark/>
          </w:tcPr>
          <w:p w14:paraId="26EA9BB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27</w:t>
            </w:r>
          </w:p>
        </w:tc>
        <w:tc>
          <w:tcPr>
            <w:tcW w:w="483" w:type="pct"/>
            <w:tcBorders>
              <w:top w:val="nil"/>
              <w:left w:val="nil"/>
              <w:bottom w:val="nil"/>
              <w:right w:val="nil"/>
            </w:tcBorders>
            <w:shd w:val="clear" w:color="000000" w:fill="FFFFFF"/>
            <w:hideMark/>
          </w:tcPr>
          <w:p w14:paraId="1165337F"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84,4</w:t>
            </w:r>
          </w:p>
        </w:tc>
        <w:tc>
          <w:tcPr>
            <w:tcW w:w="483" w:type="pct"/>
            <w:vMerge/>
            <w:tcBorders>
              <w:top w:val="nil"/>
              <w:left w:val="nil"/>
              <w:bottom w:val="nil"/>
              <w:right w:val="nil"/>
            </w:tcBorders>
            <w:vAlign w:val="center"/>
            <w:hideMark/>
          </w:tcPr>
          <w:p w14:paraId="72754B74" w14:textId="77777777" w:rsidR="00A2179E" w:rsidRPr="00A2179E" w:rsidRDefault="00A2179E" w:rsidP="00A2179E">
            <w:pPr>
              <w:spacing w:line="360" w:lineRule="auto"/>
              <w:jc w:val="center"/>
              <w:rPr>
                <w:rFonts w:eastAsia="Calibri"/>
                <w:color w:val="000000"/>
                <w:sz w:val="22"/>
                <w:szCs w:val="22"/>
                <w:lang w:val="pt-BR" w:eastAsia="en-US"/>
              </w:rPr>
            </w:pPr>
          </w:p>
        </w:tc>
      </w:tr>
      <w:tr w:rsidR="00A2179E" w:rsidRPr="00A2179E" w14:paraId="129506A3" w14:textId="77777777" w:rsidTr="0091040E">
        <w:trPr>
          <w:trHeight w:val="315"/>
        </w:trPr>
        <w:tc>
          <w:tcPr>
            <w:tcW w:w="536" w:type="pct"/>
            <w:vMerge w:val="restart"/>
            <w:tcBorders>
              <w:top w:val="nil"/>
              <w:left w:val="nil"/>
              <w:bottom w:val="nil"/>
              <w:right w:val="nil"/>
            </w:tcBorders>
            <w:shd w:val="clear" w:color="000000" w:fill="FFFFFF"/>
            <w:vAlign w:val="center"/>
            <w:hideMark/>
          </w:tcPr>
          <w:p w14:paraId="5EAB923D" w14:textId="77777777" w:rsidR="00A2179E" w:rsidRPr="00A2179E" w:rsidRDefault="00A2179E" w:rsidP="00A2179E">
            <w:pPr>
              <w:spacing w:line="360" w:lineRule="auto"/>
              <w:jc w:val="center"/>
              <w:rPr>
                <w:rFonts w:eastAsia="Calibri"/>
                <w:b/>
                <w:bCs/>
                <w:color w:val="000000"/>
                <w:sz w:val="22"/>
                <w:szCs w:val="22"/>
                <w:lang w:val="pt-BR" w:eastAsia="en-US"/>
              </w:rPr>
            </w:pPr>
            <w:r w:rsidRPr="00A2179E">
              <w:rPr>
                <w:rFonts w:eastAsia="Calibri"/>
                <w:b/>
                <w:bCs/>
                <w:color w:val="000000"/>
                <w:sz w:val="22"/>
                <w:szCs w:val="22"/>
                <w:lang w:val="pt-BR" w:eastAsia="en-US"/>
              </w:rPr>
              <w:t>Income</w:t>
            </w:r>
          </w:p>
        </w:tc>
        <w:tc>
          <w:tcPr>
            <w:tcW w:w="1131" w:type="pct"/>
            <w:tcBorders>
              <w:top w:val="nil"/>
              <w:left w:val="nil"/>
              <w:bottom w:val="nil"/>
              <w:right w:val="nil"/>
            </w:tcBorders>
            <w:shd w:val="clear" w:color="000000" w:fill="FFFFFF"/>
            <w:hideMark/>
          </w:tcPr>
          <w:p w14:paraId="77162897"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0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1</w:t>
            </w:r>
          </w:p>
        </w:tc>
        <w:tc>
          <w:tcPr>
            <w:tcW w:w="439" w:type="pct"/>
            <w:tcBorders>
              <w:top w:val="nil"/>
              <w:left w:val="nil"/>
              <w:bottom w:val="nil"/>
              <w:right w:val="nil"/>
            </w:tcBorders>
            <w:shd w:val="clear" w:color="000000" w:fill="FFFFFF"/>
            <w:vAlign w:val="center"/>
            <w:hideMark/>
          </w:tcPr>
          <w:p w14:paraId="2820216B"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30</w:t>
            </w:r>
          </w:p>
        </w:tc>
        <w:tc>
          <w:tcPr>
            <w:tcW w:w="482" w:type="pct"/>
            <w:tcBorders>
              <w:top w:val="nil"/>
              <w:left w:val="nil"/>
              <w:bottom w:val="nil"/>
              <w:right w:val="nil"/>
            </w:tcBorders>
            <w:shd w:val="clear" w:color="000000" w:fill="FFFFFF"/>
            <w:vAlign w:val="center"/>
            <w:hideMark/>
          </w:tcPr>
          <w:p w14:paraId="73AEC36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15,2</w:t>
            </w:r>
          </w:p>
        </w:tc>
        <w:tc>
          <w:tcPr>
            <w:tcW w:w="482" w:type="pct"/>
            <w:tcBorders>
              <w:top w:val="nil"/>
              <w:left w:val="nil"/>
              <w:bottom w:val="nil"/>
              <w:right w:val="nil"/>
            </w:tcBorders>
            <w:shd w:val="clear" w:color="000000" w:fill="FFFFFF"/>
            <w:vAlign w:val="center"/>
            <w:hideMark/>
          </w:tcPr>
          <w:p w14:paraId="128A8BA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w:t>
            </w:r>
          </w:p>
        </w:tc>
        <w:tc>
          <w:tcPr>
            <w:tcW w:w="482" w:type="pct"/>
            <w:tcBorders>
              <w:top w:val="nil"/>
              <w:left w:val="nil"/>
              <w:bottom w:val="nil"/>
              <w:right w:val="nil"/>
            </w:tcBorders>
            <w:shd w:val="clear" w:color="000000" w:fill="FFFFFF"/>
            <w:vAlign w:val="center"/>
            <w:hideMark/>
          </w:tcPr>
          <w:p w14:paraId="681D361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26,7</w:t>
            </w:r>
          </w:p>
        </w:tc>
        <w:tc>
          <w:tcPr>
            <w:tcW w:w="482" w:type="pct"/>
            <w:tcBorders>
              <w:top w:val="nil"/>
              <w:left w:val="nil"/>
              <w:bottom w:val="nil"/>
              <w:right w:val="nil"/>
            </w:tcBorders>
            <w:shd w:val="clear" w:color="000000" w:fill="FFFFFF"/>
            <w:vAlign w:val="center"/>
            <w:hideMark/>
          </w:tcPr>
          <w:p w14:paraId="43B15D8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22</w:t>
            </w:r>
          </w:p>
        </w:tc>
        <w:tc>
          <w:tcPr>
            <w:tcW w:w="483" w:type="pct"/>
            <w:tcBorders>
              <w:top w:val="nil"/>
              <w:left w:val="nil"/>
              <w:bottom w:val="nil"/>
              <w:right w:val="nil"/>
            </w:tcBorders>
            <w:shd w:val="clear" w:color="000000" w:fill="FFFFFF"/>
            <w:vAlign w:val="center"/>
            <w:hideMark/>
          </w:tcPr>
          <w:p w14:paraId="065D2ACF"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73,3</w:t>
            </w:r>
          </w:p>
        </w:tc>
        <w:tc>
          <w:tcPr>
            <w:tcW w:w="483" w:type="pct"/>
            <w:vMerge w:val="restart"/>
            <w:tcBorders>
              <w:top w:val="nil"/>
              <w:left w:val="nil"/>
              <w:bottom w:val="nil"/>
              <w:right w:val="nil"/>
            </w:tcBorders>
            <w:shd w:val="clear" w:color="000000" w:fill="FFFFFF"/>
            <w:vAlign w:val="center"/>
            <w:hideMark/>
          </w:tcPr>
          <w:p w14:paraId="3F3FEDDD" w14:textId="77777777" w:rsidR="00A2179E" w:rsidRPr="00B01635" w:rsidRDefault="00A2179E" w:rsidP="00A2179E">
            <w:pPr>
              <w:spacing w:line="360" w:lineRule="auto"/>
              <w:jc w:val="center"/>
              <w:rPr>
                <w:rFonts w:eastAsia="Calibri"/>
                <w:bCs/>
                <w:color w:val="000000"/>
                <w:sz w:val="22"/>
                <w:szCs w:val="22"/>
                <w:lang w:val="pt-BR" w:eastAsia="en-US"/>
              </w:rPr>
            </w:pPr>
            <w:r w:rsidRPr="00B01635">
              <w:rPr>
                <w:rFonts w:eastAsia="Calibri"/>
                <w:bCs/>
                <w:color w:val="000000"/>
                <w:sz w:val="22"/>
                <w:szCs w:val="22"/>
                <w:lang w:val="pt-BR" w:eastAsia="en-US"/>
              </w:rPr>
              <w:t>0,047</w:t>
            </w:r>
          </w:p>
        </w:tc>
      </w:tr>
      <w:tr w:rsidR="00A2179E" w:rsidRPr="00A2179E" w14:paraId="6103B106" w14:textId="77777777" w:rsidTr="0091040E">
        <w:trPr>
          <w:trHeight w:val="300"/>
        </w:trPr>
        <w:tc>
          <w:tcPr>
            <w:tcW w:w="536" w:type="pct"/>
            <w:vMerge/>
            <w:tcBorders>
              <w:top w:val="nil"/>
              <w:left w:val="nil"/>
              <w:bottom w:val="nil"/>
              <w:right w:val="nil"/>
            </w:tcBorders>
            <w:vAlign w:val="center"/>
            <w:hideMark/>
          </w:tcPr>
          <w:p w14:paraId="7A2C5C66"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12E1B64F"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1,1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2</w:t>
            </w:r>
          </w:p>
        </w:tc>
        <w:tc>
          <w:tcPr>
            <w:tcW w:w="439" w:type="pct"/>
            <w:tcBorders>
              <w:top w:val="nil"/>
              <w:left w:val="nil"/>
              <w:bottom w:val="nil"/>
              <w:right w:val="nil"/>
            </w:tcBorders>
            <w:shd w:val="clear" w:color="000000" w:fill="FFFFFF"/>
            <w:vAlign w:val="center"/>
            <w:hideMark/>
          </w:tcPr>
          <w:p w14:paraId="781BB4E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50</w:t>
            </w:r>
          </w:p>
        </w:tc>
        <w:tc>
          <w:tcPr>
            <w:tcW w:w="482" w:type="pct"/>
            <w:tcBorders>
              <w:top w:val="nil"/>
              <w:left w:val="nil"/>
              <w:bottom w:val="nil"/>
              <w:right w:val="nil"/>
            </w:tcBorders>
            <w:shd w:val="clear" w:color="000000" w:fill="FFFFFF"/>
            <w:vAlign w:val="center"/>
            <w:hideMark/>
          </w:tcPr>
          <w:p w14:paraId="59F84208"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25,4</w:t>
            </w:r>
          </w:p>
        </w:tc>
        <w:tc>
          <w:tcPr>
            <w:tcW w:w="482" w:type="pct"/>
            <w:tcBorders>
              <w:top w:val="nil"/>
              <w:left w:val="nil"/>
              <w:bottom w:val="nil"/>
              <w:right w:val="nil"/>
            </w:tcBorders>
            <w:shd w:val="clear" w:color="000000" w:fill="FFFFFF"/>
            <w:vAlign w:val="center"/>
            <w:hideMark/>
          </w:tcPr>
          <w:p w14:paraId="240A229F"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14</w:t>
            </w:r>
          </w:p>
        </w:tc>
        <w:tc>
          <w:tcPr>
            <w:tcW w:w="482" w:type="pct"/>
            <w:tcBorders>
              <w:top w:val="nil"/>
              <w:left w:val="nil"/>
              <w:bottom w:val="nil"/>
              <w:right w:val="nil"/>
            </w:tcBorders>
            <w:shd w:val="clear" w:color="000000" w:fill="FFFFFF"/>
            <w:vAlign w:val="center"/>
            <w:hideMark/>
          </w:tcPr>
          <w:p w14:paraId="33DEEEF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28</w:t>
            </w:r>
          </w:p>
        </w:tc>
        <w:tc>
          <w:tcPr>
            <w:tcW w:w="482" w:type="pct"/>
            <w:tcBorders>
              <w:top w:val="nil"/>
              <w:left w:val="nil"/>
              <w:bottom w:val="nil"/>
              <w:right w:val="nil"/>
            </w:tcBorders>
            <w:shd w:val="clear" w:color="000000" w:fill="FFFFFF"/>
            <w:vAlign w:val="center"/>
            <w:hideMark/>
          </w:tcPr>
          <w:p w14:paraId="0A81BB2B"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36</w:t>
            </w:r>
          </w:p>
        </w:tc>
        <w:tc>
          <w:tcPr>
            <w:tcW w:w="483" w:type="pct"/>
            <w:tcBorders>
              <w:top w:val="nil"/>
              <w:left w:val="nil"/>
              <w:bottom w:val="nil"/>
              <w:right w:val="nil"/>
            </w:tcBorders>
            <w:shd w:val="clear" w:color="000000" w:fill="FFFFFF"/>
            <w:vAlign w:val="center"/>
            <w:hideMark/>
          </w:tcPr>
          <w:p w14:paraId="2DF620C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72</w:t>
            </w:r>
          </w:p>
        </w:tc>
        <w:tc>
          <w:tcPr>
            <w:tcW w:w="483" w:type="pct"/>
            <w:vMerge/>
            <w:tcBorders>
              <w:top w:val="nil"/>
              <w:left w:val="nil"/>
              <w:bottom w:val="nil"/>
              <w:right w:val="nil"/>
            </w:tcBorders>
            <w:vAlign w:val="center"/>
            <w:hideMark/>
          </w:tcPr>
          <w:p w14:paraId="56539EE6" w14:textId="77777777" w:rsidR="00A2179E" w:rsidRPr="00A2179E" w:rsidRDefault="00A2179E" w:rsidP="00A2179E">
            <w:pPr>
              <w:spacing w:line="360" w:lineRule="auto"/>
              <w:jc w:val="center"/>
              <w:rPr>
                <w:rFonts w:eastAsia="Calibri"/>
                <w:b/>
                <w:bCs/>
                <w:color w:val="000000"/>
                <w:sz w:val="22"/>
                <w:szCs w:val="22"/>
                <w:lang w:val="pt-BR" w:eastAsia="en-US"/>
              </w:rPr>
            </w:pPr>
          </w:p>
        </w:tc>
      </w:tr>
      <w:tr w:rsidR="00A2179E" w:rsidRPr="00A2179E" w14:paraId="72EB41B0" w14:textId="77777777" w:rsidTr="0091040E">
        <w:trPr>
          <w:trHeight w:val="300"/>
        </w:trPr>
        <w:tc>
          <w:tcPr>
            <w:tcW w:w="536" w:type="pct"/>
            <w:vMerge/>
            <w:tcBorders>
              <w:top w:val="nil"/>
              <w:left w:val="nil"/>
              <w:bottom w:val="nil"/>
              <w:right w:val="nil"/>
            </w:tcBorders>
            <w:vAlign w:val="center"/>
            <w:hideMark/>
          </w:tcPr>
          <w:p w14:paraId="65AB1A5B"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701EF377"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2,1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3</w:t>
            </w:r>
          </w:p>
        </w:tc>
        <w:tc>
          <w:tcPr>
            <w:tcW w:w="439" w:type="pct"/>
            <w:tcBorders>
              <w:top w:val="nil"/>
              <w:left w:val="nil"/>
              <w:bottom w:val="nil"/>
              <w:right w:val="nil"/>
            </w:tcBorders>
            <w:shd w:val="clear" w:color="000000" w:fill="FFFFFF"/>
            <w:vAlign w:val="center"/>
            <w:hideMark/>
          </w:tcPr>
          <w:p w14:paraId="6E6F1756"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36</w:t>
            </w:r>
          </w:p>
        </w:tc>
        <w:tc>
          <w:tcPr>
            <w:tcW w:w="482" w:type="pct"/>
            <w:tcBorders>
              <w:top w:val="nil"/>
              <w:left w:val="nil"/>
              <w:bottom w:val="nil"/>
              <w:right w:val="nil"/>
            </w:tcBorders>
            <w:shd w:val="clear" w:color="000000" w:fill="FFFFFF"/>
            <w:vAlign w:val="center"/>
            <w:hideMark/>
          </w:tcPr>
          <w:p w14:paraId="36DF28DE"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18,3</w:t>
            </w:r>
          </w:p>
        </w:tc>
        <w:tc>
          <w:tcPr>
            <w:tcW w:w="482" w:type="pct"/>
            <w:tcBorders>
              <w:top w:val="nil"/>
              <w:left w:val="nil"/>
              <w:bottom w:val="nil"/>
              <w:right w:val="nil"/>
            </w:tcBorders>
            <w:shd w:val="clear" w:color="000000" w:fill="FFFFFF"/>
            <w:vAlign w:val="center"/>
            <w:hideMark/>
          </w:tcPr>
          <w:p w14:paraId="2A2F926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w:t>
            </w:r>
          </w:p>
        </w:tc>
        <w:tc>
          <w:tcPr>
            <w:tcW w:w="482" w:type="pct"/>
            <w:tcBorders>
              <w:top w:val="nil"/>
              <w:left w:val="nil"/>
              <w:bottom w:val="nil"/>
              <w:right w:val="nil"/>
            </w:tcBorders>
            <w:shd w:val="clear" w:color="000000" w:fill="FFFFFF"/>
            <w:vAlign w:val="center"/>
            <w:hideMark/>
          </w:tcPr>
          <w:p w14:paraId="7E107DB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11,1</w:t>
            </w:r>
          </w:p>
        </w:tc>
        <w:tc>
          <w:tcPr>
            <w:tcW w:w="482" w:type="pct"/>
            <w:tcBorders>
              <w:top w:val="nil"/>
              <w:left w:val="nil"/>
              <w:bottom w:val="nil"/>
              <w:right w:val="nil"/>
            </w:tcBorders>
            <w:shd w:val="clear" w:color="000000" w:fill="FFFFFF"/>
            <w:vAlign w:val="center"/>
            <w:hideMark/>
          </w:tcPr>
          <w:p w14:paraId="59B4B35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32</w:t>
            </w:r>
          </w:p>
        </w:tc>
        <w:tc>
          <w:tcPr>
            <w:tcW w:w="483" w:type="pct"/>
            <w:tcBorders>
              <w:top w:val="nil"/>
              <w:left w:val="nil"/>
              <w:bottom w:val="nil"/>
              <w:right w:val="nil"/>
            </w:tcBorders>
            <w:shd w:val="clear" w:color="000000" w:fill="FFFFFF"/>
            <w:vAlign w:val="center"/>
            <w:hideMark/>
          </w:tcPr>
          <w:p w14:paraId="04502DC7"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88,9</w:t>
            </w:r>
          </w:p>
        </w:tc>
        <w:tc>
          <w:tcPr>
            <w:tcW w:w="483" w:type="pct"/>
            <w:vMerge/>
            <w:tcBorders>
              <w:top w:val="nil"/>
              <w:left w:val="nil"/>
              <w:bottom w:val="nil"/>
              <w:right w:val="nil"/>
            </w:tcBorders>
            <w:vAlign w:val="center"/>
            <w:hideMark/>
          </w:tcPr>
          <w:p w14:paraId="12F8EEBB" w14:textId="77777777" w:rsidR="00A2179E" w:rsidRPr="00A2179E" w:rsidRDefault="00A2179E" w:rsidP="00A2179E">
            <w:pPr>
              <w:spacing w:line="360" w:lineRule="auto"/>
              <w:jc w:val="center"/>
              <w:rPr>
                <w:rFonts w:eastAsia="Calibri"/>
                <w:b/>
                <w:bCs/>
                <w:color w:val="000000"/>
                <w:sz w:val="22"/>
                <w:szCs w:val="22"/>
                <w:lang w:val="pt-BR" w:eastAsia="en-US"/>
              </w:rPr>
            </w:pPr>
          </w:p>
        </w:tc>
      </w:tr>
      <w:tr w:rsidR="00A2179E" w:rsidRPr="00A2179E" w14:paraId="48834BE7" w14:textId="77777777" w:rsidTr="0091040E">
        <w:trPr>
          <w:trHeight w:val="300"/>
        </w:trPr>
        <w:tc>
          <w:tcPr>
            <w:tcW w:w="536" w:type="pct"/>
            <w:vMerge/>
            <w:tcBorders>
              <w:top w:val="nil"/>
              <w:left w:val="nil"/>
              <w:bottom w:val="nil"/>
              <w:right w:val="nil"/>
            </w:tcBorders>
            <w:vAlign w:val="center"/>
            <w:hideMark/>
          </w:tcPr>
          <w:p w14:paraId="46440143"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39F138CA"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3,1 </w:t>
            </w:r>
            <w:proofErr w:type="spellStart"/>
            <w:r w:rsidRPr="00A2179E">
              <w:rPr>
                <w:rFonts w:eastAsia="Calibri"/>
                <w:color w:val="000000"/>
                <w:sz w:val="22"/>
                <w:szCs w:val="22"/>
                <w:lang w:val="pt-BR" w:eastAsia="en-US"/>
              </w:rPr>
              <w:t>to</w:t>
            </w:r>
            <w:proofErr w:type="spellEnd"/>
            <w:r w:rsidRPr="00A2179E">
              <w:rPr>
                <w:rFonts w:eastAsia="Calibri"/>
                <w:color w:val="000000"/>
                <w:sz w:val="22"/>
                <w:szCs w:val="22"/>
                <w:lang w:val="pt-BR" w:eastAsia="en-US"/>
              </w:rPr>
              <w:t xml:space="preserve"> 4</w:t>
            </w:r>
          </w:p>
        </w:tc>
        <w:tc>
          <w:tcPr>
            <w:tcW w:w="439" w:type="pct"/>
            <w:tcBorders>
              <w:top w:val="nil"/>
              <w:left w:val="nil"/>
              <w:bottom w:val="nil"/>
              <w:right w:val="nil"/>
            </w:tcBorders>
            <w:shd w:val="clear" w:color="000000" w:fill="FFFFFF"/>
            <w:vAlign w:val="center"/>
            <w:hideMark/>
          </w:tcPr>
          <w:p w14:paraId="761C61D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41</w:t>
            </w:r>
          </w:p>
        </w:tc>
        <w:tc>
          <w:tcPr>
            <w:tcW w:w="482" w:type="pct"/>
            <w:tcBorders>
              <w:top w:val="nil"/>
              <w:left w:val="nil"/>
              <w:bottom w:val="nil"/>
              <w:right w:val="nil"/>
            </w:tcBorders>
            <w:shd w:val="clear" w:color="000000" w:fill="FFFFFF"/>
            <w:vAlign w:val="center"/>
            <w:hideMark/>
          </w:tcPr>
          <w:p w14:paraId="39E35C3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20,8</w:t>
            </w:r>
          </w:p>
        </w:tc>
        <w:tc>
          <w:tcPr>
            <w:tcW w:w="482" w:type="pct"/>
            <w:tcBorders>
              <w:top w:val="nil"/>
              <w:left w:val="nil"/>
              <w:bottom w:val="nil"/>
              <w:right w:val="nil"/>
            </w:tcBorders>
            <w:shd w:val="clear" w:color="000000" w:fill="FFFFFF"/>
            <w:vAlign w:val="center"/>
            <w:hideMark/>
          </w:tcPr>
          <w:p w14:paraId="62565AD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w:t>
            </w:r>
          </w:p>
        </w:tc>
        <w:tc>
          <w:tcPr>
            <w:tcW w:w="482" w:type="pct"/>
            <w:tcBorders>
              <w:top w:val="nil"/>
              <w:left w:val="nil"/>
              <w:bottom w:val="nil"/>
              <w:right w:val="nil"/>
            </w:tcBorders>
            <w:shd w:val="clear" w:color="000000" w:fill="FFFFFF"/>
            <w:vAlign w:val="center"/>
            <w:hideMark/>
          </w:tcPr>
          <w:p w14:paraId="25E8ADC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22</w:t>
            </w:r>
          </w:p>
        </w:tc>
        <w:tc>
          <w:tcPr>
            <w:tcW w:w="482" w:type="pct"/>
            <w:tcBorders>
              <w:top w:val="nil"/>
              <w:left w:val="nil"/>
              <w:bottom w:val="nil"/>
              <w:right w:val="nil"/>
            </w:tcBorders>
            <w:shd w:val="clear" w:color="000000" w:fill="FFFFFF"/>
            <w:vAlign w:val="center"/>
            <w:hideMark/>
          </w:tcPr>
          <w:p w14:paraId="6A6038F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32</w:t>
            </w:r>
          </w:p>
        </w:tc>
        <w:tc>
          <w:tcPr>
            <w:tcW w:w="483" w:type="pct"/>
            <w:tcBorders>
              <w:top w:val="nil"/>
              <w:left w:val="nil"/>
              <w:bottom w:val="nil"/>
              <w:right w:val="nil"/>
            </w:tcBorders>
            <w:shd w:val="clear" w:color="000000" w:fill="FFFFFF"/>
            <w:vAlign w:val="center"/>
            <w:hideMark/>
          </w:tcPr>
          <w:p w14:paraId="087604A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78</w:t>
            </w:r>
          </w:p>
        </w:tc>
        <w:tc>
          <w:tcPr>
            <w:tcW w:w="483" w:type="pct"/>
            <w:vMerge/>
            <w:tcBorders>
              <w:top w:val="nil"/>
              <w:left w:val="nil"/>
              <w:bottom w:val="nil"/>
              <w:right w:val="nil"/>
            </w:tcBorders>
            <w:vAlign w:val="center"/>
            <w:hideMark/>
          </w:tcPr>
          <w:p w14:paraId="329CE829" w14:textId="77777777" w:rsidR="00A2179E" w:rsidRPr="00A2179E" w:rsidRDefault="00A2179E" w:rsidP="00A2179E">
            <w:pPr>
              <w:spacing w:line="360" w:lineRule="auto"/>
              <w:jc w:val="center"/>
              <w:rPr>
                <w:rFonts w:eastAsia="Calibri"/>
                <w:b/>
                <w:bCs/>
                <w:color w:val="000000"/>
                <w:sz w:val="22"/>
                <w:szCs w:val="22"/>
                <w:lang w:val="pt-BR" w:eastAsia="en-US"/>
              </w:rPr>
            </w:pPr>
          </w:p>
        </w:tc>
      </w:tr>
      <w:tr w:rsidR="00A2179E" w:rsidRPr="00A2179E" w14:paraId="41361937" w14:textId="77777777" w:rsidTr="0091040E">
        <w:trPr>
          <w:trHeight w:val="585"/>
        </w:trPr>
        <w:tc>
          <w:tcPr>
            <w:tcW w:w="536" w:type="pct"/>
            <w:vMerge/>
            <w:tcBorders>
              <w:top w:val="nil"/>
              <w:left w:val="nil"/>
              <w:bottom w:val="nil"/>
              <w:right w:val="nil"/>
            </w:tcBorders>
            <w:vAlign w:val="center"/>
            <w:hideMark/>
          </w:tcPr>
          <w:p w14:paraId="7003C30B" w14:textId="77777777" w:rsidR="00A2179E" w:rsidRPr="00A2179E" w:rsidRDefault="00A2179E" w:rsidP="00A2179E">
            <w:pPr>
              <w:spacing w:line="360" w:lineRule="auto"/>
              <w:jc w:val="center"/>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5B5E6CF0"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More </w:t>
            </w:r>
            <w:proofErr w:type="spellStart"/>
            <w:r w:rsidRPr="00A2179E">
              <w:rPr>
                <w:rFonts w:eastAsia="Calibri"/>
                <w:color w:val="000000"/>
                <w:sz w:val="22"/>
                <w:szCs w:val="22"/>
                <w:lang w:val="pt-BR" w:eastAsia="en-US"/>
              </w:rPr>
              <w:t>than</w:t>
            </w:r>
            <w:proofErr w:type="spellEnd"/>
            <w:r w:rsidRPr="00A2179E">
              <w:rPr>
                <w:rFonts w:eastAsia="Calibri"/>
                <w:color w:val="000000"/>
                <w:sz w:val="22"/>
                <w:szCs w:val="22"/>
                <w:lang w:val="pt-BR" w:eastAsia="en-US"/>
              </w:rPr>
              <w:t xml:space="preserve"> 4</w:t>
            </w:r>
          </w:p>
        </w:tc>
        <w:tc>
          <w:tcPr>
            <w:tcW w:w="439" w:type="pct"/>
            <w:tcBorders>
              <w:top w:val="nil"/>
              <w:left w:val="nil"/>
              <w:bottom w:val="nil"/>
              <w:right w:val="nil"/>
            </w:tcBorders>
            <w:shd w:val="clear" w:color="000000" w:fill="FFFFFF"/>
            <w:hideMark/>
          </w:tcPr>
          <w:p w14:paraId="50861B69"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40</w:t>
            </w:r>
          </w:p>
        </w:tc>
        <w:tc>
          <w:tcPr>
            <w:tcW w:w="482" w:type="pct"/>
            <w:tcBorders>
              <w:top w:val="nil"/>
              <w:left w:val="nil"/>
              <w:bottom w:val="nil"/>
              <w:right w:val="nil"/>
            </w:tcBorders>
            <w:shd w:val="clear" w:color="000000" w:fill="FFFFFF"/>
            <w:hideMark/>
          </w:tcPr>
          <w:p w14:paraId="43D67E6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20,3</w:t>
            </w:r>
          </w:p>
        </w:tc>
        <w:tc>
          <w:tcPr>
            <w:tcW w:w="482" w:type="pct"/>
            <w:tcBorders>
              <w:top w:val="nil"/>
              <w:left w:val="nil"/>
              <w:bottom w:val="nil"/>
              <w:right w:val="nil"/>
            </w:tcBorders>
            <w:shd w:val="clear" w:color="000000" w:fill="FFFFFF"/>
            <w:hideMark/>
          </w:tcPr>
          <w:p w14:paraId="16BB5D61"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w:t>
            </w:r>
          </w:p>
        </w:tc>
        <w:tc>
          <w:tcPr>
            <w:tcW w:w="482" w:type="pct"/>
            <w:tcBorders>
              <w:top w:val="nil"/>
              <w:left w:val="nil"/>
              <w:bottom w:val="nil"/>
              <w:right w:val="nil"/>
            </w:tcBorders>
            <w:shd w:val="clear" w:color="000000" w:fill="FFFFFF"/>
            <w:hideMark/>
          </w:tcPr>
          <w:p w14:paraId="2CFA1BAB"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7,5</w:t>
            </w:r>
          </w:p>
        </w:tc>
        <w:tc>
          <w:tcPr>
            <w:tcW w:w="482" w:type="pct"/>
            <w:tcBorders>
              <w:top w:val="nil"/>
              <w:left w:val="nil"/>
              <w:bottom w:val="nil"/>
              <w:right w:val="nil"/>
            </w:tcBorders>
            <w:shd w:val="clear" w:color="000000" w:fill="FFFFFF"/>
            <w:hideMark/>
          </w:tcPr>
          <w:p w14:paraId="1204494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37</w:t>
            </w:r>
          </w:p>
        </w:tc>
        <w:tc>
          <w:tcPr>
            <w:tcW w:w="483" w:type="pct"/>
            <w:tcBorders>
              <w:top w:val="nil"/>
              <w:left w:val="nil"/>
              <w:bottom w:val="nil"/>
              <w:right w:val="nil"/>
            </w:tcBorders>
            <w:shd w:val="clear" w:color="000000" w:fill="FFFFFF"/>
            <w:hideMark/>
          </w:tcPr>
          <w:p w14:paraId="497B568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92,5</w:t>
            </w:r>
          </w:p>
        </w:tc>
        <w:tc>
          <w:tcPr>
            <w:tcW w:w="483" w:type="pct"/>
            <w:vMerge/>
            <w:tcBorders>
              <w:top w:val="nil"/>
              <w:left w:val="nil"/>
              <w:bottom w:val="nil"/>
              <w:right w:val="nil"/>
            </w:tcBorders>
            <w:vAlign w:val="center"/>
            <w:hideMark/>
          </w:tcPr>
          <w:p w14:paraId="1BB31B96" w14:textId="77777777" w:rsidR="00A2179E" w:rsidRPr="00A2179E" w:rsidRDefault="00A2179E" w:rsidP="00A2179E">
            <w:pPr>
              <w:spacing w:line="360" w:lineRule="auto"/>
              <w:jc w:val="center"/>
              <w:rPr>
                <w:rFonts w:eastAsia="Calibri"/>
                <w:b/>
                <w:bCs/>
                <w:color w:val="000000"/>
                <w:sz w:val="22"/>
                <w:szCs w:val="22"/>
                <w:lang w:val="pt-BR" w:eastAsia="en-US"/>
              </w:rPr>
            </w:pPr>
          </w:p>
        </w:tc>
      </w:tr>
      <w:tr w:rsidR="00A2179E" w:rsidRPr="00A2179E" w14:paraId="10C587E0" w14:textId="77777777" w:rsidTr="0091040E">
        <w:trPr>
          <w:trHeight w:val="555"/>
        </w:trPr>
        <w:tc>
          <w:tcPr>
            <w:tcW w:w="536" w:type="pct"/>
            <w:vMerge w:val="restart"/>
            <w:tcBorders>
              <w:top w:val="nil"/>
              <w:left w:val="nil"/>
              <w:bottom w:val="nil"/>
              <w:right w:val="nil"/>
            </w:tcBorders>
            <w:shd w:val="clear" w:color="000000" w:fill="FFFFFF"/>
            <w:vAlign w:val="center"/>
            <w:hideMark/>
          </w:tcPr>
          <w:p w14:paraId="53723702" w14:textId="77777777" w:rsidR="00A2179E" w:rsidRPr="00A2179E" w:rsidRDefault="00A2179E" w:rsidP="00A2179E">
            <w:pPr>
              <w:spacing w:line="360" w:lineRule="auto"/>
              <w:jc w:val="both"/>
              <w:rPr>
                <w:rFonts w:eastAsia="Calibri"/>
                <w:b/>
                <w:bCs/>
                <w:color w:val="000000"/>
                <w:sz w:val="22"/>
                <w:szCs w:val="22"/>
                <w:lang w:val="pt-BR" w:eastAsia="en-US"/>
              </w:rPr>
            </w:pPr>
            <w:r w:rsidRPr="00A2179E">
              <w:rPr>
                <w:rFonts w:eastAsia="Calibri"/>
                <w:b/>
                <w:bCs/>
                <w:color w:val="000000"/>
                <w:sz w:val="22"/>
                <w:szCs w:val="22"/>
                <w:lang w:val="pt-BR" w:eastAsia="en-US"/>
              </w:rPr>
              <w:t xml:space="preserve">Social </w:t>
            </w:r>
            <w:r w:rsidRPr="00A2179E">
              <w:rPr>
                <w:rFonts w:eastAsia="Calibri"/>
                <w:b/>
                <w:bCs/>
                <w:color w:val="000000"/>
                <w:sz w:val="22"/>
                <w:szCs w:val="22"/>
                <w:lang w:val="pt-BR" w:eastAsia="en-US"/>
              </w:rPr>
              <w:br/>
            </w:r>
            <w:proofErr w:type="spellStart"/>
            <w:r w:rsidRPr="00A2179E">
              <w:rPr>
                <w:rFonts w:eastAsia="Calibri"/>
                <w:b/>
                <w:bCs/>
                <w:color w:val="000000"/>
                <w:sz w:val="22"/>
                <w:szCs w:val="22"/>
                <w:lang w:val="pt-BR" w:eastAsia="en-US"/>
              </w:rPr>
              <w:t>Support</w:t>
            </w:r>
            <w:proofErr w:type="spellEnd"/>
            <w:r w:rsidRPr="00A2179E">
              <w:rPr>
                <w:rFonts w:eastAsia="Calibri"/>
                <w:b/>
                <w:bCs/>
                <w:color w:val="000000"/>
                <w:sz w:val="22"/>
                <w:szCs w:val="22"/>
                <w:lang w:val="pt-BR" w:eastAsia="en-US"/>
              </w:rPr>
              <w:t xml:space="preserve"> </w:t>
            </w:r>
          </w:p>
        </w:tc>
        <w:tc>
          <w:tcPr>
            <w:tcW w:w="1131" w:type="pct"/>
            <w:tcBorders>
              <w:top w:val="nil"/>
              <w:left w:val="nil"/>
              <w:bottom w:val="nil"/>
              <w:right w:val="nil"/>
            </w:tcBorders>
            <w:shd w:val="clear" w:color="000000" w:fill="FFFFFF"/>
            <w:vAlign w:val="bottom"/>
            <w:hideMark/>
          </w:tcPr>
          <w:p w14:paraId="5FB5345F" w14:textId="77777777" w:rsidR="00A2179E" w:rsidRPr="00A2179E" w:rsidRDefault="00A2179E" w:rsidP="0091040E">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Little </w:t>
            </w:r>
            <w:proofErr w:type="spellStart"/>
            <w:r w:rsidRPr="00A2179E">
              <w:rPr>
                <w:rFonts w:eastAsia="Calibri"/>
                <w:color w:val="000000"/>
                <w:sz w:val="22"/>
                <w:szCs w:val="22"/>
                <w:lang w:val="pt-BR" w:eastAsia="en-US"/>
              </w:rPr>
              <w:t>support</w:t>
            </w:r>
            <w:proofErr w:type="spellEnd"/>
          </w:p>
        </w:tc>
        <w:tc>
          <w:tcPr>
            <w:tcW w:w="439" w:type="pct"/>
            <w:tcBorders>
              <w:top w:val="nil"/>
              <w:left w:val="nil"/>
              <w:bottom w:val="nil"/>
              <w:right w:val="nil"/>
            </w:tcBorders>
            <w:shd w:val="clear" w:color="000000" w:fill="FFFFFF"/>
            <w:vAlign w:val="bottom"/>
            <w:hideMark/>
          </w:tcPr>
          <w:p w14:paraId="45A708E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93</w:t>
            </w:r>
          </w:p>
        </w:tc>
        <w:tc>
          <w:tcPr>
            <w:tcW w:w="482" w:type="pct"/>
            <w:tcBorders>
              <w:top w:val="nil"/>
              <w:left w:val="nil"/>
              <w:bottom w:val="nil"/>
              <w:right w:val="nil"/>
            </w:tcBorders>
            <w:shd w:val="clear" w:color="000000" w:fill="FFFFFF"/>
            <w:vAlign w:val="bottom"/>
            <w:hideMark/>
          </w:tcPr>
          <w:p w14:paraId="340CC747"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46,5</w:t>
            </w:r>
          </w:p>
        </w:tc>
        <w:tc>
          <w:tcPr>
            <w:tcW w:w="482" w:type="pct"/>
            <w:tcBorders>
              <w:top w:val="nil"/>
              <w:left w:val="nil"/>
              <w:bottom w:val="nil"/>
              <w:right w:val="nil"/>
            </w:tcBorders>
            <w:shd w:val="clear" w:color="000000" w:fill="FFFFFF"/>
            <w:vAlign w:val="bottom"/>
            <w:hideMark/>
          </w:tcPr>
          <w:p w14:paraId="6945CE5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24</w:t>
            </w:r>
          </w:p>
        </w:tc>
        <w:tc>
          <w:tcPr>
            <w:tcW w:w="482" w:type="pct"/>
            <w:tcBorders>
              <w:top w:val="nil"/>
              <w:left w:val="nil"/>
              <w:bottom w:val="nil"/>
              <w:right w:val="nil"/>
            </w:tcBorders>
            <w:shd w:val="clear" w:color="000000" w:fill="FFFFFF"/>
            <w:vAlign w:val="bottom"/>
            <w:hideMark/>
          </w:tcPr>
          <w:p w14:paraId="360936B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25,8</w:t>
            </w:r>
          </w:p>
        </w:tc>
        <w:tc>
          <w:tcPr>
            <w:tcW w:w="482" w:type="pct"/>
            <w:tcBorders>
              <w:top w:val="nil"/>
              <w:left w:val="nil"/>
              <w:bottom w:val="nil"/>
              <w:right w:val="nil"/>
            </w:tcBorders>
            <w:shd w:val="clear" w:color="000000" w:fill="FFFFFF"/>
            <w:vAlign w:val="bottom"/>
            <w:hideMark/>
          </w:tcPr>
          <w:p w14:paraId="1A841DC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69</w:t>
            </w:r>
          </w:p>
        </w:tc>
        <w:tc>
          <w:tcPr>
            <w:tcW w:w="483" w:type="pct"/>
            <w:tcBorders>
              <w:top w:val="nil"/>
              <w:left w:val="nil"/>
              <w:bottom w:val="nil"/>
              <w:right w:val="nil"/>
            </w:tcBorders>
            <w:shd w:val="clear" w:color="000000" w:fill="FFFFFF"/>
            <w:vAlign w:val="bottom"/>
            <w:hideMark/>
          </w:tcPr>
          <w:p w14:paraId="5976862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74,2</w:t>
            </w:r>
          </w:p>
        </w:tc>
        <w:tc>
          <w:tcPr>
            <w:tcW w:w="483" w:type="pct"/>
            <w:vMerge w:val="restart"/>
            <w:tcBorders>
              <w:top w:val="nil"/>
              <w:left w:val="nil"/>
              <w:bottom w:val="nil"/>
              <w:right w:val="nil"/>
            </w:tcBorders>
            <w:shd w:val="clear" w:color="000000" w:fill="FFFFFF"/>
            <w:vAlign w:val="center"/>
            <w:hideMark/>
          </w:tcPr>
          <w:p w14:paraId="33063900" w14:textId="77777777" w:rsidR="00A2179E" w:rsidRPr="00A2179E" w:rsidRDefault="00A2179E" w:rsidP="00A2179E">
            <w:pPr>
              <w:spacing w:line="360" w:lineRule="auto"/>
              <w:jc w:val="both"/>
              <w:rPr>
                <w:rFonts w:eastAsia="Calibri"/>
                <w:color w:val="000000"/>
                <w:sz w:val="22"/>
                <w:szCs w:val="22"/>
                <w:lang w:val="pt-BR" w:eastAsia="en-US"/>
              </w:rPr>
            </w:pPr>
            <w:r w:rsidRPr="00A2179E">
              <w:rPr>
                <w:rFonts w:eastAsia="Calibri"/>
                <w:color w:val="000000"/>
                <w:sz w:val="22"/>
                <w:szCs w:val="22"/>
                <w:lang w:val="pt-BR" w:eastAsia="en-US"/>
              </w:rPr>
              <w:t>0,165</w:t>
            </w:r>
          </w:p>
        </w:tc>
      </w:tr>
      <w:tr w:rsidR="00A2179E" w:rsidRPr="00A2179E" w14:paraId="0741A075" w14:textId="77777777" w:rsidTr="0091040E">
        <w:trPr>
          <w:trHeight w:val="705"/>
        </w:trPr>
        <w:tc>
          <w:tcPr>
            <w:tcW w:w="536" w:type="pct"/>
            <w:vMerge/>
            <w:tcBorders>
              <w:top w:val="nil"/>
              <w:left w:val="nil"/>
              <w:right w:val="nil"/>
            </w:tcBorders>
            <w:vAlign w:val="center"/>
            <w:hideMark/>
          </w:tcPr>
          <w:p w14:paraId="04FA4BCF" w14:textId="77777777" w:rsidR="00A2179E" w:rsidRPr="00A2179E" w:rsidRDefault="00A2179E" w:rsidP="00A2179E">
            <w:pPr>
              <w:spacing w:line="360" w:lineRule="auto"/>
              <w:jc w:val="both"/>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113AF6DB" w14:textId="77777777" w:rsidR="00A2179E" w:rsidRPr="00A2179E" w:rsidRDefault="00A2179E" w:rsidP="0091040E">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Plenty</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support</w:t>
            </w:r>
            <w:proofErr w:type="spellEnd"/>
          </w:p>
        </w:tc>
        <w:tc>
          <w:tcPr>
            <w:tcW w:w="439" w:type="pct"/>
            <w:tcBorders>
              <w:top w:val="nil"/>
              <w:left w:val="nil"/>
              <w:bottom w:val="nil"/>
              <w:right w:val="nil"/>
            </w:tcBorders>
            <w:shd w:val="clear" w:color="000000" w:fill="FFFFFF"/>
            <w:hideMark/>
          </w:tcPr>
          <w:p w14:paraId="1E1CDAF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107</w:t>
            </w:r>
          </w:p>
        </w:tc>
        <w:tc>
          <w:tcPr>
            <w:tcW w:w="482" w:type="pct"/>
            <w:tcBorders>
              <w:top w:val="nil"/>
              <w:left w:val="nil"/>
              <w:bottom w:val="nil"/>
              <w:right w:val="nil"/>
            </w:tcBorders>
            <w:shd w:val="clear" w:color="000000" w:fill="FFFFFF"/>
            <w:hideMark/>
          </w:tcPr>
          <w:p w14:paraId="54082FE8"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53,5</w:t>
            </w:r>
          </w:p>
        </w:tc>
        <w:tc>
          <w:tcPr>
            <w:tcW w:w="482" w:type="pct"/>
            <w:tcBorders>
              <w:top w:val="nil"/>
              <w:left w:val="nil"/>
              <w:bottom w:val="nil"/>
              <w:right w:val="nil"/>
            </w:tcBorders>
            <w:shd w:val="clear" w:color="000000" w:fill="FFFFFF"/>
            <w:hideMark/>
          </w:tcPr>
          <w:p w14:paraId="5922C7BF"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15</w:t>
            </w:r>
          </w:p>
        </w:tc>
        <w:tc>
          <w:tcPr>
            <w:tcW w:w="482" w:type="pct"/>
            <w:tcBorders>
              <w:top w:val="nil"/>
              <w:left w:val="nil"/>
              <w:bottom w:val="nil"/>
              <w:right w:val="nil"/>
            </w:tcBorders>
            <w:shd w:val="clear" w:color="000000" w:fill="FFFFFF"/>
            <w:hideMark/>
          </w:tcPr>
          <w:p w14:paraId="2655DCE1"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14</w:t>
            </w:r>
          </w:p>
        </w:tc>
        <w:tc>
          <w:tcPr>
            <w:tcW w:w="482" w:type="pct"/>
            <w:tcBorders>
              <w:top w:val="nil"/>
              <w:left w:val="nil"/>
              <w:bottom w:val="nil"/>
              <w:right w:val="nil"/>
            </w:tcBorders>
            <w:shd w:val="clear" w:color="000000" w:fill="FFFFFF"/>
            <w:hideMark/>
          </w:tcPr>
          <w:p w14:paraId="47076C3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92</w:t>
            </w:r>
          </w:p>
        </w:tc>
        <w:tc>
          <w:tcPr>
            <w:tcW w:w="483" w:type="pct"/>
            <w:tcBorders>
              <w:top w:val="nil"/>
              <w:left w:val="nil"/>
              <w:bottom w:val="nil"/>
              <w:right w:val="nil"/>
            </w:tcBorders>
            <w:shd w:val="clear" w:color="000000" w:fill="FFFFFF"/>
            <w:hideMark/>
          </w:tcPr>
          <w:p w14:paraId="02CE8672"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86</w:t>
            </w:r>
          </w:p>
        </w:tc>
        <w:tc>
          <w:tcPr>
            <w:tcW w:w="483" w:type="pct"/>
            <w:vMerge/>
            <w:tcBorders>
              <w:top w:val="nil"/>
              <w:left w:val="nil"/>
              <w:bottom w:val="nil"/>
              <w:right w:val="nil"/>
            </w:tcBorders>
            <w:vAlign w:val="center"/>
            <w:hideMark/>
          </w:tcPr>
          <w:p w14:paraId="48087371" w14:textId="77777777" w:rsidR="00A2179E" w:rsidRPr="00A2179E" w:rsidRDefault="00A2179E" w:rsidP="00A2179E">
            <w:pPr>
              <w:spacing w:line="360" w:lineRule="auto"/>
              <w:jc w:val="both"/>
              <w:rPr>
                <w:rFonts w:eastAsia="Calibri"/>
                <w:color w:val="000000"/>
                <w:sz w:val="22"/>
                <w:szCs w:val="22"/>
                <w:lang w:val="pt-BR" w:eastAsia="en-US"/>
              </w:rPr>
            </w:pPr>
          </w:p>
        </w:tc>
      </w:tr>
      <w:tr w:rsidR="00A2179E" w:rsidRPr="00A2179E" w14:paraId="1B8B34BE" w14:textId="77777777" w:rsidTr="0091040E">
        <w:trPr>
          <w:trHeight w:val="375"/>
        </w:trPr>
        <w:tc>
          <w:tcPr>
            <w:tcW w:w="536" w:type="pct"/>
            <w:vMerge w:val="restart"/>
            <w:shd w:val="clear" w:color="000000" w:fill="FFFFFF"/>
            <w:vAlign w:val="center"/>
            <w:hideMark/>
          </w:tcPr>
          <w:p w14:paraId="7BB549EB" w14:textId="27768E65" w:rsidR="00A2179E" w:rsidRPr="00A2179E" w:rsidRDefault="0091040E" w:rsidP="0091040E">
            <w:pPr>
              <w:spacing w:line="360" w:lineRule="auto"/>
              <w:jc w:val="center"/>
              <w:rPr>
                <w:rFonts w:eastAsia="Calibri"/>
                <w:b/>
                <w:bCs/>
                <w:color w:val="000000"/>
                <w:sz w:val="22"/>
                <w:szCs w:val="22"/>
                <w:lang w:val="pt-BR" w:eastAsia="en-US"/>
              </w:rPr>
            </w:pPr>
            <w:r w:rsidRPr="00A2179E">
              <w:rPr>
                <w:rFonts w:eastAsia="Calibri"/>
                <w:b/>
                <w:bCs/>
                <w:color w:val="000000"/>
                <w:sz w:val="22"/>
                <w:szCs w:val="22"/>
                <w:lang w:val="pt-BR" w:eastAsia="en-US"/>
              </w:rPr>
              <w:t xml:space="preserve">General </w:t>
            </w:r>
            <w:r w:rsidRPr="00A2179E">
              <w:rPr>
                <w:rFonts w:eastAsia="Calibri"/>
                <w:b/>
                <w:bCs/>
                <w:color w:val="000000"/>
                <w:sz w:val="22"/>
                <w:szCs w:val="22"/>
                <w:lang w:val="pt-BR" w:eastAsia="en-US"/>
              </w:rPr>
              <w:br/>
              <w:t>Health</w:t>
            </w:r>
          </w:p>
        </w:tc>
        <w:tc>
          <w:tcPr>
            <w:tcW w:w="1131" w:type="pct"/>
            <w:tcBorders>
              <w:top w:val="nil"/>
              <w:left w:val="nil"/>
              <w:bottom w:val="nil"/>
              <w:right w:val="nil"/>
            </w:tcBorders>
            <w:shd w:val="clear" w:color="000000" w:fill="FFFFFF"/>
            <w:hideMark/>
          </w:tcPr>
          <w:p w14:paraId="74E1BD05" w14:textId="77777777" w:rsidR="00A2179E" w:rsidRPr="00A2179E" w:rsidRDefault="00A2179E" w:rsidP="0091040E">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Good</w:t>
            </w:r>
            <w:proofErr w:type="spellEnd"/>
          </w:p>
        </w:tc>
        <w:tc>
          <w:tcPr>
            <w:tcW w:w="439" w:type="pct"/>
            <w:tcBorders>
              <w:top w:val="nil"/>
              <w:left w:val="nil"/>
              <w:bottom w:val="nil"/>
              <w:right w:val="nil"/>
            </w:tcBorders>
            <w:shd w:val="clear" w:color="000000" w:fill="FFFFFF"/>
            <w:vAlign w:val="center"/>
            <w:hideMark/>
          </w:tcPr>
          <w:p w14:paraId="131D6460"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103</w:t>
            </w:r>
          </w:p>
        </w:tc>
        <w:tc>
          <w:tcPr>
            <w:tcW w:w="482" w:type="pct"/>
            <w:tcBorders>
              <w:top w:val="nil"/>
              <w:left w:val="nil"/>
              <w:bottom w:val="nil"/>
              <w:right w:val="nil"/>
            </w:tcBorders>
            <w:shd w:val="clear" w:color="000000" w:fill="FFFFFF"/>
            <w:vAlign w:val="center"/>
            <w:hideMark/>
          </w:tcPr>
          <w:p w14:paraId="69A07E94"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51,5</w:t>
            </w:r>
          </w:p>
        </w:tc>
        <w:tc>
          <w:tcPr>
            <w:tcW w:w="482" w:type="pct"/>
            <w:tcBorders>
              <w:top w:val="nil"/>
              <w:left w:val="nil"/>
              <w:bottom w:val="nil"/>
              <w:right w:val="nil"/>
            </w:tcBorders>
            <w:shd w:val="clear" w:color="000000" w:fill="FFFFFF"/>
            <w:vAlign w:val="center"/>
            <w:hideMark/>
          </w:tcPr>
          <w:p w14:paraId="4D24ED7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20</w:t>
            </w:r>
          </w:p>
        </w:tc>
        <w:tc>
          <w:tcPr>
            <w:tcW w:w="482" w:type="pct"/>
            <w:tcBorders>
              <w:top w:val="nil"/>
              <w:left w:val="nil"/>
              <w:bottom w:val="nil"/>
              <w:right w:val="nil"/>
            </w:tcBorders>
            <w:shd w:val="clear" w:color="000000" w:fill="FFFFFF"/>
            <w:vAlign w:val="center"/>
            <w:hideMark/>
          </w:tcPr>
          <w:p w14:paraId="1CB62E05"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19,4</w:t>
            </w:r>
          </w:p>
        </w:tc>
        <w:tc>
          <w:tcPr>
            <w:tcW w:w="482" w:type="pct"/>
            <w:tcBorders>
              <w:top w:val="nil"/>
              <w:left w:val="nil"/>
              <w:bottom w:val="nil"/>
              <w:right w:val="nil"/>
            </w:tcBorders>
            <w:shd w:val="clear" w:color="000000" w:fill="FFFFFF"/>
            <w:vAlign w:val="center"/>
            <w:hideMark/>
          </w:tcPr>
          <w:p w14:paraId="1410361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83</w:t>
            </w:r>
          </w:p>
        </w:tc>
        <w:tc>
          <w:tcPr>
            <w:tcW w:w="483" w:type="pct"/>
            <w:tcBorders>
              <w:top w:val="nil"/>
              <w:left w:val="nil"/>
              <w:bottom w:val="nil"/>
              <w:right w:val="nil"/>
            </w:tcBorders>
            <w:shd w:val="clear" w:color="000000" w:fill="FFFFFF"/>
            <w:vAlign w:val="center"/>
            <w:hideMark/>
          </w:tcPr>
          <w:p w14:paraId="4CF87DCE"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80,6</w:t>
            </w:r>
          </w:p>
        </w:tc>
        <w:tc>
          <w:tcPr>
            <w:tcW w:w="483" w:type="pct"/>
            <w:vMerge w:val="restart"/>
            <w:tcBorders>
              <w:top w:val="nil"/>
              <w:left w:val="nil"/>
              <w:bottom w:val="nil"/>
              <w:right w:val="nil"/>
            </w:tcBorders>
            <w:shd w:val="clear" w:color="000000" w:fill="FFFFFF"/>
            <w:vAlign w:val="center"/>
            <w:hideMark/>
          </w:tcPr>
          <w:p w14:paraId="73FF1310" w14:textId="77777777" w:rsidR="00A2179E" w:rsidRPr="00B01635" w:rsidRDefault="00A2179E" w:rsidP="00A2179E">
            <w:pPr>
              <w:spacing w:line="360" w:lineRule="auto"/>
              <w:jc w:val="both"/>
              <w:rPr>
                <w:rFonts w:eastAsia="Calibri"/>
                <w:bCs/>
                <w:color w:val="000000"/>
                <w:sz w:val="22"/>
                <w:szCs w:val="22"/>
                <w:lang w:val="pt-BR" w:eastAsia="en-US"/>
              </w:rPr>
            </w:pPr>
            <w:r w:rsidRPr="00B01635">
              <w:rPr>
                <w:rFonts w:eastAsia="Calibri"/>
                <w:bCs/>
                <w:color w:val="000000"/>
                <w:sz w:val="22"/>
                <w:szCs w:val="22"/>
                <w:lang w:val="pt-BR" w:eastAsia="en-US"/>
              </w:rPr>
              <w:t>0,817</w:t>
            </w:r>
          </w:p>
        </w:tc>
      </w:tr>
      <w:tr w:rsidR="00A2179E" w:rsidRPr="00A2179E" w14:paraId="06B87460" w14:textId="77777777" w:rsidTr="0091040E">
        <w:trPr>
          <w:trHeight w:val="450"/>
        </w:trPr>
        <w:tc>
          <w:tcPr>
            <w:tcW w:w="536" w:type="pct"/>
            <w:vMerge/>
            <w:vAlign w:val="center"/>
            <w:hideMark/>
          </w:tcPr>
          <w:p w14:paraId="46730E1A" w14:textId="77777777" w:rsidR="00A2179E" w:rsidRPr="00A2179E" w:rsidRDefault="00A2179E" w:rsidP="00A2179E">
            <w:pPr>
              <w:spacing w:line="360" w:lineRule="auto"/>
              <w:jc w:val="both"/>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46F0D44F" w14:textId="0E7E9B63" w:rsidR="00A2179E" w:rsidRPr="00A2179E" w:rsidRDefault="00A2179E" w:rsidP="00E41CE5">
            <w:pPr>
              <w:spacing w:line="360" w:lineRule="auto"/>
              <w:ind w:right="-65"/>
              <w:rPr>
                <w:rFonts w:eastAsia="Calibri"/>
                <w:color w:val="000000"/>
                <w:sz w:val="22"/>
                <w:szCs w:val="22"/>
                <w:lang w:val="pt-BR" w:eastAsia="en-US"/>
              </w:rPr>
            </w:pPr>
            <w:proofErr w:type="spellStart"/>
            <w:r w:rsidRPr="00A2179E">
              <w:rPr>
                <w:rFonts w:eastAsia="Calibri"/>
                <w:color w:val="000000"/>
                <w:sz w:val="22"/>
                <w:szCs w:val="22"/>
                <w:lang w:val="pt-BR" w:eastAsia="en-US"/>
              </w:rPr>
              <w:t>Very</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good</w:t>
            </w:r>
            <w:proofErr w:type="spellEnd"/>
            <w:r w:rsidRPr="00A2179E">
              <w:rPr>
                <w:rFonts w:eastAsia="Calibri"/>
                <w:color w:val="000000"/>
                <w:sz w:val="22"/>
                <w:szCs w:val="22"/>
                <w:lang w:val="pt-BR" w:eastAsia="en-US"/>
              </w:rPr>
              <w:t>/</w:t>
            </w:r>
            <w:proofErr w:type="spellStart"/>
            <w:r w:rsidRPr="00A2179E">
              <w:rPr>
                <w:rFonts w:eastAsia="Calibri"/>
                <w:color w:val="000000"/>
                <w:sz w:val="22"/>
                <w:szCs w:val="22"/>
                <w:lang w:val="pt-BR" w:eastAsia="en-US"/>
              </w:rPr>
              <w:t>excellen</w:t>
            </w:r>
            <w:r w:rsidR="00E41CE5">
              <w:rPr>
                <w:rFonts w:eastAsia="Calibri"/>
                <w:color w:val="000000"/>
                <w:sz w:val="22"/>
                <w:szCs w:val="22"/>
                <w:lang w:val="pt-BR" w:eastAsia="en-US"/>
              </w:rPr>
              <w:t>t</w:t>
            </w:r>
            <w:proofErr w:type="spellEnd"/>
          </w:p>
        </w:tc>
        <w:tc>
          <w:tcPr>
            <w:tcW w:w="439" w:type="pct"/>
            <w:tcBorders>
              <w:top w:val="nil"/>
              <w:left w:val="nil"/>
              <w:bottom w:val="nil"/>
              <w:right w:val="nil"/>
            </w:tcBorders>
            <w:shd w:val="clear" w:color="000000" w:fill="FFFFFF"/>
            <w:vAlign w:val="center"/>
            <w:hideMark/>
          </w:tcPr>
          <w:p w14:paraId="200DC4E0"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55</w:t>
            </w:r>
          </w:p>
        </w:tc>
        <w:tc>
          <w:tcPr>
            <w:tcW w:w="482" w:type="pct"/>
            <w:tcBorders>
              <w:top w:val="nil"/>
              <w:left w:val="nil"/>
              <w:bottom w:val="nil"/>
              <w:right w:val="nil"/>
            </w:tcBorders>
            <w:shd w:val="clear" w:color="000000" w:fill="FFFFFF"/>
            <w:vAlign w:val="center"/>
            <w:hideMark/>
          </w:tcPr>
          <w:p w14:paraId="4B46879C"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27,5</w:t>
            </w:r>
          </w:p>
        </w:tc>
        <w:tc>
          <w:tcPr>
            <w:tcW w:w="482" w:type="pct"/>
            <w:tcBorders>
              <w:top w:val="nil"/>
              <w:left w:val="nil"/>
              <w:bottom w:val="nil"/>
              <w:right w:val="nil"/>
            </w:tcBorders>
            <w:shd w:val="clear" w:color="000000" w:fill="FFFFFF"/>
            <w:vAlign w:val="center"/>
            <w:hideMark/>
          </w:tcPr>
          <w:p w14:paraId="6BCD5B63"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w:t>
            </w:r>
          </w:p>
        </w:tc>
        <w:tc>
          <w:tcPr>
            <w:tcW w:w="482" w:type="pct"/>
            <w:tcBorders>
              <w:top w:val="nil"/>
              <w:left w:val="nil"/>
              <w:bottom w:val="nil"/>
              <w:right w:val="nil"/>
            </w:tcBorders>
            <w:shd w:val="clear" w:color="000000" w:fill="FFFFFF"/>
            <w:vAlign w:val="center"/>
            <w:hideMark/>
          </w:tcPr>
          <w:p w14:paraId="4037DE80"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5,5</w:t>
            </w:r>
          </w:p>
        </w:tc>
        <w:tc>
          <w:tcPr>
            <w:tcW w:w="482" w:type="pct"/>
            <w:tcBorders>
              <w:top w:val="nil"/>
              <w:left w:val="nil"/>
              <w:bottom w:val="nil"/>
              <w:right w:val="nil"/>
            </w:tcBorders>
            <w:shd w:val="clear" w:color="000000" w:fill="FFFFFF"/>
            <w:vAlign w:val="center"/>
            <w:hideMark/>
          </w:tcPr>
          <w:p w14:paraId="3A5F9FF4"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52</w:t>
            </w:r>
          </w:p>
        </w:tc>
        <w:tc>
          <w:tcPr>
            <w:tcW w:w="483" w:type="pct"/>
            <w:tcBorders>
              <w:top w:val="nil"/>
              <w:left w:val="nil"/>
              <w:bottom w:val="nil"/>
              <w:right w:val="nil"/>
            </w:tcBorders>
            <w:shd w:val="clear" w:color="000000" w:fill="FFFFFF"/>
            <w:vAlign w:val="center"/>
            <w:hideMark/>
          </w:tcPr>
          <w:p w14:paraId="01882A1D" w14:textId="77777777" w:rsidR="00A2179E" w:rsidRPr="00A2179E" w:rsidRDefault="00A2179E" w:rsidP="0091040E">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94,5</w:t>
            </w:r>
          </w:p>
        </w:tc>
        <w:tc>
          <w:tcPr>
            <w:tcW w:w="483" w:type="pct"/>
            <w:vMerge/>
            <w:tcBorders>
              <w:top w:val="nil"/>
              <w:left w:val="nil"/>
              <w:bottom w:val="nil"/>
              <w:right w:val="nil"/>
            </w:tcBorders>
            <w:vAlign w:val="center"/>
            <w:hideMark/>
          </w:tcPr>
          <w:p w14:paraId="5FC43F2C" w14:textId="77777777" w:rsidR="00A2179E" w:rsidRPr="00A2179E" w:rsidRDefault="00A2179E" w:rsidP="00A2179E">
            <w:pPr>
              <w:spacing w:line="360" w:lineRule="auto"/>
              <w:jc w:val="both"/>
              <w:rPr>
                <w:rFonts w:eastAsia="Calibri"/>
                <w:b/>
                <w:bCs/>
                <w:color w:val="000000"/>
                <w:sz w:val="22"/>
                <w:szCs w:val="22"/>
                <w:lang w:val="pt-BR" w:eastAsia="en-US"/>
              </w:rPr>
            </w:pPr>
          </w:p>
        </w:tc>
      </w:tr>
      <w:tr w:rsidR="00A2179E" w:rsidRPr="00A2179E" w14:paraId="5ECBE24C" w14:textId="77777777" w:rsidTr="00E41CE5">
        <w:trPr>
          <w:trHeight w:val="480"/>
        </w:trPr>
        <w:tc>
          <w:tcPr>
            <w:tcW w:w="536" w:type="pct"/>
            <w:vMerge/>
            <w:vAlign w:val="center"/>
            <w:hideMark/>
          </w:tcPr>
          <w:p w14:paraId="6D552957" w14:textId="77777777" w:rsidR="00A2179E" w:rsidRPr="00A2179E" w:rsidRDefault="00A2179E" w:rsidP="00A2179E">
            <w:pPr>
              <w:spacing w:line="360" w:lineRule="auto"/>
              <w:jc w:val="both"/>
              <w:rPr>
                <w:rFonts w:eastAsia="Calibri"/>
                <w:b/>
                <w:bCs/>
                <w:color w:val="000000"/>
                <w:sz w:val="22"/>
                <w:szCs w:val="22"/>
                <w:lang w:val="pt-BR" w:eastAsia="en-US"/>
              </w:rPr>
            </w:pPr>
          </w:p>
        </w:tc>
        <w:tc>
          <w:tcPr>
            <w:tcW w:w="1131" w:type="pct"/>
            <w:tcBorders>
              <w:top w:val="nil"/>
              <w:left w:val="nil"/>
              <w:bottom w:val="nil"/>
              <w:right w:val="nil"/>
            </w:tcBorders>
            <w:shd w:val="clear" w:color="000000" w:fill="FFFFFF"/>
            <w:hideMark/>
          </w:tcPr>
          <w:p w14:paraId="771FDDB9" w14:textId="77777777" w:rsidR="00A2179E" w:rsidRPr="00A2179E" w:rsidRDefault="00A2179E" w:rsidP="0091040E">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Reasonable</w:t>
            </w:r>
            <w:proofErr w:type="spellEnd"/>
            <w:r w:rsidRPr="00A2179E">
              <w:rPr>
                <w:rFonts w:eastAsia="Calibri"/>
                <w:color w:val="000000"/>
                <w:sz w:val="22"/>
                <w:szCs w:val="22"/>
                <w:lang w:val="pt-BR" w:eastAsia="en-US"/>
              </w:rPr>
              <w:t>/</w:t>
            </w:r>
            <w:proofErr w:type="spellStart"/>
            <w:r w:rsidRPr="00A2179E">
              <w:rPr>
                <w:rFonts w:eastAsia="Calibri"/>
                <w:color w:val="000000"/>
                <w:sz w:val="22"/>
                <w:szCs w:val="22"/>
                <w:lang w:val="pt-BR" w:eastAsia="en-US"/>
              </w:rPr>
              <w:t>terrible</w:t>
            </w:r>
            <w:proofErr w:type="spellEnd"/>
          </w:p>
        </w:tc>
        <w:tc>
          <w:tcPr>
            <w:tcW w:w="439" w:type="pct"/>
            <w:tcBorders>
              <w:top w:val="nil"/>
              <w:left w:val="nil"/>
              <w:bottom w:val="nil"/>
              <w:right w:val="nil"/>
            </w:tcBorders>
            <w:shd w:val="clear" w:color="000000" w:fill="FFFFFF"/>
            <w:hideMark/>
          </w:tcPr>
          <w:p w14:paraId="1C89EA6F"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42</w:t>
            </w:r>
          </w:p>
        </w:tc>
        <w:tc>
          <w:tcPr>
            <w:tcW w:w="482" w:type="pct"/>
            <w:tcBorders>
              <w:top w:val="nil"/>
              <w:left w:val="nil"/>
              <w:bottom w:val="nil"/>
              <w:right w:val="nil"/>
            </w:tcBorders>
            <w:shd w:val="clear" w:color="000000" w:fill="FFFFFF"/>
            <w:hideMark/>
          </w:tcPr>
          <w:p w14:paraId="71F37146"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21</w:t>
            </w:r>
          </w:p>
        </w:tc>
        <w:tc>
          <w:tcPr>
            <w:tcW w:w="482" w:type="pct"/>
            <w:tcBorders>
              <w:top w:val="nil"/>
              <w:left w:val="nil"/>
              <w:bottom w:val="nil"/>
              <w:right w:val="nil"/>
            </w:tcBorders>
            <w:shd w:val="clear" w:color="000000" w:fill="FFFFFF"/>
            <w:hideMark/>
          </w:tcPr>
          <w:p w14:paraId="234D792D"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16</w:t>
            </w:r>
          </w:p>
        </w:tc>
        <w:tc>
          <w:tcPr>
            <w:tcW w:w="482" w:type="pct"/>
            <w:tcBorders>
              <w:top w:val="nil"/>
              <w:left w:val="nil"/>
              <w:bottom w:val="nil"/>
              <w:right w:val="nil"/>
            </w:tcBorders>
            <w:shd w:val="clear" w:color="000000" w:fill="FFFFFF"/>
            <w:hideMark/>
          </w:tcPr>
          <w:p w14:paraId="6E2E78CE"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38,1</w:t>
            </w:r>
          </w:p>
        </w:tc>
        <w:tc>
          <w:tcPr>
            <w:tcW w:w="482" w:type="pct"/>
            <w:tcBorders>
              <w:top w:val="nil"/>
              <w:left w:val="nil"/>
              <w:bottom w:val="nil"/>
              <w:right w:val="nil"/>
            </w:tcBorders>
            <w:shd w:val="clear" w:color="000000" w:fill="FFFFFF"/>
            <w:hideMark/>
          </w:tcPr>
          <w:p w14:paraId="07DD5F4A"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26</w:t>
            </w:r>
          </w:p>
        </w:tc>
        <w:tc>
          <w:tcPr>
            <w:tcW w:w="483" w:type="pct"/>
            <w:tcBorders>
              <w:top w:val="nil"/>
              <w:left w:val="nil"/>
              <w:bottom w:val="nil"/>
              <w:right w:val="nil"/>
            </w:tcBorders>
            <w:shd w:val="clear" w:color="000000" w:fill="FFFFFF"/>
            <w:hideMark/>
          </w:tcPr>
          <w:p w14:paraId="529D5573"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61,9</w:t>
            </w:r>
          </w:p>
        </w:tc>
        <w:tc>
          <w:tcPr>
            <w:tcW w:w="483" w:type="pct"/>
            <w:vMerge/>
            <w:tcBorders>
              <w:top w:val="nil"/>
              <w:left w:val="nil"/>
              <w:bottom w:val="nil"/>
              <w:right w:val="nil"/>
            </w:tcBorders>
            <w:vAlign w:val="center"/>
            <w:hideMark/>
          </w:tcPr>
          <w:p w14:paraId="78E40620" w14:textId="77777777" w:rsidR="00A2179E" w:rsidRPr="00A2179E" w:rsidRDefault="00A2179E" w:rsidP="00A2179E">
            <w:pPr>
              <w:spacing w:line="360" w:lineRule="auto"/>
              <w:jc w:val="both"/>
              <w:rPr>
                <w:rFonts w:eastAsia="Calibri"/>
                <w:b/>
                <w:bCs/>
                <w:color w:val="000000"/>
                <w:sz w:val="22"/>
                <w:szCs w:val="22"/>
                <w:lang w:val="pt-BR" w:eastAsia="en-US"/>
              </w:rPr>
            </w:pPr>
          </w:p>
        </w:tc>
      </w:tr>
      <w:tr w:rsidR="0091040E" w:rsidRPr="00A2179E" w14:paraId="53D276B4" w14:textId="77777777" w:rsidTr="00E41CE5">
        <w:trPr>
          <w:trHeight w:val="510"/>
        </w:trPr>
        <w:tc>
          <w:tcPr>
            <w:tcW w:w="536" w:type="pct"/>
            <w:vMerge w:val="restart"/>
            <w:shd w:val="clear" w:color="000000" w:fill="FFFFFF"/>
            <w:vAlign w:val="center"/>
            <w:hideMark/>
          </w:tcPr>
          <w:p w14:paraId="4EB5745F" w14:textId="0BE16807" w:rsidR="0091040E" w:rsidRPr="00A2179E" w:rsidRDefault="0091040E" w:rsidP="0091040E">
            <w:pPr>
              <w:spacing w:line="360" w:lineRule="auto"/>
              <w:jc w:val="center"/>
              <w:rPr>
                <w:rFonts w:eastAsia="Calibri"/>
                <w:b/>
                <w:bCs/>
                <w:color w:val="000000"/>
                <w:sz w:val="22"/>
                <w:szCs w:val="22"/>
                <w:lang w:val="pt-BR" w:eastAsia="en-US"/>
              </w:rPr>
            </w:pPr>
            <w:r w:rsidRPr="00A2179E">
              <w:rPr>
                <w:rFonts w:eastAsia="Calibri"/>
                <w:b/>
                <w:bCs/>
                <w:color w:val="000000"/>
                <w:sz w:val="22"/>
                <w:szCs w:val="22"/>
                <w:lang w:val="pt-BR" w:eastAsia="en-US"/>
              </w:rPr>
              <w:t>Stress</w:t>
            </w:r>
          </w:p>
        </w:tc>
        <w:tc>
          <w:tcPr>
            <w:tcW w:w="1131" w:type="pct"/>
            <w:tcBorders>
              <w:top w:val="nil"/>
              <w:left w:val="nil"/>
              <w:bottom w:val="nil"/>
              <w:right w:val="nil"/>
            </w:tcBorders>
            <w:shd w:val="clear" w:color="000000" w:fill="FFFFFF"/>
            <w:vAlign w:val="bottom"/>
            <w:hideMark/>
          </w:tcPr>
          <w:p w14:paraId="223E3688" w14:textId="77777777" w:rsidR="0091040E" w:rsidRPr="00A2179E" w:rsidRDefault="0091040E" w:rsidP="0091040E">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Many</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stressors</w:t>
            </w:r>
            <w:proofErr w:type="spellEnd"/>
          </w:p>
        </w:tc>
        <w:tc>
          <w:tcPr>
            <w:tcW w:w="439" w:type="pct"/>
            <w:tcBorders>
              <w:top w:val="nil"/>
              <w:left w:val="nil"/>
              <w:bottom w:val="nil"/>
              <w:right w:val="nil"/>
            </w:tcBorders>
            <w:shd w:val="clear" w:color="000000" w:fill="FFFFFF"/>
            <w:vAlign w:val="bottom"/>
            <w:hideMark/>
          </w:tcPr>
          <w:p w14:paraId="47BEC6F6"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100</w:t>
            </w:r>
          </w:p>
        </w:tc>
        <w:tc>
          <w:tcPr>
            <w:tcW w:w="482" w:type="pct"/>
            <w:tcBorders>
              <w:top w:val="nil"/>
              <w:left w:val="nil"/>
              <w:bottom w:val="nil"/>
              <w:right w:val="nil"/>
            </w:tcBorders>
            <w:shd w:val="clear" w:color="000000" w:fill="FFFFFF"/>
            <w:vAlign w:val="bottom"/>
            <w:hideMark/>
          </w:tcPr>
          <w:p w14:paraId="7CE3B71C"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50</w:t>
            </w:r>
          </w:p>
        </w:tc>
        <w:tc>
          <w:tcPr>
            <w:tcW w:w="482" w:type="pct"/>
            <w:tcBorders>
              <w:top w:val="nil"/>
              <w:left w:val="nil"/>
              <w:bottom w:val="nil"/>
              <w:right w:val="nil"/>
            </w:tcBorders>
            <w:shd w:val="clear" w:color="000000" w:fill="FFFFFF"/>
            <w:vAlign w:val="bottom"/>
            <w:hideMark/>
          </w:tcPr>
          <w:p w14:paraId="46F4B504"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26</w:t>
            </w:r>
          </w:p>
        </w:tc>
        <w:tc>
          <w:tcPr>
            <w:tcW w:w="482" w:type="pct"/>
            <w:tcBorders>
              <w:top w:val="nil"/>
              <w:left w:val="nil"/>
              <w:bottom w:val="nil"/>
              <w:right w:val="nil"/>
            </w:tcBorders>
            <w:shd w:val="clear" w:color="000000" w:fill="FFFFFF"/>
            <w:vAlign w:val="bottom"/>
            <w:hideMark/>
          </w:tcPr>
          <w:p w14:paraId="34D1406E"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26</w:t>
            </w:r>
          </w:p>
        </w:tc>
        <w:tc>
          <w:tcPr>
            <w:tcW w:w="482" w:type="pct"/>
            <w:tcBorders>
              <w:top w:val="nil"/>
              <w:left w:val="nil"/>
              <w:bottom w:val="nil"/>
              <w:right w:val="nil"/>
            </w:tcBorders>
            <w:shd w:val="clear" w:color="000000" w:fill="FFFFFF"/>
            <w:vAlign w:val="bottom"/>
            <w:hideMark/>
          </w:tcPr>
          <w:p w14:paraId="5AA19DF7"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74</w:t>
            </w:r>
          </w:p>
        </w:tc>
        <w:tc>
          <w:tcPr>
            <w:tcW w:w="483" w:type="pct"/>
            <w:tcBorders>
              <w:top w:val="nil"/>
              <w:left w:val="nil"/>
              <w:bottom w:val="nil"/>
              <w:right w:val="nil"/>
            </w:tcBorders>
            <w:shd w:val="clear" w:color="000000" w:fill="FFFFFF"/>
            <w:vAlign w:val="bottom"/>
            <w:hideMark/>
          </w:tcPr>
          <w:p w14:paraId="0535FD0D"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74</w:t>
            </w:r>
          </w:p>
        </w:tc>
        <w:tc>
          <w:tcPr>
            <w:tcW w:w="483" w:type="pct"/>
            <w:vMerge w:val="restart"/>
            <w:tcBorders>
              <w:top w:val="nil"/>
              <w:left w:val="nil"/>
              <w:bottom w:val="nil"/>
              <w:right w:val="nil"/>
            </w:tcBorders>
            <w:shd w:val="clear" w:color="000000" w:fill="FFFFFF"/>
            <w:vAlign w:val="center"/>
            <w:hideMark/>
          </w:tcPr>
          <w:p w14:paraId="033999EB" w14:textId="77777777" w:rsidR="0091040E" w:rsidRPr="00B01635" w:rsidRDefault="0091040E" w:rsidP="00A2179E">
            <w:pPr>
              <w:spacing w:line="360" w:lineRule="auto"/>
              <w:jc w:val="both"/>
              <w:rPr>
                <w:rFonts w:eastAsia="Calibri"/>
                <w:bCs/>
                <w:color w:val="000000"/>
                <w:sz w:val="22"/>
                <w:szCs w:val="22"/>
                <w:lang w:val="pt-BR" w:eastAsia="en-US"/>
              </w:rPr>
            </w:pPr>
            <w:r w:rsidRPr="00B01635">
              <w:rPr>
                <w:rFonts w:eastAsia="Calibri"/>
                <w:bCs/>
                <w:color w:val="000000"/>
                <w:sz w:val="22"/>
                <w:szCs w:val="22"/>
                <w:lang w:val="pt-BR" w:eastAsia="en-US"/>
              </w:rPr>
              <w:t>0,019</w:t>
            </w:r>
          </w:p>
        </w:tc>
      </w:tr>
      <w:tr w:rsidR="0091040E" w:rsidRPr="00A2179E" w14:paraId="24B47F82" w14:textId="77777777" w:rsidTr="00E41CE5">
        <w:trPr>
          <w:trHeight w:val="690"/>
        </w:trPr>
        <w:tc>
          <w:tcPr>
            <w:tcW w:w="536" w:type="pct"/>
            <w:vMerge/>
            <w:shd w:val="clear" w:color="000000" w:fill="FFFFFF"/>
            <w:hideMark/>
          </w:tcPr>
          <w:p w14:paraId="4C20C949" w14:textId="2EDAD42B" w:rsidR="0091040E" w:rsidRPr="00A2179E" w:rsidRDefault="0091040E" w:rsidP="0091040E">
            <w:pPr>
              <w:spacing w:line="360" w:lineRule="auto"/>
              <w:jc w:val="center"/>
              <w:rPr>
                <w:rFonts w:eastAsia="Calibri"/>
                <w:color w:val="000000"/>
                <w:sz w:val="22"/>
                <w:szCs w:val="22"/>
                <w:lang w:val="pt-BR" w:eastAsia="en-US"/>
              </w:rPr>
            </w:pPr>
          </w:p>
        </w:tc>
        <w:tc>
          <w:tcPr>
            <w:tcW w:w="1131" w:type="pct"/>
            <w:tcBorders>
              <w:top w:val="nil"/>
              <w:left w:val="nil"/>
              <w:bottom w:val="nil"/>
              <w:right w:val="nil"/>
            </w:tcBorders>
            <w:shd w:val="clear" w:color="000000" w:fill="FFFFFF"/>
            <w:hideMark/>
          </w:tcPr>
          <w:p w14:paraId="20D6C399" w14:textId="77777777" w:rsidR="0091040E" w:rsidRPr="00A2179E" w:rsidRDefault="0091040E" w:rsidP="0091040E">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Few</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stressors</w:t>
            </w:r>
            <w:proofErr w:type="spellEnd"/>
          </w:p>
        </w:tc>
        <w:tc>
          <w:tcPr>
            <w:tcW w:w="439" w:type="pct"/>
            <w:tcBorders>
              <w:top w:val="nil"/>
              <w:left w:val="nil"/>
              <w:bottom w:val="nil"/>
              <w:right w:val="nil"/>
            </w:tcBorders>
            <w:shd w:val="clear" w:color="000000" w:fill="FFFFFF"/>
            <w:hideMark/>
          </w:tcPr>
          <w:p w14:paraId="6A1A8265"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100</w:t>
            </w:r>
          </w:p>
        </w:tc>
        <w:tc>
          <w:tcPr>
            <w:tcW w:w="482" w:type="pct"/>
            <w:tcBorders>
              <w:top w:val="nil"/>
              <w:left w:val="nil"/>
              <w:bottom w:val="nil"/>
              <w:right w:val="nil"/>
            </w:tcBorders>
            <w:shd w:val="clear" w:color="000000" w:fill="FFFFFF"/>
            <w:hideMark/>
          </w:tcPr>
          <w:p w14:paraId="16095747"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50</w:t>
            </w:r>
          </w:p>
        </w:tc>
        <w:tc>
          <w:tcPr>
            <w:tcW w:w="482" w:type="pct"/>
            <w:tcBorders>
              <w:top w:val="nil"/>
              <w:left w:val="nil"/>
              <w:bottom w:val="nil"/>
              <w:right w:val="nil"/>
            </w:tcBorders>
            <w:shd w:val="clear" w:color="000000" w:fill="FFFFFF"/>
            <w:hideMark/>
          </w:tcPr>
          <w:p w14:paraId="7F65F88F"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13</w:t>
            </w:r>
          </w:p>
        </w:tc>
        <w:tc>
          <w:tcPr>
            <w:tcW w:w="482" w:type="pct"/>
            <w:tcBorders>
              <w:top w:val="nil"/>
              <w:left w:val="nil"/>
              <w:bottom w:val="nil"/>
              <w:right w:val="nil"/>
            </w:tcBorders>
            <w:shd w:val="clear" w:color="000000" w:fill="FFFFFF"/>
            <w:hideMark/>
          </w:tcPr>
          <w:p w14:paraId="05FD87E1"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13</w:t>
            </w:r>
          </w:p>
        </w:tc>
        <w:tc>
          <w:tcPr>
            <w:tcW w:w="482" w:type="pct"/>
            <w:tcBorders>
              <w:top w:val="nil"/>
              <w:left w:val="nil"/>
              <w:bottom w:val="nil"/>
              <w:right w:val="nil"/>
            </w:tcBorders>
            <w:shd w:val="clear" w:color="000000" w:fill="FFFFFF"/>
            <w:hideMark/>
          </w:tcPr>
          <w:p w14:paraId="6A527503"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87</w:t>
            </w:r>
          </w:p>
        </w:tc>
        <w:tc>
          <w:tcPr>
            <w:tcW w:w="483" w:type="pct"/>
            <w:tcBorders>
              <w:top w:val="nil"/>
              <w:left w:val="nil"/>
              <w:bottom w:val="nil"/>
              <w:right w:val="nil"/>
            </w:tcBorders>
            <w:shd w:val="clear" w:color="000000" w:fill="FFFFFF"/>
            <w:hideMark/>
          </w:tcPr>
          <w:p w14:paraId="785FEFB8" w14:textId="77777777" w:rsidR="0091040E" w:rsidRPr="00A2179E" w:rsidRDefault="0091040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87</w:t>
            </w:r>
          </w:p>
        </w:tc>
        <w:tc>
          <w:tcPr>
            <w:tcW w:w="483" w:type="pct"/>
            <w:vMerge/>
            <w:tcBorders>
              <w:top w:val="nil"/>
              <w:left w:val="nil"/>
              <w:bottom w:val="nil"/>
              <w:right w:val="nil"/>
            </w:tcBorders>
            <w:vAlign w:val="center"/>
            <w:hideMark/>
          </w:tcPr>
          <w:p w14:paraId="137C5ACF" w14:textId="77777777" w:rsidR="0091040E" w:rsidRPr="00A2179E" w:rsidRDefault="0091040E" w:rsidP="00A2179E">
            <w:pPr>
              <w:spacing w:line="360" w:lineRule="auto"/>
              <w:jc w:val="both"/>
              <w:rPr>
                <w:rFonts w:eastAsia="Calibri"/>
                <w:b/>
                <w:bCs/>
                <w:color w:val="000000"/>
                <w:sz w:val="22"/>
                <w:szCs w:val="22"/>
                <w:lang w:val="pt-BR" w:eastAsia="en-US"/>
              </w:rPr>
            </w:pPr>
          </w:p>
        </w:tc>
      </w:tr>
      <w:tr w:rsidR="00A2179E" w:rsidRPr="00A2179E" w14:paraId="3F5FEA80" w14:textId="77777777" w:rsidTr="00E41CE5">
        <w:trPr>
          <w:trHeight w:val="450"/>
        </w:trPr>
        <w:tc>
          <w:tcPr>
            <w:tcW w:w="536" w:type="pct"/>
            <w:vMerge w:val="restart"/>
            <w:tcBorders>
              <w:bottom w:val="single" w:sz="4" w:space="0" w:color="auto"/>
            </w:tcBorders>
            <w:shd w:val="clear" w:color="000000" w:fill="FFFFFF"/>
            <w:vAlign w:val="center"/>
            <w:hideMark/>
          </w:tcPr>
          <w:p w14:paraId="3B8C5C91" w14:textId="77777777" w:rsidR="00A2179E" w:rsidRPr="00A2179E" w:rsidRDefault="00A2179E" w:rsidP="00A2179E">
            <w:pPr>
              <w:spacing w:line="360" w:lineRule="auto"/>
              <w:jc w:val="both"/>
              <w:rPr>
                <w:rFonts w:eastAsia="Calibri"/>
                <w:b/>
                <w:bCs/>
                <w:color w:val="000000"/>
                <w:sz w:val="22"/>
                <w:szCs w:val="22"/>
                <w:lang w:val="pt-BR" w:eastAsia="en-US"/>
              </w:rPr>
            </w:pPr>
            <w:r w:rsidRPr="00A2179E">
              <w:rPr>
                <w:rFonts w:eastAsia="Calibri"/>
                <w:b/>
                <w:bCs/>
                <w:color w:val="000000"/>
                <w:sz w:val="22"/>
                <w:szCs w:val="22"/>
                <w:lang w:val="pt-BR" w:eastAsia="en-US"/>
              </w:rPr>
              <w:t>SOC</w:t>
            </w:r>
          </w:p>
        </w:tc>
        <w:tc>
          <w:tcPr>
            <w:tcW w:w="1131" w:type="pct"/>
            <w:tcBorders>
              <w:top w:val="nil"/>
              <w:left w:val="nil"/>
              <w:bottom w:val="nil"/>
              <w:right w:val="nil"/>
            </w:tcBorders>
            <w:shd w:val="clear" w:color="000000" w:fill="FFFFFF"/>
            <w:vAlign w:val="bottom"/>
            <w:hideMark/>
          </w:tcPr>
          <w:p w14:paraId="12C80550" w14:textId="77777777" w:rsidR="00A2179E" w:rsidRPr="00A2179E" w:rsidRDefault="00A2179E" w:rsidP="00E41CE5">
            <w:pPr>
              <w:spacing w:line="360" w:lineRule="auto"/>
              <w:rPr>
                <w:rFonts w:eastAsia="Calibri"/>
                <w:color w:val="000000"/>
                <w:sz w:val="22"/>
                <w:szCs w:val="22"/>
                <w:lang w:val="pt-BR" w:eastAsia="en-US"/>
              </w:rPr>
            </w:pPr>
            <w:proofErr w:type="spellStart"/>
            <w:r w:rsidRPr="00A2179E">
              <w:rPr>
                <w:rFonts w:eastAsia="Calibri"/>
                <w:color w:val="000000"/>
                <w:sz w:val="22"/>
                <w:szCs w:val="22"/>
                <w:lang w:val="pt-BR" w:eastAsia="en-US"/>
              </w:rPr>
              <w:t>Low</w:t>
            </w:r>
            <w:proofErr w:type="spellEnd"/>
            <w:r w:rsidRPr="00A2179E">
              <w:rPr>
                <w:rFonts w:eastAsia="Calibri"/>
                <w:color w:val="000000"/>
                <w:sz w:val="22"/>
                <w:szCs w:val="22"/>
                <w:lang w:val="pt-BR" w:eastAsia="en-US"/>
              </w:rPr>
              <w:t xml:space="preserve"> use </w:t>
            </w:r>
            <w:proofErr w:type="spellStart"/>
            <w:r w:rsidRPr="00A2179E">
              <w:rPr>
                <w:rFonts w:eastAsia="Calibri"/>
                <w:color w:val="000000"/>
                <w:sz w:val="22"/>
                <w:szCs w:val="22"/>
                <w:lang w:val="pt-BR" w:eastAsia="en-US"/>
              </w:rPr>
              <w:t>of</w:t>
            </w:r>
            <w:proofErr w:type="spellEnd"/>
            <w:r w:rsidRPr="00A2179E">
              <w:rPr>
                <w:rFonts w:eastAsia="Calibri"/>
                <w:color w:val="000000"/>
                <w:sz w:val="22"/>
                <w:szCs w:val="22"/>
                <w:lang w:val="pt-BR" w:eastAsia="en-US"/>
              </w:rPr>
              <w:t xml:space="preserve"> SOC</w:t>
            </w:r>
          </w:p>
        </w:tc>
        <w:tc>
          <w:tcPr>
            <w:tcW w:w="439" w:type="pct"/>
            <w:tcBorders>
              <w:top w:val="nil"/>
              <w:left w:val="nil"/>
              <w:bottom w:val="nil"/>
              <w:right w:val="nil"/>
            </w:tcBorders>
            <w:shd w:val="clear" w:color="000000" w:fill="FFFFFF"/>
            <w:vAlign w:val="bottom"/>
            <w:hideMark/>
          </w:tcPr>
          <w:p w14:paraId="1E80915A"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92</w:t>
            </w:r>
          </w:p>
        </w:tc>
        <w:tc>
          <w:tcPr>
            <w:tcW w:w="482" w:type="pct"/>
            <w:tcBorders>
              <w:top w:val="nil"/>
              <w:left w:val="nil"/>
              <w:bottom w:val="nil"/>
              <w:right w:val="nil"/>
            </w:tcBorders>
            <w:shd w:val="clear" w:color="000000" w:fill="FFFFFF"/>
            <w:vAlign w:val="bottom"/>
            <w:hideMark/>
          </w:tcPr>
          <w:p w14:paraId="4554E184"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46</w:t>
            </w:r>
          </w:p>
        </w:tc>
        <w:tc>
          <w:tcPr>
            <w:tcW w:w="482" w:type="pct"/>
            <w:tcBorders>
              <w:top w:val="nil"/>
              <w:left w:val="nil"/>
              <w:bottom w:val="nil"/>
              <w:right w:val="nil"/>
            </w:tcBorders>
            <w:shd w:val="clear" w:color="000000" w:fill="FFFFFF"/>
            <w:vAlign w:val="bottom"/>
            <w:hideMark/>
          </w:tcPr>
          <w:p w14:paraId="645C6B27"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24</w:t>
            </w:r>
          </w:p>
        </w:tc>
        <w:tc>
          <w:tcPr>
            <w:tcW w:w="482" w:type="pct"/>
            <w:tcBorders>
              <w:top w:val="nil"/>
              <w:left w:val="nil"/>
              <w:bottom w:val="nil"/>
              <w:right w:val="nil"/>
            </w:tcBorders>
            <w:shd w:val="clear" w:color="000000" w:fill="FFFFFF"/>
            <w:vAlign w:val="bottom"/>
            <w:hideMark/>
          </w:tcPr>
          <w:p w14:paraId="4887AE14"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26,1</w:t>
            </w:r>
          </w:p>
        </w:tc>
        <w:tc>
          <w:tcPr>
            <w:tcW w:w="482" w:type="pct"/>
            <w:tcBorders>
              <w:top w:val="nil"/>
              <w:left w:val="nil"/>
              <w:bottom w:val="nil"/>
              <w:right w:val="nil"/>
            </w:tcBorders>
            <w:shd w:val="clear" w:color="000000" w:fill="FFFFFF"/>
            <w:vAlign w:val="bottom"/>
            <w:hideMark/>
          </w:tcPr>
          <w:p w14:paraId="182E1939"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68</w:t>
            </w:r>
          </w:p>
        </w:tc>
        <w:tc>
          <w:tcPr>
            <w:tcW w:w="483" w:type="pct"/>
            <w:tcBorders>
              <w:top w:val="nil"/>
              <w:left w:val="nil"/>
              <w:bottom w:val="nil"/>
              <w:right w:val="nil"/>
            </w:tcBorders>
            <w:shd w:val="clear" w:color="000000" w:fill="FFFFFF"/>
            <w:vAlign w:val="bottom"/>
            <w:hideMark/>
          </w:tcPr>
          <w:p w14:paraId="3B8A5F06"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73,9</w:t>
            </w:r>
          </w:p>
        </w:tc>
        <w:tc>
          <w:tcPr>
            <w:tcW w:w="483" w:type="pct"/>
            <w:vMerge w:val="restart"/>
            <w:tcBorders>
              <w:top w:val="nil"/>
              <w:left w:val="nil"/>
              <w:bottom w:val="single" w:sz="4" w:space="0" w:color="000000"/>
              <w:right w:val="nil"/>
            </w:tcBorders>
            <w:shd w:val="clear" w:color="000000" w:fill="FFFFFF"/>
            <w:vAlign w:val="center"/>
            <w:hideMark/>
          </w:tcPr>
          <w:p w14:paraId="466C2F50" w14:textId="77777777" w:rsidR="00A2179E" w:rsidRPr="00B01635" w:rsidRDefault="00A2179E" w:rsidP="00A2179E">
            <w:pPr>
              <w:spacing w:line="360" w:lineRule="auto"/>
              <w:jc w:val="both"/>
              <w:rPr>
                <w:rFonts w:eastAsia="Calibri"/>
                <w:bCs/>
                <w:color w:val="000000"/>
                <w:sz w:val="22"/>
                <w:szCs w:val="22"/>
                <w:lang w:val="pt-BR" w:eastAsia="en-US"/>
              </w:rPr>
            </w:pPr>
            <w:r w:rsidRPr="00B01635">
              <w:rPr>
                <w:rFonts w:eastAsia="Calibri"/>
                <w:bCs/>
                <w:color w:val="000000"/>
                <w:sz w:val="22"/>
                <w:szCs w:val="22"/>
                <w:lang w:val="pt-BR" w:eastAsia="en-US"/>
              </w:rPr>
              <w:t>0,03</w:t>
            </w:r>
          </w:p>
        </w:tc>
      </w:tr>
      <w:tr w:rsidR="00A2179E" w:rsidRPr="00A2179E" w14:paraId="164D35A0" w14:textId="77777777" w:rsidTr="00E41CE5">
        <w:trPr>
          <w:trHeight w:val="570"/>
        </w:trPr>
        <w:tc>
          <w:tcPr>
            <w:tcW w:w="536" w:type="pct"/>
            <w:vMerge/>
            <w:tcBorders>
              <w:bottom w:val="single" w:sz="4" w:space="0" w:color="auto"/>
            </w:tcBorders>
            <w:vAlign w:val="center"/>
            <w:hideMark/>
          </w:tcPr>
          <w:p w14:paraId="5DB4138E" w14:textId="77777777" w:rsidR="00A2179E" w:rsidRPr="00A2179E" w:rsidRDefault="00A2179E" w:rsidP="00A2179E">
            <w:pPr>
              <w:spacing w:line="360" w:lineRule="auto"/>
              <w:jc w:val="both"/>
              <w:rPr>
                <w:rFonts w:eastAsia="Calibri"/>
                <w:b/>
                <w:bCs/>
                <w:color w:val="000000"/>
                <w:sz w:val="22"/>
                <w:szCs w:val="22"/>
                <w:lang w:val="pt-BR" w:eastAsia="en-US"/>
              </w:rPr>
            </w:pPr>
          </w:p>
        </w:tc>
        <w:tc>
          <w:tcPr>
            <w:tcW w:w="1131" w:type="pct"/>
            <w:tcBorders>
              <w:top w:val="nil"/>
              <w:left w:val="nil"/>
              <w:bottom w:val="single" w:sz="4" w:space="0" w:color="auto"/>
              <w:right w:val="nil"/>
            </w:tcBorders>
            <w:shd w:val="clear" w:color="000000" w:fill="FFFFFF"/>
            <w:hideMark/>
          </w:tcPr>
          <w:p w14:paraId="605F0D5E" w14:textId="77777777" w:rsidR="00A2179E" w:rsidRPr="00A2179E" w:rsidRDefault="00A2179E" w:rsidP="00E41CE5">
            <w:pPr>
              <w:spacing w:line="360" w:lineRule="auto"/>
              <w:rPr>
                <w:rFonts w:eastAsia="Calibri"/>
                <w:color w:val="000000"/>
                <w:sz w:val="22"/>
                <w:szCs w:val="22"/>
                <w:lang w:val="pt-BR" w:eastAsia="en-US"/>
              </w:rPr>
            </w:pPr>
            <w:r w:rsidRPr="00A2179E">
              <w:rPr>
                <w:rFonts w:eastAsia="Calibri"/>
                <w:color w:val="000000"/>
                <w:sz w:val="22"/>
                <w:szCs w:val="22"/>
                <w:lang w:val="pt-BR" w:eastAsia="en-US"/>
              </w:rPr>
              <w:t xml:space="preserve">High use </w:t>
            </w:r>
            <w:proofErr w:type="spellStart"/>
            <w:r w:rsidRPr="00A2179E">
              <w:rPr>
                <w:rFonts w:eastAsia="Calibri"/>
                <w:color w:val="000000"/>
                <w:sz w:val="22"/>
                <w:szCs w:val="22"/>
                <w:lang w:val="pt-BR" w:eastAsia="en-US"/>
              </w:rPr>
              <w:t>of</w:t>
            </w:r>
            <w:proofErr w:type="spellEnd"/>
            <w:r w:rsidRPr="00A2179E">
              <w:rPr>
                <w:rFonts w:eastAsia="Calibri"/>
                <w:color w:val="000000"/>
                <w:sz w:val="22"/>
                <w:szCs w:val="22"/>
                <w:lang w:val="pt-BR" w:eastAsia="en-US"/>
              </w:rPr>
              <w:t xml:space="preserve"> SOC</w:t>
            </w:r>
          </w:p>
        </w:tc>
        <w:tc>
          <w:tcPr>
            <w:tcW w:w="439" w:type="pct"/>
            <w:tcBorders>
              <w:top w:val="nil"/>
              <w:left w:val="nil"/>
              <w:bottom w:val="single" w:sz="4" w:space="0" w:color="auto"/>
              <w:right w:val="nil"/>
            </w:tcBorders>
            <w:shd w:val="clear" w:color="000000" w:fill="FFFFFF"/>
            <w:hideMark/>
          </w:tcPr>
          <w:p w14:paraId="3990C6BC"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108</w:t>
            </w:r>
          </w:p>
        </w:tc>
        <w:tc>
          <w:tcPr>
            <w:tcW w:w="482" w:type="pct"/>
            <w:tcBorders>
              <w:top w:val="nil"/>
              <w:left w:val="nil"/>
              <w:bottom w:val="single" w:sz="4" w:space="0" w:color="auto"/>
              <w:right w:val="nil"/>
            </w:tcBorders>
            <w:shd w:val="clear" w:color="000000" w:fill="FFFFFF"/>
            <w:hideMark/>
          </w:tcPr>
          <w:p w14:paraId="0224F03E"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54</w:t>
            </w:r>
          </w:p>
        </w:tc>
        <w:tc>
          <w:tcPr>
            <w:tcW w:w="482" w:type="pct"/>
            <w:tcBorders>
              <w:top w:val="nil"/>
              <w:left w:val="nil"/>
              <w:bottom w:val="single" w:sz="4" w:space="0" w:color="auto"/>
              <w:right w:val="nil"/>
            </w:tcBorders>
            <w:shd w:val="clear" w:color="000000" w:fill="FFFFFF"/>
            <w:hideMark/>
          </w:tcPr>
          <w:p w14:paraId="5E213B1C"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15</w:t>
            </w:r>
          </w:p>
        </w:tc>
        <w:tc>
          <w:tcPr>
            <w:tcW w:w="482" w:type="pct"/>
            <w:tcBorders>
              <w:top w:val="nil"/>
              <w:left w:val="nil"/>
              <w:bottom w:val="single" w:sz="4" w:space="0" w:color="auto"/>
              <w:right w:val="nil"/>
            </w:tcBorders>
            <w:shd w:val="clear" w:color="000000" w:fill="FFFFFF"/>
            <w:hideMark/>
          </w:tcPr>
          <w:p w14:paraId="3BE5910B"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13,9</w:t>
            </w:r>
          </w:p>
        </w:tc>
        <w:tc>
          <w:tcPr>
            <w:tcW w:w="482" w:type="pct"/>
            <w:tcBorders>
              <w:top w:val="nil"/>
              <w:left w:val="nil"/>
              <w:bottom w:val="single" w:sz="4" w:space="0" w:color="auto"/>
              <w:right w:val="nil"/>
            </w:tcBorders>
            <w:shd w:val="clear" w:color="000000" w:fill="FFFFFF"/>
            <w:hideMark/>
          </w:tcPr>
          <w:p w14:paraId="70FA24BD"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93</w:t>
            </w:r>
          </w:p>
        </w:tc>
        <w:tc>
          <w:tcPr>
            <w:tcW w:w="483" w:type="pct"/>
            <w:tcBorders>
              <w:top w:val="nil"/>
              <w:left w:val="nil"/>
              <w:bottom w:val="single" w:sz="4" w:space="0" w:color="auto"/>
              <w:right w:val="nil"/>
            </w:tcBorders>
            <w:shd w:val="clear" w:color="000000" w:fill="FFFFFF"/>
            <w:hideMark/>
          </w:tcPr>
          <w:p w14:paraId="47606D62" w14:textId="77777777" w:rsidR="00A2179E" w:rsidRPr="00A2179E" w:rsidRDefault="00A2179E" w:rsidP="00E41CE5">
            <w:pPr>
              <w:spacing w:line="360" w:lineRule="auto"/>
              <w:jc w:val="center"/>
              <w:rPr>
                <w:rFonts w:eastAsia="Calibri"/>
                <w:color w:val="000000"/>
                <w:sz w:val="22"/>
                <w:szCs w:val="22"/>
                <w:lang w:val="pt-BR" w:eastAsia="en-US"/>
              </w:rPr>
            </w:pPr>
            <w:r w:rsidRPr="00A2179E">
              <w:rPr>
                <w:rFonts w:eastAsia="Calibri"/>
                <w:color w:val="000000"/>
                <w:sz w:val="22"/>
                <w:szCs w:val="22"/>
                <w:lang w:val="pt-BR" w:eastAsia="en-US"/>
              </w:rPr>
              <w:t>86,1</w:t>
            </w:r>
          </w:p>
        </w:tc>
        <w:tc>
          <w:tcPr>
            <w:tcW w:w="483" w:type="pct"/>
            <w:vMerge/>
            <w:tcBorders>
              <w:top w:val="nil"/>
              <w:left w:val="nil"/>
              <w:bottom w:val="single" w:sz="4" w:space="0" w:color="000000"/>
              <w:right w:val="nil"/>
            </w:tcBorders>
            <w:vAlign w:val="center"/>
            <w:hideMark/>
          </w:tcPr>
          <w:p w14:paraId="595112DB" w14:textId="77777777" w:rsidR="00A2179E" w:rsidRPr="00A2179E" w:rsidRDefault="00A2179E" w:rsidP="00A2179E">
            <w:pPr>
              <w:spacing w:line="360" w:lineRule="auto"/>
              <w:jc w:val="both"/>
              <w:rPr>
                <w:rFonts w:eastAsia="Calibri"/>
                <w:b/>
                <w:bCs/>
                <w:color w:val="000000"/>
                <w:sz w:val="22"/>
                <w:szCs w:val="22"/>
                <w:lang w:val="pt-BR" w:eastAsia="en-US"/>
              </w:rPr>
            </w:pPr>
          </w:p>
        </w:tc>
      </w:tr>
    </w:tbl>
    <w:p w14:paraId="2B0EFB57" w14:textId="371FC5FD" w:rsidR="00A2179E" w:rsidRPr="00A2179E" w:rsidRDefault="00A2179E" w:rsidP="00E41CE5">
      <w:pPr>
        <w:spacing w:line="360" w:lineRule="auto"/>
        <w:jc w:val="both"/>
        <w:rPr>
          <w:rFonts w:eastAsia="Calibri"/>
          <w:sz w:val="22"/>
          <w:szCs w:val="22"/>
          <w:lang w:val="en-US" w:eastAsia="en-US"/>
        </w:rPr>
      </w:pPr>
      <w:r w:rsidRPr="00A2179E">
        <w:rPr>
          <w:rFonts w:eastAsia="Calibri"/>
          <w:i/>
          <w:sz w:val="22"/>
          <w:szCs w:val="22"/>
          <w:lang w:val="en-US" w:eastAsia="en-US"/>
        </w:rPr>
        <w:t>Note.</w:t>
      </w:r>
      <w:r w:rsidRPr="00A2179E">
        <w:rPr>
          <w:rFonts w:eastAsia="Calibri"/>
          <w:sz w:val="22"/>
          <w:szCs w:val="22"/>
          <w:lang w:val="en-US" w:eastAsia="en-US"/>
        </w:rPr>
        <w:t xml:space="preserve"> * Obtained with Pearson's Chi-square test (χ²)</w:t>
      </w:r>
    </w:p>
    <w:p w14:paraId="241F4C6B" w14:textId="77777777" w:rsidR="00A2179E" w:rsidRDefault="00A2179E" w:rsidP="00A2179E">
      <w:pPr>
        <w:pStyle w:val="Prrafocomn"/>
        <w:spacing w:line="440" w:lineRule="exact"/>
      </w:pPr>
      <w:r w:rsidRPr="00A2179E">
        <w:lastRenderedPageBreak/>
        <w:t xml:space="preserve">It was observed that the chances of the elderly who faced many stressors presented depression were 2.5 times higher than the chances of those who faced few stressors (see table 2). That is, the more stressors the individual faces, the higher the chance of having depression. Regarding the use of SOC resources, the chances of the elderly who presented low use of SOC resources to present depression was 2.46 times higher than in elderly who present high use of these resources. </w:t>
      </w:r>
    </w:p>
    <w:p w14:paraId="421D7742" w14:textId="4C02D7D8" w:rsidR="00A2179E" w:rsidRPr="00A2179E" w:rsidRDefault="00A2179E" w:rsidP="00A2179E">
      <w:pPr>
        <w:pStyle w:val="Prrafocomn"/>
        <w:spacing w:line="440" w:lineRule="exact"/>
        <w:ind w:firstLine="0"/>
        <w:rPr>
          <w:b/>
        </w:rPr>
      </w:pPr>
      <w:r w:rsidRPr="00A2179E">
        <w:rPr>
          <w:rFonts w:eastAsia="Calibri"/>
          <w:b/>
          <w:lang w:eastAsia="en-US"/>
        </w:rPr>
        <w:t>Table 2</w:t>
      </w:r>
    </w:p>
    <w:p w14:paraId="0605DE1B" w14:textId="459361D8" w:rsidR="00A2179E" w:rsidRPr="00A2179E" w:rsidRDefault="00A2179E" w:rsidP="00A2179E">
      <w:pPr>
        <w:spacing w:line="360" w:lineRule="auto"/>
        <w:jc w:val="both"/>
        <w:rPr>
          <w:rFonts w:eastAsia="Calibri"/>
          <w:i/>
          <w:lang w:val="en-US" w:eastAsia="en-US"/>
        </w:rPr>
      </w:pPr>
      <w:r w:rsidRPr="00A2179E">
        <w:rPr>
          <w:rFonts w:eastAsia="Calibri"/>
          <w:i/>
          <w:lang w:val="en-US" w:eastAsia="en-US"/>
        </w:rPr>
        <w:t>Odds Ratio in relation to Depression</w:t>
      </w:r>
    </w:p>
    <w:tbl>
      <w:tblPr>
        <w:tblW w:w="5000" w:type="pct"/>
        <w:jc w:val="center"/>
        <w:tblCellMar>
          <w:left w:w="70" w:type="dxa"/>
          <w:right w:w="70" w:type="dxa"/>
        </w:tblCellMar>
        <w:tblLook w:val="04A0" w:firstRow="1" w:lastRow="0" w:firstColumn="1" w:lastColumn="0" w:noHBand="0" w:noVBand="1"/>
      </w:tblPr>
      <w:tblGrid>
        <w:gridCol w:w="2465"/>
        <w:gridCol w:w="2464"/>
        <w:gridCol w:w="1864"/>
        <w:gridCol w:w="1711"/>
      </w:tblGrid>
      <w:tr w:rsidR="00A2179E" w:rsidRPr="00F1334C" w14:paraId="1F72A2E6" w14:textId="77777777" w:rsidTr="00A2179E">
        <w:trPr>
          <w:trHeight w:val="379"/>
          <w:jc w:val="center"/>
        </w:trPr>
        <w:tc>
          <w:tcPr>
            <w:tcW w:w="5000" w:type="pct"/>
            <w:gridSpan w:val="4"/>
            <w:tcBorders>
              <w:top w:val="single" w:sz="4" w:space="0" w:color="auto"/>
              <w:left w:val="nil"/>
              <w:bottom w:val="single" w:sz="4" w:space="0" w:color="auto"/>
              <w:right w:val="nil"/>
            </w:tcBorders>
            <w:shd w:val="clear" w:color="auto" w:fill="auto"/>
            <w:noWrap/>
            <w:vAlign w:val="center"/>
            <w:hideMark/>
          </w:tcPr>
          <w:p w14:paraId="2A266EBA" w14:textId="77777777" w:rsidR="00A2179E" w:rsidRPr="00A2179E" w:rsidRDefault="00A2179E" w:rsidP="00A2179E">
            <w:pPr>
              <w:spacing w:after="160" w:line="360" w:lineRule="auto"/>
              <w:jc w:val="both"/>
              <w:rPr>
                <w:rFonts w:eastAsia="Calibri"/>
                <w:b/>
                <w:color w:val="000000"/>
                <w:sz w:val="22"/>
                <w:szCs w:val="22"/>
                <w:lang w:val="en-US" w:eastAsia="en-US"/>
              </w:rPr>
            </w:pPr>
            <w:r w:rsidRPr="00A2179E">
              <w:rPr>
                <w:rFonts w:eastAsia="Calibri"/>
                <w:b/>
                <w:color w:val="000000"/>
                <w:sz w:val="22"/>
                <w:szCs w:val="22"/>
                <w:lang w:val="en-US" w:eastAsia="en-US"/>
              </w:rPr>
              <w:t>Odds Ratio for Category Predictors</w:t>
            </w:r>
          </w:p>
        </w:tc>
      </w:tr>
      <w:tr w:rsidR="00A2179E" w:rsidRPr="00A2179E" w14:paraId="5B01CFD6" w14:textId="77777777" w:rsidTr="00A2179E">
        <w:trPr>
          <w:trHeight w:val="303"/>
          <w:jc w:val="center"/>
        </w:trPr>
        <w:tc>
          <w:tcPr>
            <w:tcW w:w="1449" w:type="pct"/>
            <w:tcBorders>
              <w:top w:val="nil"/>
              <w:left w:val="nil"/>
              <w:bottom w:val="nil"/>
              <w:right w:val="nil"/>
            </w:tcBorders>
            <w:shd w:val="clear" w:color="auto" w:fill="auto"/>
            <w:noWrap/>
            <w:vAlign w:val="center"/>
            <w:hideMark/>
          </w:tcPr>
          <w:p w14:paraId="0BE0166B"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Level</w:t>
            </w:r>
            <w:proofErr w:type="spellEnd"/>
            <w:r w:rsidRPr="00A2179E">
              <w:rPr>
                <w:rFonts w:eastAsia="Calibri"/>
                <w:color w:val="000000"/>
                <w:sz w:val="22"/>
                <w:szCs w:val="22"/>
                <w:lang w:val="pt-BR" w:eastAsia="en-US"/>
              </w:rPr>
              <w:t xml:space="preserve"> A</w:t>
            </w:r>
          </w:p>
        </w:tc>
        <w:tc>
          <w:tcPr>
            <w:tcW w:w="1449" w:type="pct"/>
            <w:tcBorders>
              <w:top w:val="nil"/>
              <w:left w:val="nil"/>
              <w:bottom w:val="nil"/>
              <w:right w:val="nil"/>
            </w:tcBorders>
            <w:shd w:val="clear" w:color="auto" w:fill="auto"/>
            <w:noWrap/>
            <w:vAlign w:val="center"/>
            <w:hideMark/>
          </w:tcPr>
          <w:p w14:paraId="2EC8B793"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Level</w:t>
            </w:r>
            <w:proofErr w:type="spellEnd"/>
            <w:r w:rsidRPr="00A2179E">
              <w:rPr>
                <w:rFonts w:eastAsia="Calibri"/>
                <w:color w:val="000000"/>
                <w:sz w:val="22"/>
                <w:szCs w:val="22"/>
                <w:lang w:val="pt-BR" w:eastAsia="en-US"/>
              </w:rPr>
              <w:t xml:space="preserve"> B</w:t>
            </w:r>
          </w:p>
        </w:tc>
        <w:tc>
          <w:tcPr>
            <w:tcW w:w="1096" w:type="pct"/>
            <w:tcBorders>
              <w:top w:val="nil"/>
              <w:left w:val="nil"/>
              <w:bottom w:val="nil"/>
              <w:right w:val="nil"/>
            </w:tcBorders>
            <w:shd w:val="clear" w:color="auto" w:fill="auto"/>
            <w:noWrap/>
            <w:vAlign w:val="center"/>
            <w:hideMark/>
          </w:tcPr>
          <w:p w14:paraId="65375EC9"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Odds</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Ratio</w:t>
            </w:r>
            <w:proofErr w:type="spellEnd"/>
          </w:p>
        </w:tc>
        <w:tc>
          <w:tcPr>
            <w:tcW w:w="1006" w:type="pct"/>
            <w:tcBorders>
              <w:top w:val="nil"/>
              <w:left w:val="nil"/>
              <w:bottom w:val="nil"/>
              <w:right w:val="nil"/>
            </w:tcBorders>
            <w:shd w:val="clear" w:color="auto" w:fill="auto"/>
            <w:noWrap/>
            <w:vAlign w:val="center"/>
            <w:hideMark/>
          </w:tcPr>
          <w:p w14:paraId="183C43CD"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 xml:space="preserve">CI </w:t>
            </w:r>
            <w:proofErr w:type="spellStart"/>
            <w:r w:rsidRPr="00A2179E">
              <w:rPr>
                <w:rFonts w:eastAsia="Calibri"/>
                <w:color w:val="000000"/>
                <w:sz w:val="22"/>
                <w:szCs w:val="22"/>
                <w:lang w:val="pt-BR" w:eastAsia="en-US"/>
              </w:rPr>
              <w:t>of</w:t>
            </w:r>
            <w:proofErr w:type="spellEnd"/>
            <w:r w:rsidRPr="00A2179E">
              <w:rPr>
                <w:rFonts w:eastAsia="Calibri"/>
                <w:color w:val="000000"/>
                <w:sz w:val="22"/>
                <w:szCs w:val="22"/>
                <w:lang w:val="pt-BR" w:eastAsia="en-US"/>
              </w:rPr>
              <w:t xml:space="preserve"> 95%</w:t>
            </w:r>
          </w:p>
        </w:tc>
      </w:tr>
      <w:tr w:rsidR="00A2179E" w:rsidRPr="00A2179E" w14:paraId="304D41C5" w14:textId="77777777" w:rsidTr="00A2179E">
        <w:trPr>
          <w:trHeight w:val="303"/>
          <w:jc w:val="center"/>
        </w:trPr>
        <w:tc>
          <w:tcPr>
            <w:tcW w:w="1449" w:type="pct"/>
            <w:tcBorders>
              <w:top w:val="nil"/>
              <w:left w:val="nil"/>
              <w:bottom w:val="nil"/>
              <w:right w:val="nil"/>
            </w:tcBorders>
            <w:shd w:val="clear" w:color="auto" w:fill="auto"/>
            <w:noWrap/>
            <w:vAlign w:val="bottom"/>
            <w:hideMark/>
          </w:tcPr>
          <w:p w14:paraId="6F8F1FB4"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Stress</w:t>
            </w:r>
          </w:p>
        </w:tc>
        <w:tc>
          <w:tcPr>
            <w:tcW w:w="1449" w:type="pct"/>
            <w:tcBorders>
              <w:top w:val="nil"/>
              <w:left w:val="nil"/>
              <w:bottom w:val="nil"/>
              <w:right w:val="nil"/>
            </w:tcBorders>
            <w:shd w:val="clear" w:color="auto" w:fill="auto"/>
            <w:noWrap/>
            <w:vAlign w:val="center"/>
            <w:hideMark/>
          </w:tcPr>
          <w:p w14:paraId="60C029DC" w14:textId="77777777" w:rsidR="00A2179E" w:rsidRPr="00A2179E" w:rsidRDefault="00A2179E" w:rsidP="00A2179E">
            <w:pPr>
              <w:spacing w:after="160" w:line="360" w:lineRule="auto"/>
              <w:jc w:val="both"/>
              <w:rPr>
                <w:rFonts w:eastAsia="Calibri"/>
                <w:color w:val="000000"/>
                <w:sz w:val="22"/>
                <w:szCs w:val="22"/>
                <w:lang w:val="pt-BR" w:eastAsia="en-US"/>
              </w:rPr>
            </w:pPr>
          </w:p>
        </w:tc>
        <w:tc>
          <w:tcPr>
            <w:tcW w:w="1096" w:type="pct"/>
            <w:tcBorders>
              <w:top w:val="nil"/>
              <w:left w:val="nil"/>
              <w:bottom w:val="nil"/>
              <w:right w:val="nil"/>
            </w:tcBorders>
            <w:shd w:val="clear" w:color="auto" w:fill="auto"/>
            <w:noWrap/>
            <w:vAlign w:val="center"/>
            <w:hideMark/>
          </w:tcPr>
          <w:p w14:paraId="4712C54C" w14:textId="77777777" w:rsidR="00A2179E" w:rsidRPr="00A2179E" w:rsidRDefault="00A2179E" w:rsidP="00A2179E">
            <w:pPr>
              <w:spacing w:after="160" w:line="360" w:lineRule="auto"/>
              <w:jc w:val="both"/>
              <w:rPr>
                <w:rFonts w:eastAsia="Calibri"/>
                <w:color w:val="000000"/>
                <w:sz w:val="22"/>
                <w:szCs w:val="22"/>
                <w:lang w:val="pt-BR" w:eastAsia="en-US"/>
              </w:rPr>
            </w:pPr>
          </w:p>
        </w:tc>
        <w:tc>
          <w:tcPr>
            <w:tcW w:w="1006" w:type="pct"/>
            <w:tcBorders>
              <w:top w:val="nil"/>
              <w:left w:val="nil"/>
              <w:bottom w:val="nil"/>
              <w:right w:val="nil"/>
            </w:tcBorders>
            <w:shd w:val="clear" w:color="auto" w:fill="auto"/>
            <w:noWrap/>
            <w:vAlign w:val="center"/>
            <w:hideMark/>
          </w:tcPr>
          <w:p w14:paraId="3627CF6C" w14:textId="77777777" w:rsidR="00A2179E" w:rsidRPr="00A2179E" w:rsidRDefault="00A2179E" w:rsidP="00A2179E">
            <w:pPr>
              <w:spacing w:after="160" w:line="360" w:lineRule="auto"/>
              <w:jc w:val="both"/>
              <w:rPr>
                <w:rFonts w:eastAsia="Calibri"/>
                <w:color w:val="000000"/>
                <w:sz w:val="22"/>
                <w:szCs w:val="22"/>
                <w:lang w:val="pt-BR" w:eastAsia="en-US"/>
              </w:rPr>
            </w:pPr>
          </w:p>
        </w:tc>
      </w:tr>
      <w:tr w:rsidR="00A2179E" w:rsidRPr="00A2179E" w14:paraId="7340637B" w14:textId="77777777" w:rsidTr="00A2179E">
        <w:trPr>
          <w:trHeight w:val="303"/>
          <w:jc w:val="center"/>
        </w:trPr>
        <w:tc>
          <w:tcPr>
            <w:tcW w:w="1449" w:type="pct"/>
            <w:tcBorders>
              <w:top w:val="nil"/>
              <w:left w:val="nil"/>
              <w:bottom w:val="nil"/>
              <w:right w:val="nil"/>
            </w:tcBorders>
            <w:shd w:val="clear" w:color="auto" w:fill="auto"/>
            <w:noWrap/>
            <w:vAlign w:val="bottom"/>
            <w:hideMark/>
          </w:tcPr>
          <w:p w14:paraId="1EE0ECBF"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Few</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Stressors</w:t>
            </w:r>
            <w:proofErr w:type="spellEnd"/>
          </w:p>
        </w:tc>
        <w:tc>
          <w:tcPr>
            <w:tcW w:w="1449" w:type="pct"/>
            <w:tcBorders>
              <w:top w:val="nil"/>
              <w:left w:val="nil"/>
              <w:bottom w:val="nil"/>
              <w:right w:val="nil"/>
            </w:tcBorders>
            <w:shd w:val="clear" w:color="auto" w:fill="auto"/>
            <w:noWrap/>
            <w:vAlign w:val="center"/>
            <w:hideMark/>
          </w:tcPr>
          <w:p w14:paraId="35E72E7C"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Many</w:t>
            </w:r>
            <w:proofErr w:type="spellEnd"/>
            <w:r w:rsidRPr="00A2179E">
              <w:rPr>
                <w:rFonts w:eastAsia="Calibri"/>
                <w:color w:val="000000"/>
                <w:sz w:val="22"/>
                <w:szCs w:val="22"/>
                <w:lang w:val="pt-BR" w:eastAsia="en-US"/>
              </w:rPr>
              <w:t xml:space="preserve"> </w:t>
            </w:r>
            <w:proofErr w:type="spellStart"/>
            <w:r w:rsidRPr="00A2179E">
              <w:rPr>
                <w:rFonts w:eastAsia="Calibri"/>
                <w:color w:val="000000"/>
                <w:sz w:val="22"/>
                <w:szCs w:val="22"/>
                <w:lang w:val="pt-BR" w:eastAsia="en-US"/>
              </w:rPr>
              <w:t>Stressors</w:t>
            </w:r>
            <w:proofErr w:type="spellEnd"/>
          </w:p>
        </w:tc>
        <w:tc>
          <w:tcPr>
            <w:tcW w:w="1096" w:type="pct"/>
            <w:tcBorders>
              <w:top w:val="nil"/>
              <w:left w:val="nil"/>
              <w:bottom w:val="nil"/>
              <w:right w:val="nil"/>
            </w:tcBorders>
            <w:shd w:val="clear" w:color="auto" w:fill="auto"/>
            <w:noWrap/>
            <w:vAlign w:val="center"/>
            <w:hideMark/>
          </w:tcPr>
          <w:p w14:paraId="00EF0F63"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2,4566</w:t>
            </w:r>
          </w:p>
        </w:tc>
        <w:tc>
          <w:tcPr>
            <w:tcW w:w="1006" w:type="pct"/>
            <w:tcBorders>
              <w:top w:val="nil"/>
              <w:left w:val="nil"/>
              <w:bottom w:val="nil"/>
              <w:right w:val="nil"/>
            </w:tcBorders>
            <w:shd w:val="clear" w:color="auto" w:fill="auto"/>
            <w:noWrap/>
            <w:vAlign w:val="center"/>
            <w:hideMark/>
          </w:tcPr>
          <w:p w14:paraId="6E2DEF40"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(1,1559; 5,2209)</w:t>
            </w:r>
          </w:p>
        </w:tc>
      </w:tr>
      <w:tr w:rsidR="00A2179E" w:rsidRPr="00A2179E" w14:paraId="5FEB431F" w14:textId="77777777" w:rsidTr="00A2179E">
        <w:trPr>
          <w:trHeight w:val="303"/>
          <w:jc w:val="center"/>
        </w:trPr>
        <w:tc>
          <w:tcPr>
            <w:tcW w:w="1449" w:type="pct"/>
            <w:tcBorders>
              <w:top w:val="nil"/>
              <w:left w:val="nil"/>
              <w:bottom w:val="nil"/>
              <w:right w:val="nil"/>
            </w:tcBorders>
            <w:shd w:val="clear" w:color="auto" w:fill="auto"/>
            <w:noWrap/>
            <w:vAlign w:val="bottom"/>
            <w:hideMark/>
          </w:tcPr>
          <w:p w14:paraId="08356D62"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SOC</w:t>
            </w:r>
          </w:p>
        </w:tc>
        <w:tc>
          <w:tcPr>
            <w:tcW w:w="1449" w:type="pct"/>
            <w:tcBorders>
              <w:top w:val="nil"/>
              <w:left w:val="nil"/>
              <w:bottom w:val="nil"/>
              <w:right w:val="nil"/>
            </w:tcBorders>
            <w:shd w:val="clear" w:color="auto" w:fill="auto"/>
            <w:noWrap/>
            <w:vAlign w:val="center"/>
            <w:hideMark/>
          </w:tcPr>
          <w:p w14:paraId="04B1FA48" w14:textId="77777777" w:rsidR="00A2179E" w:rsidRPr="00A2179E" w:rsidRDefault="00A2179E" w:rsidP="00A2179E">
            <w:pPr>
              <w:spacing w:after="160" w:line="360" w:lineRule="auto"/>
              <w:jc w:val="both"/>
              <w:rPr>
                <w:rFonts w:eastAsia="Calibri"/>
                <w:color w:val="000000"/>
                <w:sz w:val="22"/>
                <w:szCs w:val="22"/>
                <w:lang w:val="pt-BR" w:eastAsia="en-US"/>
              </w:rPr>
            </w:pPr>
          </w:p>
        </w:tc>
        <w:tc>
          <w:tcPr>
            <w:tcW w:w="1096" w:type="pct"/>
            <w:tcBorders>
              <w:top w:val="nil"/>
              <w:left w:val="nil"/>
              <w:bottom w:val="nil"/>
              <w:right w:val="nil"/>
            </w:tcBorders>
            <w:shd w:val="clear" w:color="auto" w:fill="auto"/>
            <w:noWrap/>
            <w:vAlign w:val="center"/>
            <w:hideMark/>
          </w:tcPr>
          <w:p w14:paraId="3ADB600B" w14:textId="77777777" w:rsidR="00A2179E" w:rsidRPr="00A2179E" w:rsidRDefault="00A2179E" w:rsidP="00A2179E">
            <w:pPr>
              <w:spacing w:after="160" w:line="360" w:lineRule="auto"/>
              <w:jc w:val="both"/>
              <w:rPr>
                <w:rFonts w:eastAsia="Calibri"/>
                <w:color w:val="000000"/>
                <w:sz w:val="22"/>
                <w:szCs w:val="22"/>
                <w:lang w:val="pt-BR" w:eastAsia="en-US"/>
              </w:rPr>
            </w:pPr>
          </w:p>
        </w:tc>
        <w:tc>
          <w:tcPr>
            <w:tcW w:w="1006" w:type="pct"/>
            <w:tcBorders>
              <w:top w:val="nil"/>
              <w:left w:val="nil"/>
              <w:bottom w:val="nil"/>
              <w:right w:val="nil"/>
            </w:tcBorders>
            <w:shd w:val="clear" w:color="auto" w:fill="auto"/>
            <w:noWrap/>
            <w:vAlign w:val="center"/>
            <w:hideMark/>
          </w:tcPr>
          <w:p w14:paraId="0D004F34" w14:textId="77777777" w:rsidR="00A2179E" w:rsidRPr="00A2179E" w:rsidRDefault="00A2179E" w:rsidP="00A2179E">
            <w:pPr>
              <w:spacing w:after="160" w:line="360" w:lineRule="auto"/>
              <w:jc w:val="both"/>
              <w:rPr>
                <w:rFonts w:eastAsia="Calibri"/>
                <w:color w:val="000000"/>
                <w:sz w:val="22"/>
                <w:szCs w:val="22"/>
                <w:lang w:val="pt-BR" w:eastAsia="en-US"/>
              </w:rPr>
            </w:pPr>
          </w:p>
        </w:tc>
      </w:tr>
      <w:tr w:rsidR="00A2179E" w:rsidRPr="00A2179E" w14:paraId="54E9A1DB" w14:textId="77777777" w:rsidTr="00A2179E">
        <w:trPr>
          <w:trHeight w:val="303"/>
          <w:jc w:val="center"/>
        </w:trPr>
        <w:tc>
          <w:tcPr>
            <w:tcW w:w="1449" w:type="pct"/>
            <w:tcBorders>
              <w:top w:val="nil"/>
              <w:left w:val="nil"/>
              <w:bottom w:val="single" w:sz="4" w:space="0" w:color="auto"/>
              <w:right w:val="nil"/>
            </w:tcBorders>
            <w:shd w:val="clear" w:color="auto" w:fill="auto"/>
            <w:noWrap/>
            <w:vAlign w:val="bottom"/>
            <w:hideMark/>
          </w:tcPr>
          <w:p w14:paraId="5F7AF62B"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 xml:space="preserve">High Use </w:t>
            </w:r>
            <w:proofErr w:type="spellStart"/>
            <w:r w:rsidRPr="00A2179E">
              <w:rPr>
                <w:rFonts w:eastAsia="Calibri"/>
                <w:color w:val="000000"/>
                <w:sz w:val="22"/>
                <w:szCs w:val="22"/>
                <w:lang w:val="pt-BR" w:eastAsia="en-US"/>
              </w:rPr>
              <w:t>of</w:t>
            </w:r>
            <w:proofErr w:type="spellEnd"/>
            <w:r w:rsidRPr="00A2179E">
              <w:rPr>
                <w:rFonts w:eastAsia="Calibri"/>
                <w:color w:val="000000"/>
                <w:sz w:val="22"/>
                <w:szCs w:val="22"/>
                <w:lang w:val="pt-BR" w:eastAsia="en-US"/>
              </w:rPr>
              <w:t xml:space="preserve"> SOC</w:t>
            </w:r>
          </w:p>
        </w:tc>
        <w:tc>
          <w:tcPr>
            <w:tcW w:w="1449" w:type="pct"/>
            <w:tcBorders>
              <w:top w:val="nil"/>
              <w:left w:val="nil"/>
              <w:bottom w:val="single" w:sz="4" w:space="0" w:color="auto"/>
              <w:right w:val="nil"/>
            </w:tcBorders>
            <w:shd w:val="clear" w:color="auto" w:fill="auto"/>
            <w:noWrap/>
            <w:vAlign w:val="center"/>
            <w:hideMark/>
          </w:tcPr>
          <w:p w14:paraId="0B42BDC5" w14:textId="77777777" w:rsidR="00A2179E" w:rsidRPr="00A2179E" w:rsidRDefault="00A2179E" w:rsidP="00A2179E">
            <w:pPr>
              <w:spacing w:after="160" w:line="360" w:lineRule="auto"/>
              <w:jc w:val="both"/>
              <w:rPr>
                <w:rFonts w:eastAsia="Calibri"/>
                <w:color w:val="000000"/>
                <w:sz w:val="22"/>
                <w:szCs w:val="22"/>
                <w:lang w:val="pt-BR" w:eastAsia="en-US"/>
              </w:rPr>
            </w:pPr>
            <w:proofErr w:type="spellStart"/>
            <w:r w:rsidRPr="00A2179E">
              <w:rPr>
                <w:rFonts w:eastAsia="Calibri"/>
                <w:color w:val="000000"/>
                <w:sz w:val="22"/>
                <w:szCs w:val="22"/>
                <w:lang w:val="pt-BR" w:eastAsia="en-US"/>
              </w:rPr>
              <w:t>Low</w:t>
            </w:r>
            <w:proofErr w:type="spellEnd"/>
            <w:r w:rsidRPr="00A2179E">
              <w:rPr>
                <w:rFonts w:eastAsia="Calibri"/>
                <w:color w:val="000000"/>
                <w:sz w:val="22"/>
                <w:szCs w:val="22"/>
                <w:lang w:val="pt-BR" w:eastAsia="en-US"/>
              </w:rPr>
              <w:t xml:space="preserve"> Use </w:t>
            </w:r>
            <w:proofErr w:type="spellStart"/>
            <w:r w:rsidRPr="00A2179E">
              <w:rPr>
                <w:rFonts w:eastAsia="Calibri"/>
                <w:color w:val="000000"/>
                <w:sz w:val="22"/>
                <w:szCs w:val="22"/>
                <w:lang w:val="pt-BR" w:eastAsia="en-US"/>
              </w:rPr>
              <w:t>of</w:t>
            </w:r>
            <w:proofErr w:type="spellEnd"/>
            <w:r w:rsidRPr="00A2179E">
              <w:rPr>
                <w:rFonts w:eastAsia="Calibri"/>
                <w:color w:val="000000"/>
                <w:sz w:val="22"/>
                <w:szCs w:val="22"/>
                <w:lang w:val="pt-BR" w:eastAsia="en-US"/>
              </w:rPr>
              <w:t xml:space="preserve"> SOC</w:t>
            </w:r>
          </w:p>
        </w:tc>
        <w:tc>
          <w:tcPr>
            <w:tcW w:w="1096" w:type="pct"/>
            <w:tcBorders>
              <w:top w:val="nil"/>
              <w:left w:val="nil"/>
              <w:bottom w:val="single" w:sz="4" w:space="0" w:color="auto"/>
              <w:right w:val="nil"/>
            </w:tcBorders>
            <w:shd w:val="clear" w:color="auto" w:fill="auto"/>
            <w:noWrap/>
            <w:vAlign w:val="center"/>
            <w:hideMark/>
          </w:tcPr>
          <w:p w14:paraId="1A76E27F"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2,4609</w:t>
            </w:r>
          </w:p>
        </w:tc>
        <w:tc>
          <w:tcPr>
            <w:tcW w:w="1006" w:type="pct"/>
            <w:tcBorders>
              <w:top w:val="nil"/>
              <w:left w:val="nil"/>
              <w:bottom w:val="single" w:sz="4" w:space="0" w:color="auto"/>
              <w:right w:val="nil"/>
            </w:tcBorders>
            <w:shd w:val="clear" w:color="auto" w:fill="auto"/>
            <w:noWrap/>
            <w:vAlign w:val="center"/>
            <w:hideMark/>
          </w:tcPr>
          <w:p w14:paraId="5DDBD0E4" w14:textId="77777777" w:rsidR="00A2179E" w:rsidRPr="00A2179E" w:rsidRDefault="00A2179E" w:rsidP="00A2179E">
            <w:pPr>
              <w:spacing w:after="160" w:line="360" w:lineRule="auto"/>
              <w:jc w:val="both"/>
              <w:rPr>
                <w:rFonts w:eastAsia="Calibri"/>
                <w:color w:val="000000"/>
                <w:sz w:val="22"/>
                <w:szCs w:val="22"/>
                <w:lang w:val="pt-BR" w:eastAsia="en-US"/>
              </w:rPr>
            </w:pPr>
            <w:r w:rsidRPr="00A2179E">
              <w:rPr>
                <w:rFonts w:eastAsia="Calibri"/>
                <w:color w:val="000000"/>
                <w:sz w:val="22"/>
                <w:szCs w:val="22"/>
                <w:lang w:val="pt-BR" w:eastAsia="en-US"/>
              </w:rPr>
              <w:t>(1,1829; 5,1196)</w:t>
            </w:r>
          </w:p>
        </w:tc>
      </w:tr>
    </w:tbl>
    <w:p w14:paraId="22A23293" w14:textId="55174C7B" w:rsidR="005A12F4" w:rsidRPr="004A5F57" w:rsidRDefault="004A5F57" w:rsidP="004A5F57">
      <w:pPr>
        <w:pStyle w:val="Ttulosinternos"/>
        <w:rPr>
          <w:lang w:val="en-US"/>
        </w:rPr>
      </w:pPr>
      <w:r w:rsidRPr="004A5F57">
        <w:rPr>
          <w:lang w:val="en-US"/>
        </w:rPr>
        <w:t>Discussion</w:t>
      </w:r>
    </w:p>
    <w:p w14:paraId="4F8B83C4" w14:textId="67AF36AC" w:rsidR="004E4C29" w:rsidRDefault="00A2179E" w:rsidP="004E4C29">
      <w:pPr>
        <w:pStyle w:val="Prrafocomn"/>
      </w:pPr>
      <w:r w:rsidRPr="00A2179E">
        <w:t xml:space="preserve">This study investigated the relation between depression and SOC resources, as well as the effect of these resources in the relation between stress and depression. The association between SOC and depression in the elderly has been confirmed. Elderly people who made greater use of SOC resources were twice less likely to experience depression as those who made little use of these resources. Some studies have provided evidence that using SOC strategies can promote greater feelings of happiness and well-being (Kelly, Fausset, Rogers, &amp; Fisk, 2014; </w:t>
      </w:r>
      <w:proofErr w:type="spellStart"/>
      <w:r w:rsidRPr="00A2179E">
        <w:t>Teshale</w:t>
      </w:r>
      <w:proofErr w:type="spellEnd"/>
      <w:r w:rsidRPr="00A2179E">
        <w:t xml:space="preserve"> &amp; Lachman, 2016; </w:t>
      </w:r>
      <w:proofErr w:type="spellStart"/>
      <w:r w:rsidRPr="00A2179E">
        <w:t>Wurm</w:t>
      </w:r>
      <w:proofErr w:type="spellEnd"/>
      <w:r w:rsidRPr="00A2179E">
        <w:t xml:space="preserve">, Warner, </w:t>
      </w:r>
      <w:proofErr w:type="spellStart"/>
      <w:r w:rsidRPr="00A2179E">
        <w:t>Ziegelmann</w:t>
      </w:r>
      <w:proofErr w:type="spellEnd"/>
      <w:r w:rsidRPr="00A2179E">
        <w:t xml:space="preserve">, Wolff, &amp; </w:t>
      </w:r>
      <w:proofErr w:type="spellStart"/>
      <w:r w:rsidRPr="00A2179E">
        <w:t>Schüz</w:t>
      </w:r>
      <w:proofErr w:type="spellEnd"/>
      <w:r w:rsidRPr="00A2179E">
        <w:t xml:space="preserve">, 2013), and have the potential to decrease the impact of chronic pain in the elderly (Alonso-Fernández, López-López, </w:t>
      </w:r>
      <w:proofErr w:type="spellStart"/>
      <w:r w:rsidRPr="00A2179E">
        <w:t>Losada</w:t>
      </w:r>
      <w:proofErr w:type="spellEnd"/>
      <w:r w:rsidRPr="00A2179E">
        <w:t>, González, &amp; Wetherell, 2016). These factors have a major impact on the emotional state of the elderly, which indicates the relevance of considering the SOC model in research on emotional state and depression in the elderly population. Additionally, self-regulation through SOC can also promote greater capacity to confront diseases as shown by other studies (</w:t>
      </w:r>
      <w:proofErr w:type="spellStart"/>
      <w:r w:rsidRPr="00A2179E">
        <w:t>Carpentieri</w:t>
      </w:r>
      <w:proofErr w:type="spellEnd"/>
      <w:r w:rsidRPr="00A2179E">
        <w:t xml:space="preserve"> et al., 2017; </w:t>
      </w:r>
      <w:proofErr w:type="spellStart"/>
      <w:r w:rsidRPr="00A2179E">
        <w:t>Haug</w:t>
      </w:r>
      <w:proofErr w:type="spellEnd"/>
      <w:r w:rsidRPr="00A2179E">
        <w:t xml:space="preserve">, Danbolt, </w:t>
      </w:r>
      <w:proofErr w:type="spellStart"/>
      <w:r w:rsidRPr="00A2179E">
        <w:t>Kvigne</w:t>
      </w:r>
      <w:proofErr w:type="spellEnd"/>
      <w:r w:rsidRPr="00A2179E">
        <w:t xml:space="preserve">, &amp; </w:t>
      </w:r>
      <w:proofErr w:type="spellStart"/>
      <w:r w:rsidRPr="00A2179E">
        <w:t>DeMarinis</w:t>
      </w:r>
      <w:proofErr w:type="spellEnd"/>
      <w:r w:rsidRPr="00A2179E">
        <w:t xml:space="preserve">, 2016; Hutchinson &amp; </w:t>
      </w:r>
      <w:r w:rsidRPr="00A2179E">
        <w:lastRenderedPageBreak/>
        <w:t>Nimrod, 2012; Warner et al., 2017; Yuen &amp; Vogtle, 2016), which demarcates the relevance in facing experienced stressors and depression.</w:t>
      </w:r>
    </w:p>
    <w:p w14:paraId="47D14D4F" w14:textId="4A909137" w:rsidR="00A2179E" w:rsidRDefault="00A2179E" w:rsidP="004E4C29">
      <w:pPr>
        <w:pStyle w:val="Prrafocomn"/>
      </w:pPr>
      <w:r w:rsidRPr="00A2179E">
        <w:t>An unprecedented result obtained in this study refers to the role of SOC as an effect modifier in the relationship between stress and depression. This finding supports the Life-Span theory assumptions regarding the SOC model, which is considered to be a mechanism capable of improving the functioning, maintenance of the current performance or the attainment of what is desired by the elderly, even when facing losses experienced in old age (</w:t>
      </w:r>
      <w:proofErr w:type="spellStart"/>
      <w:r w:rsidRPr="00A2179E">
        <w:t>Baltes</w:t>
      </w:r>
      <w:proofErr w:type="spellEnd"/>
      <w:r w:rsidRPr="00A2179E">
        <w:t xml:space="preserve"> &amp; </w:t>
      </w:r>
      <w:proofErr w:type="spellStart"/>
      <w:r w:rsidRPr="00A2179E">
        <w:t>Baltes</w:t>
      </w:r>
      <w:proofErr w:type="spellEnd"/>
      <w:r w:rsidRPr="00A2179E">
        <w:t xml:space="preserve">, 1990). In this way, with the use of resources, such as the SOC, the elderly becomes more adapted and able to face normative stressors, such as declines or health losses (Shang et al., 2015; </w:t>
      </w:r>
      <w:proofErr w:type="spellStart"/>
      <w:r w:rsidRPr="00A2179E">
        <w:t>Kahana</w:t>
      </w:r>
      <w:proofErr w:type="spellEnd"/>
      <w:r w:rsidRPr="00A2179E">
        <w:t xml:space="preserve">, </w:t>
      </w:r>
      <w:proofErr w:type="spellStart"/>
      <w:r w:rsidRPr="00A2179E">
        <w:t>Kahana</w:t>
      </w:r>
      <w:proofErr w:type="spellEnd"/>
      <w:r w:rsidRPr="00A2179E">
        <w:t xml:space="preserve">, &amp; Lee, 2012; </w:t>
      </w:r>
      <w:proofErr w:type="spellStart"/>
      <w:r w:rsidRPr="00A2179E">
        <w:t>Neri</w:t>
      </w:r>
      <w:proofErr w:type="spellEnd"/>
      <w:r w:rsidRPr="00A2179E">
        <w:t>, 2006).</w:t>
      </w:r>
    </w:p>
    <w:p w14:paraId="271FC3D9" w14:textId="299DECF6" w:rsidR="00A2179E" w:rsidRDefault="00A2179E" w:rsidP="00A2179E">
      <w:pPr>
        <w:pStyle w:val="Prrafocomn"/>
      </w:pPr>
      <w:r w:rsidRPr="00A2179E">
        <w:t>The level of stress faced by the individual is an important factor in triggering depression (</w:t>
      </w:r>
      <w:proofErr w:type="spellStart"/>
      <w:r w:rsidRPr="00A2179E">
        <w:t>Paulino</w:t>
      </w:r>
      <w:proofErr w:type="spellEnd"/>
      <w:r w:rsidRPr="00A2179E">
        <w:t xml:space="preserve">, </w:t>
      </w:r>
      <w:proofErr w:type="spellStart"/>
      <w:r w:rsidRPr="00A2179E">
        <w:t>Prezotto</w:t>
      </w:r>
      <w:proofErr w:type="spellEnd"/>
      <w:r w:rsidRPr="00A2179E">
        <w:t>, &amp; Cal</w:t>
      </w:r>
      <w:r w:rsidR="00DE202B">
        <w:t>ixto, 2015; Sousa et al., 2017</w:t>
      </w:r>
      <w:r w:rsidRPr="00A2179E">
        <w:t xml:space="preserve">). The stressing events investigated in this study, and which were associated with depression, involved normative factors of the course of life, such as retirement and loss of parents, and non-normative factors, such as the loss of a child. The presence of life-long stressing events, associated with advanced age and low social support were considered as predictors for depression in other studies (Almeida et al., 2015; </w:t>
      </w:r>
      <w:proofErr w:type="spellStart"/>
      <w:r w:rsidRPr="00A2179E">
        <w:t>Paulino</w:t>
      </w:r>
      <w:proofErr w:type="spellEnd"/>
      <w:r w:rsidRPr="00A2179E">
        <w:t xml:space="preserve"> et al., 2015). Stress is recognized as one of the main reasons that predispose the elderly to depression, so that most cases are triggered by stressful situations, especially those of psychosocial origin (Almeida et al., 2015; </w:t>
      </w:r>
      <w:proofErr w:type="spellStart"/>
      <w:r w:rsidRPr="00A2179E">
        <w:t>Paulino</w:t>
      </w:r>
      <w:proofErr w:type="spellEnd"/>
      <w:r w:rsidRPr="00A2179E">
        <w:t xml:space="preserve"> et al., 2015).</w:t>
      </w:r>
    </w:p>
    <w:p w14:paraId="3B101F9C" w14:textId="469485DE" w:rsidR="00A2179E" w:rsidRDefault="00A2179E" w:rsidP="00A2179E">
      <w:pPr>
        <w:pStyle w:val="Prrafocomn"/>
      </w:pPr>
      <w:r w:rsidRPr="00A2179E">
        <w:t>According to the stress paradigm (</w:t>
      </w:r>
      <w:proofErr w:type="spellStart"/>
      <w:r w:rsidRPr="00A2179E">
        <w:t>Kahana</w:t>
      </w:r>
      <w:proofErr w:type="spellEnd"/>
      <w:r w:rsidRPr="00A2179E">
        <w:t xml:space="preserve">, </w:t>
      </w:r>
      <w:proofErr w:type="spellStart"/>
      <w:r w:rsidRPr="00A2179E">
        <w:t>Kahana</w:t>
      </w:r>
      <w:proofErr w:type="spellEnd"/>
      <w:r w:rsidRPr="00A2179E">
        <w:t xml:space="preserve">, &amp; Lee, 2014), with increasing age, there is an accumulation of normative factors of social and health-related stress. Without these stressors, there would be no need to distinguish successful aging from successful living at any age. In light of this recognition of the inevitability of age-related stressors, most elderly face aging-related stress factors, such as declines or health losses. This reality brings the need to confront and adapt to these changes and stressors, always seeking to achieve or maintain positive results towards quality of life (Shang et al., 2015, </w:t>
      </w:r>
      <w:proofErr w:type="spellStart"/>
      <w:r w:rsidRPr="00A2179E">
        <w:t>Kahana</w:t>
      </w:r>
      <w:proofErr w:type="spellEnd"/>
      <w:r w:rsidRPr="00A2179E">
        <w:t xml:space="preserve">, </w:t>
      </w:r>
      <w:proofErr w:type="spellStart"/>
      <w:r w:rsidRPr="00A2179E">
        <w:t>Kahana</w:t>
      </w:r>
      <w:proofErr w:type="spellEnd"/>
      <w:r w:rsidRPr="00A2179E">
        <w:t>, &amp; Lee, 2012). In this way, the maintenance of quality of life is possible to the extent that the elderly can resort to coping strategies.</w:t>
      </w:r>
    </w:p>
    <w:p w14:paraId="4AE06DC4" w14:textId="6EA7ABF6" w:rsidR="00A2179E" w:rsidRDefault="00A2179E" w:rsidP="00A2179E">
      <w:pPr>
        <w:pStyle w:val="Prrafocomn"/>
      </w:pPr>
      <w:r w:rsidRPr="00A2179E">
        <w:t>Several studies regarding aging (</w:t>
      </w:r>
      <w:proofErr w:type="spellStart"/>
      <w:r w:rsidRPr="00A2179E">
        <w:t>Schaie</w:t>
      </w:r>
      <w:proofErr w:type="spellEnd"/>
      <w:r w:rsidRPr="00A2179E">
        <w:t xml:space="preserve">, 1983; </w:t>
      </w:r>
      <w:proofErr w:type="spellStart"/>
      <w:r w:rsidRPr="00A2179E">
        <w:t>Rudinge</w:t>
      </w:r>
      <w:proofErr w:type="spellEnd"/>
      <w:r w:rsidRPr="00A2179E">
        <w:t xml:space="preserve"> and </w:t>
      </w:r>
      <w:proofErr w:type="spellStart"/>
      <w:r w:rsidRPr="00A2179E">
        <w:t>Thomae</w:t>
      </w:r>
      <w:proofErr w:type="spellEnd"/>
      <w:r w:rsidRPr="00A2179E">
        <w:t xml:space="preserve">, 1990, </w:t>
      </w:r>
      <w:proofErr w:type="spellStart"/>
      <w:r w:rsidRPr="00A2179E">
        <w:t>Rudinger</w:t>
      </w:r>
      <w:proofErr w:type="spellEnd"/>
      <w:r w:rsidRPr="00A2179E">
        <w:t xml:space="preserve"> and </w:t>
      </w:r>
      <w:proofErr w:type="spellStart"/>
      <w:r w:rsidRPr="00A2179E">
        <w:t>Rietz</w:t>
      </w:r>
      <w:proofErr w:type="spellEnd"/>
      <w:r w:rsidRPr="00A2179E">
        <w:t xml:space="preserve">, 2001; </w:t>
      </w:r>
      <w:proofErr w:type="spellStart"/>
      <w:r w:rsidRPr="00A2179E">
        <w:t>Schaie</w:t>
      </w:r>
      <w:proofErr w:type="spellEnd"/>
      <w:r w:rsidRPr="00A2179E">
        <w:t xml:space="preserve"> and Hofer, 2001; </w:t>
      </w:r>
      <w:proofErr w:type="spellStart"/>
      <w:r w:rsidRPr="00A2179E">
        <w:t>Baltes</w:t>
      </w:r>
      <w:proofErr w:type="spellEnd"/>
      <w:r w:rsidRPr="00A2179E">
        <w:t xml:space="preserve"> and Mayer, 1999) have shown that transition situations, experienced with different variations of stress, can prove to be an opportunity for personal development, changing the effects on psychological well-</w:t>
      </w:r>
      <w:r w:rsidRPr="00A2179E">
        <w:lastRenderedPageBreak/>
        <w:t>being and health of individuals according to the interference of several variables. In other words, the life events and transitions resulting from them are important for understanding the factors involved in psychological development (Fonseca, 2007). In addition, there is the impact of non-normative events, which is enhanced by the experience of lack of control, and with the aging, the possibilities of living with negative events increase. However, the greater the sense of control over the event, the less chance there is of developing problems of adaptation, such as social isolation, somatic diseases, dependence, and depressive symptoms (</w:t>
      </w:r>
      <w:proofErr w:type="spellStart"/>
      <w:r w:rsidRPr="00A2179E">
        <w:t>Neri</w:t>
      </w:r>
      <w:proofErr w:type="spellEnd"/>
      <w:r w:rsidRPr="00A2179E">
        <w:t xml:space="preserve">, 2006). Therefore, the modifying effect of SOC resources on the relationship between stress and depression in the elderly reinforces the relevance of stimulating intervention and prevention programs in mental health, and studies have shown that the insertion of these strategies can help promote well-being, decrease depressive symptoms, improve the ability to cope with diseases and self-image (Riedel, Müller, &amp; </w:t>
      </w:r>
      <w:proofErr w:type="spellStart"/>
      <w:r w:rsidRPr="00A2179E">
        <w:t>Ebener</w:t>
      </w:r>
      <w:proofErr w:type="spellEnd"/>
      <w:r w:rsidRPr="00A2179E">
        <w:t xml:space="preserve">, 2015; </w:t>
      </w:r>
      <w:proofErr w:type="spellStart"/>
      <w:r w:rsidRPr="00A2179E">
        <w:t>Rozario</w:t>
      </w:r>
      <w:proofErr w:type="spellEnd"/>
      <w:r w:rsidRPr="00A2179E">
        <w:t xml:space="preserve">, </w:t>
      </w:r>
      <w:proofErr w:type="spellStart"/>
      <w:r w:rsidRPr="00A2179E">
        <w:t>Kidahashi</w:t>
      </w:r>
      <w:proofErr w:type="spellEnd"/>
      <w:r w:rsidRPr="00A2179E">
        <w:t xml:space="preserve">, &amp; </w:t>
      </w:r>
      <w:proofErr w:type="spellStart"/>
      <w:r w:rsidRPr="00A2179E">
        <w:t>DeRienzis</w:t>
      </w:r>
      <w:proofErr w:type="spellEnd"/>
      <w:r w:rsidRPr="00A2179E">
        <w:t xml:space="preserve">, 2011; Schmitt, </w:t>
      </w:r>
      <w:proofErr w:type="spellStart"/>
      <w:r w:rsidRPr="00A2179E">
        <w:t>Zacher</w:t>
      </w:r>
      <w:proofErr w:type="spellEnd"/>
      <w:r w:rsidRPr="00A2179E">
        <w:t xml:space="preserve">, &amp; </w:t>
      </w:r>
      <w:proofErr w:type="spellStart"/>
      <w:r w:rsidRPr="00A2179E">
        <w:t>Frese</w:t>
      </w:r>
      <w:proofErr w:type="spellEnd"/>
      <w:r w:rsidRPr="00A2179E">
        <w:t xml:space="preserve">, 2012; </w:t>
      </w:r>
      <w:proofErr w:type="spellStart"/>
      <w:r w:rsidRPr="00A2179E">
        <w:t>Unson</w:t>
      </w:r>
      <w:proofErr w:type="spellEnd"/>
      <w:r w:rsidRPr="00A2179E">
        <w:t xml:space="preserve"> &amp; Richardson, 2013).</w:t>
      </w:r>
    </w:p>
    <w:p w14:paraId="317CF4B4" w14:textId="1A186A6B" w:rsidR="00A2179E" w:rsidRDefault="00C60DEE" w:rsidP="00A2179E">
      <w:pPr>
        <w:pStyle w:val="Prrafocomn"/>
      </w:pPr>
      <w:r w:rsidRPr="00C60DEE">
        <w:t>Although literature shows that having little or no contact with friends, neighbors or relatives, dissatisfaction with the social support received, spending too much time alone, feeling lonely and disagreements in personal relationships is associated with greater risk of depression, this study found no significant relationship between social support and depression (Almeida et al., 2015). This result may have occurred due to the profile of the sample, which is composed of elderly people who attended collective activities such as city gyms, recreational groups and clubs. Thus, they are more active seniors and probably with more social ties.</w:t>
      </w:r>
    </w:p>
    <w:p w14:paraId="35B758B9" w14:textId="271B7B76" w:rsidR="00C60DEE" w:rsidRDefault="00C60DEE" w:rsidP="00C60DEE">
      <w:pPr>
        <w:pStyle w:val="Prrafocomn"/>
      </w:pPr>
      <w:r w:rsidRPr="00C60DEE">
        <w:t xml:space="preserve">On the other hand, previous studies on depression and associated factors did not include the SOC in the analyses, and these resources can function as mechanisms to face adverse events on depression. Thus, we can consider this absence as a limitation of previous studies that investigated only the socio-demographic variables on depression (Almeida et al., 2015; Hajjar, Nardelli, </w:t>
      </w:r>
      <w:proofErr w:type="spellStart"/>
      <w:r w:rsidRPr="00C60DEE">
        <w:t>Gaudenci</w:t>
      </w:r>
      <w:proofErr w:type="spellEnd"/>
      <w:r w:rsidRPr="00C60DEE">
        <w:t xml:space="preserve">, &amp; Santos, 2018; </w:t>
      </w:r>
      <w:proofErr w:type="spellStart"/>
      <w:r w:rsidRPr="00C60DEE">
        <w:t>Paulino</w:t>
      </w:r>
      <w:proofErr w:type="spellEnd"/>
      <w:r w:rsidRPr="00C60DEE">
        <w:t xml:space="preserve"> et al., 2015; Sousa et al., 2017).</w:t>
      </w:r>
    </w:p>
    <w:p w14:paraId="29196563" w14:textId="0C0F1E43" w:rsidR="004E4C29" w:rsidRDefault="00C60DEE" w:rsidP="00C60DEE">
      <w:pPr>
        <w:pStyle w:val="Prrafocomn"/>
      </w:pPr>
      <w:r w:rsidRPr="00C60DEE">
        <w:t xml:space="preserve">The sample size and profile imply limitations of the present study. Since this is an unprecedented study, the fact that there are no previous studies for comparison is a limitation of the present study. Therefore, further studies are necessary to broaden and strengthen understanding of the use of SOC resources in old age. In addition, sample expansion would be important to test the proposed SOC model as an effect modifier for </w:t>
      </w:r>
      <w:r w:rsidRPr="00C60DEE">
        <w:lastRenderedPageBreak/>
        <w:t>depression. It is also necessary to include objective physical health measures, as it is recognized that pathologies are a determinant of mental health in the elderly.</w:t>
      </w:r>
    </w:p>
    <w:p w14:paraId="00661C26" w14:textId="7E789403" w:rsidR="00C60DEE" w:rsidRPr="00D31F87" w:rsidRDefault="00C60DEE" w:rsidP="00C60DEE">
      <w:pPr>
        <w:pStyle w:val="Ttulosinternos"/>
        <w:rPr>
          <w:lang w:val="en-US"/>
        </w:rPr>
      </w:pPr>
      <w:r w:rsidRPr="00D31F87">
        <w:rPr>
          <w:lang w:val="en-US"/>
        </w:rPr>
        <w:t>Final considerations</w:t>
      </w:r>
    </w:p>
    <w:p w14:paraId="0518BDAB" w14:textId="1A6A1A44" w:rsidR="00405A56" w:rsidRDefault="00405A56" w:rsidP="00C60DEE">
      <w:pPr>
        <w:pStyle w:val="Prrafocomn"/>
      </w:pPr>
      <w:r w:rsidRPr="00405A56">
        <w:t>The present study pointed out that SOC resources have a modifying effect on the relation between stress and depression. The relation between SOC and depression is still little studied, being a pioneer the research carried out in this study</w:t>
      </w:r>
      <w:r>
        <w:t>.</w:t>
      </w:r>
    </w:p>
    <w:p w14:paraId="737E6AC8" w14:textId="4D25ADCD" w:rsidR="00405A56" w:rsidRPr="00405A56" w:rsidRDefault="00405A56" w:rsidP="00405A56">
      <w:pPr>
        <w:pStyle w:val="Prrafocomn"/>
      </w:pPr>
      <w:r w:rsidRPr="00405A56">
        <w:t>The relation between stress and depression was significant and the use of SOC resources can be understood as a way to regulate the consequences of stressors faced throughout life. Therefore, the use of resources is a way to mitigate damage, optimize what is possible and adapt to changes.</w:t>
      </w:r>
    </w:p>
    <w:p w14:paraId="01C54B13" w14:textId="50F2B6C9" w:rsidR="003A1180" w:rsidRDefault="00405A56" w:rsidP="00405A56">
      <w:pPr>
        <w:pStyle w:val="Prrafocomn"/>
        <w:spacing w:line="440" w:lineRule="exact"/>
        <w:ind w:firstLine="709"/>
      </w:pPr>
      <w:r w:rsidRPr="00405A56">
        <w:t>It is considered that the understanding and application of the use of SOC strategies can be of great relevance in the treatment and prevention of depression in the elderly. Thus, it is suggested that future investigations continue the study of the effects of SOC resources and their implications on the emotional state of the elderly.</w:t>
      </w:r>
    </w:p>
    <w:p w14:paraId="0A5B1344" w14:textId="36B23BCA" w:rsidR="009D6D67" w:rsidRDefault="009D6D67" w:rsidP="00405A56">
      <w:pPr>
        <w:pStyle w:val="Prrafocomn"/>
        <w:spacing w:line="440" w:lineRule="exact"/>
        <w:ind w:firstLine="709"/>
      </w:pPr>
    </w:p>
    <w:p w14:paraId="6EAC93D7" w14:textId="2B01E9DE" w:rsidR="009D6D67" w:rsidRDefault="009D6D67" w:rsidP="00405A56">
      <w:pPr>
        <w:pStyle w:val="Prrafocomn"/>
        <w:spacing w:line="440" w:lineRule="exact"/>
        <w:ind w:firstLine="709"/>
      </w:pPr>
    </w:p>
    <w:p w14:paraId="0375BCAC" w14:textId="44F87225" w:rsidR="009D6D67" w:rsidRDefault="009D6D67" w:rsidP="00405A56">
      <w:pPr>
        <w:pStyle w:val="Prrafocomn"/>
        <w:spacing w:line="440" w:lineRule="exact"/>
        <w:ind w:firstLine="709"/>
      </w:pPr>
    </w:p>
    <w:p w14:paraId="0A3FC757" w14:textId="3E1B5283" w:rsidR="009D6D67" w:rsidRDefault="009D6D67" w:rsidP="00405A56">
      <w:pPr>
        <w:pStyle w:val="Prrafocomn"/>
        <w:spacing w:line="440" w:lineRule="exact"/>
        <w:ind w:firstLine="709"/>
      </w:pPr>
    </w:p>
    <w:p w14:paraId="3939535E" w14:textId="04B9DF05" w:rsidR="009D6D67" w:rsidRDefault="009D6D67" w:rsidP="00405A56">
      <w:pPr>
        <w:pStyle w:val="Prrafocomn"/>
        <w:spacing w:line="440" w:lineRule="exact"/>
        <w:ind w:firstLine="709"/>
      </w:pPr>
    </w:p>
    <w:p w14:paraId="69AD8547" w14:textId="0FA07D8E" w:rsidR="009D6D67" w:rsidRDefault="009D6D67" w:rsidP="00405A56">
      <w:pPr>
        <w:pStyle w:val="Prrafocomn"/>
        <w:spacing w:line="440" w:lineRule="exact"/>
        <w:ind w:firstLine="709"/>
      </w:pPr>
    </w:p>
    <w:p w14:paraId="1AFD57ED" w14:textId="18B0CDCE" w:rsidR="009D6D67" w:rsidRDefault="009D6D67" w:rsidP="00405A56">
      <w:pPr>
        <w:pStyle w:val="Prrafocomn"/>
        <w:spacing w:line="440" w:lineRule="exact"/>
        <w:ind w:firstLine="709"/>
      </w:pPr>
    </w:p>
    <w:p w14:paraId="51D40C83" w14:textId="5AC13ABB" w:rsidR="009D6D67" w:rsidRDefault="009D6D67" w:rsidP="00405A56">
      <w:pPr>
        <w:pStyle w:val="Prrafocomn"/>
        <w:spacing w:line="440" w:lineRule="exact"/>
        <w:ind w:firstLine="709"/>
      </w:pPr>
    </w:p>
    <w:p w14:paraId="41F6F538" w14:textId="32CB0DCC" w:rsidR="009D6D67" w:rsidRDefault="009D6D67" w:rsidP="00405A56">
      <w:pPr>
        <w:pStyle w:val="Prrafocomn"/>
        <w:spacing w:line="440" w:lineRule="exact"/>
        <w:ind w:firstLine="709"/>
      </w:pPr>
    </w:p>
    <w:p w14:paraId="32DD0E53" w14:textId="77542400" w:rsidR="009D6D67" w:rsidRDefault="009D6D67" w:rsidP="00405A56">
      <w:pPr>
        <w:pStyle w:val="Prrafocomn"/>
        <w:spacing w:line="440" w:lineRule="exact"/>
        <w:ind w:firstLine="709"/>
      </w:pPr>
    </w:p>
    <w:p w14:paraId="71F5FDCC" w14:textId="0C8173DD" w:rsidR="009D6D67" w:rsidRDefault="009D6D67" w:rsidP="00405A56">
      <w:pPr>
        <w:pStyle w:val="Prrafocomn"/>
        <w:spacing w:line="440" w:lineRule="exact"/>
        <w:ind w:firstLine="709"/>
      </w:pPr>
    </w:p>
    <w:p w14:paraId="5D4697B6" w14:textId="4F8911ED" w:rsidR="009D6D67" w:rsidRDefault="009D6D67" w:rsidP="00405A56">
      <w:pPr>
        <w:pStyle w:val="Prrafocomn"/>
        <w:spacing w:line="440" w:lineRule="exact"/>
        <w:ind w:firstLine="709"/>
      </w:pPr>
    </w:p>
    <w:p w14:paraId="58819726" w14:textId="46C5531E" w:rsidR="009D6D67" w:rsidRDefault="009D6D67" w:rsidP="00405A56">
      <w:pPr>
        <w:pStyle w:val="Prrafocomn"/>
        <w:spacing w:line="440" w:lineRule="exact"/>
        <w:ind w:firstLine="709"/>
      </w:pPr>
    </w:p>
    <w:p w14:paraId="1B128BBB" w14:textId="536E645D" w:rsidR="009D6D67" w:rsidRDefault="009D6D67" w:rsidP="00405A56">
      <w:pPr>
        <w:pStyle w:val="Prrafocomn"/>
        <w:spacing w:line="440" w:lineRule="exact"/>
        <w:ind w:firstLine="709"/>
      </w:pPr>
    </w:p>
    <w:p w14:paraId="4D0D1B73" w14:textId="6E04A643" w:rsidR="009D6D67" w:rsidRDefault="009D6D67" w:rsidP="00405A56">
      <w:pPr>
        <w:pStyle w:val="Prrafocomn"/>
        <w:spacing w:line="440" w:lineRule="exact"/>
        <w:ind w:firstLine="709"/>
      </w:pPr>
    </w:p>
    <w:p w14:paraId="436B5C5D" w14:textId="7F5158EC" w:rsidR="009D6D67" w:rsidRDefault="009D6D67" w:rsidP="00405A56">
      <w:pPr>
        <w:pStyle w:val="Prrafocomn"/>
        <w:spacing w:line="440" w:lineRule="exact"/>
        <w:ind w:firstLine="709"/>
      </w:pPr>
    </w:p>
    <w:p w14:paraId="6ECD63F2" w14:textId="77777777" w:rsidR="009D6D67" w:rsidRPr="00405A56" w:rsidRDefault="009D6D67" w:rsidP="00405A56">
      <w:pPr>
        <w:pStyle w:val="Prrafocomn"/>
        <w:spacing w:line="440" w:lineRule="exact"/>
        <w:ind w:firstLine="709"/>
      </w:pPr>
    </w:p>
    <w:p w14:paraId="66876945" w14:textId="586D2DCC" w:rsidR="003A1180" w:rsidRPr="00D31F87" w:rsidRDefault="008A2B96" w:rsidP="00225541">
      <w:pPr>
        <w:pStyle w:val="Ttulosinternos"/>
        <w:rPr>
          <w:lang w:val="en-US"/>
        </w:rPr>
      </w:pPr>
      <w:r w:rsidRPr="00D31F87">
        <w:rPr>
          <w:lang w:val="en-US"/>
        </w:rPr>
        <w:lastRenderedPageBreak/>
        <w:t>References</w:t>
      </w:r>
    </w:p>
    <w:p w14:paraId="7B517D58" w14:textId="6FDB9B9A" w:rsidR="00405A56" w:rsidRDefault="00405A56" w:rsidP="00F1334C">
      <w:pPr>
        <w:pStyle w:val="Referencias"/>
        <w:spacing w:line="300" w:lineRule="exact"/>
        <w:rPr>
          <w:lang w:eastAsia="pt-BR"/>
        </w:rPr>
      </w:pPr>
      <w:proofErr w:type="spellStart"/>
      <w:r w:rsidRPr="00405A56">
        <w:rPr>
          <w:lang w:eastAsia="pt-BR"/>
        </w:rPr>
        <w:t>Aldwin</w:t>
      </w:r>
      <w:proofErr w:type="spellEnd"/>
      <w:r w:rsidRPr="00405A56">
        <w:rPr>
          <w:lang w:eastAsia="pt-BR"/>
        </w:rPr>
        <w:t xml:space="preserve">, C. M. (1990). The Elders Life Stress Inventory: Egocentric and nonegocentric stress. In </w:t>
      </w:r>
      <w:r w:rsidRPr="00405A56">
        <w:rPr>
          <w:i/>
          <w:iCs/>
          <w:lang w:eastAsia="pt-BR"/>
        </w:rPr>
        <w:t>Stress and coping in later-life families</w:t>
      </w:r>
      <w:r w:rsidR="007012B4">
        <w:rPr>
          <w:lang w:eastAsia="pt-BR"/>
        </w:rPr>
        <w:t xml:space="preserve"> (p. 49-</w:t>
      </w:r>
      <w:r w:rsidR="006564DC">
        <w:rPr>
          <w:lang w:eastAsia="pt-BR"/>
        </w:rPr>
        <w:t>69).</w:t>
      </w:r>
      <w:r w:rsidRPr="00405A56">
        <w:rPr>
          <w:lang w:eastAsia="pt-BR"/>
        </w:rPr>
        <w:t xml:space="preserve"> Hemisphere Publishing Corp.</w:t>
      </w:r>
    </w:p>
    <w:p w14:paraId="314C848E" w14:textId="7E20E722" w:rsidR="00405A56" w:rsidRDefault="00405A56" w:rsidP="00F1334C">
      <w:pPr>
        <w:pStyle w:val="Referencias"/>
        <w:spacing w:line="300" w:lineRule="exact"/>
        <w:rPr>
          <w:lang w:val="pt-BR" w:eastAsia="pt-BR"/>
        </w:rPr>
      </w:pPr>
      <w:r w:rsidRPr="00405A56">
        <w:rPr>
          <w:bCs/>
          <w:lang w:eastAsia="pt-BR"/>
        </w:rPr>
        <w:t xml:space="preserve">Almeida, S. T. de. (2011). Well-succeeded aging and learning processes in competition sports: means of adaptation among athletes who practice running. </w:t>
      </w:r>
      <w:r w:rsidRPr="00405A56">
        <w:rPr>
          <w:bCs/>
          <w:i/>
          <w:iCs/>
          <w:lang w:val="pt-BR" w:eastAsia="pt-BR"/>
        </w:rPr>
        <w:t>Revista Brasileira de Geriatria e Gerontologia</w:t>
      </w:r>
      <w:r w:rsidRPr="00405A56">
        <w:rPr>
          <w:bCs/>
          <w:lang w:val="pt-BR" w:eastAsia="pt-BR"/>
        </w:rPr>
        <w:t xml:space="preserve">, </w:t>
      </w:r>
      <w:r w:rsidRPr="00405A56">
        <w:rPr>
          <w:bCs/>
          <w:i/>
          <w:iCs/>
          <w:lang w:val="pt-BR" w:eastAsia="pt-BR"/>
        </w:rPr>
        <w:t>14</w:t>
      </w:r>
      <w:r w:rsidR="007012B4">
        <w:rPr>
          <w:bCs/>
          <w:lang w:val="pt-BR" w:eastAsia="pt-BR"/>
        </w:rPr>
        <w:t>(2), 233-</w:t>
      </w:r>
      <w:r w:rsidRPr="00405A56">
        <w:rPr>
          <w:bCs/>
          <w:lang w:val="pt-BR" w:eastAsia="pt-BR"/>
        </w:rPr>
        <w:t xml:space="preserve">239. </w:t>
      </w:r>
      <w:hyperlink r:id="rId19" w:history="1">
        <w:r w:rsidR="007012B4" w:rsidRPr="00B56480">
          <w:rPr>
            <w:rStyle w:val="Hipervnculo"/>
            <w:lang w:val="pt-BR" w:eastAsia="pt-BR"/>
          </w:rPr>
          <w:t>https://doi.org/10.1590/S1809-98232011000200005</w:t>
        </w:r>
      </w:hyperlink>
      <w:r w:rsidR="007012B4">
        <w:rPr>
          <w:color w:val="0563C1"/>
          <w:u w:val="single"/>
          <w:lang w:val="pt-BR" w:eastAsia="pt-BR"/>
        </w:rPr>
        <w:t xml:space="preserve"> </w:t>
      </w:r>
      <w:r w:rsidRPr="00405A56">
        <w:rPr>
          <w:lang w:val="pt-BR" w:eastAsia="pt-BR"/>
        </w:rPr>
        <w:t> </w:t>
      </w:r>
    </w:p>
    <w:p w14:paraId="4470BA29" w14:textId="0FFC2433" w:rsidR="00405A56" w:rsidRDefault="00405A56" w:rsidP="00F1334C">
      <w:pPr>
        <w:pStyle w:val="Referencias"/>
        <w:spacing w:line="300" w:lineRule="exact"/>
        <w:rPr>
          <w:color w:val="0563C1"/>
          <w:u w:val="single"/>
          <w:shd w:val="clear" w:color="auto" w:fill="FFFFFF"/>
          <w:lang w:val="pt-BR" w:eastAsia="pt-BR"/>
        </w:rPr>
      </w:pPr>
      <w:r w:rsidRPr="00405A56">
        <w:rPr>
          <w:lang w:val="pt-BR" w:eastAsia="pt-BR"/>
        </w:rPr>
        <w:t xml:space="preserve">Almeida, M. A. S. O., Lemes, A. G., Nascimento, V. F. do, Nascimento, P. I. M. N. da, Fonseca, V. F. do, Rocha, E. M. da, … Cardoso, T. P. (2015). Fatores de risco associados à depressão em idosos no interior de Mato Grosso. </w:t>
      </w:r>
      <w:r w:rsidRPr="007012B4">
        <w:rPr>
          <w:i/>
          <w:iCs/>
          <w:lang w:val="pt-BR" w:eastAsia="pt-BR"/>
        </w:rPr>
        <w:t>Revista Baiana Saúde Pública</w:t>
      </w:r>
      <w:r w:rsidRPr="007012B4">
        <w:rPr>
          <w:lang w:val="pt-BR" w:eastAsia="pt-BR"/>
        </w:rPr>
        <w:t xml:space="preserve">, </w:t>
      </w:r>
      <w:r w:rsidRPr="007012B4">
        <w:rPr>
          <w:i/>
          <w:iCs/>
          <w:lang w:val="pt-BR" w:eastAsia="pt-BR"/>
        </w:rPr>
        <w:t>39</w:t>
      </w:r>
      <w:r w:rsidR="007012B4" w:rsidRPr="007012B4">
        <w:rPr>
          <w:lang w:val="pt-BR" w:eastAsia="pt-BR"/>
        </w:rPr>
        <w:t>(3), 627-</w:t>
      </w:r>
      <w:r w:rsidRPr="007012B4">
        <w:rPr>
          <w:lang w:val="pt-BR" w:eastAsia="pt-BR"/>
        </w:rPr>
        <w:t xml:space="preserve">641. </w:t>
      </w:r>
      <w:hyperlink r:id="rId20" w:history="1">
        <w:r w:rsidR="007012B4" w:rsidRPr="007012B4">
          <w:rPr>
            <w:rStyle w:val="Hipervnculo"/>
            <w:shd w:val="clear" w:color="auto" w:fill="FFFFFF"/>
            <w:lang w:val="pt-BR" w:eastAsia="pt-BR"/>
          </w:rPr>
          <w:t>https://doi.org/10.22278/2318-2660.2015.v39.n3.a189</w:t>
        </w:r>
        <w:r w:rsidR="007012B4" w:rsidRPr="00B56480">
          <w:rPr>
            <w:rStyle w:val="Hipervnculo"/>
            <w:shd w:val="clear" w:color="auto" w:fill="FFFFFF"/>
            <w:lang w:val="pt-BR" w:eastAsia="pt-BR"/>
          </w:rPr>
          <w:t>5</w:t>
        </w:r>
      </w:hyperlink>
      <w:r w:rsidR="007012B4">
        <w:rPr>
          <w:color w:val="0563C1"/>
          <w:u w:val="single"/>
          <w:shd w:val="clear" w:color="auto" w:fill="FFFFFF"/>
          <w:lang w:val="pt-BR" w:eastAsia="pt-BR"/>
        </w:rPr>
        <w:t xml:space="preserve"> </w:t>
      </w:r>
    </w:p>
    <w:p w14:paraId="5D62835E" w14:textId="025D73DD" w:rsidR="00405A56" w:rsidRPr="00405A56" w:rsidRDefault="00405A56" w:rsidP="00F1334C">
      <w:pPr>
        <w:pStyle w:val="Referencias"/>
        <w:spacing w:line="300" w:lineRule="exact"/>
        <w:rPr>
          <w:color w:val="0563C1"/>
          <w:u w:val="single"/>
          <w:bdr w:val="none" w:sz="0" w:space="0" w:color="auto" w:frame="1"/>
          <w:shd w:val="clear" w:color="auto" w:fill="FFFFFF"/>
          <w:lang w:eastAsia="pt-BR"/>
        </w:rPr>
      </w:pPr>
      <w:r w:rsidRPr="00D31F87">
        <w:rPr>
          <w:lang w:val="pt-BR" w:eastAsia="pt-BR"/>
        </w:rPr>
        <w:t xml:space="preserve">Alonso-Fernández, M., López-López, A., </w:t>
      </w:r>
      <w:proofErr w:type="spellStart"/>
      <w:r w:rsidRPr="00D31F87">
        <w:rPr>
          <w:lang w:val="pt-BR" w:eastAsia="pt-BR"/>
        </w:rPr>
        <w:t>Losada</w:t>
      </w:r>
      <w:proofErr w:type="spellEnd"/>
      <w:r w:rsidRPr="00D31F87">
        <w:rPr>
          <w:lang w:val="pt-BR" w:eastAsia="pt-BR"/>
        </w:rPr>
        <w:t xml:space="preserve">, A., González, J. L., &amp; </w:t>
      </w:r>
      <w:proofErr w:type="spellStart"/>
      <w:r w:rsidRPr="00D31F87">
        <w:rPr>
          <w:lang w:val="pt-BR" w:eastAsia="pt-BR"/>
        </w:rPr>
        <w:t>Wetherell</w:t>
      </w:r>
      <w:proofErr w:type="spellEnd"/>
      <w:r w:rsidRPr="00D31F87">
        <w:rPr>
          <w:lang w:val="pt-BR" w:eastAsia="pt-BR"/>
        </w:rPr>
        <w:t xml:space="preserve">, J. L. (2016). </w:t>
      </w:r>
      <w:r w:rsidRPr="00405A56">
        <w:rPr>
          <w:lang w:eastAsia="pt-BR"/>
        </w:rPr>
        <w:t xml:space="preserve">Acceptance and Commitment Therapy and Selective Optimization with Compensation for Institutionalized Older People with Chronic Pain. </w:t>
      </w:r>
      <w:r w:rsidRPr="00405A56">
        <w:rPr>
          <w:i/>
          <w:iCs/>
          <w:lang w:eastAsia="pt-BR"/>
        </w:rPr>
        <w:t>Pain Medicine (Malden, Mass.)</w:t>
      </w:r>
      <w:r w:rsidRPr="00405A56">
        <w:rPr>
          <w:lang w:eastAsia="pt-BR"/>
        </w:rPr>
        <w:t xml:space="preserve">, </w:t>
      </w:r>
      <w:r w:rsidRPr="00405A56">
        <w:rPr>
          <w:i/>
          <w:iCs/>
          <w:lang w:eastAsia="pt-BR"/>
        </w:rPr>
        <w:t>17</w:t>
      </w:r>
      <w:r w:rsidR="007012B4">
        <w:rPr>
          <w:lang w:eastAsia="pt-BR"/>
        </w:rPr>
        <w:t>(2), 264-</w:t>
      </w:r>
      <w:r w:rsidRPr="00405A56">
        <w:rPr>
          <w:lang w:eastAsia="pt-BR"/>
        </w:rPr>
        <w:t>277.</w:t>
      </w:r>
      <w:r w:rsidRPr="00405A56">
        <w:rPr>
          <w:shd w:val="clear" w:color="auto" w:fill="FFFFFF"/>
          <w:lang w:eastAsia="pt-BR"/>
        </w:rPr>
        <w:t> </w:t>
      </w:r>
      <w:hyperlink r:id="rId21" w:history="1">
        <w:r w:rsidR="007012B4" w:rsidRPr="00B56480">
          <w:rPr>
            <w:rStyle w:val="Hipervnculo"/>
            <w:bdr w:val="none" w:sz="0" w:space="0" w:color="auto" w:frame="1"/>
            <w:shd w:val="clear" w:color="auto" w:fill="FFFFFF"/>
            <w:lang w:eastAsia="pt-BR"/>
          </w:rPr>
          <w:t>https://doi.org/10.1111/pme.1288</w:t>
        </w:r>
        <w:r w:rsidR="007012B4" w:rsidRPr="00D31F87">
          <w:rPr>
            <w:rStyle w:val="Hipervnculo"/>
            <w:bdr w:val="none" w:sz="0" w:space="0" w:color="auto" w:frame="1"/>
            <w:shd w:val="clear" w:color="auto" w:fill="FFFFFF"/>
            <w:lang w:eastAsia="pt-BR"/>
          </w:rPr>
          <w:t>5</w:t>
        </w:r>
      </w:hyperlink>
      <w:r w:rsidR="007012B4" w:rsidRPr="00D31F87">
        <w:rPr>
          <w:color w:val="0563C1"/>
          <w:u w:val="single"/>
          <w:bdr w:val="none" w:sz="0" w:space="0" w:color="auto" w:frame="1"/>
          <w:shd w:val="clear" w:color="auto" w:fill="FFFFFF"/>
          <w:lang w:eastAsia="pt-BR"/>
        </w:rPr>
        <w:t xml:space="preserve"> </w:t>
      </w:r>
    </w:p>
    <w:p w14:paraId="351892F7" w14:textId="446AFB60" w:rsidR="00405A56" w:rsidRPr="007012B4" w:rsidRDefault="00405A56" w:rsidP="00F1334C">
      <w:pPr>
        <w:pStyle w:val="Referencias"/>
        <w:spacing w:line="300" w:lineRule="exact"/>
        <w:rPr>
          <w:bCs/>
          <w:color w:val="0563C1"/>
          <w:u w:val="single"/>
          <w:shd w:val="clear" w:color="auto" w:fill="FFFFFF"/>
          <w:lang w:eastAsia="pt-BR"/>
        </w:rPr>
      </w:pPr>
      <w:r w:rsidRPr="00405A56">
        <w:rPr>
          <w:lang w:eastAsia="pt-BR"/>
        </w:rPr>
        <w:t xml:space="preserve">Baethge, A., Müller, A., &amp; </w:t>
      </w:r>
      <w:proofErr w:type="spellStart"/>
      <w:r w:rsidRPr="00405A56">
        <w:rPr>
          <w:lang w:eastAsia="pt-BR"/>
        </w:rPr>
        <w:t>Rigotti</w:t>
      </w:r>
      <w:proofErr w:type="spellEnd"/>
      <w:r w:rsidRPr="00405A56">
        <w:rPr>
          <w:lang w:eastAsia="pt-BR"/>
        </w:rPr>
        <w:t xml:space="preserve">, T. (2016). Nursing performance under high workload: a diary study on the moderating role of selection, optimization and compensation strategies. </w:t>
      </w:r>
      <w:r w:rsidRPr="00405A56">
        <w:rPr>
          <w:i/>
          <w:iCs/>
          <w:lang w:eastAsia="pt-BR"/>
        </w:rPr>
        <w:t>Journal of Advanced Nursing</w:t>
      </w:r>
      <w:r w:rsidRPr="00405A56">
        <w:rPr>
          <w:lang w:eastAsia="pt-BR"/>
        </w:rPr>
        <w:t xml:space="preserve">, </w:t>
      </w:r>
      <w:r w:rsidRPr="00405A56">
        <w:rPr>
          <w:i/>
          <w:iCs/>
          <w:lang w:eastAsia="pt-BR"/>
        </w:rPr>
        <w:t>72</w:t>
      </w:r>
      <w:r w:rsidR="007012B4">
        <w:rPr>
          <w:lang w:eastAsia="pt-BR"/>
        </w:rPr>
        <w:t>(3), 545-</w:t>
      </w:r>
      <w:r w:rsidRPr="00405A56">
        <w:rPr>
          <w:lang w:eastAsia="pt-BR"/>
        </w:rPr>
        <w:t xml:space="preserve">557. </w:t>
      </w:r>
      <w:hyperlink r:id="rId22" w:history="1">
        <w:r w:rsidR="007012B4" w:rsidRPr="00B56480">
          <w:rPr>
            <w:rStyle w:val="Hipervnculo"/>
            <w:bCs/>
            <w:shd w:val="clear" w:color="auto" w:fill="FFFFFF"/>
            <w:lang w:eastAsia="pt-BR"/>
          </w:rPr>
          <w:t>https://doi.org/10.1111/jan.1284</w:t>
        </w:r>
        <w:r w:rsidR="007012B4" w:rsidRPr="007012B4">
          <w:rPr>
            <w:rStyle w:val="Hipervnculo"/>
            <w:bCs/>
            <w:shd w:val="clear" w:color="auto" w:fill="FFFFFF"/>
            <w:lang w:eastAsia="pt-BR"/>
          </w:rPr>
          <w:t>7</w:t>
        </w:r>
      </w:hyperlink>
      <w:r w:rsidR="007012B4" w:rsidRPr="007012B4">
        <w:rPr>
          <w:bCs/>
          <w:color w:val="0563C1"/>
          <w:u w:val="single"/>
          <w:shd w:val="clear" w:color="auto" w:fill="FFFFFF"/>
          <w:lang w:eastAsia="pt-BR"/>
        </w:rPr>
        <w:t xml:space="preserve"> </w:t>
      </w:r>
    </w:p>
    <w:p w14:paraId="1DCE124A" w14:textId="1B582EE4" w:rsidR="00405A56" w:rsidRDefault="00405A56" w:rsidP="00F1334C">
      <w:pPr>
        <w:pStyle w:val="Referencias"/>
        <w:spacing w:line="300" w:lineRule="exact"/>
        <w:rPr>
          <w:lang w:eastAsia="pt-BR"/>
        </w:rPr>
      </w:pPr>
      <w:proofErr w:type="spellStart"/>
      <w:r w:rsidRPr="00405A56">
        <w:rPr>
          <w:lang w:eastAsia="pt-BR"/>
        </w:rPr>
        <w:t>Baltes</w:t>
      </w:r>
      <w:proofErr w:type="spellEnd"/>
      <w:r w:rsidRPr="00405A56">
        <w:rPr>
          <w:lang w:eastAsia="pt-BR"/>
        </w:rPr>
        <w:t xml:space="preserve">, P. B. (1997). On the incomplete architecture of human ontogeny. Selection, optimization, and compensation as foundation of developmental theory. </w:t>
      </w:r>
      <w:r w:rsidRPr="00405A56">
        <w:rPr>
          <w:i/>
          <w:iCs/>
          <w:lang w:eastAsia="pt-BR"/>
        </w:rPr>
        <w:t>The American Psychologist</w:t>
      </w:r>
      <w:r w:rsidRPr="00405A56">
        <w:rPr>
          <w:lang w:eastAsia="pt-BR"/>
        </w:rPr>
        <w:t xml:space="preserve">, </w:t>
      </w:r>
      <w:r w:rsidRPr="00405A56">
        <w:rPr>
          <w:i/>
          <w:iCs/>
          <w:lang w:eastAsia="pt-BR"/>
        </w:rPr>
        <w:t>52</w:t>
      </w:r>
      <w:r w:rsidR="007012B4">
        <w:rPr>
          <w:lang w:eastAsia="pt-BR"/>
        </w:rPr>
        <w:t>(4), 366-</w:t>
      </w:r>
      <w:r w:rsidRPr="00405A56">
        <w:rPr>
          <w:lang w:eastAsia="pt-BR"/>
        </w:rPr>
        <w:t>380.</w:t>
      </w:r>
    </w:p>
    <w:p w14:paraId="205A0B06" w14:textId="650D239D" w:rsidR="00405A56" w:rsidRDefault="00405A56" w:rsidP="00F1334C">
      <w:pPr>
        <w:pStyle w:val="Referencias"/>
        <w:spacing w:line="300" w:lineRule="exact"/>
        <w:rPr>
          <w:lang w:eastAsia="pt-BR"/>
        </w:rPr>
      </w:pPr>
      <w:proofErr w:type="spellStart"/>
      <w:r w:rsidRPr="00405A56">
        <w:rPr>
          <w:lang w:eastAsia="pt-BR"/>
        </w:rPr>
        <w:t>Baltes</w:t>
      </w:r>
      <w:proofErr w:type="spellEnd"/>
      <w:r w:rsidRPr="00405A56">
        <w:rPr>
          <w:lang w:eastAsia="pt-BR"/>
        </w:rPr>
        <w:t xml:space="preserve">, P. B. (1999). [Age and aging as incomplete architecture of human ontogenesis]. </w:t>
      </w:r>
      <w:proofErr w:type="spellStart"/>
      <w:r w:rsidRPr="00405A56">
        <w:rPr>
          <w:i/>
          <w:iCs/>
          <w:lang w:eastAsia="pt-BR"/>
        </w:rPr>
        <w:t>Zeitschrift</w:t>
      </w:r>
      <w:proofErr w:type="spellEnd"/>
      <w:r w:rsidRPr="00405A56">
        <w:rPr>
          <w:i/>
          <w:iCs/>
          <w:lang w:eastAsia="pt-BR"/>
        </w:rPr>
        <w:t xml:space="preserve"> Fur </w:t>
      </w:r>
      <w:proofErr w:type="spellStart"/>
      <w:r w:rsidRPr="00405A56">
        <w:rPr>
          <w:i/>
          <w:iCs/>
          <w:lang w:eastAsia="pt-BR"/>
        </w:rPr>
        <w:t>Gerontologie</w:t>
      </w:r>
      <w:proofErr w:type="spellEnd"/>
      <w:r w:rsidRPr="00405A56">
        <w:rPr>
          <w:i/>
          <w:iCs/>
          <w:lang w:eastAsia="pt-BR"/>
        </w:rPr>
        <w:t xml:space="preserve"> Und </w:t>
      </w:r>
      <w:proofErr w:type="spellStart"/>
      <w:r w:rsidRPr="00405A56">
        <w:rPr>
          <w:i/>
          <w:iCs/>
          <w:lang w:eastAsia="pt-BR"/>
        </w:rPr>
        <w:t>Geriatrie</w:t>
      </w:r>
      <w:proofErr w:type="spellEnd"/>
      <w:r w:rsidRPr="00405A56">
        <w:rPr>
          <w:lang w:eastAsia="pt-BR"/>
        </w:rPr>
        <w:t xml:space="preserve">, </w:t>
      </w:r>
      <w:r w:rsidRPr="00405A56">
        <w:rPr>
          <w:i/>
          <w:iCs/>
          <w:lang w:eastAsia="pt-BR"/>
        </w:rPr>
        <w:t>32</w:t>
      </w:r>
      <w:r w:rsidR="007012B4">
        <w:rPr>
          <w:lang w:eastAsia="pt-BR"/>
        </w:rPr>
        <w:t>(6), 433-</w:t>
      </w:r>
      <w:r w:rsidRPr="00405A56">
        <w:rPr>
          <w:lang w:eastAsia="pt-BR"/>
        </w:rPr>
        <w:t>448.</w:t>
      </w:r>
    </w:p>
    <w:p w14:paraId="78367BF3" w14:textId="58BBB80C" w:rsidR="00405A56" w:rsidRPr="00D31F87" w:rsidRDefault="00405A56" w:rsidP="00F1334C">
      <w:pPr>
        <w:pStyle w:val="Referencias"/>
        <w:spacing w:line="300" w:lineRule="exact"/>
        <w:rPr>
          <w:color w:val="0563C1"/>
          <w:u w:val="single"/>
          <w:shd w:val="clear" w:color="auto" w:fill="FFFFFF"/>
          <w:lang w:eastAsia="pt-BR"/>
        </w:rPr>
      </w:pPr>
      <w:proofErr w:type="spellStart"/>
      <w:r w:rsidRPr="00405A56">
        <w:rPr>
          <w:lang w:eastAsia="pt-BR"/>
        </w:rPr>
        <w:t>Baltes</w:t>
      </w:r>
      <w:proofErr w:type="spellEnd"/>
      <w:r w:rsidRPr="00405A56">
        <w:rPr>
          <w:lang w:eastAsia="pt-BR"/>
        </w:rPr>
        <w:t xml:space="preserve">, Paul B. (1987). Theoretical propositions of life-span developmental psychology: On the dynamics between growth and decline. </w:t>
      </w:r>
      <w:r w:rsidRPr="00405A56">
        <w:rPr>
          <w:i/>
          <w:iCs/>
          <w:lang w:eastAsia="pt-BR"/>
        </w:rPr>
        <w:t>Developmental Psychology</w:t>
      </w:r>
      <w:r w:rsidRPr="00405A56">
        <w:rPr>
          <w:lang w:eastAsia="pt-BR"/>
        </w:rPr>
        <w:t xml:space="preserve">, </w:t>
      </w:r>
      <w:r w:rsidRPr="00405A56">
        <w:rPr>
          <w:i/>
          <w:iCs/>
          <w:lang w:eastAsia="pt-BR"/>
        </w:rPr>
        <w:t>23</w:t>
      </w:r>
      <w:r w:rsidR="007012B4">
        <w:rPr>
          <w:lang w:eastAsia="pt-BR"/>
        </w:rPr>
        <w:t>(5), 611-</w:t>
      </w:r>
      <w:r w:rsidRPr="00405A56">
        <w:rPr>
          <w:lang w:eastAsia="pt-BR"/>
        </w:rPr>
        <w:t xml:space="preserve">626. </w:t>
      </w:r>
      <w:hyperlink r:id="rId23" w:history="1">
        <w:r w:rsidR="007012B4" w:rsidRPr="00D31F87">
          <w:rPr>
            <w:rStyle w:val="Hipervnculo"/>
            <w:shd w:val="clear" w:color="auto" w:fill="FFFFFF"/>
            <w:lang w:eastAsia="pt-BR"/>
          </w:rPr>
          <w:t>https://doi.org/10.1037/0012-1649.23.5.611</w:t>
        </w:r>
      </w:hyperlink>
      <w:r w:rsidR="007012B4" w:rsidRPr="00D31F87">
        <w:rPr>
          <w:color w:val="0563C1"/>
          <w:u w:val="single"/>
          <w:shd w:val="clear" w:color="auto" w:fill="FFFFFF"/>
          <w:lang w:eastAsia="pt-BR"/>
        </w:rPr>
        <w:t xml:space="preserve"> </w:t>
      </w:r>
    </w:p>
    <w:p w14:paraId="7DEDF8A2" w14:textId="4E71F779" w:rsidR="00405A56" w:rsidRDefault="00405A56" w:rsidP="00F1334C">
      <w:pPr>
        <w:pStyle w:val="Referencias"/>
        <w:spacing w:line="300" w:lineRule="exact"/>
        <w:rPr>
          <w:lang w:eastAsia="pt-BR"/>
        </w:rPr>
      </w:pPr>
      <w:proofErr w:type="spellStart"/>
      <w:r w:rsidRPr="00D31F87">
        <w:rPr>
          <w:lang w:eastAsia="pt-BR"/>
        </w:rPr>
        <w:t>Batistoni</w:t>
      </w:r>
      <w:proofErr w:type="spellEnd"/>
      <w:r w:rsidRPr="00D31F87">
        <w:rPr>
          <w:lang w:eastAsia="pt-BR"/>
        </w:rPr>
        <w:t xml:space="preserve">, S. S. T., Cupertino, A. P. F. B., &amp; </w:t>
      </w:r>
      <w:proofErr w:type="spellStart"/>
      <w:r w:rsidRPr="00D31F87">
        <w:rPr>
          <w:lang w:eastAsia="pt-BR"/>
        </w:rPr>
        <w:t>Neri</w:t>
      </w:r>
      <w:proofErr w:type="spellEnd"/>
      <w:r w:rsidRPr="00D31F87">
        <w:rPr>
          <w:lang w:eastAsia="pt-BR"/>
        </w:rPr>
        <w:t xml:space="preserve">, A. L. (2009). </w:t>
      </w:r>
      <w:r w:rsidRPr="00405A56">
        <w:rPr>
          <w:lang w:val="pt-BR" w:eastAsia="pt-BR"/>
        </w:rPr>
        <w:t xml:space="preserve">Sintomas depressivos e variáveis psicossociais em idosos residentes na comunidade. </w:t>
      </w:r>
      <w:r w:rsidRPr="00405A56">
        <w:rPr>
          <w:i/>
          <w:iCs/>
          <w:lang w:eastAsia="pt-BR"/>
        </w:rPr>
        <w:t>Geriatrics, Gerontology and Aging</w:t>
      </w:r>
      <w:r w:rsidRPr="00405A56">
        <w:rPr>
          <w:lang w:eastAsia="pt-BR"/>
        </w:rPr>
        <w:t xml:space="preserve">, </w:t>
      </w:r>
      <w:r w:rsidRPr="00405A56">
        <w:rPr>
          <w:i/>
          <w:iCs/>
          <w:lang w:eastAsia="pt-BR"/>
        </w:rPr>
        <w:t>3</w:t>
      </w:r>
      <w:r w:rsidRPr="00405A56">
        <w:rPr>
          <w:lang w:eastAsia="pt-BR"/>
        </w:rPr>
        <w:t>(2), 78</w:t>
      </w:r>
      <w:r w:rsidR="007012B4">
        <w:rPr>
          <w:lang w:eastAsia="pt-BR"/>
        </w:rPr>
        <w:t>-</w:t>
      </w:r>
      <w:r w:rsidRPr="00405A56">
        <w:rPr>
          <w:lang w:eastAsia="pt-BR"/>
        </w:rPr>
        <w:t>84.</w:t>
      </w:r>
    </w:p>
    <w:p w14:paraId="08455CD2" w14:textId="3354C8F1" w:rsidR="00405A56" w:rsidRPr="007012B4" w:rsidRDefault="00405A56" w:rsidP="00F1334C">
      <w:pPr>
        <w:pStyle w:val="Referencias"/>
        <w:spacing w:line="300" w:lineRule="exact"/>
        <w:rPr>
          <w:color w:val="0563C1"/>
          <w:u w:val="single"/>
          <w:shd w:val="clear" w:color="auto" w:fill="FCFCFC"/>
          <w:lang w:eastAsia="pt-BR"/>
        </w:rPr>
      </w:pPr>
      <w:r w:rsidRPr="00405A56">
        <w:rPr>
          <w:lang w:eastAsia="pt-BR"/>
        </w:rPr>
        <w:t xml:space="preserve">Becker, A., </w:t>
      </w:r>
      <w:proofErr w:type="spellStart"/>
      <w:r w:rsidRPr="00405A56">
        <w:rPr>
          <w:lang w:eastAsia="pt-BR"/>
        </w:rPr>
        <w:t>Angerer</w:t>
      </w:r>
      <w:proofErr w:type="spellEnd"/>
      <w:r w:rsidRPr="00405A56">
        <w:rPr>
          <w:lang w:eastAsia="pt-BR"/>
        </w:rPr>
        <w:t xml:space="preserve">, P., &amp; Müller, A. (2017). The prevention of musculoskeletal complaints: a randomized controlled trial on additional effects of a work-related psychosocial coaching intervention compared to physiotherapy alone. </w:t>
      </w:r>
      <w:r w:rsidRPr="00405A56">
        <w:rPr>
          <w:i/>
          <w:iCs/>
          <w:lang w:eastAsia="pt-BR"/>
        </w:rPr>
        <w:t>International Archives of Occupational and Environmental Health</w:t>
      </w:r>
      <w:r w:rsidRPr="00405A56">
        <w:rPr>
          <w:lang w:eastAsia="pt-BR"/>
        </w:rPr>
        <w:t xml:space="preserve">, </w:t>
      </w:r>
      <w:r w:rsidRPr="00405A56">
        <w:rPr>
          <w:i/>
          <w:iCs/>
          <w:lang w:eastAsia="pt-BR"/>
        </w:rPr>
        <w:t>90</w:t>
      </w:r>
      <w:r w:rsidR="007012B4">
        <w:rPr>
          <w:lang w:eastAsia="pt-BR"/>
        </w:rPr>
        <w:t>(4), 357-</w:t>
      </w:r>
      <w:r w:rsidRPr="00405A56">
        <w:rPr>
          <w:lang w:eastAsia="pt-BR"/>
        </w:rPr>
        <w:t xml:space="preserve">371. </w:t>
      </w:r>
      <w:hyperlink r:id="rId24" w:history="1">
        <w:r w:rsidRPr="00B56480">
          <w:rPr>
            <w:rStyle w:val="Hipervnculo"/>
            <w:shd w:val="clear" w:color="auto" w:fill="FCFCFC"/>
            <w:lang w:eastAsia="pt-BR"/>
          </w:rPr>
          <w:t>https://doi.org/10.1007/s00420-017-1202-6</w:t>
        </w:r>
      </w:hyperlink>
      <w:r>
        <w:rPr>
          <w:color w:val="0563C1"/>
          <w:u w:val="single"/>
          <w:shd w:val="clear" w:color="auto" w:fill="FCFCFC"/>
          <w:lang w:eastAsia="pt-BR"/>
        </w:rPr>
        <w:t xml:space="preserve"> </w:t>
      </w:r>
    </w:p>
    <w:p w14:paraId="71623F86" w14:textId="12B4BE98" w:rsidR="00405A56" w:rsidRPr="00D31F87" w:rsidRDefault="00405A56" w:rsidP="00F1334C">
      <w:pPr>
        <w:pStyle w:val="Referencias"/>
        <w:spacing w:line="300" w:lineRule="exact"/>
        <w:rPr>
          <w:lang w:val="pt-BR" w:eastAsia="pt-BR"/>
        </w:rPr>
      </w:pPr>
      <w:r w:rsidRPr="00D31F87">
        <w:rPr>
          <w:bCs/>
          <w:lang w:val="pt-BR" w:eastAsia="pt-BR"/>
        </w:rPr>
        <w:t xml:space="preserve">Camargo, B. V., </w:t>
      </w:r>
      <w:proofErr w:type="spellStart"/>
      <w:r w:rsidRPr="00D31F87">
        <w:rPr>
          <w:bCs/>
          <w:lang w:val="pt-BR" w:eastAsia="pt-BR"/>
        </w:rPr>
        <w:t>Contarello</w:t>
      </w:r>
      <w:proofErr w:type="spellEnd"/>
      <w:r w:rsidRPr="00D31F87">
        <w:rPr>
          <w:bCs/>
          <w:lang w:val="pt-BR" w:eastAsia="pt-BR"/>
        </w:rPr>
        <w:t xml:space="preserve">, A., </w:t>
      </w:r>
      <w:proofErr w:type="spellStart"/>
      <w:r w:rsidRPr="00D31F87">
        <w:rPr>
          <w:bCs/>
          <w:lang w:val="pt-BR" w:eastAsia="pt-BR"/>
        </w:rPr>
        <w:t>Wachelke</w:t>
      </w:r>
      <w:proofErr w:type="spellEnd"/>
      <w:r w:rsidRPr="00D31F87">
        <w:rPr>
          <w:bCs/>
          <w:lang w:val="pt-BR" w:eastAsia="pt-BR"/>
        </w:rPr>
        <w:t xml:space="preserve">, J. F. R., Morais, D. X., &amp; Piccolo, C. (2014). </w:t>
      </w:r>
      <w:r w:rsidRPr="00405A56">
        <w:rPr>
          <w:bCs/>
          <w:lang w:val="pt-BR" w:eastAsia="pt-BR"/>
        </w:rPr>
        <w:t xml:space="preserve">Representações Sociais do Envelhecimento entre Diferentes Gerações no Brasil e na Itália. </w:t>
      </w:r>
      <w:r w:rsidRPr="00405A56">
        <w:rPr>
          <w:bCs/>
          <w:i/>
          <w:iCs/>
          <w:lang w:val="pt-BR" w:eastAsia="pt-BR"/>
        </w:rPr>
        <w:t>Revista Psicologia em Pesquisa</w:t>
      </w:r>
      <w:r w:rsidRPr="00405A56">
        <w:rPr>
          <w:bCs/>
          <w:lang w:val="pt-BR" w:eastAsia="pt-BR"/>
        </w:rPr>
        <w:t xml:space="preserve">, </w:t>
      </w:r>
      <w:r w:rsidRPr="00405A56">
        <w:rPr>
          <w:bCs/>
          <w:i/>
          <w:iCs/>
          <w:lang w:val="pt-BR" w:eastAsia="pt-BR"/>
        </w:rPr>
        <w:t>8</w:t>
      </w:r>
      <w:r w:rsidRPr="00405A56">
        <w:rPr>
          <w:bCs/>
          <w:lang w:val="pt-BR" w:eastAsia="pt-BR"/>
        </w:rPr>
        <w:t xml:space="preserve">(2). </w:t>
      </w:r>
      <w:hyperlink r:id="rId25" w:history="1">
        <w:r w:rsidRPr="00D31F87">
          <w:rPr>
            <w:rStyle w:val="Hipervnculo"/>
            <w:lang w:val="pt-BR" w:eastAsia="pt-BR"/>
          </w:rPr>
          <w:t>http://dx.doi.org/10.5327/Z1982-1247201400020007</w:t>
        </w:r>
      </w:hyperlink>
    </w:p>
    <w:p w14:paraId="3810206C" w14:textId="283750C0" w:rsidR="00405A56" w:rsidRPr="00D31F87" w:rsidRDefault="00405A56" w:rsidP="00F1334C">
      <w:pPr>
        <w:pStyle w:val="Referencias"/>
        <w:spacing w:line="300" w:lineRule="exact"/>
        <w:rPr>
          <w:color w:val="0563C1"/>
          <w:u w:val="single"/>
          <w:bdr w:val="none" w:sz="0" w:space="0" w:color="auto" w:frame="1"/>
          <w:shd w:val="clear" w:color="auto" w:fill="FFFFFF"/>
          <w:lang w:val="pt-BR" w:eastAsia="pt-BR"/>
        </w:rPr>
      </w:pPr>
      <w:r w:rsidRPr="00D31F87">
        <w:rPr>
          <w:lang w:val="pt-BR" w:eastAsia="pt-BR"/>
        </w:rPr>
        <w:t xml:space="preserve">Carpentieri, J. D., Elliott, J., </w:t>
      </w:r>
      <w:proofErr w:type="spellStart"/>
      <w:r w:rsidRPr="00D31F87">
        <w:rPr>
          <w:lang w:val="pt-BR" w:eastAsia="pt-BR"/>
        </w:rPr>
        <w:t>Brett</w:t>
      </w:r>
      <w:proofErr w:type="spellEnd"/>
      <w:r w:rsidRPr="00D31F87">
        <w:rPr>
          <w:lang w:val="pt-BR" w:eastAsia="pt-BR"/>
        </w:rPr>
        <w:t xml:space="preserve">, C. E., &amp; </w:t>
      </w:r>
      <w:proofErr w:type="spellStart"/>
      <w:r w:rsidRPr="00D31F87">
        <w:rPr>
          <w:lang w:val="pt-BR" w:eastAsia="pt-BR"/>
        </w:rPr>
        <w:t>Deary</w:t>
      </w:r>
      <w:proofErr w:type="spellEnd"/>
      <w:r w:rsidRPr="00D31F87">
        <w:rPr>
          <w:lang w:val="pt-BR" w:eastAsia="pt-BR"/>
        </w:rPr>
        <w:t xml:space="preserve">, I. J. (2017). </w:t>
      </w:r>
      <w:r w:rsidRPr="00405A56">
        <w:rPr>
          <w:lang w:eastAsia="pt-BR"/>
        </w:rPr>
        <w:t xml:space="preserve">Adapting to Aging: Older People Talk About Their Use of Selection, Optimization, and Compensation to Maximize Well-being in the Context of Physical Decline. </w:t>
      </w:r>
      <w:r w:rsidRPr="00405A56">
        <w:rPr>
          <w:i/>
          <w:iCs/>
          <w:lang w:eastAsia="pt-BR"/>
        </w:rPr>
        <w:t xml:space="preserve">The Journals of </w:t>
      </w:r>
      <w:r w:rsidRPr="00405A56">
        <w:rPr>
          <w:i/>
          <w:iCs/>
          <w:lang w:eastAsia="pt-BR"/>
        </w:rPr>
        <w:lastRenderedPageBreak/>
        <w:t>Gerontology. Series B, Psychological Sciences and Social Sciences</w:t>
      </w:r>
      <w:r w:rsidRPr="00405A56">
        <w:rPr>
          <w:lang w:eastAsia="pt-BR"/>
        </w:rPr>
        <w:t xml:space="preserve">, </w:t>
      </w:r>
      <w:r w:rsidRPr="00405A56">
        <w:rPr>
          <w:i/>
          <w:iCs/>
          <w:lang w:eastAsia="pt-BR"/>
        </w:rPr>
        <w:t>72</w:t>
      </w:r>
      <w:r w:rsidR="007012B4">
        <w:rPr>
          <w:lang w:eastAsia="pt-BR"/>
        </w:rPr>
        <w:t>(2), 351-</w:t>
      </w:r>
      <w:r w:rsidRPr="00405A56">
        <w:rPr>
          <w:lang w:eastAsia="pt-BR"/>
        </w:rPr>
        <w:t xml:space="preserve">361. </w:t>
      </w:r>
      <w:hyperlink r:id="rId26" w:history="1">
        <w:r w:rsidR="007012B4" w:rsidRPr="00D31F87">
          <w:rPr>
            <w:rStyle w:val="Hipervnculo"/>
            <w:bdr w:val="none" w:sz="0" w:space="0" w:color="auto" w:frame="1"/>
            <w:shd w:val="clear" w:color="auto" w:fill="FFFFFF"/>
            <w:lang w:val="pt-BR" w:eastAsia="pt-BR"/>
          </w:rPr>
          <w:t>https://doi.org/10.1093/geronb/gbw132</w:t>
        </w:r>
      </w:hyperlink>
      <w:r w:rsidR="007012B4" w:rsidRPr="00D31F87">
        <w:rPr>
          <w:color w:val="0563C1"/>
          <w:u w:val="single"/>
          <w:bdr w:val="none" w:sz="0" w:space="0" w:color="auto" w:frame="1"/>
          <w:shd w:val="clear" w:color="auto" w:fill="FFFFFF"/>
          <w:lang w:val="pt-BR" w:eastAsia="pt-BR"/>
        </w:rPr>
        <w:t xml:space="preserve"> </w:t>
      </w:r>
    </w:p>
    <w:p w14:paraId="0A7D957D" w14:textId="62A922AF" w:rsidR="00405A56" w:rsidRDefault="00405A56" w:rsidP="00F1334C">
      <w:pPr>
        <w:pStyle w:val="Referencias"/>
        <w:spacing w:line="300" w:lineRule="exact"/>
        <w:rPr>
          <w:color w:val="0563C1"/>
          <w:u w:val="single"/>
          <w:shd w:val="clear" w:color="auto" w:fill="FFFFFF"/>
          <w:lang w:eastAsia="pt-BR"/>
        </w:rPr>
      </w:pPr>
      <w:proofErr w:type="spellStart"/>
      <w:r w:rsidRPr="00D31F87">
        <w:rPr>
          <w:lang w:val="pt-BR" w:eastAsia="pt-BR"/>
        </w:rPr>
        <w:t>Demerouti</w:t>
      </w:r>
      <w:proofErr w:type="spellEnd"/>
      <w:r w:rsidRPr="00D31F87">
        <w:rPr>
          <w:lang w:val="pt-BR" w:eastAsia="pt-BR"/>
        </w:rPr>
        <w:t xml:space="preserve">, E., </w:t>
      </w:r>
      <w:proofErr w:type="spellStart"/>
      <w:r w:rsidRPr="00D31F87">
        <w:rPr>
          <w:lang w:val="pt-BR" w:eastAsia="pt-BR"/>
        </w:rPr>
        <w:t>Bakker</w:t>
      </w:r>
      <w:proofErr w:type="spellEnd"/>
      <w:r w:rsidRPr="00D31F87">
        <w:rPr>
          <w:lang w:val="pt-BR" w:eastAsia="pt-BR"/>
        </w:rPr>
        <w:t xml:space="preserve">, A. B., &amp; </w:t>
      </w:r>
      <w:proofErr w:type="spellStart"/>
      <w:r w:rsidRPr="00D31F87">
        <w:rPr>
          <w:lang w:val="pt-BR" w:eastAsia="pt-BR"/>
        </w:rPr>
        <w:t>Leiter</w:t>
      </w:r>
      <w:proofErr w:type="spellEnd"/>
      <w:r w:rsidRPr="00D31F87">
        <w:rPr>
          <w:lang w:val="pt-BR" w:eastAsia="pt-BR"/>
        </w:rPr>
        <w:t xml:space="preserve">, M. (2014). </w:t>
      </w:r>
      <w:r w:rsidRPr="00405A56">
        <w:rPr>
          <w:lang w:eastAsia="pt-BR"/>
        </w:rPr>
        <w:t xml:space="preserve">Burnout and job performance: the moderating role of selection, optimization, and compensation strategies. </w:t>
      </w:r>
      <w:r w:rsidRPr="00405A56">
        <w:rPr>
          <w:i/>
          <w:iCs/>
          <w:lang w:eastAsia="pt-BR"/>
        </w:rPr>
        <w:t>Journal of Occupational Health Psychology</w:t>
      </w:r>
      <w:r w:rsidRPr="00405A56">
        <w:rPr>
          <w:lang w:eastAsia="pt-BR"/>
        </w:rPr>
        <w:t xml:space="preserve">, </w:t>
      </w:r>
      <w:r w:rsidRPr="00405A56">
        <w:rPr>
          <w:i/>
          <w:iCs/>
          <w:lang w:eastAsia="pt-BR"/>
        </w:rPr>
        <w:t>19</w:t>
      </w:r>
      <w:r w:rsidR="007012B4">
        <w:rPr>
          <w:lang w:eastAsia="pt-BR"/>
        </w:rPr>
        <w:t>(1), 96-</w:t>
      </w:r>
      <w:r w:rsidRPr="00405A56">
        <w:rPr>
          <w:lang w:eastAsia="pt-BR"/>
        </w:rPr>
        <w:t xml:space="preserve">107. </w:t>
      </w:r>
      <w:hyperlink r:id="rId27" w:history="1">
        <w:r w:rsidR="007012B4" w:rsidRPr="00B56480">
          <w:rPr>
            <w:rStyle w:val="Hipervnculo"/>
            <w:shd w:val="clear" w:color="auto" w:fill="FFFFFF"/>
            <w:lang w:eastAsia="pt-BR"/>
          </w:rPr>
          <w:t>https://doi.org/10.1037/a003506</w:t>
        </w:r>
        <w:r w:rsidR="007012B4" w:rsidRPr="00D31F87">
          <w:rPr>
            <w:rStyle w:val="Hipervnculo"/>
            <w:shd w:val="clear" w:color="auto" w:fill="FFFFFF"/>
            <w:lang w:eastAsia="pt-BR"/>
          </w:rPr>
          <w:t>2</w:t>
        </w:r>
      </w:hyperlink>
      <w:r w:rsidR="007012B4" w:rsidRPr="00D31F87">
        <w:rPr>
          <w:color w:val="0563C1"/>
          <w:u w:val="single"/>
          <w:shd w:val="clear" w:color="auto" w:fill="FFFFFF"/>
          <w:lang w:eastAsia="pt-BR"/>
        </w:rPr>
        <w:t xml:space="preserve"> </w:t>
      </w:r>
    </w:p>
    <w:p w14:paraId="0666D26B" w14:textId="77777777" w:rsidR="00DE202B" w:rsidRDefault="00405A56" w:rsidP="00F1334C">
      <w:pPr>
        <w:pStyle w:val="Referencias"/>
        <w:spacing w:line="300" w:lineRule="exact"/>
        <w:rPr>
          <w:color w:val="0563C1"/>
          <w:u w:val="single"/>
          <w:lang w:val="pt-BR" w:eastAsia="pt-BR"/>
        </w:rPr>
      </w:pPr>
      <w:r w:rsidRPr="00405A56">
        <w:rPr>
          <w:lang w:eastAsia="pt-BR"/>
        </w:rPr>
        <w:t xml:space="preserve">Donnellan, C., </w:t>
      </w:r>
      <w:proofErr w:type="spellStart"/>
      <w:r w:rsidRPr="00405A56">
        <w:rPr>
          <w:lang w:eastAsia="pt-BR"/>
        </w:rPr>
        <w:t>Hevey</w:t>
      </w:r>
      <w:proofErr w:type="spellEnd"/>
      <w:r w:rsidRPr="00405A56">
        <w:rPr>
          <w:lang w:eastAsia="pt-BR"/>
        </w:rPr>
        <w:t xml:space="preserve">, D., Hickey, A., &amp; O’Neill, D. (2012). Adaptation to stroke using a model of successful aging. </w:t>
      </w:r>
      <w:r w:rsidRPr="00405A56">
        <w:rPr>
          <w:i/>
          <w:iCs/>
          <w:lang w:eastAsia="pt-BR"/>
        </w:rPr>
        <w:t>Neuropsychology, Development, and Cognition. Section B, Aging, Neuropsychology and Cognition</w:t>
      </w:r>
      <w:r w:rsidRPr="00405A56">
        <w:rPr>
          <w:lang w:eastAsia="pt-BR"/>
        </w:rPr>
        <w:t xml:space="preserve">, </w:t>
      </w:r>
      <w:r w:rsidRPr="00405A56">
        <w:rPr>
          <w:i/>
          <w:iCs/>
          <w:lang w:eastAsia="pt-BR"/>
        </w:rPr>
        <w:t>19</w:t>
      </w:r>
      <w:r w:rsidR="007012B4">
        <w:rPr>
          <w:lang w:eastAsia="pt-BR"/>
        </w:rPr>
        <w:t>(4), 530-</w:t>
      </w:r>
      <w:r w:rsidRPr="00405A56">
        <w:rPr>
          <w:lang w:eastAsia="pt-BR"/>
        </w:rPr>
        <w:t xml:space="preserve">547. </w:t>
      </w:r>
      <w:hyperlink r:id="rId28" w:history="1">
        <w:r w:rsidR="007012B4" w:rsidRPr="00B56480">
          <w:rPr>
            <w:rStyle w:val="Hipervnculo"/>
            <w:lang w:val="pt-BR" w:eastAsia="pt-BR"/>
          </w:rPr>
          <w:t>https://doi.org/10.1080/13825585.2011.638976</w:t>
        </w:r>
      </w:hyperlink>
      <w:r w:rsidR="007012B4">
        <w:rPr>
          <w:color w:val="0563C1"/>
          <w:u w:val="single"/>
          <w:lang w:val="pt-BR" w:eastAsia="pt-BR"/>
        </w:rPr>
        <w:t xml:space="preserve"> </w:t>
      </w:r>
    </w:p>
    <w:p w14:paraId="0E2AE8D9" w14:textId="5109F773" w:rsidR="00405A56" w:rsidRPr="007012B4" w:rsidRDefault="00405A56" w:rsidP="00F1334C">
      <w:pPr>
        <w:pStyle w:val="Referencias"/>
        <w:spacing w:line="300" w:lineRule="exact"/>
        <w:rPr>
          <w:color w:val="0563C1"/>
          <w:u w:val="single"/>
          <w:lang w:val="pt-BR" w:eastAsia="pt-BR"/>
        </w:rPr>
      </w:pPr>
      <w:r w:rsidRPr="00405A56">
        <w:rPr>
          <w:lang w:val="pt-BR" w:eastAsia="pt-BR"/>
        </w:rPr>
        <w:t xml:space="preserve">Freire, S. A., Resende, M. C. de, &amp; Rabelo, D. F. (2012). </w:t>
      </w:r>
      <w:r w:rsidR="006564DC" w:rsidRPr="00405A56">
        <w:rPr>
          <w:lang w:val="pt-BR" w:eastAsia="pt-BR"/>
        </w:rPr>
        <w:t>Enfrentando mudanças no envelhecimento: o modelo de seleção, otimização e compensação</w:t>
      </w:r>
      <w:r w:rsidRPr="00405A56">
        <w:rPr>
          <w:lang w:val="pt-BR" w:eastAsia="pt-BR"/>
        </w:rPr>
        <w:t xml:space="preserve">. </w:t>
      </w:r>
      <w:r w:rsidRPr="007012B4">
        <w:rPr>
          <w:i/>
          <w:iCs/>
          <w:lang w:val="pt-BR" w:eastAsia="pt-BR"/>
        </w:rPr>
        <w:t>Perspectivas em Psicologia</w:t>
      </w:r>
      <w:r w:rsidR="00DE202B">
        <w:rPr>
          <w:lang w:val="pt-BR" w:eastAsia="pt-BR"/>
        </w:rPr>
        <w:t xml:space="preserve">, </w:t>
      </w:r>
      <w:r w:rsidRPr="007012B4">
        <w:rPr>
          <w:i/>
          <w:iCs/>
          <w:lang w:val="pt-BR" w:eastAsia="pt-BR"/>
        </w:rPr>
        <w:t>16</w:t>
      </w:r>
      <w:r w:rsidR="007012B4" w:rsidRPr="007012B4">
        <w:rPr>
          <w:lang w:val="pt-BR" w:eastAsia="pt-BR"/>
        </w:rPr>
        <w:t>(1).</w:t>
      </w:r>
      <w:r w:rsidR="006564DC">
        <w:rPr>
          <w:lang w:val="pt-BR" w:eastAsia="pt-BR"/>
        </w:rPr>
        <w:t xml:space="preserve"> </w:t>
      </w:r>
      <w:hyperlink r:id="rId29" w:history="1">
        <w:r w:rsidR="007012B4" w:rsidRPr="007012B4">
          <w:rPr>
            <w:rStyle w:val="Hipervnculo"/>
            <w:lang w:val="pt-BR" w:eastAsia="pt-BR"/>
          </w:rPr>
          <w:t>http://www.seer.ufu.br/index.php/perspectivasempsicologia/article/view/27556</w:t>
        </w:r>
      </w:hyperlink>
      <w:r w:rsidR="007012B4" w:rsidRPr="007012B4">
        <w:rPr>
          <w:color w:val="0563C1"/>
          <w:u w:val="single"/>
          <w:lang w:val="pt-BR" w:eastAsia="pt-BR"/>
        </w:rPr>
        <w:t xml:space="preserve"> </w:t>
      </w:r>
    </w:p>
    <w:p w14:paraId="1123F5A9" w14:textId="30868A08" w:rsidR="00405A56" w:rsidRPr="00D31F87" w:rsidRDefault="00405A56" w:rsidP="00F1334C">
      <w:pPr>
        <w:pStyle w:val="Referencias"/>
        <w:spacing w:line="300" w:lineRule="exact"/>
        <w:rPr>
          <w:color w:val="0563C1"/>
          <w:u w:val="single"/>
          <w:shd w:val="clear" w:color="auto" w:fill="FCFCFC"/>
          <w:lang w:eastAsia="pt-BR"/>
        </w:rPr>
      </w:pPr>
      <w:r w:rsidRPr="00405A56">
        <w:rPr>
          <w:lang w:eastAsia="pt-BR"/>
        </w:rPr>
        <w:t xml:space="preserve">Gellert, P., </w:t>
      </w:r>
      <w:proofErr w:type="spellStart"/>
      <w:r w:rsidRPr="00405A56">
        <w:rPr>
          <w:lang w:eastAsia="pt-BR"/>
        </w:rPr>
        <w:t>Ziegelmann</w:t>
      </w:r>
      <w:proofErr w:type="spellEnd"/>
      <w:r w:rsidRPr="00405A56">
        <w:rPr>
          <w:lang w:eastAsia="pt-BR"/>
        </w:rPr>
        <w:t xml:space="preserve">, J. P., </w:t>
      </w:r>
      <w:proofErr w:type="spellStart"/>
      <w:r w:rsidRPr="00405A56">
        <w:rPr>
          <w:lang w:eastAsia="pt-BR"/>
        </w:rPr>
        <w:t>Krupka</w:t>
      </w:r>
      <w:proofErr w:type="spellEnd"/>
      <w:r w:rsidRPr="00405A56">
        <w:rPr>
          <w:lang w:eastAsia="pt-BR"/>
        </w:rPr>
        <w:t xml:space="preserve">, S., Knoll, N., &amp; Schwarzer, R. (2014). An age-tailored intervention sustains physical activity changes in older adults: a randomized controlled trial. </w:t>
      </w:r>
      <w:r w:rsidRPr="00405A56">
        <w:rPr>
          <w:i/>
          <w:iCs/>
          <w:lang w:eastAsia="pt-BR"/>
        </w:rPr>
        <w:t>International Journal of Behavioral Medicine</w:t>
      </w:r>
      <w:r w:rsidRPr="00405A56">
        <w:rPr>
          <w:lang w:eastAsia="pt-BR"/>
        </w:rPr>
        <w:t xml:space="preserve">, </w:t>
      </w:r>
      <w:r w:rsidRPr="00405A56">
        <w:rPr>
          <w:i/>
          <w:iCs/>
          <w:lang w:eastAsia="pt-BR"/>
        </w:rPr>
        <w:t>21</w:t>
      </w:r>
      <w:r w:rsidR="007012B4">
        <w:rPr>
          <w:lang w:eastAsia="pt-BR"/>
        </w:rPr>
        <w:t>(3), 519-</w:t>
      </w:r>
      <w:r w:rsidRPr="00405A56">
        <w:rPr>
          <w:lang w:eastAsia="pt-BR"/>
        </w:rPr>
        <w:t xml:space="preserve">528. </w:t>
      </w:r>
      <w:hyperlink r:id="rId30" w:history="1">
        <w:r w:rsidR="007012B4" w:rsidRPr="00B56480">
          <w:rPr>
            <w:rStyle w:val="Hipervnculo"/>
            <w:shd w:val="clear" w:color="auto" w:fill="FCFCFC"/>
            <w:lang w:eastAsia="pt-BR"/>
          </w:rPr>
          <w:t>https://doi.org/10.1007/s12529-013-9330-</w:t>
        </w:r>
        <w:r w:rsidR="007012B4" w:rsidRPr="00D31F87">
          <w:rPr>
            <w:rStyle w:val="Hipervnculo"/>
            <w:shd w:val="clear" w:color="auto" w:fill="FCFCFC"/>
            <w:lang w:eastAsia="pt-BR"/>
          </w:rPr>
          <w:t>1</w:t>
        </w:r>
      </w:hyperlink>
      <w:r w:rsidR="007012B4" w:rsidRPr="00D31F87">
        <w:rPr>
          <w:color w:val="0563C1"/>
          <w:u w:val="single"/>
          <w:shd w:val="clear" w:color="auto" w:fill="FCFCFC"/>
          <w:lang w:eastAsia="pt-BR"/>
        </w:rPr>
        <w:t xml:space="preserve"> </w:t>
      </w:r>
    </w:p>
    <w:p w14:paraId="1AE16A35" w14:textId="409FC151" w:rsidR="00405A56" w:rsidRPr="007012B4" w:rsidRDefault="00405A56" w:rsidP="00F1334C">
      <w:pPr>
        <w:pStyle w:val="Referencias"/>
        <w:spacing w:line="300" w:lineRule="exact"/>
        <w:rPr>
          <w:color w:val="0563C1"/>
          <w:u w:val="single"/>
          <w:shd w:val="clear" w:color="auto" w:fill="FCFCFC"/>
          <w:lang w:eastAsia="pt-BR"/>
        </w:rPr>
      </w:pPr>
      <w:proofErr w:type="spellStart"/>
      <w:r w:rsidRPr="00405A56">
        <w:rPr>
          <w:lang w:eastAsia="pt-BR"/>
        </w:rPr>
        <w:t>Gestsdottir</w:t>
      </w:r>
      <w:proofErr w:type="spellEnd"/>
      <w:r w:rsidRPr="00405A56">
        <w:rPr>
          <w:lang w:eastAsia="pt-BR"/>
        </w:rPr>
        <w:t xml:space="preserve">, S., Bowers, E., von Eye, A., Napolitano, C. M., &amp; Lerner, R. M. (2010). Intentional </w:t>
      </w:r>
      <w:proofErr w:type="spellStart"/>
      <w:r w:rsidRPr="00405A56">
        <w:rPr>
          <w:lang w:eastAsia="pt-BR"/>
        </w:rPr>
        <w:t>self regulation</w:t>
      </w:r>
      <w:proofErr w:type="spellEnd"/>
      <w:r w:rsidRPr="00405A56">
        <w:rPr>
          <w:lang w:eastAsia="pt-BR"/>
        </w:rPr>
        <w:t xml:space="preserve"> in middle adolescence: the emerging role of loss-based selection in positive youth development. </w:t>
      </w:r>
      <w:r w:rsidRPr="00405A56">
        <w:rPr>
          <w:i/>
          <w:iCs/>
          <w:lang w:eastAsia="pt-BR"/>
        </w:rPr>
        <w:t>Journal of Youth and Adolescence</w:t>
      </w:r>
      <w:r w:rsidRPr="00405A56">
        <w:rPr>
          <w:lang w:eastAsia="pt-BR"/>
        </w:rPr>
        <w:t xml:space="preserve">, </w:t>
      </w:r>
      <w:r w:rsidRPr="00405A56">
        <w:rPr>
          <w:i/>
          <w:iCs/>
          <w:lang w:eastAsia="pt-BR"/>
        </w:rPr>
        <w:t>39</w:t>
      </w:r>
      <w:r w:rsidR="007012B4">
        <w:rPr>
          <w:lang w:eastAsia="pt-BR"/>
        </w:rPr>
        <w:t>(7), 764-</w:t>
      </w:r>
      <w:r w:rsidRPr="00405A56">
        <w:rPr>
          <w:lang w:eastAsia="pt-BR"/>
        </w:rPr>
        <w:t xml:space="preserve">782. </w:t>
      </w:r>
      <w:hyperlink r:id="rId31" w:history="1">
        <w:r w:rsidR="007012B4" w:rsidRPr="00B56480">
          <w:rPr>
            <w:rStyle w:val="Hipervnculo"/>
            <w:shd w:val="clear" w:color="auto" w:fill="FCFCFC"/>
            <w:lang w:eastAsia="pt-BR"/>
          </w:rPr>
          <w:t>https://doi.org/10.1007/s10964-010-9537-</w:t>
        </w:r>
        <w:r w:rsidR="007012B4" w:rsidRPr="007012B4">
          <w:rPr>
            <w:rStyle w:val="Hipervnculo"/>
            <w:shd w:val="clear" w:color="auto" w:fill="FCFCFC"/>
            <w:lang w:eastAsia="pt-BR"/>
          </w:rPr>
          <w:t>2</w:t>
        </w:r>
      </w:hyperlink>
      <w:r w:rsidR="007012B4" w:rsidRPr="007012B4">
        <w:rPr>
          <w:color w:val="0563C1"/>
          <w:u w:val="single"/>
          <w:shd w:val="clear" w:color="auto" w:fill="FCFCFC"/>
          <w:lang w:eastAsia="pt-BR"/>
        </w:rPr>
        <w:t xml:space="preserve"> </w:t>
      </w:r>
    </w:p>
    <w:p w14:paraId="71074AFE" w14:textId="0F4E3C45" w:rsidR="00405A56" w:rsidRPr="00D31F87" w:rsidRDefault="00405A56" w:rsidP="00F1334C">
      <w:pPr>
        <w:pStyle w:val="Referencias"/>
        <w:spacing w:line="300" w:lineRule="exact"/>
        <w:rPr>
          <w:color w:val="0563C1"/>
          <w:u w:val="single"/>
          <w:shd w:val="clear" w:color="auto" w:fill="FFFFFF"/>
          <w:lang w:eastAsia="pt-BR"/>
        </w:rPr>
      </w:pPr>
      <w:proofErr w:type="spellStart"/>
      <w:r w:rsidRPr="00405A56">
        <w:rPr>
          <w:lang w:eastAsia="pt-BR"/>
        </w:rPr>
        <w:t>Gestsdóttir</w:t>
      </w:r>
      <w:proofErr w:type="spellEnd"/>
      <w:r w:rsidRPr="00405A56">
        <w:rPr>
          <w:lang w:eastAsia="pt-BR"/>
        </w:rPr>
        <w:t xml:space="preserve">, S., &amp; Lerner, R. M. (2007). Intentional self-regulation and positive youth development in early adolescence: findings from the 4-h study of positive youth development. </w:t>
      </w:r>
      <w:r w:rsidRPr="00405A56">
        <w:rPr>
          <w:i/>
          <w:iCs/>
          <w:lang w:eastAsia="pt-BR"/>
        </w:rPr>
        <w:t>Developmental Psychology</w:t>
      </w:r>
      <w:r w:rsidRPr="00405A56">
        <w:rPr>
          <w:lang w:eastAsia="pt-BR"/>
        </w:rPr>
        <w:t xml:space="preserve">, </w:t>
      </w:r>
      <w:r w:rsidRPr="00405A56">
        <w:rPr>
          <w:i/>
          <w:iCs/>
          <w:lang w:eastAsia="pt-BR"/>
        </w:rPr>
        <w:t>43</w:t>
      </w:r>
      <w:r w:rsidRPr="00405A56">
        <w:rPr>
          <w:lang w:eastAsia="pt-BR"/>
        </w:rPr>
        <w:t>(2), 508</w:t>
      </w:r>
      <w:r w:rsidR="007012B4">
        <w:rPr>
          <w:lang w:eastAsia="pt-BR"/>
        </w:rPr>
        <w:t>-</w:t>
      </w:r>
      <w:r w:rsidRPr="00405A56">
        <w:rPr>
          <w:lang w:eastAsia="pt-BR"/>
        </w:rPr>
        <w:t xml:space="preserve">521. </w:t>
      </w:r>
      <w:hyperlink r:id="rId32" w:history="1">
        <w:r w:rsidR="007012B4" w:rsidRPr="00B56480">
          <w:rPr>
            <w:rStyle w:val="Hipervnculo"/>
            <w:shd w:val="clear" w:color="auto" w:fill="FFFFFF"/>
            <w:lang w:eastAsia="pt-BR"/>
          </w:rPr>
          <w:t>https://doi.org/10.1037/0012-1649.43.2.50</w:t>
        </w:r>
        <w:r w:rsidR="007012B4" w:rsidRPr="00D31F87">
          <w:rPr>
            <w:rStyle w:val="Hipervnculo"/>
            <w:shd w:val="clear" w:color="auto" w:fill="FFFFFF"/>
            <w:lang w:eastAsia="pt-BR"/>
          </w:rPr>
          <w:t>8</w:t>
        </w:r>
      </w:hyperlink>
      <w:r w:rsidR="007012B4" w:rsidRPr="00D31F87">
        <w:rPr>
          <w:color w:val="0563C1"/>
          <w:u w:val="single"/>
          <w:shd w:val="clear" w:color="auto" w:fill="FFFFFF"/>
          <w:lang w:eastAsia="pt-BR"/>
        </w:rPr>
        <w:t xml:space="preserve"> </w:t>
      </w:r>
    </w:p>
    <w:p w14:paraId="7585EAE1" w14:textId="4948C25F" w:rsidR="003C6F22" w:rsidRPr="007012B4" w:rsidRDefault="00405A56" w:rsidP="00F1334C">
      <w:pPr>
        <w:pStyle w:val="Referencias"/>
        <w:spacing w:line="300" w:lineRule="exact"/>
        <w:rPr>
          <w:bCs/>
          <w:color w:val="0563C1"/>
          <w:u w:val="single"/>
          <w:shd w:val="clear" w:color="auto" w:fill="FFFFFF"/>
          <w:lang w:eastAsia="pt-BR"/>
        </w:rPr>
      </w:pPr>
      <w:proofErr w:type="spellStart"/>
      <w:r w:rsidRPr="00405A56">
        <w:rPr>
          <w:lang w:eastAsia="pt-BR"/>
        </w:rPr>
        <w:t>Gestsdottir</w:t>
      </w:r>
      <w:proofErr w:type="spellEnd"/>
      <w:r w:rsidRPr="00405A56">
        <w:rPr>
          <w:lang w:eastAsia="pt-BR"/>
        </w:rPr>
        <w:t xml:space="preserve">, S., Urban, J. B., Bowers, E. P., Lerner, J. V., &amp; Lerner, R. M. (2011). Intentional self-regulation, ecological assets, and thriving in adolescence: a developmental systems model. </w:t>
      </w:r>
      <w:r w:rsidRPr="00405A56">
        <w:rPr>
          <w:i/>
          <w:iCs/>
          <w:lang w:eastAsia="pt-BR"/>
        </w:rPr>
        <w:t>New Directions for Child and Adolescent Development</w:t>
      </w:r>
      <w:r w:rsidRPr="00405A56">
        <w:rPr>
          <w:lang w:eastAsia="pt-BR"/>
        </w:rPr>
        <w:t xml:space="preserve">, </w:t>
      </w:r>
      <w:r w:rsidRPr="00405A56">
        <w:rPr>
          <w:i/>
          <w:iCs/>
          <w:lang w:eastAsia="pt-BR"/>
        </w:rPr>
        <w:t>2011</w:t>
      </w:r>
      <w:r w:rsidR="007012B4">
        <w:rPr>
          <w:lang w:eastAsia="pt-BR"/>
        </w:rPr>
        <w:t>(133), 61-</w:t>
      </w:r>
      <w:r w:rsidRPr="00405A56">
        <w:rPr>
          <w:lang w:eastAsia="pt-BR"/>
        </w:rPr>
        <w:t xml:space="preserve">76. </w:t>
      </w:r>
      <w:hyperlink r:id="rId33" w:history="1">
        <w:r w:rsidR="007012B4" w:rsidRPr="00B56480">
          <w:rPr>
            <w:rStyle w:val="Hipervnculo"/>
            <w:bCs/>
            <w:shd w:val="clear" w:color="auto" w:fill="FFFFFF"/>
            <w:lang w:eastAsia="pt-BR"/>
          </w:rPr>
          <w:t>https://doi.org/10.1002/cd.30</w:t>
        </w:r>
        <w:r w:rsidR="007012B4" w:rsidRPr="00D31F87">
          <w:rPr>
            <w:rStyle w:val="Hipervnculo"/>
            <w:bCs/>
            <w:shd w:val="clear" w:color="auto" w:fill="FFFFFF"/>
            <w:lang w:eastAsia="pt-BR"/>
          </w:rPr>
          <w:t>4</w:t>
        </w:r>
      </w:hyperlink>
      <w:r w:rsidR="007012B4" w:rsidRPr="00D31F87">
        <w:rPr>
          <w:bCs/>
          <w:color w:val="0563C1"/>
          <w:u w:val="single"/>
          <w:shd w:val="clear" w:color="auto" w:fill="FFFFFF"/>
          <w:lang w:eastAsia="pt-BR"/>
        </w:rPr>
        <w:t xml:space="preserve"> </w:t>
      </w:r>
    </w:p>
    <w:p w14:paraId="4F4D5334" w14:textId="0212C3E7" w:rsidR="003C6F22" w:rsidRDefault="00405A56" w:rsidP="00F1334C">
      <w:pPr>
        <w:pStyle w:val="Referencias"/>
        <w:spacing w:line="300" w:lineRule="exact"/>
        <w:rPr>
          <w:shd w:val="clear" w:color="auto" w:fill="FFFFFF"/>
          <w:lang w:eastAsia="pt-BR"/>
        </w:rPr>
      </w:pPr>
      <w:r w:rsidRPr="00405A56">
        <w:rPr>
          <w:lang w:eastAsia="pt-BR"/>
        </w:rPr>
        <w:t xml:space="preserve">Grove, L. J., Loeb, S. J., &amp; Penrod, J. (2009). Selective optimization with compensation: a model for elder health programming. </w:t>
      </w:r>
      <w:r w:rsidRPr="00405A56">
        <w:rPr>
          <w:i/>
          <w:iCs/>
          <w:lang w:eastAsia="pt-BR"/>
        </w:rPr>
        <w:t>Clinical Nurse Specialist CNS</w:t>
      </w:r>
      <w:r w:rsidRPr="00405A56">
        <w:rPr>
          <w:lang w:eastAsia="pt-BR"/>
        </w:rPr>
        <w:t xml:space="preserve">, </w:t>
      </w:r>
      <w:r w:rsidRPr="00405A56">
        <w:rPr>
          <w:i/>
          <w:iCs/>
          <w:lang w:eastAsia="pt-BR"/>
        </w:rPr>
        <w:t>23</w:t>
      </w:r>
      <w:r w:rsidR="007012B4">
        <w:rPr>
          <w:lang w:eastAsia="pt-BR"/>
        </w:rPr>
        <w:t>(1), 25-</w:t>
      </w:r>
      <w:r w:rsidRPr="00405A56">
        <w:rPr>
          <w:lang w:eastAsia="pt-BR"/>
        </w:rPr>
        <w:t xml:space="preserve">32. </w:t>
      </w:r>
      <w:hyperlink r:id="rId34" w:history="1">
        <w:r w:rsidR="007012B4" w:rsidRPr="00B56480">
          <w:rPr>
            <w:rStyle w:val="Hipervnculo"/>
            <w:shd w:val="clear" w:color="auto" w:fill="FFFFFF"/>
            <w:lang w:eastAsia="pt-BR"/>
          </w:rPr>
          <w:t>https://doi.org/10.1097/01.NUR.0000343080.57838.2f</w:t>
        </w:r>
      </w:hyperlink>
      <w:r w:rsidR="007012B4">
        <w:rPr>
          <w:shd w:val="clear" w:color="auto" w:fill="FFFFFF"/>
          <w:lang w:eastAsia="pt-BR"/>
        </w:rPr>
        <w:t xml:space="preserve"> </w:t>
      </w:r>
    </w:p>
    <w:p w14:paraId="14AE81FA" w14:textId="2037DB85" w:rsidR="003C6F22" w:rsidRPr="007012B4" w:rsidRDefault="00405A56" w:rsidP="00F1334C">
      <w:pPr>
        <w:pStyle w:val="Referencias"/>
        <w:spacing w:line="300" w:lineRule="exact"/>
        <w:rPr>
          <w:color w:val="0563C1"/>
          <w:u w:val="single"/>
          <w:lang w:eastAsia="pt-BR"/>
        </w:rPr>
      </w:pPr>
      <w:r w:rsidRPr="00405A56">
        <w:rPr>
          <w:lang w:eastAsia="pt-BR"/>
        </w:rPr>
        <w:t xml:space="preserve">Hahn, E. A., &amp; Lachman, M. E. (2015). Everyday experiences of memory problems and control: the adaptive role of selective optimization with compensation in the context of memory decline. </w:t>
      </w:r>
      <w:r w:rsidRPr="00405A56">
        <w:rPr>
          <w:i/>
          <w:iCs/>
          <w:lang w:eastAsia="pt-BR"/>
        </w:rPr>
        <w:t>Neuropsychology, Development, and Cognition. Section B, Aging, Neuropsychology and Cognition</w:t>
      </w:r>
      <w:r w:rsidRPr="00405A56">
        <w:rPr>
          <w:lang w:eastAsia="pt-BR"/>
        </w:rPr>
        <w:t xml:space="preserve">, </w:t>
      </w:r>
      <w:r w:rsidRPr="00405A56">
        <w:rPr>
          <w:i/>
          <w:iCs/>
          <w:lang w:eastAsia="pt-BR"/>
        </w:rPr>
        <w:t>22</w:t>
      </w:r>
      <w:r w:rsidR="007012B4">
        <w:rPr>
          <w:lang w:eastAsia="pt-BR"/>
        </w:rPr>
        <w:t>(1), 25-</w:t>
      </w:r>
      <w:r w:rsidRPr="00405A56">
        <w:rPr>
          <w:lang w:eastAsia="pt-BR"/>
        </w:rPr>
        <w:t xml:space="preserve">41. </w:t>
      </w:r>
      <w:hyperlink r:id="rId35" w:history="1">
        <w:r w:rsidR="007012B4" w:rsidRPr="00B56480">
          <w:rPr>
            <w:rStyle w:val="Hipervnculo"/>
            <w:lang w:eastAsia="pt-BR"/>
          </w:rPr>
          <w:t>https://doi.org/10.1080/13825585.2014.88839</w:t>
        </w:r>
        <w:r w:rsidR="007012B4" w:rsidRPr="007012B4">
          <w:rPr>
            <w:rStyle w:val="Hipervnculo"/>
            <w:lang w:eastAsia="pt-BR"/>
          </w:rPr>
          <w:t>1</w:t>
        </w:r>
      </w:hyperlink>
      <w:r w:rsidR="007012B4" w:rsidRPr="007012B4">
        <w:rPr>
          <w:color w:val="0563C1"/>
          <w:u w:val="single"/>
          <w:lang w:eastAsia="pt-BR"/>
        </w:rPr>
        <w:t xml:space="preserve"> </w:t>
      </w:r>
    </w:p>
    <w:p w14:paraId="4F13CCF5" w14:textId="5414310C" w:rsidR="003C6F22" w:rsidRDefault="00405A56" w:rsidP="00F1334C">
      <w:pPr>
        <w:pStyle w:val="Referencias"/>
        <w:spacing w:line="300" w:lineRule="exact"/>
        <w:rPr>
          <w:color w:val="0563C1"/>
          <w:u w:val="single"/>
          <w:shd w:val="clear" w:color="auto" w:fill="FFFFFF"/>
          <w:lang w:val="pt-BR" w:eastAsia="pt-BR"/>
        </w:rPr>
      </w:pPr>
      <w:r w:rsidRPr="00405A56">
        <w:rPr>
          <w:lang w:eastAsia="pt-BR"/>
        </w:rPr>
        <w:t xml:space="preserve">Hajjar, R., Nardelli, G. G., </w:t>
      </w:r>
      <w:proofErr w:type="spellStart"/>
      <w:r w:rsidRPr="00405A56">
        <w:rPr>
          <w:lang w:eastAsia="pt-BR"/>
        </w:rPr>
        <w:t>Gaudenci</w:t>
      </w:r>
      <w:proofErr w:type="spellEnd"/>
      <w:r w:rsidRPr="00405A56">
        <w:rPr>
          <w:lang w:eastAsia="pt-BR"/>
        </w:rPr>
        <w:t xml:space="preserve">, E. M., &amp; Santos, Á. D. S. (2018). Depressive symptoms and associated factors in elderly people in the Primary Health Care. </w:t>
      </w:r>
      <w:r w:rsidRPr="00405A56">
        <w:rPr>
          <w:i/>
          <w:iCs/>
          <w:lang w:val="pt-BR" w:eastAsia="pt-BR"/>
        </w:rPr>
        <w:t>Revista da Rede de Enfermagem do Nordeste</w:t>
      </w:r>
      <w:r w:rsidRPr="00405A56">
        <w:rPr>
          <w:lang w:val="pt-BR" w:eastAsia="pt-BR"/>
        </w:rPr>
        <w:t xml:space="preserve">, </w:t>
      </w:r>
      <w:r w:rsidRPr="00405A56">
        <w:rPr>
          <w:i/>
          <w:iCs/>
          <w:lang w:val="pt-BR" w:eastAsia="pt-BR"/>
        </w:rPr>
        <w:t>18</w:t>
      </w:r>
      <w:r w:rsidRPr="00405A56">
        <w:rPr>
          <w:lang w:val="pt-BR" w:eastAsia="pt-BR"/>
        </w:rPr>
        <w:t xml:space="preserve">(6), 727. </w:t>
      </w:r>
      <w:hyperlink r:id="rId36" w:history="1">
        <w:r w:rsidR="007012B4" w:rsidRPr="00B56480">
          <w:rPr>
            <w:rStyle w:val="Hipervnculo"/>
            <w:shd w:val="clear" w:color="auto" w:fill="FFFFFF"/>
            <w:lang w:val="pt-BR" w:eastAsia="pt-BR"/>
          </w:rPr>
          <w:t>https://doi.org/10.15253/2175-6783.2017000600004</w:t>
        </w:r>
      </w:hyperlink>
      <w:r w:rsidR="007012B4">
        <w:rPr>
          <w:color w:val="0563C1"/>
          <w:u w:val="single"/>
          <w:shd w:val="clear" w:color="auto" w:fill="FFFFFF"/>
          <w:lang w:val="pt-BR" w:eastAsia="pt-BR"/>
        </w:rPr>
        <w:t xml:space="preserve"> </w:t>
      </w:r>
    </w:p>
    <w:p w14:paraId="5863E92C" w14:textId="7F72FA0E" w:rsidR="003C6F22" w:rsidRPr="007012B4" w:rsidRDefault="00405A56" w:rsidP="00F1334C">
      <w:pPr>
        <w:pStyle w:val="Referencias"/>
        <w:spacing w:line="300" w:lineRule="exact"/>
        <w:rPr>
          <w:color w:val="0563C1"/>
          <w:u w:val="single"/>
          <w:bdr w:val="none" w:sz="0" w:space="0" w:color="auto" w:frame="1"/>
          <w:shd w:val="clear" w:color="auto" w:fill="FFFFFF"/>
          <w:lang w:eastAsia="pt-BR"/>
        </w:rPr>
      </w:pPr>
      <w:proofErr w:type="spellStart"/>
      <w:r w:rsidRPr="00405A56">
        <w:rPr>
          <w:lang w:eastAsia="pt-BR"/>
        </w:rPr>
        <w:t>Haug</w:t>
      </w:r>
      <w:proofErr w:type="spellEnd"/>
      <w:r w:rsidRPr="00405A56">
        <w:rPr>
          <w:lang w:eastAsia="pt-BR"/>
        </w:rPr>
        <w:t xml:space="preserve">, S. H. K., Danbolt, L. J., </w:t>
      </w:r>
      <w:proofErr w:type="spellStart"/>
      <w:r w:rsidRPr="00405A56">
        <w:rPr>
          <w:lang w:eastAsia="pt-BR"/>
        </w:rPr>
        <w:t>Kvigne</w:t>
      </w:r>
      <w:proofErr w:type="spellEnd"/>
      <w:r w:rsidRPr="00405A56">
        <w:rPr>
          <w:lang w:eastAsia="pt-BR"/>
        </w:rPr>
        <w:t xml:space="preserve">, K., &amp; </w:t>
      </w:r>
      <w:proofErr w:type="spellStart"/>
      <w:r w:rsidRPr="00405A56">
        <w:rPr>
          <w:lang w:eastAsia="pt-BR"/>
        </w:rPr>
        <w:t>DeMarinis</w:t>
      </w:r>
      <w:proofErr w:type="spellEnd"/>
      <w:r w:rsidRPr="00405A56">
        <w:rPr>
          <w:lang w:eastAsia="pt-BR"/>
        </w:rPr>
        <w:t xml:space="preserve">, V. (2016). Older people with incurable cancer: Existential meaning-making from a life-span perspective. </w:t>
      </w:r>
      <w:r w:rsidRPr="00405A56">
        <w:rPr>
          <w:i/>
          <w:iCs/>
          <w:lang w:eastAsia="pt-BR"/>
        </w:rPr>
        <w:t>Palliative &amp; Supportive Care</w:t>
      </w:r>
      <w:r w:rsidRPr="00405A56">
        <w:rPr>
          <w:lang w:eastAsia="pt-BR"/>
        </w:rPr>
        <w:t xml:space="preserve">, </w:t>
      </w:r>
      <w:r w:rsidRPr="00405A56">
        <w:rPr>
          <w:i/>
          <w:iCs/>
          <w:lang w:eastAsia="pt-BR"/>
        </w:rPr>
        <w:t>14</w:t>
      </w:r>
      <w:r w:rsidR="007012B4">
        <w:rPr>
          <w:lang w:eastAsia="pt-BR"/>
        </w:rPr>
        <w:t>(1), 20-</w:t>
      </w:r>
      <w:r w:rsidRPr="00405A56">
        <w:rPr>
          <w:lang w:eastAsia="pt-BR"/>
        </w:rPr>
        <w:t xml:space="preserve">32. </w:t>
      </w:r>
      <w:hyperlink r:id="rId37" w:history="1">
        <w:r w:rsidR="007012B4" w:rsidRPr="00B56480">
          <w:rPr>
            <w:rStyle w:val="Hipervnculo"/>
            <w:bdr w:val="none" w:sz="0" w:space="0" w:color="auto" w:frame="1"/>
            <w:shd w:val="clear" w:color="auto" w:fill="FFFFFF"/>
            <w:lang w:eastAsia="pt-BR"/>
          </w:rPr>
          <w:t>https://doi.org/10.1017/S147895151500064</w:t>
        </w:r>
        <w:r w:rsidR="007012B4" w:rsidRPr="00D31F87">
          <w:rPr>
            <w:rStyle w:val="Hipervnculo"/>
            <w:bdr w:val="none" w:sz="0" w:space="0" w:color="auto" w:frame="1"/>
            <w:shd w:val="clear" w:color="auto" w:fill="FFFFFF"/>
            <w:lang w:eastAsia="pt-BR"/>
          </w:rPr>
          <w:t>4</w:t>
        </w:r>
      </w:hyperlink>
      <w:r w:rsidR="007012B4" w:rsidRPr="00D31F87">
        <w:rPr>
          <w:color w:val="0563C1"/>
          <w:u w:val="single"/>
          <w:bdr w:val="none" w:sz="0" w:space="0" w:color="auto" w:frame="1"/>
          <w:shd w:val="clear" w:color="auto" w:fill="FFFFFF"/>
          <w:lang w:eastAsia="pt-BR"/>
        </w:rPr>
        <w:t xml:space="preserve"> </w:t>
      </w:r>
    </w:p>
    <w:p w14:paraId="1B2E49C2" w14:textId="607A7FB1" w:rsidR="003C6F22" w:rsidRPr="007012B4" w:rsidRDefault="00405A56" w:rsidP="00F1334C">
      <w:pPr>
        <w:pStyle w:val="Referencias"/>
        <w:spacing w:line="300" w:lineRule="exact"/>
        <w:rPr>
          <w:color w:val="0563C1"/>
          <w:u w:val="single"/>
          <w:shd w:val="clear" w:color="auto" w:fill="FFFFFF"/>
          <w:lang w:eastAsia="pt-BR"/>
        </w:rPr>
      </w:pPr>
      <w:r w:rsidRPr="00405A56">
        <w:rPr>
          <w:lang w:eastAsia="pt-BR"/>
        </w:rPr>
        <w:lastRenderedPageBreak/>
        <w:t xml:space="preserve">Hutchinson, S. L., &amp; Nimrod, G. (2012). Leisure as a resource for successful aging by older adults with chronic health conditions. </w:t>
      </w:r>
      <w:r w:rsidRPr="00405A56">
        <w:rPr>
          <w:i/>
          <w:iCs/>
          <w:lang w:eastAsia="pt-BR"/>
        </w:rPr>
        <w:t>International Journal of Aging &amp; Human Development</w:t>
      </w:r>
      <w:r w:rsidRPr="00405A56">
        <w:rPr>
          <w:lang w:eastAsia="pt-BR"/>
        </w:rPr>
        <w:t xml:space="preserve">, </w:t>
      </w:r>
      <w:r w:rsidRPr="00405A56">
        <w:rPr>
          <w:i/>
          <w:iCs/>
          <w:lang w:eastAsia="pt-BR"/>
        </w:rPr>
        <w:t>74</w:t>
      </w:r>
      <w:r w:rsidR="007012B4">
        <w:rPr>
          <w:lang w:eastAsia="pt-BR"/>
        </w:rPr>
        <w:t>(1), 41-</w:t>
      </w:r>
      <w:r w:rsidRPr="00405A56">
        <w:rPr>
          <w:lang w:eastAsia="pt-BR"/>
        </w:rPr>
        <w:t xml:space="preserve">65. </w:t>
      </w:r>
      <w:hyperlink r:id="rId38" w:history="1">
        <w:r w:rsidR="007012B4" w:rsidRPr="00B56480">
          <w:rPr>
            <w:rStyle w:val="Hipervnculo"/>
            <w:shd w:val="clear" w:color="auto" w:fill="FFFFFF"/>
            <w:lang w:eastAsia="pt-BR"/>
          </w:rPr>
          <w:t>https://doi.org/10.2190/AG.74.1.</w:t>
        </w:r>
        <w:r w:rsidR="007012B4" w:rsidRPr="007012B4">
          <w:rPr>
            <w:rStyle w:val="Hipervnculo"/>
            <w:shd w:val="clear" w:color="auto" w:fill="FFFFFF"/>
            <w:lang w:eastAsia="pt-BR"/>
          </w:rPr>
          <w:t>c</w:t>
        </w:r>
      </w:hyperlink>
      <w:r w:rsidR="007012B4" w:rsidRPr="007012B4">
        <w:rPr>
          <w:color w:val="0563C1"/>
          <w:u w:val="single"/>
          <w:shd w:val="clear" w:color="auto" w:fill="FFFFFF"/>
          <w:lang w:eastAsia="pt-BR"/>
        </w:rPr>
        <w:t xml:space="preserve"> </w:t>
      </w:r>
    </w:p>
    <w:p w14:paraId="287B7DFC" w14:textId="3CF5FE84" w:rsidR="003C6F22" w:rsidRPr="00D31F87" w:rsidRDefault="00405A56" w:rsidP="00F1334C">
      <w:pPr>
        <w:pStyle w:val="Referencias"/>
        <w:spacing w:line="300" w:lineRule="exact"/>
        <w:rPr>
          <w:color w:val="0563C1"/>
          <w:u w:val="single"/>
          <w:shd w:val="clear" w:color="auto" w:fill="FCFCFC"/>
          <w:lang w:eastAsia="pt-BR"/>
        </w:rPr>
      </w:pPr>
      <w:proofErr w:type="spellStart"/>
      <w:r w:rsidRPr="00405A56">
        <w:rPr>
          <w:lang w:eastAsia="pt-BR"/>
        </w:rPr>
        <w:t>Ihle</w:t>
      </w:r>
      <w:proofErr w:type="spellEnd"/>
      <w:r w:rsidRPr="00405A56">
        <w:rPr>
          <w:lang w:eastAsia="pt-BR"/>
        </w:rPr>
        <w:t xml:space="preserve">, A., </w:t>
      </w:r>
      <w:proofErr w:type="spellStart"/>
      <w:r w:rsidRPr="00405A56">
        <w:rPr>
          <w:lang w:eastAsia="pt-BR"/>
        </w:rPr>
        <w:t>Borella</w:t>
      </w:r>
      <w:proofErr w:type="spellEnd"/>
      <w:r w:rsidRPr="00405A56">
        <w:rPr>
          <w:lang w:eastAsia="pt-BR"/>
        </w:rPr>
        <w:t xml:space="preserve">, E., </w:t>
      </w:r>
      <w:proofErr w:type="spellStart"/>
      <w:r w:rsidRPr="00405A56">
        <w:rPr>
          <w:lang w:eastAsia="pt-BR"/>
        </w:rPr>
        <w:t>Rahnfeld</w:t>
      </w:r>
      <w:proofErr w:type="spellEnd"/>
      <w:r w:rsidRPr="00405A56">
        <w:rPr>
          <w:lang w:eastAsia="pt-BR"/>
        </w:rPr>
        <w:t xml:space="preserve">, M., Müller, S. R., </w:t>
      </w:r>
      <w:proofErr w:type="spellStart"/>
      <w:r w:rsidRPr="00405A56">
        <w:rPr>
          <w:lang w:eastAsia="pt-BR"/>
        </w:rPr>
        <w:t>Enge</w:t>
      </w:r>
      <w:proofErr w:type="spellEnd"/>
      <w:r w:rsidRPr="00405A56">
        <w:rPr>
          <w:lang w:eastAsia="pt-BR"/>
        </w:rPr>
        <w:t xml:space="preserve">, S., Hacker, W., … </w:t>
      </w:r>
      <w:proofErr w:type="spellStart"/>
      <w:r w:rsidRPr="00405A56">
        <w:rPr>
          <w:lang w:eastAsia="pt-BR"/>
        </w:rPr>
        <w:t>Kliegel</w:t>
      </w:r>
      <w:proofErr w:type="spellEnd"/>
      <w:r w:rsidRPr="00405A56">
        <w:rPr>
          <w:lang w:eastAsia="pt-BR"/>
        </w:rPr>
        <w:t xml:space="preserve">, M. (2015). The role of cognitive resources for subjective work ability and health in nursing. </w:t>
      </w:r>
      <w:r w:rsidRPr="00405A56">
        <w:rPr>
          <w:i/>
          <w:iCs/>
          <w:lang w:eastAsia="pt-BR"/>
        </w:rPr>
        <w:t>European Journal of Ageing</w:t>
      </w:r>
      <w:r w:rsidRPr="00405A56">
        <w:rPr>
          <w:lang w:eastAsia="pt-BR"/>
        </w:rPr>
        <w:t xml:space="preserve">, </w:t>
      </w:r>
      <w:r w:rsidRPr="00405A56">
        <w:rPr>
          <w:i/>
          <w:iCs/>
          <w:lang w:eastAsia="pt-BR"/>
        </w:rPr>
        <w:t>12</w:t>
      </w:r>
      <w:r w:rsidR="007012B4">
        <w:rPr>
          <w:lang w:eastAsia="pt-BR"/>
        </w:rPr>
        <w:t>(2), 131-</w:t>
      </w:r>
      <w:r w:rsidRPr="00405A56">
        <w:rPr>
          <w:lang w:eastAsia="pt-BR"/>
        </w:rPr>
        <w:t xml:space="preserve">140. </w:t>
      </w:r>
      <w:hyperlink r:id="rId39" w:history="1">
        <w:r w:rsidR="007012B4" w:rsidRPr="00D31F87">
          <w:rPr>
            <w:rStyle w:val="Hipervnculo"/>
            <w:shd w:val="clear" w:color="auto" w:fill="FCFCFC"/>
            <w:lang w:eastAsia="pt-BR"/>
          </w:rPr>
          <w:t>https://doi.org/10.1007/s10433-014-0331-y</w:t>
        </w:r>
      </w:hyperlink>
      <w:r w:rsidR="007012B4" w:rsidRPr="00D31F87">
        <w:rPr>
          <w:color w:val="0563C1"/>
          <w:u w:val="single"/>
          <w:shd w:val="clear" w:color="auto" w:fill="FCFCFC"/>
          <w:lang w:eastAsia="pt-BR"/>
        </w:rPr>
        <w:t xml:space="preserve"> </w:t>
      </w:r>
    </w:p>
    <w:p w14:paraId="27E9E095" w14:textId="0179D58E" w:rsidR="003C6F22" w:rsidRPr="00D31F87" w:rsidRDefault="00405A56" w:rsidP="00F1334C">
      <w:pPr>
        <w:pStyle w:val="Referencias"/>
        <w:spacing w:line="300" w:lineRule="exact"/>
        <w:rPr>
          <w:color w:val="0563C1"/>
          <w:u w:val="single"/>
          <w:shd w:val="clear" w:color="auto" w:fill="FFFFFF"/>
          <w:lang w:eastAsia="pt-BR"/>
        </w:rPr>
      </w:pPr>
      <w:r w:rsidRPr="00D31F87">
        <w:rPr>
          <w:lang w:eastAsia="pt-BR"/>
        </w:rPr>
        <w:t xml:space="preserve">Janke, M. C., Jones, J. J., Payne, L. L., &amp; Son, J. S. (2012). </w:t>
      </w:r>
      <w:r w:rsidRPr="00405A56">
        <w:rPr>
          <w:lang w:eastAsia="pt-BR"/>
        </w:rPr>
        <w:t xml:space="preserve">Living with arthritis: using self-management of valued activities to promote health. </w:t>
      </w:r>
      <w:r w:rsidRPr="00405A56">
        <w:rPr>
          <w:i/>
          <w:iCs/>
          <w:lang w:eastAsia="pt-BR"/>
        </w:rPr>
        <w:t>Qualitative Health Research</w:t>
      </w:r>
      <w:r w:rsidRPr="00405A56">
        <w:rPr>
          <w:lang w:eastAsia="pt-BR"/>
        </w:rPr>
        <w:t xml:space="preserve">, </w:t>
      </w:r>
      <w:r w:rsidRPr="00405A56">
        <w:rPr>
          <w:i/>
          <w:iCs/>
          <w:lang w:eastAsia="pt-BR"/>
        </w:rPr>
        <w:t>22</w:t>
      </w:r>
      <w:r w:rsidR="007012B4">
        <w:rPr>
          <w:lang w:eastAsia="pt-BR"/>
        </w:rPr>
        <w:t>(3), 360-</w:t>
      </w:r>
      <w:r w:rsidRPr="00405A56">
        <w:rPr>
          <w:lang w:eastAsia="pt-BR"/>
        </w:rPr>
        <w:t xml:space="preserve">372. </w:t>
      </w:r>
      <w:hyperlink r:id="rId40" w:history="1">
        <w:r w:rsidR="007012B4" w:rsidRPr="00B56480">
          <w:rPr>
            <w:rStyle w:val="Hipervnculo"/>
            <w:shd w:val="clear" w:color="auto" w:fill="FFFFFF"/>
            <w:lang w:eastAsia="pt-BR"/>
          </w:rPr>
          <w:t>https://doi.org/10.1177/104973231142117</w:t>
        </w:r>
        <w:r w:rsidR="007012B4" w:rsidRPr="00D31F87">
          <w:rPr>
            <w:rStyle w:val="Hipervnculo"/>
            <w:shd w:val="clear" w:color="auto" w:fill="FFFFFF"/>
            <w:lang w:eastAsia="pt-BR"/>
          </w:rPr>
          <w:t>9</w:t>
        </w:r>
      </w:hyperlink>
      <w:r w:rsidR="007012B4" w:rsidRPr="00D31F87">
        <w:rPr>
          <w:color w:val="0563C1"/>
          <w:u w:val="single"/>
          <w:shd w:val="clear" w:color="auto" w:fill="FFFFFF"/>
          <w:lang w:eastAsia="pt-BR"/>
        </w:rPr>
        <w:t xml:space="preserve"> </w:t>
      </w:r>
    </w:p>
    <w:p w14:paraId="2EB9AF79" w14:textId="18B40A41" w:rsidR="003C6F22" w:rsidRPr="00B01635" w:rsidRDefault="00405A56" w:rsidP="00F1334C">
      <w:pPr>
        <w:pStyle w:val="Referencias"/>
        <w:spacing w:line="300" w:lineRule="exact"/>
        <w:rPr>
          <w:color w:val="0563C1"/>
          <w:u w:val="single"/>
          <w:bdr w:val="none" w:sz="0" w:space="0" w:color="auto" w:frame="1"/>
          <w:shd w:val="clear" w:color="auto" w:fill="FFFFFF"/>
          <w:lang w:eastAsia="pt-BR"/>
        </w:rPr>
      </w:pPr>
      <w:proofErr w:type="spellStart"/>
      <w:r w:rsidRPr="00D31F87">
        <w:rPr>
          <w:lang w:eastAsia="pt-BR"/>
        </w:rPr>
        <w:t>Kahana</w:t>
      </w:r>
      <w:proofErr w:type="spellEnd"/>
      <w:r w:rsidRPr="00D31F87">
        <w:rPr>
          <w:lang w:eastAsia="pt-BR"/>
        </w:rPr>
        <w:t xml:space="preserve">, E., </w:t>
      </w:r>
      <w:proofErr w:type="spellStart"/>
      <w:r w:rsidRPr="00D31F87">
        <w:rPr>
          <w:lang w:eastAsia="pt-BR"/>
        </w:rPr>
        <w:t>Kahana</w:t>
      </w:r>
      <w:proofErr w:type="spellEnd"/>
      <w:r w:rsidRPr="00D31F87">
        <w:rPr>
          <w:lang w:eastAsia="pt-BR"/>
        </w:rPr>
        <w:t xml:space="preserve">, B., &amp; Lee, J. E. (2014). </w:t>
      </w:r>
      <w:r w:rsidRPr="00405A56">
        <w:rPr>
          <w:lang w:eastAsia="pt-BR"/>
        </w:rPr>
        <w:t xml:space="preserve">Proactive Approaches to Successful Aging: One Clear Path through the Forest. </w:t>
      </w:r>
      <w:r w:rsidRPr="00405A56">
        <w:rPr>
          <w:i/>
          <w:iCs/>
          <w:lang w:eastAsia="pt-BR"/>
        </w:rPr>
        <w:t>Gerontology</w:t>
      </w:r>
      <w:r w:rsidRPr="00405A56">
        <w:rPr>
          <w:lang w:eastAsia="pt-BR"/>
        </w:rPr>
        <w:t xml:space="preserve">, </w:t>
      </w:r>
      <w:r w:rsidRPr="00405A56">
        <w:rPr>
          <w:i/>
          <w:iCs/>
          <w:lang w:eastAsia="pt-BR"/>
        </w:rPr>
        <w:t>60</w:t>
      </w:r>
      <w:r w:rsidRPr="00405A56">
        <w:rPr>
          <w:lang w:eastAsia="pt-BR"/>
        </w:rPr>
        <w:t xml:space="preserve">. </w:t>
      </w:r>
      <w:hyperlink r:id="rId41" w:history="1">
        <w:r w:rsidR="007012B4" w:rsidRPr="00B56480">
          <w:rPr>
            <w:rStyle w:val="Hipervnculo"/>
            <w:bdr w:val="none" w:sz="0" w:space="0" w:color="auto" w:frame="1"/>
            <w:shd w:val="clear" w:color="auto" w:fill="FFFFFF"/>
            <w:lang w:eastAsia="pt-BR"/>
          </w:rPr>
          <w:t>https://doi.org/10.1159/00036022</w:t>
        </w:r>
        <w:r w:rsidR="007012B4" w:rsidRPr="00B01635">
          <w:rPr>
            <w:rStyle w:val="Hipervnculo"/>
            <w:bdr w:val="none" w:sz="0" w:space="0" w:color="auto" w:frame="1"/>
            <w:shd w:val="clear" w:color="auto" w:fill="FFFFFF"/>
            <w:lang w:eastAsia="pt-BR"/>
          </w:rPr>
          <w:t>2</w:t>
        </w:r>
      </w:hyperlink>
      <w:r w:rsidR="007012B4" w:rsidRPr="00B01635">
        <w:rPr>
          <w:color w:val="0563C1"/>
          <w:u w:val="single"/>
          <w:bdr w:val="none" w:sz="0" w:space="0" w:color="auto" w:frame="1"/>
          <w:shd w:val="clear" w:color="auto" w:fill="FFFFFF"/>
          <w:lang w:eastAsia="pt-BR"/>
        </w:rPr>
        <w:t xml:space="preserve"> </w:t>
      </w:r>
    </w:p>
    <w:p w14:paraId="1353FF59" w14:textId="4278AD58" w:rsidR="003C6F22" w:rsidRPr="00D31F87" w:rsidRDefault="00405A56" w:rsidP="00F1334C">
      <w:pPr>
        <w:pStyle w:val="Referencias"/>
        <w:spacing w:line="300" w:lineRule="exact"/>
        <w:rPr>
          <w:color w:val="0563C1"/>
          <w:u w:val="single"/>
          <w:shd w:val="clear" w:color="auto" w:fill="FFFFFF"/>
          <w:lang w:val="es-ES" w:eastAsia="pt-BR"/>
        </w:rPr>
      </w:pPr>
      <w:r w:rsidRPr="00405A56">
        <w:rPr>
          <w:lang w:eastAsia="pt-BR"/>
        </w:rPr>
        <w:t xml:space="preserve">Kelly, A. J., Fausset, C. B., Rogers, W., &amp; Fisk, A. D. (2014). Responding to home maintenance challenge scenarios: the role of selection, optimization, and compensation in aging-in-place. </w:t>
      </w:r>
      <w:r w:rsidRPr="00405A56">
        <w:rPr>
          <w:i/>
          <w:iCs/>
          <w:lang w:eastAsia="pt-BR"/>
        </w:rPr>
        <w:t>Journal of Applied Gerontology: The Official Journal of the Southern Gerontological Society</w:t>
      </w:r>
      <w:r w:rsidRPr="00405A56">
        <w:rPr>
          <w:lang w:eastAsia="pt-BR"/>
        </w:rPr>
        <w:t xml:space="preserve">, </w:t>
      </w:r>
      <w:r w:rsidRPr="00405A56">
        <w:rPr>
          <w:i/>
          <w:iCs/>
          <w:lang w:eastAsia="pt-BR"/>
        </w:rPr>
        <w:t>33</w:t>
      </w:r>
      <w:r w:rsidR="007012B4">
        <w:rPr>
          <w:lang w:eastAsia="pt-BR"/>
        </w:rPr>
        <w:t>(8), 1018-</w:t>
      </w:r>
      <w:r w:rsidRPr="00405A56">
        <w:rPr>
          <w:lang w:eastAsia="pt-BR"/>
        </w:rPr>
        <w:t xml:space="preserve">1042. </w:t>
      </w:r>
      <w:hyperlink r:id="rId42" w:history="1">
        <w:r w:rsidR="007012B4" w:rsidRPr="00D31F87">
          <w:rPr>
            <w:rStyle w:val="Hipervnculo"/>
            <w:shd w:val="clear" w:color="auto" w:fill="FFFFFF"/>
            <w:lang w:val="es-ES" w:eastAsia="pt-BR"/>
          </w:rPr>
          <w:t>https://doi.org/10.1177/0733464812456631</w:t>
        </w:r>
      </w:hyperlink>
      <w:r w:rsidR="007012B4" w:rsidRPr="00D31F87">
        <w:rPr>
          <w:color w:val="0563C1"/>
          <w:u w:val="single"/>
          <w:shd w:val="clear" w:color="auto" w:fill="FFFFFF"/>
          <w:lang w:val="es-ES" w:eastAsia="pt-BR"/>
        </w:rPr>
        <w:t xml:space="preserve"> </w:t>
      </w:r>
    </w:p>
    <w:p w14:paraId="497C6C59" w14:textId="40B9E1C7" w:rsidR="003C6F22" w:rsidRDefault="00405A56" w:rsidP="00F1334C">
      <w:pPr>
        <w:pStyle w:val="Referencias"/>
        <w:spacing w:line="300" w:lineRule="exact"/>
        <w:rPr>
          <w:color w:val="0563C1"/>
          <w:u w:val="single"/>
          <w:lang w:val="pt-BR" w:eastAsia="pt-BR"/>
        </w:rPr>
      </w:pPr>
      <w:r w:rsidRPr="00D31F87">
        <w:rPr>
          <w:lang w:val="es-ES" w:eastAsia="pt-BR"/>
        </w:rPr>
        <w:t xml:space="preserve">Krzemien, D. (2014). </w:t>
      </w:r>
      <w:r w:rsidR="00DE202B" w:rsidRPr="00405A56">
        <w:rPr>
          <w:lang w:val="es-ES" w:eastAsia="pt-BR"/>
        </w:rPr>
        <w:t xml:space="preserve">Sabiduría, pensamiento </w:t>
      </w:r>
      <w:proofErr w:type="spellStart"/>
      <w:r w:rsidR="00DE202B" w:rsidRPr="00405A56">
        <w:rPr>
          <w:lang w:val="es-ES" w:eastAsia="pt-BR"/>
        </w:rPr>
        <w:t>postformal</w:t>
      </w:r>
      <w:proofErr w:type="spellEnd"/>
      <w:r w:rsidR="00DE202B" w:rsidRPr="00405A56">
        <w:rPr>
          <w:lang w:val="es-ES" w:eastAsia="pt-BR"/>
        </w:rPr>
        <w:t xml:space="preserve"> y auto-regulación en adultos mayores</w:t>
      </w:r>
      <w:r w:rsidRPr="00405A56">
        <w:rPr>
          <w:lang w:val="es-ES" w:eastAsia="pt-BR"/>
        </w:rPr>
        <w:t xml:space="preserve">. </w:t>
      </w:r>
      <w:r w:rsidRPr="00405A56">
        <w:rPr>
          <w:i/>
          <w:iCs/>
          <w:lang w:val="pt-BR" w:eastAsia="pt-BR"/>
        </w:rPr>
        <w:t>Estudos Interdisciplinares sobre o Envelhecimento</w:t>
      </w:r>
      <w:r w:rsidRPr="00405A56">
        <w:rPr>
          <w:lang w:val="pt-BR" w:eastAsia="pt-BR"/>
        </w:rPr>
        <w:t xml:space="preserve">, </w:t>
      </w:r>
      <w:r w:rsidRPr="00405A56">
        <w:rPr>
          <w:i/>
          <w:iCs/>
          <w:lang w:val="pt-BR" w:eastAsia="pt-BR"/>
        </w:rPr>
        <w:t>19</w:t>
      </w:r>
      <w:r w:rsidRPr="00405A56">
        <w:rPr>
          <w:lang w:val="pt-BR" w:eastAsia="pt-BR"/>
        </w:rPr>
        <w:t xml:space="preserve">(2). </w:t>
      </w:r>
      <w:hyperlink r:id="rId43" w:history="1">
        <w:r w:rsidR="007012B4" w:rsidRPr="00B56480">
          <w:rPr>
            <w:rStyle w:val="Hipervnculo"/>
            <w:lang w:val="pt-BR" w:eastAsia="pt-BR"/>
          </w:rPr>
          <w:t>https://seer.ufrgs.br/RevEnvelhecer/article/view/45612</w:t>
        </w:r>
      </w:hyperlink>
      <w:r w:rsidR="007012B4">
        <w:rPr>
          <w:color w:val="0563C1"/>
          <w:u w:val="single"/>
          <w:lang w:val="pt-BR" w:eastAsia="pt-BR"/>
        </w:rPr>
        <w:t xml:space="preserve"> </w:t>
      </w:r>
    </w:p>
    <w:p w14:paraId="4CB84154" w14:textId="2F28EE29" w:rsidR="003C6F22" w:rsidRDefault="00405A56" w:rsidP="00F1334C">
      <w:pPr>
        <w:pStyle w:val="Referencias"/>
        <w:spacing w:line="300" w:lineRule="exact"/>
        <w:rPr>
          <w:b/>
          <w:bCs/>
          <w:lang w:val="pt-BR" w:eastAsia="pt-BR"/>
        </w:rPr>
      </w:pPr>
      <w:r w:rsidRPr="00405A56">
        <w:rPr>
          <w:lang w:val="pt-BR" w:eastAsia="pt-BR"/>
        </w:rPr>
        <w:t xml:space="preserve">Lima, P. M. R. de, &amp; Coelho, V. L. D. (2011). </w:t>
      </w:r>
      <w:r w:rsidRPr="00405A56">
        <w:rPr>
          <w:lang w:eastAsia="pt-BR"/>
        </w:rPr>
        <w:t xml:space="preserve">The art of aging: an exploratory study on life history and aging. </w:t>
      </w:r>
      <w:r w:rsidRPr="00405A56">
        <w:rPr>
          <w:i/>
          <w:iCs/>
          <w:lang w:val="pt-BR" w:eastAsia="pt-BR"/>
        </w:rPr>
        <w:t>Psicologia: Ciência e Profissão</w:t>
      </w:r>
      <w:r w:rsidRPr="00405A56">
        <w:rPr>
          <w:lang w:val="pt-BR" w:eastAsia="pt-BR"/>
        </w:rPr>
        <w:t xml:space="preserve">, </w:t>
      </w:r>
      <w:r w:rsidRPr="00405A56">
        <w:rPr>
          <w:i/>
          <w:iCs/>
          <w:lang w:val="pt-BR" w:eastAsia="pt-BR"/>
        </w:rPr>
        <w:t>31</w:t>
      </w:r>
      <w:r w:rsidR="007012B4">
        <w:rPr>
          <w:lang w:val="pt-BR" w:eastAsia="pt-BR"/>
        </w:rPr>
        <w:t>(1), 4-</w:t>
      </w:r>
      <w:r w:rsidRPr="00405A56">
        <w:rPr>
          <w:lang w:val="pt-BR" w:eastAsia="pt-BR"/>
        </w:rPr>
        <w:t xml:space="preserve">19. </w:t>
      </w:r>
      <w:hyperlink r:id="rId44" w:history="1">
        <w:r w:rsidR="007012B4" w:rsidRPr="00B56480">
          <w:rPr>
            <w:rStyle w:val="Hipervnculo"/>
            <w:bCs/>
            <w:lang w:val="pt-BR" w:eastAsia="pt-BR"/>
          </w:rPr>
          <w:t>https://doi.org/10.1590/S1414-98932011000100002</w:t>
        </w:r>
      </w:hyperlink>
      <w:r w:rsidR="007012B4">
        <w:rPr>
          <w:bCs/>
          <w:color w:val="0563C1"/>
          <w:u w:val="single"/>
          <w:lang w:val="pt-BR" w:eastAsia="pt-BR"/>
        </w:rPr>
        <w:t xml:space="preserve"> </w:t>
      </w:r>
      <w:r w:rsidRPr="00405A56">
        <w:rPr>
          <w:b/>
          <w:bCs/>
          <w:lang w:val="pt-BR" w:eastAsia="pt-BR"/>
        </w:rPr>
        <w:t> </w:t>
      </w:r>
    </w:p>
    <w:p w14:paraId="5F4883CF" w14:textId="41183A69" w:rsidR="003C6F22" w:rsidRPr="007012B4" w:rsidRDefault="00405A56" w:rsidP="00F1334C">
      <w:pPr>
        <w:pStyle w:val="Referencias"/>
        <w:spacing w:line="300" w:lineRule="exact"/>
        <w:rPr>
          <w:color w:val="0563C1"/>
          <w:u w:val="single"/>
          <w:shd w:val="clear" w:color="auto" w:fill="FFFFFF"/>
          <w:lang w:eastAsia="pt-BR"/>
        </w:rPr>
      </w:pPr>
      <w:proofErr w:type="spellStart"/>
      <w:r w:rsidRPr="00D31F87">
        <w:rPr>
          <w:lang w:val="pt-BR" w:eastAsia="pt-BR"/>
        </w:rPr>
        <w:t>Lund</w:t>
      </w:r>
      <w:proofErr w:type="spellEnd"/>
      <w:r w:rsidRPr="00D31F87">
        <w:rPr>
          <w:lang w:val="pt-BR" w:eastAsia="pt-BR"/>
        </w:rPr>
        <w:t xml:space="preserve">, D. A., </w:t>
      </w:r>
      <w:proofErr w:type="spellStart"/>
      <w:r w:rsidRPr="00D31F87">
        <w:rPr>
          <w:lang w:val="pt-BR" w:eastAsia="pt-BR"/>
        </w:rPr>
        <w:t>Utz</w:t>
      </w:r>
      <w:proofErr w:type="spellEnd"/>
      <w:r w:rsidRPr="00D31F87">
        <w:rPr>
          <w:lang w:val="pt-BR" w:eastAsia="pt-BR"/>
        </w:rPr>
        <w:t xml:space="preserve">, R. L., </w:t>
      </w:r>
      <w:proofErr w:type="spellStart"/>
      <w:r w:rsidRPr="00D31F87">
        <w:rPr>
          <w:lang w:val="pt-BR" w:eastAsia="pt-BR"/>
        </w:rPr>
        <w:t>Caserta</w:t>
      </w:r>
      <w:proofErr w:type="spellEnd"/>
      <w:r w:rsidRPr="00D31F87">
        <w:rPr>
          <w:lang w:val="pt-BR" w:eastAsia="pt-BR"/>
        </w:rPr>
        <w:t xml:space="preserve">, M. S., Wright, S. D., </w:t>
      </w:r>
      <w:proofErr w:type="spellStart"/>
      <w:r w:rsidRPr="00D31F87">
        <w:rPr>
          <w:lang w:val="pt-BR" w:eastAsia="pt-BR"/>
        </w:rPr>
        <w:t>Llanque</w:t>
      </w:r>
      <w:proofErr w:type="spellEnd"/>
      <w:r w:rsidRPr="00D31F87">
        <w:rPr>
          <w:lang w:val="pt-BR" w:eastAsia="pt-BR"/>
        </w:rPr>
        <w:t xml:space="preserve">, S. M., </w:t>
      </w:r>
      <w:proofErr w:type="spellStart"/>
      <w:r w:rsidRPr="00D31F87">
        <w:rPr>
          <w:lang w:val="pt-BR" w:eastAsia="pt-BR"/>
        </w:rPr>
        <w:t>Lindfelt</w:t>
      </w:r>
      <w:proofErr w:type="spellEnd"/>
      <w:r w:rsidRPr="00D31F87">
        <w:rPr>
          <w:lang w:val="pt-BR" w:eastAsia="pt-BR"/>
        </w:rPr>
        <w:t xml:space="preserve">, C., … </w:t>
      </w:r>
      <w:r w:rsidRPr="00405A56">
        <w:rPr>
          <w:lang w:eastAsia="pt-BR"/>
        </w:rPr>
        <w:t xml:space="preserve">Montoro-Rodriguez, J. (2014a). Time for living and caring: an intervention to make respite more effective for caregivers. </w:t>
      </w:r>
      <w:r w:rsidRPr="00405A56">
        <w:rPr>
          <w:i/>
          <w:iCs/>
          <w:lang w:eastAsia="pt-BR"/>
        </w:rPr>
        <w:t>International Journal of Aging &amp; Human Development</w:t>
      </w:r>
      <w:r w:rsidRPr="00405A56">
        <w:rPr>
          <w:lang w:eastAsia="pt-BR"/>
        </w:rPr>
        <w:t xml:space="preserve">, </w:t>
      </w:r>
      <w:r w:rsidRPr="00405A56">
        <w:rPr>
          <w:i/>
          <w:iCs/>
          <w:lang w:eastAsia="pt-BR"/>
        </w:rPr>
        <w:t>79</w:t>
      </w:r>
      <w:r w:rsidRPr="00405A56">
        <w:rPr>
          <w:lang w:eastAsia="pt-BR"/>
        </w:rPr>
        <w:t>(</w:t>
      </w:r>
      <w:r w:rsidR="007012B4">
        <w:rPr>
          <w:lang w:eastAsia="pt-BR"/>
        </w:rPr>
        <w:t>2), 157-</w:t>
      </w:r>
      <w:r w:rsidRPr="00405A56">
        <w:rPr>
          <w:lang w:eastAsia="pt-BR"/>
        </w:rPr>
        <w:t xml:space="preserve">178. </w:t>
      </w:r>
      <w:hyperlink r:id="rId45" w:history="1">
        <w:r w:rsidR="007012B4" w:rsidRPr="00B56480">
          <w:rPr>
            <w:rStyle w:val="Hipervnculo"/>
            <w:shd w:val="clear" w:color="auto" w:fill="FFFFFF"/>
            <w:lang w:eastAsia="pt-BR"/>
          </w:rPr>
          <w:t>https://doi.org/10.2190/AG.79.2.</w:t>
        </w:r>
        <w:r w:rsidR="007012B4" w:rsidRPr="00D31F87">
          <w:rPr>
            <w:rStyle w:val="Hipervnculo"/>
            <w:shd w:val="clear" w:color="auto" w:fill="FFFFFF"/>
            <w:lang w:eastAsia="pt-BR"/>
          </w:rPr>
          <w:t>d</w:t>
        </w:r>
      </w:hyperlink>
      <w:r w:rsidR="007012B4" w:rsidRPr="00D31F87">
        <w:rPr>
          <w:color w:val="0563C1"/>
          <w:u w:val="single"/>
          <w:shd w:val="clear" w:color="auto" w:fill="FFFFFF"/>
          <w:lang w:eastAsia="pt-BR"/>
        </w:rPr>
        <w:t xml:space="preserve"> </w:t>
      </w:r>
    </w:p>
    <w:p w14:paraId="2CA2FB90" w14:textId="19465834" w:rsidR="003C6F22" w:rsidRPr="007012B4" w:rsidRDefault="00405A56" w:rsidP="00F1334C">
      <w:pPr>
        <w:pStyle w:val="Referencias"/>
        <w:spacing w:line="300" w:lineRule="exact"/>
        <w:rPr>
          <w:color w:val="0563C1"/>
          <w:u w:val="single"/>
          <w:shd w:val="clear" w:color="auto" w:fill="FFFFFF"/>
          <w:lang w:eastAsia="pt-BR"/>
        </w:rPr>
      </w:pPr>
      <w:r w:rsidRPr="00405A56">
        <w:rPr>
          <w:lang w:eastAsia="pt-BR"/>
        </w:rPr>
        <w:t xml:space="preserve">Lund, D. A., Utz, R. L., Caserta, M. S., Wright, S. D., </w:t>
      </w:r>
      <w:proofErr w:type="spellStart"/>
      <w:r w:rsidRPr="00405A56">
        <w:rPr>
          <w:lang w:eastAsia="pt-BR"/>
        </w:rPr>
        <w:t>Llanque</w:t>
      </w:r>
      <w:proofErr w:type="spellEnd"/>
      <w:r w:rsidRPr="00405A56">
        <w:rPr>
          <w:lang w:eastAsia="pt-BR"/>
        </w:rPr>
        <w:t xml:space="preserve">, S. M., </w:t>
      </w:r>
      <w:proofErr w:type="spellStart"/>
      <w:r w:rsidRPr="00405A56">
        <w:rPr>
          <w:lang w:eastAsia="pt-BR"/>
        </w:rPr>
        <w:t>Lindfelt</w:t>
      </w:r>
      <w:proofErr w:type="spellEnd"/>
      <w:r w:rsidRPr="00405A56">
        <w:rPr>
          <w:lang w:eastAsia="pt-BR"/>
        </w:rPr>
        <w:t xml:space="preserve">, C., … Montoro-Rodriguez, J. (2014b). Time for Living and Caring: An Intervention to Make Respite More Effective for Caregivers. </w:t>
      </w:r>
      <w:r w:rsidRPr="00405A56">
        <w:rPr>
          <w:i/>
          <w:iCs/>
          <w:lang w:eastAsia="pt-BR"/>
        </w:rPr>
        <w:t>The International Journal of Aging and Human Development</w:t>
      </w:r>
      <w:r w:rsidRPr="00405A56">
        <w:rPr>
          <w:lang w:eastAsia="pt-BR"/>
        </w:rPr>
        <w:t xml:space="preserve">, </w:t>
      </w:r>
      <w:r w:rsidRPr="00405A56">
        <w:rPr>
          <w:i/>
          <w:iCs/>
          <w:lang w:eastAsia="pt-BR"/>
        </w:rPr>
        <w:t>79</w:t>
      </w:r>
      <w:r w:rsidR="007012B4">
        <w:rPr>
          <w:lang w:eastAsia="pt-BR"/>
        </w:rPr>
        <w:t>(2), 157-</w:t>
      </w:r>
      <w:r w:rsidRPr="00405A56">
        <w:rPr>
          <w:lang w:eastAsia="pt-BR"/>
        </w:rPr>
        <w:t xml:space="preserve">178. </w:t>
      </w:r>
      <w:hyperlink r:id="rId46" w:history="1">
        <w:r w:rsidR="007012B4" w:rsidRPr="00B56480">
          <w:rPr>
            <w:rStyle w:val="Hipervnculo"/>
            <w:shd w:val="clear" w:color="auto" w:fill="FFFFFF"/>
            <w:lang w:eastAsia="pt-BR"/>
          </w:rPr>
          <w:t>https://doi.org/10.2190/AG.79.2.</w:t>
        </w:r>
        <w:r w:rsidR="007012B4" w:rsidRPr="00D31F87">
          <w:rPr>
            <w:rStyle w:val="Hipervnculo"/>
            <w:shd w:val="clear" w:color="auto" w:fill="FFFFFF"/>
            <w:lang w:eastAsia="pt-BR"/>
          </w:rPr>
          <w:t>d</w:t>
        </w:r>
      </w:hyperlink>
      <w:r w:rsidR="007012B4" w:rsidRPr="00D31F87">
        <w:rPr>
          <w:color w:val="0563C1"/>
          <w:u w:val="single"/>
          <w:shd w:val="clear" w:color="auto" w:fill="FFFFFF"/>
          <w:lang w:eastAsia="pt-BR"/>
        </w:rPr>
        <w:t xml:space="preserve"> </w:t>
      </w:r>
    </w:p>
    <w:p w14:paraId="148F0CC3" w14:textId="0E821E1F" w:rsidR="003C6F22" w:rsidRPr="00D31F87" w:rsidRDefault="00405A56" w:rsidP="00F1334C">
      <w:pPr>
        <w:pStyle w:val="Referencias"/>
        <w:spacing w:line="300" w:lineRule="exact"/>
        <w:rPr>
          <w:color w:val="0563C1"/>
          <w:u w:val="single"/>
          <w:lang w:eastAsia="pt-BR"/>
        </w:rPr>
      </w:pPr>
      <w:r w:rsidRPr="00405A56">
        <w:rPr>
          <w:lang w:eastAsia="pt-BR"/>
        </w:rPr>
        <w:t xml:space="preserve">Mueller, M. K., Phelps, E., Bowers, E. P., </w:t>
      </w:r>
      <w:proofErr w:type="spellStart"/>
      <w:r w:rsidRPr="00405A56">
        <w:rPr>
          <w:lang w:eastAsia="pt-BR"/>
        </w:rPr>
        <w:t>Agans</w:t>
      </w:r>
      <w:proofErr w:type="spellEnd"/>
      <w:r w:rsidRPr="00405A56">
        <w:rPr>
          <w:lang w:eastAsia="pt-BR"/>
        </w:rPr>
        <w:t xml:space="preserve">, J. P., Urban, J. B., &amp; Lerner, R. M. (2011). Youth development program participation and intentional self-regulation skills: contextual and individual bases of pathways to positive youth development. </w:t>
      </w:r>
      <w:r w:rsidRPr="00405A56">
        <w:rPr>
          <w:i/>
          <w:iCs/>
          <w:lang w:eastAsia="pt-BR"/>
        </w:rPr>
        <w:t>Journal of Adolescence</w:t>
      </w:r>
      <w:r w:rsidRPr="00405A56">
        <w:rPr>
          <w:lang w:eastAsia="pt-BR"/>
        </w:rPr>
        <w:t xml:space="preserve">, </w:t>
      </w:r>
      <w:r w:rsidRPr="00405A56">
        <w:rPr>
          <w:i/>
          <w:iCs/>
          <w:lang w:eastAsia="pt-BR"/>
        </w:rPr>
        <w:t>34</w:t>
      </w:r>
      <w:r w:rsidR="007012B4">
        <w:rPr>
          <w:lang w:eastAsia="pt-BR"/>
        </w:rPr>
        <w:t>(6), 1115-</w:t>
      </w:r>
      <w:r w:rsidRPr="00405A56">
        <w:rPr>
          <w:lang w:eastAsia="pt-BR"/>
        </w:rPr>
        <w:t xml:space="preserve">1125. </w:t>
      </w:r>
      <w:hyperlink r:id="rId47" w:history="1">
        <w:r w:rsidR="007012B4" w:rsidRPr="00B56480">
          <w:rPr>
            <w:rStyle w:val="Hipervnculo"/>
            <w:lang w:eastAsia="pt-BR"/>
          </w:rPr>
          <w:t>https://doi.org/10.1016/j.adolescence.2011.07.01</w:t>
        </w:r>
        <w:r w:rsidR="007012B4" w:rsidRPr="00D31F87">
          <w:rPr>
            <w:rStyle w:val="Hipervnculo"/>
            <w:lang w:eastAsia="pt-BR"/>
          </w:rPr>
          <w:t>0</w:t>
        </w:r>
      </w:hyperlink>
      <w:r w:rsidR="007012B4" w:rsidRPr="00D31F87">
        <w:rPr>
          <w:color w:val="0563C1"/>
          <w:u w:val="single"/>
          <w:lang w:eastAsia="pt-BR"/>
        </w:rPr>
        <w:t xml:space="preserve"> </w:t>
      </w:r>
    </w:p>
    <w:p w14:paraId="43889E2C" w14:textId="253E191F" w:rsidR="003C6F22" w:rsidRPr="00D31F87" w:rsidRDefault="00405A56" w:rsidP="00F1334C">
      <w:pPr>
        <w:pStyle w:val="Referencias"/>
        <w:spacing w:line="300" w:lineRule="exact"/>
        <w:rPr>
          <w:color w:val="0563C1"/>
          <w:u w:val="single"/>
          <w:shd w:val="clear" w:color="auto" w:fill="FFFFFF"/>
          <w:lang w:eastAsia="pt-BR"/>
        </w:rPr>
      </w:pPr>
      <w:r w:rsidRPr="00405A56">
        <w:rPr>
          <w:lang w:eastAsia="pt-BR"/>
        </w:rPr>
        <w:t xml:space="preserve">Müller, A., </w:t>
      </w:r>
      <w:proofErr w:type="spellStart"/>
      <w:r w:rsidRPr="00405A56">
        <w:rPr>
          <w:lang w:eastAsia="pt-BR"/>
        </w:rPr>
        <w:t>Heiden</w:t>
      </w:r>
      <w:proofErr w:type="spellEnd"/>
      <w:r w:rsidRPr="00405A56">
        <w:rPr>
          <w:lang w:eastAsia="pt-BR"/>
        </w:rPr>
        <w:t xml:space="preserve">, B., </w:t>
      </w:r>
      <w:proofErr w:type="spellStart"/>
      <w:r w:rsidRPr="00405A56">
        <w:rPr>
          <w:lang w:eastAsia="pt-BR"/>
        </w:rPr>
        <w:t>Herbig</w:t>
      </w:r>
      <w:proofErr w:type="spellEnd"/>
      <w:r w:rsidRPr="00405A56">
        <w:rPr>
          <w:lang w:eastAsia="pt-BR"/>
        </w:rPr>
        <w:t xml:space="preserve">, B., </w:t>
      </w:r>
      <w:proofErr w:type="spellStart"/>
      <w:r w:rsidRPr="00405A56">
        <w:rPr>
          <w:lang w:eastAsia="pt-BR"/>
        </w:rPr>
        <w:t>Poppe</w:t>
      </w:r>
      <w:proofErr w:type="spellEnd"/>
      <w:r w:rsidRPr="00405A56">
        <w:rPr>
          <w:lang w:eastAsia="pt-BR"/>
        </w:rPr>
        <w:t xml:space="preserve">, F., &amp; </w:t>
      </w:r>
      <w:proofErr w:type="spellStart"/>
      <w:r w:rsidRPr="00405A56">
        <w:rPr>
          <w:lang w:eastAsia="pt-BR"/>
        </w:rPr>
        <w:t>Angerer</w:t>
      </w:r>
      <w:proofErr w:type="spellEnd"/>
      <w:r w:rsidRPr="00405A56">
        <w:rPr>
          <w:lang w:eastAsia="pt-BR"/>
        </w:rPr>
        <w:t xml:space="preserve">, P. (2016). Improving well-being at work: A randomized controlled intervention based on selection, optimization, and compensation. </w:t>
      </w:r>
      <w:r w:rsidRPr="00405A56">
        <w:rPr>
          <w:i/>
          <w:iCs/>
          <w:lang w:eastAsia="pt-BR"/>
        </w:rPr>
        <w:t>Journal of Occupational Health Psychology</w:t>
      </w:r>
      <w:r w:rsidRPr="00405A56">
        <w:rPr>
          <w:lang w:eastAsia="pt-BR"/>
        </w:rPr>
        <w:t xml:space="preserve">, </w:t>
      </w:r>
      <w:r w:rsidRPr="00405A56">
        <w:rPr>
          <w:i/>
          <w:iCs/>
          <w:lang w:eastAsia="pt-BR"/>
        </w:rPr>
        <w:t>21</w:t>
      </w:r>
      <w:r w:rsidR="007012B4">
        <w:rPr>
          <w:lang w:eastAsia="pt-BR"/>
        </w:rPr>
        <w:t>(2), 169-</w:t>
      </w:r>
      <w:r w:rsidRPr="00405A56">
        <w:rPr>
          <w:lang w:eastAsia="pt-BR"/>
        </w:rPr>
        <w:t xml:space="preserve">181. </w:t>
      </w:r>
      <w:hyperlink r:id="rId48" w:history="1">
        <w:r w:rsidR="007012B4" w:rsidRPr="00B56480">
          <w:rPr>
            <w:rStyle w:val="Hipervnculo"/>
            <w:shd w:val="clear" w:color="auto" w:fill="FFFFFF"/>
            <w:lang w:eastAsia="pt-BR"/>
          </w:rPr>
          <w:t>https://doi.org/10.1037/a003967</w:t>
        </w:r>
        <w:r w:rsidR="007012B4" w:rsidRPr="00D31F87">
          <w:rPr>
            <w:rStyle w:val="Hipervnculo"/>
            <w:shd w:val="clear" w:color="auto" w:fill="FFFFFF"/>
            <w:lang w:eastAsia="pt-BR"/>
          </w:rPr>
          <w:t>6</w:t>
        </w:r>
      </w:hyperlink>
      <w:r w:rsidR="007012B4" w:rsidRPr="00D31F87">
        <w:rPr>
          <w:color w:val="0563C1"/>
          <w:u w:val="single"/>
          <w:shd w:val="clear" w:color="auto" w:fill="FFFFFF"/>
          <w:lang w:eastAsia="pt-BR"/>
        </w:rPr>
        <w:t xml:space="preserve"> </w:t>
      </w:r>
    </w:p>
    <w:p w14:paraId="2739483A" w14:textId="05F96A33" w:rsidR="003C6F22" w:rsidRPr="00D31F87" w:rsidRDefault="00405A56" w:rsidP="00F1334C">
      <w:pPr>
        <w:pStyle w:val="Referencias"/>
        <w:spacing w:line="300" w:lineRule="exact"/>
        <w:rPr>
          <w:color w:val="0563C1"/>
          <w:u w:val="single"/>
          <w:lang w:eastAsia="pt-BR"/>
        </w:rPr>
      </w:pPr>
      <w:r w:rsidRPr="00405A56">
        <w:rPr>
          <w:lang w:eastAsia="pt-BR"/>
        </w:rPr>
        <w:t xml:space="preserve">Müller, A., </w:t>
      </w:r>
      <w:proofErr w:type="spellStart"/>
      <w:r w:rsidRPr="00405A56">
        <w:rPr>
          <w:lang w:eastAsia="pt-BR"/>
        </w:rPr>
        <w:t>Weigl</w:t>
      </w:r>
      <w:proofErr w:type="spellEnd"/>
      <w:r w:rsidRPr="00405A56">
        <w:rPr>
          <w:lang w:eastAsia="pt-BR"/>
        </w:rPr>
        <w:t xml:space="preserve">, M., </w:t>
      </w:r>
      <w:proofErr w:type="spellStart"/>
      <w:r w:rsidRPr="00405A56">
        <w:rPr>
          <w:lang w:eastAsia="pt-BR"/>
        </w:rPr>
        <w:t>Heiden</w:t>
      </w:r>
      <w:proofErr w:type="spellEnd"/>
      <w:r w:rsidRPr="00405A56">
        <w:rPr>
          <w:lang w:eastAsia="pt-BR"/>
        </w:rPr>
        <w:t xml:space="preserve">, B., Glaser, J., &amp; </w:t>
      </w:r>
      <w:proofErr w:type="spellStart"/>
      <w:r w:rsidRPr="00405A56">
        <w:rPr>
          <w:lang w:eastAsia="pt-BR"/>
        </w:rPr>
        <w:t>Angerer</w:t>
      </w:r>
      <w:proofErr w:type="spellEnd"/>
      <w:r w:rsidRPr="00405A56">
        <w:rPr>
          <w:lang w:eastAsia="pt-BR"/>
        </w:rPr>
        <w:t xml:space="preserve">, P. (2012). Promoting work ability and well-being in hospital nursing: the interplay of age, job control, and successful ageing strategies. </w:t>
      </w:r>
      <w:r w:rsidRPr="00D31F87">
        <w:rPr>
          <w:i/>
          <w:iCs/>
          <w:lang w:eastAsia="pt-BR"/>
        </w:rPr>
        <w:t>Work (Reading, Mass.)</w:t>
      </w:r>
      <w:r w:rsidRPr="00D31F87">
        <w:rPr>
          <w:lang w:eastAsia="pt-BR"/>
        </w:rPr>
        <w:t xml:space="preserve">, </w:t>
      </w:r>
      <w:r w:rsidRPr="00D31F87">
        <w:rPr>
          <w:i/>
          <w:iCs/>
          <w:lang w:eastAsia="pt-BR"/>
        </w:rPr>
        <w:t>41 Suppl 1</w:t>
      </w:r>
      <w:r w:rsidR="007012B4" w:rsidRPr="00D31F87">
        <w:rPr>
          <w:lang w:eastAsia="pt-BR"/>
        </w:rPr>
        <w:t>, 5137-</w:t>
      </w:r>
      <w:r w:rsidRPr="00D31F87">
        <w:rPr>
          <w:lang w:eastAsia="pt-BR"/>
        </w:rPr>
        <w:t xml:space="preserve">5144. </w:t>
      </w:r>
      <w:hyperlink r:id="rId49" w:history="1">
        <w:r w:rsidR="007012B4" w:rsidRPr="00D31F87">
          <w:rPr>
            <w:rStyle w:val="Hipervnculo"/>
            <w:lang w:eastAsia="pt-BR"/>
          </w:rPr>
          <w:t>https://doi.org/10.3233/WOR-2012-0083-5137</w:t>
        </w:r>
      </w:hyperlink>
      <w:r w:rsidR="007012B4" w:rsidRPr="00D31F87">
        <w:rPr>
          <w:color w:val="0563C1"/>
          <w:u w:val="single"/>
          <w:lang w:eastAsia="pt-BR"/>
        </w:rPr>
        <w:t xml:space="preserve"> </w:t>
      </w:r>
    </w:p>
    <w:p w14:paraId="0F224B81" w14:textId="240AF52B" w:rsidR="003C6F22" w:rsidRPr="00D31F87" w:rsidRDefault="00405A56" w:rsidP="00F1334C">
      <w:pPr>
        <w:pStyle w:val="Referencias"/>
        <w:spacing w:line="300" w:lineRule="exact"/>
        <w:rPr>
          <w:bCs/>
          <w:color w:val="0563C1"/>
          <w:u w:val="single"/>
          <w:shd w:val="clear" w:color="auto" w:fill="FFFFFF"/>
          <w:lang w:eastAsia="pt-BR"/>
        </w:rPr>
      </w:pPr>
      <w:r w:rsidRPr="00405A56">
        <w:rPr>
          <w:lang w:eastAsia="pt-BR"/>
        </w:rPr>
        <w:lastRenderedPageBreak/>
        <w:t xml:space="preserve">Müller, A., </w:t>
      </w:r>
      <w:proofErr w:type="spellStart"/>
      <w:r w:rsidRPr="00405A56">
        <w:rPr>
          <w:lang w:eastAsia="pt-BR"/>
        </w:rPr>
        <w:t>Weigl</w:t>
      </w:r>
      <w:proofErr w:type="spellEnd"/>
      <w:r w:rsidRPr="00405A56">
        <w:rPr>
          <w:lang w:eastAsia="pt-BR"/>
        </w:rPr>
        <w:t xml:space="preserve">, M., </w:t>
      </w:r>
      <w:proofErr w:type="spellStart"/>
      <w:r w:rsidRPr="00405A56">
        <w:rPr>
          <w:lang w:eastAsia="pt-BR"/>
        </w:rPr>
        <w:t>Heiden</w:t>
      </w:r>
      <w:proofErr w:type="spellEnd"/>
      <w:r w:rsidRPr="00405A56">
        <w:rPr>
          <w:lang w:eastAsia="pt-BR"/>
        </w:rPr>
        <w:t xml:space="preserve">, B., </w:t>
      </w:r>
      <w:proofErr w:type="spellStart"/>
      <w:r w:rsidRPr="00405A56">
        <w:rPr>
          <w:lang w:eastAsia="pt-BR"/>
        </w:rPr>
        <w:t>Herbig</w:t>
      </w:r>
      <w:proofErr w:type="spellEnd"/>
      <w:r w:rsidRPr="00405A56">
        <w:rPr>
          <w:lang w:eastAsia="pt-BR"/>
        </w:rPr>
        <w:t xml:space="preserve">, B., Glaser, J., &amp; </w:t>
      </w:r>
      <w:proofErr w:type="spellStart"/>
      <w:r w:rsidRPr="00405A56">
        <w:rPr>
          <w:lang w:eastAsia="pt-BR"/>
        </w:rPr>
        <w:t>Angerer</w:t>
      </w:r>
      <w:proofErr w:type="spellEnd"/>
      <w:r w:rsidRPr="00405A56">
        <w:rPr>
          <w:lang w:eastAsia="pt-BR"/>
        </w:rPr>
        <w:t xml:space="preserve">, P. (2013). Selection, optimization, and compensation in nursing: exploration of job-specific strategies, scale development, and age-specific associations to work ability. </w:t>
      </w:r>
      <w:r w:rsidRPr="00405A56">
        <w:rPr>
          <w:i/>
          <w:iCs/>
          <w:lang w:eastAsia="pt-BR"/>
        </w:rPr>
        <w:t>Journal of Advanced Nursing</w:t>
      </w:r>
      <w:r w:rsidRPr="00405A56">
        <w:rPr>
          <w:lang w:eastAsia="pt-BR"/>
        </w:rPr>
        <w:t xml:space="preserve">, </w:t>
      </w:r>
      <w:r w:rsidRPr="00405A56">
        <w:rPr>
          <w:i/>
          <w:iCs/>
          <w:lang w:eastAsia="pt-BR"/>
        </w:rPr>
        <w:t>69</w:t>
      </w:r>
      <w:r w:rsidR="007012B4">
        <w:rPr>
          <w:lang w:eastAsia="pt-BR"/>
        </w:rPr>
        <w:t>(7), 1630-</w:t>
      </w:r>
      <w:r w:rsidRPr="00405A56">
        <w:rPr>
          <w:lang w:eastAsia="pt-BR"/>
        </w:rPr>
        <w:t xml:space="preserve">1642. </w:t>
      </w:r>
      <w:hyperlink r:id="rId50" w:history="1">
        <w:r w:rsidR="007012B4" w:rsidRPr="00B56480">
          <w:rPr>
            <w:rStyle w:val="Hipervnculo"/>
            <w:bCs/>
            <w:shd w:val="clear" w:color="auto" w:fill="FFFFFF"/>
            <w:lang w:eastAsia="pt-BR"/>
          </w:rPr>
          <w:t>https://doi.org/10.1111/jan.1202</w:t>
        </w:r>
        <w:r w:rsidR="007012B4" w:rsidRPr="00D31F87">
          <w:rPr>
            <w:rStyle w:val="Hipervnculo"/>
            <w:bCs/>
            <w:shd w:val="clear" w:color="auto" w:fill="FFFFFF"/>
            <w:lang w:eastAsia="pt-BR"/>
          </w:rPr>
          <w:t>6</w:t>
        </w:r>
      </w:hyperlink>
      <w:r w:rsidR="007012B4" w:rsidRPr="00D31F87">
        <w:rPr>
          <w:bCs/>
          <w:color w:val="0563C1"/>
          <w:u w:val="single"/>
          <w:shd w:val="clear" w:color="auto" w:fill="FFFFFF"/>
          <w:lang w:eastAsia="pt-BR"/>
        </w:rPr>
        <w:t xml:space="preserve"> </w:t>
      </w:r>
    </w:p>
    <w:p w14:paraId="01A79B57" w14:textId="5A7074F0" w:rsidR="003C6F22" w:rsidRPr="007012B4" w:rsidRDefault="00405A56" w:rsidP="00F1334C">
      <w:pPr>
        <w:pStyle w:val="Referencias"/>
        <w:spacing w:line="300" w:lineRule="exact"/>
        <w:rPr>
          <w:color w:val="0563C1"/>
          <w:u w:val="single"/>
          <w:lang w:eastAsia="pt-BR"/>
        </w:rPr>
      </w:pPr>
      <w:r w:rsidRPr="00405A56">
        <w:rPr>
          <w:lang w:eastAsia="pt-BR"/>
        </w:rPr>
        <w:t xml:space="preserve">Napolitano, C. M., Bowers, E. P., </w:t>
      </w:r>
      <w:proofErr w:type="spellStart"/>
      <w:r w:rsidRPr="00405A56">
        <w:rPr>
          <w:lang w:eastAsia="pt-BR"/>
        </w:rPr>
        <w:t>Gestsdottir</w:t>
      </w:r>
      <w:proofErr w:type="spellEnd"/>
      <w:r w:rsidRPr="00405A56">
        <w:rPr>
          <w:lang w:eastAsia="pt-BR"/>
        </w:rPr>
        <w:t xml:space="preserve">, S., </w:t>
      </w:r>
      <w:proofErr w:type="spellStart"/>
      <w:r w:rsidRPr="00405A56">
        <w:rPr>
          <w:lang w:eastAsia="pt-BR"/>
        </w:rPr>
        <w:t>Depping</w:t>
      </w:r>
      <w:proofErr w:type="spellEnd"/>
      <w:r w:rsidRPr="00405A56">
        <w:rPr>
          <w:lang w:eastAsia="pt-BR"/>
        </w:rPr>
        <w:t xml:space="preserve">, M., von Eye, A., Chase, P., &amp; Lerner, J. V. (2011). The role of parenting and goal selection in positive youth development: a person-centered approach. </w:t>
      </w:r>
      <w:r w:rsidRPr="00405A56">
        <w:rPr>
          <w:i/>
          <w:iCs/>
          <w:lang w:eastAsia="pt-BR"/>
        </w:rPr>
        <w:t>Journal of Adolescence</w:t>
      </w:r>
      <w:r w:rsidRPr="00405A56">
        <w:rPr>
          <w:lang w:eastAsia="pt-BR"/>
        </w:rPr>
        <w:t xml:space="preserve">, </w:t>
      </w:r>
      <w:r w:rsidRPr="00405A56">
        <w:rPr>
          <w:i/>
          <w:iCs/>
          <w:lang w:eastAsia="pt-BR"/>
        </w:rPr>
        <w:t>34</w:t>
      </w:r>
      <w:r w:rsidR="007012B4">
        <w:rPr>
          <w:lang w:eastAsia="pt-BR"/>
        </w:rPr>
        <w:t>(6), 1137-</w:t>
      </w:r>
      <w:r w:rsidRPr="00405A56">
        <w:rPr>
          <w:lang w:eastAsia="pt-BR"/>
        </w:rPr>
        <w:t xml:space="preserve">1149. </w:t>
      </w:r>
      <w:hyperlink r:id="rId51" w:history="1">
        <w:r w:rsidR="007012B4" w:rsidRPr="00B56480">
          <w:rPr>
            <w:rStyle w:val="Hipervnculo"/>
            <w:lang w:eastAsia="pt-BR"/>
          </w:rPr>
          <w:t>https://doi.org/10.1016/j.adolescence.2011.07.00</w:t>
        </w:r>
        <w:r w:rsidR="007012B4" w:rsidRPr="007012B4">
          <w:rPr>
            <w:rStyle w:val="Hipervnculo"/>
            <w:lang w:eastAsia="pt-BR"/>
          </w:rPr>
          <w:t>8</w:t>
        </w:r>
      </w:hyperlink>
      <w:r w:rsidR="007012B4" w:rsidRPr="007012B4">
        <w:rPr>
          <w:color w:val="0563C1"/>
          <w:u w:val="single"/>
          <w:lang w:eastAsia="pt-BR"/>
        </w:rPr>
        <w:t xml:space="preserve"> </w:t>
      </w:r>
    </w:p>
    <w:p w14:paraId="2C4165AB" w14:textId="77777777" w:rsidR="003C6F22" w:rsidRDefault="00405A56" w:rsidP="00F1334C">
      <w:pPr>
        <w:pStyle w:val="Referencias"/>
        <w:spacing w:line="300" w:lineRule="exact"/>
        <w:rPr>
          <w:lang w:val="pt-BR" w:eastAsia="pt-BR"/>
        </w:rPr>
      </w:pPr>
      <w:proofErr w:type="spellStart"/>
      <w:r w:rsidRPr="00405A56">
        <w:rPr>
          <w:lang w:eastAsia="pt-BR"/>
        </w:rPr>
        <w:t>Neri</w:t>
      </w:r>
      <w:proofErr w:type="spellEnd"/>
      <w:r w:rsidRPr="00405A56">
        <w:rPr>
          <w:lang w:eastAsia="pt-BR"/>
        </w:rPr>
        <w:t xml:space="preserve">, A. L. (2006). </w:t>
      </w:r>
      <w:r w:rsidRPr="00405A56">
        <w:rPr>
          <w:lang w:val="pt-BR" w:eastAsia="pt-BR"/>
        </w:rPr>
        <w:t xml:space="preserve">O legado de Paul B. Baltes à Psicologia do Desenvolvimento e do Envelhecimento. </w:t>
      </w:r>
      <w:r w:rsidRPr="00405A56">
        <w:rPr>
          <w:i/>
          <w:iCs/>
          <w:lang w:val="pt-BR" w:eastAsia="pt-BR"/>
        </w:rPr>
        <w:t>Temas em Psicologia</w:t>
      </w:r>
      <w:r w:rsidRPr="00405A56">
        <w:rPr>
          <w:lang w:val="pt-BR" w:eastAsia="pt-BR"/>
        </w:rPr>
        <w:t xml:space="preserve">, </w:t>
      </w:r>
      <w:r w:rsidRPr="00405A56">
        <w:rPr>
          <w:i/>
          <w:iCs/>
          <w:lang w:val="pt-BR" w:eastAsia="pt-BR"/>
        </w:rPr>
        <w:t>14</w:t>
      </w:r>
      <w:r w:rsidRPr="00405A56">
        <w:rPr>
          <w:lang w:val="pt-BR" w:eastAsia="pt-BR"/>
        </w:rPr>
        <w:t>(1), 17–34.</w:t>
      </w:r>
    </w:p>
    <w:p w14:paraId="32D00712" w14:textId="7D13E71E" w:rsidR="003C6F22" w:rsidRPr="00D31F87" w:rsidRDefault="00405A56" w:rsidP="00F1334C">
      <w:pPr>
        <w:pStyle w:val="Referencias"/>
        <w:spacing w:line="300" w:lineRule="exact"/>
        <w:rPr>
          <w:color w:val="0563C1"/>
          <w:u w:val="single"/>
          <w:shd w:val="clear" w:color="auto" w:fill="FFFFFF"/>
          <w:lang w:eastAsia="pt-BR"/>
        </w:rPr>
      </w:pPr>
      <w:proofErr w:type="spellStart"/>
      <w:r w:rsidRPr="00D31F87">
        <w:rPr>
          <w:lang w:val="pt-BR" w:eastAsia="pt-BR"/>
        </w:rPr>
        <w:t>Opitz</w:t>
      </w:r>
      <w:proofErr w:type="spellEnd"/>
      <w:r w:rsidRPr="00D31F87">
        <w:rPr>
          <w:lang w:val="pt-BR" w:eastAsia="pt-BR"/>
        </w:rPr>
        <w:t xml:space="preserve">, P. C., Lee, I. A., Gross, J. J., &amp; </w:t>
      </w:r>
      <w:proofErr w:type="spellStart"/>
      <w:r w:rsidRPr="00D31F87">
        <w:rPr>
          <w:lang w:val="pt-BR" w:eastAsia="pt-BR"/>
        </w:rPr>
        <w:t>Urry</w:t>
      </w:r>
      <w:proofErr w:type="spellEnd"/>
      <w:r w:rsidRPr="00D31F87">
        <w:rPr>
          <w:lang w:val="pt-BR" w:eastAsia="pt-BR"/>
        </w:rPr>
        <w:t xml:space="preserve">, H. L. (2014). </w:t>
      </w:r>
      <w:r w:rsidRPr="00405A56">
        <w:rPr>
          <w:lang w:eastAsia="pt-BR"/>
        </w:rPr>
        <w:t xml:space="preserve">Fluid cognitive ability is a resource for successful emotion regulation in older and younger adults. </w:t>
      </w:r>
      <w:r w:rsidRPr="00405A56">
        <w:rPr>
          <w:i/>
          <w:iCs/>
          <w:lang w:eastAsia="pt-BR"/>
        </w:rPr>
        <w:t>Frontiers in Psychology</w:t>
      </w:r>
      <w:r w:rsidRPr="00405A56">
        <w:rPr>
          <w:lang w:eastAsia="pt-BR"/>
        </w:rPr>
        <w:t xml:space="preserve">, </w:t>
      </w:r>
      <w:r w:rsidRPr="00405A56">
        <w:rPr>
          <w:i/>
          <w:iCs/>
          <w:lang w:eastAsia="pt-BR"/>
        </w:rPr>
        <w:t>5</w:t>
      </w:r>
      <w:r w:rsidRPr="00405A56">
        <w:rPr>
          <w:lang w:eastAsia="pt-BR"/>
        </w:rPr>
        <w:t xml:space="preserve">, 609. </w:t>
      </w:r>
      <w:hyperlink r:id="rId52" w:history="1">
        <w:r w:rsidR="007012B4" w:rsidRPr="00B56480">
          <w:rPr>
            <w:rStyle w:val="Hipervnculo"/>
            <w:shd w:val="clear" w:color="auto" w:fill="FFFFFF"/>
            <w:lang w:eastAsia="pt-BR"/>
          </w:rPr>
          <w:t>https://doi.org/10.3389/fpsyg.2014.0060</w:t>
        </w:r>
        <w:r w:rsidR="007012B4" w:rsidRPr="00D31F87">
          <w:rPr>
            <w:rStyle w:val="Hipervnculo"/>
            <w:shd w:val="clear" w:color="auto" w:fill="FFFFFF"/>
            <w:lang w:eastAsia="pt-BR"/>
          </w:rPr>
          <w:t>9</w:t>
        </w:r>
      </w:hyperlink>
      <w:r w:rsidR="007012B4" w:rsidRPr="00D31F87">
        <w:rPr>
          <w:color w:val="0563C1"/>
          <w:u w:val="single"/>
          <w:shd w:val="clear" w:color="auto" w:fill="FFFFFF"/>
          <w:lang w:eastAsia="pt-BR"/>
        </w:rPr>
        <w:t xml:space="preserve"> </w:t>
      </w:r>
    </w:p>
    <w:p w14:paraId="1B3C6774" w14:textId="310E7B63" w:rsidR="003C6F22" w:rsidRPr="00D31F87" w:rsidRDefault="00405A56" w:rsidP="00F1334C">
      <w:pPr>
        <w:pStyle w:val="Referencias"/>
        <w:spacing w:line="300" w:lineRule="exact"/>
        <w:rPr>
          <w:color w:val="0563C1"/>
          <w:u w:val="single"/>
          <w:lang w:eastAsia="pt-BR"/>
        </w:rPr>
      </w:pPr>
      <w:r w:rsidRPr="00405A56">
        <w:rPr>
          <w:lang w:eastAsia="pt-BR"/>
        </w:rPr>
        <w:t xml:space="preserve">Paech, J., &amp; </w:t>
      </w:r>
      <w:proofErr w:type="spellStart"/>
      <w:r w:rsidRPr="00405A56">
        <w:rPr>
          <w:lang w:eastAsia="pt-BR"/>
        </w:rPr>
        <w:t>Lippke</w:t>
      </w:r>
      <w:proofErr w:type="spellEnd"/>
      <w:r w:rsidRPr="00405A56">
        <w:rPr>
          <w:lang w:eastAsia="pt-BR"/>
        </w:rPr>
        <w:t>, S. (2017). Put two (and two) together to make the most of physical activity and healthy nutrition - A longitudinal online study examining cross-</w:t>
      </w:r>
      <w:proofErr w:type="spellStart"/>
      <w:r w:rsidRPr="00405A56">
        <w:rPr>
          <w:lang w:eastAsia="pt-BR"/>
        </w:rPr>
        <w:t>behavioural</w:t>
      </w:r>
      <w:proofErr w:type="spellEnd"/>
      <w:r w:rsidRPr="00405A56">
        <w:rPr>
          <w:lang w:eastAsia="pt-BR"/>
        </w:rPr>
        <w:t xml:space="preserve"> mechanisms in multiple health </w:t>
      </w:r>
      <w:proofErr w:type="spellStart"/>
      <w:r w:rsidRPr="00405A56">
        <w:rPr>
          <w:lang w:eastAsia="pt-BR"/>
        </w:rPr>
        <w:t>behaviour</w:t>
      </w:r>
      <w:proofErr w:type="spellEnd"/>
      <w:r w:rsidRPr="00405A56">
        <w:rPr>
          <w:lang w:eastAsia="pt-BR"/>
        </w:rPr>
        <w:t xml:space="preserve"> change. </w:t>
      </w:r>
      <w:r w:rsidRPr="00D31F87">
        <w:rPr>
          <w:i/>
          <w:iCs/>
          <w:lang w:eastAsia="pt-BR"/>
        </w:rPr>
        <w:t>Research in Sports Medicine (Print)</w:t>
      </w:r>
      <w:r w:rsidRPr="00D31F87">
        <w:rPr>
          <w:lang w:eastAsia="pt-BR"/>
        </w:rPr>
        <w:t xml:space="preserve">, </w:t>
      </w:r>
      <w:r w:rsidRPr="00D31F87">
        <w:rPr>
          <w:i/>
          <w:iCs/>
          <w:lang w:eastAsia="pt-BR"/>
        </w:rPr>
        <w:t>25</w:t>
      </w:r>
      <w:r w:rsidR="007012B4" w:rsidRPr="00D31F87">
        <w:rPr>
          <w:lang w:eastAsia="pt-BR"/>
        </w:rPr>
        <w:t>(3), 357-</w:t>
      </w:r>
      <w:r w:rsidRPr="00D31F87">
        <w:rPr>
          <w:lang w:eastAsia="pt-BR"/>
        </w:rPr>
        <w:t xml:space="preserve">372. </w:t>
      </w:r>
      <w:hyperlink r:id="rId53" w:history="1">
        <w:r w:rsidR="007012B4" w:rsidRPr="00D31F87">
          <w:rPr>
            <w:rStyle w:val="Hipervnculo"/>
            <w:lang w:eastAsia="pt-BR"/>
          </w:rPr>
          <w:t>https://doi.org/10.1080/15438627.2017.1314287</w:t>
        </w:r>
      </w:hyperlink>
      <w:r w:rsidR="007012B4" w:rsidRPr="00D31F87">
        <w:rPr>
          <w:color w:val="0563C1"/>
          <w:u w:val="single"/>
          <w:lang w:eastAsia="pt-BR"/>
        </w:rPr>
        <w:t xml:space="preserve"> </w:t>
      </w:r>
    </w:p>
    <w:p w14:paraId="1EDCE1F7" w14:textId="33BE3E0E" w:rsidR="003C6F22" w:rsidRDefault="00405A56" w:rsidP="00F1334C">
      <w:pPr>
        <w:pStyle w:val="Referencias"/>
        <w:spacing w:line="300" w:lineRule="exact"/>
        <w:rPr>
          <w:lang w:val="pt-BR" w:eastAsia="pt-BR"/>
        </w:rPr>
      </w:pPr>
      <w:proofErr w:type="spellStart"/>
      <w:r w:rsidRPr="00D31F87">
        <w:rPr>
          <w:lang w:eastAsia="pt-BR"/>
        </w:rPr>
        <w:t>Pais</w:t>
      </w:r>
      <w:proofErr w:type="spellEnd"/>
      <w:r w:rsidRPr="00D31F87">
        <w:rPr>
          <w:lang w:eastAsia="pt-BR"/>
        </w:rPr>
        <w:t xml:space="preserve">-Ribeiro, J. L., &amp; Ponte, A. C. S. L. C. (2009). </w:t>
      </w:r>
      <w:r w:rsidRPr="00405A56">
        <w:rPr>
          <w:lang w:val="pt-BR" w:eastAsia="pt-BR"/>
        </w:rPr>
        <w:t xml:space="preserve">Propriedades métricas da versão portuguesa da escala de suporte social do MOS (MOS Social </w:t>
      </w:r>
      <w:proofErr w:type="spellStart"/>
      <w:r w:rsidRPr="00405A56">
        <w:rPr>
          <w:lang w:val="pt-BR" w:eastAsia="pt-BR"/>
        </w:rPr>
        <w:t>Support</w:t>
      </w:r>
      <w:proofErr w:type="spellEnd"/>
      <w:r w:rsidRPr="00405A56">
        <w:rPr>
          <w:lang w:val="pt-BR" w:eastAsia="pt-BR"/>
        </w:rPr>
        <w:t xml:space="preserve"> </w:t>
      </w:r>
      <w:proofErr w:type="spellStart"/>
      <w:r w:rsidRPr="00405A56">
        <w:rPr>
          <w:lang w:val="pt-BR" w:eastAsia="pt-BR"/>
        </w:rPr>
        <w:t>Survey</w:t>
      </w:r>
      <w:proofErr w:type="spellEnd"/>
      <w:r w:rsidRPr="00405A56">
        <w:rPr>
          <w:lang w:val="pt-BR" w:eastAsia="pt-BR"/>
        </w:rPr>
        <w:t xml:space="preserve">) com idosos. </w:t>
      </w:r>
      <w:r w:rsidRPr="00405A56">
        <w:rPr>
          <w:i/>
          <w:iCs/>
          <w:lang w:val="pt-BR" w:eastAsia="pt-BR"/>
        </w:rPr>
        <w:t>Psicologia, Saúde &amp;</w:t>
      </w:r>
      <w:proofErr w:type="spellStart"/>
      <w:r w:rsidRPr="00405A56">
        <w:rPr>
          <w:i/>
          <w:iCs/>
          <w:lang w:val="pt-BR" w:eastAsia="pt-BR"/>
        </w:rPr>
        <w:t>amp</w:t>
      </w:r>
      <w:proofErr w:type="spellEnd"/>
      <w:r w:rsidRPr="00405A56">
        <w:rPr>
          <w:i/>
          <w:iCs/>
          <w:lang w:val="pt-BR" w:eastAsia="pt-BR"/>
        </w:rPr>
        <w:t>; Doenças</w:t>
      </w:r>
      <w:r w:rsidRPr="00405A56">
        <w:rPr>
          <w:lang w:val="pt-BR" w:eastAsia="pt-BR"/>
        </w:rPr>
        <w:t xml:space="preserve">, </w:t>
      </w:r>
      <w:r w:rsidRPr="00405A56">
        <w:rPr>
          <w:i/>
          <w:iCs/>
          <w:lang w:val="pt-BR" w:eastAsia="pt-BR"/>
        </w:rPr>
        <w:t>10</w:t>
      </w:r>
      <w:r w:rsidR="007012B4">
        <w:rPr>
          <w:lang w:val="pt-BR" w:eastAsia="pt-BR"/>
        </w:rPr>
        <w:t>(2), 163-</w:t>
      </w:r>
      <w:r w:rsidRPr="00405A56">
        <w:rPr>
          <w:lang w:val="pt-BR" w:eastAsia="pt-BR"/>
        </w:rPr>
        <w:t>174.</w:t>
      </w:r>
    </w:p>
    <w:p w14:paraId="05D36624" w14:textId="1AF43871" w:rsidR="003C6F22" w:rsidRPr="00D31F87" w:rsidRDefault="00405A56" w:rsidP="00F1334C">
      <w:pPr>
        <w:pStyle w:val="Referencias"/>
        <w:spacing w:line="300" w:lineRule="exact"/>
        <w:rPr>
          <w:color w:val="0563C1"/>
          <w:u w:val="single"/>
          <w:shd w:val="clear" w:color="auto" w:fill="FFFFFF"/>
          <w:lang w:val="pt-BR" w:eastAsia="pt-BR"/>
        </w:rPr>
      </w:pPr>
      <w:r w:rsidRPr="00405A56">
        <w:rPr>
          <w:lang w:val="pt-BR" w:eastAsia="pt-BR"/>
        </w:rPr>
        <w:t xml:space="preserve">Paulino, C. A., </w:t>
      </w:r>
      <w:proofErr w:type="spellStart"/>
      <w:r w:rsidRPr="00405A56">
        <w:rPr>
          <w:lang w:val="pt-BR" w:eastAsia="pt-BR"/>
        </w:rPr>
        <w:t>Prezotto</w:t>
      </w:r>
      <w:proofErr w:type="spellEnd"/>
      <w:r w:rsidRPr="00405A56">
        <w:rPr>
          <w:lang w:val="pt-BR" w:eastAsia="pt-BR"/>
        </w:rPr>
        <w:t xml:space="preserve">, A. O., &amp; Calixto, R. F. (2015). Associação entre estresse, depressão e tontura: uma breve revisão. </w:t>
      </w:r>
      <w:r w:rsidRPr="00405A56">
        <w:rPr>
          <w:i/>
          <w:iCs/>
          <w:lang w:val="pt-BR" w:eastAsia="pt-BR"/>
        </w:rPr>
        <w:t>Revista Equilíbrio Corporal e Saúde</w:t>
      </w:r>
      <w:r w:rsidRPr="00405A56">
        <w:rPr>
          <w:lang w:val="pt-BR" w:eastAsia="pt-BR"/>
        </w:rPr>
        <w:t xml:space="preserve">, </w:t>
      </w:r>
      <w:r w:rsidRPr="00405A56">
        <w:rPr>
          <w:i/>
          <w:iCs/>
          <w:lang w:val="pt-BR" w:eastAsia="pt-BR"/>
        </w:rPr>
        <w:t>1</w:t>
      </w:r>
      <w:r w:rsidRPr="00405A56">
        <w:rPr>
          <w:lang w:val="pt-BR" w:eastAsia="pt-BR"/>
        </w:rPr>
        <w:t xml:space="preserve">(1). </w:t>
      </w:r>
      <w:hyperlink r:id="rId54" w:history="1">
        <w:r w:rsidR="007012B4" w:rsidRPr="00D31F87">
          <w:rPr>
            <w:rStyle w:val="Hipervnculo"/>
            <w:shd w:val="clear" w:color="auto" w:fill="FFFFFF"/>
            <w:lang w:val="pt-BR" w:eastAsia="pt-BR"/>
          </w:rPr>
          <w:t>https://doi.org/10.17921/2176-9524.2009v1n1p%25</w:t>
        </w:r>
        <w:r w:rsidR="007012B4" w:rsidRPr="00B56480">
          <w:rPr>
            <w:rStyle w:val="Hipervnculo"/>
            <w:shd w:val="clear" w:color="auto" w:fill="FFFFFF"/>
            <w:lang w:val="pt-BR" w:eastAsia="pt-BR"/>
          </w:rPr>
          <w:t>p</w:t>
        </w:r>
      </w:hyperlink>
      <w:r w:rsidR="007012B4">
        <w:rPr>
          <w:color w:val="0563C1"/>
          <w:u w:val="single"/>
          <w:shd w:val="clear" w:color="auto" w:fill="FFFFFF"/>
          <w:lang w:val="pt-BR" w:eastAsia="pt-BR"/>
        </w:rPr>
        <w:t xml:space="preserve"> </w:t>
      </w:r>
    </w:p>
    <w:p w14:paraId="7CA9A27B" w14:textId="159D64FF" w:rsidR="003C6F22" w:rsidRPr="007012B4" w:rsidRDefault="00405A56" w:rsidP="00F1334C">
      <w:pPr>
        <w:pStyle w:val="Referencias"/>
        <w:spacing w:line="300" w:lineRule="exact"/>
        <w:rPr>
          <w:color w:val="0563C1"/>
          <w:u w:val="single"/>
          <w:shd w:val="clear" w:color="auto" w:fill="FFFFFF"/>
          <w:lang w:eastAsia="pt-BR"/>
        </w:rPr>
      </w:pPr>
      <w:proofErr w:type="spellStart"/>
      <w:r w:rsidRPr="00D31F87">
        <w:rPr>
          <w:lang w:val="pt-BR" w:eastAsia="pt-BR"/>
        </w:rPr>
        <w:t>Penningroth</w:t>
      </w:r>
      <w:proofErr w:type="spellEnd"/>
      <w:r w:rsidRPr="00D31F87">
        <w:rPr>
          <w:lang w:val="pt-BR" w:eastAsia="pt-BR"/>
        </w:rPr>
        <w:t xml:space="preserve">, S. L., &amp; Scott, W. D. (2012). </w:t>
      </w:r>
      <w:r w:rsidRPr="00405A56">
        <w:rPr>
          <w:lang w:eastAsia="pt-BR"/>
        </w:rPr>
        <w:t xml:space="preserve">Age-related differences in goals: testing predictions from selection, optimization, and compensation theory and socioemotional selectivity theory. </w:t>
      </w:r>
      <w:r w:rsidRPr="00405A56">
        <w:rPr>
          <w:i/>
          <w:iCs/>
          <w:lang w:eastAsia="pt-BR"/>
        </w:rPr>
        <w:t>International Journal of Aging &amp; Human Development</w:t>
      </w:r>
      <w:r w:rsidRPr="00405A56">
        <w:rPr>
          <w:lang w:eastAsia="pt-BR"/>
        </w:rPr>
        <w:t xml:space="preserve">, </w:t>
      </w:r>
      <w:r w:rsidRPr="00405A56">
        <w:rPr>
          <w:i/>
          <w:iCs/>
          <w:lang w:eastAsia="pt-BR"/>
        </w:rPr>
        <w:t>74</w:t>
      </w:r>
      <w:r w:rsidR="007012B4">
        <w:rPr>
          <w:lang w:eastAsia="pt-BR"/>
        </w:rPr>
        <w:t>(2), 87-</w:t>
      </w:r>
      <w:r w:rsidRPr="00405A56">
        <w:rPr>
          <w:lang w:eastAsia="pt-BR"/>
        </w:rPr>
        <w:t xml:space="preserve">111. </w:t>
      </w:r>
      <w:hyperlink r:id="rId55" w:history="1">
        <w:r w:rsidR="007012B4" w:rsidRPr="00B56480">
          <w:rPr>
            <w:rStyle w:val="Hipervnculo"/>
            <w:shd w:val="clear" w:color="auto" w:fill="FFFFFF"/>
            <w:lang w:eastAsia="pt-BR"/>
          </w:rPr>
          <w:t>https://doi.org/10.2190/AG.74.2.a</w:t>
        </w:r>
      </w:hyperlink>
      <w:r w:rsidR="007012B4">
        <w:rPr>
          <w:color w:val="0563C1"/>
          <w:u w:val="single"/>
          <w:shd w:val="clear" w:color="auto" w:fill="FFFFFF"/>
          <w:lang w:eastAsia="pt-BR"/>
        </w:rPr>
        <w:t xml:space="preserve"> </w:t>
      </w:r>
    </w:p>
    <w:p w14:paraId="592A4D69" w14:textId="3B6CAD21" w:rsidR="003C6F22" w:rsidRDefault="00405A56" w:rsidP="00F1334C">
      <w:pPr>
        <w:pStyle w:val="Referencias"/>
        <w:spacing w:line="300" w:lineRule="exact"/>
        <w:rPr>
          <w:color w:val="0563C1"/>
          <w:u w:val="single"/>
          <w:lang w:val="pt-BR" w:eastAsia="pt-BR"/>
        </w:rPr>
      </w:pPr>
      <w:r w:rsidRPr="00D31F87">
        <w:rPr>
          <w:lang w:val="pt-BR" w:eastAsia="pt-BR"/>
        </w:rPr>
        <w:t xml:space="preserve">Pimentel, F., &amp; Diniz, A. M. (2012). </w:t>
      </w:r>
      <w:r w:rsidRPr="00405A56">
        <w:rPr>
          <w:lang w:eastAsia="pt-BR"/>
        </w:rPr>
        <w:t xml:space="preserve">Perceived motor ability and selection, optimization, and compensation: effects of age and institutionalization. </w:t>
      </w:r>
      <w:proofErr w:type="spellStart"/>
      <w:r w:rsidRPr="00405A56">
        <w:rPr>
          <w:i/>
          <w:iCs/>
          <w:lang w:val="pt-BR" w:eastAsia="pt-BR"/>
        </w:rPr>
        <w:t>Psico-USF</w:t>
      </w:r>
      <w:proofErr w:type="spellEnd"/>
      <w:r w:rsidRPr="00405A56">
        <w:rPr>
          <w:lang w:val="pt-BR" w:eastAsia="pt-BR"/>
        </w:rPr>
        <w:t xml:space="preserve">, </w:t>
      </w:r>
      <w:r w:rsidRPr="00405A56">
        <w:rPr>
          <w:i/>
          <w:iCs/>
          <w:lang w:val="pt-BR" w:eastAsia="pt-BR"/>
        </w:rPr>
        <w:t>17</w:t>
      </w:r>
      <w:r w:rsidR="007012B4">
        <w:rPr>
          <w:lang w:val="pt-BR" w:eastAsia="pt-BR"/>
        </w:rPr>
        <w:t>(3), 357-</w:t>
      </w:r>
      <w:r w:rsidRPr="00405A56">
        <w:rPr>
          <w:lang w:val="pt-BR" w:eastAsia="pt-BR"/>
        </w:rPr>
        <w:t xml:space="preserve">368. </w:t>
      </w:r>
      <w:hyperlink r:id="rId56" w:history="1">
        <w:r w:rsidR="007012B4" w:rsidRPr="00B56480">
          <w:rPr>
            <w:rStyle w:val="Hipervnculo"/>
            <w:lang w:val="pt-BR" w:eastAsia="pt-BR"/>
          </w:rPr>
          <w:t>http://dx.doi.org/10.1590/S1413-82712012000300002</w:t>
        </w:r>
      </w:hyperlink>
      <w:r w:rsidR="007012B4">
        <w:rPr>
          <w:color w:val="0563C1"/>
          <w:u w:val="single"/>
          <w:lang w:val="pt-BR" w:eastAsia="pt-BR"/>
        </w:rPr>
        <w:t xml:space="preserve"> </w:t>
      </w:r>
    </w:p>
    <w:p w14:paraId="382371D1" w14:textId="7CD91678" w:rsidR="003C6F22" w:rsidRDefault="00405A56" w:rsidP="00F1334C">
      <w:pPr>
        <w:pStyle w:val="Referencias"/>
        <w:spacing w:line="300" w:lineRule="exact"/>
        <w:rPr>
          <w:lang w:val="pt-BR" w:eastAsia="pt-BR"/>
        </w:rPr>
      </w:pPr>
      <w:r w:rsidRPr="00405A56">
        <w:rPr>
          <w:lang w:val="pt-BR" w:eastAsia="pt-BR"/>
        </w:rPr>
        <w:t xml:space="preserve">Pinho, M. X., Custódio, O., &amp; </w:t>
      </w:r>
      <w:proofErr w:type="spellStart"/>
      <w:r w:rsidRPr="00405A56">
        <w:rPr>
          <w:lang w:val="pt-BR" w:eastAsia="pt-BR"/>
        </w:rPr>
        <w:t>Makdisse</w:t>
      </w:r>
      <w:proofErr w:type="spellEnd"/>
      <w:r w:rsidRPr="00405A56">
        <w:rPr>
          <w:lang w:val="pt-BR" w:eastAsia="pt-BR"/>
        </w:rPr>
        <w:t xml:space="preserve">, M. (2009). Incidência de depressão e fatores associados em idosos residentes na comunidade: revisão de literatura. </w:t>
      </w:r>
      <w:r w:rsidRPr="00405A56">
        <w:rPr>
          <w:i/>
          <w:iCs/>
          <w:lang w:val="pt-BR" w:eastAsia="pt-BR"/>
        </w:rPr>
        <w:t>Revista Brasileira de Geriatria e Gerontologia</w:t>
      </w:r>
      <w:r w:rsidRPr="00405A56">
        <w:rPr>
          <w:lang w:val="pt-BR" w:eastAsia="pt-BR"/>
        </w:rPr>
        <w:t xml:space="preserve">, </w:t>
      </w:r>
      <w:r w:rsidRPr="00405A56">
        <w:rPr>
          <w:i/>
          <w:iCs/>
          <w:lang w:val="pt-BR" w:eastAsia="pt-BR"/>
        </w:rPr>
        <w:t>12</w:t>
      </w:r>
      <w:r w:rsidRPr="00405A56">
        <w:rPr>
          <w:lang w:val="pt-BR" w:eastAsia="pt-BR"/>
        </w:rPr>
        <w:t>(1), 123</w:t>
      </w:r>
      <w:r w:rsidR="007012B4">
        <w:rPr>
          <w:lang w:val="pt-BR" w:eastAsia="pt-BR"/>
        </w:rPr>
        <w:t>-</w:t>
      </w:r>
      <w:r w:rsidRPr="00405A56">
        <w:rPr>
          <w:lang w:val="pt-BR" w:eastAsia="pt-BR"/>
        </w:rPr>
        <w:t xml:space="preserve">140. </w:t>
      </w:r>
    </w:p>
    <w:p w14:paraId="02265FD7" w14:textId="6930B803" w:rsidR="003C6F22" w:rsidRDefault="00405A56" w:rsidP="00F1334C">
      <w:pPr>
        <w:pStyle w:val="Referencias"/>
        <w:spacing w:line="300" w:lineRule="exact"/>
        <w:rPr>
          <w:lang w:eastAsia="pt-BR"/>
        </w:rPr>
      </w:pPr>
      <w:r w:rsidRPr="00B01635">
        <w:rPr>
          <w:lang w:val="es-ES" w:eastAsia="pt-BR"/>
        </w:rPr>
        <w:t xml:space="preserve">Riedel, N., Müller, A., &amp; </w:t>
      </w:r>
      <w:proofErr w:type="spellStart"/>
      <w:r w:rsidRPr="00B01635">
        <w:rPr>
          <w:lang w:val="es-ES" w:eastAsia="pt-BR"/>
        </w:rPr>
        <w:t>Ebener</w:t>
      </w:r>
      <w:proofErr w:type="spellEnd"/>
      <w:r w:rsidRPr="00B01635">
        <w:rPr>
          <w:lang w:val="es-ES" w:eastAsia="pt-BR"/>
        </w:rPr>
        <w:t xml:space="preserve">, M. (2015a). </w:t>
      </w:r>
      <w:r w:rsidRPr="00405A56">
        <w:rPr>
          <w:lang w:eastAsia="pt-BR"/>
        </w:rPr>
        <w:t xml:space="preserve">Applying Strategies of Selection, Optimization, and Compensation to Maintain Work Ability-A Psychosocial Resource Complementing the Job Demand-Control Model? Results From the Representative </w:t>
      </w:r>
      <w:proofErr w:type="spellStart"/>
      <w:r w:rsidRPr="00405A56">
        <w:rPr>
          <w:lang w:eastAsia="pt-BR"/>
        </w:rPr>
        <w:t>lidA</w:t>
      </w:r>
      <w:proofErr w:type="spellEnd"/>
      <w:r w:rsidRPr="00405A56">
        <w:rPr>
          <w:lang w:eastAsia="pt-BR"/>
        </w:rPr>
        <w:t xml:space="preserve"> Cohort Study on Work, Age, and Health in Germany. </w:t>
      </w:r>
      <w:r w:rsidRPr="00405A56">
        <w:rPr>
          <w:i/>
          <w:iCs/>
          <w:lang w:eastAsia="pt-BR"/>
        </w:rPr>
        <w:t>Journal of Occupational and Environmental Medicine</w:t>
      </w:r>
      <w:r w:rsidRPr="00405A56">
        <w:rPr>
          <w:lang w:eastAsia="pt-BR"/>
        </w:rPr>
        <w:t xml:space="preserve">, </w:t>
      </w:r>
      <w:r w:rsidRPr="00405A56">
        <w:rPr>
          <w:i/>
          <w:iCs/>
          <w:lang w:eastAsia="pt-BR"/>
        </w:rPr>
        <w:t>57</w:t>
      </w:r>
      <w:r w:rsidR="007012B4">
        <w:rPr>
          <w:lang w:eastAsia="pt-BR"/>
        </w:rPr>
        <w:t>(5), 552-561.</w:t>
      </w:r>
      <w:r w:rsidRPr="00405A56">
        <w:rPr>
          <w:lang w:eastAsia="pt-BR"/>
        </w:rPr>
        <w:t xml:space="preserve"> </w:t>
      </w:r>
      <w:hyperlink r:id="rId57" w:history="1">
        <w:r w:rsidR="007012B4" w:rsidRPr="00B56480">
          <w:rPr>
            <w:rStyle w:val="Hipervnculo"/>
            <w:lang w:eastAsia="pt-BR"/>
          </w:rPr>
          <w:t>https://doi.org/10.1097/JOM.0000000000000402</w:t>
        </w:r>
      </w:hyperlink>
      <w:r w:rsidR="007012B4">
        <w:rPr>
          <w:lang w:eastAsia="pt-BR"/>
        </w:rPr>
        <w:t xml:space="preserve"> </w:t>
      </w:r>
    </w:p>
    <w:p w14:paraId="22BA5BE6" w14:textId="084D9566" w:rsidR="003C6F22" w:rsidRPr="003C6F22" w:rsidRDefault="00405A56" w:rsidP="00F1334C">
      <w:pPr>
        <w:pStyle w:val="Referencias"/>
        <w:spacing w:line="300" w:lineRule="exact"/>
        <w:rPr>
          <w:lang w:eastAsia="pt-BR"/>
        </w:rPr>
      </w:pPr>
      <w:r w:rsidRPr="00D31F87">
        <w:rPr>
          <w:lang w:val="es-ES" w:eastAsia="pt-BR"/>
        </w:rPr>
        <w:t xml:space="preserve">Riedel, N., Müller, A., &amp; </w:t>
      </w:r>
      <w:proofErr w:type="spellStart"/>
      <w:r w:rsidRPr="00D31F87">
        <w:rPr>
          <w:lang w:val="es-ES" w:eastAsia="pt-BR"/>
        </w:rPr>
        <w:t>Ebener</w:t>
      </w:r>
      <w:proofErr w:type="spellEnd"/>
      <w:r w:rsidRPr="00D31F87">
        <w:rPr>
          <w:lang w:val="es-ES" w:eastAsia="pt-BR"/>
        </w:rPr>
        <w:t xml:space="preserve">, M. (2015b). </w:t>
      </w:r>
      <w:r w:rsidRPr="00405A56">
        <w:rPr>
          <w:lang w:eastAsia="pt-BR"/>
        </w:rPr>
        <w:t xml:space="preserve">Applying Strategies of Selection, Optimization, and Compensation to Maintain Work Ability-A Psychosocial Resource Complementing the Job Demand-Control Model? Results From the Representative </w:t>
      </w:r>
      <w:proofErr w:type="spellStart"/>
      <w:r w:rsidRPr="00405A56">
        <w:rPr>
          <w:lang w:eastAsia="pt-BR"/>
        </w:rPr>
        <w:t>lidA</w:t>
      </w:r>
      <w:proofErr w:type="spellEnd"/>
      <w:r w:rsidRPr="00405A56">
        <w:rPr>
          <w:lang w:eastAsia="pt-BR"/>
        </w:rPr>
        <w:t xml:space="preserve"> Cohort Study on Work, Age, and Health in Germany. </w:t>
      </w:r>
      <w:r w:rsidRPr="00405A56">
        <w:rPr>
          <w:i/>
          <w:iCs/>
          <w:lang w:eastAsia="pt-BR"/>
        </w:rPr>
        <w:t>Journal of Occupational and Environmental Medicine</w:t>
      </w:r>
      <w:r w:rsidRPr="00405A56">
        <w:rPr>
          <w:lang w:eastAsia="pt-BR"/>
        </w:rPr>
        <w:t xml:space="preserve">, </w:t>
      </w:r>
      <w:r w:rsidRPr="00405A56">
        <w:rPr>
          <w:i/>
          <w:iCs/>
          <w:lang w:eastAsia="pt-BR"/>
        </w:rPr>
        <w:t>57</w:t>
      </w:r>
      <w:r w:rsidRPr="00405A56">
        <w:rPr>
          <w:lang w:eastAsia="pt-BR"/>
        </w:rPr>
        <w:t>(5), 552</w:t>
      </w:r>
      <w:r w:rsidR="007012B4">
        <w:rPr>
          <w:lang w:eastAsia="pt-BR"/>
        </w:rPr>
        <w:t xml:space="preserve">-561. </w:t>
      </w:r>
      <w:hyperlink r:id="rId58" w:history="1">
        <w:r w:rsidR="007012B4" w:rsidRPr="00B56480">
          <w:rPr>
            <w:rStyle w:val="Hipervnculo"/>
            <w:lang w:eastAsia="pt-BR"/>
          </w:rPr>
          <w:t>https://doi.org/10.1097/JOM.0000000000000402</w:t>
        </w:r>
      </w:hyperlink>
      <w:r w:rsidR="007012B4">
        <w:rPr>
          <w:lang w:eastAsia="pt-BR"/>
        </w:rPr>
        <w:t xml:space="preserve">  </w:t>
      </w:r>
    </w:p>
    <w:p w14:paraId="0FBB4EF4" w14:textId="33BF8423" w:rsidR="003C6F22" w:rsidRPr="003C6F22" w:rsidRDefault="00405A56" w:rsidP="00F1334C">
      <w:pPr>
        <w:pStyle w:val="Referencias"/>
        <w:spacing w:line="300" w:lineRule="exact"/>
        <w:rPr>
          <w:color w:val="0563C1"/>
          <w:u w:val="single"/>
          <w:lang w:eastAsia="pt-BR"/>
        </w:rPr>
      </w:pPr>
      <w:r w:rsidRPr="007012B4">
        <w:rPr>
          <w:lang w:val="es-ES" w:eastAsia="pt-BR"/>
        </w:rPr>
        <w:lastRenderedPageBreak/>
        <w:t xml:space="preserve">Rozario, P. A., </w:t>
      </w:r>
      <w:proofErr w:type="spellStart"/>
      <w:r w:rsidRPr="007012B4">
        <w:rPr>
          <w:lang w:val="es-ES" w:eastAsia="pt-BR"/>
        </w:rPr>
        <w:t>Kidahashi</w:t>
      </w:r>
      <w:proofErr w:type="spellEnd"/>
      <w:r w:rsidRPr="007012B4">
        <w:rPr>
          <w:lang w:val="es-ES" w:eastAsia="pt-BR"/>
        </w:rPr>
        <w:t xml:space="preserve">, M., &amp; </w:t>
      </w:r>
      <w:proofErr w:type="spellStart"/>
      <w:r w:rsidRPr="007012B4">
        <w:rPr>
          <w:lang w:val="es-ES" w:eastAsia="pt-BR"/>
        </w:rPr>
        <w:t>DeRienzis</w:t>
      </w:r>
      <w:proofErr w:type="spellEnd"/>
      <w:r w:rsidRPr="007012B4">
        <w:rPr>
          <w:lang w:val="es-ES" w:eastAsia="pt-BR"/>
        </w:rPr>
        <w:t xml:space="preserve">, D. R. (2011). </w:t>
      </w:r>
      <w:r w:rsidRPr="00405A56">
        <w:rPr>
          <w:lang w:eastAsia="pt-BR"/>
        </w:rPr>
        <w:t xml:space="preserve">Selection, optimization, and compensation: strategies to maintain, maximize, and generate resources in later life in the face of chronic illnesses. </w:t>
      </w:r>
      <w:r w:rsidRPr="00405A56">
        <w:rPr>
          <w:i/>
          <w:iCs/>
          <w:lang w:eastAsia="pt-BR"/>
        </w:rPr>
        <w:t>Journal of Gerontological Social Work</w:t>
      </w:r>
      <w:r w:rsidRPr="00405A56">
        <w:rPr>
          <w:lang w:eastAsia="pt-BR"/>
        </w:rPr>
        <w:t xml:space="preserve">, </w:t>
      </w:r>
      <w:r w:rsidRPr="00405A56">
        <w:rPr>
          <w:i/>
          <w:iCs/>
          <w:lang w:eastAsia="pt-BR"/>
        </w:rPr>
        <w:t>54</w:t>
      </w:r>
      <w:r w:rsidR="007012B4">
        <w:rPr>
          <w:lang w:eastAsia="pt-BR"/>
        </w:rPr>
        <w:t>(2), 224-</w:t>
      </w:r>
      <w:r w:rsidRPr="00405A56">
        <w:rPr>
          <w:lang w:eastAsia="pt-BR"/>
        </w:rPr>
        <w:t xml:space="preserve">239. </w:t>
      </w:r>
      <w:hyperlink r:id="rId59" w:history="1">
        <w:r w:rsidR="007012B4" w:rsidRPr="00B56480">
          <w:rPr>
            <w:rStyle w:val="Hipervnculo"/>
            <w:lang w:eastAsia="pt-BR"/>
          </w:rPr>
          <w:t>https://doi.org/10.1080/01634372.2010.53958</w:t>
        </w:r>
        <w:r w:rsidR="007012B4" w:rsidRPr="00D31F87">
          <w:rPr>
            <w:rStyle w:val="Hipervnculo"/>
            <w:lang w:eastAsia="pt-BR"/>
          </w:rPr>
          <w:t>9</w:t>
        </w:r>
      </w:hyperlink>
      <w:r w:rsidR="007012B4" w:rsidRPr="00D31F87">
        <w:rPr>
          <w:color w:val="0563C1"/>
          <w:u w:val="single"/>
          <w:lang w:eastAsia="pt-BR"/>
        </w:rPr>
        <w:t xml:space="preserve"> </w:t>
      </w:r>
    </w:p>
    <w:p w14:paraId="425103A8" w14:textId="6B79D8C6" w:rsidR="003C6F22" w:rsidRDefault="00405A56" w:rsidP="00F1334C">
      <w:pPr>
        <w:pStyle w:val="Referencias"/>
        <w:spacing w:line="300" w:lineRule="exact"/>
        <w:rPr>
          <w:color w:val="0563C1"/>
          <w:u w:val="single"/>
          <w:lang w:val="pt-BR" w:eastAsia="pt-BR"/>
        </w:rPr>
      </w:pPr>
      <w:r w:rsidRPr="00405A56">
        <w:rPr>
          <w:lang w:eastAsia="pt-BR"/>
        </w:rPr>
        <w:t xml:space="preserve">Rush, K. L., Watts, W. E., &amp; Stanbury, J. (2011). Mobility adaptations of older adults: a secondary analysis. </w:t>
      </w:r>
      <w:proofErr w:type="spellStart"/>
      <w:r w:rsidRPr="00405A56">
        <w:rPr>
          <w:i/>
          <w:iCs/>
          <w:lang w:val="pt-BR" w:eastAsia="pt-BR"/>
        </w:rPr>
        <w:t>Clinical</w:t>
      </w:r>
      <w:proofErr w:type="spellEnd"/>
      <w:r w:rsidRPr="00405A56">
        <w:rPr>
          <w:i/>
          <w:iCs/>
          <w:lang w:val="pt-BR" w:eastAsia="pt-BR"/>
        </w:rPr>
        <w:t xml:space="preserve"> </w:t>
      </w:r>
      <w:proofErr w:type="spellStart"/>
      <w:r w:rsidRPr="00405A56">
        <w:rPr>
          <w:i/>
          <w:iCs/>
          <w:lang w:val="pt-BR" w:eastAsia="pt-BR"/>
        </w:rPr>
        <w:t>Nursing</w:t>
      </w:r>
      <w:proofErr w:type="spellEnd"/>
      <w:r w:rsidRPr="00405A56">
        <w:rPr>
          <w:i/>
          <w:iCs/>
          <w:lang w:val="pt-BR" w:eastAsia="pt-BR"/>
        </w:rPr>
        <w:t xml:space="preserve"> </w:t>
      </w:r>
      <w:proofErr w:type="spellStart"/>
      <w:r w:rsidRPr="00405A56">
        <w:rPr>
          <w:i/>
          <w:iCs/>
          <w:lang w:val="pt-BR" w:eastAsia="pt-BR"/>
        </w:rPr>
        <w:t>Research</w:t>
      </w:r>
      <w:proofErr w:type="spellEnd"/>
      <w:r w:rsidRPr="00405A56">
        <w:rPr>
          <w:lang w:val="pt-BR" w:eastAsia="pt-BR"/>
        </w:rPr>
        <w:t xml:space="preserve">, </w:t>
      </w:r>
      <w:r w:rsidRPr="00405A56">
        <w:rPr>
          <w:i/>
          <w:iCs/>
          <w:lang w:val="pt-BR" w:eastAsia="pt-BR"/>
        </w:rPr>
        <w:t>20</w:t>
      </w:r>
      <w:r w:rsidR="007012B4">
        <w:rPr>
          <w:lang w:val="pt-BR" w:eastAsia="pt-BR"/>
        </w:rPr>
        <w:t>(1), 81-</w:t>
      </w:r>
      <w:r w:rsidRPr="00405A56">
        <w:rPr>
          <w:lang w:val="pt-BR" w:eastAsia="pt-BR"/>
        </w:rPr>
        <w:t xml:space="preserve">100. </w:t>
      </w:r>
      <w:hyperlink r:id="rId60" w:history="1">
        <w:r w:rsidR="007012B4" w:rsidRPr="00B56480">
          <w:rPr>
            <w:rStyle w:val="Hipervnculo"/>
            <w:lang w:val="pt-BR" w:eastAsia="pt-BR"/>
          </w:rPr>
          <w:t>https://doi.org/10.1177/1054773810379401</w:t>
        </w:r>
      </w:hyperlink>
      <w:r w:rsidR="007012B4">
        <w:rPr>
          <w:color w:val="0563C1"/>
          <w:u w:val="single"/>
          <w:lang w:val="pt-BR" w:eastAsia="pt-BR"/>
        </w:rPr>
        <w:t xml:space="preserve"> </w:t>
      </w:r>
    </w:p>
    <w:p w14:paraId="4569093F" w14:textId="4F9ABBD1" w:rsidR="003C6F22" w:rsidRPr="00D31F87" w:rsidRDefault="00405A56" w:rsidP="00F1334C">
      <w:pPr>
        <w:pStyle w:val="Referencias"/>
        <w:spacing w:line="300" w:lineRule="exact"/>
        <w:rPr>
          <w:color w:val="0563C1"/>
          <w:u w:val="single"/>
          <w:lang w:eastAsia="pt-BR"/>
        </w:rPr>
      </w:pPr>
      <w:r w:rsidRPr="00405A56">
        <w:rPr>
          <w:lang w:val="pt-BR" w:eastAsia="pt-BR"/>
        </w:rPr>
        <w:t xml:space="preserve">Santana, S. T., Garcia, K. S. de M., &amp; Araújo, R. M. da S. (2017). Um Olhar sobre o Grupo de Convivência como instrumento para a Inclusão Social do Idoso. </w:t>
      </w:r>
      <w:r w:rsidRPr="00D31F87">
        <w:rPr>
          <w:i/>
          <w:iCs/>
          <w:lang w:eastAsia="pt-BR"/>
        </w:rPr>
        <w:t xml:space="preserve">Id on Line </w:t>
      </w:r>
      <w:proofErr w:type="spellStart"/>
      <w:r w:rsidR="00DE202B" w:rsidRPr="00D31F87">
        <w:rPr>
          <w:i/>
          <w:iCs/>
          <w:lang w:eastAsia="pt-BR"/>
        </w:rPr>
        <w:t>Revista</w:t>
      </w:r>
      <w:proofErr w:type="spellEnd"/>
      <w:r w:rsidR="00DE202B" w:rsidRPr="00D31F87">
        <w:rPr>
          <w:i/>
          <w:iCs/>
          <w:lang w:eastAsia="pt-BR"/>
        </w:rPr>
        <w:t xml:space="preserve"> </w:t>
      </w:r>
      <w:proofErr w:type="spellStart"/>
      <w:r w:rsidR="00DE202B" w:rsidRPr="00D31F87">
        <w:rPr>
          <w:i/>
          <w:iCs/>
          <w:lang w:eastAsia="pt-BR"/>
        </w:rPr>
        <w:t>Multidisciplinar</w:t>
      </w:r>
      <w:proofErr w:type="spellEnd"/>
      <w:r w:rsidR="00DE202B" w:rsidRPr="00D31F87">
        <w:rPr>
          <w:i/>
          <w:iCs/>
          <w:lang w:eastAsia="pt-BR"/>
        </w:rPr>
        <w:t xml:space="preserve"> e de </w:t>
      </w:r>
      <w:proofErr w:type="spellStart"/>
      <w:r w:rsidR="00DE202B" w:rsidRPr="00D31F87">
        <w:rPr>
          <w:i/>
          <w:iCs/>
          <w:lang w:eastAsia="pt-BR"/>
        </w:rPr>
        <w:t>Psicologia</w:t>
      </w:r>
      <w:proofErr w:type="spellEnd"/>
      <w:r w:rsidRPr="00D31F87">
        <w:rPr>
          <w:lang w:eastAsia="pt-BR"/>
        </w:rPr>
        <w:t xml:space="preserve">, </w:t>
      </w:r>
      <w:r w:rsidRPr="00D31F87">
        <w:rPr>
          <w:i/>
          <w:iCs/>
          <w:lang w:eastAsia="pt-BR"/>
        </w:rPr>
        <w:t>11</w:t>
      </w:r>
      <w:r w:rsidR="007012B4" w:rsidRPr="00D31F87">
        <w:rPr>
          <w:lang w:eastAsia="pt-BR"/>
        </w:rPr>
        <w:t>(37), 598-</w:t>
      </w:r>
      <w:r w:rsidRPr="00D31F87">
        <w:rPr>
          <w:lang w:eastAsia="pt-BR"/>
        </w:rPr>
        <w:t xml:space="preserve">617. </w:t>
      </w:r>
      <w:hyperlink r:id="rId61" w:history="1">
        <w:r w:rsidR="007012B4" w:rsidRPr="00D31F87">
          <w:rPr>
            <w:rStyle w:val="Hipervnculo"/>
            <w:lang w:eastAsia="pt-BR"/>
          </w:rPr>
          <w:t>https://doi.org/10.14295/idonline.v11i37.862</w:t>
        </w:r>
      </w:hyperlink>
      <w:r w:rsidR="007012B4" w:rsidRPr="00D31F87">
        <w:rPr>
          <w:color w:val="0563C1"/>
          <w:u w:val="single"/>
          <w:lang w:eastAsia="pt-BR"/>
        </w:rPr>
        <w:t xml:space="preserve"> </w:t>
      </w:r>
    </w:p>
    <w:p w14:paraId="0DE7EF75" w14:textId="129D3277" w:rsidR="003C6F22" w:rsidRPr="007012B4" w:rsidRDefault="00405A56" w:rsidP="00F1334C">
      <w:pPr>
        <w:pStyle w:val="Referencias"/>
        <w:spacing w:line="300" w:lineRule="exact"/>
        <w:rPr>
          <w:color w:val="0563C1"/>
          <w:u w:val="single"/>
          <w:lang w:eastAsia="pt-BR"/>
        </w:rPr>
      </w:pPr>
      <w:proofErr w:type="spellStart"/>
      <w:r w:rsidRPr="00405A56">
        <w:rPr>
          <w:lang w:eastAsia="pt-BR"/>
        </w:rPr>
        <w:t>Scheibner</w:t>
      </w:r>
      <w:proofErr w:type="spellEnd"/>
      <w:r w:rsidRPr="00405A56">
        <w:rPr>
          <w:lang w:eastAsia="pt-BR"/>
        </w:rPr>
        <w:t xml:space="preserve">, G. B., &amp; Leathem, J. (2012). Memory control beliefs and everyday forgetfulness in adulthood: the effects of selection, optimization, and compensation strategies. </w:t>
      </w:r>
      <w:r w:rsidRPr="00405A56">
        <w:rPr>
          <w:i/>
          <w:iCs/>
          <w:lang w:eastAsia="pt-BR"/>
        </w:rPr>
        <w:t>Neuropsychology, Development, and Cognition. Section B, Aging, Neuropsychology and Cognition</w:t>
      </w:r>
      <w:r w:rsidRPr="00405A56">
        <w:rPr>
          <w:lang w:eastAsia="pt-BR"/>
        </w:rPr>
        <w:t xml:space="preserve">, </w:t>
      </w:r>
      <w:r w:rsidRPr="00405A56">
        <w:rPr>
          <w:i/>
          <w:iCs/>
          <w:lang w:eastAsia="pt-BR"/>
        </w:rPr>
        <w:t>19</w:t>
      </w:r>
      <w:r w:rsidR="007012B4">
        <w:rPr>
          <w:lang w:eastAsia="pt-BR"/>
        </w:rPr>
        <w:t>(3), 362-</w:t>
      </w:r>
      <w:r w:rsidRPr="00405A56">
        <w:rPr>
          <w:lang w:eastAsia="pt-BR"/>
        </w:rPr>
        <w:t xml:space="preserve">379. </w:t>
      </w:r>
      <w:hyperlink r:id="rId62" w:history="1">
        <w:r w:rsidR="007012B4" w:rsidRPr="00B56480">
          <w:rPr>
            <w:rStyle w:val="Hipervnculo"/>
            <w:lang w:eastAsia="pt-BR"/>
          </w:rPr>
          <w:t>https://doi.org/10.1080/13825585.2011.61590</w:t>
        </w:r>
        <w:r w:rsidR="007012B4" w:rsidRPr="007012B4">
          <w:rPr>
            <w:rStyle w:val="Hipervnculo"/>
            <w:lang w:eastAsia="pt-BR"/>
          </w:rPr>
          <w:t>5</w:t>
        </w:r>
      </w:hyperlink>
      <w:r w:rsidR="007012B4" w:rsidRPr="007012B4">
        <w:rPr>
          <w:color w:val="0563C1"/>
          <w:u w:val="single"/>
          <w:lang w:eastAsia="pt-BR"/>
        </w:rPr>
        <w:t xml:space="preserve"> </w:t>
      </w:r>
    </w:p>
    <w:p w14:paraId="15EFC655" w14:textId="323A2B73" w:rsidR="003C6F22" w:rsidRPr="00D31F87" w:rsidRDefault="00405A56" w:rsidP="00F1334C">
      <w:pPr>
        <w:pStyle w:val="Referencias"/>
        <w:spacing w:line="300" w:lineRule="exact"/>
        <w:rPr>
          <w:color w:val="0563C1"/>
          <w:u w:val="single"/>
          <w:lang w:eastAsia="pt-BR"/>
        </w:rPr>
      </w:pPr>
      <w:r w:rsidRPr="00405A56">
        <w:rPr>
          <w:lang w:eastAsia="pt-BR"/>
        </w:rPr>
        <w:t xml:space="preserve">Schmitt, A., </w:t>
      </w:r>
      <w:proofErr w:type="spellStart"/>
      <w:r w:rsidRPr="00405A56">
        <w:rPr>
          <w:lang w:eastAsia="pt-BR"/>
        </w:rPr>
        <w:t>Zacher</w:t>
      </w:r>
      <w:proofErr w:type="spellEnd"/>
      <w:r w:rsidRPr="00405A56">
        <w:rPr>
          <w:lang w:eastAsia="pt-BR"/>
        </w:rPr>
        <w:t xml:space="preserve">, H., &amp; </w:t>
      </w:r>
      <w:proofErr w:type="spellStart"/>
      <w:r w:rsidRPr="00405A56">
        <w:rPr>
          <w:lang w:eastAsia="pt-BR"/>
        </w:rPr>
        <w:t>Frese</w:t>
      </w:r>
      <w:proofErr w:type="spellEnd"/>
      <w:r w:rsidRPr="00405A56">
        <w:rPr>
          <w:lang w:eastAsia="pt-BR"/>
        </w:rPr>
        <w:t xml:space="preserve">, M. (2012). The buffering effect of selection, optimization, and compensation strategy use on the relationship between problem solving demands and occupational well-being: a daily diary study. </w:t>
      </w:r>
      <w:r w:rsidRPr="00405A56">
        <w:rPr>
          <w:i/>
          <w:iCs/>
          <w:lang w:eastAsia="pt-BR"/>
        </w:rPr>
        <w:t>Journal of Occupational Health Psychology</w:t>
      </w:r>
      <w:r w:rsidRPr="00405A56">
        <w:rPr>
          <w:lang w:eastAsia="pt-BR"/>
        </w:rPr>
        <w:t xml:space="preserve">, </w:t>
      </w:r>
      <w:r w:rsidRPr="00405A56">
        <w:rPr>
          <w:i/>
          <w:iCs/>
          <w:lang w:eastAsia="pt-BR"/>
        </w:rPr>
        <w:t>17</w:t>
      </w:r>
      <w:r w:rsidR="007012B4">
        <w:rPr>
          <w:lang w:eastAsia="pt-BR"/>
        </w:rPr>
        <w:t>(2), 139-</w:t>
      </w:r>
      <w:r w:rsidRPr="00405A56">
        <w:rPr>
          <w:lang w:eastAsia="pt-BR"/>
        </w:rPr>
        <w:t xml:space="preserve">149. </w:t>
      </w:r>
      <w:hyperlink r:id="rId63" w:history="1">
        <w:r w:rsidR="007012B4" w:rsidRPr="00B56480">
          <w:rPr>
            <w:rStyle w:val="Hipervnculo"/>
            <w:lang w:eastAsia="pt-BR"/>
          </w:rPr>
          <w:t>https://doi.org/10.1037/a002705</w:t>
        </w:r>
        <w:r w:rsidR="007012B4" w:rsidRPr="00D31F87">
          <w:rPr>
            <w:rStyle w:val="Hipervnculo"/>
            <w:lang w:eastAsia="pt-BR"/>
          </w:rPr>
          <w:t>4</w:t>
        </w:r>
      </w:hyperlink>
      <w:r w:rsidR="007012B4" w:rsidRPr="00D31F87">
        <w:rPr>
          <w:color w:val="0563C1"/>
          <w:u w:val="single"/>
          <w:lang w:eastAsia="pt-BR"/>
        </w:rPr>
        <w:t xml:space="preserve"> </w:t>
      </w:r>
    </w:p>
    <w:p w14:paraId="5CC48EC4" w14:textId="1FDD264B" w:rsidR="003C6F22" w:rsidRPr="007012B4" w:rsidRDefault="00405A56" w:rsidP="00F1334C">
      <w:pPr>
        <w:pStyle w:val="Referencias"/>
        <w:spacing w:line="300" w:lineRule="exact"/>
        <w:rPr>
          <w:color w:val="0563C1"/>
          <w:u w:val="single"/>
          <w:lang w:eastAsia="pt-BR"/>
        </w:rPr>
      </w:pPr>
      <w:r w:rsidRPr="00405A56">
        <w:rPr>
          <w:lang w:eastAsia="pt-BR"/>
        </w:rPr>
        <w:t xml:space="preserve">Shang, L., Riedel, N., </w:t>
      </w:r>
      <w:proofErr w:type="spellStart"/>
      <w:r w:rsidRPr="00405A56">
        <w:rPr>
          <w:lang w:eastAsia="pt-BR"/>
        </w:rPr>
        <w:t>Loerbroks</w:t>
      </w:r>
      <w:proofErr w:type="spellEnd"/>
      <w:r w:rsidRPr="00405A56">
        <w:rPr>
          <w:lang w:eastAsia="pt-BR"/>
        </w:rPr>
        <w:t xml:space="preserve">, A., Müller, A., </w:t>
      </w:r>
      <w:proofErr w:type="spellStart"/>
      <w:r w:rsidRPr="00405A56">
        <w:rPr>
          <w:lang w:eastAsia="pt-BR"/>
        </w:rPr>
        <w:t>Wege</w:t>
      </w:r>
      <w:proofErr w:type="spellEnd"/>
      <w:r w:rsidRPr="00405A56">
        <w:rPr>
          <w:lang w:eastAsia="pt-BR"/>
        </w:rPr>
        <w:t xml:space="preserve">, N., </w:t>
      </w:r>
      <w:proofErr w:type="spellStart"/>
      <w:r w:rsidRPr="00405A56">
        <w:rPr>
          <w:lang w:eastAsia="pt-BR"/>
        </w:rPr>
        <w:t>Angerer</w:t>
      </w:r>
      <w:proofErr w:type="spellEnd"/>
      <w:r w:rsidRPr="00405A56">
        <w:rPr>
          <w:lang w:eastAsia="pt-BR"/>
        </w:rPr>
        <w:t xml:space="preserve">, P., &amp; Li, J. (2015). The Association Between Effort-Reward Imbalance and Depressive Symptoms Is Modified by Selection, Optimization, and Compensation Strategy. </w:t>
      </w:r>
      <w:r w:rsidRPr="00405A56">
        <w:rPr>
          <w:i/>
          <w:iCs/>
          <w:lang w:eastAsia="pt-BR"/>
        </w:rPr>
        <w:t>Journal of Occupational and Environmental Medicine</w:t>
      </w:r>
      <w:r w:rsidRPr="00405A56">
        <w:rPr>
          <w:lang w:eastAsia="pt-BR"/>
        </w:rPr>
        <w:t xml:space="preserve">, </w:t>
      </w:r>
      <w:r w:rsidRPr="00405A56">
        <w:rPr>
          <w:i/>
          <w:iCs/>
          <w:lang w:eastAsia="pt-BR"/>
        </w:rPr>
        <w:t>57</w:t>
      </w:r>
      <w:r w:rsidR="007012B4">
        <w:rPr>
          <w:lang w:eastAsia="pt-BR"/>
        </w:rPr>
        <w:t>(11), 1222-</w:t>
      </w:r>
      <w:r w:rsidRPr="00405A56">
        <w:rPr>
          <w:lang w:eastAsia="pt-BR"/>
        </w:rPr>
        <w:t xml:space="preserve">1227. </w:t>
      </w:r>
      <w:hyperlink r:id="rId64" w:history="1">
        <w:r w:rsidR="007012B4" w:rsidRPr="00B56480">
          <w:rPr>
            <w:rStyle w:val="Hipervnculo"/>
            <w:lang w:eastAsia="pt-BR"/>
          </w:rPr>
          <w:t>https://doi.org/10.1097/JOM.000000000000054</w:t>
        </w:r>
        <w:r w:rsidR="007012B4" w:rsidRPr="007012B4">
          <w:rPr>
            <w:rStyle w:val="Hipervnculo"/>
            <w:lang w:eastAsia="pt-BR"/>
          </w:rPr>
          <w:t>6</w:t>
        </w:r>
      </w:hyperlink>
      <w:r w:rsidR="007012B4" w:rsidRPr="007012B4">
        <w:rPr>
          <w:color w:val="0563C1"/>
          <w:u w:val="single"/>
          <w:lang w:eastAsia="pt-BR"/>
        </w:rPr>
        <w:t xml:space="preserve"> </w:t>
      </w:r>
    </w:p>
    <w:p w14:paraId="41A9E53A" w14:textId="66868DE6" w:rsidR="003C6F22" w:rsidRDefault="00405A56" w:rsidP="00F1334C">
      <w:pPr>
        <w:pStyle w:val="Referencias"/>
        <w:spacing w:line="300" w:lineRule="exact"/>
        <w:rPr>
          <w:lang w:val="pt-BR" w:eastAsia="pt-BR"/>
        </w:rPr>
      </w:pPr>
      <w:r w:rsidRPr="00405A56">
        <w:rPr>
          <w:lang w:eastAsia="pt-BR"/>
        </w:rPr>
        <w:t xml:space="preserve">Son, J. S., </w:t>
      </w:r>
      <w:proofErr w:type="spellStart"/>
      <w:r w:rsidRPr="00405A56">
        <w:rPr>
          <w:lang w:eastAsia="pt-BR"/>
        </w:rPr>
        <w:t>Kerstetter</w:t>
      </w:r>
      <w:proofErr w:type="spellEnd"/>
      <w:r w:rsidRPr="00405A56">
        <w:rPr>
          <w:lang w:eastAsia="pt-BR"/>
        </w:rPr>
        <w:t xml:space="preserve">, D. L., </w:t>
      </w:r>
      <w:proofErr w:type="spellStart"/>
      <w:r w:rsidRPr="00405A56">
        <w:rPr>
          <w:lang w:eastAsia="pt-BR"/>
        </w:rPr>
        <w:t>Mowen</w:t>
      </w:r>
      <w:proofErr w:type="spellEnd"/>
      <w:r w:rsidRPr="00405A56">
        <w:rPr>
          <w:lang w:eastAsia="pt-BR"/>
        </w:rPr>
        <w:t xml:space="preserve">, A. J., &amp; Payne, L. L. (2009). Global self-regulation and outcome expectations: influences on constraint self-regulation and physical activity. </w:t>
      </w:r>
      <w:proofErr w:type="spellStart"/>
      <w:r w:rsidRPr="00405A56">
        <w:rPr>
          <w:i/>
          <w:iCs/>
          <w:lang w:val="pt-BR" w:eastAsia="pt-BR"/>
        </w:rPr>
        <w:t>Journal</w:t>
      </w:r>
      <w:proofErr w:type="spellEnd"/>
      <w:r w:rsidRPr="00405A56">
        <w:rPr>
          <w:i/>
          <w:iCs/>
          <w:lang w:val="pt-BR" w:eastAsia="pt-BR"/>
        </w:rPr>
        <w:t xml:space="preserve"> </w:t>
      </w:r>
      <w:proofErr w:type="spellStart"/>
      <w:r w:rsidRPr="00405A56">
        <w:rPr>
          <w:i/>
          <w:iCs/>
          <w:lang w:val="pt-BR" w:eastAsia="pt-BR"/>
        </w:rPr>
        <w:t>of</w:t>
      </w:r>
      <w:proofErr w:type="spellEnd"/>
      <w:r w:rsidRPr="00405A56">
        <w:rPr>
          <w:i/>
          <w:iCs/>
          <w:lang w:val="pt-BR" w:eastAsia="pt-BR"/>
        </w:rPr>
        <w:t xml:space="preserve"> </w:t>
      </w:r>
      <w:proofErr w:type="spellStart"/>
      <w:r w:rsidRPr="00405A56">
        <w:rPr>
          <w:i/>
          <w:iCs/>
          <w:lang w:val="pt-BR" w:eastAsia="pt-BR"/>
        </w:rPr>
        <w:t>Aging</w:t>
      </w:r>
      <w:proofErr w:type="spellEnd"/>
      <w:r w:rsidRPr="00405A56">
        <w:rPr>
          <w:i/>
          <w:iCs/>
          <w:lang w:val="pt-BR" w:eastAsia="pt-BR"/>
        </w:rPr>
        <w:t xml:space="preserve"> </w:t>
      </w:r>
      <w:proofErr w:type="spellStart"/>
      <w:r w:rsidRPr="00405A56">
        <w:rPr>
          <w:i/>
          <w:iCs/>
          <w:lang w:val="pt-BR" w:eastAsia="pt-BR"/>
        </w:rPr>
        <w:t>and</w:t>
      </w:r>
      <w:proofErr w:type="spellEnd"/>
      <w:r w:rsidRPr="00405A56">
        <w:rPr>
          <w:i/>
          <w:iCs/>
          <w:lang w:val="pt-BR" w:eastAsia="pt-BR"/>
        </w:rPr>
        <w:t xml:space="preserve"> </w:t>
      </w:r>
      <w:proofErr w:type="spellStart"/>
      <w:r w:rsidRPr="00405A56">
        <w:rPr>
          <w:i/>
          <w:iCs/>
          <w:lang w:val="pt-BR" w:eastAsia="pt-BR"/>
        </w:rPr>
        <w:t>Physical</w:t>
      </w:r>
      <w:proofErr w:type="spellEnd"/>
      <w:r w:rsidRPr="00405A56">
        <w:rPr>
          <w:i/>
          <w:iCs/>
          <w:lang w:val="pt-BR" w:eastAsia="pt-BR"/>
        </w:rPr>
        <w:t xml:space="preserve"> </w:t>
      </w:r>
      <w:proofErr w:type="spellStart"/>
      <w:r w:rsidRPr="00405A56">
        <w:rPr>
          <w:i/>
          <w:iCs/>
          <w:lang w:val="pt-BR" w:eastAsia="pt-BR"/>
        </w:rPr>
        <w:t>Activity</w:t>
      </w:r>
      <w:proofErr w:type="spellEnd"/>
      <w:r w:rsidRPr="00405A56">
        <w:rPr>
          <w:lang w:val="pt-BR" w:eastAsia="pt-BR"/>
        </w:rPr>
        <w:t xml:space="preserve">, </w:t>
      </w:r>
      <w:r w:rsidRPr="00405A56">
        <w:rPr>
          <w:i/>
          <w:iCs/>
          <w:lang w:val="pt-BR" w:eastAsia="pt-BR"/>
        </w:rPr>
        <w:t>17</w:t>
      </w:r>
      <w:r w:rsidR="007012B4">
        <w:rPr>
          <w:lang w:val="pt-BR" w:eastAsia="pt-BR"/>
        </w:rPr>
        <w:t>(3), 307-</w:t>
      </w:r>
      <w:r w:rsidRPr="00405A56">
        <w:rPr>
          <w:lang w:val="pt-BR" w:eastAsia="pt-BR"/>
        </w:rPr>
        <w:t>326.</w:t>
      </w:r>
    </w:p>
    <w:p w14:paraId="10DF74F4" w14:textId="0C155F9C" w:rsidR="003C6F22" w:rsidRDefault="00405A56" w:rsidP="00F1334C">
      <w:pPr>
        <w:pStyle w:val="Referencias"/>
        <w:spacing w:line="300" w:lineRule="exact"/>
        <w:rPr>
          <w:color w:val="0563C1"/>
          <w:u w:val="single"/>
          <w:lang w:val="pt-BR" w:eastAsia="pt-BR"/>
        </w:rPr>
      </w:pPr>
      <w:r w:rsidRPr="00405A56">
        <w:rPr>
          <w:lang w:val="pt-BR" w:eastAsia="pt-BR"/>
        </w:rPr>
        <w:t xml:space="preserve">Sousa, K. A. de, Freitas, F. F. Q., Castro, A. P. de, Oliveira, C. D. B., Almeida, A. A. </w:t>
      </w:r>
      <w:r w:rsidR="00DE202B">
        <w:rPr>
          <w:lang w:val="pt-BR" w:eastAsia="pt-BR"/>
        </w:rPr>
        <w:t>B. de, &amp; Sousa, K. A. de. (2017</w:t>
      </w:r>
      <w:r w:rsidRPr="00405A56">
        <w:rPr>
          <w:lang w:val="pt-BR" w:eastAsia="pt-BR"/>
        </w:rPr>
        <w:t xml:space="preserve">). Prevalência de sintomas de depressão em idosos assistidos pela estratégia de saúde da família. </w:t>
      </w:r>
      <w:r w:rsidRPr="00405A56">
        <w:rPr>
          <w:i/>
          <w:iCs/>
          <w:lang w:val="pt-BR" w:eastAsia="pt-BR"/>
        </w:rPr>
        <w:t xml:space="preserve">REME rev. min. </w:t>
      </w:r>
      <w:proofErr w:type="spellStart"/>
      <w:r w:rsidRPr="00405A56">
        <w:rPr>
          <w:i/>
          <w:iCs/>
          <w:lang w:val="pt-BR" w:eastAsia="pt-BR"/>
        </w:rPr>
        <w:t>enferm</w:t>
      </w:r>
      <w:proofErr w:type="spellEnd"/>
      <w:r w:rsidRPr="00405A56">
        <w:rPr>
          <w:lang w:val="pt-BR" w:eastAsia="pt-BR"/>
        </w:rPr>
        <w:t xml:space="preserve">, </w:t>
      </w:r>
      <w:r w:rsidRPr="00405A56">
        <w:rPr>
          <w:i/>
          <w:iCs/>
          <w:lang w:val="pt-BR" w:eastAsia="pt-BR"/>
        </w:rPr>
        <w:t>21</w:t>
      </w:r>
      <w:r w:rsidRPr="00405A56">
        <w:rPr>
          <w:lang w:val="pt-BR" w:eastAsia="pt-BR"/>
        </w:rPr>
        <w:t xml:space="preserve">. Recuperado de </w:t>
      </w:r>
      <w:hyperlink r:id="rId65" w:history="1">
        <w:r w:rsidR="007012B4" w:rsidRPr="00B56480">
          <w:rPr>
            <w:rStyle w:val="Hipervnculo"/>
            <w:lang w:val="pt-BR" w:eastAsia="pt-BR"/>
          </w:rPr>
          <w:t>http://www.reme.org.br/exportar-pdf/1154/e1018.pdf</w:t>
        </w:r>
      </w:hyperlink>
      <w:r w:rsidR="007012B4">
        <w:rPr>
          <w:color w:val="0563C1"/>
          <w:u w:val="single"/>
          <w:lang w:val="pt-BR" w:eastAsia="pt-BR"/>
        </w:rPr>
        <w:t xml:space="preserve"> </w:t>
      </w:r>
    </w:p>
    <w:p w14:paraId="00BFFCA7" w14:textId="4080F054" w:rsidR="003C6F22" w:rsidRPr="007012B4" w:rsidRDefault="00405A56" w:rsidP="00F1334C">
      <w:pPr>
        <w:pStyle w:val="Referencias"/>
        <w:spacing w:line="300" w:lineRule="exact"/>
        <w:rPr>
          <w:color w:val="0563C1"/>
          <w:u w:val="single"/>
          <w:lang w:eastAsia="pt-BR"/>
        </w:rPr>
      </w:pPr>
      <w:r w:rsidRPr="00405A56">
        <w:rPr>
          <w:lang w:val="pt-BR" w:eastAsia="pt-BR"/>
        </w:rPr>
        <w:t xml:space="preserve">Stephanie, R., </w:t>
      </w:r>
      <w:proofErr w:type="spellStart"/>
      <w:r w:rsidRPr="00405A56">
        <w:rPr>
          <w:lang w:val="pt-BR" w:eastAsia="pt-BR"/>
        </w:rPr>
        <w:t>Margie</w:t>
      </w:r>
      <w:proofErr w:type="spellEnd"/>
      <w:r w:rsidRPr="00405A56">
        <w:rPr>
          <w:lang w:val="pt-BR" w:eastAsia="pt-BR"/>
        </w:rPr>
        <w:t xml:space="preserve">, L., &amp; Elizabeth, R. (2016). </w:t>
      </w:r>
      <w:r w:rsidRPr="00405A56">
        <w:rPr>
          <w:lang w:eastAsia="pt-BR"/>
        </w:rPr>
        <w:t xml:space="preserve">Self-Regulatory Strategies in Daily Life: Selection, Optimization, and Compensation and Everyday Memory Problems. </w:t>
      </w:r>
      <w:r w:rsidRPr="00405A56">
        <w:rPr>
          <w:i/>
          <w:iCs/>
          <w:lang w:eastAsia="pt-BR"/>
        </w:rPr>
        <w:t>International Journal of Behavioral Development</w:t>
      </w:r>
      <w:r w:rsidRPr="00405A56">
        <w:rPr>
          <w:lang w:eastAsia="pt-BR"/>
        </w:rPr>
        <w:t xml:space="preserve">, </w:t>
      </w:r>
      <w:r w:rsidRPr="00405A56">
        <w:rPr>
          <w:i/>
          <w:iCs/>
          <w:lang w:eastAsia="pt-BR"/>
        </w:rPr>
        <w:t>40</w:t>
      </w:r>
      <w:r w:rsidR="007012B4">
        <w:rPr>
          <w:lang w:eastAsia="pt-BR"/>
        </w:rPr>
        <w:t>(2), 126-</w:t>
      </w:r>
      <w:r w:rsidRPr="00405A56">
        <w:rPr>
          <w:lang w:eastAsia="pt-BR"/>
        </w:rPr>
        <w:t xml:space="preserve">136. </w:t>
      </w:r>
      <w:hyperlink r:id="rId66" w:history="1">
        <w:r w:rsidR="007012B4" w:rsidRPr="00B56480">
          <w:rPr>
            <w:rStyle w:val="Hipervnculo"/>
            <w:lang w:eastAsia="pt-BR"/>
          </w:rPr>
          <w:t>https://doi.org/10.1177/016502541559218</w:t>
        </w:r>
        <w:r w:rsidR="007012B4" w:rsidRPr="00D31F87">
          <w:rPr>
            <w:rStyle w:val="Hipervnculo"/>
            <w:lang w:eastAsia="pt-BR"/>
          </w:rPr>
          <w:t>7</w:t>
        </w:r>
      </w:hyperlink>
      <w:r w:rsidR="007012B4" w:rsidRPr="00D31F87">
        <w:rPr>
          <w:color w:val="0563C1"/>
          <w:u w:val="single"/>
          <w:lang w:eastAsia="pt-BR"/>
        </w:rPr>
        <w:t xml:space="preserve"> </w:t>
      </w:r>
    </w:p>
    <w:p w14:paraId="6791F5E8" w14:textId="50BDF376" w:rsidR="003C6F22" w:rsidRPr="00D31F87" w:rsidRDefault="00405A56" w:rsidP="00F1334C">
      <w:pPr>
        <w:pStyle w:val="Referencias"/>
        <w:spacing w:line="300" w:lineRule="exact"/>
        <w:rPr>
          <w:color w:val="0563C1"/>
          <w:u w:val="single"/>
          <w:lang w:eastAsia="pt-BR"/>
        </w:rPr>
      </w:pPr>
      <w:r w:rsidRPr="001002F5">
        <w:rPr>
          <w:lang w:eastAsia="pt-BR"/>
        </w:rPr>
        <w:t xml:space="preserve">Tamanini, S. (2010). </w:t>
      </w:r>
      <w:r w:rsidR="00DE202B" w:rsidRPr="00405A56">
        <w:rPr>
          <w:lang w:val="pt-BR" w:eastAsia="pt-BR"/>
        </w:rPr>
        <w:t>O envelhecimento e a relação de perdas e ganhos com a prática esportiva</w:t>
      </w:r>
      <w:r w:rsidRPr="00405A56">
        <w:rPr>
          <w:lang w:val="pt-BR" w:eastAsia="pt-BR"/>
        </w:rPr>
        <w:t xml:space="preserve">. </w:t>
      </w:r>
      <w:r w:rsidR="00DE202B" w:rsidRPr="00D31F87">
        <w:rPr>
          <w:i/>
          <w:iCs/>
          <w:lang w:eastAsia="pt-BR"/>
        </w:rPr>
        <w:t>Polêm!ca</w:t>
      </w:r>
      <w:r w:rsidRPr="00D31F87">
        <w:rPr>
          <w:lang w:eastAsia="pt-BR"/>
        </w:rPr>
        <w:t xml:space="preserve">, </w:t>
      </w:r>
      <w:r w:rsidRPr="00D31F87">
        <w:rPr>
          <w:i/>
          <w:iCs/>
          <w:lang w:eastAsia="pt-BR"/>
        </w:rPr>
        <w:t>9</w:t>
      </w:r>
      <w:r w:rsidR="007012B4" w:rsidRPr="00D31F87">
        <w:rPr>
          <w:lang w:eastAsia="pt-BR"/>
        </w:rPr>
        <w:t>(2), 84-</w:t>
      </w:r>
      <w:r w:rsidRPr="00D31F87">
        <w:rPr>
          <w:lang w:eastAsia="pt-BR"/>
        </w:rPr>
        <w:t xml:space="preserve">91. </w:t>
      </w:r>
      <w:hyperlink r:id="rId67" w:history="1">
        <w:r w:rsidR="003C6F22" w:rsidRPr="00D31F87">
          <w:rPr>
            <w:rStyle w:val="Hipervnculo"/>
            <w:lang w:eastAsia="pt-BR"/>
          </w:rPr>
          <w:t>https://doi.org/10.12957/polemica.2010.2751</w:t>
        </w:r>
      </w:hyperlink>
      <w:r w:rsidR="003C6F22" w:rsidRPr="00D31F87">
        <w:rPr>
          <w:color w:val="0563C1"/>
          <w:u w:val="single"/>
          <w:lang w:eastAsia="pt-BR"/>
        </w:rPr>
        <w:t xml:space="preserve"> </w:t>
      </w:r>
    </w:p>
    <w:p w14:paraId="4B0130EA" w14:textId="111A3B4B" w:rsidR="003C6F22" w:rsidRPr="00D31F87" w:rsidRDefault="00405A56" w:rsidP="00F1334C">
      <w:pPr>
        <w:pStyle w:val="Referencias"/>
        <w:spacing w:line="300" w:lineRule="exact"/>
        <w:rPr>
          <w:color w:val="0563C1"/>
          <w:u w:val="single"/>
          <w:lang w:eastAsia="pt-BR"/>
        </w:rPr>
      </w:pPr>
      <w:proofErr w:type="spellStart"/>
      <w:r w:rsidRPr="00D31F87">
        <w:rPr>
          <w:lang w:eastAsia="pt-BR"/>
        </w:rPr>
        <w:t>Teshale</w:t>
      </w:r>
      <w:proofErr w:type="spellEnd"/>
      <w:r w:rsidRPr="00D31F87">
        <w:rPr>
          <w:lang w:eastAsia="pt-BR"/>
        </w:rPr>
        <w:t xml:space="preserve">, S. M., &amp; Lachman, M. E. (2016). </w:t>
      </w:r>
      <w:r w:rsidRPr="00405A56">
        <w:rPr>
          <w:lang w:eastAsia="pt-BR"/>
        </w:rPr>
        <w:t xml:space="preserve">Managing daily happiness: The relationship between selection, optimization, and compensation strategies and well-being in adulthood. </w:t>
      </w:r>
      <w:r w:rsidRPr="00405A56">
        <w:rPr>
          <w:i/>
          <w:iCs/>
          <w:lang w:eastAsia="pt-BR"/>
        </w:rPr>
        <w:t>Psychology and Aging</w:t>
      </w:r>
      <w:r w:rsidRPr="00405A56">
        <w:rPr>
          <w:lang w:eastAsia="pt-BR"/>
        </w:rPr>
        <w:t xml:space="preserve">, </w:t>
      </w:r>
      <w:r w:rsidRPr="00405A56">
        <w:rPr>
          <w:i/>
          <w:iCs/>
          <w:lang w:eastAsia="pt-BR"/>
        </w:rPr>
        <w:t>31</w:t>
      </w:r>
      <w:r w:rsidR="003C6F22">
        <w:rPr>
          <w:lang w:eastAsia="pt-BR"/>
        </w:rPr>
        <w:t>(7), 687-</w:t>
      </w:r>
      <w:r w:rsidRPr="00405A56">
        <w:rPr>
          <w:lang w:eastAsia="pt-BR"/>
        </w:rPr>
        <w:t xml:space="preserve">692. </w:t>
      </w:r>
      <w:hyperlink r:id="rId68" w:history="1">
        <w:r w:rsidR="003C6F22" w:rsidRPr="00B56480">
          <w:rPr>
            <w:rStyle w:val="Hipervnculo"/>
            <w:lang w:eastAsia="pt-BR"/>
          </w:rPr>
          <w:t>https://doi.org/10.1037/pag000013</w:t>
        </w:r>
        <w:r w:rsidR="003C6F22" w:rsidRPr="00D31F87">
          <w:rPr>
            <w:rStyle w:val="Hipervnculo"/>
            <w:lang w:eastAsia="pt-BR"/>
          </w:rPr>
          <w:t>2</w:t>
        </w:r>
      </w:hyperlink>
      <w:r w:rsidR="003C6F22" w:rsidRPr="00D31F87">
        <w:rPr>
          <w:color w:val="0563C1"/>
          <w:u w:val="single"/>
          <w:lang w:eastAsia="pt-BR"/>
        </w:rPr>
        <w:t xml:space="preserve"> </w:t>
      </w:r>
    </w:p>
    <w:p w14:paraId="495B6CFD" w14:textId="7B8D90DD" w:rsidR="003C6F22" w:rsidRPr="003C6F22" w:rsidRDefault="00405A56" w:rsidP="00F1334C">
      <w:pPr>
        <w:pStyle w:val="Referencias"/>
        <w:spacing w:line="300" w:lineRule="exact"/>
        <w:rPr>
          <w:color w:val="0563C1"/>
          <w:u w:val="single"/>
          <w:lang w:eastAsia="pt-BR"/>
        </w:rPr>
      </w:pPr>
      <w:proofErr w:type="spellStart"/>
      <w:r w:rsidRPr="00405A56">
        <w:rPr>
          <w:lang w:eastAsia="pt-BR"/>
        </w:rPr>
        <w:t>Thygesen</w:t>
      </w:r>
      <w:proofErr w:type="spellEnd"/>
      <w:r w:rsidRPr="00405A56">
        <w:rPr>
          <w:lang w:eastAsia="pt-BR"/>
        </w:rPr>
        <w:t xml:space="preserve">, E., </w:t>
      </w:r>
      <w:proofErr w:type="spellStart"/>
      <w:r w:rsidRPr="00405A56">
        <w:rPr>
          <w:lang w:eastAsia="pt-BR"/>
        </w:rPr>
        <w:t>Saevareid</w:t>
      </w:r>
      <w:proofErr w:type="spellEnd"/>
      <w:r w:rsidRPr="00405A56">
        <w:rPr>
          <w:lang w:eastAsia="pt-BR"/>
        </w:rPr>
        <w:t xml:space="preserve">, H. I., Lindstrom, T. C., &amp; </w:t>
      </w:r>
      <w:proofErr w:type="spellStart"/>
      <w:r w:rsidRPr="00405A56">
        <w:rPr>
          <w:lang w:eastAsia="pt-BR"/>
        </w:rPr>
        <w:t>Engedal</w:t>
      </w:r>
      <w:proofErr w:type="spellEnd"/>
      <w:r w:rsidRPr="00405A56">
        <w:rPr>
          <w:lang w:eastAsia="pt-BR"/>
        </w:rPr>
        <w:t xml:space="preserve">, K. (2009). Psychological distress and its correlates in older care-dependent persons living at home. </w:t>
      </w:r>
      <w:r w:rsidRPr="00405A56">
        <w:rPr>
          <w:i/>
          <w:iCs/>
          <w:lang w:eastAsia="pt-BR"/>
        </w:rPr>
        <w:t>Aging &amp; Mental Health</w:t>
      </w:r>
      <w:r w:rsidRPr="00405A56">
        <w:rPr>
          <w:lang w:eastAsia="pt-BR"/>
        </w:rPr>
        <w:t xml:space="preserve">, </w:t>
      </w:r>
      <w:r w:rsidRPr="00405A56">
        <w:rPr>
          <w:i/>
          <w:iCs/>
          <w:lang w:eastAsia="pt-BR"/>
        </w:rPr>
        <w:t>13</w:t>
      </w:r>
      <w:r w:rsidR="003C6F22">
        <w:rPr>
          <w:lang w:eastAsia="pt-BR"/>
        </w:rPr>
        <w:t>(3), 319-</w:t>
      </w:r>
      <w:r w:rsidRPr="00405A56">
        <w:rPr>
          <w:lang w:eastAsia="pt-BR"/>
        </w:rPr>
        <w:t xml:space="preserve">327. </w:t>
      </w:r>
      <w:hyperlink r:id="rId69" w:history="1">
        <w:r w:rsidR="003C6F22" w:rsidRPr="00B56480">
          <w:rPr>
            <w:rStyle w:val="Hipervnculo"/>
            <w:lang w:eastAsia="pt-BR"/>
          </w:rPr>
          <w:t>https://doi.org/10.1080/1360786080253459</w:t>
        </w:r>
        <w:r w:rsidR="003C6F22" w:rsidRPr="00D31F87">
          <w:rPr>
            <w:rStyle w:val="Hipervnculo"/>
            <w:lang w:eastAsia="pt-BR"/>
          </w:rPr>
          <w:t>1</w:t>
        </w:r>
      </w:hyperlink>
      <w:r w:rsidR="003C6F22" w:rsidRPr="00D31F87">
        <w:rPr>
          <w:color w:val="0563C1"/>
          <w:u w:val="single"/>
          <w:lang w:eastAsia="pt-BR"/>
        </w:rPr>
        <w:t xml:space="preserve"> </w:t>
      </w:r>
    </w:p>
    <w:p w14:paraId="136F8BDE" w14:textId="0A4A80E1" w:rsidR="003C6F22" w:rsidRPr="00D31F87" w:rsidRDefault="00405A56" w:rsidP="00F1334C">
      <w:pPr>
        <w:pStyle w:val="Referencias"/>
        <w:spacing w:line="300" w:lineRule="exact"/>
        <w:rPr>
          <w:color w:val="0563C1"/>
          <w:u w:val="single"/>
          <w:lang w:eastAsia="pt-BR"/>
        </w:rPr>
      </w:pPr>
      <w:proofErr w:type="spellStart"/>
      <w:r w:rsidRPr="00405A56">
        <w:rPr>
          <w:lang w:eastAsia="pt-BR"/>
        </w:rPr>
        <w:lastRenderedPageBreak/>
        <w:t>Unson</w:t>
      </w:r>
      <w:proofErr w:type="spellEnd"/>
      <w:r w:rsidRPr="00405A56">
        <w:rPr>
          <w:lang w:eastAsia="pt-BR"/>
        </w:rPr>
        <w:t xml:space="preserve">, C., &amp; Richardson, M. (2013). Insights into the experiences of older workers and change: through the lens of selection, optimization, and compensation. </w:t>
      </w:r>
      <w:r w:rsidRPr="00405A56">
        <w:rPr>
          <w:i/>
          <w:iCs/>
          <w:lang w:eastAsia="pt-BR"/>
        </w:rPr>
        <w:t>The Gerontologist</w:t>
      </w:r>
      <w:r w:rsidRPr="00405A56">
        <w:rPr>
          <w:lang w:eastAsia="pt-BR"/>
        </w:rPr>
        <w:t xml:space="preserve">, </w:t>
      </w:r>
      <w:r w:rsidRPr="00405A56">
        <w:rPr>
          <w:i/>
          <w:iCs/>
          <w:lang w:eastAsia="pt-BR"/>
        </w:rPr>
        <w:t>53</w:t>
      </w:r>
      <w:r w:rsidR="003C6F22">
        <w:rPr>
          <w:lang w:eastAsia="pt-BR"/>
        </w:rPr>
        <w:t>(3), 484-</w:t>
      </w:r>
      <w:r w:rsidRPr="00405A56">
        <w:rPr>
          <w:lang w:eastAsia="pt-BR"/>
        </w:rPr>
        <w:t xml:space="preserve">494. </w:t>
      </w:r>
      <w:hyperlink r:id="rId70" w:history="1">
        <w:r w:rsidR="003C6F22" w:rsidRPr="00D31F87">
          <w:rPr>
            <w:rStyle w:val="Hipervnculo"/>
            <w:lang w:eastAsia="pt-BR"/>
          </w:rPr>
          <w:t>https://doi.org/10.1093/geront/gns095</w:t>
        </w:r>
      </w:hyperlink>
      <w:r w:rsidR="003C6F22" w:rsidRPr="00D31F87">
        <w:rPr>
          <w:color w:val="0563C1"/>
          <w:u w:val="single"/>
          <w:lang w:eastAsia="pt-BR"/>
        </w:rPr>
        <w:t xml:space="preserve"> </w:t>
      </w:r>
    </w:p>
    <w:p w14:paraId="2716F015" w14:textId="26CAF22F" w:rsidR="003C6F22" w:rsidRPr="003C6F22" w:rsidRDefault="00405A56" w:rsidP="00F1334C">
      <w:pPr>
        <w:pStyle w:val="Referencias"/>
        <w:spacing w:line="300" w:lineRule="exact"/>
        <w:rPr>
          <w:color w:val="0563C1"/>
          <w:u w:val="single"/>
          <w:lang w:eastAsia="pt-BR"/>
        </w:rPr>
      </w:pPr>
      <w:r w:rsidRPr="00D31F87">
        <w:rPr>
          <w:lang w:eastAsia="pt-BR"/>
        </w:rPr>
        <w:t xml:space="preserve">von </w:t>
      </w:r>
      <w:proofErr w:type="spellStart"/>
      <w:r w:rsidRPr="00D31F87">
        <w:rPr>
          <w:lang w:eastAsia="pt-BR"/>
        </w:rPr>
        <w:t>Bonsdorff</w:t>
      </w:r>
      <w:proofErr w:type="spellEnd"/>
      <w:r w:rsidRPr="00D31F87">
        <w:rPr>
          <w:lang w:eastAsia="pt-BR"/>
        </w:rPr>
        <w:t xml:space="preserve">, M. E., von </w:t>
      </w:r>
      <w:proofErr w:type="spellStart"/>
      <w:r w:rsidRPr="00D31F87">
        <w:rPr>
          <w:lang w:eastAsia="pt-BR"/>
        </w:rPr>
        <w:t>Bonsdorff</w:t>
      </w:r>
      <w:proofErr w:type="spellEnd"/>
      <w:r w:rsidRPr="00D31F87">
        <w:rPr>
          <w:lang w:eastAsia="pt-BR"/>
        </w:rPr>
        <w:t xml:space="preserve">, M. B., Zhou, Z. E., </w:t>
      </w:r>
      <w:proofErr w:type="spellStart"/>
      <w:r w:rsidRPr="00D31F87">
        <w:rPr>
          <w:lang w:eastAsia="pt-BR"/>
        </w:rPr>
        <w:t>Kauppinen</w:t>
      </w:r>
      <w:proofErr w:type="spellEnd"/>
      <w:r w:rsidRPr="00D31F87">
        <w:rPr>
          <w:lang w:eastAsia="pt-BR"/>
        </w:rPr>
        <w:t xml:space="preserve">, M., Miettinen, M., </w:t>
      </w:r>
      <w:proofErr w:type="spellStart"/>
      <w:r w:rsidRPr="00D31F87">
        <w:rPr>
          <w:lang w:eastAsia="pt-BR"/>
        </w:rPr>
        <w:t>Rantanen</w:t>
      </w:r>
      <w:proofErr w:type="spellEnd"/>
      <w:r w:rsidRPr="00D31F87">
        <w:rPr>
          <w:lang w:eastAsia="pt-BR"/>
        </w:rPr>
        <w:t xml:space="preserve">, T., &amp; </w:t>
      </w:r>
      <w:proofErr w:type="spellStart"/>
      <w:r w:rsidRPr="00D31F87">
        <w:rPr>
          <w:lang w:eastAsia="pt-BR"/>
        </w:rPr>
        <w:t>Vanhala</w:t>
      </w:r>
      <w:proofErr w:type="spellEnd"/>
      <w:r w:rsidRPr="00D31F87">
        <w:rPr>
          <w:lang w:eastAsia="pt-BR"/>
        </w:rPr>
        <w:t xml:space="preserve">, S. (2014). </w:t>
      </w:r>
      <w:r w:rsidRPr="00405A56">
        <w:rPr>
          <w:lang w:eastAsia="pt-BR"/>
        </w:rPr>
        <w:t xml:space="preserve">Organizational justice, selection, optimization with compensation, and nurses’ work ability. </w:t>
      </w:r>
      <w:r w:rsidRPr="00405A56">
        <w:rPr>
          <w:i/>
          <w:iCs/>
          <w:lang w:eastAsia="pt-BR"/>
        </w:rPr>
        <w:t>Journal of Occupational and Environmental Medicine</w:t>
      </w:r>
      <w:r w:rsidRPr="00405A56">
        <w:rPr>
          <w:lang w:eastAsia="pt-BR"/>
        </w:rPr>
        <w:t xml:space="preserve">, </w:t>
      </w:r>
      <w:r w:rsidRPr="00405A56">
        <w:rPr>
          <w:i/>
          <w:iCs/>
          <w:lang w:eastAsia="pt-BR"/>
        </w:rPr>
        <w:t>56</w:t>
      </w:r>
      <w:r w:rsidR="003C6F22">
        <w:rPr>
          <w:lang w:eastAsia="pt-BR"/>
        </w:rPr>
        <w:t>(3), 326-</w:t>
      </w:r>
      <w:r w:rsidRPr="00405A56">
        <w:rPr>
          <w:lang w:eastAsia="pt-BR"/>
        </w:rPr>
        <w:t xml:space="preserve">330. </w:t>
      </w:r>
      <w:hyperlink r:id="rId71" w:history="1">
        <w:r w:rsidR="003C6F22" w:rsidRPr="00B56480">
          <w:rPr>
            <w:rStyle w:val="Hipervnculo"/>
            <w:lang w:eastAsia="pt-BR"/>
          </w:rPr>
          <w:t>https://doi.org/10.1097/JOM.000000000000010</w:t>
        </w:r>
        <w:r w:rsidR="003C6F22" w:rsidRPr="003C6F22">
          <w:rPr>
            <w:rStyle w:val="Hipervnculo"/>
            <w:lang w:eastAsia="pt-BR"/>
          </w:rPr>
          <w:t>2</w:t>
        </w:r>
      </w:hyperlink>
      <w:r w:rsidR="003C6F22" w:rsidRPr="003C6F22">
        <w:rPr>
          <w:color w:val="0563C1"/>
          <w:u w:val="single"/>
          <w:lang w:eastAsia="pt-BR"/>
        </w:rPr>
        <w:t xml:space="preserve"> </w:t>
      </w:r>
    </w:p>
    <w:p w14:paraId="6989E03A" w14:textId="78D41D58" w:rsidR="003C6F22" w:rsidRPr="00D31F87" w:rsidRDefault="00405A56" w:rsidP="00F1334C">
      <w:pPr>
        <w:pStyle w:val="Referencias"/>
        <w:spacing w:line="300" w:lineRule="exact"/>
        <w:rPr>
          <w:color w:val="0563C1"/>
          <w:u w:val="single"/>
          <w:lang w:eastAsia="pt-BR"/>
        </w:rPr>
      </w:pPr>
      <w:proofErr w:type="spellStart"/>
      <w:r w:rsidRPr="00405A56">
        <w:rPr>
          <w:lang w:eastAsia="pt-BR"/>
        </w:rPr>
        <w:t>Vujovic</w:t>
      </w:r>
      <w:proofErr w:type="spellEnd"/>
      <w:r w:rsidRPr="00405A56">
        <w:rPr>
          <w:lang w:eastAsia="pt-BR"/>
        </w:rPr>
        <w:t xml:space="preserve">, L., Opitz, P. C., </w:t>
      </w:r>
      <w:proofErr w:type="spellStart"/>
      <w:r w:rsidRPr="00405A56">
        <w:rPr>
          <w:lang w:eastAsia="pt-BR"/>
        </w:rPr>
        <w:t>Birk</w:t>
      </w:r>
      <w:proofErr w:type="spellEnd"/>
      <w:r w:rsidRPr="00405A56">
        <w:rPr>
          <w:lang w:eastAsia="pt-BR"/>
        </w:rPr>
        <w:t xml:space="preserve">, J. L., &amp; </w:t>
      </w:r>
      <w:proofErr w:type="spellStart"/>
      <w:r w:rsidRPr="00405A56">
        <w:rPr>
          <w:lang w:eastAsia="pt-BR"/>
        </w:rPr>
        <w:t>Urry</w:t>
      </w:r>
      <w:proofErr w:type="spellEnd"/>
      <w:r w:rsidRPr="00405A56">
        <w:rPr>
          <w:lang w:eastAsia="pt-BR"/>
        </w:rPr>
        <w:t xml:space="preserve">, H. L. (2014). Cut! that’s a wrap: regulating negative emotion by ending emotion-eliciting situations. </w:t>
      </w:r>
      <w:r w:rsidRPr="00405A56">
        <w:rPr>
          <w:i/>
          <w:iCs/>
          <w:lang w:eastAsia="pt-BR"/>
        </w:rPr>
        <w:t>Frontiers in Psychology</w:t>
      </w:r>
      <w:r w:rsidRPr="00405A56">
        <w:rPr>
          <w:lang w:eastAsia="pt-BR"/>
        </w:rPr>
        <w:t xml:space="preserve">, </w:t>
      </w:r>
      <w:r w:rsidRPr="00405A56">
        <w:rPr>
          <w:i/>
          <w:iCs/>
          <w:lang w:eastAsia="pt-BR"/>
        </w:rPr>
        <w:t>5</w:t>
      </w:r>
      <w:r w:rsidRPr="00405A56">
        <w:rPr>
          <w:lang w:eastAsia="pt-BR"/>
        </w:rPr>
        <w:t xml:space="preserve">, 165. </w:t>
      </w:r>
      <w:hyperlink r:id="rId72" w:history="1">
        <w:r w:rsidR="003C6F22" w:rsidRPr="00B56480">
          <w:rPr>
            <w:rStyle w:val="Hipervnculo"/>
            <w:lang w:eastAsia="pt-BR"/>
          </w:rPr>
          <w:t>https://doi.org/10.3389/fpsyg.2014.00165</w:t>
        </w:r>
      </w:hyperlink>
      <w:r w:rsidR="003C6F22">
        <w:rPr>
          <w:color w:val="0563C1"/>
          <w:u w:val="single"/>
          <w:lang w:eastAsia="pt-BR"/>
        </w:rPr>
        <w:t xml:space="preserve"> </w:t>
      </w:r>
    </w:p>
    <w:p w14:paraId="26272B3B" w14:textId="655461E8" w:rsidR="003C6F22" w:rsidRPr="003C6F22" w:rsidRDefault="00405A56" w:rsidP="00F1334C">
      <w:pPr>
        <w:pStyle w:val="Referencias"/>
        <w:spacing w:line="300" w:lineRule="exact"/>
        <w:rPr>
          <w:color w:val="0563C1"/>
          <w:u w:val="single"/>
          <w:lang w:eastAsia="pt-BR"/>
        </w:rPr>
      </w:pPr>
      <w:r w:rsidRPr="00405A56">
        <w:rPr>
          <w:lang w:eastAsia="pt-BR"/>
        </w:rPr>
        <w:t xml:space="preserve">Warner, C. B., Roberts, A. R., </w:t>
      </w:r>
      <w:proofErr w:type="spellStart"/>
      <w:r w:rsidRPr="00405A56">
        <w:rPr>
          <w:lang w:eastAsia="pt-BR"/>
        </w:rPr>
        <w:t>Jeanblanc</w:t>
      </w:r>
      <w:proofErr w:type="spellEnd"/>
      <w:r w:rsidRPr="00405A56">
        <w:rPr>
          <w:lang w:eastAsia="pt-BR"/>
        </w:rPr>
        <w:t xml:space="preserve">, A. B., &amp; Adams, K. B. (2017). Coping Resources, Loneliness, and Depressive Symptoms of Older Women </w:t>
      </w:r>
      <w:proofErr w:type="gramStart"/>
      <w:r w:rsidRPr="00405A56">
        <w:rPr>
          <w:lang w:eastAsia="pt-BR"/>
        </w:rPr>
        <w:t>With</w:t>
      </w:r>
      <w:proofErr w:type="gramEnd"/>
      <w:r w:rsidRPr="00405A56">
        <w:rPr>
          <w:lang w:eastAsia="pt-BR"/>
        </w:rPr>
        <w:t xml:space="preserve"> Chronic Illness. </w:t>
      </w:r>
      <w:r w:rsidRPr="00405A56">
        <w:rPr>
          <w:i/>
          <w:iCs/>
          <w:lang w:eastAsia="pt-BR"/>
        </w:rPr>
        <w:t>Journal of Applied Gerontology: The Official Journal of the Southern Gerontological Society</w:t>
      </w:r>
      <w:r w:rsidRPr="00405A56">
        <w:rPr>
          <w:lang w:eastAsia="pt-BR"/>
        </w:rPr>
        <w:t xml:space="preserve">, 733464816687218. </w:t>
      </w:r>
      <w:hyperlink r:id="rId73" w:history="1">
        <w:r w:rsidR="003C6F22" w:rsidRPr="00B56480">
          <w:rPr>
            <w:rStyle w:val="Hipervnculo"/>
            <w:lang w:eastAsia="pt-BR"/>
          </w:rPr>
          <w:t>https://doi.org/10.1177/0733464816687218</w:t>
        </w:r>
      </w:hyperlink>
      <w:r w:rsidR="003C6F22">
        <w:rPr>
          <w:color w:val="0563C1"/>
          <w:u w:val="single"/>
          <w:lang w:eastAsia="pt-BR"/>
        </w:rPr>
        <w:t xml:space="preserve"> </w:t>
      </w:r>
    </w:p>
    <w:p w14:paraId="4C65E6C4" w14:textId="62ECCFA7" w:rsidR="003C6F22" w:rsidRPr="00D31F87" w:rsidRDefault="00405A56" w:rsidP="00F1334C">
      <w:pPr>
        <w:pStyle w:val="Referencias"/>
        <w:spacing w:line="300" w:lineRule="exact"/>
        <w:rPr>
          <w:color w:val="0563C1"/>
          <w:u w:val="single"/>
          <w:lang w:eastAsia="pt-BR"/>
        </w:rPr>
      </w:pPr>
      <w:r w:rsidRPr="00405A56">
        <w:rPr>
          <w:lang w:eastAsia="pt-BR"/>
        </w:rPr>
        <w:t xml:space="preserve">Weiland, M., </w:t>
      </w:r>
      <w:proofErr w:type="spellStart"/>
      <w:r w:rsidRPr="00405A56">
        <w:rPr>
          <w:lang w:eastAsia="pt-BR"/>
        </w:rPr>
        <w:t>Dammermann</w:t>
      </w:r>
      <w:proofErr w:type="spellEnd"/>
      <w:r w:rsidRPr="00405A56">
        <w:rPr>
          <w:lang w:eastAsia="pt-BR"/>
        </w:rPr>
        <w:t xml:space="preserve">, C., &amp; </w:t>
      </w:r>
      <w:proofErr w:type="spellStart"/>
      <w:r w:rsidRPr="00405A56">
        <w:rPr>
          <w:lang w:eastAsia="pt-BR"/>
        </w:rPr>
        <w:t>Stoppe</w:t>
      </w:r>
      <w:proofErr w:type="spellEnd"/>
      <w:r w:rsidRPr="00405A56">
        <w:rPr>
          <w:lang w:eastAsia="pt-BR"/>
        </w:rPr>
        <w:t xml:space="preserve">, G. (2011). Selective optimization with compensation (SOC) competencies in depression. </w:t>
      </w:r>
      <w:r w:rsidRPr="00405A56">
        <w:rPr>
          <w:i/>
          <w:iCs/>
          <w:lang w:eastAsia="pt-BR"/>
        </w:rPr>
        <w:t>Journal of Affective Disorders</w:t>
      </w:r>
      <w:r w:rsidRPr="00405A56">
        <w:rPr>
          <w:lang w:eastAsia="pt-BR"/>
        </w:rPr>
        <w:t xml:space="preserve">, </w:t>
      </w:r>
      <w:r w:rsidRPr="00405A56">
        <w:rPr>
          <w:i/>
          <w:iCs/>
          <w:lang w:eastAsia="pt-BR"/>
        </w:rPr>
        <w:t>133</w:t>
      </w:r>
      <w:r w:rsidR="003C6F22">
        <w:rPr>
          <w:lang w:eastAsia="pt-BR"/>
        </w:rPr>
        <w:t xml:space="preserve">(1-2), 114-119. </w:t>
      </w:r>
      <w:hyperlink r:id="rId74" w:history="1">
        <w:r w:rsidR="003C6F22" w:rsidRPr="00B56480">
          <w:rPr>
            <w:rStyle w:val="Hipervnculo"/>
            <w:lang w:eastAsia="pt-BR"/>
          </w:rPr>
          <w:t>https://doi.org/10.1016/j.jad.2011.04.001</w:t>
        </w:r>
      </w:hyperlink>
      <w:r w:rsidR="003C6F22">
        <w:rPr>
          <w:color w:val="0563C1"/>
          <w:u w:val="single"/>
          <w:lang w:eastAsia="pt-BR"/>
        </w:rPr>
        <w:t xml:space="preserve"> </w:t>
      </w:r>
    </w:p>
    <w:p w14:paraId="183D0B10" w14:textId="2FA23DAD" w:rsidR="003C6F22" w:rsidRPr="00D31F87" w:rsidRDefault="00405A56" w:rsidP="00F1334C">
      <w:pPr>
        <w:pStyle w:val="Referencias"/>
        <w:spacing w:line="300" w:lineRule="exact"/>
        <w:rPr>
          <w:color w:val="0563C1"/>
          <w:u w:val="single"/>
          <w:lang w:eastAsia="pt-BR"/>
        </w:rPr>
      </w:pPr>
      <w:proofErr w:type="spellStart"/>
      <w:r w:rsidRPr="00405A56">
        <w:rPr>
          <w:lang w:eastAsia="pt-BR"/>
        </w:rPr>
        <w:t>Wurm</w:t>
      </w:r>
      <w:proofErr w:type="spellEnd"/>
      <w:r w:rsidRPr="00405A56">
        <w:rPr>
          <w:lang w:eastAsia="pt-BR"/>
        </w:rPr>
        <w:t xml:space="preserve">, S., Warner, L. M., </w:t>
      </w:r>
      <w:proofErr w:type="spellStart"/>
      <w:r w:rsidRPr="00405A56">
        <w:rPr>
          <w:lang w:eastAsia="pt-BR"/>
        </w:rPr>
        <w:t>Ziegelmann</w:t>
      </w:r>
      <w:proofErr w:type="spellEnd"/>
      <w:r w:rsidRPr="00405A56">
        <w:rPr>
          <w:lang w:eastAsia="pt-BR"/>
        </w:rPr>
        <w:t xml:space="preserve">, J. P., Wolff, J. K., &amp; </w:t>
      </w:r>
      <w:proofErr w:type="spellStart"/>
      <w:r w:rsidRPr="00405A56">
        <w:rPr>
          <w:lang w:eastAsia="pt-BR"/>
        </w:rPr>
        <w:t>Schüz</w:t>
      </w:r>
      <w:proofErr w:type="spellEnd"/>
      <w:r w:rsidRPr="00405A56">
        <w:rPr>
          <w:lang w:eastAsia="pt-BR"/>
        </w:rPr>
        <w:t xml:space="preserve">, B. (2013). How do negative self-perceptions of aging become a self-fulfilling prophecy? </w:t>
      </w:r>
      <w:r w:rsidRPr="00405A56">
        <w:rPr>
          <w:i/>
          <w:iCs/>
          <w:lang w:eastAsia="pt-BR"/>
        </w:rPr>
        <w:t>Psychology and Aging</w:t>
      </w:r>
      <w:r w:rsidRPr="00405A56">
        <w:rPr>
          <w:lang w:eastAsia="pt-BR"/>
        </w:rPr>
        <w:t xml:space="preserve">, </w:t>
      </w:r>
      <w:r w:rsidRPr="00405A56">
        <w:rPr>
          <w:i/>
          <w:iCs/>
          <w:lang w:eastAsia="pt-BR"/>
        </w:rPr>
        <w:t>28</w:t>
      </w:r>
      <w:r w:rsidR="003C6F22">
        <w:rPr>
          <w:lang w:eastAsia="pt-BR"/>
        </w:rPr>
        <w:t>(4), 1088-</w:t>
      </w:r>
      <w:r w:rsidRPr="00405A56">
        <w:rPr>
          <w:lang w:eastAsia="pt-BR"/>
        </w:rPr>
        <w:t xml:space="preserve">1097. </w:t>
      </w:r>
      <w:hyperlink r:id="rId75" w:history="1">
        <w:r w:rsidR="003C6F22" w:rsidRPr="00D31F87">
          <w:rPr>
            <w:rStyle w:val="Hipervnculo"/>
            <w:lang w:eastAsia="pt-BR"/>
          </w:rPr>
          <w:t>https://doi.org/10.1037/a0032845</w:t>
        </w:r>
      </w:hyperlink>
      <w:r w:rsidR="003C6F22" w:rsidRPr="00D31F87">
        <w:rPr>
          <w:color w:val="0563C1"/>
          <w:u w:val="single"/>
          <w:lang w:eastAsia="pt-BR"/>
        </w:rPr>
        <w:t xml:space="preserve">  </w:t>
      </w:r>
    </w:p>
    <w:p w14:paraId="062A3F8A" w14:textId="78E60956" w:rsidR="003C6F22" w:rsidRDefault="00405A56" w:rsidP="00F1334C">
      <w:pPr>
        <w:pStyle w:val="Referencias"/>
        <w:spacing w:line="300" w:lineRule="exact"/>
        <w:rPr>
          <w:color w:val="0563C1"/>
          <w:u w:val="single"/>
          <w:lang w:val="pt-BR" w:eastAsia="pt-BR"/>
        </w:rPr>
      </w:pPr>
      <w:r w:rsidRPr="00F1334C">
        <w:rPr>
          <w:lang w:eastAsia="pt-BR"/>
        </w:rPr>
        <w:t xml:space="preserve">Xavier, C. M. N., Bueno, K. M. P., Assis, L. de O., Almeida, S. C. de, &amp; Assis, M. G. (2017). </w:t>
      </w:r>
      <w:r w:rsidRPr="00405A56">
        <w:rPr>
          <w:lang w:val="pt-BR" w:eastAsia="pt-BR"/>
        </w:rPr>
        <w:t xml:space="preserve">A aposentadoria na perspectiva ocupacional: continuidade do curso de vida e novas possibilidades. </w:t>
      </w:r>
      <w:r w:rsidRPr="00405A56">
        <w:rPr>
          <w:i/>
          <w:iCs/>
          <w:lang w:val="pt-BR" w:eastAsia="pt-BR"/>
        </w:rPr>
        <w:t>Revista de Terapia Ocupacional da Universidade de São Paulo</w:t>
      </w:r>
      <w:r w:rsidRPr="00405A56">
        <w:rPr>
          <w:lang w:val="pt-BR" w:eastAsia="pt-BR"/>
        </w:rPr>
        <w:t xml:space="preserve">, </w:t>
      </w:r>
      <w:r w:rsidRPr="00405A56">
        <w:rPr>
          <w:i/>
          <w:iCs/>
          <w:lang w:val="pt-BR" w:eastAsia="pt-BR"/>
        </w:rPr>
        <w:t>28</w:t>
      </w:r>
      <w:r w:rsidR="003C6F22">
        <w:rPr>
          <w:lang w:val="pt-BR" w:eastAsia="pt-BR"/>
        </w:rPr>
        <w:t>(2), 214-</w:t>
      </w:r>
      <w:r w:rsidRPr="00405A56">
        <w:rPr>
          <w:lang w:val="pt-BR" w:eastAsia="pt-BR"/>
        </w:rPr>
        <w:t xml:space="preserve">220. </w:t>
      </w:r>
      <w:hyperlink r:id="rId76" w:history="1">
        <w:r w:rsidR="003C6F22" w:rsidRPr="00B56480">
          <w:rPr>
            <w:rStyle w:val="Hipervnculo"/>
            <w:lang w:val="pt-BR" w:eastAsia="pt-BR"/>
          </w:rPr>
          <w:t>https://doi.org/10.11606/issn.2238-6149.v28i2p214-220</w:t>
        </w:r>
      </w:hyperlink>
      <w:r w:rsidR="003C6F22">
        <w:rPr>
          <w:color w:val="0563C1"/>
          <w:u w:val="single"/>
          <w:lang w:val="pt-BR" w:eastAsia="pt-BR"/>
        </w:rPr>
        <w:t xml:space="preserve">   </w:t>
      </w:r>
    </w:p>
    <w:p w14:paraId="6C18A2BC" w14:textId="2F45C3CE" w:rsidR="003C6F22" w:rsidRPr="00D31F87" w:rsidRDefault="00405A56" w:rsidP="00F1334C">
      <w:pPr>
        <w:pStyle w:val="Referencias"/>
        <w:spacing w:line="300" w:lineRule="exact"/>
        <w:rPr>
          <w:color w:val="0563C1"/>
          <w:u w:val="single"/>
          <w:lang w:eastAsia="pt-BR"/>
        </w:rPr>
      </w:pPr>
      <w:r w:rsidRPr="00D31F87">
        <w:rPr>
          <w:lang w:eastAsia="pt-BR"/>
        </w:rPr>
        <w:t xml:space="preserve">Yang, J., &amp; Matz-Costa, C. (2018). </w:t>
      </w:r>
      <w:r w:rsidRPr="00405A56">
        <w:rPr>
          <w:lang w:eastAsia="pt-BR"/>
        </w:rPr>
        <w:t xml:space="preserve">Age Diversity in the Workplace: The Effect of Relational Age Within Supervisor-Employee Dyads on Employees’ Work Engagement. </w:t>
      </w:r>
      <w:r w:rsidRPr="00405A56">
        <w:rPr>
          <w:i/>
          <w:iCs/>
          <w:lang w:eastAsia="pt-BR"/>
        </w:rPr>
        <w:t>International Journal of Aging &amp; Human Development</w:t>
      </w:r>
      <w:r w:rsidRPr="00405A56">
        <w:rPr>
          <w:lang w:eastAsia="pt-BR"/>
        </w:rPr>
        <w:t xml:space="preserve">, </w:t>
      </w:r>
      <w:r w:rsidRPr="00405A56">
        <w:rPr>
          <w:i/>
          <w:iCs/>
          <w:lang w:eastAsia="pt-BR"/>
        </w:rPr>
        <w:t>87</w:t>
      </w:r>
      <w:r w:rsidR="003C6F22">
        <w:rPr>
          <w:lang w:eastAsia="pt-BR"/>
        </w:rPr>
        <w:t>(2), 156-</w:t>
      </w:r>
      <w:r w:rsidRPr="00405A56">
        <w:rPr>
          <w:lang w:eastAsia="pt-BR"/>
        </w:rPr>
        <w:t xml:space="preserve">183. </w:t>
      </w:r>
      <w:hyperlink r:id="rId77" w:history="1">
        <w:r w:rsidR="003C6F22" w:rsidRPr="00B56480">
          <w:rPr>
            <w:rStyle w:val="Hipervnculo"/>
            <w:lang w:eastAsia="pt-BR"/>
          </w:rPr>
          <w:t>https://doi.org/10.1177/0091415017709798</w:t>
        </w:r>
      </w:hyperlink>
      <w:r w:rsidR="003C6F22">
        <w:rPr>
          <w:color w:val="0563C1"/>
          <w:u w:val="single"/>
          <w:lang w:eastAsia="pt-BR"/>
        </w:rPr>
        <w:t xml:space="preserve"> </w:t>
      </w:r>
    </w:p>
    <w:p w14:paraId="6DA3DB05" w14:textId="785416A6" w:rsidR="003C6F22" w:rsidRPr="003C6F22" w:rsidRDefault="00405A56" w:rsidP="00F1334C">
      <w:pPr>
        <w:pStyle w:val="Referencias"/>
        <w:spacing w:line="300" w:lineRule="exact"/>
        <w:rPr>
          <w:lang w:eastAsia="pt-BR"/>
        </w:rPr>
      </w:pPr>
      <w:r w:rsidRPr="00405A56">
        <w:rPr>
          <w:lang w:eastAsia="pt-BR"/>
        </w:rPr>
        <w:t xml:space="preserve">Yeung, D. Y., &amp; Fung, H. H. (2009). Aging and work: how do SOC strategies contribute to job performance across adulthood? </w:t>
      </w:r>
      <w:r w:rsidRPr="00405A56">
        <w:rPr>
          <w:i/>
          <w:iCs/>
          <w:lang w:eastAsia="pt-BR"/>
        </w:rPr>
        <w:t>Psychology and Aging</w:t>
      </w:r>
      <w:r w:rsidRPr="00405A56">
        <w:rPr>
          <w:lang w:eastAsia="pt-BR"/>
        </w:rPr>
        <w:t xml:space="preserve">, </w:t>
      </w:r>
      <w:r w:rsidRPr="00405A56">
        <w:rPr>
          <w:i/>
          <w:iCs/>
          <w:lang w:eastAsia="pt-BR"/>
        </w:rPr>
        <w:t>24</w:t>
      </w:r>
      <w:r w:rsidR="003C6F22">
        <w:rPr>
          <w:lang w:eastAsia="pt-BR"/>
        </w:rPr>
        <w:t>(4), 927-</w:t>
      </w:r>
      <w:r w:rsidRPr="00405A56">
        <w:rPr>
          <w:lang w:eastAsia="pt-BR"/>
        </w:rPr>
        <w:t xml:space="preserve">940. </w:t>
      </w:r>
      <w:hyperlink r:id="rId78" w:history="1">
        <w:r w:rsidR="003C6F22" w:rsidRPr="00B56480">
          <w:rPr>
            <w:rStyle w:val="Hipervnculo"/>
            <w:lang w:eastAsia="pt-BR"/>
          </w:rPr>
          <w:t>https://doi.org/10.1037/a0017531</w:t>
        </w:r>
      </w:hyperlink>
      <w:r w:rsidR="003C6F22">
        <w:rPr>
          <w:color w:val="0563C1"/>
          <w:u w:val="single"/>
          <w:lang w:eastAsia="pt-BR"/>
        </w:rPr>
        <w:t xml:space="preserve"> </w:t>
      </w:r>
    </w:p>
    <w:p w14:paraId="3C496DF4" w14:textId="7E0F9A85" w:rsidR="00147EED" w:rsidRPr="003C6F22" w:rsidRDefault="00405A56" w:rsidP="00F1334C">
      <w:pPr>
        <w:pStyle w:val="Referencias"/>
        <w:spacing w:line="300" w:lineRule="exact"/>
        <w:rPr>
          <w:lang w:eastAsia="pt-BR"/>
        </w:rPr>
      </w:pPr>
      <w:r w:rsidRPr="00D31F87">
        <w:rPr>
          <w:rFonts w:eastAsia="Calibri"/>
          <w:lang w:eastAsia="en-US"/>
        </w:rPr>
        <w:t xml:space="preserve">Yuen, H. K., &amp; Vogtle, L. K. (2016). </w:t>
      </w:r>
      <w:r w:rsidRPr="00405A56">
        <w:rPr>
          <w:rFonts w:eastAsia="Calibri"/>
          <w:lang w:eastAsia="en-US"/>
        </w:rPr>
        <w:t xml:space="preserve">Multi-morbidity, disability and adaptation strategies among community-dwelling adults aged 75 years and older. </w:t>
      </w:r>
      <w:r w:rsidRPr="003C6F22">
        <w:rPr>
          <w:rFonts w:eastAsia="Calibri"/>
          <w:i/>
          <w:iCs/>
          <w:lang w:eastAsia="en-US"/>
        </w:rPr>
        <w:t>Disability and Health Journal</w:t>
      </w:r>
      <w:r w:rsidRPr="003C6F22">
        <w:rPr>
          <w:rFonts w:eastAsia="Calibri"/>
          <w:lang w:eastAsia="en-US"/>
        </w:rPr>
        <w:t xml:space="preserve">, </w:t>
      </w:r>
      <w:r w:rsidRPr="003C6F22">
        <w:rPr>
          <w:rFonts w:eastAsia="Calibri"/>
          <w:i/>
          <w:iCs/>
          <w:lang w:eastAsia="en-US"/>
        </w:rPr>
        <w:t>9</w:t>
      </w:r>
      <w:r w:rsidR="003C6F22" w:rsidRPr="003C6F22">
        <w:rPr>
          <w:rFonts w:eastAsia="Calibri"/>
          <w:lang w:eastAsia="en-US"/>
        </w:rPr>
        <w:t>(4), 593-</w:t>
      </w:r>
      <w:r w:rsidRPr="003C6F22">
        <w:rPr>
          <w:rFonts w:eastAsia="Calibri"/>
          <w:lang w:eastAsia="en-US"/>
        </w:rPr>
        <w:t xml:space="preserve">599. </w:t>
      </w:r>
      <w:hyperlink r:id="rId79" w:history="1">
        <w:r w:rsidR="003C6F22" w:rsidRPr="003C6F22">
          <w:rPr>
            <w:rStyle w:val="Hipervnculo"/>
            <w:rFonts w:eastAsia="Calibri"/>
            <w:lang w:eastAsia="en-US"/>
          </w:rPr>
          <w:t>https://doi.org/10.1016/j.dhjo.2016.03.004</w:t>
        </w:r>
      </w:hyperlink>
      <w:r w:rsidR="003C6F22" w:rsidRPr="003C6F22">
        <w:rPr>
          <w:rFonts w:eastAsia="Calibri"/>
          <w:color w:val="0563C1"/>
          <w:u w:val="single"/>
          <w:lang w:eastAsia="en-US"/>
        </w:rPr>
        <w:t xml:space="preserve"> </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07768703" w:rsidR="00147EED" w:rsidRPr="003C6F22" w:rsidRDefault="00147EED" w:rsidP="00D31F87">
      <w:pPr>
        <w:shd w:val="clear" w:color="auto" w:fill="FFFFFF"/>
        <w:spacing w:line="260" w:lineRule="exact"/>
        <w:ind w:left="720" w:hanging="720"/>
        <w:jc w:val="right"/>
        <w:rPr>
          <w:i/>
          <w:iCs/>
          <w:sz w:val="20"/>
          <w:szCs w:val="20"/>
          <w:lang w:val="en-US"/>
        </w:rPr>
      </w:pPr>
      <w:r w:rsidRPr="008A2B96">
        <w:rPr>
          <w:i/>
          <w:iCs/>
          <w:sz w:val="20"/>
          <w:szCs w:val="20"/>
          <w:lang w:val="en-US"/>
        </w:rPr>
        <w:t xml:space="preserve">Received: </w:t>
      </w:r>
      <w:r w:rsidR="00D31F87" w:rsidRPr="00B01635">
        <w:rPr>
          <w:i/>
          <w:iCs/>
          <w:sz w:val="20"/>
          <w:szCs w:val="20"/>
          <w:lang w:val="en-US"/>
        </w:rPr>
        <w:t>2021-11-30</w:t>
      </w:r>
    </w:p>
    <w:p w14:paraId="312A8921" w14:textId="0F5111E1" w:rsidR="00147EED" w:rsidRPr="003C6F22"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D31F87" w:rsidRPr="00D31F87">
        <w:rPr>
          <w:i/>
          <w:iCs/>
          <w:sz w:val="20"/>
          <w:szCs w:val="20"/>
          <w:lang w:eastAsia="es-ES_tradnl"/>
        </w:rPr>
        <w:t>2024-04-03</w:t>
      </w:r>
    </w:p>
    <w:sectPr w:rsidR="00147EED" w:rsidRPr="003C6F22" w:rsidSect="00686DA9">
      <w:headerReference w:type="even" r:id="rId80"/>
      <w:headerReference w:type="default" r:id="rId81"/>
      <w:footerReference w:type="even" r:id="rId82"/>
      <w:footerReference w:type="default" r:id="rId8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0A49" w14:textId="77777777" w:rsidR="00090BDE" w:rsidRDefault="00090BDE" w:rsidP="00C413D4">
      <w:r>
        <w:separator/>
      </w:r>
    </w:p>
  </w:endnote>
  <w:endnote w:type="continuationSeparator" w:id="0">
    <w:p w14:paraId="37D91367" w14:textId="77777777" w:rsidR="00090BDE" w:rsidRDefault="00090BD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7DB722B" w:rsidR="003C6F22" w:rsidRDefault="003C6F2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34102">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3C6F22" w:rsidRDefault="003C6F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B619254" w:rsidR="003C6F22" w:rsidRDefault="003C6F2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3410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3C6F22" w:rsidRDefault="003C6F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030C" w14:textId="77777777" w:rsidR="00090BDE" w:rsidRDefault="00090BDE" w:rsidP="00C413D4">
      <w:r>
        <w:separator/>
      </w:r>
    </w:p>
  </w:footnote>
  <w:footnote w:type="continuationSeparator" w:id="0">
    <w:p w14:paraId="7CAFB9C4" w14:textId="77777777" w:rsidR="00090BDE" w:rsidRDefault="00090BDE" w:rsidP="00C413D4">
      <w:r>
        <w:continuationSeparator/>
      </w:r>
    </w:p>
  </w:footnote>
  <w:footnote w:id="1">
    <w:p w14:paraId="5E153EE6" w14:textId="3DAABB8B" w:rsidR="003C6F22" w:rsidRPr="005E205D" w:rsidRDefault="003C6F22"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00BE7510" w:rsidRPr="00F1334C">
        <w:rPr>
          <w:rFonts w:ascii="Times" w:hAnsi="Times"/>
          <w:b/>
          <w:bCs/>
          <w:i/>
          <w:iCs/>
          <w:sz w:val="16"/>
          <w:szCs w:val="16"/>
          <w:lang w:val="en-US"/>
        </w:rPr>
        <w:t>Nathalya</w:t>
      </w:r>
      <w:proofErr w:type="spellEnd"/>
      <w:r w:rsidR="00BE7510" w:rsidRPr="00F1334C">
        <w:rPr>
          <w:rFonts w:ascii="Times" w:hAnsi="Times"/>
          <w:b/>
          <w:bCs/>
          <w:i/>
          <w:iCs/>
          <w:sz w:val="16"/>
          <w:szCs w:val="16"/>
          <w:lang w:val="en-US"/>
        </w:rPr>
        <w:t xml:space="preserve"> Cruz</w:t>
      </w:r>
      <w:r>
        <w:rPr>
          <w:rFonts w:ascii="Times" w:hAnsi="Times"/>
          <w:b/>
          <w:bCs/>
          <w:sz w:val="16"/>
          <w:szCs w:val="16"/>
          <w:lang w:val="en-US"/>
        </w:rPr>
        <w:t xml:space="preserve">: </w:t>
      </w:r>
      <w:hyperlink r:id="rId1" w:history="1">
        <w:r w:rsidR="00BE7510">
          <w:rPr>
            <w:rStyle w:val="Hipervnculo"/>
            <w:sz w:val="16"/>
            <w:szCs w:val="16"/>
            <w:lang w:val="en-GB"/>
          </w:rPr>
          <w:t>nathalya_a@yahoo.com</w:t>
        </w:r>
      </w:hyperlink>
      <w:r>
        <w:rPr>
          <w:sz w:val="16"/>
          <w:szCs w:val="16"/>
          <w:lang w:val="en-GB"/>
        </w:rPr>
        <w:t xml:space="preserve"> </w:t>
      </w:r>
    </w:p>
  </w:footnote>
  <w:footnote w:id="2">
    <w:p w14:paraId="379CAF8A" w14:textId="4BF91772" w:rsidR="003C6F22" w:rsidRPr="00CC7D22" w:rsidRDefault="003C6F22"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256ABE2" w:rsidR="003C6F22" w:rsidRPr="00714485" w:rsidRDefault="00BE7510" w:rsidP="00714485">
    <w:pPr>
      <w:pStyle w:val="Encabezado"/>
      <w:jc w:val="center"/>
      <w:rPr>
        <w:rFonts w:ascii="Times" w:hAnsi="Times" w:cs="Times New Roman (Body CS)"/>
        <w:b/>
        <w:bCs/>
        <w:smallCaps/>
        <w:sz w:val="20"/>
        <w:szCs w:val="20"/>
        <w:lang w:val="es-ES_tradnl"/>
      </w:rPr>
    </w:pPr>
    <w:r>
      <w:rPr>
        <w:rFonts w:ascii="Times" w:hAnsi="Times" w:cs="Times New Roman (Body CS)"/>
        <w:b/>
        <w:bCs/>
        <w:smallCaps/>
        <w:sz w:val="20"/>
        <w:szCs w:val="20"/>
        <w:lang w:val="es-ES"/>
      </w:rPr>
      <w:t>Cruz</w:t>
    </w:r>
    <w:r w:rsidR="003C6F22" w:rsidRPr="00BA0F75">
      <w:rPr>
        <w:rFonts w:ascii="Times" w:hAnsi="Times" w:cs="Times New Roman (Body CS)"/>
        <w:b/>
        <w:bCs/>
        <w:smallCaps/>
        <w:sz w:val="20"/>
        <w:szCs w:val="20"/>
        <w:lang w:val="es-ES"/>
      </w:rPr>
      <w:t>,</w:t>
    </w:r>
    <w:r w:rsidR="00C14110">
      <w:rPr>
        <w:rFonts w:ascii="Times" w:hAnsi="Times" w:cs="Times New Roman (Body CS)"/>
        <w:b/>
        <w:bCs/>
        <w:smallCaps/>
        <w:sz w:val="20"/>
        <w:szCs w:val="20"/>
        <w:lang w:val="es-AR"/>
      </w:rPr>
      <w:t xml:space="preserve"> </w:t>
    </w:r>
    <w:r w:rsidR="003C6F22">
      <w:rPr>
        <w:rFonts w:ascii="Times" w:hAnsi="Times" w:cs="Times New Roman (Body CS)"/>
        <w:b/>
        <w:bCs/>
        <w:smallCaps/>
        <w:sz w:val="20"/>
        <w:szCs w:val="20"/>
        <w:lang w:val="es-AR"/>
      </w:rPr>
      <w:t xml:space="preserve">&amp; </w:t>
    </w:r>
    <w:r w:rsidR="00B01635" w:rsidRPr="00B01635">
      <w:rPr>
        <w:rFonts w:ascii="Times" w:hAnsi="Times" w:cs="Times New Roman (Body CS)"/>
        <w:b/>
        <w:bCs/>
        <w:smallCaps/>
        <w:sz w:val="20"/>
        <w:szCs w:val="20"/>
        <w:lang w:val="es-AR"/>
      </w:rPr>
      <w:t>Ribeiro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3C6F22" w:rsidRDefault="003C6F2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46E797FC" w:rsidR="003C6F22" w:rsidRDefault="003C6F22" w:rsidP="00C413D4">
    <w:pPr>
      <w:pStyle w:val="Encabezado"/>
      <w:jc w:val="right"/>
      <w:rPr>
        <w:rFonts w:ascii="Times" w:hAnsi="Times"/>
        <w:i/>
        <w:sz w:val="18"/>
        <w:szCs w:val="18"/>
        <w:lang w:val="es-ES"/>
      </w:rPr>
    </w:pPr>
    <w:r>
      <w:rPr>
        <w:rFonts w:ascii="Times" w:hAnsi="Times"/>
        <w:i/>
        <w:sz w:val="18"/>
        <w:szCs w:val="18"/>
        <w:lang w:val="es-ES"/>
      </w:rPr>
      <w:t>2024, Vol., 58, No. 1, e1746</w:t>
    </w:r>
  </w:p>
  <w:p w14:paraId="1AAB67EA" w14:textId="77777777" w:rsidR="003C6F22" w:rsidRDefault="003C6F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50431483">
    <w:abstractNumId w:val="28"/>
  </w:num>
  <w:num w:numId="2" w16cid:durableId="1751343776">
    <w:abstractNumId w:val="48"/>
  </w:num>
  <w:num w:numId="3" w16cid:durableId="1482775654">
    <w:abstractNumId w:val="14"/>
  </w:num>
  <w:num w:numId="4" w16cid:durableId="900596389">
    <w:abstractNumId w:val="40"/>
  </w:num>
  <w:num w:numId="5" w16cid:durableId="600574791">
    <w:abstractNumId w:val="49"/>
  </w:num>
  <w:num w:numId="6" w16cid:durableId="1326518341">
    <w:abstractNumId w:val="41"/>
  </w:num>
  <w:num w:numId="7" w16cid:durableId="1753355532">
    <w:abstractNumId w:val="32"/>
  </w:num>
  <w:num w:numId="8" w16cid:durableId="1980573689">
    <w:abstractNumId w:val="36"/>
  </w:num>
  <w:num w:numId="9" w16cid:durableId="1620452363">
    <w:abstractNumId w:val="44"/>
  </w:num>
  <w:num w:numId="10" w16cid:durableId="892081002">
    <w:abstractNumId w:val="31"/>
  </w:num>
  <w:num w:numId="11" w16cid:durableId="408158442">
    <w:abstractNumId w:val="25"/>
  </w:num>
  <w:num w:numId="12" w16cid:durableId="1911574903">
    <w:abstractNumId w:val="12"/>
  </w:num>
  <w:num w:numId="13" w16cid:durableId="1398017875">
    <w:abstractNumId w:val="17"/>
  </w:num>
  <w:num w:numId="14" w16cid:durableId="527720753">
    <w:abstractNumId w:val="19"/>
  </w:num>
  <w:num w:numId="15" w16cid:durableId="1475290039">
    <w:abstractNumId w:val="24"/>
  </w:num>
  <w:num w:numId="16" w16cid:durableId="40054927">
    <w:abstractNumId w:val="46"/>
  </w:num>
  <w:num w:numId="17" w16cid:durableId="913130284">
    <w:abstractNumId w:val="21"/>
  </w:num>
  <w:num w:numId="18" w16cid:durableId="549658538">
    <w:abstractNumId w:val="13"/>
  </w:num>
  <w:num w:numId="19" w16cid:durableId="161552654">
    <w:abstractNumId w:val="33"/>
  </w:num>
  <w:num w:numId="20" w16cid:durableId="482308797">
    <w:abstractNumId w:val="10"/>
  </w:num>
  <w:num w:numId="21" w16cid:durableId="447503466">
    <w:abstractNumId w:val="11"/>
  </w:num>
  <w:num w:numId="22" w16cid:durableId="1571580455">
    <w:abstractNumId w:val="26"/>
  </w:num>
  <w:num w:numId="23" w16cid:durableId="571161324">
    <w:abstractNumId w:val="35"/>
  </w:num>
  <w:num w:numId="24" w16cid:durableId="980621424">
    <w:abstractNumId w:val="4"/>
  </w:num>
  <w:num w:numId="25" w16cid:durableId="1534460492">
    <w:abstractNumId w:val="5"/>
  </w:num>
  <w:num w:numId="26" w16cid:durableId="2106924630">
    <w:abstractNumId w:val="6"/>
  </w:num>
  <w:num w:numId="27" w16cid:durableId="1545601502">
    <w:abstractNumId w:val="7"/>
  </w:num>
  <w:num w:numId="28" w16cid:durableId="1549535380">
    <w:abstractNumId w:val="9"/>
  </w:num>
  <w:num w:numId="29" w16cid:durableId="1859856930">
    <w:abstractNumId w:val="0"/>
  </w:num>
  <w:num w:numId="30" w16cid:durableId="2137094876">
    <w:abstractNumId w:val="1"/>
  </w:num>
  <w:num w:numId="31" w16cid:durableId="1765875650">
    <w:abstractNumId w:val="2"/>
  </w:num>
  <w:num w:numId="32" w16cid:durableId="1959947992">
    <w:abstractNumId w:val="3"/>
  </w:num>
  <w:num w:numId="33" w16cid:durableId="1354764846">
    <w:abstractNumId w:val="8"/>
  </w:num>
  <w:num w:numId="34" w16cid:durableId="1351839821">
    <w:abstractNumId w:val="16"/>
  </w:num>
  <w:num w:numId="35" w16cid:durableId="1403793814">
    <w:abstractNumId w:val="22"/>
  </w:num>
  <w:num w:numId="36" w16cid:durableId="1406877236">
    <w:abstractNumId w:val="20"/>
  </w:num>
  <w:num w:numId="37" w16cid:durableId="150410002">
    <w:abstractNumId w:val="42"/>
  </w:num>
  <w:num w:numId="38" w16cid:durableId="791047908">
    <w:abstractNumId w:val="23"/>
  </w:num>
  <w:num w:numId="39" w16cid:durableId="911086771">
    <w:abstractNumId w:val="18"/>
  </w:num>
  <w:num w:numId="40" w16cid:durableId="884025509">
    <w:abstractNumId w:val="29"/>
  </w:num>
  <w:num w:numId="41" w16cid:durableId="79644905">
    <w:abstractNumId w:val="15"/>
  </w:num>
  <w:num w:numId="42" w16cid:durableId="965887567">
    <w:abstractNumId w:val="45"/>
  </w:num>
  <w:num w:numId="43" w16cid:durableId="225533708">
    <w:abstractNumId w:val="30"/>
  </w:num>
  <w:num w:numId="44" w16cid:durableId="1348486601">
    <w:abstractNumId w:val="38"/>
  </w:num>
  <w:num w:numId="45" w16cid:durableId="1388722347">
    <w:abstractNumId w:val="27"/>
  </w:num>
  <w:num w:numId="46" w16cid:durableId="895123086">
    <w:abstractNumId w:val="39"/>
  </w:num>
  <w:num w:numId="47" w16cid:durableId="1611551670">
    <w:abstractNumId w:val="47"/>
  </w:num>
  <w:num w:numId="48" w16cid:durableId="2068533285">
    <w:abstractNumId w:val="37"/>
  </w:num>
  <w:num w:numId="49" w16cid:durableId="855851245">
    <w:abstractNumId w:val="43"/>
  </w:num>
  <w:num w:numId="50" w16cid:durableId="12476161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0BDE"/>
    <w:rsid w:val="000928CA"/>
    <w:rsid w:val="00094513"/>
    <w:rsid w:val="000A22C8"/>
    <w:rsid w:val="000A323A"/>
    <w:rsid w:val="000A6ECE"/>
    <w:rsid w:val="000B004F"/>
    <w:rsid w:val="000B01FD"/>
    <w:rsid w:val="000B1FE0"/>
    <w:rsid w:val="000B32F6"/>
    <w:rsid w:val="000B42A6"/>
    <w:rsid w:val="000B6BFA"/>
    <w:rsid w:val="000D111A"/>
    <w:rsid w:val="000D6953"/>
    <w:rsid w:val="000E2E0B"/>
    <w:rsid w:val="000E6C79"/>
    <w:rsid w:val="000E759A"/>
    <w:rsid w:val="000F56BA"/>
    <w:rsid w:val="000F5A4E"/>
    <w:rsid w:val="001001E7"/>
    <w:rsid w:val="001002F5"/>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4171"/>
    <w:rsid w:val="00166DA0"/>
    <w:rsid w:val="00167A76"/>
    <w:rsid w:val="00167F48"/>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588D"/>
    <w:rsid w:val="001A695F"/>
    <w:rsid w:val="001C41E9"/>
    <w:rsid w:val="001C4490"/>
    <w:rsid w:val="001C4E1C"/>
    <w:rsid w:val="001C7D0A"/>
    <w:rsid w:val="001D354F"/>
    <w:rsid w:val="001D4F48"/>
    <w:rsid w:val="001E0A61"/>
    <w:rsid w:val="001E1F5C"/>
    <w:rsid w:val="001E1F61"/>
    <w:rsid w:val="001E4251"/>
    <w:rsid w:val="001E4CD1"/>
    <w:rsid w:val="001E55FA"/>
    <w:rsid w:val="001E6DD2"/>
    <w:rsid w:val="001E7ADB"/>
    <w:rsid w:val="001F36D0"/>
    <w:rsid w:val="001F7920"/>
    <w:rsid w:val="001F7BA0"/>
    <w:rsid w:val="001F7DA4"/>
    <w:rsid w:val="002012E8"/>
    <w:rsid w:val="00201E32"/>
    <w:rsid w:val="00203EC7"/>
    <w:rsid w:val="00207437"/>
    <w:rsid w:val="002100AC"/>
    <w:rsid w:val="0021014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4BE"/>
    <w:rsid w:val="002B307F"/>
    <w:rsid w:val="002B7F65"/>
    <w:rsid w:val="002C1EB1"/>
    <w:rsid w:val="002C60F5"/>
    <w:rsid w:val="002C7DF0"/>
    <w:rsid w:val="002D0207"/>
    <w:rsid w:val="002D1053"/>
    <w:rsid w:val="002D5827"/>
    <w:rsid w:val="002D6B30"/>
    <w:rsid w:val="002E1BCC"/>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C6F22"/>
    <w:rsid w:val="003D1DE2"/>
    <w:rsid w:val="003D75C9"/>
    <w:rsid w:val="003E7618"/>
    <w:rsid w:val="003F0308"/>
    <w:rsid w:val="003F1F0B"/>
    <w:rsid w:val="00403B8B"/>
    <w:rsid w:val="00405A56"/>
    <w:rsid w:val="00406054"/>
    <w:rsid w:val="004071D5"/>
    <w:rsid w:val="0041371A"/>
    <w:rsid w:val="00414BBB"/>
    <w:rsid w:val="004150CA"/>
    <w:rsid w:val="00415451"/>
    <w:rsid w:val="00417776"/>
    <w:rsid w:val="00420DE6"/>
    <w:rsid w:val="00432090"/>
    <w:rsid w:val="00433376"/>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564DC"/>
    <w:rsid w:val="00660D5E"/>
    <w:rsid w:val="00661016"/>
    <w:rsid w:val="006619C0"/>
    <w:rsid w:val="006643C3"/>
    <w:rsid w:val="0066499F"/>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12B4"/>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462B"/>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4630"/>
    <w:rsid w:val="00897638"/>
    <w:rsid w:val="008A0743"/>
    <w:rsid w:val="008A0FFC"/>
    <w:rsid w:val="008A2B96"/>
    <w:rsid w:val="008B0F10"/>
    <w:rsid w:val="008B1447"/>
    <w:rsid w:val="008B19BA"/>
    <w:rsid w:val="008B251F"/>
    <w:rsid w:val="008B2D7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060F6"/>
    <w:rsid w:val="0091040E"/>
    <w:rsid w:val="00922B3A"/>
    <w:rsid w:val="00923438"/>
    <w:rsid w:val="00923446"/>
    <w:rsid w:val="009246B9"/>
    <w:rsid w:val="009401BC"/>
    <w:rsid w:val="00943B5C"/>
    <w:rsid w:val="009446F0"/>
    <w:rsid w:val="00950BD4"/>
    <w:rsid w:val="0095579B"/>
    <w:rsid w:val="00964CC6"/>
    <w:rsid w:val="009703F5"/>
    <w:rsid w:val="00970D91"/>
    <w:rsid w:val="00971421"/>
    <w:rsid w:val="009779A0"/>
    <w:rsid w:val="009803EC"/>
    <w:rsid w:val="00986BF6"/>
    <w:rsid w:val="00990AFE"/>
    <w:rsid w:val="00993315"/>
    <w:rsid w:val="009A0192"/>
    <w:rsid w:val="009A22B9"/>
    <w:rsid w:val="009A5FA1"/>
    <w:rsid w:val="009B3E5E"/>
    <w:rsid w:val="009B4D60"/>
    <w:rsid w:val="009C307F"/>
    <w:rsid w:val="009C43B4"/>
    <w:rsid w:val="009C4CF0"/>
    <w:rsid w:val="009D2551"/>
    <w:rsid w:val="009D6D67"/>
    <w:rsid w:val="009D71FD"/>
    <w:rsid w:val="009F3E43"/>
    <w:rsid w:val="009F58C4"/>
    <w:rsid w:val="009F7B75"/>
    <w:rsid w:val="00A03605"/>
    <w:rsid w:val="00A03E89"/>
    <w:rsid w:val="00A07982"/>
    <w:rsid w:val="00A114D6"/>
    <w:rsid w:val="00A12C89"/>
    <w:rsid w:val="00A13797"/>
    <w:rsid w:val="00A15339"/>
    <w:rsid w:val="00A2179E"/>
    <w:rsid w:val="00A234ED"/>
    <w:rsid w:val="00A249E5"/>
    <w:rsid w:val="00A2611C"/>
    <w:rsid w:val="00A411A9"/>
    <w:rsid w:val="00A457D0"/>
    <w:rsid w:val="00A516C7"/>
    <w:rsid w:val="00A61B22"/>
    <w:rsid w:val="00A629DD"/>
    <w:rsid w:val="00A64E60"/>
    <w:rsid w:val="00A70AE3"/>
    <w:rsid w:val="00A72239"/>
    <w:rsid w:val="00A80283"/>
    <w:rsid w:val="00A85C05"/>
    <w:rsid w:val="00A95630"/>
    <w:rsid w:val="00A97C99"/>
    <w:rsid w:val="00AA735D"/>
    <w:rsid w:val="00AB1AC5"/>
    <w:rsid w:val="00AB277A"/>
    <w:rsid w:val="00AB2CE6"/>
    <w:rsid w:val="00AB3BF6"/>
    <w:rsid w:val="00AB3E23"/>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1635"/>
    <w:rsid w:val="00B054C8"/>
    <w:rsid w:val="00B06283"/>
    <w:rsid w:val="00B07ECE"/>
    <w:rsid w:val="00B105AD"/>
    <w:rsid w:val="00B114CD"/>
    <w:rsid w:val="00B114F3"/>
    <w:rsid w:val="00B12740"/>
    <w:rsid w:val="00B2208A"/>
    <w:rsid w:val="00B25C11"/>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0BD1"/>
    <w:rsid w:val="00BD26F5"/>
    <w:rsid w:val="00BD2994"/>
    <w:rsid w:val="00BD3521"/>
    <w:rsid w:val="00BE1FBF"/>
    <w:rsid w:val="00BE399B"/>
    <w:rsid w:val="00BE7510"/>
    <w:rsid w:val="00BF2953"/>
    <w:rsid w:val="00BF6532"/>
    <w:rsid w:val="00BF6737"/>
    <w:rsid w:val="00BF6A48"/>
    <w:rsid w:val="00C01611"/>
    <w:rsid w:val="00C02FC7"/>
    <w:rsid w:val="00C06D6D"/>
    <w:rsid w:val="00C12A53"/>
    <w:rsid w:val="00C14110"/>
    <w:rsid w:val="00C14765"/>
    <w:rsid w:val="00C2267F"/>
    <w:rsid w:val="00C413D4"/>
    <w:rsid w:val="00C45E73"/>
    <w:rsid w:val="00C51A35"/>
    <w:rsid w:val="00C51C25"/>
    <w:rsid w:val="00C55B07"/>
    <w:rsid w:val="00C57D5C"/>
    <w:rsid w:val="00C60DEE"/>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1F87"/>
    <w:rsid w:val="00D33385"/>
    <w:rsid w:val="00D34102"/>
    <w:rsid w:val="00D347EE"/>
    <w:rsid w:val="00D43347"/>
    <w:rsid w:val="00D441A1"/>
    <w:rsid w:val="00D45408"/>
    <w:rsid w:val="00D52AC8"/>
    <w:rsid w:val="00D553C9"/>
    <w:rsid w:val="00D5546B"/>
    <w:rsid w:val="00D600FE"/>
    <w:rsid w:val="00D609BB"/>
    <w:rsid w:val="00D63FEC"/>
    <w:rsid w:val="00D66387"/>
    <w:rsid w:val="00D67E11"/>
    <w:rsid w:val="00D70EF7"/>
    <w:rsid w:val="00D75AC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202B"/>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1CE5"/>
    <w:rsid w:val="00E43535"/>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334C"/>
    <w:rsid w:val="00F157E5"/>
    <w:rsid w:val="00F17BC5"/>
    <w:rsid w:val="00F2312F"/>
    <w:rsid w:val="00F25DD5"/>
    <w:rsid w:val="00F27CB5"/>
    <w:rsid w:val="00F31F4A"/>
    <w:rsid w:val="00F327B6"/>
    <w:rsid w:val="00F3641B"/>
    <w:rsid w:val="00F42476"/>
    <w:rsid w:val="00F43549"/>
    <w:rsid w:val="00F4526C"/>
    <w:rsid w:val="00F51115"/>
    <w:rsid w:val="00F65680"/>
    <w:rsid w:val="00F70FFE"/>
    <w:rsid w:val="00F7184A"/>
    <w:rsid w:val="00F746C5"/>
    <w:rsid w:val="00F811DD"/>
    <w:rsid w:val="00F824D6"/>
    <w:rsid w:val="00F904F7"/>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8557">
      <w:bodyDiv w:val="1"/>
      <w:marLeft w:val="0"/>
      <w:marRight w:val="0"/>
      <w:marTop w:val="0"/>
      <w:marBottom w:val="0"/>
      <w:divBdr>
        <w:top w:val="none" w:sz="0" w:space="0" w:color="auto"/>
        <w:left w:val="none" w:sz="0" w:space="0" w:color="auto"/>
        <w:bottom w:val="none" w:sz="0" w:space="0" w:color="auto"/>
        <w:right w:val="none" w:sz="0" w:space="0" w:color="auto"/>
      </w:divBdr>
    </w:div>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4598777">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geronb/gbw132" TargetMode="External"/><Relationship Id="rId21" Type="http://schemas.openxmlformats.org/officeDocument/2006/relationships/hyperlink" Target="https://doi.org/10.1111/pme.12885" TargetMode="External"/><Relationship Id="rId42" Type="http://schemas.openxmlformats.org/officeDocument/2006/relationships/hyperlink" Target="https://doi.org/10.1177/0733464812456631" TargetMode="External"/><Relationship Id="rId47" Type="http://schemas.openxmlformats.org/officeDocument/2006/relationships/hyperlink" Target="https://doi.org/10.1016/j.adolescence.2011.07.010" TargetMode="External"/><Relationship Id="rId63" Type="http://schemas.openxmlformats.org/officeDocument/2006/relationships/hyperlink" Target="https://doi.org/10.1037/a0027054" TargetMode="External"/><Relationship Id="rId68" Type="http://schemas.openxmlformats.org/officeDocument/2006/relationships/hyperlink" Target="https://doi.org/10.1037/pag0000132" TargetMode="External"/><Relationship Id="rId84" Type="http://schemas.openxmlformats.org/officeDocument/2006/relationships/fontTable" Target="fontTable.xml"/><Relationship Id="rId16" Type="http://schemas.openxmlformats.org/officeDocument/2006/relationships/hyperlink" Target="https://sipsych.org/" TargetMode="External"/><Relationship Id="rId11" Type="http://schemas.openxmlformats.org/officeDocument/2006/relationships/hyperlink" Target="https://orcid.org/0000-0003-4537-413X" TargetMode="External"/><Relationship Id="rId32" Type="http://schemas.openxmlformats.org/officeDocument/2006/relationships/hyperlink" Target="https://doi.org/10.1037/0012-1649.43.2.508" TargetMode="External"/><Relationship Id="rId37" Type="http://schemas.openxmlformats.org/officeDocument/2006/relationships/hyperlink" Target="https://doi.org/10.1017/S1478951515000644" TargetMode="External"/><Relationship Id="rId53" Type="http://schemas.openxmlformats.org/officeDocument/2006/relationships/hyperlink" Target="https://doi.org/10.1080/15438627.2017.1314287" TargetMode="External"/><Relationship Id="rId58" Type="http://schemas.openxmlformats.org/officeDocument/2006/relationships/hyperlink" Target="https://doi.org/10.1097/JOM.0000000000000402" TargetMode="External"/><Relationship Id="rId74" Type="http://schemas.openxmlformats.org/officeDocument/2006/relationships/hyperlink" Target="https://doi.org/10.1016/j.jad.2011.04.001" TargetMode="External"/><Relationship Id="rId79" Type="http://schemas.openxmlformats.org/officeDocument/2006/relationships/hyperlink" Target="https://doi.org/10.1016/j.dhjo.2016.03.004" TargetMode="External"/><Relationship Id="rId5" Type="http://schemas.openxmlformats.org/officeDocument/2006/relationships/webSettings" Target="webSettings.xml"/><Relationship Id="rId19" Type="http://schemas.openxmlformats.org/officeDocument/2006/relationships/hyperlink" Target="https://doi.org/10.1590/S1809-98232011000200005" TargetMode="External"/><Relationship Id="rId14" Type="http://schemas.openxmlformats.org/officeDocument/2006/relationships/hyperlink" Target="https://orcid.org/0000-0001-9431-2707" TargetMode="External"/><Relationship Id="rId22" Type="http://schemas.openxmlformats.org/officeDocument/2006/relationships/hyperlink" Target="https://doi.org/10.1111/jan.12847" TargetMode="External"/><Relationship Id="rId27" Type="http://schemas.openxmlformats.org/officeDocument/2006/relationships/hyperlink" Target="https://doi.org/10.1037/a0035062" TargetMode="External"/><Relationship Id="rId30" Type="http://schemas.openxmlformats.org/officeDocument/2006/relationships/hyperlink" Target="https://doi.org/10.1007/s12529-013-9330-1" TargetMode="External"/><Relationship Id="rId35" Type="http://schemas.openxmlformats.org/officeDocument/2006/relationships/hyperlink" Target="https://doi.org/10.1080/13825585.2014.888391" TargetMode="External"/><Relationship Id="rId43" Type="http://schemas.openxmlformats.org/officeDocument/2006/relationships/hyperlink" Target="https://seer.ufrgs.br/RevEnvelhecer/article/view/45612" TargetMode="External"/><Relationship Id="rId48" Type="http://schemas.openxmlformats.org/officeDocument/2006/relationships/hyperlink" Target="https://doi.org/10.1037/a0039676" TargetMode="External"/><Relationship Id="rId56" Type="http://schemas.openxmlformats.org/officeDocument/2006/relationships/hyperlink" Target="http://dx.doi.org/10.1590/S1413-82712012000300002" TargetMode="External"/><Relationship Id="rId64" Type="http://schemas.openxmlformats.org/officeDocument/2006/relationships/hyperlink" Target="https://doi.org/10.1097/JOM.0000000000000546" TargetMode="External"/><Relationship Id="rId69" Type="http://schemas.openxmlformats.org/officeDocument/2006/relationships/hyperlink" Target="https://doi.org/10.1080/13607860802534591" TargetMode="External"/><Relationship Id="rId77" Type="http://schemas.openxmlformats.org/officeDocument/2006/relationships/hyperlink" Target="https://doi.org/10.1177/0091415017709798" TargetMode="External"/><Relationship Id="rId8" Type="http://schemas.openxmlformats.org/officeDocument/2006/relationships/hyperlink" Target="https://doi.org/10.30849/ripijp.v58i1.1746" TargetMode="External"/><Relationship Id="rId51" Type="http://schemas.openxmlformats.org/officeDocument/2006/relationships/hyperlink" Target="https://doi.org/10.1016/j.adolescence.2011.07.008" TargetMode="External"/><Relationship Id="rId72" Type="http://schemas.openxmlformats.org/officeDocument/2006/relationships/hyperlink" Target="https://doi.org/10.3389/fpsyg.2014.00165"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rcid.org/0000-0001-5678-2353" TargetMode="External"/><Relationship Id="rId17" Type="http://schemas.openxmlformats.org/officeDocument/2006/relationships/image" Target="media/image3.png"/><Relationship Id="rId25" Type="http://schemas.openxmlformats.org/officeDocument/2006/relationships/hyperlink" Target="http://dx.doi.org/10.5327/Z1982-1247201400020007" TargetMode="External"/><Relationship Id="rId33" Type="http://schemas.openxmlformats.org/officeDocument/2006/relationships/hyperlink" Target="https://doi.org/10.1002/cd.304" TargetMode="External"/><Relationship Id="rId38" Type="http://schemas.openxmlformats.org/officeDocument/2006/relationships/hyperlink" Target="https://doi.org/10.2190/AG.74.1.c" TargetMode="External"/><Relationship Id="rId46" Type="http://schemas.openxmlformats.org/officeDocument/2006/relationships/hyperlink" Target="https://doi.org/10.2190/AG.79.2.d" TargetMode="External"/><Relationship Id="rId59" Type="http://schemas.openxmlformats.org/officeDocument/2006/relationships/hyperlink" Target="https://doi.org/10.1080/01634372.2010.539589" TargetMode="External"/><Relationship Id="rId67" Type="http://schemas.openxmlformats.org/officeDocument/2006/relationships/hyperlink" Target="https://doi.org/10.12957/polemica.2010.2751" TargetMode="External"/><Relationship Id="rId20" Type="http://schemas.openxmlformats.org/officeDocument/2006/relationships/hyperlink" Target="https://doi.org/10.22278/2318-2660.2015.v39.n3.a1895" TargetMode="External"/><Relationship Id="rId41" Type="http://schemas.openxmlformats.org/officeDocument/2006/relationships/hyperlink" Target="https://doi.org/10.1159/000360222" TargetMode="External"/><Relationship Id="rId54" Type="http://schemas.openxmlformats.org/officeDocument/2006/relationships/hyperlink" Target="https://doi.org/10.17921/2176-9524.2009v1n1p%25p" TargetMode="External"/><Relationship Id="rId62" Type="http://schemas.openxmlformats.org/officeDocument/2006/relationships/hyperlink" Target="https://doi.org/10.1080/13825585.2011.615905" TargetMode="External"/><Relationship Id="rId70" Type="http://schemas.openxmlformats.org/officeDocument/2006/relationships/hyperlink" Target="https://doi.org/10.1093/geront/gns095" TargetMode="External"/><Relationship Id="rId75" Type="http://schemas.openxmlformats.org/officeDocument/2006/relationships/hyperlink" Target="https://doi.org/10.1037/a0032845"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547-4315" TargetMode="External"/><Relationship Id="rId23" Type="http://schemas.openxmlformats.org/officeDocument/2006/relationships/hyperlink" Target="https://doi.org/10.1037/0012-1649.23.5.611" TargetMode="External"/><Relationship Id="rId28" Type="http://schemas.openxmlformats.org/officeDocument/2006/relationships/hyperlink" Target="https://doi.org/10.1080/13825585.2011.638976" TargetMode="External"/><Relationship Id="rId36" Type="http://schemas.openxmlformats.org/officeDocument/2006/relationships/hyperlink" Target="https://doi.org/10.15253/2175-6783.2017000600004" TargetMode="External"/><Relationship Id="rId49" Type="http://schemas.openxmlformats.org/officeDocument/2006/relationships/hyperlink" Target="https://doi.org/10.3233/WOR-2012-0083-5137" TargetMode="External"/><Relationship Id="rId57" Type="http://schemas.openxmlformats.org/officeDocument/2006/relationships/hyperlink" Target="https://doi.org/10.1097/JOM.0000000000000402" TargetMode="External"/><Relationship Id="rId10" Type="http://schemas.openxmlformats.org/officeDocument/2006/relationships/image" Target="media/image1.png"/><Relationship Id="rId31" Type="http://schemas.openxmlformats.org/officeDocument/2006/relationships/hyperlink" Target="https://doi.org/10.1007/s10964-010-9537-2" TargetMode="External"/><Relationship Id="rId44" Type="http://schemas.openxmlformats.org/officeDocument/2006/relationships/hyperlink" Target="https://doi.org/10.1590/S1414-98932011000100002" TargetMode="External"/><Relationship Id="rId52" Type="http://schemas.openxmlformats.org/officeDocument/2006/relationships/hyperlink" Target="https://doi.org/10.3389/fpsyg.2014.00609" TargetMode="External"/><Relationship Id="rId60" Type="http://schemas.openxmlformats.org/officeDocument/2006/relationships/hyperlink" Target="https://doi.org/10.1177/1054773810379401" TargetMode="External"/><Relationship Id="rId65" Type="http://schemas.openxmlformats.org/officeDocument/2006/relationships/hyperlink" Target="http://www.reme.org.br/exportar-pdf/1154/e1018.pdf" TargetMode="External"/><Relationship Id="rId73" Type="http://schemas.openxmlformats.org/officeDocument/2006/relationships/hyperlink" Target="https://doi.org/10.1177/0733464816687218" TargetMode="External"/><Relationship Id="rId78" Type="http://schemas.openxmlformats.org/officeDocument/2006/relationships/hyperlink" Target="https://doi.org/10.1037/a0017531"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3" Type="http://schemas.openxmlformats.org/officeDocument/2006/relationships/image" Target="media/image2.png"/><Relationship Id="rId18" Type="http://schemas.openxmlformats.org/officeDocument/2006/relationships/image" Target="media/image4.svg"/><Relationship Id="rId39" Type="http://schemas.openxmlformats.org/officeDocument/2006/relationships/hyperlink" Target="https://doi.org/10.1007/s10433-014-0331-y" TargetMode="External"/><Relationship Id="rId34" Type="http://schemas.openxmlformats.org/officeDocument/2006/relationships/hyperlink" Target="https://doi.org/10.1097/01.NUR.0000343080.57838.2f" TargetMode="External"/><Relationship Id="rId50" Type="http://schemas.openxmlformats.org/officeDocument/2006/relationships/hyperlink" Target="https://doi.org/10.1111/jan.12026" TargetMode="External"/><Relationship Id="rId55" Type="http://schemas.openxmlformats.org/officeDocument/2006/relationships/hyperlink" Target="https://doi.org/10.2190/AG.74.2.a" TargetMode="External"/><Relationship Id="rId76" Type="http://schemas.openxmlformats.org/officeDocument/2006/relationships/hyperlink" Target="https://doi.org/10.11606/issn.2238-6149.v28i2p214-220" TargetMode="External"/><Relationship Id="rId7" Type="http://schemas.openxmlformats.org/officeDocument/2006/relationships/endnotes" Target="endnotes.xml"/><Relationship Id="rId71" Type="http://schemas.openxmlformats.org/officeDocument/2006/relationships/hyperlink" Target="https://doi.org/10.1097/JOM.0000000000000102" TargetMode="External"/><Relationship Id="rId2" Type="http://schemas.openxmlformats.org/officeDocument/2006/relationships/numbering" Target="numbering.xml"/><Relationship Id="rId29" Type="http://schemas.openxmlformats.org/officeDocument/2006/relationships/hyperlink" Target="http://www.seer.ufu.br/index.php/perspectivasempsicologia/article/view/27556" TargetMode="External"/><Relationship Id="rId24" Type="http://schemas.openxmlformats.org/officeDocument/2006/relationships/hyperlink" Target="https://doi.org/10.1007/s00420-017-1202-6" TargetMode="External"/><Relationship Id="rId40" Type="http://schemas.openxmlformats.org/officeDocument/2006/relationships/hyperlink" Target="https://doi.org/10.1177/1049732311421179" TargetMode="External"/><Relationship Id="rId45" Type="http://schemas.openxmlformats.org/officeDocument/2006/relationships/hyperlink" Target="https://doi.org/10.2190/AG.79.2.d" TargetMode="External"/><Relationship Id="rId66" Type="http://schemas.openxmlformats.org/officeDocument/2006/relationships/hyperlink" Target="https://doi.org/10.1177/0165025415592187" TargetMode="External"/><Relationship Id="rId61" Type="http://schemas.openxmlformats.org/officeDocument/2006/relationships/hyperlink" Target="https://doi.org/10.14295/idonline.v11i37.862" TargetMode="External"/><Relationship Id="rId8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ulia.gallegos@udem.edu?subject=RIP/IJP:Relation%20between%20the%20SOC%20model%20and%20depressive%20symptoms%20in%20the%20elderl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20E7-E3B2-46E0-BBBC-1B310804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18</Pages>
  <Words>7649</Words>
  <Characters>42073</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24</cp:revision>
  <cp:lastPrinted>2024-06-20T14:15:00Z</cp:lastPrinted>
  <dcterms:created xsi:type="dcterms:W3CDTF">2024-04-08T19:37:00Z</dcterms:created>
  <dcterms:modified xsi:type="dcterms:W3CDTF">2024-06-27T17:36:00Z</dcterms:modified>
</cp:coreProperties>
</file>