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ECF3C" w14:textId="61EC58AB" w:rsidR="00742E4A" w:rsidRPr="005040FB" w:rsidRDefault="00384E6B" w:rsidP="00A815CA">
      <w:pPr>
        <w:pStyle w:val="Titulodeartculo"/>
        <w:rPr>
          <w:lang w:val="pt-BR"/>
        </w:rPr>
      </w:pPr>
      <w:bookmarkStart w:id="0" w:name="_Hlk90834151"/>
      <w:bookmarkEnd w:id="0"/>
      <w:r w:rsidRPr="00333677">
        <w:rPr>
          <w:lang w:val="en-GB" w:eastAsia="es-AR"/>
        </w:rPr>
        <w:drawing>
          <wp:anchor distT="0" distB="0" distL="114300" distR="114300" simplePos="0" relativeHeight="251664384" behindDoc="0" locked="0" layoutInCell="1" allowOverlap="1" wp14:anchorId="4437BD97" wp14:editId="266CD3BB">
            <wp:simplePos x="0" y="0"/>
            <wp:positionH relativeFrom="column">
              <wp:posOffset>3272155</wp:posOffset>
            </wp:positionH>
            <wp:positionV relativeFrom="paragraph">
              <wp:posOffset>853277</wp:posOffset>
            </wp:positionV>
            <wp:extent cx="168910" cy="168910"/>
            <wp:effectExtent l="0" t="0" r="0" b="0"/>
            <wp:wrapNone/>
            <wp:docPr id="2" name="Imagen 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a:hlinkClick r:id="rId8"/>
                    </pic:cNvPr>
                    <pic:cNvPicPr/>
                  </pic:nvPicPr>
                  <pic:blipFill>
                    <a:blip r:embed="rId9"/>
                    <a:stretch>
                      <a:fillRect/>
                    </a:stretch>
                  </pic:blipFill>
                  <pic:spPr>
                    <a:xfrm>
                      <a:off x="0" y="0"/>
                      <a:ext cx="168910" cy="168910"/>
                    </a:xfrm>
                    <a:prstGeom prst="rect">
                      <a:avLst/>
                    </a:prstGeom>
                  </pic:spPr>
                </pic:pic>
              </a:graphicData>
            </a:graphic>
            <wp14:sizeRelH relativeFrom="page">
              <wp14:pctWidth>0</wp14:pctWidth>
            </wp14:sizeRelH>
            <wp14:sizeRelV relativeFrom="page">
              <wp14:pctHeight>0</wp14:pctHeight>
            </wp14:sizeRelV>
          </wp:anchor>
        </w:drawing>
      </w:r>
      <w:r w:rsidR="00CE6648" w:rsidRPr="00CE6648">
        <w:rPr>
          <w:bCs/>
          <w:lang w:val="pt-BR" w:eastAsia="es-AR"/>
        </w:rPr>
        <w:t>O envelhecimento visto do cárcere: análise psicossocial da Velhice LGBT a partir de pessoas em privação de liberdade de um estado brasileiro em tempos de COVID-19</w:t>
      </w:r>
    </w:p>
    <w:p w14:paraId="07B1149B" w14:textId="79DADEBD" w:rsidR="008E17AF" w:rsidRPr="00C7239B" w:rsidRDefault="008E17AF" w:rsidP="00C413D4">
      <w:pPr>
        <w:rPr>
          <w:b/>
          <w:lang w:val="pt-BR"/>
        </w:rPr>
      </w:pPr>
    </w:p>
    <w:p w14:paraId="110A42C5" w14:textId="1CF1375C" w:rsidR="00CC7D22" w:rsidRPr="0012112F" w:rsidRDefault="0012112F" w:rsidP="00CC7D22">
      <w:pPr>
        <w:pStyle w:val="Body"/>
        <w:jc w:val="both"/>
        <w:rPr>
          <w:b/>
          <w:bCs/>
          <w:color w:val="222222"/>
          <w:sz w:val="26"/>
          <w:szCs w:val="26"/>
          <w:u w:color="222222"/>
          <w:lang w:val="pt-BR"/>
        </w:rPr>
      </w:pPr>
      <w:bookmarkStart w:id="1" w:name="_Hlk90835901"/>
      <w:r w:rsidRPr="0012112F">
        <w:rPr>
          <w:b/>
          <w:bCs/>
          <w:color w:val="222222"/>
          <w:sz w:val="26"/>
          <w:szCs w:val="26"/>
          <w:u w:color="222222"/>
          <w:lang w:val="pt-BR"/>
        </w:rPr>
        <w:t>Maria Fernanda Lima Silva</w:t>
      </w:r>
      <w:r w:rsidR="00FA7CFE" w:rsidRPr="009D71FD">
        <w:rPr>
          <w:b/>
          <w:bCs/>
          <w:color w:val="222222"/>
          <w:sz w:val="26"/>
          <w:szCs w:val="26"/>
          <w:u w:color="222222"/>
          <w:lang w:val="pt-BR"/>
        </w:rPr>
        <w:t xml:space="preserve"> </w:t>
      </w:r>
      <w:r w:rsidR="000B7ADC" w:rsidRPr="00886B3C">
        <w:rPr>
          <w:b/>
          <w:bCs/>
          <w:color w:val="222222"/>
          <w:sz w:val="26"/>
          <w:szCs w:val="26"/>
          <w:u w:color="222222"/>
          <w:vertAlign w:val="superscript"/>
          <w:lang w:val="en-GB"/>
        </w:rPr>
        <w:footnoteReference w:id="1"/>
      </w:r>
      <w:r w:rsidR="005B2220" w:rsidRPr="005B2220">
        <w:rPr>
          <w:b/>
          <w:bCs/>
          <w:color w:val="4472C4" w:themeColor="accent1"/>
          <w:sz w:val="26"/>
          <w:szCs w:val="26"/>
          <w:u w:color="222222"/>
          <w:vertAlign w:val="superscript"/>
          <w:lang w:val="pt-BR"/>
        </w:rPr>
        <w:t xml:space="preserve"> a</w:t>
      </w:r>
      <w:r w:rsidR="0039161E" w:rsidRPr="00886B3C">
        <w:rPr>
          <w:b/>
          <w:bCs/>
          <w:noProof/>
          <w:color w:val="222222"/>
          <w:sz w:val="26"/>
          <w:szCs w:val="26"/>
          <w:u w:color="222222"/>
          <w:lang w:val="en-GB" w:eastAsia="es-AR"/>
        </w:rPr>
        <w:drawing>
          <wp:inline distT="0" distB="0" distL="0" distR="0" wp14:anchorId="32AAC9E8" wp14:editId="38037278">
            <wp:extent cx="133200" cy="133200"/>
            <wp:effectExtent l="0" t="0" r="0" b="0"/>
            <wp:docPr id="1073741827" name="officeArt object" descr="Imagen 1">
              <a:hlinkClick xmlns:a="http://schemas.openxmlformats.org/drawingml/2006/main" r:id="rId10"/>
            </wp:docPr>
            <wp:cNvGraphicFramePr/>
            <a:graphic xmlns:a="http://schemas.openxmlformats.org/drawingml/2006/main">
              <a:graphicData uri="http://schemas.openxmlformats.org/drawingml/2006/picture">
                <pic:pic xmlns:pic="http://schemas.openxmlformats.org/drawingml/2006/picture">
                  <pic:nvPicPr>
                    <pic:cNvPr id="1073741827" name="officeArt object" descr="Imagen 1">
                      <a:hlinkClick r:id="rId10"/>
                    </pic:cNvPr>
                    <pic:cNvPicPr>
                      <a:picLocks noChangeAspect="1"/>
                    </pic:cNvPicPr>
                  </pic:nvPicPr>
                  <pic:blipFill>
                    <a:blip r:embed="rId11"/>
                    <a:stretch>
                      <a:fillRect/>
                    </a:stretch>
                  </pic:blipFill>
                  <pic:spPr>
                    <a:xfrm>
                      <a:off x="0" y="0"/>
                      <a:ext cx="133200" cy="133200"/>
                    </a:xfrm>
                    <a:prstGeom prst="rect">
                      <a:avLst/>
                    </a:prstGeom>
                    <a:ln w="12700" cap="flat">
                      <a:noFill/>
                      <a:miter lim="400000"/>
                    </a:ln>
                    <a:effectLst/>
                  </pic:spPr>
                </pic:pic>
              </a:graphicData>
            </a:graphic>
          </wp:inline>
        </w:drawing>
      </w:r>
      <w:r w:rsidR="00D806AD" w:rsidRPr="009D71FD">
        <w:rPr>
          <w:b/>
          <w:bCs/>
          <w:color w:val="222222"/>
          <w:sz w:val="26"/>
          <w:szCs w:val="26"/>
          <w:u w:color="222222"/>
          <w:lang w:val="pt-BR"/>
        </w:rPr>
        <w:t>,</w:t>
      </w:r>
      <w:r w:rsidR="005E205D" w:rsidRPr="009D71FD">
        <w:rPr>
          <w:b/>
          <w:bCs/>
          <w:color w:val="222222"/>
          <w:sz w:val="26"/>
          <w:szCs w:val="26"/>
          <w:u w:color="222222"/>
          <w:lang w:val="pt-BR"/>
        </w:rPr>
        <w:t xml:space="preserve"> </w:t>
      </w:r>
      <w:r w:rsidR="006B6734" w:rsidRPr="006B6734">
        <w:rPr>
          <w:b/>
          <w:bCs/>
          <w:color w:val="222222"/>
          <w:sz w:val="26"/>
          <w:szCs w:val="26"/>
          <w:u w:color="222222"/>
          <w:lang w:val="pt-BR"/>
        </w:rPr>
        <w:t>Ludgleydson Fernandes de Araújo</w:t>
      </w:r>
      <w:r w:rsidR="0014506C" w:rsidRPr="009D71FD">
        <w:rPr>
          <w:b/>
          <w:bCs/>
          <w:color w:val="222222"/>
          <w:sz w:val="26"/>
          <w:szCs w:val="26"/>
          <w:u w:color="222222"/>
          <w:lang w:val="pt-BR"/>
        </w:rPr>
        <w:t xml:space="preserve"> </w:t>
      </w:r>
      <w:r w:rsidR="005B2220" w:rsidRPr="005B2220">
        <w:rPr>
          <w:b/>
          <w:bCs/>
          <w:color w:val="4472C4" w:themeColor="accent1"/>
          <w:sz w:val="26"/>
          <w:szCs w:val="26"/>
          <w:u w:color="222222"/>
          <w:vertAlign w:val="superscript"/>
          <w:lang w:val="pt-BR"/>
        </w:rPr>
        <w:t>a</w:t>
      </w:r>
      <w:r w:rsidR="005E205D" w:rsidRPr="00886B3C">
        <w:rPr>
          <w:b/>
          <w:bCs/>
          <w:noProof/>
          <w:color w:val="222222"/>
          <w:sz w:val="26"/>
          <w:szCs w:val="26"/>
          <w:u w:color="222222"/>
          <w:lang w:val="en-GB" w:eastAsia="es-AR"/>
        </w:rPr>
        <w:drawing>
          <wp:inline distT="0" distB="0" distL="0" distR="0" wp14:anchorId="16FCC1C7" wp14:editId="774B2EA5">
            <wp:extent cx="133200" cy="133200"/>
            <wp:effectExtent l="0" t="0" r="0" b="0"/>
            <wp:docPr id="11" name="officeArt object" descr="Imagen 1">
              <a:hlinkClick xmlns:a="http://schemas.openxmlformats.org/drawingml/2006/main" r:id="rId12"/>
            </wp:docPr>
            <wp:cNvGraphicFramePr/>
            <a:graphic xmlns:a="http://schemas.openxmlformats.org/drawingml/2006/main">
              <a:graphicData uri="http://schemas.openxmlformats.org/drawingml/2006/picture">
                <pic:pic xmlns:pic="http://schemas.openxmlformats.org/drawingml/2006/picture">
                  <pic:nvPicPr>
                    <pic:cNvPr id="11" name="officeArt object" descr="Imagen 1">
                      <a:hlinkClick r:id="rId12"/>
                    </pic:cNvPr>
                    <pic:cNvPicPr>
                      <a:picLocks noChangeAspect="1"/>
                    </pic:cNvPicPr>
                  </pic:nvPicPr>
                  <pic:blipFill>
                    <a:blip r:embed="rId11"/>
                    <a:stretch>
                      <a:fillRect/>
                    </a:stretch>
                  </pic:blipFill>
                  <pic:spPr>
                    <a:xfrm>
                      <a:off x="0" y="0"/>
                      <a:ext cx="133200" cy="133200"/>
                    </a:xfrm>
                    <a:prstGeom prst="rect">
                      <a:avLst/>
                    </a:prstGeom>
                    <a:ln w="12700" cap="flat">
                      <a:noFill/>
                      <a:miter lim="400000"/>
                    </a:ln>
                    <a:effectLst/>
                  </pic:spPr>
                </pic:pic>
              </a:graphicData>
            </a:graphic>
          </wp:inline>
        </w:drawing>
      </w:r>
      <w:r w:rsidR="00E92FE9" w:rsidRPr="009D71FD">
        <w:rPr>
          <w:b/>
          <w:bCs/>
          <w:color w:val="222222"/>
          <w:sz w:val="26"/>
          <w:szCs w:val="26"/>
          <w:u w:color="222222"/>
          <w:lang w:val="pt-BR"/>
        </w:rPr>
        <w:t>,</w:t>
      </w:r>
      <w:r w:rsidR="008479E9">
        <w:rPr>
          <w:b/>
          <w:bCs/>
          <w:color w:val="222222"/>
          <w:sz w:val="26"/>
          <w:szCs w:val="26"/>
          <w:u w:color="222222"/>
          <w:lang w:val="pt-BR"/>
        </w:rPr>
        <w:t xml:space="preserve"> </w:t>
      </w:r>
      <w:r w:rsidR="006B6734" w:rsidRPr="006B6734">
        <w:rPr>
          <w:b/>
          <w:bCs/>
          <w:color w:val="222222"/>
          <w:sz w:val="26"/>
          <w:szCs w:val="26"/>
          <w:u w:color="222222"/>
          <w:lang w:val="pt-BR"/>
        </w:rPr>
        <w:t>Mateus Egilson da Silva Alves</w:t>
      </w:r>
      <w:r w:rsidR="008479E9" w:rsidRPr="009D71FD">
        <w:rPr>
          <w:b/>
          <w:bCs/>
          <w:color w:val="222222"/>
          <w:sz w:val="26"/>
          <w:szCs w:val="26"/>
          <w:u w:color="222222"/>
          <w:lang w:val="pt-BR"/>
        </w:rPr>
        <w:t xml:space="preserve"> </w:t>
      </w:r>
      <w:r w:rsidR="005B2220" w:rsidRPr="005B2220">
        <w:rPr>
          <w:b/>
          <w:bCs/>
          <w:color w:val="4472C4" w:themeColor="accent1"/>
          <w:sz w:val="26"/>
          <w:szCs w:val="26"/>
          <w:u w:color="222222"/>
          <w:vertAlign w:val="superscript"/>
          <w:lang w:val="pt-BR"/>
        </w:rPr>
        <w:t>a</w:t>
      </w:r>
      <w:r w:rsidR="008479E9" w:rsidRPr="00886B3C">
        <w:rPr>
          <w:b/>
          <w:bCs/>
          <w:noProof/>
          <w:color w:val="222222"/>
          <w:sz w:val="26"/>
          <w:szCs w:val="26"/>
          <w:u w:color="222222"/>
          <w:lang w:val="en-GB" w:eastAsia="es-AR"/>
        </w:rPr>
        <w:drawing>
          <wp:inline distT="0" distB="0" distL="0" distR="0" wp14:anchorId="0DA4B5D8" wp14:editId="1A4973F8">
            <wp:extent cx="133200" cy="133200"/>
            <wp:effectExtent l="0" t="0" r="0" b="0"/>
            <wp:docPr id="1" name="officeArt object" descr="Imagen 1">
              <a:hlinkClick xmlns:a="http://schemas.openxmlformats.org/drawingml/2006/main" r:id="rId13"/>
            </wp:docPr>
            <wp:cNvGraphicFramePr/>
            <a:graphic xmlns:a="http://schemas.openxmlformats.org/drawingml/2006/main">
              <a:graphicData uri="http://schemas.openxmlformats.org/drawingml/2006/picture">
                <pic:pic xmlns:pic="http://schemas.openxmlformats.org/drawingml/2006/picture">
                  <pic:nvPicPr>
                    <pic:cNvPr id="1" name="officeArt object" descr="Imagen 1">
                      <a:hlinkClick r:id="rId13"/>
                    </pic:cNvPr>
                    <pic:cNvPicPr>
                      <a:picLocks noChangeAspect="1"/>
                    </pic:cNvPicPr>
                  </pic:nvPicPr>
                  <pic:blipFill>
                    <a:blip r:embed="rId11"/>
                    <a:stretch>
                      <a:fillRect/>
                    </a:stretch>
                  </pic:blipFill>
                  <pic:spPr>
                    <a:xfrm>
                      <a:off x="0" y="0"/>
                      <a:ext cx="133200" cy="133200"/>
                    </a:xfrm>
                    <a:prstGeom prst="rect">
                      <a:avLst/>
                    </a:prstGeom>
                    <a:ln w="12700" cap="flat">
                      <a:noFill/>
                      <a:miter lim="400000"/>
                    </a:ln>
                    <a:effectLst/>
                  </pic:spPr>
                </pic:pic>
              </a:graphicData>
            </a:graphic>
          </wp:inline>
        </w:drawing>
      </w:r>
      <w:r w:rsidR="008479E9" w:rsidRPr="009D71FD">
        <w:rPr>
          <w:b/>
          <w:bCs/>
          <w:color w:val="222222"/>
          <w:sz w:val="26"/>
          <w:szCs w:val="26"/>
          <w:u w:color="222222"/>
          <w:lang w:val="pt-BR"/>
        </w:rPr>
        <w:t>,</w:t>
      </w:r>
      <w:r w:rsidR="008479E9">
        <w:rPr>
          <w:b/>
          <w:bCs/>
          <w:color w:val="222222"/>
          <w:sz w:val="26"/>
          <w:szCs w:val="26"/>
          <w:u w:color="222222"/>
          <w:lang w:val="pt-BR"/>
        </w:rPr>
        <w:t xml:space="preserve"> </w:t>
      </w:r>
      <w:r w:rsidR="006B6734" w:rsidRPr="006B6734">
        <w:rPr>
          <w:b/>
          <w:bCs/>
          <w:color w:val="222222"/>
          <w:sz w:val="26"/>
          <w:szCs w:val="26"/>
          <w:u w:color="222222"/>
          <w:lang w:val="pt-BR"/>
        </w:rPr>
        <w:t>Igor Eduardo de Lima Bezerra</w:t>
      </w:r>
      <w:r w:rsidR="00797094">
        <w:rPr>
          <w:b/>
          <w:bCs/>
          <w:color w:val="222222"/>
          <w:sz w:val="26"/>
          <w:szCs w:val="26"/>
          <w:u w:color="222222"/>
          <w:lang w:val="pt-BR"/>
        </w:rPr>
        <w:t xml:space="preserve"> </w:t>
      </w:r>
      <w:r w:rsidR="005B2220" w:rsidRPr="005B2220">
        <w:rPr>
          <w:b/>
          <w:bCs/>
          <w:color w:val="4472C4" w:themeColor="accent1"/>
          <w:sz w:val="26"/>
          <w:szCs w:val="26"/>
          <w:u w:color="222222"/>
          <w:vertAlign w:val="superscript"/>
          <w:lang w:val="pt-BR"/>
        </w:rPr>
        <w:t>a</w:t>
      </w:r>
      <w:r w:rsidR="008479E9" w:rsidRPr="00886B3C">
        <w:rPr>
          <w:b/>
          <w:bCs/>
          <w:noProof/>
          <w:color w:val="222222"/>
          <w:sz w:val="26"/>
          <w:szCs w:val="26"/>
          <w:u w:color="222222"/>
          <w:lang w:val="en-GB" w:eastAsia="es-AR"/>
        </w:rPr>
        <w:drawing>
          <wp:inline distT="0" distB="0" distL="0" distR="0" wp14:anchorId="016AFD4A" wp14:editId="3AAE4C26">
            <wp:extent cx="133200" cy="133200"/>
            <wp:effectExtent l="0" t="0" r="0" b="0"/>
            <wp:docPr id="3" name="officeArt object" descr="Imagen 1">
              <a:hlinkClick xmlns:a="http://schemas.openxmlformats.org/drawingml/2006/main" r:id="rId14"/>
            </wp:docPr>
            <wp:cNvGraphicFramePr/>
            <a:graphic xmlns:a="http://schemas.openxmlformats.org/drawingml/2006/main">
              <a:graphicData uri="http://schemas.openxmlformats.org/drawingml/2006/picture">
                <pic:pic xmlns:pic="http://schemas.openxmlformats.org/drawingml/2006/picture">
                  <pic:nvPicPr>
                    <pic:cNvPr id="3" name="officeArt object" descr="Imagen 1">
                      <a:hlinkClick r:id="rId14"/>
                    </pic:cNvPr>
                    <pic:cNvPicPr>
                      <a:picLocks noChangeAspect="1"/>
                    </pic:cNvPicPr>
                  </pic:nvPicPr>
                  <pic:blipFill>
                    <a:blip r:embed="rId11"/>
                    <a:stretch>
                      <a:fillRect/>
                    </a:stretch>
                  </pic:blipFill>
                  <pic:spPr>
                    <a:xfrm>
                      <a:off x="0" y="0"/>
                      <a:ext cx="133200" cy="133200"/>
                    </a:xfrm>
                    <a:prstGeom prst="rect">
                      <a:avLst/>
                    </a:prstGeom>
                    <a:ln w="12700" cap="flat">
                      <a:noFill/>
                      <a:miter lim="400000"/>
                    </a:ln>
                    <a:effectLst/>
                  </pic:spPr>
                </pic:pic>
              </a:graphicData>
            </a:graphic>
          </wp:inline>
        </w:drawing>
      </w:r>
      <w:r w:rsidR="008479E9" w:rsidRPr="009D71FD">
        <w:rPr>
          <w:b/>
          <w:bCs/>
          <w:color w:val="222222"/>
          <w:sz w:val="26"/>
          <w:szCs w:val="26"/>
          <w:u w:color="222222"/>
          <w:lang w:val="pt-BR"/>
        </w:rPr>
        <w:t>,</w:t>
      </w:r>
      <w:r w:rsidR="00E92FE9" w:rsidRPr="009D71FD">
        <w:rPr>
          <w:b/>
          <w:bCs/>
          <w:color w:val="222222"/>
          <w:sz w:val="26"/>
          <w:szCs w:val="26"/>
          <w:u w:color="222222"/>
          <w:lang w:val="pt-BR"/>
        </w:rPr>
        <w:t xml:space="preserve"> </w:t>
      </w:r>
      <w:r w:rsidR="00543D5F" w:rsidRPr="00543D5F">
        <w:rPr>
          <w:b/>
          <w:bCs/>
          <w:color w:val="222222"/>
          <w:sz w:val="26"/>
          <w:szCs w:val="26"/>
          <w:u w:color="222222"/>
          <w:lang w:val="pt-BR"/>
        </w:rPr>
        <w:t>Evair Mendes da Silva Sousa</w:t>
      </w:r>
      <w:r w:rsidR="006B6734">
        <w:rPr>
          <w:b/>
          <w:bCs/>
          <w:color w:val="222222"/>
          <w:sz w:val="26"/>
          <w:szCs w:val="26"/>
          <w:u w:color="222222"/>
          <w:lang w:val="pt-BR"/>
        </w:rPr>
        <w:t xml:space="preserve"> </w:t>
      </w:r>
      <w:r w:rsidR="005B2220" w:rsidRPr="005B2220">
        <w:rPr>
          <w:b/>
          <w:bCs/>
          <w:color w:val="4472C4" w:themeColor="accent1"/>
          <w:sz w:val="26"/>
          <w:szCs w:val="26"/>
          <w:u w:color="222222"/>
          <w:vertAlign w:val="superscript"/>
          <w:lang w:val="pt-BR"/>
        </w:rPr>
        <w:t>a</w:t>
      </w:r>
      <w:r w:rsidR="006B6734" w:rsidRPr="00886B3C">
        <w:rPr>
          <w:b/>
          <w:bCs/>
          <w:noProof/>
          <w:color w:val="222222"/>
          <w:sz w:val="26"/>
          <w:szCs w:val="26"/>
          <w:u w:color="222222"/>
          <w:lang w:val="en-GB" w:eastAsia="es-AR"/>
        </w:rPr>
        <w:drawing>
          <wp:inline distT="0" distB="0" distL="0" distR="0" wp14:anchorId="12822FE6" wp14:editId="0DF0C318">
            <wp:extent cx="133200" cy="133200"/>
            <wp:effectExtent l="0" t="0" r="0" b="0"/>
            <wp:docPr id="4" name="officeArt object" descr="Imagen 1">
              <a:hlinkClick xmlns:a="http://schemas.openxmlformats.org/drawingml/2006/main" r:id="rId15"/>
            </wp:docPr>
            <wp:cNvGraphicFramePr/>
            <a:graphic xmlns:a="http://schemas.openxmlformats.org/drawingml/2006/main">
              <a:graphicData uri="http://schemas.openxmlformats.org/drawingml/2006/picture">
                <pic:pic xmlns:pic="http://schemas.openxmlformats.org/drawingml/2006/picture">
                  <pic:nvPicPr>
                    <pic:cNvPr id="4" name="officeArt object" descr="Imagen 1">
                      <a:hlinkClick r:id="rId15"/>
                    </pic:cNvPr>
                    <pic:cNvPicPr>
                      <a:picLocks noChangeAspect="1"/>
                    </pic:cNvPicPr>
                  </pic:nvPicPr>
                  <pic:blipFill>
                    <a:blip r:embed="rId11"/>
                    <a:stretch>
                      <a:fillRect/>
                    </a:stretch>
                  </pic:blipFill>
                  <pic:spPr>
                    <a:xfrm>
                      <a:off x="0" y="0"/>
                      <a:ext cx="133200" cy="133200"/>
                    </a:xfrm>
                    <a:prstGeom prst="rect">
                      <a:avLst/>
                    </a:prstGeom>
                    <a:ln w="12700" cap="flat">
                      <a:noFill/>
                      <a:miter lim="400000"/>
                    </a:ln>
                    <a:effectLst/>
                  </pic:spPr>
                </pic:pic>
              </a:graphicData>
            </a:graphic>
          </wp:inline>
        </w:drawing>
      </w:r>
      <w:r w:rsidR="006B6734" w:rsidRPr="009D71FD">
        <w:rPr>
          <w:b/>
          <w:bCs/>
          <w:color w:val="222222"/>
          <w:sz w:val="26"/>
          <w:szCs w:val="26"/>
          <w:u w:color="222222"/>
          <w:lang w:val="pt-BR"/>
        </w:rPr>
        <w:t xml:space="preserve">, </w:t>
      </w:r>
      <w:r w:rsidR="00793EFE" w:rsidRPr="00793EFE">
        <w:rPr>
          <w:b/>
          <w:bCs/>
          <w:color w:val="222222"/>
          <w:sz w:val="26"/>
          <w:szCs w:val="26"/>
          <w:u w:color="222222"/>
          <w:lang w:val="pt-BR"/>
        </w:rPr>
        <w:t>Jéssica Gomes de Alcântara</w:t>
      </w:r>
      <w:r w:rsidR="006B6734">
        <w:rPr>
          <w:b/>
          <w:bCs/>
          <w:color w:val="222222"/>
          <w:sz w:val="26"/>
          <w:szCs w:val="26"/>
          <w:u w:color="222222"/>
          <w:lang w:val="pt-BR"/>
        </w:rPr>
        <w:t xml:space="preserve"> </w:t>
      </w:r>
      <w:r w:rsidR="005B2220" w:rsidRPr="005B2220">
        <w:rPr>
          <w:b/>
          <w:bCs/>
          <w:color w:val="4472C4" w:themeColor="accent1"/>
          <w:sz w:val="26"/>
          <w:szCs w:val="26"/>
          <w:u w:color="222222"/>
          <w:vertAlign w:val="superscript"/>
          <w:lang w:val="pt-BR"/>
        </w:rPr>
        <w:t>a</w:t>
      </w:r>
      <w:r w:rsidR="006B6734" w:rsidRPr="00886B3C">
        <w:rPr>
          <w:b/>
          <w:bCs/>
          <w:noProof/>
          <w:color w:val="222222"/>
          <w:sz w:val="26"/>
          <w:szCs w:val="26"/>
          <w:u w:color="222222"/>
          <w:lang w:val="en-GB" w:eastAsia="es-AR"/>
        </w:rPr>
        <w:drawing>
          <wp:inline distT="0" distB="0" distL="0" distR="0" wp14:anchorId="52D09B30" wp14:editId="68792271">
            <wp:extent cx="133200" cy="133200"/>
            <wp:effectExtent l="0" t="0" r="0" b="0"/>
            <wp:docPr id="7" name="officeArt object" descr="Imagen 1">
              <a:hlinkClick xmlns:a="http://schemas.openxmlformats.org/drawingml/2006/main" r:id="rId16"/>
            </wp:docPr>
            <wp:cNvGraphicFramePr/>
            <a:graphic xmlns:a="http://schemas.openxmlformats.org/drawingml/2006/main">
              <a:graphicData uri="http://schemas.openxmlformats.org/drawingml/2006/picture">
                <pic:pic xmlns:pic="http://schemas.openxmlformats.org/drawingml/2006/picture">
                  <pic:nvPicPr>
                    <pic:cNvPr id="7" name="officeArt object" descr="Imagen 1">
                      <a:hlinkClick r:id="rId16"/>
                    </pic:cNvPr>
                    <pic:cNvPicPr>
                      <a:picLocks noChangeAspect="1"/>
                    </pic:cNvPicPr>
                  </pic:nvPicPr>
                  <pic:blipFill>
                    <a:blip r:embed="rId11"/>
                    <a:stretch>
                      <a:fillRect/>
                    </a:stretch>
                  </pic:blipFill>
                  <pic:spPr>
                    <a:xfrm>
                      <a:off x="0" y="0"/>
                      <a:ext cx="133200" cy="133200"/>
                    </a:xfrm>
                    <a:prstGeom prst="rect">
                      <a:avLst/>
                    </a:prstGeom>
                    <a:ln w="12700" cap="flat">
                      <a:noFill/>
                      <a:miter lim="400000"/>
                    </a:ln>
                    <a:effectLst/>
                  </pic:spPr>
                </pic:pic>
              </a:graphicData>
            </a:graphic>
          </wp:inline>
        </w:drawing>
      </w:r>
      <w:r w:rsidR="006B6734" w:rsidRPr="009D71FD">
        <w:rPr>
          <w:b/>
          <w:bCs/>
          <w:color w:val="222222"/>
          <w:sz w:val="26"/>
          <w:szCs w:val="26"/>
          <w:u w:color="222222"/>
          <w:lang w:val="pt-BR"/>
        </w:rPr>
        <w:t xml:space="preserve">, </w:t>
      </w:r>
      <w:r w:rsidR="00793EFE" w:rsidRPr="00793EFE">
        <w:rPr>
          <w:b/>
          <w:bCs/>
          <w:color w:val="222222"/>
          <w:sz w:val="26"/>
          <w:szCs w:val="26"/>
          <w:u w:color="222222"/>
          <w:lang w:val="pt-BR"/>
        </w:rPr>
        <w:t>Gutemberg de Sousa Lima Filho</w:t>
      </w:r>
      <w:r w:rsidR="006B6734">
        <w:rPr>
          <w:b/>
          <w:bCs/>
          <w:color w:val="222222"/>
          <w:sz w:val="26"/>
          <w:szCs w:val="26"/>
          <w:u w:color="222222"/>
          <w:lang w:val="pt-BR"/>
        </w:rPr>
        <w:t xml:space="preserve"> </w:t>
      </w:r>
      <w:r w:rsidR="005B2220" w:rsidRPr="005B2220">
        <w:rPr>
          <w:b/>
          <w:bCs/>
          <w:color w:val="4472C4" w:themeColor="accent1"/>
          <w:sz w:val="26"/>
          <w:szCs w:val="26"/>
          <w:u w:color="222222"/>
          <w:vertAlign w:val="superscript"/>
          <w:lang w:val="pt-BR"/>
        </w:rPr>
        <w:t>a</w:t>
      </w:r>
      <w:r w:rsidR="006B6734" w:rsidRPr="00886B3C">
        <w:rPr>
          <w:b/>
          <w:bCs/>
          <w:noProof/>
          <w:color w:val="222222"/>
          <w:sz w:val="26"/>
          <w:szCs w:val="26"/>
          <w:u w:color="222222"/>
          <w:lang w:val="en-GB" w:eastAsia="es-AR"/>
        </w:rPr>
        <w:drawing>
          <wp:inline distT="0" distB="0" distL="0" distR="0" wp14:anchorId="0A27F6BB" wp14:editId="33263140">
            <wp:extent cx="133200" cy="133200"/>
            <wp:effectExtent l="0" t="0" r="0" b="0"/>
            <wp:docPr id="13" name="officeArt object" descr="Imagen 1">
              <a:hlinkClick xmlns:a="http://schemas.openxmlformats.org/drawingml/2006/main" r:id="rId17"/>
            </wp:docPr>
            <wp:cNvGraphicFramePr/>
            <a:graphic xmlns:a="http://schemas.openxmlformats.org/drawingml/2006/main">
              <a:graphicData uri="http://schemas.openxmlformats.org/drawingml/2006/picture">
                <pic:pic xmlns:pic="http://schemas.openxmlformats.org/drawingml/2006/picture">
                  <pic:nvPicPr>
                    <pic:cNvPr id="13" name="officeArt object" descr="Imagen 1">
                      <a:hlinkClick r:id="rId17"/>
                    </pic:cNvPr>
                    <pic:cNvPicPr>
                      <a:picLocks noChangeAspect="1"/>
                    </pic:cNvPicPr>
                  </pic:nvPicPr>
                  <pic:blipFill>
                    <a:blip r:embed="rId11"/>
                    <a:stretch>
                      <a:fillRect/>
                    </a:stretch>
                  </pic:blipFill>
                  <pic:spPr>
                    <a:xfrm>
                      <a:off x="0" y="0"/>
                      <a:ext cx="133200" cy="133200"/>
                    </a:xfrm>
                    <a:prstGeom prst="rect">
                      <a:avLst/>
                    </a:prstGeom>
                    <a:ln w="12700" cap="flat">
                      <a:noFill/>
                      <a:miter lim="400000"/>
                    </a:ln>
                    <a:effectLst/>
                  </pic:spPr>
                </pic:pic>
              </a:graphicData>
            </a:graphic>
          </wp:inline>
        </w:drawing>
      </w:r>
      <w:r w:rsidR="006B6734" w:rsidRPr="009D71FD">
        <w:rPr>
          <w:b/>
          <w:bCs/>
          <w:color w:val="222222"/>
          <w:sz w:val="26"/>
          <w:szCs w:val="26"/>
          <w:u w:color="222222"/>
          <w:lang w:val="pt-BR"/>
        </w:rPr>
        <w:t xml:space="preserve">, </w:t>
      </w:r>
      <w:r w:rsidR="00793EFE" w:rsidRPr="00793EFE">
        <w:rPr>
          <w:b/>
          <w:bCs/>
          <w:color w:val="222222"/>
          <w:sz w:val="26"/>
          <w:szCs w:val="26"/>
          <w:u w:color="222222"/>
          <w:lang w:val="pt-BR"/>
        </w:rPr>
        <w:t>Emanuele Leal da Silva</w:t>
      </w:r>
      <w:r w:rsidR="006B6734">
        <w:rPr>
          <w:b/>
          <w:bCs/>
          <w:color w:val="222222"/>
          <w:sz w:val="26"/>
          <w:szCs w:val="26"/>
          <w:u w:color="222222"/>
          <w:lang w:val="pt-BR"/>
        </w:rPr>
        <w:t xml:space="preserve"> </w:t>
      </w:r>
      <w:r w:rsidR="006D014C">
        <w:rPr>
          <w:b/>
          <w:bCs/>
          <w:color w:val="4472C4" w:themeColor="accent1"/>
          <w:sz w:val="26"/>
          <w:szCs w:val="26"/>
          <w:u w:color="222222"/>
          <w:vertAlign w:val="superscript"/>
          <w:lang w:val="pt-BR"/>
        </w:rPr>
        <w:t>a y b</w:t>
      </w:r>
      <w:r w:rsidR="006B6734" w:rsidRPr="00886B3C">
        <w:rPr>
          <w:b/>
          <w:bCs/>
          <w:noProof/>
          <w:color w:val="222222"/>
          <w:sz w:val="26"/>
          <w:szCs w:val="26"/>
          <w:u w:color="222222"/>
          <w:lang w:val="en-GB" w:eastAsia="es-AR"/>
        </w:rPr>
        <w:drawing>
          <wp:inline distT="0" distB="0" distL="0" distR="0" wp14:anchorId="11CCAFD2" wp14:editId="37EF8656">
            <wp:extent cx="133200" cy="133200"/>
            <wp:effectExtent l="0" t="0" r="0" b="0"/>
            <wp:docPr id="14" name="officeArt object" descr="Imagen 1">
              <a:hlinkClick xmlns:a="http://schemas.openxmlformats.org/drawingml/2006/main" r:id="rId18"/>
            </wp:docPr>
            <wp:cNvGraphicFramePr/>
            <a:graphic xmlns:a="http://schemas.openxmlformats.org/drawingml/2006/main">
              <a:graphicData uri="http://schemas.openxmlformats.org/drawingml/2006/picture">
                <pic:pic xmlns:pic="http://schemas.openxmlformats.org/drawingml/2006/picture">
                  <pic:nvPicPr>
                    <pic:cNvPr id="14" name="officeArt object" descr="Imagen 1">
                      <a:hlinkClick r:id="rId18"/>
                    </pic:cNvPr>
                    <pic:cNvPicPr>
                      <a:picLocks noChangeAspect="1"/>
                    </pic:cNvPicPr>
                  </pic:nvPicPr>
                  <pic:blipFill>
                    <a:blip r:embed="rId11"/>
                    <a:stretch>
                      <a:fillRect/>
                    </a:stretch>
                  </pic:blipFill>
                  <pic:spPr>
                    <a:xfrm>
                      <a:off x="0" y="0"/>
                      <a:ext cx="133200" cy="133200"/>
                    </a:xfrm>
                    <a:prstGeom prst="rect">
                      <a:avLst/>
                    </a:prstGeom>
                    <a:ln w="12700" cap="flat">
                      <a:noFill/>
                      <a:miter lim="400000"/>
                    </a:ln>
                    <a:effectLst/>
                  </pic:spPr>
                </pic:pic>
              </a:graphicData>
            </a:graphic>
          </wp:inline>
        </w:drawing>
      </w:r>
      <w:r w:rsidR="006B6734" w:rsidRPr="009D71FD">
        <w:rPr>
          <w:b/>
          <w:bCs/>
          <w:color w:val="222222"/>
          <w:sz w:val="26"/>
          <w:szCs w:val="26"/>
          <w:u w:color="222222"/>
          <w:lang w:val="pt-BR"/>
        </w:rPr>
        <w:t xml:space="preserve">, </w:t>
      </w:r>
      <w:r w:rsidR="00CC7D22" w:rsidRPr="009D71FD">
        <w:rPr>
          <w:b/>
          <w:bCs/>
          <w:color w:val="222222"/>
          <w:sz w:val="26"/>
          <w:szCs w:val="26"/>
          <w:u w:color="222222"/>
          <w:lang w:val="pt-BR"/>
        </w:rPr>
        <w:t xml:space="preserve">&amp; </w:t>
      </w:r>
      <w:r w:rsidR="00793EFE" w:rsidRPr="00793EFE">
        <w:rPr>
          <w:b/>
          <w:bCs/>
          <w:color w:val="222222"/>
          <w:sz w:val="26"/>
          <w:szCs w:val="26"/>
          <w:u w:color="222222"/>
          <w:lang w:val="pt-BR"/>
        </w:rPr>
        <w:t>Lucineide Maria da Silva Souza</w:t>
      </w:r>
      <w:r w:rsidR="0014506C" w:rsidRPr="009D71FD">
        <w:rPr>
          <w:b/>
          <w:bCs/>
          <w:color w:val="222222"/>
          <w:sz w:val="26"/>
          <w:szCs w:val="26"/>
          <w:u w:color="222222"/>
          <w:lang w:val="pt-BR"/>
        </w:rPr>
        <w:t xml:space="preserve"> </w:t>
      </w:r>
      <w:bookmarkEnd w:id="1"/>
      <w:r w:rsidR="005B2220">
        <w:rPr>
          <w:b/>
          <w:bCs/>
          <w:color w:val="4472C4" w:themeColor="accent1"/>
          <w:sz w:val="26"/>
          <w:szCs w:val="26"/>
          <w:u w:color="222222"/>
          <w:vertAlign w:val="superscript"/>
          <w:lang w:val="pt-BR"/>
        </w:rPr>
        <w:t>c</w:t>
      </w:r>
      <w:r w:rsidR="00CC7D22" w:rsidRPr="00886B3C">
        <w:rPr>
          <w:b/>
          <w:bCs/>
          <w:noProof/>
          <w:color w:val="222222"/>
          <w:sz w:val="26"/>
          <w:szCs w:val="26"/>
          <w:u w:color="222222"/>
          <w:lang w:val="en-GB" w:eastAsia="es-AR"/>
        </w:rPr>
        <w:drawing>
          <wp:inline distT="0" distB="0" distL="0" distR="0" wp14:anchorId="20800533" wp14:editId="20F41C07">
            <wp:extent cx="133200" cy="133200"/>
            <wp:effectExtent l="0" t="0" r="0" b="0"/>
            <wp:docPr id="6" name="officeArt object" descr="Imagen 1">
              <a:hlinkClick xmlns:a="http://schemas.openxmlformats.org/drawingml/2006/main" r:id="rId19"/>
            </wp:docPr>
            <wp:cNvGraphicFramePr/>
            <a:graphic xmlns:a="http://schemas.openxmlformats.org/drawingml/2006/main">
              <a:graphicData uri="http://schemas.openxmlformats.org/drawingml/2006/picture">
                <pic:pic xmlns:pic="http://schemas.openxmlformats.org/drawingml/2006/picture">
                  <pic:nvPicPr>
                    <pic:cNvPr id="6" name="officeArt object" descr="Imagen 1">
                      <a:hlinkClick r:id="rId19"/>
                    </pic:cNvPr>
                    <pic:cNvPicPr>
                      <a:picLocks noChangeAspect="1"/>
                    </pic:cNvPicPr>
                  </pic:nvPicPr>
                  <pic:blipFill>
                    <a:blip r:embed="rId11"/>
                    <a:stretch>
                      <a:fillRect/>
                    </a:stretch>
                  </pic:blipFill>
                  <pic:spPr>
                    <a:xfrm>
                      <a:off x="0" y="0"/>
                      <a:ext cx="133200" cy="133200"/>
                    </a:xfrm>
                    <a:prstGeom prst="rect">
                      <a:avLst/>
                    </a:prstGeom>
                    <a:ln w="12700" cap="flat">
                      <a:noFill/>
                      <a:miter lim="400000"/>
                    </a:ln>
                    <a:effectLst/>
                  </pic:spPr>
                </pic:pic>
              </a:graphicData>
            </a:graphic>
          </wp:inline>
        </w:drawing>
      </w:r>
      <w:r w:rsidR="007D7E6B" w:rsidRPr="009D71FD">
        <w:rPr>
          <w:b/>
          <w:bCs/>
          <w:color w:val="4472C4" w:themeColor="accent1"/>
          <w:sz w:val="26"/>
          <w:szCs w:val="26"/>
          <w:u w:color="222222"/>
          <w:vertAlign w:val="superscript"/>
          <w:lang w:val="pt-BR"/>
        </w:rPr>
        <w:t xml:space="preserve"> </w:t>
      </w:r>
      <w:r w:rsidR="00922B3A" w:rsidRPr="009D71FD">
        <w:rPr>
          <w:b/>
          <w:bCs/>
          <w:color w:val="4472C4" w:themeColor="accent1"/>
          <w:sz w:val="26"/>
          <w:szCs w:val="26"/>
          <w:u w:color="222222"/>
          <w:vertAlign w:val="superscript"/>
          <w:lang w:val="pt-BR"/>
        </w:rPr>
        <w:t xml:space="preserve">  </w:t>
      </w:r>
      <w:r w:rsidR="00CC7D22" w:rsidRPr="00886B3C">
        <w:rPr>
          <w:rStyle w:val="Refdenotaalpie"/>
          <w:b/>
          <w:bCs/>
          <w:color w:val="auto"/>
          <w:sz w:val="26"/>
          <w:szCs w:val="26"/>
          <w:u w:color="222222"/>
          <w:lang w:val="en-GB"/>
        </w:rPr>
        <w:footnoteReference w:id="2"/>
      </w:r>
    </w:p>
    <w:p w14:paraId="7DE2414F" w14:textId="77777777" w:rsidR="004B2E6E" w:rsidRPr="009D71FD" w:rsidRDefault="004B2E6E" w:rsidP="00DB239D">
      <w:pPr>
        <w:rPr>
          <w:i/>
          <w:sz w:val="28"/>
          <w:szCs w:val="28"/>
          <w:lang w:val="pt-BR"/>
        </w:rPr>
      </w:pPr>
    </w:p>
    <w:p w14:paraId="540F2DB5" w14:textId="33BD4B83" w:rsidR="004E5581" w:rsidRPr="00C7239B" w:rsidRDefault="006B6734" w:rsidP="00CC7D22">
      <w:pPr>
        <w:tabs>
          <w:tab w:val="left" w:pos="7005"/>
        </w:tabs>
        <w:jc w:val="both"/>
        <w:rPr>
          <w:rFonts w:eastAsia="Arial Unicode MS" w:cs="Arial Unicode MS"/>
          <w:i/>
          <w:iCs/>
          <w:sz w:val="28"/>
          <w:szCs w:val="28"/>
          <w:lang w:val="pt-BR"/>
        </w:rPr>
      </w:pPr>
      <w:r w:rsidRPr="006B6734">
        <w:rPr>
          <w:rFonts w:eastAsia="Arial Unicode MS" w:cs="Arial Unicode MS"/>
          <w:bCs/>
          <w:i/>
          <w:iCs/>
          <w:sz w:val="28"/>
          <w:szCs w:val="28"/>
          <w:lang w:val="pt-BR"/>
        </w:rPr>
        <w:t>Universidade Federal do Delta do Parnaíba, Parnaíba, Brasil</w:t>
      </w:r>
      <w:r w:rsidR="0017709E">
        <w:rPr>
          <w:rFonts w:eastAsia="Arial Unicode MS" w:cs="Arial Unicode MS"/>
          <w:bCs/>
          <w:i/>
          <w:iCs/>
          <w:sz w:val="28"/>
          <w:szCs w:val="28"/>
          <w:lang w:val="pt-BR"/>
        </w:rPr>
        <w:t xml:space="preserve"> </w:t>
      </w:r>
      <w:r w:rsidR="005B2220" w:rsidRPr="005B2220">
        <w:rPr>
          <w:b/>
          <w:bCs/>
          <w:color w:val="4472C4" w:themeColor="accent1"/>
          <w:sz w:val="26"/>
          <w:szCs w:val="26"/>
          <w:u w:color="222222"/>
          <w:vertAlign w:val="superscript"/>
          <w:lang w:val="pt-BR"/>
        </w:rPr>
        <w:t>a</w:t>
      </w:r>
      <w:r w:rsidR="0017709E">
        <w:rPr>
          <w:rFonts w:eastAsia="Arial Unicode MS" w:cs="Arial Unicode MS"/>
          <w:bCs/>
          <w:i/>
          <w:iCs/>
          <w:sz w:val="28"/>
          <w:szCs w:val="28"/>
          <w:lang w:val="pt-BR"/>
        </w:rPr>
        <w:t xml:space="preserve">; </w:t>
      </w:r>
      <w:r w:rsidR="0017709E" w:rsidRPr="0017709E">
        <w:rPr>
          <w:rFonts w:eastAsia="Arial Unicode MS" w:cs="Arial Unicode MS"/>
          <w:bCs/>
          <w:i/>
          <w:iCs/>
          <w:sz w:val="28"/>
          <w:szCs w:val="28"/>
          <w:lang w:val="pt-BR"/>
        </w:rPr>
        <w:t>Secretaria de Justiça do Piauí, Teresina, Brasil</w:t>
      </w:r>
      <w:r w:rsidR="005B2220">
        <w:rPr>
          <w:rFonts w:eastAsia="Arial Unicode MS" w:cs="Arial Unicode MS"/>
          <w:bCs/>
          <w:i/>
          <w:iCs/>
          <w:sz w:val="28"/>
          <w:szCs w:val="28"/>
          <w:lang w:val="pt-BR"/>
        </w:rPr>
        <w:t xml:space="preserve"> </w:t>
      </w:r>
      <w:r w:rsidR="005B2220">
        <w:rPr>
          <w:b/>
          <w:bCs/>
          <w:color w:val="4472C4" w:themeColor="accent1"/>
          <w:sz w:val="26"/>
          <w:szCs w:val="26"/>
          <w:u w:color="222222"/>
          <w:vertAlign w:val="superscript"/>
          <w:lang w:val="pt-BR"/>
        </w:rPr>
        <w:t>b</w:t>
      </w:r>
      <w:r w:rsidR="00040B6C">
        <w:rPr>
          <w:rFonts w:eastAsia="Arial Unicode MS" w:cs="Arial Unicode MS"/>
          <w:bCs/>
          <w:i/>
          <w:iCs/>
          <w:sz w:val="28"/>
          <w:szCs w:val="28"/>
          <w:lang w:val="pt-BR"/>
        </w:rPr>
        <w:t xml:space="preserve">; </w:t>
      </w:r>
      <w:r w:rsidR="00040B6C" w:rsidRPr="00040B6C">
        <w:rPr>
          <w:rFonts w:eastAsia="Arial Unicode MS" w:cs="Arial Unicode MS"/>
          <w:bCs/>
          <w:i/>
          <w:iCs/>
          <w:sz w:val="28"/>
          <w:szCs w:val="28"/>
          <w:lang w:val="pt-BR"/>
        </w:rPr>
        <w:t>Secretaria de Saúde de Picos</w:t>
      </w:r>
      <w:r w:rsidR="00040B6C">
        <w:rPr>
          <w:rFonts w:eastAsia="Arial Unicode MS" w:cs="Arial Unicode MS"/>
          <w:bCs/>
          <w:i/>
          <w:iCs/>
          <w:sz w:val="28"/>
          <w:szCs w:val="28"/>
          <w:lang w:val="pt-BR"/>
        </w:rPr>
        <w:t>, Picos, Brasil</w:t>
      </w:r>
      <w:r w:rsidR="005B2220">
        <w:rPr>
          <w:rFonts w:eastAsia="Arial Unicode MS" w:cs="Arial Unicode MS"/>
          <w:bCs/>
          <w:i/>
          <w:iCs/>
          <w:sz w:val="28"/>
          <w:szCs w:val="28"/>
          <w:lang w:val="pt-BR"/>
        </w:rPr>
        <w:t xml:space="preserve"> </w:t>
      </w:r>
      <w:r w:rsidR="005B2220">
        <w:rPr>
          <w:b/>
          <w:bCs/>
          <w:color w:val="4472C4" w:themeColor="accent1"/>
          <w:sz w:val="26"/>
          <w:szCs w:val="26"/>
          <w:u w:color="222222"/>
          <w:vertAlign w:val="superscript"/>
          <w:lang w:val="pt-BR"/>
        </w:rPr>
        <w:t>c</w:t>
      </w:r>
      <w:r w:rsidRPr="006B6734">
        <w:rPr>
          <w:rFonts w:eastAsia="Arial Unicode MS" w:cs="Arial Unicode MS"/>
          <w:bCs/>
          <w:i/>
          <w:iCs/>
          <w:sz w:val="28"/>
          <w:szCs w:val="28"/>
          <w:lang w:val="pt-BR"/>
        </w:rPr>
        <w:t>.</w:t>
      </w:r>
    </w:p>
    <w:p w14:paraId="0F81A079" w14:textId="68E6A4D4" w:rsidR="000928CA" w:rsidRPr="00C7239B" w:rsidRDefault="001C4E1C" w:rsidP="00075F71">
      <w:pPr>
        <w:rPr>
          <w:rFonts w:ascii="Times" w:hAnsi="Times"/>
          <w:i/>
          <w:sz w:val="28"/>
          <w:szCs w:val="28"/>
          <w:lang w:val="pt-BR"/>
        </w:rPr>
      </w:pPr>
      <w:r w:rsidRPr="00333677">
        <w:rPr>
          <w:noProof/>
          <w:lang w:val="en-GB" w:eastAsia="es-AR"/>
        </w:rPr>
        <mc:AlternateContent>
          <mc:Choice Requires="wps">
            <w:drawing>
              <wp:anchor distT="4294967295" distB="4294967295" distL="114300" distR="114300" simplePos="0" relativeHeight="251659264" behindDoc="0" locked="0" layoutInCell="1" allowOverlap="1" wp14:anchorId="40A29C03" wp14:editId="48E0ABE2">
                <wp:simplePos x="0" y="0"/>
                <wp:positionH relativeFrom="column">
                  <wp:posOffset>-1835</wp:posOffset>
                </wp:positionH>
                <wp:positionV relativeFrom="paragraph">
                  <wp:posOffset>61525</wp:posOffset>
                </wp:positionV>
                <wp:extent cx="5392800" cy="0"/>
                <wp:effectExtent l="0" t="12700" r="17780" b="1270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928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AABC782" id="Straight Connector 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pt,4.85pt" to="424.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" strokecolor="windowText" strokeweight="2pt">
                <o:lock v:ext="edit" shapetype="f"/>
              </v:line>
            </w:pict>
          </mc:Fallback>
        </mc:AlternateContent>
      </w:r>
    </w:p>
    <w:p w14:paraId="60C74093" w14:textId="21180738" w:rsidR="00C413D4" w:rsidRPr="00E272F5" w:rsidRDefault="00E272F5" w:rsidP="00686DA9">
      <w:pPr>
        <w:pStyle w:val="TtuloResumen"/>
      </w:pPr>
      <w:r w:rsidRPr="00E272F5">
        <w:t>Resumo</w:t>
      </w:r>
    </w:p>
    <w:p w14:paraId="570537B8" w14:textId="6DFCA771" w:rsidR="00C413D4" w:rsidRPr="00E272F5" w:rsidRDefault="00CE6648" w:rsidP="001006DE">
      <w:pPr>
        <w:pStyle w:val="Resumen"/>
        <w:rPr>
          <w:lang w:val="pt-BR"/>
        </w:rPr>
      </w:pPr>
      <w:r w:rsidRPr="00CE6648">
        <w:rPr>
          <w:bCs/>
          <w:lang w:val="pt-BR" w:bidi="pt-PT"/>
        </w:rPr>
        <w:t>A velhice é um fenômeno universal que tem se expandido na população brasileira de modo notório, inclusive dentro do sistema prisional. No entanto, a chegada do coronavírus nas penitenciárias do Brasil reforçou a necessidade de olhar com atenção para as vulnerabilidades psicossociais que perpassam esse ambiente e afetam a população em cárcere. O estudo objetivou analisar e comparar as representações sociais de mulheres e homens em privação de liberdade sobre as condições que idosos LGBT’s possuem de vivenciarem uma velhice segura no contexto em que vivem. Caracteriza-se como pesquisa qualitativa, fundamentada na Teoria das Representações Sociais, de caráter descritivo e comparativo, com dados transversais e amostra não-probabilística por conveniência. Contou-se com 28 pessoas vivendo em privação de liberdade em Unidades Penais masculinas e femininas, durante o período de pandemia em um estado brasileiro. Evidenciam-se que nas representações dos participantes, a velhice não é uma fase repleta de tranquilidade, pois existem condições e recursos necessários para vivê-la bem. Conclui-se há predominância de muitos estereótipos sobre a orientação sexual, o estilo de vida, a solidão na velhice e sobre a sexualidade entre idosos, o que pode ser justificado pela ausência de conhecimento sobre a temática ou até mesmo a falta de contato com pessoas LGBT’s</w:t>
      </w:r>
      <w:r w:rsidR="00F910A6" w:rsidRPr="00F910A6">
        <w:rPr>
          <w:bCs/>
          <w:lang w:val="pt-BR" w:bidi="pt-PT"/>
        </w:rPr>
        <w:t>.</w:t>
      </w:r>
    </w:p>
    <w:p w14:paraId="7E377265" w14:textId="5B6DBFB0" w:rsidR="001006DE" w:rsidRPr="00B5244C" w:rsidRDefault="00B5244C" w:rsidP="00B87BAC">
      <w:pPr>
        <w:pStyle w:val="Ttulodepalabrasclave"/>
        <w:rPr>
          <w:lang w:val="pt-BR"/>
        </w:rPr>
      </w:pPr>
      <w:r w:rsidRPr="00B5244C">
        <w:rPr>
          <w:lang w:val="pt-BR"/>
        </w:rPr>
        <w:t>Pala</w:t>
      </w:r>
      <w:r w:rsidR="0039017B">
        <w:rPr>
          <w:lang w:val="pt-BR"/>
        </w:rPr>
        <w:t>v</w:t>
      </w:r>
      <w:r w:rsidRPr="00B5244C">
        <w:rPr>
          <w:lang w:val="pt-BR"/>
        </w:rPr>
        <w:t>ras</w:t>
      </w:r>
      <w:r w:rsidR="0039017B">
        <w:rPr>
          <w:lang w:val="pt-BR"/>
        </w:rPr>
        <w:t>-</w:t>
      </w:r>
      <w:r w:rsidRPr="00B5244C">
        <w:rPr>
          <w:lang w:val="pt-BR"/>
        </w:rPr>
        <w:t>C</w:t>
      </w:r>
      <w:r w:rsidR="0039017B">
        <w:rPr>
          <w:lang w:val="pt-BR"/>
        </w:rPr>
        <w:t>h</w:t>
      </w:r>
      <w:r w:rsidRPr="00B5244C">
        <w:rPr>
          <w:lang w:val="pt-BR"/>
        </w:rPr>
        <w:t>ave</w:t>
      </w:r>
    </w:p>
    <w:p w14:paraId="328941F6" w14:textId="10EEAE9F" w:rsidR="00F07D24" w:rsidRPr="00B5244C" w:rsidRDefault="00C04A85" w:rsidP="00F07D24">
      <w:pPr>
        <w:rPr>
          <w:bCs/>
          <w:iCs/>
          <w:sz w:val="20"/>
          <w:szCs w:val="20"/>
          <w:lang w:val="pt-BR"/>
        </w:rPr>
      </w:pPr>
      <w:r w:rsidRPr="00C04A85">
        <w:rPr>
          <w:bCs/>
          <w:iCs/>
          <w:sz w:val="20"/>
          <w:szCs w:val="20"/>
          <w:lang w:val="pt-BR" w:bidi="pt-PT"/>
        </w:rPr>
        <w:t>COVID-19</w:t>
      </w:r>
      <w:r>
        <w:rPr>
          <w:bCs/>
          <w:iCs/>
          <w:sz w:val="20"/>
          <w:szCs w:val="20"/>
          <w:lang w:val="pt-BR" w:bidi="pt-PT"/>
        </w:rPr>
        <w:t>,</w:t>
      </w:r>
      <w:r w:rsidRPr="00C04A85">
        <w:rPr>
          <w:b/>
          <w:bCs/>
          <w:iCs/>
          <w:sz w:val="20"/>
          <w:szCs w:val="20"/>
          <w:lang w:val="pt-BR" w:bidi="pt-PT"/>
        </w:rPr>
        <w:t xml:space="preserve"> </w:t>
      </w:r>
      <w:r w:rsidRPr="00C04A85">
        <w:rPr>
          <w:bCs/>
          <w:iCs/>
          <w:sz w:val="20"/>
          <w:szCs w:val="20"/>
          <w:lang w:val="pt-BR" w:bidi="pt-PT"/>
        </w:rPr>
        <w:t>envelhecimento</w:t>
      </w:r>
      <w:r>
        <w:rPr>
          <w:bCs/>
          <w:iCs/>
          <w:sz w:val="20"/>
          <w:szCs w:val="20"/>
          <w:lang w:val="pt-BR" w:bidi="pt-PT"/>
        </w:rPr>
        <w:t>,</w:t>
      </w:r>
      <w:r w:rsidRPr="00C04A85">
        <w:rPr>
          <w:bCs/>
          <w:iCs/>
          <w:sz w:val="20"/>
          <w:szCs w:val="20"/>
          <w:lang w:val="pt-BR" w:bidi="pt-PT"/>
        </w:rPr>
        <w:t xml:space="preserve"> representações sociais</w:t>
      </w:r>
      <w:r>
        <w:rPr>
          <w:bCs/>
          <w:iCs/>
          <w:sz w:val="20"/>
          <w:szCs w:val="20"/>
          <w:lang w:val="pt-BR" w:bidi="pt-PT"/>
        </w:rPr>
        <w:t>,</w:t>
      </w:r>
      <w:r w:rsidRPr="00C04A85">
        <w:rPr>
          <w:bCs/>
          <w:iCs/>
          <w:sz w:val="20"/>
          <w:szCs w:val="20"/>
          <w:lang w:val="pt-BR" w:bidi="pt-PT"/>
        </w:rPr>
        <w:t xml:space="preserve"> sistema prisional</w:t>
      </w:r>
      <w:r>
        <w:rPr>
          <w:bCs/>
          <w:iCs/>
          <w:sz w:val="20"/>
          <w:szCs w:val="20"/>
          <w:lang w:val="pt-BR" w:bidi="pt-PT"/>
        </w:rPr>
        <w:t>,</w:t>
      </w:r>
      <w:r w:rsidRPr="00C04A85">
        <w:rPr>
          <w:bCs/>
          <w:iCs/>
          <w:sz w:val="20"/>
          <w:szCs w:val="20"/>
          <w:lang w:val="pt-BR" w:bidi="pt-PT"/>
        </w:rPr>
        <w:t xml:space="preserve"> velhice LGBT</w:t>
      </w:r>
    </w:p>
    <w:p w14:paraId="1BF37552" w14:textId="431292EE" w:rsidR="002D6B30" w:rsidRPr="00E272F5" w:rsidRDefault="00DF29D2" w:rsidP="002D6B30">
      <w:pPr>
        <w:pStyle w:val="TtuloResumen"/>
        <w:rPr>
          <w:bCs/>
          <w:lang w:val="en-US"/>
        </w:rPr>
      </w:pPr>
      <w:r w:rsidRPr="00333677">
        <w:rPr>
          <w:noProof/>
          <w:lang w:val="en-GB" w:eastAsia="es-AR"/>
        </w:rPr>
        <w:drawing>
          <wp:anchor distT="0" distB="0" distL="114300" distR="114300" simplePos="0" relativeHeight="251666432" behindDoc="0" locked="0" layoutInCell="1" allowOverlap="1" wp14:anchorId="69C1ECE1" wp14:editId="3C424CA7">
            <wp:simplePos x="0" y="0"/>
            <wp:positionH relativeFrom="page">
              <wp:posOffset>6055522</wp:posOffset>
            </wp:positionH>
            <wp:positionV relativeFrom="page">
              <wp:posOffset>9798832</wp:posOffset>
            </wp:positionV>
            <wp:extent cx="406400" cy="266065"/>
            <wp:effectExtent l="0" t="0" r="0" b="635"/>
            <wp:wrapNone/>
            <wp:docPr id="10" name="Gráfico 10">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áfico 10">
                      <a:hlinkClick r:id="rId20"/>
                    </pic:cNvPr>
                    <pic:cNvPicPr/>
                  </pic:nvPicPr>
                  <pic:blipFill>
                    <a:blip r:embed="rId21">
                      <a:extLst>
                        <a:ext uri="{96DAC541-7B7A-43D3-8B79-37D633B846F1}">
                          <asvg:svgBlip xmlns:asvg="http://schemas.microsoft.com/office/drawing/2016/SVG/main" r:embed="rId22"/>
                        </a:ext>
                      </a:extLst>
                    </a:blip>
                    <a:stretch>
                      <a:fillRect/>
                    </a:stretch>
                  </pic:blipFill>
                  <pic:spPr>
                    <a:xfrm>
                      <a:off x="0" y="0"/>
                      <a:ext cx="406400" cy="266065"/>
                    </a:xfrm>
                    <a:prstGeom prst="rect">
                      <a:avLst/>
                    </a:prstGeom>
                  </pic:spPr>
                </pic:pic>
              </a:graphicData>
            </a:graphic>
            <wp14:sizeRelH relativeFrom="margin">
              <wp14:pctWidth>0</wp14:pctWidth>
            </wp14:sizeRelH>
            <wp14:sizeRelV relativeFrom="margin">
              <wp14:pctHeight>0</wp14:pctHeight>
            </wp14:sizeRelV>
          </wp:anchor>
        </w:drawing>
      </w:r>
      <w:r w:rsidR="00E272F5" w:rsidRPr="00E272F5">
        <w:rPr>
          <w:lang w:val="en-US"/>
        </w:rPr>
        <w:t>Abstract</w:t>
      </w:r>
    </w:p>
    <w:p w14:paraId="65E89737" w14:textId="14A7B45E" w:rsidR="002D6B30" w:rsidRPr="00CE6648" w:rsidRDefault="00CE6648" w:rsidP="002D6B30">
      <w:pPr>
        <w:pStyle w:val="Resumen"/>
      </w:pPr>
      <w:r w:rsidRPr="00CE6648">
        <w:rPr>
          <w:bCs/>
        </w:rPr>
        <w:t>Old age is a universal phenomenon that has notably expanded in the Brazilian population, including within the prison system. However, the arrival of the coronavirus in Brazilian prisons reinforced the need to pay attention to the psychosocial vulnerabilities that permeate this environment and affect the population in prison. The study aimed to analyze and compare the social representations of women and men in deprivation of liberty about the conditions that LGBT elderly people have to experience a safe old age in the context in which they live. It is characterized as a qualitative research, based on the Theory of Social Representations, of a descriptive and comparative nature, with cross-sectional data and a non-probabilistic convenience sample. There were 28 people living in deprivation of liberty in male and female penal units, during the pandemic period in a Brazilian state. It is evident that in the representations of the participants, old age is not a phase full of tranquility, as there are conditions and resources necessary to live it well. It is concluded that there is a predominance of many stereotypes about sexual orientation, lifestyle, loneliness in old age and sexuality among the elderly, which can be justified by the lack of knowledge on the subject or even the lack of contact with people LGBT's.</w:t>
      </w:r>
    </w:p>
    <w:p w14:paraId="79031265" w14:textId="19CDDAB0" w:rsidR="00B5244C" w:rsidRPr="00F07D24" w:rsidRDefault="0039017B" w:rsidP="00B5244C">
      <w:pPr>
        <w:pStyle w:val="Ttulodepalabrasclave"/>
        <w:rPr>
          <w:lang w:val="en-GB"/>
        </w:rPr>
      </w:pPr>
      <w:r w:rsidRPr="00F07D24">
        <w:rPr>
          <w:lang w:val="en-GB"/>
        </w:rPr>
        <w:t>Keywords</w:t>
      </w:r>
    </w:p>
    <w:p w14:paraId="3792DCB8" w14:textId="20357033" w:rsidR="002D6B30" w:rsidRPr="00E976E9" w:rsidRDefault="00C04A85">
      <w:pPr>
        <w:rPr>
          <w:bCs/>
          <w:iCs/>
          <w:sz w:val="20"/>
          <w:szCs w:val="20"/>
          <w:lang w:val="en-US"/>
        </w:rPr>
      </w:pPr>
      <w:r w:rsidRPr="00C04A85">
        <w:rPr>
          <w:bCs/>
          <w:iCs/>
          <w:sz w:val="20"/>
          <w:szCs w:val="20"/>
          <w:lang w:val="en-US"/>
        </w:rPr>
        <w:t>COVID-19</w:t>
      </w:r>
      <w:r>
        <w:rPr>
          <w:bCs/>
          <w:iCs/>
          <w:sz w:val="20"/>
          <w:szCs w:val="20"/>
          <w:lang w:val="en-US"/>
        </w:rPr>
        <w:t>,</w:t>
      </w:r>
      <w:r w:rsidRPr="00C04A85">
        <w:rPr>
          <w:bCs/>
          <w:iCs/>
          <w:sz w:val="20"/>
          <w:szCs w:val="20"/>
          <w:lang w:val="en-US"/>
        </w:rPr>
        <w:t xml:space="preserve"> aging</w:t>
      </w:r>
      <w:r>
        <w:rPr>
          <w:bCs/>
          <w:iCs/>
          <w:sz w:val="20"/>
          <w:szCs w:val="20"/>
          <w:lang w:val="en-US"/>
        </w:rPr>
        <w:t xml:space="preserve">, </w:t>
      </w:r>
      <w:r w:rsidRPr="00C04A85">
        <w:rPr>
          <w:bCs/>
          <w:iCs/>
          <w:sz w:val="20"/>
          <w:szCs w:val="20"/>
          <w:lang w:val="en-US"/>
        </w:rPr>
        <w:t>social representations</w:t>
      </w:r>
      <w:r>
        <w:rPr>
          <w:bCs/>
          <w:iCs/>
          <w:sz w:val="20"/>
          <w:szCs w:val="20"/>
          <w:lang w:val="en-US"/>
        </w:rPr>
        <w:t>,</w:t>
      </w:r>
      <w:r w:rsidRPr="00C04A85">
        <w:rPr>
          <w:bCs/>
          <w:iCs/>
          <w:sz w:val="20"/>
          <w:szCs w:val="20"/>
          <w:lang w:val="en-US"/>
        </w:rPr>
        <w:t xml:space="preserve"> prison system</w:t>
      </w:r>
      <w:r>
        <w:rPr>
          <w:bCs/>
          <w:iCs/>
          <w:sz w:val="20"/>
          <w:szCs w:val="20"/>
          <w:lang w:val="en-US"/>
        </w:rPr>
        <w:t>,</w:t>
      </w:r>
      <w:r w:rsidRPr="00C04A85">
        <w:rPr>
          <w:bCs/>
          <w:iCs/>
          <w:sz w:val="20"/>
          <w:szCs w:val="20"/>
          <w:lang w:val="en-US"/>
        </w:rPr>
        <w:t xml:space="preserve"> LGBT old age</w:t>
      </w:r>
      <w:r w:rsidR="002D6B30" w:rsidRPr="00E976E9">
        <w:rPr>
          <w:bCs/>
          <w:iCs/>
          <w:sz w:val="20"/>
          <w:szCs w:val="20"/>
          <w:lang w:val="en-US"/>
        </w:rPr>
        <w:br w:type="page"/>
      </w:r>
    </w:p>
    <w:p w14:paraId="45D157E5" w14:textId="66E77DCF" w:rsidR="00333677" w:rsidRPr="00CE6648" w:rsidRDefault="00CE6648" w:rsidP="00AE2924">
      <w:pPr>
        <w:pStyle w:val="Prrafocomn"/>
        <w:ind w:firstLine="0"/>
        <w:jc w:val="center"/>
      </w:pPr>
      <w:r w:rsidRPr="00CE6648">
        <w:lastRenderedPageBreak/>
        <w:t>Aging seen from prison: psychosocial analysis of LGBT old age from people deprived of liberty in a Brazilian state in times of COVID-19</w:t>
      </w:r>
    </w:p>
    <w:p w14:paraId="512A04F3" w14:textId="01F17267" w:rsidR="00333677" w:rsidRPr="00E976E9" w:rsidRDefault="00E976E9" w:rsidP="00F42476">
      <w:pPr>
        <w:pStyle w:val="Ttulosinternos"/>
      </w:pPr>
      <w:r w:rsidRPr="00E976E9">
        <w:t>Introdução</w:t>
      </w:r>
    </w:p>
    <w:p w14:paraId="6CF19290" w14:textId="77777777" w:rsidR="00317456" w:rsidRPr="00317456" w:rsidRDefault="00317456" w:rsidP="00317456">
      <w:pPr>
        <w:pStyle w:val="Prrafocomn"/>
        <w:rPr>
          <w:lang w:val="pt-BR" w:bidi="pt-PT"/>
        </w:rPr>
      </w:pPr>
      <w:r w:rsidRPr="00317456">
        <w:rPr>
          <w:lang w:val="pt-BR" w:bidi="pt-PT"/>
        </w:rPr>
        <w:t>Muito associada a última etapa do ciclo vital, a velhice é um fenômeno universal que tem se expandido na população brasileira de forma notória. Os marcadores do envelhecimento populacional deste país registram que nas últimas décadas a expectativa de vida, que em 1940 era de 45,5 anos, em 2018 passou para 76,3 anos (IBGE, 2019). No entanto, isto não implica dizer que necessariamente existam melhorias nas condições de vida de toda pessoa em processo de envelhecimento, cuja categoria continua socialmente vulnerável diante da inabilidade das políticas públicas e da ideologia contemporânea que percebe o corpo envelhecido como inútil e descartável (Wacheleski &amp; Gershenson, 2018).</w:t>
      </w:r>
    </w:p>
    <w:p w14:paraId="0A909DC5" w14:textId="77777777" w:rsidR="00317456" w:rsidRPr="00317456" w:rsidRDefault="00317456" w:rsidP="00317456">
      <w:pPr>
        <w:pStyle w:val="Prrafocomn"/>
        <w:rPr>
          <w:lang w:val="pt-BR" w:bidi="pt-PT"/>
        </w:rPr>
      </w:pPr>
      <w:r w:rsidRPr="00317456">
        <w:rPr>
          <w:lang w:val="pt-BR" w:bidi="pt-PT"/>
        </w:rPr>
        <w:t xml:space="preserve">Em 11 de março de 2020, a Organização Mundial da Saúde (OMS) decretou o início de pandemia causada pelo novo coronavírus, a doença responsável por fazer com que o Brasil e o Mundo adotassem medidas de segurança, a exemplo – o isolamento e distanciamento social (Organização Mundial da Saúde, 2020). Isto se deu porque as análises elementares mostraram que a população maior de 60 anos estava mais vulnerável à doença, fato que justifica os primeiros óbitos no contexto brasileiro ocorreram entre pessoas idosas (Sánchez et al., 2020). </w:t>
      </w:r>
    </w:p>
    <w:p w14:paraId="690140FE" w14:textId="77777777" w:rsidR="00317456" w:rsidRPr="00317456" w:rsidRDefault="00317456" w:rsidP="00317456">
      <w:pPr>
        <w:pStyle w:val="Prrafocomn"/>
        <w:rPr>
          <w:lang w:val="pt-BR" w:bidi="pt-PT"/>
        </w:rPr>
      </w:pPr>
      <w:r w:rsidRPr="00317456">
        <w:rPr>
          <w:lang w:val="pt-BR" w:bidi="pt-PT"/>
        </w:rPr>
        <w:t xml:space="preserve">Por conseguinte, é incontestável que o sistema prisional também engloba pessoas envelhecidas. Assim, permitiu-se por meio deste estudo dar visibilidade para esse ambiente até então caracterizado como insalubre, hostil, gerador de danos físicos e mentais em toda a sua população em privação de liberdade, inclusive os idosos, cujos são considerados passíveis de alto risco de sofrer violação de seus direitos fundamentais (Ghiggi, 2018). Com isso, percebe-se que a pandemia realçou a desigualdade entre idosos, haja vista que neste contexto os indivíduos se tornam vulneráveis pelas péssimas condições de vida vinculada à dificuldade de ter acesso à saúde de qualidade e que mesmo reclusos da sociedade podem ser acometidos pelo novo coronavírus (Santana Filho, 2020). </w:t>
      </w:r>
    </w:p>
    <w:p w14:paraId="7027337A" w14:textId="77777777" w:rsidR="00317456" w:rsidRPr="00317456" w:rsidRDefault="00317456" w:rsidP="00317456">
      <w:pPr>
        <w:pStyle w:val="Prrafocomn"/>
        <w:rPr>
          <w:lang w:val="pt-BR" w:bidi="pt-PT"/>
        </w:rPr>
      </w:pPr>
      <w:r w:rsidRPr="00317456">
        <w:rPr>
          <w:lang w:val="pt-BR" w:bidi="pt-PT"/>
        </w:rPr>
        <w:t xml:space="preserve">É notório que a sociedade contemporânea atribui ao envelhecimento natural um olhar atencioso para dilemas comumente associados a ele, como: saúde do corpo físico e da mente, sexualidade, estereótipos, preconceitos, dentre outras implicações com a pessoa envelhecida (Araújo, 2022; Sousa et al., 2022). Essas questões fomentam a necessidade de se conhecer qual a visão que pessoas dentro do cárcere possuem sobre o </w:t>
      </w:r>
      <w:r w:rsidRPr="00317456">
        <w:rPr>
          <w:lang w:val="pt-BR" w:bidi="pt-PT"/>
        </w:rPr>
        <w:lastRenderedPageBreak/>
        <w:t xml:space="preserve">envelhecimento, tendo em vista que os encarcerados em questão compõem e sobrevivem nos mesmos espaços sociais dos idosos dentro e fora das penitenciárias. Assim, fortalece-se a importância de se conhecer o que esses indivíduos pensam sobre o bem-estar dos idosos LGBT’s, de modo a considerar as diferenças entre gênero, crenças, condições socioeconômicas, experiências e o contexto no qual está inserido. Portanto, conhecer tais representações também fomentará para pensar-se e planejar ações e manejos sociais dentro desses espaços. </w:t>
      </w:r>
    </w:p>
    <w:p w14:paraId="2AEEBC0B" w14:textId="77777777" w:rsidR="00317456" w:rsidRPr="00317456" w:rsidRDefault="00317456" w:rsidP="00317456">
      <w:pPr>
        <w:pStyle w:val="Prrafocomn"/>
        <w:rPr>
          <w:lang w:val="pt-BR" w:bidi="pt-PT"/>
        </w:rPr>
      </w:pPr>
      <w:r w:rsidRPr="00317456">
        <w:rPr>
          <w:lang w:val="pt-BR" w:bidi="pt-PT"/>
        </w:rPr>
        <w:t>Cabe a essa discussão abordar implicações de orientação afetivo-sexual e de identidade de gênero entre pessoas idosas, a fim de dar visibilidade aos idosos LBGT’s. O conceito de orientação sexual é compreendido como a condição de se relacionar de forma afetiva, emocional ou sexual com outras pessoas e que, popularmente, possui três categorias: a heterossexualidade, a homossexualidade e a bissexualidade (Miguel &amp; Petroni, 2020). Portanto, diferente do que é defendido na sociedade tradicional, a sexualidade não deixa de existir na velhice, mas passa a ser compreendida em diferentes realidades, de forma dinâmica, que flui para múltiplas dimensões ao ponto de a velhice e a sexualidade serem consideradas aspectos inseparáveis (Silva &amp; Araújo, 2020).</w:t>
      </w:r>
    </w:p>
    <w:p w14:paraId="23B0BB0E" w14:textId="77777777" w:rsidR="00317456" w:rsidRPr="00317456" w:rsidRDefault="00317456" w:rsidP="00317456">
      <w:pPr>
        <w:pStyle w:val="Prrafocomn"/>
        <w:rPr>
          <w:lang w:val="pt-BR" w:bidi="pt-PT"/>
        </w:rPr>
      </w:pPr>
      <w:r w:rsidRPr="00317456">
        <w:rPr>
          <w:lang w:val="pt-BR" w:bidi="pt-PT"/>
        </w:rPr>
        <w:t>A chegada do coronavírus nas penitenciárias do Brasil conseguiu transformar uma realidade de desafios em teste de sobrevivência. A superlotação, as péssimas condições de infraestrutura e salubridade, a ausência de contato com familiares e de ações sociais são aspectos que fomentam o adoecimento físico e mental de milhares de pessoas vivendo no sistema penitenciário brasileiro. Não obstante, notou-se que o contexto pandêmico propiciou a interrupção de laços familiares, que até então já eram restritos, bem como dificultou o acesso às ações de inserção social para a população carcerária do País (Silva et al., 2021).</w:t>
      </w:r>
    </w:p>
    <w:p w14:paraId="4E04BF62" w14:textId="77777777" w:rsidR="00317456" w:rsidRPr="00317456" w:rsidRDefault="00317456" w:rsidP="00317456">
      <w:pPr>
        <w:pStyle w:val="Prrafocomn"/>
        <w:rPr>
          <w:lang w:val="pt-BR" w:bidi="pt-PT"/>
        </w:rPr>
      </w:pPr>
      <w:r w:rsidRPr="00317456">
        <w:rPr>
          <w:lang w:val="pt-BR" w:bidi="pt-PT"/>
        </w:rPr>
        <w:t xml:space="preserve">No ranking internacional, o Brasil ocupa a 3ª posição em número absoluto de presos, ficando atrás apenas da China e dos Estados Unidos da América. Com a chegada da pandemia houve uma redução no número de presos, que atualmente corresponde a aproximadamente 759.518 pessoas em privação de liberdade (DEPEN, 2020). Todavia não houve redução na superlotação dos presídios, o que favorece a propagação de várias doenças, inclusive na transmissão do novo coronavírus, bem como dificulta a realização de planos para um futuro de incertezas e inseguranças. </w:t>
      </w:r>
    </w:p>
    <w:p w14:paraId="272EEE64" w14:textId="77777777" w:rsidR="00317456" w:rsidRPr="00317456" w:rsidRDefault="00317456" w:rsidP="00317456">
      <w:pPr>
        <w:pStyle w:val="Prrafocomn"/>
        <w:rPr>
          <w:lang w:val="pt-BR" w:bidi="pt-PT"/>
        </w:rPr>
      </w:pPr>
      <w:r w:rsidRPr="00317456">
        <w:rPr>
          <w:lang w:val="pt-BR" w:bidi="pt-PT"/>
        </w:rPr>
        <w:t xml:space="preserve">Frente ao exposto, este estudo busca fazer uma identificação e análise das representações socias de mulheres e homens em privação de liberdade frente as condições que idosos LGBT’s possuem de vivenciarem uma velhice segura no Brasil. Este trabalho </w:t>
      </w:r>
      <w:r w:rsidRPr="00317456">
        <w:rPr>
          <w:lang w:val="pt-BR" w:bidi="pt-PT"/>
        </w:rPr>
        <w:lastRenderedPageBreak/>
        <w:t xml:space="preserve">fundamenta-se na Teoria das Representações Sociais (TRS) de Serge Moscovici e Jodelet, que consiste em uma abordagem empírica, com foco no senso comum da população, a fim de conhecer as representações destes sobre uma determinada temática (Jodelet, 2018). </w:t>
      </w:r>
    </w:p>
    <w:p w14:paraId="6FE9334C" w14:textId="0E7D0DCC" w:rsidR="002D191C" w:rsidRPr="002D191C" w:rsidRDefault="00317456" w:rsidP="00317456">
      <w:pPr>
        <w:pStyle w:val="Prrafocomn"/>
        <w:rPr>
          <w:lang w:val="pt-PT" w:bidi="pt-PT"/>
        </w:rPr>
      </w:pPr>
      <w:r w:rsidRPr="00317456">
        <w:rPr>
          <w:lang w:val="pt-BR" w:bidi="pt-PT"/>
        </w:rPr>
        <w:t>A relevância dessa pesquisa se dá em direcionar o cuidado para uma população duplamente excluída e condenada, que dever ser feito ao considerar as condições socioeconômicas, a diferença entre homens e mulheres e as vulnerabilidades sociais presentes na realidade de pessoas em privação de liberdade, uma vez que o tempo para os detentas(os) é percebido sob uma ótica diferente de quem está do outro lado dos muros</w:t>
      </w:r>
      <w:r w:rsidR="002D191C" w:rsidRPr="002D191C">
        <w:rPr>
          <w:lang w:val="pt-PT" w:bidi="pt-PT"/>
        </w:rPr>
        <w:t xml:space="preserve">. </w:t>
      </w:r>
    </w:p>
    <w:p w14:paraId="3BEA5576" w14:textId="4FE21298" w:rsidR="00012352" w:rsidRPr="009A5FA1" w:rsidRDefault="00012352" w:rsidP="00012352">
      <w:pPr>
        <w:pStyle w:val="Ttulosinternos"/>
      </w:pPr>
      <w:r w:rsidRPr="009A5FA1">
        <w:t>Método</w:t>
      </w:r>
    </w:p>
    <w:p w14:paraId="5A08C25F" w14:textId="77777777" w:rsidR="00317456" w:rsidRPr="00317456" w:rsidRDefault="00317456" w:rsidP="00317456">
      <w:pPr>
        <w:pStyle w:val="SubtituloInterno"/>
        <w:rPr>
          <w:bCs/>
          <w:lang w:val="pt-BR"/>
        </w:rPr>
      </w:pPr>
      <w:r w:rsidRPr="00317456">
        <w:rPr>
          <w:lang w:val="pt-BR"/>
        </w:rPr>
        <w:t xml:space="preserve">Tipo de investigação </w:t>
      </w:r>
    </w:p>
    <w:p w14:paraId="51C4E081" w14:textId="788F3236" w:rsidR="007A015E" w:rsidRDefault="00317456" w:rsidP="007A015E">
      <w:pPr>
        <w:pStyle w:val="Prrafocomn"/>
        <w:rPr>
          <w:lang w:val="pt-BR" w:bidi="pt-PT"/>
        </w:rPr>
      </w:pPr>
      <w:r w:rsidRPr="00317456">
        <w:rPr>
          <w:lang w:val="pt-BR" w:bidi="pt-PT"/>
        </w:rPr>
        <w:t>A pesquisa caracteriza-se como qualitativa, de caráter descritivo e comparativo, com dados transversais e amostra não-probabilística por conveniência.</w:t>
      </w:r>
    </w:p>
    <w:p w14:paraId="6EBA2E9B" w14:textId="77777777" w:rsidR="00317456" w:rsidRPr="00317456" w:rsidRDefault="00317456" w:rsidP="00317456">
      <w:pPr>
        <w:pStyle w:val="SubtituloInterno"/>
        <w:rPr>
          <w:lang w:val="pt-BR"/>
        </w:rPr>
      </w:pPr>
      <w:r w:rsidRPr="00317456">
        <w:rPr>
          <w:lang w:val="pt-BR"/>
        </w:rPr>
        <w:t xml:space="preserve">Lócus da investigação </w:t>
      </w:r>
    </w:p>
    <w:p w14:paraId="0ED89A07" w14:textId="39F36734" w:rsidR="00317456" w:rsidRPr="00317456" w:rsidRDefault="00317456" w:rsidP="00317456">
      <w:pPr>
        <w:pStyle w:val="Prrafocomn"/>
        <w:rPr>
          <w:lang w:val="pt-BR"/>
        </w:rPr>
      </w:pPr>
      <w:r w:rsidRPr="00317456">
        <w:rPr>
          <w:lang w:val="pt-BR"/>
        </w:rPr>
        <w:tab/>
        <w:t xml:space="preserve">Pessoas vivendo em privação de liberdade em Unidades Penais masculinas e femininas </w:t>
      </w:r>
      <w:r w:rsidR="006D014C" w:rsidRPr="006D014C">
        <w:rPr>
          <w:lang w:val="pt-BR"/>
        </w:rPr>
        <w:t>de um estado federativo do Brasil.</w:t>
      </w:r>
      <w:r w:rsidRPr="00317456">
        <w:rPr>
          <w:lang w:val="pt-BR"/>
        </w:rPr>
        <w:t xml:space="preserve"> Participaram da pesquisa homens de uma única penitenciária masculina e mulheres de duas penitenciárias femininas vivendo sob regime fechado durante o período de pandemia no Brasil.</w:t>
      </w:r>
    </w:p>
    <w:p w14:paraId="2699C2CE" w14:textId="77777777" w:rsidR="00317456" w:rsidRPr="00317456" w:rsidRDefault="00317456" w:rsidP="00317456">
      <w:pPr>
        <w:pStyle w:val="SubtituloInterno"/>
        <w:rPr>
          <w:lang w:val="pt-BR"/>
        </w:rPr>
      </w:pPr>
      <w:r w:rsidRPr="00317456">
        <w:rPr>
          <w:lang w:val="pt-BR"/>
        </w:rPr>
        <w:t>Participantes</w:t>
      </w:r>
    </w:p>
    <w:p w14:paraId="73D31E84" w14:textId="77777777" w:rsidR="00317456" w:rsidRPr="00317456" w:rsidRDefault="00317456" w:rsidP="00317456">
      <w:pPr>
        <w:pStyle w:val="Prrafocomn"/>
        <w:rPr>
          <w:lang w:val="pt-BR"/>
        </w:rPr>
      </w:pPr>
      <w:r w:rsidRPr="00317456">
        <w:rPr>
          <w:lang w:val="pt-BR"/>
        </w:rPr>
        <w:t>Contemplou-se a participação de 28 pessoas em privação de liberdade, que consentiram em participar voluntariamente da pesquisa e assinaram o Termo de Consentimento Livre e Esclarecido (TCLE). Dessas, 14 eram do sexo feminino com idades entre 21 e 53 anos (</w:t>
      </w:r>
      <w:r w:rsidRPr="00317456">
        <w:rPr>
          <w:i/>
          <w:iCs/>
          <w:lang w:val="pt-BR"/>
        </w:rPr>
        <w:t xml:space="preserve">m </w:t>
      </w:r>
      <w:r w:rsidRPr="00317456">
        <w:rPr>
          <w:lang w:val="pt-BR"/>
        </w:rPr>
        <w:t xml:space="preserve">= 33,42; </w:t>
      </w:r>
      <w:r w:rsidRPr="00317456">
        <w:rPr>
          <w:i/>
          <w:iCs/>
          <w:lang w:val="pt-BR"/>
        </w:rPr>
        <w:t>dp</w:t>
      </w:r>
      <w:r w:rsidRPr="00317456">
        <w:rPr>
          <w:lang w:val="pt-BR"/>
        </w:rPr>
        <w:t xml:space="preserve"> = 9,13); com média de sentença de 130,42 meses (</w:t>
      </w:r>
      <w:r w:rsidRPr="00317456">
        <w:rPr>
          <w:i/>
          <w:iCs/>
          <w:lang w:val="pt-BR"/>
        </w:rPr>
        <w:t>dp=</w:t>
      </w:r>
      <w:r w:rsidRPr="00317456">
        <w:rPr>
          <w:lang w:val="pt-BR"/>
        </w:rPr>
        <w:t>131,16); de estado civil predominante 57,1% solteiras. No fator religiosidade 50% declararam-se evangélicas; frente a orientação sexual 71,4% heterossexual, 14,3% são homossexual e 14,3% bissexual. Na variável escolaridade 71,4% tem apenas o ensino fundamental e todas declararam não possuir Renda Mensal.</w:t>
      </w:r>
    </w:p>
    <w:p w14:paraId="0546AB50" w14:textId="77777777" w:rsidR="00317456" w:rsidRPr="00317456" w:rsidRDefault="00317456" w:rsidP="00317456">
      <w:pPr>
        <w:pStyle w:val="Prrafocomn"/>
        <w:rPr>
          <w:lang w:val="pt-BR"/>
        </w:rPr>
      </w:pPr>
      <w:r w:rsidRPr="00317456">
        <w:rPr>
          <w:lang w:val="pt-BR"/>
        </w:rPr>
        <w:t>Os outros 14 participantes eram do sexo masculino, com idades entre 22 e 41 anos (</w:t>
      </w:r>
      <w:r w:rsidRPr="00317456">
        <w:rPr>
          <w:i/>
          <w:iCs/>
          <w:lang w:val="pt-BR"/>
        </w:rPr>
        <w:t xml:space="preserve">m </w:t>
      </w:r>
      <w:r w:rsidRPr="00317456">
        <w:rPr>
          <w:lang w:val="pt-BR"/>
        </w:rPr>
        <w:t xml:space="preserve">= 30; </w:t>
      </w:r>
      <w:r w:rsidRPr="00317456">
        <w:rPr>
          <w:i/>
          <w:iCs/>
          <w:lang w:val="pt-BR"/>
        </w:rPr>
        <w:t>dp</w:t>
      </w:r>
      <w:r w:rsidRPr="00317456">
        <w:rPr>
          <w:lang w:val="pt-BR"/>
        </w:rPr>
        <w:t xml:space="preserve"> = 5,05); sob estado civil predominante 46,7% casados; sendo maioria de religião evangélica (53,3%); declarados ser de Orientação Heterossexual (100%) e com </w:t>
      </w:r>
      <w:r w:rsidRPr="00317456">
        <w:rPr>
          <w:lang w:val="pt-BR"/>
        </w:rPr>
        <w:lastRenderedPageBreak/>
        <w:t>ensino médio (53,3%). No que concerne a renda mensal 40% recebem entre 2 e 3 salários mínimos, 20% recebem entre 3, 4 ou acima de 4 salários mínimos, e apenas 13,3% recebe até um salário mínimo.</w:t>
      </w:r>
    </w:p>
    <w:p w14:paraId="0326CB32" w14:textId="77777777" w:rsidR="00317456" w:rsidRPr="00317456" w:rsidRDefault="00317456" w:rsidP="00317456">
      <w:pPr>
        <w:pStyle w:val="SubtituloInterno"/>
        <w:rPr>
          <w:lang w:val="pt-BR"/>
        </w:rPr>
      </w:pPr>
      <w:r w:rsidRPr="00317456">
        <w:rPr>
          <w:lang w:val="pt-BR"/>
        </w:rPr>
        <w:t>Instrumentos</w:t>
      </w:r>
    </w:p>
    <w:p w14:paraId="024DFA4F" w14:textId="77777777" w:rsidR="00317456" w:rsidRPr="00317456" w:rsidRDefault="00317456" w:rsidP="00317456">
      <w:pPr>
        <w:pStyle w:val="Prrafocomn"/>
        <w:rPr>
          <w:lang w:val="pt-BR"/>
        </w:rPr>
      </w:pPr>
      <w:r w:rsidRPr="00317456">
        <w:rPr>
          <w:lang w:val="pt-BR"/>
        </w:rPr>
        <w:tab/>
        <w:t xml:space="preserve">Utilizou-se dois instrumentos de viés comparativo para coleta de dados com cada grupo (masculino e feminino). O primeiro consiste em um questionário sociodemográfico com aspectos que caracterizam a amostra: idade, sexo, estado civil, renda, religião, escolaridade, orientação sexual e tempo de reclusão; e o segundo instrumento é a entrevista semiestruturada que tem como questão norteadora </w:t>
      </w:r>
      <w:r w:rsidRPr="00317456">
        <w:rPr>
          <w:i/>
          <w:iCs/>
          <w:lang w:val="pt-BR"/>
        </w:rPr>
        <w:t>“Você acredita que os idosos LGBT possuem condições seguras para viver a velhice de forma tranquila?”.</w:t>
      </w:r>
    </w:p>
    <w:p w14:paraId="04886493" w14:textId="77777777" w:rsidR="00317456" w:rsidRPr="00317456" w:rsidRDefault="00317456" w:rsidP="00317456">
      <w:pPr>
        <w:pStyle w:val="SubtituloInterno"/>
        <w:rPr>
          <w:lang w:val="pt-BR"/>
        </w:rPr>
      </w:pPr>
      <w:r w:rsidRPr="00317456">
        <w:rPr>
          <w:lang w:val="pt-BR"/>
        </w:rPr>
        <w:t>Procedimentos Éticos</w:t>
      </w:r>
    </w:p>
    <w:p w14:paraId="7F870488" w14:textId="3A27ED96" w:rsidR="00317456" w:rsidRPr="00317456" w:rsidRDefault="00317456" w:rsidP="00317456">
      <w:pPr>
        <w:pStyle w:val="Prrafocomn"/>
        <w:rPr>
          <w:lang w:val="pt-BR"/>
        </w:rPr>
      </w:pPr>
      <w:r w:rsidRPr="00317456">
        <w:rPr>
          <w:lang w:val="pt-BR"/>
        </w:rPr>
        <w:tab/>
        <w:t xml:space="preserve">Este estudo recebeu aprovação do Comitê de Ética e Pesquisa (CEP) da </w:t>
      </w:r>
      <w:r w:rsidR="006D014C" w:rsidRPr="006D014C">
        <w:rPr>
          <w:bCs/>
          <w:i/>
          <w:iCs/>
          <w:lang w:val="pt-BR"/>
        </w:rPr>
        <w:t>Universidade Federal do Delta do Parnaíba, Parnaíba, Brasil</w:t>
      </w:r>
      <w:r w:rsidRPr="00317456">
        <w:rPr>
          <w:lang w:val="pt-BR"/>
        </w:rPr>
        <w:t>, com parecer nº 1.755.790. Enfatiza-se que todos os participantes tiveram acesso ao Termo de Consentimento Livre Esclarecido (TCLE), que contém esclarecimentos sobre a pesquisa, possíveis riscos e implicações com a participação, assegura-se o sigilo de dados que possam identificar o voluntário (a). Ressalta-se que foram seguidos e mantidos os princípios da Bioética em pesquisa: autonomia, não maleficência, beneficência e justiça (Borges, Barros, &amp; Leite, 2013).</w:t>
      </w:r>
    </w:p>
    <w:p w14:paraId="79C5C343" w14:textId="77777777" w:rsidR="00317456" w:rsidRPr="00317456" w:rsidRDefault="00317456" w:rsidP="00317456">
      <w:pPr>
        <w:pStyle w:val="SubtituloInterno"/>
        <w:rPr>
          <w:lang w:val="pt-BR"/>
        </w:rPr>
      </w:pPr>
      <w:r w:rsidRPr="00317456">
        <w:rPr>
          <w:lang w:val="pt-BR"/>
        </w:rPr>
        <w:t>Procedimentos de Coleta de dados</w:t>
      </w:r>
    </w:p>
    <w:p w14:paraId="32E0DD0C" w14:textId="77777777" w:rsidR="00317456" w:rsidRPr="00317456" w:rsidRDefault="00317456" w:rsidP="00317456">
      <w:pPr>
        <w:pStyle w:val="Prrafocomn"/>
        <w:rPr>
          <w:lang w:val="pt-BR"/>
        </w:rPr>
      </w:pPr>
      <w:r w:rsidRPr="00317456">
        <w:rPr>
          <w:lang w:val="pt-BR"/>
        </w:rPr>
        <w:t xml:space="preserve">Diante de um contexto pandêmico que instigou a proibição temporária de visitação nas Unidades Penais brasileiras, algumas medidas foram necessárias para que a coleta de dados ocorresse de forma presencial sem ofertar riscos à população em cárcere que ainda se encontrava não vacinada. Buscou-se contato com 3 psicólogas que trabalham em diferentes penitenciárias ao que estas se disponibilizaram para a apresentação da pesquisa à direção das Unidades Prisionais das quais obteve-se resposta de autorização. Realizou-se o preparo prévio sobre o manuseio do instrumento de pesquisa com as profissionais e estes seriam aplicados de forma aleatória, conforme a demanda de trabalho psicológica na rotina do local. O tempo médio de aplicação foi de 30 minutos e por </w:t>
      </w:r>
      <w:r w:rsidRPr="00317456">
        <w:rPr>
          <w:lang w:val="pt-BR"/>
        </w:rPr>
        <w:lastRenderedPageBreak/>
        <w:t>respeito as limitações dos participantes em relação à escolaridade, a pouca prática de escrita e leitura, entre outros fatores, com registros escritos efetuados pelas próprias coletadoras de dados.</w:t>
      </w:r>
    </w:p>
    <w:p w14:paraId="778CEB00" w14:textId="77777777" w:rsidR="00317456" w:rsidRPr="00317456" w:rsidRDefault="00317456" w:rsidP="00317456">
      <w:pPr>
        <w:pStyle w:val="SubtituloInterno"/>
        <w:rPr>
          <w:lang w:val="pt-BR"/>
        </w:rPr>
      </w:pPr>
      <w:r w:rsidRPr="00317456">
        <w:rPr>
          <w:lang w:val="pt-BR"/>
        </w:rPr>
        <w:t>Análise dos Dados</w:t>
      </w:r>
    </w:p>
    <w:p w14:paraId="288648A4" w14:textId="74205070" w:rsidR="00317456" w:rsidRPr="00012352" w:rsidRDefault="00317456" w:rsidP="00317456">
      <w:pPr>
        <w:pStyle w:val="Prrafocomn"/>
        <w:rPr>
          <w:lang w:val="pt-BR"/>
        </w:rPr>
      </w:pPr>
      <w:r w:rsidRPr="00317456">
        <w:rPr>
          <w:lang w:val="pt-BR"/>
        </w:rPr>
        <w:t xml:space="preserve">A análise dos dados sociodemográficos foi realizada no software </w:t>
      </w:r>
      <w:r w:rsidRPr="00317456">
        <w:rPr>
          <w:i/>
          <w:iCs/>
          <w:lang w:val="pt-BR"/>
        </w:rPr>
        <w:t>SPSS for Windows</w:t>
      </w:r>
      <w:r w:rsidRPr="00317456">
        <w:rPr>
          <w:lang w:val="pt-BR"/>
        </w:rPr>
        <w:t xml:space="preserve"> versão 21 o qual forneceu as estatísticas descritivas necessárias para a caracterização da amostra. O conteúdo das entrevistas semiestruturadas foram organizados no </w:t>
      </w:r>
      <w:r w:rsidRPr="00317456">
        <w:rPr>
          <w:i/>
          <w:iCs/>
          <w:lang w:val="pt-BR"/>
        </w:rPr>
        <w:t>software LibreOffice</w:t>
      </w:r>
      <w:r w:rsidRPr="00317456">
        <w:rPr>
          <w:lang w:val="pt-BR"/>
        </w:rPr>
        <w:t xml:space="preserve"> e analisadas pelo </w:t>
      </w:r>
      <w:r w:rsidRPr="00317456">
        <w:rPr>
          <w:i/>
          <w:iCs/>
          <w:lang w:val="pt-BR"/>
        </w:rPr>
        <w:t xml:space="preserve">software Iramuteq, </w:t>
      </w:r>
      <w:r w:rsidRPr="00317456">
        <w:rPr>
          <w:lang w:val="pt-BR"/>
        </w:rPr>
        <w:t>no qual</w:t>
      </w:r>
      <w:r w:rsidRPr="00317456">
        <w:rPr>
          <w:i/>
          <w:iCs/>
          <w:lang w:val="pt-BR"/>
        </w:rPr>
        <w:t xml:space="preserve"> </w:t>
      </w:r>
      <w:r w:rsidRPr="00317456">
        <w:rPr>
          <w:lang w:val="pt-BR"/>
        </w:rPr>
        <w:t>efetuou-se o Método da Classificação Hierárquica Descendente (CHD), visando compreender a relação das classes de segmento de texto, previamente organizadas nas Unidades de Contexto Inicial (UCI), utilizados na construção de um único dendograma, visto que as respostas de ambos grupos foram agrupadas no mesmo banco de dados.</w:t>
      </w:r>
    </w:p>
    <w:p w14:paraId="487BF736" w14:textId="27B57021" w:rsidR="00B775DB" w:rsidRDefault="009A0192" w:rsidP="00F42476">
      <w:pPr>
        <w:pStyle w:val="Ttulosinternos"/>
      </w:pPr>
      <w:r w:rsidRPr="009A0192">
        <w:t>Resultados</w:t>
      </w:r>
    </w:p>
    <w:p w14:paraId="5057A6E3" w14:textId="77777777" w:rsidR="00C20FBE" w:rsidRPr="00C20FBE" w:rsidRDefault="00C20FBE" w:rsidP="00C20FBE">
      <w:pPr>
        <w:spacing w:line="360" w:lineRule="auto"/>
        <w:ind w:left="2" w:hanging="2"/>
        <w:contextualSpacing/>
        <w:mirrorIndents/>
        <w:jc w:val="both"/>
        <w:rPr>
          <w:bCs/>
          <w:lang w:val="pt-BR" w:eastAsia="es-ES_tradnl" w:bidi="pt-PT"/>
        </w:rPr>
      </w:pPr>
      <w:r w:rsidRPr="00C20FBE">
        <w:rPr>
          <w:bCs/>
          <w:lang w:val="pt-BR" w:eastAsia="es-ES_tradnl" w:bidi="pt-PT"/>
        </w:rPr>
        <w:t>O corpus geral foi constituído por 28 textos (UCI), separados em 33 segmentos de texto (ST), com aproveitamento de 26 ST (78.79%). Surgiram 674 ocorrências (palavras, vocábulos ou formas), sendo 265 o número de formas distintas e 175 palavras que aparecem uma única vez. O conteúdo analisado foi categorizado em 4 classes: classe 1 com 6 ST (23.08%); classe 2 com 7 ST (26.92%); classe 3 com 8 ST (30.77%); e a classe 4 com 5 ST (19.23%); e encontram-se subdivididas em três ramificações.</w:t>
      </w:r>
    </w:p>
    <w:p w14:paraId="24E10FDF" w14:textId="692AACE9" w:rsidR="00C20FBE" w:rsidRDefault="00C20FBE" w:rsidP="00C20FBE">
      <w:pPr>
        <w:spacing w:line="360" w:lineRule="auto"/>
        <w:ind w:left="2" w:hanging="2"/>
        <w:contextualSpacing/>
        <w:mirrorIndents/>
        <w:jc w:val="both"/>
        <w:rPr>
          <w:bCs/>
          <w:lang w:val="pt-BR" w:eastAsia="es-ES_tradnl" w:bidi="pt-PT"/>
        </w:rPr>
      </w:pPr>
      <w:r w:rsidRPr="00C20FBE">
        <w:rPr>
          <w:bCs/>
          <w:lang w:val="pt-BR" w:eastAsia="es-ES_tradnl" w:bidi="pt-PT"/>
        </w:rPr>
        <w:t xml:space="preserve">O primeiro campo refere-se às </w:t>
      </w:r>
      <w:r w:rsidRPr="00C20FBE">
        <w:rPr>
          <w:bCs/>
          <w:i/>
          <w:iCs/>
          <w:lang w:val="pt-BR" w:eastAsia="es-ES_tradnl" w:bidi="pt-PT"/>
        </w:rPr>
        <w:t>Concepções de preconceito e violência</w:t>
      </w:r>
      <w:r w:rsidRPr="00C20FBE">
        <w:rPr>
          <w:bCs/>
          <w:lang w:val="pt-BR" w:eastAsia="es-ES_tradnl" w:bidi="pt-PT"/>
        </w:rPr>
        <w:t xml:space="preserve">, formado pela classe 4 e nomeada como </w:t>
      </w:r>
      <w:bookmarkStart w:id="2" w:name="_Hlk78844999"/>
      <w:r w:rsidRPr="00C20FBE">
        <w:rPr>
          <w:bCs/>
          <w:i/>
          <w:iCs/>
          <w:lang w:val="pt-BR" w:eastAsia="es-ES_tradnl" w:bidi="pt-PT"/>
        </w:rPr>
        <w:t>Violência e preconceito contra idosos LGBT</w:t>
      </w:r>
      <w:bookmarkEnd w:id="2"/>
      <w:r w:rsidRPr="00C20FBE">
        <w:rPr>
          <w:bCs/>
          <w:i/>
          <w:iCs/>
          <w:lang w:val="pt-BR" w:eastAsia="es-ES_tradnl" w:bidi="pt-PT"/>
        </w:rPr>
        <w:t xml:space="preserve">. </w:t>
      </w:r>
      <w:r w:rsidRPr="00C20FBE">
        <w:rPr>
          <w:bCs/>
          <w:lang w:val="pt-BR" w:eastAsia="es-ES_tradnl" w:bidi="pt-PT"/>
        </w:rPr>
        <w:t xml:space="preserve">No segundo estão alicerçadas as </w:t>
      </w:r>
      <w:r w:rsidRPr="00C20FBE">
        <w:rPr>
          <w:bCs/>
          <w:i/>
          <w:iCs/>
          <w:lang w:val="pt-BR" w:eastAsia="es-ES_tradnl" w:bidi="pt-PT"/>
        </w:rPr>
        <w:t>Convicções de que a velhice LGBT pode ser vivenciada de forma normal</w:t>
      </w:r>
      <w:r w:rsidRPr="00C20FBE">
        <w:rPr>
          <w:bCs/>
          <w:lang w:val="pt-BR" w:eastAsia="es-ES_tradnl" w:bidi="pt-PT"/>
        </w:rPr>
        <w:t xml:space="preserve">, composta pelas classes 1 e 2 igualmente </w:t>
      </w:r>
      <w:proofErr w:type="gramStart"/>
      <w:r w:rsidRPr="00C20FBE">
        <w:rPr>
          <w:bCs/>
          <w:lang w:val="pt-BR" w:eastAsia="es-ES_tradnl" w:bidi="pt-PT"/>
        </w:rPr>
        <w:t xml:space="preserve">nomeadas </w:t>
      </w:r>
      <w:r w:rsidRPr="00C20FBE">
        <w:rPr>
          <w:bCs/>
          <w:i/>
          <w:iCs/>
          <w:lang w:val="pt-BR" w:eastAsia="es-ES_tradnl" w:bidi="pt-PT"/>
        </w:rPr>
        <w:t>Idosos</w:t>
      </w:r>
      <w:proofErr w:type="gramEnd"/>
      <w:r w:rsidRPr="00C20FBE">
        <w:rPr>
          <w:bCs/>
          <w:i/>
          <w:iCs/>
          <w:lang w:val="pt-BR" w:eastAsia="es-ES_tradnl" w:bidi="pt-PT"/>
        </w:rPr>
        <w:t xml:space="preserve"> LGBT com condição de uma velhice normal.</w:t>
      </w:r>
      <w:r w:rsidRPr="00C20FBE">
        <w:rPr>
          <w:bCs/>
          <w:lang w:val="pt-BR" w:eastAsia="es-ES_tradnl" w:bidi="pt-PT"/>
        </w:rPr>
        <w:t xml:space="preserve"> E o último campo abrange a postura dos indivíduos dentro do </w:t>
      </w:r>
      <w:r w:rsidRPr="00C20FBE">
        <w:rPr>
          <w:bCs/>
          <w:i/>
          <w:iCs/>
          <w:lang w:val="pt-BR" w:eastAsia="es-ES_tradnl" w:bidi="pt-PT"/>
        </w:rPr>
        <w:t xml:space="preserve">Movimento LGBT como oposto à velhice tranquila, </w:t>
      </w:r>
      <w:r w:rsidRPr="00C20FBE">
        <w:rPr>
          <w:bCs/>
          <w:lang w:val="pt-BR" w:eastAsia="es-ES_tradnl" w:bidi="pt-PT"/>
        </w:rPr>
        <w:t>cujas RS estão</w:t>
      </w:r>
      <w:r w:rsidRPr="00C20FBE">
        <w:rPr>
          <w:bCs/>
          <w:i/>
          <w:iCs/>
          <w:lang w:val="pt-BR" w:eastAsia="es-ES_tradnl" w:bidi="pt-PT"/>
        </w:rPr>
        <w:t xml:space="preserve"> </w:t>
      </w:r>
      <w:r w:rsidRPr="00C20FBE">
        <w:rPr>
          <w:bCs/>
          <w:lang w:val="pt-BR" w:eastAsia="es-ES_tradnl" w:bidi="pt-PT"/>
        </w:rPr>
        <w:t>configuradas na classe 3. Para organizar os dados obtidos na Classificação Hierárquica Descendente (CHD), criou-se um dendrograma com vocábulos de valores significativos, no qual o valor de X</w:t>
      </w:r>
      <w:r w:rsidRPr="00C20FBE">
        <w:rPr>
          <w:bCs/>
          <w:vertAlign w:val="superscript"/>
          <w:lang w:val="pt-BR" w:eastAsia="es-ES_tradnl" w:bidi="pt-PT"/>
        </w:rPr>
        <w:t xml:space="preserve">2 </w:t>
      </w:r>
      <w:r w:rsidRPr="00C20FBE">
        <w:rPr>
          <w:bCs/>
          <w:lang w:val="pt-BR" w:eastAsia="es-ES_tradnl" w:bidi="pt-PT"/>
        </w:rPr>
        <w:t>é acima 3.80 ou p&lt;0,05 (Figura 1).</w:t>
      </w:r>
    </w:p>
    <w:p w14:paraId="326D59E7" w14:textId="77777777" w:rsidR="00C20FBE" w:rsidRDefault="00C20FBE" w:rsidP="00C20FBE">
      <w:pPr>
        <w:spacing w:line="360" w:lineRule="auto"/>
        <w:ind w:left="2" w:hanging="2"/>
        <w:contextualSpacing/>
        <w:mirrorIndents/>
        <w:jc w:val="both"/>
        <w:rPr>
          <w:lang w:val="pt-BR" w:eastAsia="es-ES_tradnl" w:bidi="pt-PT"/>
        </w:rPr>
      </w:pPr>
    </w:p>
    <w:p w14:paraId="3F3AB051" w14:textId="77777777" w:rsidR="00C20FBE" w:rsidRDefault="00C20FBE" w:rsidP="00C20FBE">
      <w:pPr>
        <w:spacing w:line="360" w:lineRule="auto"/>
        <w:ind w:left="2" w:hanging="2"/>
        <w:contextualSpacing/>
        <w:mirrorIndents/>
        <w:jc w:val="both"/>
        <w:rPr>
          <w:lang w:val="pt-BR" w:eastAsia="es-ES_tradnl" w:bidi="pt-PT"/>
        </w:rPr>
      </w:pPr>
    </w:p>
    <w:p w14:paraId="6E61A20A" w14:textId="77777777" w:rsidR="00C20FBE" w:rsidRDefault="00C20FBE" w:rsidP="00C20FBE">
      <w:pPr>
        <w:spacing w:line="360" w:lineRule="auto"/>
        <w:ind w:left="2" w:hanging="2"/>
        <w:contextualSpacing/>
        <w:mirrorIndents/>
        <w:jc w:val="both"/>
        <w:rPr>
          <w:lang w:val="pt-BR" w:eastAsia="es-ES_tradnl" w:bidi="pt-PT"/>
        </w:rPr>
      </w:pPr>
    </w:p>
    <w:p w14:paraId="342B5174" w14:textId="77777777" w:rsidR="00C20FBE" w:rsidRDefault="00C20FBE" w:rsidP="00C20FBE">
      <w:pPr>
        <w:spacing w:line="360" w:lineRule="auto"/>
        <w:ind w:left="2" w:hanging="2"/>
        <w:contextualSpacing/>
        <w:mirrorIndents/>
        <w:jc w:val="both"/>
        <w:rPr>
          <w:lang w:val="pt-BR" w:eastAsia="es-ES_tradnl" w:bidi="pt-PT"/>
        </w:rPr>
      </w:pPr>
    </w:p>
    <w:p w14:paraId="293855C7" w14:textId="32925DF5" w:rsidR="00C20FBE" w:rsidRPr="00C20FBE" w:rsidRDefault="00C20FBE" w:rsidP="00C20FBE">
      <w:pPr>
        <w:spacing w:line="360" w:lineRule="auto"/>
        <w:ind w:left="2" w:hanging="2"/>
        <w:contextualSpacing/>
        <w:mirrorIndents/>
        <w:jc w:val="both"/>
        <w:rPr>
          <w:lang w:val="pt-BR" w:eastAsia="es-ES_tradnl" w:bidi="pt-PT"/>
        </w:rPr>
      </w:pPr>
      <w:r w:rsidRPr="00C20FBE">
        <w:rPr>
          <w:lang w:val="pt-BR" w:eastAsia="es-ES_tradnl" w:bidi="pt-PT"/>
        </w:rPr>
        <w:t>F</w:t>
      </w:r>
      <w:r>
        <w:rPr>
          <w:lang w:val="pt-BR" w:eastAsia="es-ES_tradnl" w:bidi="pt-PT"/>
        </w:rPr>
        <w:t>igura</w:t>
      </w:r>
      <w:r w:rsidRPr="00C20FBE">
        <w:rPr>
          <w:lang w:val="pt-BR" w:eastAsia="es-ES_tradnl" w:bidi="pt-PT"/>
        </w:rPr>
        <w:t xml:space="preserve"> </w:t>
      </w:r>
      <w:r w:rsidRPr="00C20FBE">
        <w:rPr>
          <w:lang w:val="pt-BR" w:eastAsia="es-ES_tradnl" w:bidi="pt-PT"/>
        </w:rPr>
        <w:fldChar w:fldCharType="begin"/>
      </w:r>
      <w:r w:rsidRPr="00C20FBE">
        <w:rPr>
          <w:lang w:val="pt-BR" w:eastAsia="es-ES_tradnl" w:bidi="pt-PT"/>
        </w:rPr>
        <w:instrText xml:space="preserve"> SEQ Figura \* ARABIC </w:instrText>
      </w:r>
      <w:r w:rsidRPr="00C20FBE">
        <w:rPr>
          <w:lang w:val="pt-BR" w:eastAsia="es-ES_tradnl" w:bidi="pt-PT"/>
        </w:rPr>
        <w:fldChar w:fldCharType="separate"/>
      </w:r>
      <w:r w:rsidRPr="00C20FBE">
        <w:rPr>
          <w:lang w:val="pt-BR" w:eastAsia="es-ES_tradnl" w:bidi="pt-PT"/>
        </w:rPr>
        <w:t>1</w:t>
      </w:r>
      <w:r w:rsidRPr="00C20FBE">
        <w:rPr>
          <w:lang w:val="pt-BR" w:eastAsia="es-ES_tradnl" w:bidi="pt-PT"/>
        </w:rPr>
        <w:fldChar w:fldCharType="end"/>
      </w:r>
    </w:p>
    <w:p w14:paraId="5A37F84B" w14:textId="70F5B8AE" w:rsidR="00C20FBE" w:rsidRPr="00C20FBE" w:rsidRDefault="00C20FBE" w:rsidP="00C20FBE">
      <w:pPr>
        <w:spacing w:line="360" w:lineRule="auto"/>
        <w:ind w:left="2" w:hanging="2"/>
        <w:contextualSpacing/>
        <w:mirrorIndents/>
        <w:jc w:val="both"/>
        <w:rPr>
          <w:bCs/>
          <w:i/>
          <w:iCs/>
          <w:lang w:val="pt-BR" w:eastAsia="es-ES_tradnl" w:bidi="pt-PT"/>
        </w:rPr>
      </w:pPr>
      <w:r w:rsidRPr="00E269A4">
        <w:rPr>
          <w:b/>
          <w:bCs/>
          <w:noProof/>
          <w:lang w:eastAsia="pt-BR"/>
        </w:rPr>
        <w:drawing>
          <wp:anchor distT="0" distB="0" distL="114300" distR="114300" simplePos="0" relativeHeight="251668480" behindDoc="1" locked="0" layoutInCell="1" allowOverlap="0" wp14:anchorId="29D1E658" wp14:editId="20A8450B">
            <wp:simplePos x="0" y="0"/>
            <wp:positionH relativeFrom="margin">
              <wp:posOffset>-3175</wp:posOffset>
            </wp:positionH>
            <wp:positionV relativeFrom="margin">
              <wp:posOffset>742315</wp:posOffset>
            </wp:positionV>
            <wp:extent cx="5386705" cy="4272915"/>
            <wp:effectExtent l="0" t="0" r="0" b="0"/>
            <wp:wrapTopAndBottom/>
            <wp:docPr id="15" name="Imagem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m 2"/>
                    <pic:cNvPicPr preferRelativeResize="0"/>
                  </pic:nvPicPr>
                  <pic:blipFill rotWithShape="1">
                    <a:blip r:embed="rId23" cstate="print">
                      <a:extLst>
                        <a:ext uri="{28A0092B-C50C-407E-A947-70E740481C1C}">
                          <a14:useLocalDpi xmlns:a14="http://schemas.microsoft.com/office/drawing/2010/main" val="0"/>
                        </a:ext>
                      </a:extLst>
                    </a:blip>
                    <a:srcRect/>
                    <a:stretch/>
                  </pic:blipFill>
                  <pic:spPr bwMode="auto">
                    <a:xfrm>
                      <a:off x="0" y="0"/>
                      <a:ext cx="5386705" cy="42729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20FBE">
        <w:rPr>
          <w:bCs/>
          <w:i/>
          <w:iCs/>
          <w:lang w:val="pt-BR" w:eastAsia="es-ES_tradnl" w:bidi="pt-PT"/>
        </w:rPr>
        <w:t>Dendograma com Representações Sociais de pessoas em privação de liberdade sobre a Velhice LGBT</w:t>
      </w:r>
    </w:p>
    <w:p w14:paraId="57A308DA" w14:textId="530B9609" w:rsidR="00C20FBE" w:rsidRPr="00C20FBE" w:rsidRDefault="00C20FBE" w:rsidP="00C20FBE">
      <w:pPr>
        <w:pStyle w:val="SubtituloInterno"/>
        <w:rPr>
          <w:lang w:val="pt-BR"/>
        </w:rPr>
      </w:pPr>
      <w:r w:rsidRPr="00C20FBE">
        <w:rPr>
          <w:lang w:val="pt-BR"/>
        </w:rPr>
        <w:t xml:space="preserve">Concepções de preconceito e violência com a população LGBT (Classe 4) </w:t>
      </w:r>
      <w:r>
        <w:rPr>
          <w:lang w:val="pt-BR"/>
        </w:rPr>
        <w:t xml:space="preserve">                 </w:t>
      </w:r>
      <w:r w:rsidRPr="00C20FBE">
        <w:rPr>
          <w:lang w:val="pt-BR"/>
        </w:rPr>
        <w:t>Classe 4: Violência e preconceito contra idosos LGBT</w:t>
      </w:r>
    </w:p>
    <w:p w14:paraId="55A0A92C" w14:textId="2B80EF21" w:rsidR="00C20FBE" w:rsidRPr="00C20FBE" w:rsidRDefault="00C20FBE" w:rsidP="00C20FBE">
      <w:pPr>
        <w:pStyle w:val="Prrafocomn"/>
        <w:rPr>
          <w:i/>
          <w:iCs/>
          <w:lang w:val="pt-BR" w:bidi="pt-PT"/>
        </w:rPr>
      </w:pPr>
      <w:r w:rsidRPr="00C20FBE">
        <w:rPr>
          <w:lang w:val="pt-BR" w:bidi="pt-PT"/>
        </w:rPr>
        <w:t xml:space="preserve">O discurso presente nessa categoria está representado por uma realidade brasileira agressiva, violenta e preconceituosa perceptível por pessoas de diferentes coortes e culturas. Os participantes expressam representações onde a violência é utilizada para maus tratos, perseguir e assassinar pessoas LGBT, vinculada ao preconceito da sociedade e da própria família, de modo a impossibilitar uma velhice tranquila nos dias atuais para essa população. Assim, torna-se incontestável, seja por narrativas ou por observar casos sem denúncias onde a vítima de diferentes tipos de violência é um idoso. Conforme as variáveis descritivas, a idade dos participantes é de 25 a 41 anos, majoritariamente sexo masculino, e apesar de que as respostas dos indivíduos sem religião tenham obtido maior </w:t>
      </w:r>
      <w:r w:rsidRPr="00C20FBE">
        <w:rPr>
          <w:lang w:val="pt-BR" w:bidi="pt-PT"/>
        </w:rPr>
        <w:lastRenderedPageBreak/>
        <w:t xml:space="preserve">significância, a maioria declarou-se evangélicos. As palavras de maior frequência foram: </w:t>
      </w:r>
      <w:r w:rsidRPr="00C20FBE">
        <w:rPr>
          <w:i/>
          <w:iCs/>
          <w:lang w:val="pt-BR" w:bidi="pt-PT"/>
        </w:rPr>
        <w:t xml:space="preserve">muito, achar, preconceito, </w:t>
      </w:r>
      <w:proofErr w:type="gramStart"/>
      <w:r w:rsidRPr="00C20FBE">
        <w:rPr>
          <w:i/>
          <w:iCs/>
          <w:lang w:val="pt-BR" w:bidi="pt-PT"/>
        </w:rPr>
        <w:t>em, ver</w:t>
      </w:r>
      <w:proofErr w:type="gramEnd"/>
      <w:r w:rsidRPr="00C20FBE">
        <w:rPr>
          <w:i/>
          <w:iCs/>
          <w:lang w:val="pt-BR" w:bidi="pt-PT"/>
        </w:rPr>
        <w:t>, pessoa.</w:t>
      </w:r>
    </w:p>
    <w:p w14:paraId="0F86EA4F" w14:textId="77777777" w:rsidR="00C20FBE" w:rsidRPr="00C20FBE" w:rsidRDefault="00C20FBE" w:rsidP="00C20FBE">
      <w:pPr>
        <w:pStyle w:val="Prrafocomn"/>
        <w:rPr>
          <w:i/>
          <w:iCs/>
          <w:lang w:val="pt-BR" w:bidi="pt-PT"/>
        </w:rPr>
      </w:pPr>
      <w:r w:rsidRPr="00C20FBE">
        <w:rPr>
          <w:lang w:val="pt-BR" w:bidi="pt-PT"/>
        </w:rPr>
        <w:t>Soma-se a isto, está classe é considerada de menor poder explicativo, com representatividade de apenas 19.23% (5/26 UCEs) do dendograma. Em seu conteúdo, ser idoso LGBT nos dias atuais é estar suscetível a enfrentar muitos preconceitos e uma velhice tranquila é pura ilusão, de acordo com relatos a seguir:</w:t>
      </w:r>
    </w:p>
    <w:p w14:paraId="45D78CB3" w14:textId="77777777" w:rsidR="00C20FBE" w:rsidRPr="00C20FBE" w:rsidRDefault="00C20FBE" w:rsidP="00C20FBE">
      <w:pPr>
        <w:pStyle w:val="Prrafocomn"/>
        <w:rPr>
          <w:lang w:val="pt-BR" w:bidi="pt-PT"/>
        </w:rPr>
      </w:pPr>
      <w:r w:rsidRPr="00C20FBE">
        <w:rPr>
          <w:i/>
          <w:iCs/>
          <w:lang w:val="pt-BR" w:bidi="pt-PT"/>
        </w:rPr>
        <w:t>“Acredito que não! É pura ilusão. O que se vê nas estatísticas e no noticiário é que essas pessoas que tem esse comportamento sexual só se depara com sofrimento no final, às vezes são assassinadas e judiadas, vítimas de muito preconceito”</w:t>
      </w:r>
      <w:r w:rsidRPr="00C20FBE">
        <w:rPr>
          <w:lang w:val="pt-BR" w:bidi="pt-PT"/>
        </w:rPr>
        <w:t xml:space="preserve"> (Participante 14, masculino, 41 anos, heterossexual, evangélico).</w:t>
      </w:r>
    </w:p>
    <w:p w14:paraId="793D8B1C" w14:textId="77777777" w:rsidR="00C20FBE" w:rsidRPr="00C20FBE" w:rsidRDefault="00C20FBE" w:rsidP="00C20FBE">
      <w:pPr>
        <w:pStyle w:val="Prrafocomn"/>
        <w:rPr>
          <w:lang w:val="pt-BR" w:bidi="pt-PT"/>
        </w:rPr>
      </w:pPr>
      <w:r w:rsidRPr="00C20FBE">
        <w:rPr>
          <w:i/>
          <w:iCs/>
          <w:lang w:val="pt-BR" w:bidi="pt-PT"/>
        </w:rPr>
        <w:t xml:space="preserve">“Eu acho que nesse mundo de hoje não por conta do preconceito, é muito ódio por parte de pessoas que não tem respeito” </w:t>
      </w:r>
      <w:r w:rsidRPr="00C20FBE">
        <w:rPr>
          <w:lang w:val="pt-BR" w:bidi="pt-PT"/>
        </w:rPr>
        <w:t xml:space="preserve">(Participante 8, masculino, 25 anos, heterossexual, evangélico). </w:t>
      </w:r>
    </w:p>
    <w:p w14:paraId="490EBA71" w14:textId="77777777" w:rsidR="00C20FBE" w:rsidRPr="00C20FBE" w:rsidRDefault="00C20FBE" w:rsidP="00C20FBE">
      <w:pPr>
        <w:pStyle w:val="Prrafocomn"/>
        <w:rPr>
          <w:lang w:val="pt-BR" w:bidi="pt-PT"/>
        </w:rPr>
      </w:pPr>
      <w:r w:rsidRPr="00C20FBE">
        <w:rPr>
          <w:i/>
          <w:iCs/>
          <w:lang w:val="pt-BR" w:bidi="pt-PT"/>
        </w:rPr>
        <w:t>“Acho. Tem muitas pessoas que não gostam, já vi na TV um caso onde pessoas viram um casal desse jeito e agrediram com pedras, paus, facadas... tem pessoas que não gostam né</w:t>
      </w:r>
      <w:r w:rsidRPr="00C20FBE">
        <w:rPr>
          <w:lang w:val="pt-BR" w:bidi="pt-PT"/>
        </w:rPr>
        <w:t>?” (Participante 5, masculino, 22 anos, heterossexual, sem religião).</w:t>
      </w:r>
    </w:p>
    <w:p w14:paraId="551351E6" w14:textId="77777777" w:rsidR="00C20FBE" w:rsidRPr="00C20FBE" w:rsidRDefault="00C20FBE" w:rsidP="00C20FBE">
      <w:pPr>
        <w:pStyle w:val="Prrafocomn"/>
        <w:rPr>
          <w:i/>
          <w:iCs/>
          <w:lang w:val="pt-BR" w:bidi="pt-PT"/>
        </w:rPr>
      </w:pPr>
      <w:r w:rsidRPr="00C20FBE">
        <w:rPr>
          <w:i/>
          <w:iCs/>
          <w:lang w:val="pt-BR" w:bidi="pt-PT"/>
        </w:rPr>
        <w:t>“Não</w:t>
      </w:r>
      <w:r w:rsidRPr="00C20FBE">
        <w:rPr>
          <w:lang w:val="pt-BR" w:bidi="pt-PT"/>
        </w:rPr>
        <w:t xml:space="preserve">. </w:t>
      </w:r>
      <w:r w:rsidRPr="00C20FBE">
        <w:rPr>
          <w:i/>
          <w:iCs/>
          <w:lang w:val="pt-BR" w:bidi="pt-PT"/>
        </w:rPr>
        <w:t>Porque vão enfrentar muitos preconceitos”</w:t>
      </w:r>
      <w:r w:rsidRPr="00C20FBE">
        <w:rPr>
          <w:lang w:val="pt-BR" w:bidi="pt-PT"/>
        </w:rPr>
        <w:t xml:space="preserve"> (Participante 2, feminino, 39 anos, heterossexual, católica).</w:t>
      </w:r>
      <w:r w:rsidRPr="00C20FBE">
        <w:rPr>
          <w:i/>
          <w:iCs/>
          <w:lang w:val="pt-BR" w:bidi="pt-PT"/>
        </w:rPr>
        <w:t xml:space="preserve"> </w:t>
      </w:r>
    </w:p>
    <w:p w14:paraId="7F3B9B02" w14:textId="6121704C" w:rsidR="00C20FBE" w:rsidRPr="00C20FBE" w:rsidRDefault="00C20FBE" w:rsidP="00C20FBE">
      <w:pPr>
        <w:pStyle w:val="SubtituloInterno"/>
        <w:rPr>
          <w:lang w:val="pt-BR" w:bidi="pt-PT"/>
        </w:rPr>
      </w:pPr>
      <w:r w:rsidRPr="00C20FBE">
        <w:rPr>
          <w:lang w:val="pt-BR" w:bidi="pt-PT"/>
        </w:rPr>
        <w:t>Convicções de que velhice LGBT pode ser vivenciada de forma normal (Classes 1 e 2)</w:t>
      </w:r>
      <w:r>
        <w:rPr>
          <w:lang w:val="pt-BR" w:bidi="pt-PT"/>
        </w:rPr>
        <w:t xml:space="preserve"> </w:t>
      </w:r>
      <w:r w:rsidRPr="00C20FBE">
        <w:rPr>
          <w:lang w:val="pt-BR" w:bidi="pt-PT"/>
        </w:rPr>
        <w:t>Classe 1: Idosos LGBT com condição de uma velhice normal</w:t>
      </w:r>
    </w:p>
    <w:p w14:paraId="2CB689B9" w14:textId="77777777" w:rsidR="00C20FBE" w:rsidRPr="00C20FBE" w:rsidRDefault="00C20FBE" w:rsidP="00C20FBE">
      <w:pPr>
        <w:pStyle w:val="Prrafocomn"/>
        <w:rPr>
          <w:lang w:val="pt-BR" w:bidi="pt-PT"/>
        </w:rPr>
      </w:pPr>
      <w:r w:rsidRPr="00C20FBE">
        <w:rPr>
          <w:lang w:val="pt-BR" w:bidi="pt-PT"/>
        </w:rPr>
        <w:tab/>
        <w:t>Conforme as variáveis descritivas, a caracterização dessa classe se dá com idades entre 22 e 53 anos, orientação heterossexual e bissexual, com o mesmo número de mulheres e homens na categoria. Aqui apenas a palavra “Sim” (f=6; X</w:t>
      </w:r>
      <w:r w:rsidRPr="00C20FBE">
        <w:rPr>
          <w:vertAlign w:val="superscript"/>
          <w:lang w:val="pt-BR" w:bidi="pt-PT"/>
        </w:rPr>
        <w:t>2</w:t>
      </w:r>
      <w:r w:rsidRPr="00C20FBE">
        <w:rPr>
          <w:lang w:val="pt-BR" w:bidi="pt-PT"/>
        </w:rPr>
        <w:t>=10.64) apresentou valor significativo, muito utilizada para elucidar a existência de condições de viver uma velhice tranquila e normal como a de qualquer outra pessoa. No tocante ao valor representativo, a mesma é composta por 6 UCEs que apresenta 23.08% da representatividade do dendograma. Neste sentido, os participantes apresentam a aposentadoria, a força de vontade dos idosos LGBT, que para muitos são pessoas normais, como fatores que contribuem para uma velhice tranquila, conforme os seguintes relatos:</w:t>
      </w:r>
    </w:p>
    <w:p w14:paraId="71CE4A8E" w14:textId="77777777" w:rsidR="00C20FBE" w:rsidRPr="00C20FBE" w:rsidRDefault="00C20FBE" w:rsidP="00C20FBE">
      <w:pPr>
        <w:pStyle w:val="Prrafocomn"/>
        <w:rPr>
          <w:lang w:val="pt-BR" w:bidi="pt-PT"/>
        </w:rPr>
      </w:pPr>
      <w:r w:rsidRPr="00C20FBE">
        <w:rPr>
          <w:i/>
          <w:iCs/>
          <w:lang w:val="pt-BR" w:bidi="pt-PT"/>
        </w:rPr>
        <w:t xml:space="preserve">“Acho que sim, porque dever ser aposentados, como tem isso então acho que consigam. Mas não sei se a sociedade entende que é normal. Talvez para eles seja </w:t>
      </w:r>
      <w:r w:rsidRPr="00C20FBE">
        <w:rPr>
          <w:i/>
          <w:iCs/>
          <w:lang w:val="pt-BR" w:bidi="pt-PT"/>
        </w:rPr>
        <w:lastRenderedPageBreak/>
        <w:t xml:space="preserve">normal, mas para a sociedade não seja.” </w:t>
      </w:r>
      <w:r w:rsidRPr="00C20FBE">
        <w:rPr>
          <w:lang w:val="pt-BR" w:bidi="pt-PT"/>
        </w:rPr>
        <w:t>(Participante 3, masculino, 33 anos, heterossexual, ensino fundamental).</w:t>
      </w:r>
    </w:p>
    <w:p w14:paraId="120F2D50" w14:textId="77777777" w:rsidR="00C20FBE" w:rsidRPr="00C20FBE" w:rsidRDefault="00C20FBE" w:rsidP="00C20FBE">
      <w:pPr>
        <w:pStyle w:val="Prrafocomn"/>
        <w:rPr>
          <w:lang w:val="pt-BR" w:bidi="pt-PT"/>
        </w:rPr>
      </w:pPr>
      <w:r w:rsidRPr="00C20FBE">
        <w:rPr>
          <w:i/>
          <w:iCs/>
          <w:lang w:val="pt-BR" w:bidi="pt-PT"/>
        </w:rPr>
        <w:t xml:space="preserve">“Sim, porque são pessoas normais. O que muda é apenas a opção sexual” </w:t>
      </w:r>
      <w:r w:rsidRPr="00C20FBE">
        <w:rPr>
          <w:lang w:val="pt-BR" w:bidi="pt-PT"/>
        </w:rPr>
        <w:t>(Participante 7, feminino, 25 anos, bissexual, ensino médio).</w:t>
      </w:r>
    </w:p>
    <w:p w14:paraId="143FAF15" w14:textId="5ADDFDDB" w:rsidR="00C20FBE" w:rsidRPr="00C20FBE" w:rsidRDefault="00C20FBE" w:rsidP="00C20FBE">
      <w:pPr>
        <w:pStyle w:val="Prrafocomn"/>
        <w:rPr>
          <w:i/>
          <w:iCs/>
          <w:lang w:val="pt-BR" w:bidi="pt-PT"/>
        </w:rPr>
      </w:pPr>
      <w:r w:rsidRPr="00C20FBE">
        <w:rPr>
          <w:i/>
          <w:iCs/>
          <w:lang w:val="pt-BR" w:bidi="pt-PT"/>
        </w:rPr>
        <w:t xml:space="preserve">“Sou o tipo de pessoa que não tem preconceito, mas creio que se for da vontade deles têm condições sim” </w:t>
      </w:r>
      <w:r w:rsidRPr="00C20FBE">
        <w:rPr>
          <w:lang w:val="pt-BR" w:bidi="pt-PT"/>
        </w:rPr>
        <w:t>(Participante 13, masculino, 36 anos, heterossexual, ensino médio).</w:t>
      </w:r>
    </w:p>
    <w:p w14:paraId="6A2C6A01" w14:textId="77777777" w:rsidR="00C20FBE" w:rsidRPr="00C20FBE" w:rsidRDefault="00C20FBE" w:rsidP="00C20FBE">
      <w:pPr>
        <w:pStyle w:val="SubtituloInterno"/>
        <w:rPr>
          <w:lang w:val="pt-BR" w:bidi="pt-PT"/>
        </w:rPr>
      </w:pPr>
      <w:r w:rsidRPr="00C20FBE">
        <w:rPr>
          <w:lang w:val="pt-BR" w:bidi="pt-PT"/>
        </w:rPr>
        <w:t>Classe 2:</w:t>
      </w:r>
      <w:r w:rsidRPr="00C20FBE">
        <w:rPr>
          <w:bCs/>
          <w:lang w:val="pt-BR" w:bidi="pt-PT"/>
        </w:rPr>
        <w:t xml:space="preserve"> Desafios da </w:t>
      </w:r>
      <w:r w:rsidRPr="00C20FBE">
        <w:rPr>
          <w:lang w:val="pt-BR" w:bidi="pt-PT"/>
        </w:rPr>
        <w:t>velhice e do processo de envelhecer</w:t>
      </w:r>
    </w:p>
    <w:p w14:paraId="44EB9D1A" w14:textId="77777777" w:rsidR="00C20FBE" w:rsidRPr="00C20FBE" w:rsidRDefault="00C20FBE" w:rsidP="00C20FBE">
      <w:pPr>
        <w:pStyle w:val="Prrafocomn"/>
        <w:rPr>
          <w:lang w:val="pt-BR" w:bidi="pt-PT"/>
        </w:rPr>
      </w:pPr>
      <w:r w:rsidRPr="00C20FBE">
        <w:rPr>
          <w:lang w:val="pt-BR" w:bidi="pt-PT"/>
        </w:rPr>
        <w:tab/>
        <w:t>Verificou-se que os participantes desta categoria possuem entre 21 e 46 anos, maioria mulheres, de orientação heterossexual ou homossexual, com nível de ensino fundamental e religião evangélica. No tocante as palavras de maior frequência apenas “Acreditar” (X</w:t>
      </w:r>
      <w:r w:rsidRPr="00C20FBE">
        <w:rPr>
          <w:vertAlign w:val="superscript"/>
          <w:lang w:val="pt-BR" w:bidi="pt-PT"/>
        </w:rPr>
        <w:t>2</w:t>
      </w:r>
      <w:r w:rsidRPr="00C20FBE">
        <w:rPr>
          <w:lang w:val="pt-BR" w:bidi="pt-PT"/>
        </w:rPr>
        <w:t>=4.45; f=4) e “Porque” (X</w:t>
      </w:r>
      <w:r w:rsidRPr="00C20FBE">
        <w:rPr>
          <w:vertAlign w:val="superscript"/>
          <w:lang w:val="pt-BR" w:bidi="pt-PT"/>
        </w:rPr>
        <w:t>2</w:t>
      </w:r>
      <w:r w:rsidRPr="00C20FBE">
        <w:rPr>
          <w:lang w:val="pt-BR" w:bidi="pt-PT"/>
        </w:rPr>
        <w:t>=3.91; f=6) obtiveram valores significativos na CHD de palavras, com representatividade maior que a classe 1. Com isso, a classe é formada por 7 UCEs que corresponde a 26.92% das representações encontradas.</w:t>
      </w:r>
    </w:p>
    <w:p w14:paraId="1DF6C823" w14:textId="77777777" w:rsidR="00C20FBE" w:rsidRPr="00C20FBE" w:rsidRDefault="00C20FBE" w:rsidP="00C20FBE">
      <w:pPr>
        <w:pStyle w:val="Prrafocomn"/>
        <w:rPr>
          <w:lang w:val="pt-BR" w:bidi="pt-PT"/>
        </w:rPr>
      </w:pPr>
      <w:r w:rsidRPr="00C20FBE">
        <w:rPr>
          <w:lang w:val="pt-BR" w:bidi="pt-PT"/>
        </w:rPr>
        <w:tab/>
        <w:t>Oposto a classe 1, o conteúdo dominante na classe 2 está relacionado as dificuldades de se ter uma velhice tranquila, uma vez que são apontadas: a necessidade de companhia, as alterações físicas do corpo, alterações da mente, custos de manutenção de vida altos para essa população, o dinheiro como essencial para qualidade de vida e o risco de solidão. Ademais, também se verificou uma resposta referente à crença de que LGBT não são de Deus e isso os impede de terem uma velhice digna. Com efeito, os discursos abaixo majoritariamente defendem que não há condições de uma velhice tranquila para a população LGBT, ao expressarem:</w:t>
      </w:r>
    </w:p>
    <w:p w14:paraId="1F68AA74" w14:textId="77777777" w:rsidR="00C20FBE" w:rsidRPr="00C20FBE" w:rsidRDefault="00C20FBE" w:rsidP="00C20FBE">
      <w:pPr>
        <w:pStyle w:val="Prrafocomn"/>
        <w:rPr>
          <w:lang w:val="pt-BR" w:bidi="pt-PT"/>
        </w:rPr>
      </w:pPr>
      <w:r w:rsidRPr="00C20FBE">
        <w:rPr>
          <w:i/>
          <w:iCs/>
          <w:lang w:val="pt-BR" w:bidi="pt-PT"/>
        </w:rPr>
        <w:t>“Não acredito, porque são idosos, a mente fica mais fraca, mais frágil. Para eles conseguirem um parceiro vão ter que arcar com as despesas, com outras coisas com dinheiro, vão ter que suprir a necessidade daquela pessoa”</w:t>
      </w:r>
      <w:r w:rsidRPr="00C20FBE">
        <w:rPr>
          <w:lang w:val="pt-BR" w:bidi="pt-PT"/>
        </w:rPr>
        <w:t xml:space="preserve"> (Participante 4, masculino</w:t>
      </w:r>
      <w:bookmarkStart w:id="3" w:name="_Hlk78912219"/>
      <w:r w:rsidRPr="00C20FBE">
        <w:rPr>
          <w:lang w:val="pt-BR" w:bidi="pt-PT"/>
        </w:rPr>
        <w:t>, 32 anos, heterossexual, espírita, com ensino médio</w:t>
      </w:r>
      <w:bookmarkEnd w:id="3"/>
      <w:r w:rsidRPr="00C20FBE">
        <w:rPr>
          <w:lang w:val="pt-BR" w:bidi="pt-PT"/>
        </w:rPr>
        <w:t>).</w:t>
      </w:r>
    </w:p>
    <w:p w14:paraId="0D5FDF6A" w14:textId="77777777" w:rsidR="00C20FBE" w:rsidRPr="00C20FBE" w:rsidRDefault="00C20FBE" w:rsidP="00C20FBE">
      <w:pPr>
        <w:pStyle w:val="Prrafocomn"/>
        <w:rPr>
          <w:lang w:val="pt-BR" w:bidi="pt-PT"/>
        </w:rPr>
      </w:pPr>
      <w:r w:rsidRPr="00C20FBE">
        <w:rPr>
          <w:i/>
          <w:iCs/>
          <w:lang w:val="pt-BR" w:bidi="pt-PT"/>
        </w:rPr>
        <w:t>“Acredito que se não for através do dinheiro, eles não conseguem</w:t>
      </w:r>
      <w:r w:rsidRPr="00C20FBE">
        <w:rPr>
          <w:lang w:val="pt-BR" w:bidi="pt-PT"/>
        </w:rPr>
        <w:t>” (Participante 5, masculino, 32 anos, heterossexual, espírita, com ensino médio).</w:t>
      </w:r>
    </w:p>
    <w:p w14:paraId="320A8C9F" w14:textId="77777777" w:rsidR="00C20FBE" w:rsidRPr="00C20FBE" w:rsidRDefault="00C20FBE" w:rsidP="00C20FBE">
      <w:pPr>
        <w:pStyle w:val="Prrafocomn"/>
        <w:rPr>
          <w:lang w:val="pt-BR" w:bidi="pt-PT"/>
        </w:rPr>
      </w:pPr>
      <w:r w:rsidRPr="00C20FBE">
        <w:rPr>
          <w:i/>
          <w:iCs/>
          <w:lang w:val="pt-BR" w:bidi="pt-PT"/>
        </w:rPr>
        <w:t>“Não, porque sempre precisam de cuidados e ter uma pessoa ao lado para ajudar”</w:t>
      </w:r>
      <w:r w:rsidRPr="00C20FBE">
        <w:rPr>
          <w:lang w:val="pt-BR" w:bidi="pt-PT"/>
        </w:rPr>
        <w:t xml:space="preserve"> (Participante 6, feminino, 21 anos, homossexual, católica, com ensino fundamental).</w:t>
      </w:r>
    </w:p>
    <w:p w14:paraId="59C1828E" w14:textId="77777777" w:rsidR="00C20FBE" w:rsidRPr="00C20FBE" w:rsidRDefault="00C20FBE" w:rsidP="00C20FBE">
      <w:pPr>
        <w:pStyle w:val="Prrafocomn"/>
        <w:rPr>
          <w:lang w:val="pt-BR" w:bidi="pt-PT"/>
        </w:rPr>
      </w:pPr>
      <w:r w:rsidRPr="00C20FBE">
        <w:rPr>
          <w:i/>
          <w:iCs/>
          <w:lang w:val="pt-BR" w:bidi="pt-PT"/>
        </w:rPr>
        <w:lastRenderedPageBreak/>
        <w:t xml:space="preserve">“Não, porque eles não têm o perdão de Deus” </w:t>
      </w:r>
      <w:r w:rsidRPr="00C20FBE">
        <w:rPr>
          <w:lang w:val="pt-BR" w:bidi="pt-PT"/>
        </w:rPr>
        <w:t>(Participante 1, feminino, 46 anos, heterossexual, evangélica, com ensino fundamental).</w:t>
      </w:r>
    </w:p>
    <w:p w14:paraId="6FBA76C5" w14:textId="77777777" w:rsidR="00C20FBE" w:rsidRPr="00C20FBE" w:rsidRDefault="00C20FBE" w:rsidP="00C20FBE">
      <w:pPr>
        <w:pStyle w:val="Prrafocomn"/>
        <w:rPr>
          <w:lang w:val="pt-BR" w:bidi="pt-PT"/>
        </w:rPr>
      </w:pPr>
      <w:r w:rsidRPr="00C20FBE">
        <w:rPr>
          <w:lang w:val="pt-BR" w:bidi="pt-PT"/>
        </w:rPr>
        <w:t>Ao comparar as respostas, percebe-se que as RS do público masculino estão voltadas para condições e papéis patriarcais da sociedade, como a necessidade de dinheiro para obter qualidade de vida, a responsabilidade de suprir as demandas do lar e do parceiro (a), enquanto as respostas das mulheres estão direcionadas para crenças e valores sociais, como a necessidade de ter alguém para cuidar e a relação de que ser LGBT é um pecado imperdoável por Deus.</w:t>
      </w:r>
    </w:p>
    <w:p w14:paraId="365DC8A0" w14:textId="49DB1E33" w:rsidR="00C20FBE" w:rsidRPr="00C20FBE" w:rsidRDefault="00C20FBE" w:rsidP="00C20FBE">
      <w:pPr>
        <w:pStyle w:val="SubtituloInterno"/>
        <w:rPr>
          <w:lang w:val="pt-BR" w:bidi="pt-PT"/>
        </w:rPr>
      </w:pPr>
      <w:r w:rsidRPr="00C20FBE">
        <w:rPr>
          <w:lang w:val="pt-BR" w:bidi="pt-PT"/>
        </w:rPr>
        <w:t>Movimento LGBT como oposto à velhice tranquila (Classe 3)</w:t>
      </w:r>
      <w:r>
        <w:rPr>
          <w:lang w:val="pt-BR" w:bidi="pt-PT"/>
        </w:rPr>
        <w:tab/>
      </w:r>
      <w:r>
        <w:rPr>
          <w:lang w:val="pt-BR" w:bidi="pt-PT"/>
        </w:rPr>
        <w:tab/>
        <w:t xml:space="preserve">            </w:t>
      </w:r>
      <w:r w:rsidRPr="00C20FBE">
        <w:rPr>
          <w:lang w:val="pt-BR" w:bidi="pt-PT"/>
        </w:rPr>
        <w:t>Classe 3: Representação sobre LGBT e velhice tranquila</w:t>
      </w:r>
    </w:p>
    <w:p w14:paraId="46E6669C" w14:textId="77777777" w:rsidR="00C20FBE" w:rsidRPr="00C20FBE" w:rsidRDefault="00C20FBE" w:rsidP="00C20FBE">
      <w:pPr>
        <w:pStyle w:val="Prrafocomn"/>
        <w:rPr>
          <w:i/>
          <w:iCs/>
          <w:lang w:val="pt-BR" w:bidi="pt-PT"/>
        </w:rPr>
      </w:pPr>
      <w:r w:rsidRPr="00C20FBE">
        <w:rPr>
          <w:lang w:val="pt-BR" w:bidi="pt-PT"/>
        </w:rPr>
        <w:t xml:space="preserve">A classe 3 fora composta por participantes de ambos os sexos, sendo a maioria homens, com idades entre 21 a 41 anos, de orientação heterossexual e predominância da religião evangélica. Com alto poder explicativo, a representatividade dessa classe se dá por meio de 8 UCEs que equivalem a 30.77% das representações encontradas na análise semântica. Logo, as palavras que alcançaram maior associação com a classe foram: </w:t>
      </w:r>
      <w:r w:rsidRPr="00C20FBE">
        <w:rPr>
          <w:i/>
          <w:iCs/>
          <w:lang w:val="pt-BR" w:bidi="pt-PT"/>
        </w:rPr>
        <w:t>tranquilo, viver, vida, uma, ele, poder, por.</w:t>
      </w:r>
    </w:p>
    <w:p w14:paraId="0FFB4943" w14:textId="77777777" w:rsidR="00C20FBE" w:rsidRPr="00C20FBE" w:rsidRDefault="00C20FBE" w:rsidP="00C20FBE">
      <w:pPr>
        <w:pStyle w:val="Prrafocomn"/>
        <w:rPr>
          <w:lang w:val="pt-BR" w:bidi="pt-PT"/>
        </w:rPr>
      </w:pPr>
      <w:r w:rsidRPr="00C20FBE">
        <w:rPr>
          <w:i/>
          <w:iCs/>
          <w:lang w:val="pt-BR" w:bidi="pt-PT"/>
        </w:rPr>
        <w:t xml:space="preserve">“O preconceito sempre vai existir. Eu acho que pode sim, porque não? Eu acho que, por exemplo, sou um presidiário então eu vou procurar tudo para viver uma vida tranquila. Assim também é com eles” </w:t>
      </w:r>
      <w:r w:rsidRPr="00C20FBE">
        <w:rPr>
          <w:lang w:val="pt-BR" w:bidi="pt-PT"/>
        </w:rPr>
        <w:t>(Participante 6, masculino, 33 anos, heterossexual, sem religião).</w:t>
      </w:r>
    </w:p>
    <w:p w14:paraId="363659F8" w14:textId="77777777" w:rsidR="00C20FBE" w:rsidRPr="00C20FBE" w:rsidRDefault="00C20FBE" w:rsidP="00C20FBE">
      <w:pPr>
        <w:pStyle w:val="Prrafocomn"/>
        <w:rPr>
          <w:lang w:val="pt-BR" w:bidi="pt-PT"/>
        </w:rPr>
      </w:pPr>
      <w:r w:rsidRPr="00C20FBE">
        <w:rPr>
          <w:i/>
          <w:iCs/>
          <w:lang w:val="pt-BR" w:bidi="pt-PT"/>
        </w:rPr>
        <w:t xml:space="preserve">“Não. Dá forma que eles vivem é uma escravidão, não tem como viver tranquilo, o sentimento se torna mais forte do que eles” </w:t>
      </w:r>
      <w:r w:rsidRPr="00C20FBE">
        <w:rPr>
          <w:lang w:val="pt-BR" w:bidi="pt-PT"/>
        </w:rPr>
        <w:t>(Participante 9, masculino, 29 anos, heterossexual, evangélico).</w:t>
      </w:r>
    </w:p>
    <w:p w14:paraId="5E2655A2" w14:textId="77777777" w:rsidR="00C20FBE" w:rsidRPr="00C20FBE" w:rsidRDefault="00C20FBE" w:rsidP="00C20FBE">
      <w:pPr>
        <w:pStyle w:val="Prrafocomn"/>
        <w:rPr>
          <w:lang w:val="pt-BR" w:bidi="pt-PT"/>
        </w:rPr>
      </w:pPr>
      <w:r w:rsidRPr="00C20FBE">
        <w:rPr>
          <w:i/>
          <w:iCs/>
          <w:lang w:val="pt-BR" w:bidi="pt-PT"/>
        </w:rPr>
        <w:t>“Não. Acredito que vem muita perseguição por conta do preconceito que eles sofrem no dia a dia e faz com que eles sofram e não seja uma vida tranquila”</w:t>
      </w:r>
      <w:r w:rsidRPr="00C20FBE">
        <w:rPr>
          <w:lang w:val="pt-BR" w:bidi="pt-PT"/>
        </w:rPr>
        <w:t xml:space="preserve"> (Participante 11, masculino, 29 anos, heterossexual, evangélico).</w:t>
      </w:r>
    </w:p>
    <w:p w14:paraId="7FB0202F" w14:textId="77777777" w:rsidR="00C20FBE" w:rsidRPr="00C20FBE" w:rsidRDefault="00C20FBE" w:rsidP="00C20FBE">
      <w:pPr>
        <w:pStyle w:val="Prrafocomn"/>
        <w:rPr>
          <w:lang w:val="pt-BR" w:bidi="pt-PT"/>
        </w:rPr>
      </w:pPr>
      <w:r w:rsidRPr="00C20FBE">
        <w:rPr>
          <w:i/>
          <w:iCs/>
          <w:lang w:val="pt-BR" w:bidi="pt-PT"/>
        </w:rPr>
        <w:t>“Sim. Ele bota na mente dele que já viveu bastante, mas a velhice não é o fim. Enquanto há vida, há esperança, e assim ele segue, assim, em frente”</w:t>
      </w:r>
      <w:r w:rsidRPr="00C20FBE">
        <w:rPr>
          <w:lang w:val="pt-BR" w:bidi="pt-PT"/>
        </w:rPr>
        <w:t xml:space="preserve"> (Participante 2, masculino, 27 anos, heterossexual, católico).</w:t>
      </w:r>
    </w:p>
    <w:p w14:paraId="22CFA057" w14:textId="77777777" w:rsidR="00C20FBE" w:rsidRPr="00C20FBE" w:rsidRDefault="00C20FBE" w:rsidP="00C20FBE">
      <w:pPr>
        <w:pStyle w:val="Prrafocomn"/>
        <w:rPr>
          <w:lang w:val="pt-BR" w:bidi="pt-PT"/>
        </w:rPr>
      </w:pPr>
      <w:r w:rsidRPr="00C20FBE">
        <w:rPr>
          <w:i/>
          <w:iCs/>
          <w:lang w:val="pt-BR" w:bidi="pt-PT"/>
        </w:rPr>
        <w:t xml:space="preserve">“Não estou dizendo que sou preconceituoso, mas é o que eles vivem, é o que se deparam no dia a dia, no convívio social. Nem todo mundo vê com bons olhos, ainda </w:t>
      </w:r>
      <w:r w:rsidRPr="00C20FBE">
        <w:rPr>
          <w:i/>
          <w:iCs/>
          <w:lang w:val="pt-BR" w:bidi="pt-PT"/>
        </w:rPr>
        <w:lastRenderedPageBreak/>
        <w:t>mais por ser idoso acredito que o preconceito seja mais forte”</w:t>
      </w:r>
      <w:r w:rsidRPr="00C20FBE">
        <w:rPr>
          <w:lang w:val="pt-BR" w:bidi="pt-PT"/>
        </w:rPr>
        <w:t xml:space="preserve"> (Participante 14, masculino, 41 anos, heterossexual, evangélico).</w:t>
      </w:r>
    </w:p>
    <w:p w14:paraId="1246E76D" w14:textId="77777777" w:rsidR="00C20FBE" w:rsidRPr="00C20FBE" w:rsidRDefault="00C20FBE" w:rsidP="00C20FBE">
      <w:pPr>
        <w:pStyle w:val="Prrafocomn"/>
        <w:rPr>
          <w:lang w:val="pt-BR" w:bidi="pt-PT"/>
        </w:rPr>
      </w:pPr>
      <w:r w:rsidRPr="00C20FBE">
        <w:rPr>
          <w:i/>
          <w:iCs/>
          <w:lang w:val="pt-BR" w:bidi="pt-PT"/>
        </w:rPr>
        <w:t>“Não, pois esse movimento de diversidade LGBT requer uma vida de baladas, de saídas, mesmo que a pessoa seja de casa, mas ela tem que se movimentar, tem que sair”</w:t>
      </w:r>
      <w:r w:rsidRPr="00C20FBE">
        <w:rPr>
          <w:lang w:val="pt-BR" w:bidi="pt-PT"/>
        </w:rPr>
        <w:t xml:space="preserve"> (Participante 7, masculino, 31 anos, heterossexual, evangélico).</w:t>
      </w:r>
    </w:p>
    <w:p w14:paraId="25384AC0" w14:textId="2342BB5D" w:rsidR="00C20FBE" w:rsidRPr="00C20FBE" w:rsidRDefault="00C20FBE" w:rsidP="00C20FBE">
      <w:pPr>
        <w:pStyle w:val="Prrafocomn"/>
        <w:rPr>
          <w:lang w:val="pt-BR" w:bidi="pt-PT"/>
        </w:rPr>
      </w:pPr>
      <w:r w:rsidRPr="00C20FBE">
        <w:rPr>
          <w:lang w:val="pt-BR" w:bidi="pt-PT"/>
        </w:rPr>
        <w:t>Desse modo, percebe-se que a classe 3 apresenta maior nível de representatividade com 8/26 (30.77%) ST, seguida da classe 2 com 7/26 (26.92%) ST. Também se verificou que ambas as classes abordam representações sobre o estilo de vida de idosos LGBT e condições necessárias para se vivenciar uma velhice tranquila.</w:t>
      </w:r>
    </w:p>
    <w:p w14:paraId="3C1D8141" w14:textId="12F5B53B" w:rsidR="009B3E5E" w:rsidRPr="002D5827" w:rsidRDefault="002D5827" w:rsidP="00F42476">
      <w:pPr>
        <w:pStyle w:val="Ttulosinternos"/>
      </w:pPr>
      <w:r w:rsidRPr="002D5827">
        <w:t>Discussão</w:t>
      </w:r>
    </w:p>
    <w:p w14:paraId="557039C2" w14:textId="77777777" w:rsidR="003268F9" w:rsidRPr="003268F9" w:rsidRDefault="003268F9" w:rsidP="003268F9">
      <w:pPr>
        <w:pStyle w:val="Prrafocomn"/>
        <w:rPr>
          <w:bCs/>
          <w:lang w:val="pt-BR" w:bidi="pt-PT"/>
        </w:rPr>
      </w:pPr>
      <w:r w:rsidRPr="003268F9">
        <w:rPr>
          <w:bCs/>
          <w:lang w:val="pt-BR" w:bidi="pt-PT"/>
        </w:rPr>
        <w:t>Abordar as representações sociais de pessoas em privação de liberdade por meio da Teoria das Representações Sociais, em contexto de pandemia, possibilitou o diálogo comparativo sobre a velhice LGBT vista do cárcere de mulheres e homens brasileiros. Ressalta-se que o foco deste estudo se deu em conhecer as divergências e semelhanças nas representações expostas pelos participantes, visto que apesar de ambos viverem reclusos da sociedade, apresentam experiências e vivências subjetivas ao ambiente prisional, do grupo social e da realidade de vida de cada sujeito. Desse modo, buscou-se dar voz para essa população expressar sua forma de ver o mundo, enquanto obtinha-se conhecimento sobre as representações frente a velhice LGBT.</w:t>
      </w:r>
    </w:p>
    <w:p w14:paraId="4D649A0C" w14:textId="77777777" w:rsidR="003268F9" w:rsidRPr="003268F9" w:rsidRDefault="003268F9" w:rsidP="003268F9">
      <w:pPr>
        <w:pStyle w:val="Prrafocomn"/>
        <w:rPr>
          <w:bCs/>
          <w:lang w:val="pt-BR" w:bidi="pt-PT"/>
        </w:rPr>
      </w:pPr>
      <w:r w:rsidRPr="003268F9">
        <w:rPr>
          <w:bCs/>
          <w:lang w:val="pt-BR" w:bidi="pt-PT"/>
        </w:rPr>
        <w:t xml:space="preserve">Todavia, neste estudo os participantes não apresentaram o fator pandêmico como preocupação central da vida no ambiente carcerário. Acredita-se que isso ocorre por conta das demandas naturais desses espaços, sob as quais lida-se diariamente e que acomete a todos os sujeitos em privação de liberdade. </w:t>
      </w:r>
    </w:p>
    <w:p w14:paraId="27769EA5" w14:textId="77777777" w:rsidR="003268F9" w:rsidRPr="003268F9" w:rsidRDefault="003268F9" w:rsidP="003268F9">
      <w:pPr>
        <w:pStyle w:val="Prrafocomn"/>
        <w:rPr>
          <w:bCs/>
          <w:lang w:val="pt-BR" w:bidi="pt-PT"/>
        </w:rPr>
      </w:pPr>
      <w:r w:rsidRPr="003268F9">
        <w:rPr>
          <w:bCs/>
          <w:lang w:val="pt-BR" w:bidi="pt-PT"/>
        </w:rPr>
        <w:t>Este estudo buscou versar sobre três temáticas essenciais: pessoas em privação de liberdade, velhice LGBT e pandemia da covid-19. No entanto, percebe-se que articular os desafios que perpassam cada uma desses aspectos, suas fraquezas e fortalezas, os pontos frágeis e seguros, que tornam seus envolvidos extremamente vulnerais a aspectos psicossociais não é uma tarefa fácil, e exige mais estudos com maior número de participantes e em outras regiões do Brasil.</w:t>
      </w:r>
    </w:p>
    <w:p w14:paraId="0CB0E315" w14:textId="77777777" w:rsidR="003268F9" w:rsidRPr="003268F9" w:rsidRDefault="003268F9" w:rsidP="003268F9">
      <w:pPr>
        <w:pStyle w:val="Prrafocomn"/>
        <w:rPr>
          <w:bCs/>
          <w:lang w:val="pt-BR" w:bidi="pt-PT"/>
        </w:rPr>
      </w:pPr>
      <w:r w:rsidRPr="003268F9">
        <w:rPr>
          <w:bCs/>
          <w:lang w:val="pt-BR" w:bidi="pt-PT"/>
        </w:rPr>
        <w:t xml:space="preserve">Ressalta-se que embora a velhice LGBT e pessoas em privação de liberdade não sejam eventos inéditos, são poucos os estudos que se preocupam em conhecer e contribuir para o bem-estar desses indivíduos, uma vez que ainda há resistência por grande parte da </w:t>
      </w:r>
      <w:r w:rsidRPr="003268F9">
        <w:rPr>
          <w:bCs/>
          <w:lang w:val="pt-BR" w:bidi="pt-PT"/>
        </w:rPr>
        <w:lastRenderedPageBreak/>
        <w:t>sociedade heteronormativa e religiosa em aceitar concepções diferentes das suas doutrinas, o que fomenta na rejeição e exclusão de ambas populações.</w:t>
      </w:r>
    </w:p>
    <w:p w14:paraId="226E618C" w14:textId="79044683" w:rsidR="003E15C2" w:rsidRPr="00750D6C" w:rsidRDefault="003268F9" w:rsidP="003268F9">
      <w:pPr>
        <w:pStyle w:val="Prrafocomn"/>
        <w:rPr>
          <w:bCs/>
          <w:lang w:val="pt-PT"/>
        </w:rPr>
      </w:pPr>
      <w:r w:rsidRPr="003268F9">
        <w:rPr>
          <w:bCs/>
          <w:lang w:val="pt-BR" w:bidi="pt-PT"/>
        </w:rPr>
        <w:t>Dessa forma, direcionar as pesquisas sociais para populações vulneráveis deve ser visto como uma necessidade nos núcleos de pesquisas brasileiros, principalmente os psicológicos, visto que essa área tende a sofrer grande impacto com as mudanças de cenário e suas devidas afetações, a exemplo da pandemia da covid-19, que diante das incertezas de um futuro, tem assombrado e impactado na forma da sociedade em cárcere de pensar sobre o envelhecimento.</w:t>
      </w:r>
    </w:p>
    <w:p w14:paraId="01C54B13" w14:textId="77777777" w:rsidR="003A1180" w:rsidRPr="000B6BFA" w:rsidRDefault="003A1180" w:rsidP="000B6BFA">
      <w:pPr>
        <w:pStyle w:val="Prrafocomn"/>
        <w:ind w:firstLine="0"/>
        <w:rPr>
          <w:lang w:val="pt-BR"/>
        </w:rPr>
      </w:pPr>
      <w:r w:rsidRPr="000B6BFA">
        <w:rPr>
          <w:lang w:val="pt-BR" w:eastAsia="en-US"/>
        </w:rPr>
        <w:br w:type="page"/>
      </w:r>
    </w:p>
    <w:p w14:paraId="66876945" w14:textId="3DCF36F5" w:rsidR="003A1180" w:rsidRPr="006D014C" w:rsidRDefault="00F42476" w:rsidP="00F42476">
      <w:pPr>
        <w:pStyle w:val="Ttulosinternos"/>
      </w:pPr>
      <w:r w:rsidRPr="006D014C">
        <w:lastRenderedPageBreak/>
        <w:t>Referências</w:t>
      </w:r>
    </w:p>
    <w:p w14:paraId="75649172" w14:textId="77777777" w:rsidR="003268F9" w:rsidRPr="003268F9" w:rsidRDefault="003268F9" w:rsidP="003268F9">
      <w:pPr>
        <w:pStyle w:val="Referencias"/>
        <w:spacing w:line="360" w:lineRule="auto"/>
        <w:rPr>
          <w:bCs/>
          <w:lang w:val="pt-BR"/>
        </w:rPr>
      </w:pPr>
      <w:r w:rsidRPr="003268F9">
        <w:rPr>
          <w:bCs/>
          <w:lang w:val="pt-BR"/>
        </w:rPr>
        <w:t xml:space="preserve">Alves, M. E. S., &amp; Araújo, L. F. (2020). Interseccionalidade, Raça e Sexualidade: Compreensões Para a Velhice de Negros LGBTI+. </w:t>
      </w:r>
      <w:r w:rsidRPr="003268F9">
        <w:rPr>
          <w:bCs/>
          <w:i/>
          <w:lang w:val="pt-BR"/>
        </w:rPr>
        <w:t>Revista de Psicologia da IMED, 12</w:t>
      </w:r>
      <w:r w:rsidRPr="003268F9">
        <w:rPr>
          <w:bCs/>
          <w:lang w:val="pt-BR"/>
        </w:rPr>
        <w:t xml:space="preserve">(2), 161-178. </w:t>
      </w:r>
      <w:hyperlink r:id="rId24" w:history="1">
        <w:r w:rsidRPr="003268F9">
          <w:rPr>
            <w:rStyle w:val="Hipervnculo"/>
            <w:bCs/>
            <w:lang w:val="pt-BR"/>
          </w:rPr>
          <w:t>https://doi.org/10.18256/2175-5027.2020.v12i2.3517</w:t>
        </w:r>
      </w:hyperlink>
    </w:p>
    <w:p w14:paraId="02C640AB" w14:textId="5F024AB9" w:rsidR="003268F9" w:rsidRPr="003268F9" w:rsidRDefault="003268F9" w:rsidP="003268F9">
      <w:pPr>
        <w:pStyle w:val="Referencias"/>
        <w:spacing w:line="360" w:lineRule="auto"/>
        <w:rPr>
          <w:lang w:val="pt-BR"/>
        </w:rPr>
      </w:pPr>
      <w:r w:rsidRPr="003268F9">
        <w:rPr>
          <w:lang w:val="pt-BR"/>
        </w:rPr>
        <w:t>Araújo, L. F. (2022). Desafios da Gerontologia frente à velhice LGBT: aspectos psicossociais. In: E</w:t>
      </w:r>
      <w:r w:rsidR="00F26E2C">
        <w:rPr>
          <w:lang w:val="pt-BR"/>
        </w:rPr>
        <w:t>.</w:t>
      </w:r>
      <w:r w:rsidRPr="003268F9">
        <w:rPr>
          <w:lang w:val="pt-BR"/>
        </w:rPr>
        <w:t xml:space="preserve"> V</w:t>
      </w:r>
      <w:r w:rsidR="00F26E2C">
        <w:rPr>
          <w:lang w:val="pt-BR"/>
        </w:rPr>
        <w:t>.</w:t>
      </w:r>
      <w:r w:rsidRPr="003268F9">
        <w:rPr>
          <w:lang w:val="pt-BR"/>
        </w:rPr>
        <w:t xml:space="preserve"> de Freitas</w:t>
      </w:r>
      <w:r w:rsidR="00F26E2C">
        <w:rPr>
          <w:lang w:val="pt-BR"/>
        </w:rPr>
        <w:t xml:space="preserve"> e</w:t>
      </w:r>
      <w:r w:rsidRPr="003268F9">
        <w:rPr>
          <w:lang w:val="pt-BR"/>
        </w:rPr>
        <w:t xml:space="preserve"> L</w:t>
      </w:r>
      <w:r w:rsidR="00F26E2C">
        <w:rPr>
          <w:lang w:val="pt-BR"/>
        </w:rPr>
        <w:t>.</w:t>
      </w:r>
      <w:r w:rsidRPr="003268F9">
        <w:rPr>
          <w:lang w:val="pt-BR"/>
        </w:rPr>
        <w:t xml:space="preserve"> Py. (Org.). </w:t>
      </w:r>
      <w:r w:rsidRPr="003268F9">
        <w:rPr>
          <w:i/>
          <w:lang w:val="pt-BR"/>
        </w:rPr>
        <w:t>Tratado de Geriatria e Gerontologia</w:t>
      </w:r>
      <w:r w:rsidR="00F26E2C">
        <w:rPr>
          <w:i/>
          <w:lang w:val="pt-BR"/>
        </w:rPr>
        <w:t xml:space="preserve"> </w:t>
      </w:r>
      <w:r w:rsidR="00F26E2C" w:rsidRPr="00F26E2C">
        <w:rPr>
          <w:iCs/>
          <w:lang w:val="pt-BR"/>
        </w:rPr>
        <w:t>(</w:t>
      </w:r>
      <w:r w:rsidR="00F26E2C" w:rsidRPr="003268F9">
        <w:rPr>
          <w:lang w:val="pt-BR"/>
        </w:rPr>
        <w:t>p</w:t>
      </w:r>
      <w:r w:rsidR="00F26E2C">
        <w:rPr>
          <w:lang w:val="pt-BR"/>
        </w:rPr>
        <w:t>p</w:t>
      </w:r>
      <w:r w:rsidR="00F26E2C" w:rsidRPr="003268F9">
        <w:rPr>
          <w:lang w:val="pt-BR"/>
        </w:rPr>
        <w:t>. 1331-1335</w:t>
      </w:r>
      <w:r w:rsidR="00F26E2C" w:rsidRPr="00F26E2C">
        <w:rPr>
          <w:iCs/>
          <w:lang w:val="pt-BR"/>
        </w:rPr>
        <w:t>)</w:t>
      </w:r>
      <w:r w:rsidRPr="003268F9">
        <w:rPr>
          <w:i/>
          <w:lang w:val="pt-BR"/>
        </w:rPr>
        <w:t>.</w:t>
      </w:r>
      <w:r w:rsidRPr="003268F9">
        <w:rPr>
          <w:lang w:val="pt-BR"/>
        </w:rPr>
        <w:t xml:space="preserve"> 5ed. Guanabara Koogan</w:t>
      </w:r>
      <w:r w:rsidR="00F26E2C">
        <w:rPr>
          <w:lang w:val="pt-BR"/>
        </w:rPr>
        <w:t>.</w:t>
      </w:r>
    </w:p>
    <w:p w14:paraId="0AAB9805" w14:textId="73E4A6F4" w:rsidR="003268F9" w:rsidRPr="003268F9" w:rsidRDefault="003268F9" w:rsidP="003268F9">
      <w:pPr>
        <w:pStyle w:val="Referencias"/>
        <w:spacing w:line="360" w:lineRule="auto"/>
        <w:rPr>
          <w:lang w:val="pt-BR"/>
        </w:rPr>
      </w:pPr>
      <w:r w:rsidRPr="003268F9">
        <w:rPr>
          <w:lang w:val="pt-BR"/>
        </w:rPr>
        <w:t xml:space="preserve">Borges, L. O., Barros, S. C., &amp; Leite, C. P. R. L. A. (2013). Ética na pesquisa em Psicologia: princípios, aplicações e contradições normativas. </w:t>
      </w:r>
      <w:r w:rsidRPr="003268F9">
        <w:rPr>
          <w:i/>
          <w:iCs/>
          <w:lang w:val="pt-BR"/>
        </w:rPr>
        <w:t>Psicologia: Ciência e Profissão, 33(1),</w:t>
      </w:r>
      <w:r w:rsidRPr="003268F9">
        <w:rPr>
          <w:lang w:val="pt-BR"/>
        </w:rPr>
        <w:t xml:space="preserve"> 146-161. </w:t>
      </w:r>
      <w:hyperlink r:id="rId25" w:history="1">
        <w:r w:rsidR="009972F5" w:rsidRPr="00EF534A">
          <w:rPr>
            <w:rStyle w:val="Hipervnculo"/>
            <w:lang w:val="pt-BR"/>
          </w:rPr>
          <w:t>http://dx.doi.org/</w:t>
        </w:r>
        <w:r w:rsidR="009972F5" w:rsidRPr="003268F9">
          <w:rPr>
            <w:rStyle w:val="Hipervnculo"/>
            <w:lang w:val="pt-BR"/>
          </w:rPr>
          <w:t>10.1590/S1414-98932013000100012</w:t>
        </w:r>
      </w:hyperlink>
      <w:r w:rsidR="009972F5">
        <w:rPr>
          <w:lang w:val="pt-BR"/>
        </w:rPr>
        <w:t xml:space="preserve"> </w:t>
      </w:r>
    </w:p>
    <w:p w14:paraId="73F3BEA0" w14:textId="2E3160A5" w:rsidR="003268F9" w:rsidRPr="003268F9" w:rsidRDefault="003268F9" w:rsidP="003268F9">
      <w:pPr>
        <w:pStyle w:val="Referencias"/>
        <w:spacing w:line="360" w:lineRule="auto"/>
        <w:rPr>
          <w:lang w:val="pt-BR"/>
        </w:rPr>
      </w:pPr>
      <w:r w:rsidRPr="003268F9">
        <w:rPr>
          <w:lang w:val="pt-BR"/>
        </w:rPr>
        <w:t xml:space="preserve">Debert, G. G. &amp; Henning, C. E. (2015). Velhice, gênero e sexualidade: revisando debates e apresentando tendências contemporâneas. </w:t>
      </w:r>
      <w:r w:rsidRPr="003268F9">
        <w:rPr>
          <w:i/>
          <w:iCs/>
          <w:lang w:val="pt-BR"/>
        </w:rPr>
        <w:t>Mais 60 – Estudos sobre Envelhecimento, 6(63), 8-31</w:t>
      </w:r>
      <w:r w:rsidRPr="003268F9">
        <w:rPr>
          <w:lang w:val="pt-BR"/>
        </w:rPr>
        <w:t xml:space="preserve">. </w:t>
      </w:r>
      <w:hyperlink r:id="rId26" w:history="1">
        <w:r w:rsidR="009972F5">
          <w:rPr>
            <w:rStyle w:val="Hipervnculo"/>
            <w:lang w:val="pt-BR"/>
          </w:rPr>
          <w:t>http://dx.doi.org/10.9788/TP2013.2-16</w:t>
        </w:r>
      </w:hyperlink>
    </w:p>
    <w:p w14:paraId="68E4E38B" w14:textId="77777777" w:rsidR="003268F9" w:rsidRPr="003268F9" w:rsidRDefault="003268F9" w:rsidP="003268F9">
      <w:pPr>
        <w:pStyle w:val="Referencias"/>
        <w:spacing w:line="360" w:lineRule="auto"/>
        <w:rPr>
          <w:lang w:val="pt-BR"/>
        </w:rPr>
      </w:pPr>
      <w:r w:rsidRPr="003268F9">
        <w:rPr>
          <w:lang w:val="pt-BR"/>
        </w:rPr>
        <w:t xml:space="preserve">Departamento Penitenciário Nacional (DEPEN, 2020). Levantamento Nacional de Informações Penitenciárias. Recuperado de: </w:t>
      </w:r>
      <w:hyperlink r:id="rId27" w:history="1">
        <w:r w:rsidRPr="003268F9">
          <w:rPr>
            <w:rStyle w:val="Hipervnculo"/>
            <w:lang w:val="pt-BR"/>
          </w:rPr>
          <w:t>https://www.gov.br/depen/pt-br/sisdepen</w:t>
        </w:r>
      </w:hyperlink>
      <w:r w:rsidRPr="003268F9">
        <w:rPr>
          <w:lang w:val="pt-BR"/>
        </w:rPr>
        <w:t>.</w:t>
      </w:r>
    </w:p>
    <w:p w14:paraId="2FFA3DEA" w14:textId="2791C7A2" w:rsidR="003268F9" w:rsidRPr="006D014C" w:rsidRDefault="003268F9" w:rsidP="003268F9">
      <w:pPr>
        <w:pStyle w:val="Referencias"/>
        <w:spacing w:line="360" w:lineRule="auto"/>
      </w:pPr>
      <w:r w:rsidRPr="003268F9">
        <w:rPr>
          <w:lang w:val="pt-BR"/>
        </w:rPr>
        <w:t xml:space="preserve">Fredriksen-Goldsen, K., Kim, H., Bryan, A., Shiu, C., Emlet, C. (2017). </w:t>
      </w:r>
      <w:r w:rsidRPr="003268F9">
        <w:t>"The cascading effects of marginalization and pathways of resilience in attaining good health among LGBT older adults". </w:t>
      </w:r>
      <w:r w:rsidRPr="006D014C">
        <w:rPr>
          <w:i/>
          <w:iCs/>
        </w:rPr>
        <w:t>The Gerontologist. 57</w:t>
      </w:r>
      <w:r w:rsidRPr="006D014C">
        <w:t xml:space="preserve"> (suppl_1), 72-83. </w:t>
      </w:r>
      <w:hyperlink r:id="rId28" w:history="1">
        <w:r w:rsidR="009972F5" w:rsidRPr="006D014C">
          <w:rPr>
            <w:rStyle w:val="Hipervnculo"/>
          </w:rPr>
          <w:t>https://doi.org/10.1093/geront/gnw170</w:t>
        </w:r>
      </w:hyperlink>
      <w:r w:rsidRPr="006D014C">
        <w:t>.</w:t>
      </w:r>
    </w:p>
    <w:p w14:paraId="2E25FB7F" w14:textId="12EF8CEB" w:rsidR="003268F9" w:rsidRPr="003268F9" w:rsidRDefault="003268F9" w:rsidP="003268F9">
      <w:pPr>
        <w:pStyle w:val="Referencias"/>
        <w:spacing w:line="360" w:lineRule="auto"/>
        <w:rPr>
          <w:lang w:val="pt-BR"/>
        </w:rPr>
      </w:pPr>
      <w:r w:rsidRPr="006D014C">
        <w:t xml:space="preserve">Ghiggi, M. P. (2018). </w:t>
      </w:r>
      <w:r w:rsidRPr="003268F9">
        <w:rPr>
          <w:lang w:val="pt-BR"/>
        </w:rPr>
        <w:t xml:space="preserve">Envelhecimento e cárcere: vulnerabilidade etária e políticas públicas. </w:t>
      </w:r>
      <w:r w:rsidRPr="003268F9">
        <w:rPr>
          <w:i/>
          <w:iCs/>
          <w:lang w:val="pt-BR"/>
        </w:rPr>
        <w:t>Revista Mais-60 Estudos sobre Envelhecimento, 29(71),</w:t>
      </w:r>
      <w:r w:rsidRPr="003268F9">
        <w:rPr>
          <w:lang w:val="pt-BR"/>
        </w:rPr>
        <w:t xml:space="preserve"> p.8-29. Recuperado de: </w:t>
      </w:r>
      <w:hyperlink r:id="rId29" w:history="1">
        <w:r w:rsidR="009972F5" w:rsidRPr="003268F9">
          <w:rPr>
            <w:rStyle w:val="Hipervnculo"/>
            <w:lang w:val="pt-BR"/>
          </w:rPr>
          <w:t>https://bibliotecadigital.mdh.gov.br/jspui/handle/192/1005</w:t>
        </w:r>
      </w:hyperlink>
      <w:r w:rsidR="009972F5">
        <w:rPr>
          <w:lang w:val="pt-BR"/>
        </w:rPr>
        <w:t xml:space="preserve"> </w:t>
      </w:r>
    </w:p>
    <w:p w14:paraId="022E078A" w14:textId="52755FDB" w:rsidR="003268F9" w:rsidRPr="003268F9" w:rsidRDefault="003268F9" w:rsidP="003268F9">
      <w:pPr>
        <w:pStyle w:val="Referencias"/>
        <w:spacing w:line="360" w:lineRule="auto"/>
        <w:rPr>
          <w:lang w:val="pt-BR"/>
        </w:rPr>
      </w:pPr>
      <w:r w:rsidRPr="003268F9">
        <w:rPr>
          <w:lang w:val="pt-BR"/>
        </w:rPr>
        <w:t xml:space="preserve">Henning, C. E. (2017). Gerontologia LGBT: velhice, gênero, sexualidade e a constituição dos “idosos LGBT”. </w:t>
      </w:r>
      <w:r w:rsidRPr="003268F9">
        <w:rPr>
          <w:i/>
          <w:iCs/>
          <w:lang w:val="pt-BR"/>
        </w:rPr>
        <w:t>Horizontes Antropológicos,</w:t>
      </w:r>
      <w:r w:rsidRPr="003268F9">
        <w:rPr>
          <w:lang w:val="pt-BR"/>
        </w:rPr>
        <w:t xml:space="preserve"> 23(47), 283-323. Disponível em: </w:t>
      </w:r>
      <w:hyperlink r:id="rId30" w:history="1">
        <w:r w:rsidR="009972F5" w:rsidRPr="00EF534A">
          <w:rPr>
            <w:rStyle w:val="Hipervnculo"/>
            <w:lang w:val="pt-BR"/>
          </w:rPr>
          <w:t>http://doi.org/</w:t>
        </w:r>
        <w:r w:rsidR="009972F5" w:rsidRPr="003268F9">
          <w:rPr>
            <w:rStyle w:val="Hipervnculo"/>
            <w:lang w:val="pt-BR"/>
          </w:rPr>
          <w:t>10.1590/S0104-71832017000100010</w:t>
        </w:r>
      </w:hyperlink>
      <w:r w:rsidR="009972F5">
        <w:rPr>
          <w:lang w:val="pt-BR"/>
        </w:rPr>
        <w:t xml:space="preserve"> </w:t>
      </w:r>
    </w:p>
    <w:p w14:paraId="3AE3E8CA" w14:textId="64A507E0" w:rsidR="003268F9" w:rsidRPr="003268F9" w:rsidRDefault="003268F9" w:rsidP="003268F9">
      <w:pPr>
        <w:pStyle w:val="Referencias"/>
        <w:spacing w:line="360" w:lineRule="auto"/>
        <w:rPr>
          <w:lang w:val="pt-BR"/>
        </w:rPr>
      </w:pPr>
      <w:r w:rsidRPr="003268F9">
        <w:rPr>
          <w:lang w:val="pt-BR"/>
        </w:rPr>
        <w:t>IBGE</w:t>
      </w:r>
      <w:r w:rsidR="009972F5">
        <w:rPr>
          <w:lang w:val="pt-BR"/>
        </w:rPr>
        <w:t xml:space="preserve"> (2019)</w:t>
      </w:r>
      <w:r w:rsidRPr="003268F9">
        <w:rPr>
          <w:lang w:val="pt-BR"/>
        </w:rPr>
        <w:t xml:space="preserve"> Tábua completa de mortalidade para o Brasil – 2018: </w:t>
      </w:r>
      <w:r w:rsidRPr="003268F9">
        <w:rPr>
          <w:i/>
          <w:iCs/>
          <w:lang w:val="pt-BR"/>
        </w:rPr>
        <w:t>Breve análise da evolução da mortalidade no Brasil.</w:t>
      </w:r>
      <w:r w:rsidRPr="003268F9">
        <w:rPr>
          <w:lang w:val="pt-BR"/>
        </w:rPr>
        <w:t xml:space="preserve"> IBGE.</w:t>
      </w:r>
    </w:p>
    <w:p w14:paraId="546654F1" w14:textId="6D2A0BEC" w:rsidR="003268F9" w:rsidRPr="003268F9" w:rsidRDefault="003268F9" w:rsidP="003268F9">
      <w:pPr>
        <w:pStyle w:val="Referencias"/>
        <w:spacing w:line="360" w:lineRule="auto"/>
        <w:rPr>
          <w:lang w:val="pt-BR"/>
        </w:rPr>
      </w:pPr>
      <w:r w:rsidRPr="003268F9">
        <w:rPr>
          <w:lang w:val="pt-BR"/>
        </w:rPr>
        <w:t>Jesus, L., Santos, J., Fernandes, L., Salgado, A., Fonseca, L. (2019). "Representações sociais da velhice LGBT entre os profissionais do Programa Estratégia da Família (PEF)". </w:t>
      </w:r>
      <w:r w:rsidRPr="003268F9">
        <w:rPr>
          <w:i/>
          <w:iCs/>
          <w:lang w:val="pt-BR"/>
        </w:rPr>
        <w:t>Summa Psicológica UST. 16</w:t>
      </w:r>
      <w:r w:rsidRPr="003268F9">
        <w:rPr>
          <w:lang w:val="pt-BR"/>
        </w:rPr>
        <w:t xml:space="preserve"> (1), 27-35. </w:t>
      </w:r>
      <w:hyperlink r:id="rId31" w:history="1">
        <w:r w:rsidR="009972F5">
          <w:rPr>
            <w:rStyle w:val="Hipervnculo"/>
            <w:lang w:val="pt-BR"/>
          </w:rPr>
          <w:t>http://doi.org/10.18774/0719-448x.2019.16.1.410</w:t>
        </w:r>
      </w:hyperlink>
      <w:r w:rsidRPr="003268F9">
        <w:rPr>
          <w:lang w:val="pt-BR"/>
        </w:rPr>
        <w:t>.</w:t>
      </w:r>
    </w:p>
    <w:p w14:paraId="74D57DEF" w14:textId="7BB4FC6C" w:rsidR="003268F9" w:rsidRPr="003268F9" w:rsidRDefault="003268F9" w:rsidP="003268F9">
      <w:pPr>
        <w:pStyle w:val="Referencias"/>
        <w:spacing w:line="360" w:lineRule="auto"/>
        <w:rPr>
          <w:lang w:val="pt-BR"/>
        </w:rPr>
      </w:pPr>
      <w:r w:rsidRPr="003268F9">
        <w:rPr>
          <w:lang w:val="pt-BR"/>
        </w:rPr>
        <w:lastRenderedPageBreak/>
        <w:t xml:space="preserve">Jodelet, D. (2018). Ciências sociais e representações: estudo dos fenômenos representativos e processos sociais, do local ao global. Sociedade e Estado, 33(2), 423-442. </w:t>
      </w:r>
      <w:hyperlink r:id="rId32" w:history="1">
        <w:r w:rsidR="009972F5" w:rsidRPr="00EF534A">
          <w:rPr>
            <w:rStyle w:val="Hipervnculo"/>
            <w:lang w:val="pt-BR"/>
          </w:rPr>
          <w:t>https://doi.org/</w:t>
        </w:r>
        <w:r w:rsidR="009972F5" w:rsidRPr="003268F9">
          <w:rPr>
            <w:rStyle w:val="Hipervnculo"/>
            <w:lang w:val="pt-BR"/>
          </w:rPr>
          <w:t>10.1590/s0102-699220183302007</w:t>
        </w:r>
      </w:hyperlink>
      <w:r w:rsidR="009972F5">
        <w:rPr>
          <w:lang w:val="pt-BR"/>
        </w:rPr>
        <w:t xml:space="preserve"> </w:t>
      </w:r>
    </w:p>
    <w:p w14:paraId="3D4D389A" w14:textId="6FCABD28" w:rsidR="003268F9" w:rsidRPr="003268F9" w:rsidRDefault="003268F9" w:rsidP="003268F9">
      <w:pPr>
        <w:pStyle w:val="Referencias"/>
        <w:spacing w:line="360" w:lineRule="auto"/>
        <w:rPr>
          <w:lang w:val="pt-BR"/>
        </w:rPr>
      </w:pPr>
      <w:r w:rsidRPr="003268F9">
        <w:rPr>
          <w:lang w:val="pt-BR"/>
        </w:rPr>
        <w:t>Lopes, A. M. S., Tedde, C., Gomes, M. F. P., Higa, E. de F. R., Marin, M. J. S., &amp; Lazarini, C. A. (2020). Idosos privados de liberdade: Expectativas sobre a vida após cumprimento da pena. </w:t>
      </w:r>
      <w:r w:rsidRPr="003268F9">
        <w:rPr>
          <w:i/>
          <w:iCs/>
          <w:lang w:val="pt-BR"/>
        </w:rPr>
        <w:t>New Trends in Qualitative Research</w:t>
      </w:r>
      <w:r w:rsidRPr="003268F9">
        <w:rPr>
          <w:lang w:val="pt-BR"/>
        </w:rPr>
        <w:t>, </w:t>
      </w:r>
      <w:r w:rsidRPr="003268F9">
        <w:rPr>
          <w:i/>
          <w:iCs/>
          <w:lang w:val="pt-BR"/>
        </w:rPr>
        <w:t>3</w:t>
      </w:r>
      <w:r w:rsidRPr="003268F9">
        <w:rPr>
          <w:lang w:val="pt-BR"/>
        </w:rPr>
        <w:t xml:space="preserve">, 411–422. </w:t>
      </w:r>
      <w:hyperlink r:id="rId33" w:history="1">
        <w:r w:rsidR="009972F5">
          <w:rPr>
            <w:rStyle w:val="Hipervnculo"/>
            <w:lang w:val="pt-BR"/>
          </w:rPr>
          <w:t>https://doi.org/10.36367/ntqr.3.2020.411-422</w:t>
        </w:r>
      </w:hyperlink>
      <w:r w:rsidRPr="003268F9">
        <w:rPr>
          <w:lang w:val="pt-BR"/>
        </w:rPr>
        <w:t>.</w:t>
      </w:r>
    </w:p>
    <w:p w14:paraId="568152AC" w14:textId="24F225F1" w:rsidR="003268F9" w:rsidRPr="003268F9" w:rsidRDefault="003268F9" w:rsidP="003268F9">
      <w:pPr>
        <w:pStyle w:val="Referencias"/>
        <w:spacing w:line="360" w:lineRule="auto"/>
        <w:rPr>
          <w:lang w:val="pt-BR"/>
        </w:rPr>
      </w:pPr>
      <w:r w:rsidRPr="003268F9">
        <w:rPr>
          <w:lang w:val="pt-BR"/>
        </w:rPr>
        <w:t xml:space="preserve">Mesquita, D. T. &amp; Perucchi, J. Não apenas em nome de deus: discursos religiosos sobre homossexualidade. Psicologia &amp; Sociedade [online]. 2016, v. 28, n. 1, pp. 105-114. </w:t>
      </w:r>
      <w:hyperlink r:id="rId34" w:history="1">
        <w:r w:rsidR="009972F5" w:rsidRPr="00EF534A">
          <w:rPr>
            <w:rStyle w:val="Hipervnculo"/>
            <w:lang w:val="pt-BR"/>
          </w:rPr>
          <w:t>https://doi.org/</w:t>
        </w:r>
        <w:r w:rsidR="009972F5" w:rsidRPr="003268F9">
          <w:rPr>
            <w:rStyle w:val="Hipervnculo"/>
            <w:lang w:val="pt-BR"/>
          </w:rPr>
          <w:t>10.1590/1807-03102015v28n1p105</w:t>
        </w:r>
      </w:hyperlink>
      <w:r w:rsidR="009972F5">
        <w:rPr>
          <w:lang w:val="pt-BR"/>
        </w:rPr>
        <w:t xml:space="preserve"> </w:t>
      </w:r>
    </w:p>
    <w:p w14:paraId="3A4D6B73" w14:textId="1EA48AFE" w:rsidR="003268F9" w:rsidRPr="003268F9" w:rsidRDefault="003268F9" w:rsidP="003268F9">
      <w:pPr>
        <w:pStyle w:val="Referencias"/>
        <w:spacing w:line="360" w:lineRule="auto"/>
        <w:rPr>
          <w:lang w:val="pt-BR"/>
        </w:rPr>
      </w:pPr>
      <w:r w:rsidRPr="003268F9">
        <w:rPr>
          <w:lang w:val="pt-BR"/>
        </w:rPr>
        <w:t xml:space="preserve">Miguel, D. F., &amp; Petroni, T. N. (2020). Expressões, representatividades e interações sociais de pessoas idosas LGBT: um recorte artístico-cultural. In: </w:t>
      </w:r>
      <w:r>
        <w:rPr>
          <w:lang w:val="pt-BR"/>
        </w:rPr>
        <w:t xml:space="preserve">L. F. </w:t>
      </w:r>
      <w:r w:rsidRPr="003268F9">
        <w:rPr>
          <w:lang w:val="pt-BR"/>
        </w:rPr>
        <w:t xml:space="preserve">Araujo, </w:t>
      </w:r>
      <w:r>
        <w:rPr>
          <w:lang w:val="pt-BR"/>
        </w:rPr>
        <w:t>H. S. Silva</w:t>
      </w:r>
      <w:r w:rsidRPr="003268F9">
        <w:rPr>
          <w:lang w:val="pt-BR"/>
        </w:rPr>
        <w:t xml:space="preserve"> (</w:t>
      </w:r>
      <w:r>
        <w:rPr>
          <w:lang w:val="pt-BR"/>
        </w:rPr>
        <w:t>O</w:t>
      </w:r>
      <w:r w:rsidRPr="003268F9">
        <w:rPr>
          <w:lang w:val="pt-BR"/>
        </w:rPr>
        <w:t>rgs.)</w:t>
      </w:r>
      <w:r>
        <w:rPr>
          <w:lang w:val="pt-BR"/>
        </w:rPr>
        <w:t>,</w:t>
      </w:r>
      <w:r w:rsidRPr="003268F9">
        <w:rPr>
          <w:lang w:val="pt-BR"/>
        </w:rPr>
        <w:t xml:space="preserve"> </w:t>
      </w:r>
      <w:r w:rsidRPr="003268F9">
        <w:rPr>
          <w:i/>
          <w:iCs/>
          <w:lang w:val="pt-BR"/>
        </w:rPr>
        <w:t>Envelhecimento e Velhice LGBT: práticas e perspectivas biopsicossociais</w:t>
      </w:r>
      <w:r>
        <w:rPr>
          <w:i/>
          <w:iCs/>
          <w:lang w:val="pt-BR"/>
        </w:rPr>
        <w:t xml:space="preserve"> </w:t>
      </w:r>
      <w:r>
        <w:rPr>
          <w:lang w:val="pt-BR"/>
        </w:rPr>
        <w:t xml:space="preserve">(pp. </w:t>
      </w:r>
      <w:r w:rsidRPr="003268F9">
        <w:rPr>
          <w:lang w:val="pt-BR"/>
        </w:rPr>
        <w:t>89-101</w:t>
      </w:r>
      <w:r>
        <w:rPr>
          <w:lang w:val="pt-BR"/>
        </w:rPr>
        <w:t>)</w:t>
      </w:r>
      <w:r w:rsidRPr="003268F9">
        <w:rPr>
          <w:i/>
          <w:iCs/>
          <w:lang w:val="pt-BR"/>
        </w:rPr>
        <w:t xml:space="preserve">. </w:t>
      </w:r>
      <w:r w:rsidRPr="003268F9">
        <w:rPr>
          <w:lang w:val="pt-BR"/>
        </w:rPr>
        <w:t>Alínea</w:t>
      </w:r>
      <w:r>
        <w:rPr>
          <w:lang w:val="pt-BR"/>
        </w:rPr>
        <w:t>.</w:t>
      </w:r>
    </w:p>
    <w:p w14:paraId="471FE1E2" w14:textId="2E96241A" w:rsidR="003268F9" w:rsidRPr="003268F9" w:rsidRDefault="003268F9" w:rsidP="003268F9">
      <w:pPr>
        <w:pStyle w:val="Referencias"/>
        <w:spacing w:line="360" w:lineRule="auto"/>
        <w:rPr>
          <w:lang w:val="pt-BR"/>
        </w:rPr>
      </w:pPr>
      <w:r w:rsidRPr="003268F9">
        <w:rPr>
          <w:lang w:val="pt-BR"/>
        </w:rPr>
        <w:t>Moscovici, S. (2017). Representações sociais: investigações em psicologia social. (</w:t>
      </w:r>
      <w:r w:rsidR="009972F5">
        <w:rPr>
          <w:lang w:val="pt-BR"/>
        </w:rPr>
        <w:t>1</w:t>
      </w:r>
      <w:r w:rsidRPr="003268F9">
        <w:rPr>
          <w:lang w:val="pt-BR"/>
        </w:rPr>
        <w:t>1a ed.). Vozes.</w:t>
      </w:r>
    </w:p>
    <w:p w14:paraId="2D298367" w14:textId="77777777" w:rsidR="003268F9" w:rsidRPr="003268F9" w:rsidRDefault="003268F9" w:rsidP="003268F9">
      <w:pPr>
        <w:pStyle w:val="Referencias"/>
        <w:spacing w:line="360" w:lineRule="auto"/>
        <w:rPr>
          <w:lang w:val="pt-BR"/>
        </w:rPr>
      </w:pPr>
      <w:r w:rsidRPr="003268F9">
        <w:rPr>
          <w:lang w:val="pt-BR"/>
        </w:rPr>
        <w:t xml:space="preserve">Organização Mundial da Saúde (OMS). (2020, 11 de março). Pandemia de doença por coronavírus (COVID-19). Recuperado de: </w:t>
      </w:r>
      <w:hyperlink r:id="rId35" w:history="1">
        <w:r w:rsidRPr="003268F9">
          <w:rPr>
            <w:rStyle w:val="Hipervnculo"/>
            <w:lang w:val="pt-BR"/>
          </w:rPr>
          <w:t>https://www.who.int/emergencies/diseases/novel-coronavirus-2019</w:t>
        </w:r>
      </w:hyperlink>
      <w:r w:rsidRPr="003268F9">
        <w:rPr>
          <w:lang w:val="pt-BR"/>
        </w:rPr>
        <w:t>.</w:t>
      </w:r>
    </w:p>
    <w:p w14:paraId="2CA2DA44" w14:textId="23DF91A1" w:rsidR="003268F9" w:rsidRPr="003268F9" w:rsidRDefault="003268F9" w:rsidP="003268F9">
      <w:pPr>
        <w:pStyle w:val="Referencias"/>
        <w:spacing w:line="360" w:lineRule="auto"/>
        <w:rPr>
          <w:lang w:val="es-ES"/>
        </w:rPr>
      </w:pPr>
      <w:r w:rsidRPr="006D014C">
        <w:t xml:space="preserve">Paveltchuk, F. O. &amp; Borsa, J. C. (2019). </w:t>
      </w:r>
      <w:r w:rsidRPr="003268F9">
        <w:rPr>
          <w:lang w:val="pt-BR"/>
        </w:rPr>
        <w:t>Homofobia internalizada, conectiuidade comunitaria e saúde mental em uma amostra de indiuíduos LGB brasileiros. </w:t>
      </w:r>
      <w:r w:rsidRPr="003268F9">
        <w:rPr>
          <w:i/>
          <w:iCs/>
          <w:lang w:val="es-ES"/>
        </w:rPr>
        <w:t>Avances en Psicología Latinoamericana</w:t>
      </w:r>
      <w:r w:rsidRPr="003268F9">
        <w:rPr>
          <w:lang w:val="es-ES"/>
        </w:rPr>
        <w:t>, </w:t>
      </w:r>
      <w:r w:rsidRPr="003268F9">
        <w:rPr>
          <w:i/>
          <w:iCs/>
          <w:lang w:val="es-ES"/>
        </w:rPr>
        <w:t>37</w:t>
      </w:r>
      <w:r w:rsidRPr="003268F9">
        <w:rPr>
          <w:lang w:val="es-ES"/>
        </w:rPr>
        <w:t>(1), 47-61.</w:t>
      </w:r>
      <w:r>
        <w:rPr>
          <w:lang w:val="es-ES"/>
        </w:rPr>
        <w:t xml:space="preserve"> </w:t>
      </w:r>
      <w:hyperlink r:id="rId36" w:history="1">
        <w:r w:rsidRPr="00EF534A">
          <w:rPr>
            <w:rStyle w:val="Hipervnculo"/>
            <w:lang w:val="es-ES"/>
          </w:rPr>
          <w:t>https://doi.org/10.12804/revistas.urosario.edu.co/apl/a.6155</w:t>
        </w:r>
      </w:hyperlink>
    </w:p>
    <w:p w14:paraId="7E9C1FFE" w14:textId="77777777" w:rsidR="003268F9" w:rsidRPr="003268F9" w:rsidRDefault="003268F9" w:rsidP="003268F9">
      <w:pPr>
        <w:pStyle w:val="Referencias"/>
        <w:spacing w:line="360" w:lineRule="auto"/>
        <w:rPr>
          <w:lang w:val="pt-BR"/>
        </w:rPr>
      </w:pPr>
      <w:r w:rsidRPr="003268F9">
        <w:rPr>
          <w:lang w:val="pt-BR"/>
        </w:rPr>
        <w:t xml:space="preserve">Resolução nº14, de fevereiro de 2021. Dispõe sobre a vacinação dos Servidores do Sistema Prisional e de Pessoas Privadas de Liberdade no plano nacional de Operacionalização da vacina contra a Covid-19. Recuperado de: </w:t>
      </w:r>
      <w:hyperlink r:id="rId37" w:history="1">
        <w:r w:rsidRPr="003268F9">
          <w:rPr>
            <w:rStyle w:val="Hipervnculo"/>
            <w:lang w:val="pt-BR"/>
          </w:rPr>
          <w:t>https://www.gov.br/saude/pt-br</w:t>
        </w:r>
      </w:hyperlink>
      <w:r w:rsidRPr="003268F9">
        <w:rPr>
          <w:lang w:val="pt-BR"/>
        </w:rPr>
        <w:t>.</w:t>
      </w:r>
    </w:p>
    <w:p w14:paraId="46844371" w14:textId="049BDF62" w:rsidR="003268F9" w:rsidRPr="003268F9" w:rsidRDefault="003268F9" w:rsidP="003268F9">
      <w:pPr>
        <w:pStyle w:val="Referencias"/>
        <w:spacing w:line="360" w:lineRule="auto"/>
        <w:rPr>
          <w:lang w:val="pt-BR"/>
        </w:rPr>
      </w:pPr>
      <w:r w:rsidRPr="003268F9">
        <w:rPr>
          <w:lang w:val="pt-BR"/>
        </w:rPr>
        <w:t>Sánchez, A., Simas, L., Diuana, V., &amp; Larouze, B. (2020). COVID-19 nas prisões: um desafio impossível para a saúde pública? </w:t>
      </w:r>
      <w:r w:rsidRPr="003268F9">
        <w:rPr>
          <w:i/>
          <w:iCs/>
          <w:lang w:val="pt-BR"/>
        </w:rPr>
        <w:t>Cadernos de Saúde Pública,36(5)</w:t>
      </w:r>
      <w:r w:rsidRPr="003268F9">
        <w:rPr>
          <w:lang w:val="pt-BR"/>
        </w:rPr>
        <w:t xml:space="preserve">. </w:t>
      </w:r>
      <w:hyperlink r:id="rId38" w:history="1">
        <w:r w:rsidRPr="00EF534A">
          <w:rPr>
            <w:rStyle w:val="Hipervnculo"/>
            <w:lang w:val="pt-BR"/>
          </w:rPr>
          <w:t>https://doi.org/</w:t>
        </w:r>
        <w:r w:rsidRPr="003268F9">
          <w:rPr>
            <w:rStyle w:val="Hipervnculo"/>
            <w:lang w:val="pt-BR"/>
          </w:rPr>
          <w:t>10.1590/0102-311x00083520</w:t>
        </w:r>
      </w:hyperlink>
      <w:r>
        <w:rPr>
          <w:lang w:val="pt-BR"/>
        </w:rPr>
        <w:t xml:space="preserve"> </w:t>
      </w:r>
    </w:p>
    <w:p w14:paraId="5B1C1CBE" w14:textId="0D350F19" w:rsidR="003268F9" w:rsidRPr="003268F9" w:rsidRDefault="003268F9" w:rsidP="003268F9">
      <w:pPr>
        <w:pStyle w:val="Referencias"/>
        <w:spacing w:line="360" w:lineRule="auto"/>
        <w:rPr>
          <w:lang w:val="pt-BR"/>
        </w:rPr>
      </w:pPr>
      <w:r w:rsidRPr="003268F9">
        <w:rPr>
          <w:lang w:val="pt-BR"/>
        </w:rPr>
        <w:t xml:space="preserve">Sánchez, A., Gárcia, A. M., Almeida, B. C., Melo, B. D., Pereira, D. R., Julião, E., ... Diuana, V. (2020). Saúde mental e atenção psicossocial na pandemia COVID-19: COVID e a população privada de liberdade. </w:t>
      </w:r>
      <w:r w:rsidRPr="003268F9">
        <w:rPr>
          <w:i/>
          <w:iCs/>
          <w:lang w:val="pt-BR"/>
        </w:rPr>
        <w:t>Fiocruz/CEPEDES</w:t>
      </w:r>
      <w:r w:rsidRPr="003268F9">
        <w:rPr>
          <w:lang w:val="pt-BR"/>
        </w:rPr>
        <w:t xml:space="preserve"> </w:t>
      </w:r>
      <w:r>
        <w:rPr>
          <w:lang w:val="pt-BR"/>
        </w:rPr>
        <w:t>[C</w:t>
      </w:r>
      <w:r w:rsidRPr="003268F9">
        <w:rPr>
          <w:lang w:val="pt-BR"/>
        </w:rPr>
        <w:t>artilha</w:t>
      </w:r>
      <w:r>
        <w:rPr>
          <w:lang w:val="pt-BR"/>
        </w:rPr>
        <w:t>]</w:t>
      </w:r>
      <w:r w:rsidRPr="003268F9">
        <w:rPr>
          <w:lang w:val="pt-BR"/>
        </w:rPr>
        <w:t xml:space="preserve">. Recuperado de: </w:t>
      </w:r>
      <w:hyperlink r:id="rId39" w:history="1">
        <w:r w:rsidRPr="003268F9">
          <w:rPr>
            <w:rStyle w:val="Hipervnculo"/>
            <w:lang w:val="pt-BR"/>
          </w:rPr>
          <w:t>https://www.arca.fiocruz.br/handle/icict/41680</w:t>
        </w:r>
      </w:hyperlink>
    </w:p>
    <w:p w14:paraId="608784EE" w14:textId="77777777" w:rsidR="003268F9" w:rsidRPr="003268F9" w:rsidRDefault="003268F9" w:rsidP="003268F9">
      <w:pPr>
        <w:pStyle w:val="Referencias"/>
        <w:spacing w:line="360" w:lineRule="auto"/>
        <w:rPr>
          <w:lang w:val="pt-BR"/>
        </w:rPr>
      </w:pPr>
      <w:r w:rsidRPr="003268F9">
        <w:rPr>
          <w:lang w:val="pt-BR"/>
        </w:rPr>
        <w:lastRenderedPageBreak/>
        <w:t>Santana Filho, H. P. D. (2020). Idosos encarcerados em tempos de pandemia no Brasil: uma ilegalidade (ainda mais) escancarada. </w:t>
      </w:r>
      <w:r w:rsidRPr="003268F9">
        <w:rPr>
          <w:i/>
          <w:iCs/>
          <w:lang w:val="pt-BR"/>
        </w:rPr>
        <w:t>SEMOC-Semana de Mobilização Científica-Envelhecimento em tempos de pandemias</w:t>
      </w:r>
      <w:r w:rsidRPr="003268F9">
        <w:rPr>
          <w:lang w:val="pt-BR"/>
        </w:rPr>
        <w:t xml:space="preserve">. Recuperado de: </w:t>
      </w:r>
      <w:hyperlink r:id="rId40" w:history="1">
        <w:r w:rsidRPr="003268F9">
          <w:rPr>
            <w:rStyle w:val="Hipervnculo"/>
            <w:lang w:val="pt-BR"/>
          </w:rPr>
          <w:t>http://ri.ucsal.br:8080/jspui/handle/prefix/2973</w:t>
        </w:r>
      </w:hyperlink>
    </w:p>
    <w:p w14:paraId="4A038B7B" w14:textId="46565F3F" w:rsidR="003268F9" w:rsidRPr="003268F9" w:rsidRDefault="003268F9" w:rsidP="003268F9">
      <w:pPr>
        <w:pStyle w:val="Referencias"/>
        <w:spacing w:line="360" w:lineRule="auto"/>
        <w:rPr>
          <w:lang w:val="pt-BR"/>
        </w:rPr>
      </w:pPr>
      <w:r w:rsidRPr="003268F9">
        <w:rPr>
          <w:lang w:val="pt-BR"/>
        </w:rPr>
        <w:t xml:space="preserve">Silva, H. S., Araújo, L. F., (2020). Velhice LGBT:  Apresentação de um panorama de estudos nacionais e internacionais. In: </w:t>
      </w:r>
      <w:r>
        <w:rPr>
          <w:lang w:val="pt-BR"/>
        </w:rPr>
        <w:t xml:space="preserve">L. F. </w:t>
      </w:r>
      <w:r w:rsidRPr="003268F9">
        <w:rPr>
          <w:lang w:val="pt-BR"/>
        </w:rPr>
        <w:t xml:space="preserve">Araujo, </w:t>
      </w:r>
      <w:r>
        <w:rPr>
          <w:lang w:val="pt-BR"/>
        </w:rPr>
        <w:t>H. S. Silva</w:t>
      </w:r>
      <w:r w:rsidRPr="003268F9">
        <w:rPr>
          <w:lang w:val="pt-BR"/>
        </w:rPr>
        <w:t xml:space="preserve"> (</w:t>
      </w:r>
      <w:r>
        <w:rPr>
          <w:lang w:val="pt-BR"/>
        </w:rPr>
        <w:t>O</w:t>
      </w:r>
      <w:r w:rsidRPr="003268F9">
        <w:rPr>
          <w:lang w:val="pt-BR"/>
        </w:rPr>
        <w:t>rgs.)</w:t>
      </w:r>
      <w:r>
        <w:rPr>
          <w:lang w:val="pt-BR"/>
        </w:rPr>
        <w:t>,</w:t>
      </w:r>
      <w:r w:rsidRPr="003268F9">
        <w:rPr>
          <w:lang w:val="pt-BR"/>
        </w:rPr>
        <w:t xml:space="preserve"> </w:t>
      </w:r>
      <w:r w:rsidRPr="003268F9">
        <w:rPr>
          <w:i/>
          <w:iCs/>
          <w:lang w:val="pt-BR"/>
        </w:rPr>
        <w:t>Envelhecimento e Velhice LGBT: práticas e perspectivas biopsicossociais</w:t>
      </w:r>
      <w:r>
        <w:rPr>
          <w:i/>
          <w:iCs/>
          <w:lang w:val="pt-BR"/>
        </w:rPr>
        <w:t xml:space="preserve"> </w:t>
      </w:r>
      <w:r>
        <w:rPr>
          <w:lang w:val="pt-BR"/>
        </w:rPr>
        <w:t xml:space="preserve">(pp. </w:t>
      </w:r>
      <w:r w:rsidRPr="003268F9">
        <w:rPr>
          <w:lang w:val="pt-BR"/>
        </w:rPr>
        <w:t>15-16</w:t>
      </w:r>
      <w:r>
        <w:rPr>
          <w:lang w:val="pt-BR"/>
        </w:rPr>
        <w:t>)</w:t>
      </w:r>
      <w:r w:rsidRPr="003268F9">
        <w:rPr>
          <w:i/>
          <w:iCs/>
          <w:lang w:val="pt-BR"/>
        </w:rPr>
        <w:t xml:space="preserve">. </w:t>
      </w:r>
      <w:r w:rsidRPr="003268F9">
        <w:rPr>
          <w:lang w:val="pt-BR"/>
        </w:rPr>
        <w:t>Alínea</w:t>
      </w:r>
      <w:r>
        <w:rPr>
          <w:lang w:val="pt-BR"/>
        </w:rPr>
        <w:t>.</w:t>
      </w:r>
    </w:p>
    <w:p w14:paraId="050AD28A" w14:textId="77777777" w:rsidR="003268F9" w:rsidRPr="003268F9" w:rsidRDefault="003268F9" w:rsidP="003268F9">
      <w:pPr>
        <w:pStyle w:val="Referencias"/>
        <w:spacing w:line="360" w:lineRule="auto"/>
        <w:rPr>
          <w:u w:val="single"/>
          <w:lang w:val="pt-BR"/>
        </w:rPr>
      </w:pPr>
      <w:r w:rsidRPr="003268F9">
        <w:rPr>
          <w:lang w:val="pt-BR"/>
        </w:rPr>
        <w:t>Silva, E. L., Jardim, R. B., Bonfim, K. L.F., Silva, G. A., Nunes, D. C., &amp; Junior, D. F. C. (2021). Percepções do sofrimento psíquico: os vínculos afetivos com familiares de presidiárias. </w:t>
      </w:r>
      <w:r w:rsidRPr="003268F9">
        <w:rPr>
          <w:i/>
          <w:iCs/>
          <w:lang w:val="pt-BR"/>
        </w:rPr>
        <w:t>Revista Eletrônica Acervo Saúde</w:t>
      </w:r>
      <w:r w:rsidRPr="003268F9">
        <w:rPr>
          <w:lang w:val="pt-BR"/>
        </w:rPr>
        <w:t>, </w:t>
      </w:r>
      <w:r w:rsidRPr="003268F9">
        <w:rPr>
          <w:i/>
          <w:iCs/>
          <w:lang w:val="pt-BR"/>
        </w:rPr>
        <w:t>13</w:t>
      </w:r>
      <w:r w:rsidRPr="003268F9">
        <w:rPr>
          <w:lang w:val="pt-BR"/>
        </w:rPr>
        <w:t xml:space="preserve">(5), e6938. </w:t>
      </w:r>
      <w:hyperlink r:id="rId41" w:history="1">
        <w:r w:rsidRPr="003268F9">
          <w:rPr>
            <w:rStyle w:val="Hipervnculo"/>
            <w:lang w:val="pt-BR"/>
          </w:rPr>
          <w:t>doi:10.25248/</w:t>
        </w:r>
        <w:proofErr w:type="gramStart"/>
        <w:r w:rsidRPr="003268F9">
          <w:rPr>
            <w:rStyle w:val="Hipervnculo"/>
            <w:lang w:val="pt-BR"/>
          </w:rPr>
          <w:t>reas.e</w:t>
        </w:r>
        <w:proofErr w:type="gramEnd"/>
        <w:r w:rsidRPr="003268F9">
          <w:rPr>
            <w:rStyle w:val="Hipervnculo"/>
            <w:lang w:val="pt-BR"/>
          </w:rPr>
          <w:t>6938.2021</w:t>
        </w:r>
      </w:hyperlink>
    </w:p>
    <w:p w14:paraId="0B3BBE58" w14:textId="28B4E401" w:rsidR="003268F9" w:rsidRPr="003268F9" w:rsidRDefault="003268F9" w:rsidP="003268F9">
      <w:pPr>
        <w:pStyle w:val="Referencias"/>
        <w:spacing w:line="360" w:lineRule="auto"/>
        <w:rPr>
          <w:lang w:val="pt-BR"/>
        </w:rPr>
      </w:pPr>
      <w:r w:rsidRPr="003268F9">
        <w:rPr>
          <w:lang w:val="pt-BR"/>
        </w:rPr>
        <w:t xml:space="preserve">Sousa, E. M. S., Alves, M. E. S., Araújo, L. F., Bezerra, I. E. L., Silva, M. F. L., Lima Filho, G. S., &amp; de Alcântara, J. G. (2022). Pessoas vivendo com VIH, pessoas LGBT e vivências interseccionais: concepções de adultos jovens sobre a velhice e o envelhecimento. </w:t>
      </w:r>
      <w:r w:rsidRPr="003268F9">
        <w:rPr>
          <w:i/>
          <w:iCs/>
          <w:lang w:val="pt-BR"/>
        </w:rPr>
        <w:t>Revista Portuguesa De Investigação Comportamental E Social, 8</w:t>
      </w:r>
      <w:r w:rsidRPr="003268F9">
        <w:rPr>
          <w:lang w:val="pt-BR"/>
        </w:rPr>
        <w:t xml:space="preserve">(2), 1–14. </w:t>
      </w:r>
      <w:hyperlink r:id="rId42" w:history="1">
        <w:r w:rsidRPr="003268F9">
          <w:rPr>
            <w:rStyle w:val="Hipervnculo"/>
            <w:lang w:val="pt-BR"/>
          </w:rPr>
          <w:t>https://doi.org/10.31211/rpics.2022.8.2.243</w:t>
        </w:r>
      </w:hyperlink>
      <w:r>
        <w:rPr>
          <w:lang w:val="pt-BR"/>
        </w:rPr>
        <w:t xml:space="preserve"> </w:t>
      </w:r>
    </w:p>
    <w:p w14:paraId="685E2EFA" w14:textId="67E6E5DE" w:rsidR="003E15C2" w:rsidRPr="003268F9" w:rsidRDefault="003268F9" w:rsidP="003268F9">
      <w:pPr>
        <w:pStyle w:val="Referencias"/>
        <w:spacing w:line="360" w:lineRule="auto"/>
        <w:rPr>
          <w:lang w:val="pt-BR"/>
        </w:rPr>
      </w:pPr>
      <w:r w:rsidRPr="003268F9">
        <w:t xml:space="preserve">Wacheleski, N. R., &amp; Gershenson, B. (2018). </w:t>
      </w:r>
      <w:r w:rsidRPr="003268F9">
        <w:rPr>
          <w:lang w:val="pt-BR"/>
        </w:rPr>
        <w:t>As experiências sociais da velhice no cárcere. </w:t>
      </w:r>
      <w:r w:rsidRPr="003268F9">
        <w:rPr>
          <w:i/>
          <w:iCs/>
          <w:lang w:val="pt-BR"/>
        </w:rPr>
        <w:t>Mais60: estudos sobre envelhecimento, 29 (72), p. 27-46.</w:t>
      </w:r>
      <w:r w:rsidRPr="003268F9">
        <w:rPr>
          <w:lang w:val="pt-BR"/>
        </w:rPr>
        <w:t xml:space="preserve"> Recuperado de: </w:t>
      </w:r>
      <w:hyperlink r:id="rId43" w:history="1">
        <w:r w:rsidRPr="00EF534A">
          <w:rPr>
            <w:rStyle w:val="Hipervnculo"/>
            <w:lang w:val="pt-BR"/>
          </w:rPr>
          <w:t>https://www.sescsp.org.br/online/artigo/12898</w:t>
        </w:r>
      </w:hyperlink>
      <w:r>
        <w:rPr>
          <w:lang w:val="pt-BR"/>
        </w:rPr>
        <w:t xml:space="preserve"> </w:t>
      </w:r>
      <w:r w:rsidR="00455993" w:rsidRPr="003268F9">
        <w:rPr>
          <w:lang w:val="pt-BR"/>
        </w:rPr>
        <w:t xml:space="preserve"> </w:t>
      </w:r>
    </w:p>
    <w:p w14:paraId="3C496DF4" w14:textId="3F2FF854" w:rsidR="00147EED" w:rsidRPr="003268F9" w:rsidRDefault="00147EED" w:rsidP="00D80EDF">
      <w:pPr>
        <w:pStyle w:val="Referencias"/>
        <w:spacing w:line="360" w:lineRule="auto"/>
        <w:rPr>
          <w:lang w:val="pt-BR"/>
        </w:rPr>
      </w:pPr>
    </w:p>
    <w:p w14:paraId="4E4CDB4E" w14:textId="7067C619" w:rsidR="00147EED" w:rsidRPr="00F06545" w:rsidRDefault="00147EED" w:rsidP="00F06545">
      <w:pPr>
        <w:shd w:val="clear" w:color="auto" w:fill="FFFFFF"/>
        <w:spacing w:line="260" w:lineRule="exact"/>
        <w:jc w:val="right"/>
        <w:rPr>
          <w:i/>
          <w:iCs/>
          <w:sz w:val="20"/>
          <w:szCs w:val="20"/>
        </w:rPr>
      </w:pPr>
      <w:r w:rsidRPr="003268F9">
        <w:rPr>
          <w:lang w:val="pt-BR"/>
        </w:rPr>
        <w:tab/>
      </w:r>
      <w:r w:rsidRPr="00550C74">
        <w:rPr>
          <w:i/>
          <w:iCs/>
          <w:sz w:val="20"/>
          <w:szCs w:val="20"/>
          <w:lang w:val="en-US"/>
        </w:rPr>
        <w:t>Received</w:t>
      </w:r>
      <w:r w:rsidRPr="00340FA8">
        <w:rPr>
          <w:i/>
          <w:iCs/>
          <w:sz w:val="20"/>
          <w:szCs w:val="20"/>
          <w:lang w:val="en-US"/>
        </w:rPr>
        <w:t xml:space="preserve">: </w:t>
      </w:r>
      <w:r w:rsidR="00F06545" w:rsidRPr="00F06545">
        <w:rPr>
          <w:i/>
          <w:iCs/>
          <w:sz w:val="20"/>
          <w:szCs w:val="20"/>
        </w:rPr>
        <w:t>2021-12-29</w:t>
      </w:r>
    </w:p>
    <w:p w14:paraId="4DFDDA15" w14:textId="1839EA2E" w:rsidR="00AA5DB1" w:rsidRPr="00AA5DB1" w:rsidRDefault="00147EED" w:rsidP="00F06545">
      <w:pPr>
        <w:shd w:val="clear" w:color="auto" w:fill="FFFFFF"/>
        <w:spacing w:line="260" w:lineRule="exact"/>
        <w:jc w:val="right"/>
        <w:rPr>
          <w:i/>
          <w:iCs/>
          <w:sz w:val="20"/>
          <w:szCs w:val="20"/>
          <w:lang w:eastAsia="es-ES_tradnl"/>
        </w:rPr>
      </w:pPr>
      <w:r w:rsidRPr="00340FA8">
        <w:rPr>
          <w:i/>
          <w:iCs/>
          <w:sz w:val="20"/>
          <w:szCs w:val="20"/>
          <w:lang w:val="en-US"/>
        </w:rPr>
        <w:t>Accepted:</w:t>
      </w:r>
      <w:r>
        <w:rPr>
          <w:i/>
          <w:iCs/>
          <w:sz w:val="20"/>
          <w:szCs w:val="20"/>
          <w:lang w:val="en-US"/>
        </w:rPr>
        <w:t xml:space="preserve"> </w:t>
      </w:r>
      <w:r w:rsidR="00F06545" w:rsidRPr="00F06545">
        <w:rPr>
          <w:i/>
          <w:iCs/>
          <w:sz w:val="20"/>
          <w:szCs w:val="20"/>
          <w:lang w:eastAsia="es-ES_tradnl"/>
        </w:rPr>
        <w:t>2022-11-21</w:t>
      </w:r>
    </w:p>
    <w:p w14:paraId="312A8921" w14:textId="672EB341" w:rsidR="00147EED" w:rsidRPr="00493400" w:rsidRDefault="00147EED" w:rsidP="00493400">
      <w:pPr>
        <w:shd w:val="clear" w:color="auto" w:fill="FFFFFF"/>
        <w:spacing w:line="260" w:lineRule="exact"/>
        <w:jc w:val="right"/>
        <w:rPr>
          <w:i/>
          <w:iCs/>
          <w:sz w:val="20"/>
          <w:szCs w:val="20"/>
          <w:lang w:eastAsia="es-ES_tradnl"/>
        </w:rPr>
      </w:pPr>
    </w:p>
    <w:sectPr w:rsidR="00147EED" w:rsidRPr="00493400" w:rsidSect="00686DA9">
      <w:headerReference w:type="even" r:id="rId44"/>
      <w:headerReference w:type="default" r:id="rId45"/>
      <w:footerReference w:type="even" r:id="rId46"/>
      <w:footerReference w:type="default" r:id="rId47"/>
      <w:pgSz w:w="11906" w:h="16838"/>
      <w:pgMar w:top="1440" w:right="1701" w:bottom="1440" w:left="1701"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C5E6AF" w14:textId="77777777" w:rsidR="001871D2" w:rsidRDefault="001871D2" w:rsidP="00C413D4">
      <w:r>
        <w:separator/>
      </w:r>
    </w:p>
  </w:endnote>
  <w:endnote w:type="continuationSeparator" w:id="0">
    <w:p w14:paraId="7BA05689" w14:textId="77777777" w:rsidR="001871D2" w:rsidRDefault="001871D2"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altName w:val="Titling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Euphemia">
    <w:panose1 w:val="020B0503040102020104"/>
    <w:charset w:val="00"/>
    <w:family w:val="swiss"/>
    <w:pitch w:val="variable"/>
    <w:sig w:usb0="8000006F" w:usb1="0000004A" w:usb2="00002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DIN Next LT Pro Light">
    <w:altName w:val="Calibri"/>
    <w:panose1 w:val="020B0604020202020204"/>
    <w:charset w:val="00"/>
    <w:family w:val="swiss"/>
    <w:notTrueType/>
    <w:pitch w:val="default"/>
    <w:sig w:usb0="00000003" w:usb1="00000000" w:usb2="00000000" w:usb3="00000000" w:csb0="00000001" w:csb1="00000000"/>
  </w:font>
  <w:font w:name="Times New Roman (Body CS)">
    <w:altName w:val="Times New Roman"/>
    <w:panose1 w:val="020B0604020202020204"/>
    <w:charset w:val="00"/>
    <w:family w:val="auto"/>
    <w:pitch w:val="variable"/>
    <w:sig w:usb0="E0002AEF" w:usb1="C0007841"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6A6F3457" w14:textId="4EED3CE3" w:rsidR="00E52901" w:rsidRDefault="00E52901" w:rsidP="006802D2">
        <w:pPr>
          <w:pStyle w:val="Piedepgina"/>
          <w:ind w:left="3960"/>
          <w:jc w:val="right"/>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491015">
          <w:rPr>
            <w:rStyle w:val="Nmerodepgina"/>
            <w:rFonts w:ascii="Times" w:hAnsi="Times"/>
            <w:noProof/>
            <w:sz w:val="16"/>
            <w:szCs w:val="16"/>
          </w:rPr>
          <w:t>20</w:t>
        </w:r>
        <w:r w:rsidRPr="007F5913">
          <w:rPr>
            <w:rStyle w:val="Nmerodepgina"/>
            <w:rFonts w:ascii="Times" w:hAnsi="Times"/>
            <w:sz w:val="16"/>
            <w:szCs w:val="16"/>
          </w:rPr>
          <w:fldChar w:fldCharType="end"/>
        </w:r>
      </w:p>
    </w:sdtContent>
  </w:sdt>
  <w:p w14:paraId="4737EBA2" w14:textId="77777777" w:rsidR="00E52901" w:rsidRDefault="00E5290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05C71893" w14:textId="6D670322" w:rsidR="00E52901" w:rsidRDefault="00E52901" w:rsidP="00C413D4">
        <w:pPr>
          <w:pStyle w:val="Piedepgina"/>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491015">
          <w:rPr>
            <w:rStyle w:val="Nmerodepgina"/>
            <w:rFonts w:ascii="Times" w:hAnsi="Times"/>
            <w:noProof/>
            <w:sz w:val="16"/>
            <w:szCs w:val="16"/>
          </w:rPr>
          <w:t>19</w:t>
        </w:r>
        <w:r w:rsidRPr="007F5913">
          <w:rPr>
            <w:rStyle w:val="Nmerodepgina"/>
            <w:rFonts w:ascii="Times" w:hAnsi="Times"/>
            <w:sz w:val="16"/>
            <w:szCs w:val="16"/>
          </w:rPr>
          <w:fldChar w:fldCharType="end"/>
        </w:r>
      </w:p>
    </w:sdtContent>
  </w:sdt>
  <w:p w14:paraId="420682C3" w14:textId="77777777" w:rsidR="00E52901" w:rsidRDefault="00E5290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0EDBBC" w14:textId="77777777" w:rsidR="001871D2" w:rsidRDefault="001871D2" w:rsidP="00C413D4">
      <w:r>
        <w:separator/>
      </w:r>
    </w:p>
  </w:footnote>
  <w:footnote w:type="continuationSeparator" w:id="0">
    <w:p w14:paraId="5B46C292" w14:textId="77777777" w:rsidR="001871D2" w:rsidRDefault="001871D2" w:rsidP="00C413D4">
      <w:r>
        <w:continuationSeparator/>
      </w:r>
    </w:p>
  </w:footnote>
  <w:footnote w:id="1">
    <w:p w14:paraId="3CF2EFBD" w14:textId="50CBAB8E" w:rsidR="000B7ADC" w:rsidRPr="00317456" w:rsidRDefault="000B7ADC" w:rsidP="000B7ADC">
      <w:pPr>
        <w:pStyle w:val="Body"/>
        <w:rPr>
          <w:rStyle w:val="Hipervnculo"/>
          <w:rFonts w:ascii="Times" w:hAnsi="Times"/>
          <w:b/>
          <w:bCs/>
          <w:color w:val="000000"/>
          <w:sz w:val="16"/>
          <w:szCs w:val="16"/>
          <w:u w:val="none"/>
          <w:lang w:val="en-US"/>
        </w:rPr>
      </w:pPr>
      <w:r>
        <w:rPr>
          <w:b/>
          <w:bCs/>
          <w:color w:val="222222"/>
          <w:sz w:val="28"/>
          <w:szCs w:val="28"/>
          <w:u w:color="222222"/>
          <w:vertAlign w:val="superscript"/>
        </w:rPr>
        <w:footnoteRef/>
      </w:r>
      <w:r>
        <w:rPr>
          <w:rFonts w:ascii="Times" w:hAnsi="Times"/>
          <w:sz w:val="16"/>
          <w:szCs w:val="16"/>
          <w:lang w:val="en-US"/>
        </w:rPr>
        <w:t xml:space="preserve"> Correspondence about this article should be addressed </w:t>
      </w:r>
      <w:r w:rsidR="00317456" w:rsidRPr="00317456">
        <w:rPr>
          <w:rFonts w:ascii="Times" w:hAnsi="Times"/>
          <w:b/>
          <w:bCs/>
          <w:sz w:val="16"/>
          <w:szCs w:val="16"/>
          <w:lang w:val="en-US"/>
        </w:rPr>
        <w:t>Mateus Egilson da Silva Alves</w:t>
      </w:r>
      <w:r>
        <w:rPr>
          <w:rFonts w:ascii="Times" w:hAnsi="Times"/>
          <w:b/>
          <w:bCs/>
          <w:sz w:val="16"/>
          <w:szCs w:val="16"/>
          <w:lang w:val="en-US"/>
        </w:rPr>
        <w:t xml:space="preserve">: </w:t>
      </w:r>
      <w:hyperlink r:id="rId1" w:history="1">
        <w:r w:rsidR="00317456">
          <w:rPr>
            <w:rStyle w:val="Hipervnculo"/>
            <w:sz w:val="16"/>
            <w:szCs w:val="16"/>
            <w:lang w:val="en-GB"/>
          </w:rPr>
          <w:t>mateusegalves@gmail.com</w:t>
        </w:r>
      </w:hyperlink>
      <w:r>
        <w:rPr>
          <w:sz w:val="16"/>
          <w:szCs w:val="16"/>
          <w:lang w:val="en-GB"/>
        </w:rPr>
        <w:t xml:space="preserve"> </w:t>
      </w:r>
    </w:p>
  </w:footnote>
  <w:footnote w:id="2">
    <w:p w14:paraId="379CAF8A" w14:textId="4BF91772" w:rsidR="00CC7D22" w:rsidRPr="00CC7D22" w:rsidRDefault="00CC7D22">
      <w:pPr>
        <w:pStyle w:val="Textonotapie"/>
        <w:rPr>
          <w:lang w:val="en-US"/>
        </w:rPr>
      </w:pPr>
      <w:r w:rsidRPr="000636EC">
        <w:rPr>
          <w:b/>
          <w:bCs/>
          <w:color w:val="222222"/>
          <w:szCs w:val="28"/>
          <w:u w:color="222222"/>
          <w:bdr w:val="nil"/>
          <w:lang w:val="es-AR"/>
          <w14:textOutline w14:w="0" w14:cap="flat" w14:cmpd="sng" w14:algn="ctr">
            <w14:noFill/>
            <w14:prstDash w14:val="solid"/>
            <w14:bevel/>
          </w14:textOutline>
        </w:rPr>
        <w:footnoteRef/>
      </w:r>
      <w:r w:rsidRPr="000636EC">
        <w:rPr>
          <w:b/>
          <w:bCs/>
          <w:color w:val="222222"/>
          <w:szCs w:val="28"/>
          <w:u w:color="222222"/>
          <w:bdr w:val="nil"/>
          <w:vertAlign w:val="superscript"/>
          <w:lang w:val="en-US"/>
          <w14:textOutline w14:w="0" w14:cap="flat" w14:cmpd="sng" w14:algn="ctr">
            <w14:noFill/>
            <w14:prstDash w14:val="solid"/>
            <w14:bevel/>
          </w14:textOutline>
        </w:rPr>
        <w:t xml:space="preserve"> </w:t>
      </w:r>
      <w:r>
        <w:rPr>
          <w:b/>
          <w:bCs/>
          <w:i/>
          <w:iCs/>
          <w:sz w:val="16"/>
          <w:szCs w:val="16"/>
          <w:lang w:val="en-US"/>
        </w:rPr>
        <w:t>Conflicts of Interest</w:t>
      </w:r>
      <w:r>
        <w:rPr>
          <w:b/>
          <w:bCs/>
          <w:sz w:val="16"/>
          <w:szCs w:val="16"/>
          <w:lang w:val="en-US"/>
        </w:rPr>
        <w:t>:</w:t>
      </w:r>
      <w:r>
        <w:rPr>
          <w:sz w:val="16"/>
          <w:szCs w:val="16"/>
          <w:lang w:val="en-US"/>
        </w:rPr>
        <w:t xml:space="preserve"> The authors declare that the research was conducted in the absence of any commercial or financial relationships that could be construed as a potential conflict of interest.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7FB80" w14:textId="6F8F7920" w:rsidR="00E52901" w:rsidRPr="002D191C" w:rsidRDefault="008F0102" w:rsidP="003C268A">
    <w:pPr>
      <w:pStyle w:val="Encabezado"/>
      <w:jc w:val="center"/>
      <w:rPr>
        <w:rFonts w:ascii="Times" w:hAnsi="Times" w:cs="Times New Roman (Body CS)"/>
        <w:b/>
        <w:bCs/>
        <w:smallCaps/>
        <w:sz w:val="20"/>
        <w:szCs w:val="20"/>
        <w:lang w:val="pt-BR"/>
      </w:rPr>
    </w:pPr>
    <w:r w:rsidRPr="0012112F">
      <w:rPr>
        <w:rFonts w:ascii="Times" w:hAnsi="Times" w:cs="Times New Roman (Body CS)"/>
        <w:b/>
        <w:bCs/>
        <w:smallCaps/>
        <w:sz w:val="20"/>
        <w:szCs w:val="20"/>
        <w:lang w:val="pt-BR"/>
      </w:rPr>
      <w:t>Silva</w:t>
    </w:r>
    <w:r w:rsidRPr="008F0102">
      <w:rPr>
        <w:rFonts w:ascii="Times" w:hAnsi="Times" w:cs="Times New Roman (Body CS)"/>
        <w:b/>
        <w:bCs/>
        <w:smallCaps/>
        <w:sz w:val="20"/>
        <w:szCs w:val="20"/>
        <w:lang w:val="pt-BR"/>
      </w:rPr>
      <w:t>, Araújo, Alves, Bezerra, Sousa, Alcântara, Lima Filho,</w:t>
    </w:r>
    <w:r>
      <w:rPr>
        <w:rFonts w:ascii="Times" w:hAnsi="Times" w:cs="Times New Roman (Body CS)"/>
        <w:b/>
        <w:bCs/>
        <w:smallCaps/>
        <w:sz w:val="20"/>
        <w:szCs w:val="20"/>
        <w:lang w:val="pt-BR"/>
      </w:rPr>
      <w:t xml:space="preserve"> </w:t>
    </w:r>
    <w:r w:rsidRPr="008F0102">
      <w:rPr>
        <w:rFonts w:ascii="Times" w:hAnsi="Times" w:cs="Times New Roman (Body CS)"/>
        <w:b/>
        <w:bCs/>
        <w:smallCaps/>
        <w:sz w:val="20"/>
        <w:szCs w:val="20"/>
        <w:lang w:val="pt-BR"/>
      </w:rPr>
      <w:t>Silva, &amp; Souza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D2C52" w14:textId="77777777" w:rsidR="00E52901" w:rsidRDefault="00E52901" w:rsidP="00C413D4">
    <w:pPr>
      <w:pStyle w:val="Encabezado"/>
      <w:jc w:val="right"/>
      <w:rPr>
        <w:rFonts w:ascii="Times" w:hAnsi="Times"/>
        <w:i/>
        <w:sz w:val="18"/>
        <w:szCs w:val="18"/>
        <w:lang w:val="es-ES"/>
      </w:rPr>
    </w:pPr>
    <w:r>
      <w:rPr>
        <w:noProof/>
        <w:lang w:val="es-AR" w:eastAsia="es-AR"/>
      </w:rPr>
      <w:drawing>
        <wp:anchor distT="0" distB="0" distL="114300" distR="114300" simplePos="0" relativeHeight="251658240" behindDoc="0" locked="0" layoutInCell="1" allowOverlap="1" wp14:anchorId="30062F7D" wp14:editId="11AA49B1">
          <wp:simplePos x="0" y="0"/>
          <wp:positionH relativeFrom="column">
            <wp:posOffset>64655</wp:posOffset>
          </wp:positionH>
          <wp:positionV relativeFrom="paragraph">
            <wp:posOffset>-253538</wp:posOffset>
          </wp:positionV>
          <wp:extent cx="681164" cy="628073"/>
          <wp:effectExtent l="0" t="0" r="5080" b="0"/>
          <wp:wrapNone/>
          <wp:docPr id="9"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Psicología/Interamerican Journal of Psychology</w:t>
    </w:r>
  </w:p>
  <w:p w14:paraId="626A14C3" w14:textId="08A461B1" w:rsidR="00E52901" w:rsidRDefault="00FF2D2D" w:rsidP="00C413D4">
    <w:pPr>
      <w:pStyle w:val="Encabezado"/>
      <w:jc w:val="right"/>
      <w:rPr>
        <w:rFonts w:ascii="Times" w:hAnsi="Times"/>
        <w:i/>
        <w:sz w:val="18"/>
        <w:szCs w:val="18"/>
        <w:lang w:val="es-ES"/>
      </w:rPr>
    </w:pPr>
    <w:r>
      <w:rPr>
        <w:rFonts w:ascii="Times" w:hAnsi="Times"/>
        <w:i/>
        <w:sz w:val="18"/>
        <w:szCs w:val="18"/>
        <w:lang w:val="es-ES"/>
      </w:rPr>
      <w:t>202</w:t>
    </w:r>
    <w:r w:rsidR="005E5A6C">
      <w:rPr>
        <w:rFonts w:ascii="Times" w:hAnsi="Times"/>
        <w:i/>
        <w:sz w:val="18"/>
        <w:szCs w:val="18"/>
        <w:lang w:val="es-ES"/>
      </w:rPr>
      <w:t>2</w:t>
    </w:r>
    <w:r>
      <w:rPr>
        <w:rFonts w:ascii="Times" w:hAnsi="Times"/>
        <w:i/>
        <w:sz w:val="18"/>
        <w:szCs w:val="18"/>
        <w:lang w:val="es-ES"/>
      </w:rPr>
      <w:t>, Vol., 5</w:t>
    </w:r>
    <w:r w:rsidR="005A32E2">
      <w:rPr>
        <w:rFonts w:ascii="Times" w:hAnsi="Times"/>
        <w:i/>
        <w:sz w:val="18"/>
        <w:szCs w:val="18"/>
        <w:lang w:val="es-ES"/>
      </w:rPr>
      <w:t>6</w:t>
    </w:r>
    <w:r>
      <w:rPr>
        <w:rFonts w:ascii="Times" w:hAnsi="Times"/>
        <w:i/>
        <w:sz w:val="18"/>
        <w:szCs w:val="18"/>
        <w:lang w:val="es-ES"/>
      </w:rPr>
      <w:t xml:space="preserve">, No. </w:t>
    </w:r>
    <w:r w:rsidR="005040FB">
      <w:rPr>
        <w:rFonts w:ascii="Times" w:hAnsi="Times"/>
        <w:i/>
        <w:sz w:val="18"/>
        <w:szCs w:val="18"/>
        <w:lang w:val="es-ES"/>
      </w:rPr>
      <w:t>3</w:t>
    </w:r>
    <w:r>
      <w:rPr>
        <w:rFonts w:ascii="Times" w:hAnsi="Times"/>
        <w:i/>
        <w:sz w:val="18"/>
        <w:szCs w:val="18"/>
        <w:lang w:val="es-ES"/>
      </w:rPr>
      <w:t>, e</w:t>
    </w:r>
    <w:r w:rsidR="00D806AD">
      <w:rPr>
        <w:rFonts w:ascii="Times" w:hAnsi="Times"/>
        <w:i/>
        <w:sz w:val="18"/>
        <w:szCs w:val="18"/>
        <w:lang w:val="es-ES"/>
      </w:rPr>
      <w:t>1</w:t>
    </w:r>
    <w:r w:rsidR="00CE6648">
      <w:rPr>
        <w:rFonts w:ascii="Times" w:hAnsi="Times"/>
        <w:i/>
        <w:sz w:val="18"/>
        <w:szCs w:val="18"/>
        <w:lang w:val="es-ES"/>
      </w:rPr>
      <w:t>761</w:t>
    </w:r>
  </w:p>
  <w:p w14:paraId="1AAB67EA" w14:textId="77777777" w:rsidR="00E52901" w:rsidRDefault="00E5290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666C50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84C10E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A43A4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DCA76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D58F9F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ABA125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41A75D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4A896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7D6D11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B26F33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293AC3"/>
    <w:multiLevelType w:val="hybridMultilevel"/>
    <w:tmpl w:val="2B2CB10A"/>
    <w:lvl w:ilvl="0" w:tplc="589A6FFE">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DFE0544"/>
    <w:multiLevelType w:val="hybridMultilevel"/>
    <w:tmpl w:val="E7264A80"/>
    <w:lvl w:ilvl="0" w:tplc="2E80517E">
      <w:start w:val="1"/>
      <w:numFmt w:val="upperRoman"/>
      <w:lvlText w:val="%1."/>
      <w:lvlJc w:val="left"/>
      <w:pPr>
        <w:ind w:left="1440" w:hanging="720"/>
      </w:pPr>
      <w:rPr>
        <w:rFonts w:hint="default"/>
      </w:rPr>
    </w:lvl>
    <w:lvl w:ilvl="1" w:tplc="500A0019">
      <w:start w:val="1"/>
      <w:numFmt w:val="lowerLetter"/>
      <w:lvlText w:val="%2."/>
      <w:lvlJc w:val="left"/>
      <w:pPr>
        <w:ind w:left="1800" w:hanging="360"/>
      </w:pPr>
    </w:lvl>
    <w:lvl w:ilvl="2" w:tplc="500A001B" w:tentative="1">
      <w:start w:val="1"/>
      <w:numFmt w:val="lowerRoman"/>
      <w:lvlText w:val="%3."/>
      <w:lvlJc w:val="right"/>
      <w:pPr>
        <w:ind w:left="2520" w:hanging="180"/>
      </w:pPr>
    </w:lvl>
    <w:lvl w:ilvl="3" w:tplc="500A000F" w:tentative="1">
      <w:start w:val="1"/>
      <w:numFmt w:val="decimal"/>
      <w:lvlText w:val="%4."/>
      <w:lvlJc w:val="left"/>
      <w:pPr>
        <w:ind w:left="3240" w:hanging="360"/>
      </w:pPr>
    </w:lvl>
    <w:lvl w:ilvl="4" w:tplc="500A0019" w:tentative="1">
      <w:start w:val="1"/>
      <w:numFmt w:val="lowerLetter"/>
      <w:lvlText w:val="%5."/>
      <w:lvlJc w:val="left"/>
      <w:pPr>
        <w:ind w:left="3960" w:hanging="360"/>
      </w:pPr>
    </w:lvl>
    <w:lvl w:ilvl="5" w:tplc="500A001B" w:tentative="1">
      <w:start w:val="1"/>
      <w:numFmt w:val="lowerRoman"/>
      <w:lvlText w:val="%6."/>
      <w:lvlJc w:val="right"/>
      <w:pPr>
        <w:ind w:left="4680" w:hanging="180"/>
      </w:pPr>
    </w:lvl>
    <w:lvl w:ilvl="6" w:tplc="500A000F" w:tentative="1">
      <w:start w:val="1"/>
      <w:numFmt w:val="decimal"/>
      <w:lvlText w:val="%7."/>
      <w:lvlJc w:val="left"/>
      <w:pPr>
        <w:ind w:left="5400" w:hanging="360"/>
      </w:pPr>
    </w:lvl>
    <w:lvl w:ilvl="7" w:tplc="500A0019" w:tentative="1">
      <w:start w:val="1"/>
      <w:numFmt w:val="lowerLetter"/>
      <w:lvlText w:val="%8."/>
      <w:lvlJc w:val="left"/>
      <w:pPr>
        <w:ind w:left="6120" w:hanging="360"/>
      </w:pPr>
    </w:lvl>
    <w:lvl w:ilvl="8" w:tplc="500A001B" w:tentative="1">
      <w:start w:val="1"/>
      <w:numFmt w:val="lowerRoman"/>
      <w:lvlText w:val="%9."/>
      <w:lvlJc w:val="right"/>
      <w:pPr>
        <w:ind w:left="6840" w:hanging="180"/>
      </w:pPr>
    </w:lvl>
  </w:abstractNum>
  <w:abstractNum w:abstractNumId="12" w15:restartNumberingAfterBreak="0">
    <w:nsid w:val="107E6041"/>
    <w:multiLevelType w:val="hybridMultilevel"/>
    <w:tmpl w:val="B5A04D64"/>
    <w:lvl w:ilvl="0" w:tplc="B0C61CE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127A04EF"/>
    <w:multiLevelType w:val="hybridMultilevel"/>
    <w:tmpl w:val="05DE5B9C"/>
    <w:lvl w:ilvl="0" w:tplc="500A0001">
      <w:start w:val="1"/>
      <w:numFmt w:val="bullet"/>
      <w:lvlText w:val=""/>
      <w:lvlJc w:val="left"/>
      <w:pPr>
        <w:ind w:left="720" w:hanging="360"/>
      </w:pPr>
      <w:rPr>
        <w:rFonts w:ascii="Symbol" w:hAnsi="Symbol" w:hint="default"/>
      </w:rPr>
    </w:lvl>
    <w:lvl w:ilvl="1" w:tplc="500A0003">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14" w15:restartNumberingAfterBreak="0">
    <w:nsid w:val="1288220A"/>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3F436B9"/>
    <w:multiLevelType w:val="hybridMultilevel"/>
    <w:tmpl w:val="1874927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16404893"/>
    <w:multiLevelType w:val="hybridMultilevel"/>
    <w:tmpl w:val="1FB84F3A"/>
    <w:lvl w:ilvl="0" w:tplc="59A218A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6404CF1"/>
    <w:multiLevelType w:val="hybridMultilevel"/>
    <w:tmpl w:val="7ECA79C2"/>
    <w:lvl w:ilvl="0" w:tplc="D8DCEB90">
      <w:numFmt w:val="bullet"/>
      <w:lvlText w:val="-"/>
      <w:lvlJc w:val="left"/>
      <w:pPr>
        <w:ind w:left="720" w:hanging="360"/>
      </w:pPr>
      <w:rPr>
        <w:rFonts w:ascii="Calibri" w:eastAsia="Calibr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15:restartNumberingAfterBreak="0">
    <w:nsid w:val="1C2A2ED8"/>
    <w:multiLevelType w:val="hybridMultilevel"/>
    <w:tmpl w:val="9E046986"/>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1DA632A1"/>
    <w:multiLevelType w:val="hybridMultilevel"/>
    <w:tmpl w:val="668A2586"/>
    <w:lvl w:ilvl="0" w:tplc="E2382726">
      <w:start w:val="1"/>
      <w:numFmt w:val="upperRoman"/>
      <w:lvlText w:val="%1."/>
      <w:lvlJc w:val="left"/>
      <w:pPr>
        <w:ind w:left="1440" w:hanging="720"/>
      </w:pPr>
      <w:rPr>
        <w:rFonts w:hint="default"/>
      </w:rPr>
    </w:lvl>
    <w:lvl w:ilvl="1" w:tplc="500A0019" w:tentative="1">
      <w:start w:val="1"/>
      <w:numFmt w:val="lowerLetter"/>
      <w:lvlText w:val="%2."/>
      <w:lvlJc w:val="left"/>
      <w:pPr>
        <w:ind w:left="1800" w:hanging="360"/>
      </w:pPr>
    </w:lvl>
    <w:lvl w:ilvl="2" w:tplc="500A001B" w:tentative="1">
      <w:start w:val="1"/>
      <w:numFmt w:val="lowerRoman"/>
      <w:lvlText w:val="%3."/>
      <w:lvlJc w:val="right"/>
      <w:pPr>
        <w:ind w:left="2520" w:hanging="180"/>
      </w:pPr>
    </w:lvl>
    <w:lvl w:ilvl="3" w:tplc="500A000F" w:tentative="1">
      <w:start w:val="1"/>
      <w:numFmt w:val="decimal"/>
      <w:lvlText w:val="%4."/>
      <w:lvlJc w:val="left"/>
      <w:pPr>
        <w:ind w:left="3240" w:hanging="360"/>
      </w:pPr>
    </w:lvl>
    <w:lvl w:ilvl="4" w:tplc="500A0019" w:tentative="1">
      <w:start w:val="1"/>
      <w:numFmt w:val="lowerLetter"/>
      <w:lvlText w:val="%5."/>
      <w:lvlJc w:val="left"/>
      <w:pPr>
        <w:ind w:left="3960" w:hanging="360"/>
      </w:pPr>
    </w:lvl>
    <w:lvl w:ilvl="5" w:tplc="500A001B" w:tentative="1">
      <w:start w:val="1"/>
      <w:numFmt w:val="lowerRoman"/>
      <w:lvlText w:val="%6."/>
      <w:lvlJc w:val="right"/>
      <w:pPr>
        <w:ind w:left="4680" w:hanging="180"/>
      </w:pPr>
    </w:lvl>
    <w:lvl w:ilvl="6" w:tplc="500A000F" w:tentative="1">
      <w:start w:val="1"/>
      <w:numFmt w:val="decimal"/>
      <w:lvlText w:val="%7."/>
      <w:lvlJc w:val="left"/>
      <w:pPr>
        <w:ind w:left="5400" w:hanging="360"/>
      </w:pPr>
    </w:lvl>
    <w:lvl w:ilvl="7" w:tplc="500A0019" w:tentative="1">
      <w:start w:val="1"/>
      <w:numFmt w:val="lowerLetter"/>
      <w:lvlText w:val="%8."/>
      <w:lvlJc w:val="left"/>
      <w:pPr>
        <w:ind w:left="6120" w:hanging="360"/>
      </w:pPr>
    </w:lvl>
    <w:lvl w:ilvl="8" w:tplc="500A001B" w:tentative="1">
      <w:start w:val="1"/>
      <w:numFmt w:val="lowerRoman"/>
      <w:lvlText w:val="%9."/>
      <w:lvlJc w:val="right"/>
      <w:pPr>
        <w:ind w:left="6840" w:hanging="180"/>
      </w:pPr>
    </w:lvl>
  </w:abstractNum>
  <w:abstractNum w:abstractNumId="20" w15:restartNumberingAfterBreak="0">
    <w:nsid w:val="25417283"/>
    <w:multiLevelType w:val="hybridMultilevel"/>
    <w:tmpl w:val="A94A1E68"/>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26985573"/>
    <w:multiLevelType w:val="hybridMultilevel"/>
    <w:tmpl w:val="B2889160"/>
    <w:lvl w:ilvl="0" w:tplc="466E578A">
      <w:start w:val="2"/>
      <w:numFmt w:val="upperRoman"/>
      <w:lvlText w:val="%1."/>
      <w:lvlJc w:val="left"/>
      <w:pPr>
        <w:ind w:left="2160" w:hanging="720"/>
      </w:pPr>
      <w:rPr>
        <w:rFonts w:hint="default"/>
      </w:rPr>
    </w:lvl>
    <w:lvl w:ilvl="1" w:tplc="500A0019">
      <w:start w:val="1"/>
      <w:numFmt w:val="lowerLetter"/>
      <w:lvlText w:val="%2."/>
      <w:lvlJc w:val="left"/>
      <w:pPr>
        <w:ind w:left="2520" w:hanging="360"/>
      </w:pPr>
    </w:lvl>
    <w:lvl w:ilvl="2" w:tplc="500A001B" w:tentative="1">
      <w:start w:val="1"/>
      <w:numFmt w:val="lowerRoman"/>
      <w:lvlText w:val="%3."/>
      <w:lvlJc w:val="right"/>
      <w:pPr>
        <w:ind w:left="3240" w:hanging="180"/>
      </w:pPr>
    </w:lvl>
    <w:lvl w:ilvl="3" w:tplc="500A000F" w:tentative="1">
      <w:start w:val="1"/>
      <w:numFmt w:val="decimal"/>
      <w:lvlText w:val="%4."/>
      <w:lvlJc w:val="left"/>
      <w:pPr>
        <w:ind w:left="3960" w:hanging="360"/>
      </w:pPr>
    </w:lvl>
    <w:lvl w:ilvl="4" w:tplc="500A0019" w:tentative="1">
      <w:start w:val="1"/>
      <w:numFmt w:val="lowerLetter"/>
      <w:lvlText w:val="%5."/>
      <w:lvlJc w:val="left"/>
      <w:pPr>
        <w:ind w:left="4680" w:hanging="360"/>
      </w:pPr>
    </w:lvl>
    <w:lvl w:ilvl="5" w:tplc="500A001B" w:tentative="1">
      <w:start w:val="1"/>
      <w:numFmt w:val="lowerRoman"/>
      <w:lvlText w:val="%6."/>
      <w:lvlJc w:val="right"/>
      <w:pPr>
        <w:ind w:left="5400" w:hanging="180"/>
      </w:pPr>
    </w:lvl>
    <w:lvl w:ilvl="6" w:tplc="500A000F" w:tentative="1">
      <w:start w:val="1"/>
      <w:numFmt w:val="decimal"/>
      <w:lvlText w:val="%7."/>
      <w:lvlJc w:val="left"/>
      <w:pPr>
        <w:ind w:left="6120" w:hanging="360"/>
      </w:pPr>
    </w:lvl>
    <w:lvl w:ilvl="7" w:tplc="500A0019" w:tentative="1">
      <w:start w:val="1"/>
      <w:numFmt w:val="lowerLetter"/>
      <w:lvlText w:val="%8."/>
      <w:lvlJc w:val="left"/>
      <w:pPr>
        <w:ind w:left="6840" w:hanging="360"/>
      </w:pPr>
    </w:lvl>
    <w:lvl w:ilvl="8" w:tplc="500A001B" w:tentative="1">
      <w:start w:val="1"/>
      <w:numFmt w:val="lowerRoman"/>
      <w:lvlText w:val="%9."/>
      <w:lvlJc w:val="right"/>
      <w:pPr>
        <w:ind w:left="7560" w:hanging="180"/>
      </w:pPr>
    </w:lvl>
  </w:abstractNum>
  <w:abstractNum w:abstractNumId="22" w15:restartNumberingAfterBreak="0">
    <w:nsid w:val="28212598"/>
    <w:multiLevelType w:val="hybridMultilevel"/>
    <w:tmpl w:val="6F5A32BE"/>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2A384E7B"/>
    <w:multiLevelType w:val="hybridMultilevel"/>
    <w:tmpl w:val="9BB84B1A"/>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15:restartNumberingAfterBreak="0">
    <w:nsid w:val="2D234B3B"/>
    <w:multiLevelType w:val="hybridMultilevel"/>
    <w:tmpl w:val="B19C3082"/>
    <w:lvl w:ilvl="0" w:tplc="CE2894EC">
      <w:start w:val="1"/>
      <w:numFmt w:val="upperRoman"/>
      <w:lvlText w:val="%1."/>
      <w:lvlJc w:val="left"/>
      <w:pPr>
        <w:ind w:left="1440" w:hanging="720"/>
      </w:pPr>
      <w:rPr>
        <w:rFonts w:hint="default"/>
      </w:rPr>
    </w:lvl>
    <w:lvl w:ilvl="1" w:tplc="500A0019">
      <w:start w:val="1"/>
      <w:numFmt w:val="lowerLetter"/>
      <w:lvlText w:val="%2."/>
      <w:lvlJc w:val="left"/>
      <w:pPr>
        <w:ind w:left="1800" w:hanging="360"/>
      </w:pPr>
    </w:lvl>
    <w:lvl w:ilvl="2" w:tplc="500A001B" w:tentative="1">
      <w:start w:val="1"/>
      <w:numFmt w:val="lowerRoman"/>
      <w:lvlText w:val="%3."/>
      <w:lvlJc w:val="right"/>
      <w:pPr>
        <w:ind w:left="2520" w:hanging="180"/>
      </w:pPr>
    </w:lvl>
    <w:lvl w:ilvl="3" w:tplc="500A000F" w:tentative="1">
      <w:start w:val="1"/>
      <w:numFmt w:val="decimal"/>
      <w:lvlText w:val="%4."/>
      <w:lvlJc w:val="left"/>
      <w:pPr>
        <w:ind w:left="3240" w:hanging="360"/>
      </w:pPr>
    </w:lvl>
    <w:lvl w:ilvl="4" w:tplc="500A0019" w:tentative="1">
      <w:start w:val="1"/>
      <w:numFmt w:val="lowerLetter"/>
      <w:lvlText w:val="%5."/>
      <w:lvlJc w:val="left"/>
      <w:pPr>
        <w:ind w:left="3960" w:hanging="360"/>
      </w:pPr>
    </w:lvl>
    <w:lvl w:ilvl="5" w:tplc="500A001B" w:tentative="1">
      <w:start w:val="1"/>
      <w:numFmt w:val="lowerRoman"/>
      <w:lvlText w:val="%6."/>
      <w:lvlJc w:val="right"/>
      <w:pPr>
        <w:ind w:left="4680" w:hanging="180"/>
      </w:pPr>
    </w:lvl>
    <w:lvl w:ilvl="6" w:tplc="500A000F" w:tentative="1">
      <w:start w:val="1"/>
      <w:numFmt w:val="decimal"/>
      <w:lvlText w:val="%7."/>
      <w:lvlJc w:val="left"/>
      <w:pPr>
        <w:ind w:left="5400" w:hanging="360"/>
      </w:pPr>
    </w:lvl>
    <w:lvl w:ilvl="7" w:tplc="500A0019" w:tentative="1">
      <w:start w:val="1"/>
      <w:numFmt w:val="lowerLetter"/>
      <w:lvlText w:val="%8."/>
      <w:lvlJc w:val="left"/>
      <w:pPr>
        <w:ind w:left="6120" w:hanging="360"/>
      </w:pPr>
    </w:lvl>
    <w:lvl w:ilvl="8" w:tplc="500A001B" w:tentative="1">
      <w:start w:val="1"/>
      <w:numFmt w:val="lowerRoman"/>
      <w:lvlText w:val="%9."/>
      <w:lvlJc w:val="right"/>
      <w:pPr>
        <w:ind w:left="6840" w:hanging="180"/>
      </w:pPr>
    </w:lvl>
  </w:abstractNum>
  <w:abstractNum w:abstractNumId="25" w15:restartNumberingAfterBreak="0">
    <w:nsid w:val="2D361ED5"/>
    <w:multiLevelType w:val="multilevel"/>
    <w:tmpl w:val="1876C900"/>
    <w:lvl w:ilvl="0">
      <w:start w:val="1"/>
      <w:numFmt w:val="decimal"/>
      <w:lvlText w:val="(%1)"/>
      <w:lvlJc w:val="left"/>
      <w:pPr>
        <w:ind w:left="720" w:hanging="360"/>
      </w:pPr>
      <w:rPr>
        <w:color w:val="00000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6" w15:restartNumberingAfterBreak="0">
    <w:nsid w:val="2E5D5C8C"/>
    <w:multiLevelType w:val="hybridMultilevel"/>
    <w:tmpl w:val="3FC0FFC0"/>
    <w:lvl w:ilvl="0" w:tplc="04160001">
      <w:start w:val="1"/>
      <w:numFmt w:val="bullet"/>
      <w:lvlText w:val=""/>
      <w:lvlJc w:val="left"/>
      <w:pPr>
        <w:ind w:left="720" w:hanging="360"/>
      </w:pPr>
      <w:rPr>
        <w:rFonts w:ascii="Symbol" w:hAnsi="Symbol" w:cs="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cs="Wingdings" w:hint="default"/>
      </w:rPr>
    </w:lvl>
    <w:lvl w:ilvl="3" w:tplc="04160001" w:tentative="1">
      <w:start w:val="1"/>
      <w:numFmt w:val="bullet"/>
      <w:lvlText w:val=""/>
      <w:lvlJc w:val="left"/>
      <w:pPr>
        <w:ind w:left="2880" w:hanging="360"/>
      </w:pPr>
      <w:rPr>
        <w:rFonts w:ascii="Symbol" w:hAnsi="Symbol" w:cs="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cs="Wingdings" w:hint="default"/>
      </w:rPr>
    </w:lvl>
    <w:lvl w:ilvl="6" w:tplc="04160001" w:tentative="1">
      <w:start w:val="1"/>
      <w:numFmt w:val="bullet"/>
      <w:lvlText w:val=""/>
      <w:lvlJc w:val="left"/>
      <w:pPr>
        <w:ind w:left="5040" w:hanging="360"/>
      </w:pPr>
      <w:rPr>
        <w:rFonts w:ascii="Symbol" w:hAnsi="Symbol" w:cs="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308B72A1"/>
    <w:multiLevelType w:val="hybridMultilevel"/>
    <w:tmpl w:val="8F8C8018"/>
    <w:lvl w:ilvl="0" w:tplc="2C0A000F">
      <w:start w:val="1"/>
      <w:numFmt w:val="decimal"/>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28" w15:restartNumberingAfterBreak="0">
    <w:nsid w:val="325947E5"/>
    <w:multiLevelType w:val="hybridMultilevel"/>
    <w:tmpl w:val="CC00BED8"/>
    <w:lvl w:ilvl="0" w:tplc="140A000F">
      <w:start w:val="1"/>
      <w:numFmt w:val="decimal"/>
      <w:lvlText w:val="%1."/>
      <w:lvlJc w:val="left"/>
      <w:pPr>
        <w:ind w:left="72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9" w15:restartNumberingAfterBreak="0">
    <w:nsid w:val="344D371E"/>
    <w:multiLevelType w:val="hybridMultilevel"/>
    <w:tmpl w:val="805A9EF0"/>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353502C0"/>
    <w:multiLevelType w:val="hybridMultilevel"/>
    <w:tmpl w:val="43CEA394"/>
    <w:lvl w:ilvl="0" w:tplc="5A6AF23C">
      <w:start w:val="1"/>
      <w:numFmt w:val="bullet"/>
      <w:lvlText w:val=""/>
      <w:lvlJc w:val="left"/>
      <w:pPr>
        <w:ind w:left="113" w:hanging="113"/>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1" w15:restartNumberingAfterBreak="0">
    <w:nsid w:val="36837475"/>
    <w:multiLevelType w:val="hybridMultilevel"/>
    <w:tmpl w:val="1A3499CA"/>
    <w:lvl w:ilvl="0" w:tplc="B66E26C2">
      <w:start w:val="8"/>
      <w:numFmt w:val="decimal"/>
      <w:lvlText w:val="%1."/>
      <w:lvlJc w:val="left"/>
      <w:pPr>
        <w:ind w:left="72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2" w15:restartNumberingAfterBreak="0">
    <w:nsid w:val="372F46A2"/>
    <w:multiLevelType w:val="hybridMultilevel"/>
    <w:tmpl w:val="8E54A788"/>
    <w:lvl w:ilvl="0" w:tplc="8B827A6E">
      <w:start w:val="1"/>
      <w:numFmt w:val="decimal"/>
      <w:lvlText w:val="%1."/>
      <w:lvlJc w:val="left"/>
      <w:pPr>
        <w:ind w:left="928" w:hanging="360"/>
      </w:pPr>
      <w:rPr>
        <w:rFonts w:hint="default"/>
        <w:color w:val="auto"/>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3" w15:restartNumberingAfterBreak="0">
    <w:nsid w:val="38C47AA7"/>
    <w:multiLevelType w:val="hybridMultilevel"/>
    <w:tmpl w:val="4DD65910"/>
    <w:lvl w:ilvl="0" w:tplc="500A0001">
      <w:start w:val="1"/>
      <w:numFmt w:val="bullet"/>
      <w:lvlText w:val=""/>
      <w:lvlJc w:val="left"/>
      <w:pPr>
        <w:ind w:left="720" w:hanging="360"/>
      </w:pPr>
      <w:rPr>
        <w:rFonts w:ascii="Symbol" w:hAnsi="Symbol" w:hint="default"/>
      </w:rPr>
    </w:lvl>
    <w:lvl w:ilvl="1" w:tplc="500A0003">
      <w:start w:val="1"/>
      <w:numFmt w:val="bullet"/>
      <w:lvlText w:val="o"/>
      <w:lvlJc w:val="left"/>
      <w:pPr>
        <w:ind w:left="1440" w:hanging="360"/>
      </w:pPr>
      <w:rPr>
        <w:rFonts w:ascii="Courier New" w:hAnsi="Courier New" w:cs="Courier New" w:hint="default"/>
      </w:rPr>
    </w:lvl>
    <w:lvl w:ilvl="2" w:tplc="500A0005">
      <w:start w:val="1"/>
      <w:numFmt w:val="bullet"/>
      <w:lvlText w:val=""/>
      <w:lvlJc w:val="left"/>
      <w:pPr>
        <w:ind w:left="2160" w:hanging="360"/>
      </w:pPr>
      <w:rPr>
        <w:rFonts w:ascii="Wingdings" w:hAnsi="Wingdings" w:hint="default"/>
      </w:rPr>
    </w:lvl>
    <w:lvl w:ilvl="3" w:tplc="500A000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34" w15:restartNumberingAfterBreak="0">
    <w:nsid w:val="4F372584"/>
    <w:multiLevelType w:val="hybridMultilevel"/>
    <w:tmpl w:val="A2C4BC44"/>
    <w:lvl w:ilvl="0" w:tplc="E0AE394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504041"/>
    <w:multiLevelType w:val="hybridMultilevel"/>
    <w:tmpl w:val="9A6484D0"/>
    <w:lvl w:ilvl="0" w:tplc="140A000F">
      <w:start w:val="3"/>
      <w:numFmt w:val="decimal"/>
      <w:lvlText w:val="%1."/>
      <w:lvlJc w:val="left"/>
      <w:pPr>
        <w:ind w:left="360" w:hanging="360"/>
      </w:pPr>
      <w:rPr>
        <w:rFonts w:hint="default"/>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36" w15:restartNumberingAfterBreak="0">
    <w:nsid w:val="5B811ECA"/>
    <w:multiLevelType w:val="hybridMultilevel"/>
    <w:tmpl w:val="46409138"/>
    <w:lvl w:ilvl="0" w:tplc="2C0A000F">
      <w:start w:val="1"/>
      <w:numFmt w:val="decimal"/>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37" w15:restartNumberingAfterBreak="0">
    <w:nsid w:val="5C487683"/>
    <w:multiLevelType w:val="hybridMultilevel"/>
    <w:tmpl w:val="E0EE8B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C7837A2"/>
    <w:multiLevelType w:val="hybridMultilevel"/>
    <w:tmpl w:val="5EAC5A1E"/>
    <w:lvl w:ilvl="0" w:tplc="140A000F">
      <w:start w:val="3"/>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9" w15:restartNumberingAfterBreak="0">
    <w:nsid w:val="5ECC7FFE"/>
    <w:multiLevelType w:val="hybridMultilevel"/>
    <w:tmpl w:val="0EECF9C0"/>
    <w:lvl w:ilvl="0" w:tplc="140A000F">
      <w:start w:val="1"/>
      <w:numFmt w:val="decimal"/>
      <w:lvlText w:val="%1."/>
      <w:lvlJc w:val="left"/>
      <w:pPr>
        <w:ind w:left="1778" w:hanging="360"/>
      </w:pPr>
      <w:rPr>
        <w:rFonts w:hint="default"/>
      </w:rPr>
    </w:lvl>
    <w:lvl w:ilvl="1" w:tplc="140A0019" w:tentative="1">
      <w:start w:val="1"/>
      <w:numFmt w:val="lowerLetter"/>
      <w:lvlText w:val="%2."/>
      <w:lvlJc w:val="left"/>
      <w:pPr>
        <w:ind w:left="2498" w:hanging="360"/>
      </w:pPr>
    </w:lvl>
    <w:lvl w:ilvl="2" w:tplc="140A001B" w:tentative="1">
      <w:start w:val="1"/>
      <w:numFmt w:val="lowerRoman"/>
      <w:lvlText w:val="%3."/>
      <w:lvlJc w:val="right"/>
      <w:pPr>
        <w:ind w:left="3218" w:hanging="180"/>
      </w:pPr>
    </w:lvl>
    <w:lvl w:ilvl="3" w:tplc="140A000F" w:tentative="1">
      <w:start w:val="1"/>
      <w:numFmt w:val="decimal"/>
      <w:lvlText w:val="%4."/>
      <w:lvlJc w:val="left"/>
      <w:pPr>
        <w:ind w:left="3938" w:hanging="360"/>
      </w:pPr>
    </w:lvl>
    <w:lvl w:ilvl="4" w:tplc="140A0019" w:tentative="1">
      <w:start w:val="1"/>
      <w:numFmt w:val="lowerLetter"/>
      <w:lvlText w:val="%5."/>
      <w:lvlJc w:val="left"/>
      <w:pPr>
        <w:ind w:left="4658" w:hanging="360"/>
      </w:pPr>
    </w:lvl>
    <w:lvl w:ilvl="5" w:tplc="140A001B" w:tentative="1">
      <w:start w:val="1"/>
      <w:numFmt w:val="lowerRoman"/>
      <w:lvlText w:val="%6."/>
      <w:lvlJc w:val="right"/>
      <w:pPr>
        <w:ind w:left="5378" w:hanging="180"/>
      </w:pPr>
    </w:lvl>
    <w:lvl w:ilvl="6" w:tplc="140A000F" w:tentative="1">
      <w:start w:val="1"/>
      <w:numFmt w:val="decimal"/>
      <w:lvlText w:val="%7."/>
      <w:lvlJc w:val="left"/>
      <w:pPr>
        <w:ind w:left="6098" w:hanging="360"/>
      </w:pPr>
    </w:lvl>
    <w:lvl w:ilvl="7" w:tplc="140A0019" w:tentative="1">
      <w:start w:val="1"/>
      <w:numFmt w:val="lowerLetter"/>
      <w:lvlText w:val="%8."/>
      <w:lvlJc w:val="left"/>
      <w:pPr>
        <w:ind w:left="6818" w:hanging="360"/>
      </w:pPr>
    </w:lvl>
    <w:lvl w:ilvl="8" w:tplc="140A001B" w:tentative="1">
      <w:start w:val="1"/>
      <w:numFmt w:val="lowerRoman"/>
      <w:lvlText w:val="%9."/>
      <w:lvlJc w:val="right"/>
      <w:pPr>
        <w:ind w:left="7538" w:hanging="180"/>
      </w:pPr>
    </w:lvl>
  </w:abstractNum>
  <w:abstractNum w:abstractNumId="40" w15:restartNumberingAfterBreak="0">
    <w:nsid w:val="5FC24D84"/>
    <w:multiLevelType w:val="hybridMultilevel"/>
    <w:tmpl w:val="17FA5764"/>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1" w15:restartNumberingAfterBreak="0">
    <w:nsid w:val="6E7F4DAD"/>
    <w:multiLevelType w:val="hybridMultilevel"/>
    <w:tmpl w:val="69BEF6AE"/>
    <w:lvl w:ilvl="0" w:tplc="E7403B7E">
      <w:start w:val="5"/>
      <w:numFmt w:val="decimal"/>
      <w:lvlText w:val="%1."/>
      <w:lvlJc w:val="left"/>
      <w:pPr>
        <w:ind w:left="72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2" w15:restartNumberingAfterBreak="0">
    <w:nsid w:val="6F265F87"/>
    <w:multiLevelType w:val="hybridMultilevel"/>
    <w:tmpl w:val="0518D1A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3" w15:restartNumberingAfterBreak="0">
    <w:nsid w:val="72F75140"/>
    <w:multiLevelType w:val="hybridMultilevel"/>
    <w:tmpl w:val="B4E07B0E"/>
    <w:lvl w:ilvl="0" w:tplc="500A0019">
      <w:start w:val="1"/>
      <w:numFmt w:val="lowerLetter"/>
      <w:lvlText w:val="%1."/>
      <w:lvlJc w:val="left"/>
      <w:pPr>
        <w:ind w:left="1800" w:hanging="360"/>
      </w:pPr>
    </w:lvl>
    <w:lvl w:ilvl="1" w:tplc="500A0019" w:tentative="1">
      <w:start w:val="1"/>
      <w:numFmt w:val="lowerLetter"/>
      <w:lvlText w:val="%2."/>
      <w:lvlJc w:val="left"/>
      <w:pPr>
        <w:ind w:left="2520" w:hanging="360"/>
      </w:pPr>
    </w:lvl>
    <w:lvl w:ilvl="2" w:tplc="500A001B" w:tentative="1">
      <w:start w:val="1"/>
      <w:numFmt w:val="lowerRoman"/>
      <w:lvlText w:val="%3."/>
      <w:lvlJc w:val="right"/>
      <w:pPr>
        <w:ind w:left="3240" w:hanging="180"/>
      </w:pPr>
    </w:lvl>
    <w:lvl w:ilvl="3" w:tplc="500A000F" w:tentative="1">
      <w:start w:val="1"/>
      <w:numFmt w:val="decimal"/>
      <w:lvlText w:val="%4."/>
      <w:lvlJc w:val="left"/>
      <w:pPr>
        <w:ind w:left="3960" w:hanging="360"/>
      </w:pPr>
    </w:lvl>
    <w:lvl w:ilvl="4" w:tplc="500A0019" w:tentative="1">
      <w:start w:val="1"/>
      <w:numFmt w:val="lowerLetter"/>
      <w:lvlText w:val="%5."/>
      <w:lvlJc w:val="left"/>
      <w:pPr>
        <w:ind w:left="4680" w:hanging="360"/>
      </w:pPr>
    </w:lvl>
    <w:lvl w:ilvl="5" w:tplc="500A001B" w:tentative="1">
      <w:start w:val="1"/>
      <w:numFmt w:val="lowerRoman"/>
      <w:lvlText w:val="%6."/>
      <w:lvlJc w:val="right"/>
      <w:pPr>
        <w:ind w:left="5400" w:hanging="180"/>
      </w:pPr>
    </w:lvl>
    <w:lvl w:ilvl="6" w:tplc="500A000F" w:tentative="1">
      <w:start w:val="1"/>
      <w:numFmt w:val="decimal"/>
      <w:lvlText w:val="%7."/>
      <w:lvlJc w:val="left"/>
      <w:pPr>
        <w:ind w:left="6120" w:hanging="360"/>
      </w:pPr>
    </w:lvl>
    <w:lvl w:ilvl="7" w:tplc="500A0019" w:tentative="1">
      <w:start w:val="1"/>
      <w:numFmt w:val="lowerLetter"/>
      <w:lvlText w:val="%8."/>
      <w:lvlJc w:val="left"/>
      <w:pPr>
        <w:ind w:left="6840" w:hanging="360"/>
      </w:pPr>
    </w:lvl>
    <w:lvl w:ilvl="8" w:tplc="500A001B" w:tentative="1">
      <w:start w:val="1"/>
      <w:numFmt w:val="lowerRoman"/>
      <w:lvlText w:val="%9."/>
      <w:lvlJc w:val="right"/>
      <w:pPr>
        <w:ind w:left="7560" w:hanging="180"/>
      </w:pPr>
    </w:lvl>
  </w:abstractNum>
  <w:abstractNum w:abstractNumId="44" w15:restartNumberingAfterBreak="0">
    <w:nsid w:val="7B22114C"/>
    <w:multiLevelType w:val="hybridMultilevel"/>
    <w:tmpl w:val="8968BA26"/>
    <w:lvl w:ilvl="0" w:tplc="B97694C6">
      <w:start w:val="1"/>
      <w:numFmt w:val="decimal"/>
      <w:lvlText w:val="%1."/>
      <w:lvlJc w:val="left"/>
      <w:pPr>
        <w:ind w:left="720" w:hanging="360"/>
      </w:pPr>
    </w:lvl>
    <w:lvl w:ilvl="1" w:tplc="FC96B8E4">
      <w:start w:val="1"/>
      <w:numFmt w:val="lowerLetter"/>
      <w:lvlText w:val="%2."/>
      <w:lvlJc w:val="left"/>
      <w:pPr>
        <w:ind w:left="1440" w:hanging="360"/>
      </w:pPr>
    </w:lvl>
    <w:lvl w:ilvl="2" w:tplc="AD1EDDB8">
      <w:start w:val="1"/>
      <w:numFmt w:val="lowerRoman"/>
      <w:lvlText w:val="%3."/>
      <w:lvlJc w:val="right"/>
      <w:pPr>
        <w:ind w:left="2160" w:hanging="180"/>
      </w:pPr>
    </w:lvl>
    <w:lvl w:ilvl="3" w:tplc="76FC43B6">
      <w:start w:val="1"/>
      <w:numFmt w:val="decimal"/>
      <w:lvlText w:val="%4."/>
      <w:lvlJc w:val="left"/>
      <w:pPr>
        <w:ind w:left="2880" w:hanging="360"/>
      </w:pPr>
    </w:lvl>
    <w:lvl w:ilvl="4" w:tplc="2A461714">
      <w:start w:val="1"/>
      <w:numFmt w:val="lowerLetter"/>
      <w:lvlText w:val="%5."/>
      <w:lvlJc w:val="left"/>
      <w:pPr>
        <w:ind w:left="3600" w:hanging="360"/>
      </w:pPr>
    </w:lvl>
    <w:lvl w:ilvl="5" w:tplc="B4384224">
      <w:start w:val="1"/>
      <w:numFmt w:val="lowerRoman"/>
      <w:lvlText w:val="%6."/>
      <w:lvlJc w:val="right"/>
      <w:pPr>
        <w:ind w:left="4320" w:hanging="180"/>
      </w:pPr>
    </w:lvl>
    <w:lvl w:ilvl="6" w:tplc="C4EE644A">
      <w:start w:val="1"/>
      <w:numFmt w:val="decimal"/>
      <w:lvlText w:val="%7."/>
      <w:lvlJc w:val="left"/>
      <w:pPr>
        <w:ind w:left="5040" w:hanging="360"/>
      </w:pPr>
    </w:lvl>
    <w:lvl w:ilvl="7" w:tplc="C082C75C">
      <w:start w:val="1"/>
      <w:numFmt w:val="lowerLetter"/>
      <w:lvlText w:val="%8."/>
      <w:lvlJc w:val="left"/>
      <w:pPr>
        <w:ind w:left="5760" w:hanging="360"/>
      </w:pPr>
    </w:lvl>
    <w:lvl w:ilvl="8" w:tplc="9070A572">
      <w:start w:val="1"/>
      <w:numFmt w:val="lowerRoman"/>
      <w:lvlText w:val="%9."/>
      <w:lvlJc w:val="right"/>
      <w:pPr>
        <w:ind w:left="6480" w:hanging="180"/>
      </w:pPr>
    </w:lvl>
  </w:abstractNum>
  <w:abstractNum w:abstractNumId="45" w15:restartNumberingAfterBreak="0">
    <w:nsid w:val="7EC11118"/>
    <w:multiLevelType w:val="hybridMultilevel"/>
    <w:tmpl w:val="F31034A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6" w15:restartNumberingAfterBreak="0">
    <w:nsid w:val="7FC86A61"/>
    <w:multiLevelType w:val="hybridMultilevel"/>
    <w:tmpl w:val="8818A024"/>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16cid:durableId="1106577365">
    <w:abstractNumId w:val="28"/>
  </w:num>
  <w:num w:numId="2" w16cid:durableId="1135105889">
    <w:abstractNumId w:val="45"/>
  </w:num>
  <w:num w:numId="3" w16cid:durableId="685864268">
    <w:abstractNumId w:val="14"/>
  </w:num>
  <w:num w:numId="4" w16cid:durableId="882711850">
    <w:abstractNumId w:val="38"/>
  </w:num>
  <w:num w:numId="5" w16cid:durableId="1863208417">
    <w:abstractNumId w:val="46"/>
  </w:num>
  <w:num w:numId="6" w16cid:durableId="449394346">
    <w:abstractNumId w:val="39"/>
  </w:num>
  <w:num w:numId="7" w16cid:durableId="2110735332">
    <w:abstractNumId w:val="32"/>
  </w:num>
  <w:num w:numId="8" w16cid:durableId="1934969485">
    <w:abstractNumId w:val="35"/>
  </w:num>
  <w:num w:numId="9" w16cid:durableId="1699116878">
    <w:abstractNumId w:val="41"/>
  </w:num>
  <w:num w:numId="10" w16cid:durableId="1621061600">
    <w:abstractNumId w:val="31"/>
  </w:num>
  <w:num w:numId="11" w16cid:durableId="61411983">
    <w:abstractNumId w:val="25"/>
  </w:num>
  <w:num w:numId="12" w16cid:durableId="1550604629">
    <w:abstractNumId w:val="12"/>
  </w:num>
  <w:num w:numId="13" w16cid:durableId="293751097">
    <w:abstractNumId w:val="17"/>
  </w:num>
  <w:num w:numId="14" w16cid:durableId="440344069">
    <w:abstractNumId w:val="19"/>
  </w:num>
  <w:num w:numId="15" w16cid:durableId="1024673242">
    <w:abstractNumId w:val="24"/>
  </w:num>
  <w:num w:numId="16" w16cid:durableId="1515457493">
    <w:abstractNumId w:val="43"/>
  </w:num>
  <w:num w:numId="17" w16cid:durableId="1163742754">
    <w:abstractNumId w:val="21"/>
  </w:num>
  <w:num w:numId="18" w16cid:durableId="1645088693">
    <w:abstractNumId w:val="13"/>
  </w:num>
  <w:num w:numId="19" w16cid:durableId="751855352">
    <w:abstractNumId w:val="33"/>
  </w:num>
  <w:num w:numId="20" w16cid:durableId="1743989866">
    <w:abstractNumId w:val="10"/>
  </w:num>
  <w:num w:numId="21" w16cid:durableId="1940941056">
    <w:abstractNumId w:val="11"/>
  </w:num>
  <w:num w:numId="22" w16cid:durableId="1016274767">
    <w:abstractNumId w:val="26"/>
  </w:num>
  <w:num w:numId="23" w16cid:durableId="591158440">
    <w:abstractNumId w:val="34"/>
  </w:num>
  <w:num w:numId="24" w16cid:durableId="729764202">
    <w:abstractNumId w:val="4"/>
  </w:num>
  <w:num w:numId="25" w16cid:durableId="907033377">
    <w:abstractNumId w:val="5"/>
  </w:num>
  <w:num w:numId="26" w16cid:durableId="1751611412">
    <w:abstractNumId w:val="6"/>
  </w:num>
  <w:num w:numId="27" w16cid:durableId="619798779">
    <w:abstractNumId w:val="7"/>
  </w:num>
  <w:num w:numId="28" w16cid:durableId="12804818">
    <w:abstractNumId w:val="9"/>
  </w:num>
  <w:num w:numId="29" w16cid:durableId="1561747293">
    <w:abstractNumId w:val="0"/>
  </w:num>
  <w:num w:numId="30" w16cid:durableId="824780147">
    <w:abstractNumId w:val="1"/>
  </w:num>
  <w:num w:numId="31" w16cid:durableId="1052189403">
    <w:abstractNumId w:val="2"/>
  </w:num>
  <w:num w:numId="32" w16cid:durableId="839151669">
    <w:abstractNumId w:val="3"/>
  </w:num>
  <w:num w:numId="33" w16cid:durableId="559557826">
    <w:abstractNumId w:val="8"/>
  </w:num>
  <w:num w:numId="34" w16cid:durableId="1726636147">
    <w:abstractNumId w:val="16"/>
  </w:num>
  <w:num w:numId="35" w16cid:durableId="900292656">
    <w:abstractNumId w:val="22"/>
  </w:num>
  <w:num w:numId="36" w16cid:durableId="521473925">
    <w:abstractNumId w:val="20"/>
  </w:num>
  <w:num w:numId="37" w16cid:durableId="1313754369">
    <w:abstractNumId w:val="40"/>
  </w:num>
  <w:num w:numId="38" w16cid:durableId="209077189">
    <w:abstractNumId w:val="23"/>
  </w:num>
  <w:num w:numId="39" w16cid:durableId="415247800">
    <w:abstractNumId w:val="18"/>
  </w:num>
  <w:num w:numId="40" w16cid:durableId="1458913303">
    <w:abstractNumId w:val="29"/>
  </w:num>
  <w:num w:numId="41" w16cid:durableId="131755655">
    <w:abstractNumId w:val="15"/>
  </w:num>
  <w:num w:numId="42" w16cid:durableId="1767270620">
    <w:abstractNumId w:val="42"/>
  </w:num>
  <w:num w:numId="43" w16cid:durableId="1859539628">
    <w:abstractNumId w:val="30"/>
  </w:num>
  <w:num w:numId="44" w16cid:durableId="351078666">
    <w:abstractNumId w:val="36"/>
  </w:num>
  <w:num w:numId="45" w16cid:durableId="1498571842">
    <w:abstractNumId w:val="27"/>
  </w:num>
  <w:num w:numId="46" w16cid:durableId="427313285">
    <w:abstractNumId w:val="37"/>
  </w:num>
  <w:num w:numId="47" w16cid:durableId="503130328">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D04"/>
    <w:rsid w:val="00001EB7"/>
    <w:rsid w:val="0000650C"/>
    <w:rsid w:val="000104E5"/>
    <w:rsid w:val="00012352"/>
    <w:rsid w:val="000134B3"/>
    <w:rsid w:val="00020341"/>
    <w:rsid w:val="000378AF"/>
    <w:rsid w:val="00040B6C"/>
    <w:rsid w:val="00043604"/>
    <w:rsid w:val="0005428C"/>
    <w:rsid w:val="000547D8"/>
    <w:rsid w:val="000636EC"/>
    <w:rsid w:val="00064F18"/>
    <w:rsid w:val="00067898"/>
    <w:rsid w:val="000715BB"/>
    <w:rsid w:val="000733FA"/>
    <w:rsid w:val="00075F71"/>
    <w:rsid w:val="000815D5"/>
    <w:rsid w:val="000928CA"/>
    <w:rsid w:val="00094513"/>
    <w:rsid w:val="000A323A"/>
    <w:rsid w:val="000A6ECE"/>
    <w:rsid w:val="000B01FD"/>
    <w:rsid w:val="000B1FE0"/>
    <w:rsid w:val="000B32F6"/>
    <w:rsid w:val="000B6BFA"/>
    <w:rsid w:val="000B7ADC"/>
    <w:rsid w:val="000D111A"/>
    <w:rsid w:val="000D6953"/>
    <w:rsid w:val="000E759A"/>
    <w:rsid w:val="000F56BA"/>
    <w:rsid w:val="000F5A4E"/>
    <w:rsid w:val="001001E7"/>
    <w:rsid w:val="00100487"/>
    <w:rsid w:val="001006DE"/>
    <w:rsid w:val="00105D4F"/>
    <w:rsid w:val="00106780"/>
    <w:rsid w:val="001127D1"/>
    <w:rsid w:val="0012112F"/>
    <w:rsid w:val="001253E7"/>
    <w:rsid w:val="00136F83"/>
    <w:rsid w:val="001444E3"/>
    <w:rsid w:val="0014506C"/>
    <w:rsid w:val="0014510D"/>
    <w:rsid w:val="00146254"/>
    <w:rsid w:val="001465A7"/>
    <w:rsid w:val="00147EED"/>
    <w:rsid w:val="00151604"/>
    <w:rsid w:val="00153CA7"/>
    <w:rsid w:val="001565EE"/>
    <w:rsid w:val="00160E3C"/>
    <w:rsid w:val="00166DA0"/>
    <w:rsid w:val="00167A76"/>
    <w:rsid w:val="00171E35"/>
    <w:rsid w:val="001721EB"/>
    <w:rsid w:val="00173AA9"/>
    <w:rsid w:val="001761E7"/>
    <w:rsid w:val="0017709E"/>
    <w:rsid w:val="00180590"/>
    <w:rsid w:val="0018535A"/>
    <w:rsid w:val="001871D2"/>
    <w:rsid w:val="00191CBC"/>
    <w:rsid w:val="001941FE"/>
    <w:rsid w:val="00194839"/>
    <w:rsid w:val="00197853"/>
    <w:rsid w:val="001A2835"/>
    <w:rsid w:val="001A3023"/>
    <w:rsid w:val="001A4444"/>
    <w:rsid w:val="001A695F"/>
    <w:rsid w:val="001C41E9"/>
    <w:rsid w:val="001C4490"/>
    <w:rsid w:val="001C4E1C"/>
    <w:rsid w:val="001D354F"/>
    <w:rsid w:val="001E1F5C"/>
    <w:rsid w:val="001E1F61"/>
    <w:rsid w:val="001E4251"/>
    <w:rsid w:val="001E4CD1"/>
    <w:rsid w:val="001F7920"/>
    <w:rsid w:val="001F7DA4"/>
    <w:rsid w:val="002012E8"/>
    <w:rsid w:val="00201E32"/>
    <w:rsid w:val="00203EC7"/>
    <w:rsid w:val="00213397"/>
    <w:rsid w:val="00220223"/>
    <w:rsid w:val="00222862"/>
    <w:rsid w:val="00226282"/>
    <w:rsid w:val="002334D9"/>
    <w:rsid w:val="00234277"/>
    <w:rsid w:val="0023574D"/>
    <w:rsid w:val="00236AEF"/>
    <w:rsid w:val="00240895"/>
    <w:rsid w:val="00246BCD"/>
    <w:rsid w:val="00246D04"/>
    <w:rsid w:val="00247BDE"/>
    <w:rsid w:val="0025179C"/>
    <w:rsid w:val="002561F2"/>
    <w:rsid w:val="00257D49"/>
    <w:rsid w:val="002624E0"/>
    <w:rsid w:val="002666C8"/>
    <w:rsid w:val="00271502"/>
    <w:rsid w:val="00272605"/>
    <w:rsid w:val="00287B47"/>
    <w:rsid w:val="00290C92"/>
    <w:rsid w:val="002927D7"/>
    <w:rsid w:val="00293DDA"/>
    <w:rsid w:val="00294547"/>
    <w:rsid w:val="0029543C"/>
    <w:rsid w:val="002A0D91"/>
    <w:rsid w:val="002A2C68"/>
    <w:rsid w:val="002A6824"/>
    <w:rsid w:val="002B307F"/>
    <w:rsid w:val="002B7F65"/>
    <w:rsid w:val="002C0CE9"/>
    <w:rsid w:val="002C1EB1"/>
    <w:rsid w:val="002C60F5"/>
    <w:rsid w:val="002C7DF0"/>
    <w:rsid w:val="002D0207"/>
    <w:rsid w:val="002D1053"/>
    <w:rsid w:val="002D191C"/>
    <w:rsid w:val="002D5827"/>
    <w:rsid w:val="002D6B30"/>
    <w:rsid w:val="002E2011"/>
    <w:rsid w:val="002E2799"/>
    <w:rsid w:val="002E5EA3"/>
    <w:rsid w:val="002E6BEF"/>
    <w:rsid w:val="002F070D"/>
    <w:rsid w:val="002F0CE9"/>
    <w:rsid w:val="002F257B"/>
    <w:rsid w:val="002F38C8"/>
    <w:rsid w:val="00301DA4"/>
    <w:rsid w:val="00302C5C"/>
    <w:rsid w:val="003128A7"/>
    <w:rsid w:val="00315976"/>
    <w:rsid w:val="003164A5"/>
    <w:rsid w:val="00317456"/>
    <w:rsid w:val="003268F9"/>
    <w:rsid w:val="00333677"/>
    <w:rsid w:val="00340FA8"/>
    <w:rsid w:val="0034107D"/>
    <w:rsid w:val="00342F6D"/>
    <w:rsid w:val="00351BE1"/>
    <w:rsid w:val="00354AA6"/>
    <w:rsid w:val="0036006B"/>
    <w:rsid w:val="003664A7"/>
    <w:rsid w:val="00366950"/>
    <w:rsid w:val="00367C23"/>
    <w:rsid w:val="0037284D"/>
    <w:rsid w:val="00384E6B"/>
    <w:rsid w:val="0038637F"/>
    <w:rsid w:val="0039017B"/>
    <w:rsid w:val="0039161E"/>
    <w:rsid w:val="00393ECF"/>
    <w:rsid w:val="003A1180"/>
    <w:rsid w:val="003B2D88"/>
    <w:rsid w:val="003B3A06"/>
    <w:rsid w:val="003B4EFF"/>
    <w:rsid w:val="003C268A"/>
    <w:rsid w:val="003C2CEE"/>
    <w:rsid w:val="003C4AA4"/>
    <w:rsid w:val="003C53B0"/>
    <w:rsid w:val="003C628B"/>
    <w:rsid w:val="003D1DE2"/>
    <w:rsid w:val="003D75C9"/>
    <w:rsid w:val="003E15C2"/>
    <w:rsid w:val="003E7618"/>
    <w:rsid w:val="003F1F0B"/>
    <w:rsid w:val="003F2DCE"/>
    <w:rsid w:val="004003A0"/>
    <w:rsid w:val="00403B8B"/>
    <w:rsid w:val="00406054"/>
    <w:rsid w:val="004071D5"/>
    <w:rsid w:val="0041371A"/>
    <w:rsid w:val="00414BBB"/>
    <w:rsid w:val="00420DE6"/>
    <w:rsid w:val="00432090"/>
    <w:rsid w:val="004411CE"/>
    <w:rsid w:val="00441E83"/>
    <w:rsid w:val="00447E89"/>
    <w:rsid w:val="00455993"/>
    <w:rsid w:val="00462135"/>
    <w:rsid w:val="00462BA7"/>
    <w:rsid w:val="0047234C"/>
    <w:rsid w:val="00475708"/>
    <w:rsid w:val="00476CF4"/>
    <w:rsid w:val="00482F3F"/>
    <w:rsid w:val="00491015"/>
    <w:rsid w:val="00491D3A"/>
    <w:rsid w:val="00493400"/>
    <w:rsid w:val="004A1D0F"/>
    <w:rsid w:val="004A26F0"/>
    <w:rsid w:val="004A631D"/>
    <w:rsid w:val="004A659B"/>
    <w:rsid w:val="004A74FA"/>
    <w:rsid w:val="004A7931"/>
    <w:rsid w:val="004B1CC7"/>
    <w:rsid w:val="004B1F3A"/>
    <w:rsid w:val="004B2E6E"/>
    <w:rsid w:val="004C0823"/>
    <w:rsid w:val="004C17FA"/>
    <w:rsid w:val="004C45CF"/>
    <w:rsid w:val="004C63F9"/>
    <w:rsid w:val="004D5719"/>
    <w:rsid w:val="004D6AF7"/>
    <w:rsid w:val="004E0570"/>
    <w:rsid w:val="004E2615"/>
    <w:rsid w:val="004E5581"/>
    <w:rsid w:val="004E5D4A"/>
    <w:rsid w:val="004F0A66"/>
    <w:rsid w:val="004F27B1"/>
    <w:rsid w:val="004F7121"/>
    <w:rsid w:val="004F75E9"/>
    <w:rsid w:val="005040FB"/>
    <w:rsid w:val="00507543"/>
    <w:rsid w:val="00513E4D"/>
    <w:rsid w:val="00516245"/>
    <w:rsid w:val="005209EF"/>
    <w:rsid w:val="00527A99"/>
    <w:rsid w:val="0053418A"/>
    <w:rsid w:val="00541F7B"/>
    <w:rsid w:val="0054384D"/>
    <w:rsid w:val="00543D5F"/>
    <w:rsid w:val="00552412"/>
    <w:rsid w:val="005544E5"/>
    <w:rsid w:val="00565DA0"/>
    <w:rsid w:val="00582881"/>
    <w:rsid w:val="005858C1"/>
    <w:rsid w:val="00585FC4"/>
    <w:rsid w:val="0059034C"/>
    <w:rsid w:val="00590387"/>
    <w:rsid w:val="00591A0D"/>
    <w:rsid w:val="00595C9D"/>
    <w:rsid w:val="00596803"/>
    <w:rsid w:val="005A0ADC"/>
    <w:rsid w:val="005A32E2"/>
    <w:rsid w:val="005B2220"/>
    <w:rsid w:val="005B5455"/>
    <w:rsid w:val="005C5113"/>
    <w:rsid w:val="005C627F"/>
    <w:rsid w:val="005C68DE"/>
    <w:rsid w:val="005D0E10"/>
    <w:rsid w:val="005D3031"/>
    <w:rsid w:val="005D52B2"/>
    <w:rsid w:val="005E00FF"/>
    <w:rsid w:val="005E205D"/>
    <w:rsid w:val="005E3D7A"/>
    <w:rsid w:val="005E5A6C"/>
    <w:rsid w:val="005F2766"/>
    <w:rsid w:val="005F5A5D"/>
    <w:rsid w:val="0061019C"/>
    <w:rsid w:val="006111A2"/>
    <w:rsid w:val="00623C7A"/>
    <w:rsid w:val="006250A6"/>
    <w:rsid w:val="00625A9A"/>
    <w:rsid w:val="0063089C"/>
    <w:rsid w:val="00633E2D"/>
    <w:rsid w:val="006348EE"/>
    <w:rsid w:val="006515FB"/>
    <w:rsid w:val="0065510C"/>
    <w:rsid w:val="00660D5E"/>
    <w:rsid w:val="00661016"/>
    <w:rsid w:val="006619C0"/>
    <w:rsid w:val="006643C3"/>
    <w:rsid w:val="0066703D"/>
    <w:rsid w:val="0067054D"/>
    <w:rsid w:val="00673CB0"/>
    <w:rsid w:val="00676735"/>
    <w:rsid w:val="006802D2"/>
    <w:rsid w:val="006840BE"/>
    <w:rsid w:val="00686DA9"/>
    <w:rsid w:val="006927E3"/>
    <w:rsid w:val="00693B61"/>
    <w:rsid w:val="00694FF4"/>
    <w:rsid w:val="006969C1"/>
    <w:rsid w:val="00697A99"/>
    <w:rsid w:val="006A07C0"/>
    <w:rsid w:val="006A0FB1"/>
    <w:rsid w:val="006A1BA2"/>
    <w:rsid w:val="006A23D2"/>
    <w:rsid w:val="006A360C"/>
    <w:rsid w:val="006B0812"/>
    <w:rsid w:val="006B2988"/>
    <w:rsid w:val="006B4DA3"/>
    <w:rsid w:val="006B6734"/>
    <w:rsid w:val="006B67C9"/>
    <w:rsid w:val="006B740C"/>
    <w:rsid w:val="006C0A6D"/>
    <w:rsid w:val="006C2146"/>
    <w:rsid w:val="006C21BC"/>
    <w:rsid w:val="006D014C"/>
    <w:rsid w:val="006D330D"/>
    <w:rsid w:val="006D77EF"/>
    <w:rsid w:val="006E0541"/>
    <w:rsid w:val="006E1236"/>
    <w:rsid w:val="006E4870"/>
    <w:rsid w:val="006F4D45"/>
    <w:rsid w:val="006F51A0"/>
    <w:rsid w:val="006F5633"/>
    <w:rsid w:val="006F7E7E"/>
    <w:rsid w:val="00705B8A"/>
    <w:rsid w:val="00715EFB"/>
    <w:rsid w:val="00720420"/>
    <w:rsid w:val="00724F5C"/>
    <w:rsid w:val="00726B03"/>
    <w:rsid w:val="00727BD0"/>
    <w:rsid w:val="00732778"/>
    <w:rsid w:val="00732EF8"/>
    <w:rsid w:val="00734F22"/>
    <w:rsid w:val="00741238"/>
    <w:rsid w:val="007421EE"/>
    <w:rsid w:val="00742E4A"/>
    <w:rsid w:val="00743177"/>
    <w:rsid w:val="007444EE"/>
    <w:rsid w:val="0074640C"/>
    <w:rsid w:val="00746FB3"/>
    <w:rsid w:val="00750D6C"/>
    <w:rsid w:val="00753223"/>
    <w:rsid w:val="00754227"/>
    <w:rsid w:val="00770AE4"/>
    <w:rsid w:val="00772128"/>
    <w:rsid w:val="007741C9"/>
    <w:rsid w:val="007757C7"/>
    <w:rsid w:val="007848F7"/>
    <w:rsid w:val="00785339"/>
    <w:rsid w:val="007858E4"/>
    <w:rsid w:val="00793EFE"/>
    <w:rsid w:val="00795D57"/>
    <w:rsid w:val="00797094"/>
    <w:rsid w:val="007A015E"/>
    <w:rsid w:val="007A2D60"/>
    <w:rsid w:val="007A7C7C"/>
    <w:rsid w:val="007B5DA8"/>
    <w:rsid w:val="007B686A"/>
    <w:rsid w:val="007B6A7D"/>
    <w:rsid w:val="007C4A34"/>
    <w:rsid w:val="007D0BA9"/>
    <w:rsid w:val="007D6A4D"/>
    <w:rsid w:val="007D7E6B"/>
    <w:rsid w:val="007E1038"/>
    <w:rsid w:val="007E129F"/>
    <w:rsid w:val="007E4C07"/>
    <w:rsid w:val="007F2C74"/>
    <w:rsid w:val="007F2F33"/>
    <w:rsid w:val="007F3115"/>
    <w:rsid w:val="007F38FD"/>
    <w:rsid w:val="007F3B72"/>
    <w:rsid w:val="007F4594"/>
    <w:rsid w:val="007F5FDB"/>
    <w:rsid w:val="00800313"/>
    <w:rsid w:val="00802DB3"/>
    <w:rsid w:val="00804C60"/>
    <w:rsid w:val="0081083B"/>
    <w:rsid w:val="008114AC"/>
    <w:rsid w:val="008148CC"/>
    <w:rsid w:val="00814EE3"/>
    <w:rsid w:val="008204EF"/>
    <w:rsid w:val="008225BA"/>
    <w:rsid w:val="00840AC4"/>
    <w:rsid w:val="00845659"/>
    <w:rsid w:val="008479E9"/>
    <w:rsid w:val="008547C7"/>
    <w:rsid w:val="00861A27"/>
    <w:rsid w:val="00861D2F"/>
    <w:rsid w:val="00872EFD"/>
    <w:rsid w:val="00876D90"/>
    <w:rsid w:val="00886B3C"/>
    <w:rsid w:val="00887460"/>
    <w:rsid w:val="00891C98"/>
    <w:rsid w:val="00897638"/>
    <w:rsid w:val="008A0FFC"/>
    <w:rsid w:val="008B0F10"/>
    <w:rsid w:val="008B1447"/>
    <w:rsid w:val="008B19BA"/>
    <w:rsid w:val="008B251F"/>
    <w:rsid w:val="008B4B3A"/>
    <w:rsid w:val="008B5E31"/>
    <w:rsid w:val="008C0DE4"/>
    <w:rsid w:val="008C0E7E"/>
    <w:rsid w:val="008C0EB9"/>
    <w:rsid w:val="008C26F9"/>
    <w:rsid w:val="008C409A"/>
    <w:rsid w:val="008C60E1"/>
    <w:rsid w:val="008D2794"/>
    <w:rsid w:val="008D4ADD"/>
    <w:rsid w:val="008D509E"/>
    <w:rsid w:val="008E17AF"/>
    <w:rsid w:val="008E2DA6"/>
    <w:rsid w:val="008E5E6A"/>
    <w:rsid w:val="008F0102"/>
    <w:rsid w:val="008F4B8A"/>
    <w:rsid w:val="008F75AE"/>
    <w:rsid w:val="009014AC"/>
    <w:rsid w:val="0090234A"/>
    <w:rsid w:val="0090320C"/>
    <w:rsid w:val="009032D5"/>
    <w:rsid w:val="00903DEB"/>
    <w:rsid w:val="00922B3A"/>
    <w:rsid w:val="00923438"/>
    <w:rsid w:val="00923446"/>
    <w:rsid w:val="009246B9"/>
    <w:rsid w:val="009401BC"/>
    <w:rsid w:val="00943B5C"/>
    <w:rsid w:val="009446F0"/>
    <w:rsid w:val="00950BD4"/>
    <w:rsid w:val="0095579B"/>
    <w:rsid w:val="00964CC6"/>
    <w:rsid w:val="009703F5"/>
    <w:rsid w:val="00986BF6"/>
    <w:rsid w:val="00990AFE"/>
    <w:rsid w:val="00993315"/>
    <w:rsid w:val="009972F5"/>
    <w:rsid w:val="009A0192"/>
    <w:rsid w:val="009A22B9"/>
    <w:rsid w:val="009A5FA1"/>
    <w:rsid w:val="009B3E5E"/>
    <w:rsid w:val="009B4D60"/>
    <w:rsid w:val="009C307F"/>
    <w:rsid w:val="009C43B4"/>
    <w:rsid w:val="009C4CF0"/>
    <w:rsid w:val="009D2551"/>
    <w:rsid w:val="009D71FD"/>
    <w:rsid w:val="009F3E43"/>
    <w:rsid w:val="009F58C4"/>
    <w:rsid w:val="009F7B75"/>
    <w:rsid w:val="00A03605"/>
    <w:rsid w:val="00A03E89"/>
    <w:rsid w:val="00A07982"/>
    <w:rsid w:val="00A114D6"/>
    <w:rsid w:val="00A12C89"/>
    <w:rsid w:val="00A13797"/>
    <w:rsid w:val="00A234ED"/>
    <w:rsid w:val="00A411A9"/>
    <w:rsid w:val="00A457D0"/>
    <w:rsid w:val="00A516C7"/>
    <w:rsid w:val="00A61B22"/>
    <w:rsid w:val="00A64E60"/>
    <w:rsid w:val="00A72239"/>
    <w:rsid w:val="00A80283"/>
    <w:rsid w:val="00A815CA"/>
    <w:rsid w:val="00A95630"/>
    <w:rsid w:val="00A97C99"/>
    <w:rsid w:val="00AA5DB1"/>
    <w:rsid w:val="00AA735D"/>
    <w:rsid w:val="00AB1AC5"/>
    <w:rsid w:val="00AB277A"/>
    <w:rsid w:val="00AB3BF6"/>
    <w:rsid w:val="00AB45ED"/>
    <w:rsid w:val="00AB5679"/>
    <w:rsid w:val="00AC573F"/>
    <w:rsid w:val="00AC590B"/>
    <w:rsid w:val="00AC7994"/>
    <w:rsid w:val="00AD0AE0"/>
    <w:rsid w:val="00AD1F58"/>
    <w:rsid w:val="00AD3238"/>
    <w:rsid w:val="00AD374A"/>
    <w:rsid w:val="00AE2924"/>
    <w:rsid w:val="00AE48D4"/>
    <w:rsid w:val="00AF2B1C"/>
    <w:rsid w:val="00B054C8"/>
    <w:rsid w:val="00B06283"/>
    <w:rsid w:val="00B07ECE"/>
    <w:rsid w:val="00B105AD"/>
    <w:rsid w:val="00B114CD"/>
    <w:rsid w:val="00B12740"/>
    <w:rsid w:val="00B2208A"/>
    <w:rsid w:val="00B35B61"/>
    <w:rsid w:val="00B42559"/>
    <w:rsid w:val="00B44BB1"/>
    <w:rsid w:val="00B461DC"/>
    <w:rsid w:val="00B511FB"/>
    <w:rsid w:val="00B5244C"/>
    <w:rsid w:val="00B546B7"/>
    <w:rsid w:val="00B56D7D"/>
    <w:rsid w:val="00B60E75"/>
    <w:rsid w:val="00B628F1"/>
    <w:rsid w:val="00B6329B"/>
    <w:rsid w:val="00B63E3C"/>
    <w:rsid w:val="00B6522A"/>
    <w:rsid w:val="00B67695"/>
    <w:rsid w:val="00B7158B"/>
    <w:rsid w:val="00B73881"/>
    <w:rsid w:val="00B74BFD"/>
    <w:rsid w:val="00B74D71"/>
    <w:rsid w:val="00B75E4E"/>
    <w:rsid w:val="00B75E90"/>
    <w:rsid w:val="00B775DB"/>
    <w:rsid w:val="00B821DD"/>
    <w:rsid w:val="00B83BA0"/>
    <w:rsid w:val="00B845A1"/>
    <w:rsid w:val="00B87BAC"/>
    <w:rsid w:val="00B92519"/>
    <w:rsid w:val="00B934E6"/>
    <w:rsid w:val="00B958C9"/>
    <w:rsid w:val="00B9678D"/>
    <w:rsid w:val="00BA3220"/>
    <w:rsid w:val="00BA6E73"/>
    <w:rsid w:val="00BA79C8"/>
    <w:rsid w:val="00BB521A"/>
    <w:rsid w:val="00BC1671"/>
    <w:rsid w:val="00BC2AFB"/>
    <w:rsid w:val="00BC3980"/>
    <w:rsid w:val="00BD26F5"/>
    <w:rsid w:val="00BD2994"/>
    <w:rsid w:val="00BD3521"/>
    <w:rsid w:val="00BE1FBF"/>
    <w:rsid w:val="00BE399B"/>
    <w:rsid w:val="00BF2953"/>
    <w:rsid w:val="00BF6A48"/>
    <w:rsid w:val="00C01611"/>
    <w:rsid w:val="00C02FC7"/>
    <w:rsid w:val="00C04A85"/>
    <w:rsid w:val="00C06D6D"/>
    <w:rsid w:val="00C14765"/>
    <w:rsid w:val="00C20FBE"/>
    <w:rsid w:val="00C2267F"/>
    <w:rsid w:val="00C413D4"/>
    <w:rsid w:val="00C51C25"/>
    <w:rsid w:val="00C55B07"/>
    <w:rsid w:val="00C71414"/>
    <w:rsid w:val="00C7239B"/>
    <w:rsid w:val="00C86D23"/>
    <w:rsid w:val="00C92787"/>
    <w:rsid w:val="00CA4236"/>
    <w:rsid w:val="00CA4688"/>
    <w:rsid w:val="00CB3863"/>
    <w:rsid w:val="00CB62C5"/>
    <w:rsid w:val="00CC05DE"/>
    <w:rsid w:val="00CC0EEB"/>
    <w:rsid w:val="00CC4527"/>
    <w:rsid w:val="00CC7D22"/>
    <w:rsid w:val="00CD3708"/>
    <w:rsid w:val="00CE6648"/>
    <w:rsid w:val="00CF2327"/>
    <w:rsid w:val="00CF3DAF"/>
    <w:rsid w:val="00CF44A4"/>
    <w:rsid w:val="00CF4B56"/>
    <w:rsid w:val="00CF5D21"/>
    <w:rsid w:val="00D10976"/>
    <w:rsid w:val="00D13238"/>
    <w:rsid w:val="00D14026"/>
    <w:rsid w:val="00D33385"/>
    <w:rsid w:val="00D347EE"/>
    <w:rsid w:val="00D43347"/>
    <w:rsid w:val="00D441A1"/>
    <w:rsid w:val="00D45408"/>
    <w:rsid w:val="00D5546B"/>
    <w:rsid w:val="00D600FE"/>
    <w:rsid w:val="00D609BB"/>
    <w:rsid w:val="00D63FEC"/>
    <w:rsid w:val="00D70EF7"/>
    <w:rsid w:val="00D763CF"/>
    <w:rsid w:val="00D806AD"/>
    <w:rsid w:val="00D80EDF"/>
    <w:rsid w:val="00D94A3F"/>
    <w:rsid w:val="00DA1097"/>
    <w:rsid w:val="00DA1867"/>
    <w:rsid w:val="00DA67C5"/>
    <w:rsid w:val="00DA7481"/>
    <w:rsid w:val="00DA759A"/>
    <w:rsid w:val="00DB239D"/>
    <w:rsid w:val="00DB4880"/>
    <w:rsid w:val="00DB7F40"/>
    <w:rsid w:val="00DB7F55"/>
    <w:rsid w:val="00DC0A8F"/>
    <w:rsid w:val="00DC34A0"/>
    <w:rsid w:val="00DC3DA7"/>
    <w:rsid w:val="00DD4D7B"/>
    <w:rsid w:val="00DD6159"/>
    <w:rsid w:val="00DD7D52"/>
    <w:rsid w:val="00DE1119"/>
    <w:rsid w:val="00DE1400"/>
    <w:rsid w:val="00DE6465"/>
    <w:rsid w:val="00DF29D2"/>
    <w:rsid w:val="00DF37F2"/>
    <w:rsid w:val="00DF799A"/>
    <w:rsid w:val="00E04437"/>
    <w:rsid w:val="00E07DEA"/>
    <w:rsid w:val="00E16C65"/>
    <w:rsid w:val="00E20108"/>
    <w:rsid w:val="00E22318"/>
    <w:rsid w:val="00E24012"/>
    <w:rsid w:val="00E24283"/>
    <w:rsid w:val="00E2493C"/>
    <w:rsid w:val="00E26D7E"/>
    <w:rsid w:val="00E272F5"/>
    <w:rsid w:val="00E31885"/>
    <w:rsid w:val="00E32976"/>
    <w:rsid w:val="00E36453"/>
    <w:rsid w:val="00E3741F"/>
    <w:rsid w:val="00E4068E"/>
    <w:rsid w:val="00E43535"/>
    <w:rsid w:val="00E51EA2"/>
    <w:rsid w:val="00E5202D"/>
    <w:rsid w:val="00E52901"/>
    <w:rsid w:val="00E53313"/>
    <w:rsid w:val="00E62B05"/>
    <w:rsid w:val="00E70B5F"/>
    <w:rsid w:val="00E72E8C"/>
    <w:rsid w:val="00E74675"/>
    <w:rsid w:val="00E76958"/>
    <w:rsid w:val="00E7723C"/>
    <w:rsid w:val="00E81056"/>
    <w:rsid w:val="00E8359E"/>
    <w:rsid w:val="00E92FE9"/>
    <w:rsid w:val="00E976E9"/>
    <w:rsid w:val="00E97D42"/>
    <w:rsid w:val="00EA2F07"/>
    <w:rsid w:val="00EA541A"/>
    <w:rsid w:val="00EB10D8"/>
    <w:rsid w:val="00EB1572"/>
    <w:rsid w:val="00EB4DC6"/>
    <w:rsid w:val="00EC5657"/>
    <w:rsid w:val="00EC6B8F"/>
    <w:rsid w:val="00ED0CF5"/>
    <w:rsid w:val="00ED194B"/>
    <w:rsid w:val="00ED7BBA"/>
    <w:rsid w:val="00EE0656"/>
    <w:rsid w:val="00EE37DB"/>
    <w:rsid w:val="00EF7170"/>
    <w:rsid w:val="00F06545"/>
    <w:rsid w:val="00F07162"/>
    <w:rsid w:val="00F07D24"/>
    <w:rsid w:val="00F12770"/>
    <w:rsid w:val="00F157E5"/>
    <w:rsid w:val="00F17BC5"/>
    <w:rsid w:val="00F2312F"/>
    <w:rsid w:val="00F25DD5"/>
    <w:rsid w:val="00F26E2C"/>
    <w:rsid w:val="00F27CB5"/>
    <w:rsid w:val="00F31F4A"/>
    <w:rsid w:val="00F3641B"/>
    <w:rsid w:val="00F42476"/>
    <w:rsid w:val="00F4526C"/>
    <w:rsid w:val="00F51115"/>
    <w:rsid w:val="00F65680"/>
    <w:rsid w:val="00F709BD"/>
    <w:rsid w:val="00F70FFE"/>
    <w:rsid w:val="00F7184A"/>
    <w:rsid w:val="00F824D6"/>
    <w:rsid w:val="00F910A6"/>
    <w:rsid w:val="00F92967"/>
    <w:rsid w:val="00FA3E11"/>
    <w:rsid w:val="00FA7CFE"/>
    <w:rsid w:val="00FB1095"/>
    <w:rsid w:val="00FB1587"/>
    <w:rsid w:val="00FC099C"/>
    <w:rsid w:val="00FC66DA"/>
    <w:rsid w:val="00FD2956"/>
    <w:rsid w:val="00FD2D27"/>
    <w:rsid w:val="00FD2D62"/>
    <w:rsid w:val="00FE0717"/>
    <w:rsid w:val="00FE2EFA"/>
    <w:rsid w:val="00FE31A3"/>
    <w:rsid w:val="00FE75FC"/>
    <w:rsid w:val="00FF2D2D"/>
    <w:rsid w:val="00FF2D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9C3C52"/>
  <w14:defaultImageDpi w14:val="32767"/>
  <w15:docId w15:val="{C7B9B91A-673F-42C9-A971-230360DD3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uiPriority="40"/>
    <w:lsdException w:name="Grid Table 2" w:uiPriority="47"/>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DB1"/>
    <w:rPr>
      <w:rFonts w:ascii="Times New Roman" w:eastAsia="Times New Roman" w:hAnsi="Times New Roman" w:cs="Times New Roman"/>
      <w:lang w:val="es-AR" w:eastAsia="es-MX"/>
    </w:rPr>
  </w:style>
  <w:style w:type="paragraph" w:styleId="Ttulo1">
    <w:name w:val="heading 1"/>
    <w:basedOn w:val="Normal"/>
    <w:next w:val="Normal"/>
    <w:link w:val="Ttulo1Car"/>
    <w:uiPriority w:val="9"/>
    <w:qFormat/>
    <w:rsid w:val="004B2E6E"/>
    <w:pPr>
      <w:keepNext/>
      <w:keepLines/>
      <w:spacing w:before="480" w:after="120"/>
      <w:outlineLvl w:val="0"/>
    </w:pPr>
    <w:rPr>
      <w:rFonts w:ascii="Calibri" w:eastAsia="Calibri" w:hAnsi="Calibri" w:cs="Calibri"/>
      <w:b/>
      <w:sz w:val="48"/>
      <w:szCs w:val="48"/>
      <w:lang w:val="es-ES" w:eastAsia="es-AR"/>
    </w:rPr>
  </w:style>
  <w:style w:type="paragraph" w:styleId="Ttulo2">
    <w:name w:val="heading 2"/>
    <w:basedOn w:val="Normal"/>
    <w:next w:val="Normal"/>
    <w:link w:val="Ttulo2Car"/>
    <w:uiPriority w:val="9"/>
    <w:qFormat/>
    <w:rsid w:val="004B2E6E"/>
    <w:pPr>
      <w:keepNext/>
      <w:keepLines/>
      <w:spacing w:before="360" w:after="80"/>
      <w:outlineLvl w:val="1"/>
    </w:pPr>
    <w:rPr>
      <w:rFonts w:ascii="Calibri" w:eastAsia="Calibri" w:hAnsi="Calibri" w:cs="Calibri"/>
      <w:b/>
      <w:sz w:val="36"/>
      <w:szCs w:val="36"/>
      <w:lang w:val="es-ES" w:eastAsia="es-AR"/>
    </w:rPr>
  </w:style>
  <w:style w:type="paragraph" w:styleId="Ttulo3">
    <w:name w:val="heading 3"/>
    <w:basedOn w:val="Normal"/>
    <w:next w:val="Normal"/>
    <w:link w:val="Ttulo3Car"/>
    <w:rsid w:val="004B2E6E"/>
    <w:pPr>
      <w:keepNext/>
      <w:keepLines/>
      <w:spacing w:before="280" w:after="80"/>
      <w:outlineLvl w:val="2"/>
    </w:pPr>
    <w:rPr>
      <w:rFonts w:ascii="Calibri" w:eastAsia="Calibri" w:hAnsi="Calibri" w:cs="Calibri"/>
      <w:b/>
      <w:sz w:val="28"/>
      <w:szCs w:val="28"/>
      <w:lang w:val="es-ES" w:eastAsia="es-AR"/>
    </w:rPr>
  </w:style>
  <w:style w:type="paragraph" w:styleId="Ttulo4">
    <w:name w:val="heading 4"/>
    <w:basedOn w:val="Normal"/>
    <w:next w:val="Normal"/>
    <w:link w:val="Ttulo4Car"/>
    <w:rsid w:val="004B2E6E"/>
    <w:pPr>
      <w:keepNext/>
      <w:keepLines/>
      <w:spacing w:before="240" w:after="40"/>
      <w:outlineLvl w:val="3"/>
    </w:pPr>
    <w:rPr>
      <w:rFonts w:ascii="Calibri" w:eastAsia="Calibri" w:hAnsi="Calibri" w:cs="Calibri"/>
      <w:b/>
      <w:lang w:val="es-ES" w:eastAsia="es-AR"/>
    </w:rPr>
  </w:style>
  <w:style w:type="paragraph" w:styleId="Ttulo5">
    <w:name w:val="heading 5"/>
    <w:basedOn w:val="Normal"/>
    <w:next w:val="Normal"/>
    <w:link w:val="Ttulo5Car"/>
    <w:rsid w:val="004B2E6E"/>
    <w:pPr>
      <w:keepNext/>
      <w:keepLines/>
      <w:spacing w:before="220" w:after="40"/>
      <w:outlineLvl w:val="4"/>
    </w:pPr>
    <w:rPr>
      <w:rFonts w:ascii="Calibri" w:eastAsia="Calibri" w:hAnsi="Calibri" w:cs="Calibri"/>
      <w:b/>
      <w:sz w:val="22"/>
      <w:szCs w:val="22"/>
      <w:lang w:val="es-ES" w:eastAsia="es-AR"/>
    </w:rPr>
  </w:style>
  <w:style w:type="paragraph" w:styleId="Ttulo6">
    <w:name w:val="heading 6"/>
    <w:basedOn w:val="Normal"/>
    <w:next w:val="Normal"/>
    <w:link w:val="Ttulo6Car"/>
    <w:rsid w:val="004B2E6E"/>
    <w:pPr>
      <w:keepNext/>
      <w:keepLines/>
      <w:spacing w:before="200" w:after="40"/>
      <w:outlineLvl w:val="5"/>
    </w:pPr>
    <w:rPr>
      <w:rFonts w:ascii="Calibri" w:eastAsia="Calibri" w:hAnsi="Calibri" w:cs="Calibri"/>
      <w:b/>
      <w:sz w:val="20"/>
      <w:szCs w:val="20"/>
      <w:lang w:val="es-ES" w:eastAsia="es-AR"/>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EncabezadoCar">
    <w:name w:val="Encabezado Car"/>
    <w:basedOn w:val="Fuentedeprrafopredeter"/>
    <w:link w:val="Encabezado"/>
    <w:uiPriority w:val="99"/>
    <w:rsid w:val="00C413D4"/>
  </w:style>
  <w:style w:type="paragraph" w:styleId="Piedepgina">
    <w:name w:val="footer"/>
    <w:basedOn w:val="Normal"/>
    <w:link w:val="Piedepgina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PiedepginaCar">
    <w:name w:val="Pie de página Car"/>
    <w:basedOn w:val="Fuentedeprrafopredeter"/>
    <w:link w:val="Piedepgina"/>
    <w:uiPriority w:val="99"/>
    <w:rsid w:val="00C413D4"/>
  </w:style>
  <w:style w:type="character" w:customStyle="1" w:styleId="label3">
    <w:name w:val="label3"/>
    <w:basedOn w:val="Fuentedeprrafopredeter"/>
    <w:rsid w:val="00C413D4"/>
  </w:style>
  <w:style w:type="paragraph" w:styleId="Textonotapie">
    <w:name w:val="footnote text"/>
    <w:basedOn w:val="Normal"/>
    <w:link w:val="TextonotapieCar"/>
    <w:uiPriority w:val="99"/>
    <w:unhideWhenUsed/>
    <w:rsid w:val="00C413D4"/>
    <w:rPr>
      <w:sz w:val="20"/>
      <w:szCs w:val="20"/>
      <w:lang w:val="es-ES_tradnl" w:eastAsia="es-ES_tradnl"/>
    </w:rPr>
  </w:style>
  <w:style w:type="character" w:customStyle="1" w:styleId="TextonotapieCar">
    <w:name w:val="Texto nota pie Car"/>
    <w:basedOn w:val="Fuentedeprrafopredeter"/>
    <w:link w:val="Textonotapie"/>
    <w:uiPriority w:val="99"/>
    <w:rsid w:val="00C413D4"/>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99"/>
    <w:unhideWhenUsed/>
    <w:rsid w:val="00C413D4"/>
    <w:rPr>
      <w:vertAlign w:val="superscript"/>
    </w:rPr>
  </w:style>
  <w:style w:type="character" w:styleId="Nmerodepgina">
    <w:name w:val="page number"/>
    <w:basedOn w:val="Fuentedeprrafopredeter"/>
    <w:uiPriority w:val="99"/>
    <w:semiHidden/>
    <w:unhideWhenUsed/>
    <w:rsid w:val="00C413D4"/>
  </w:style>
  <w:style w:type="paragraph" w:styleId="Textoindependiente">
    <w:name w:val="Body Text"/>
    <w:basedOn w:val="Normal"/>
    <w:link w:val="TextoindependienteCar"/>
    <w:rsid w:val="006F7E7E"/>
    <w:pPr>
      <w:spacing w:line="480" w:lineRule="auto"/>
      <w:ind w:firstLine="540"/>
    </w:pPr>
    <w:rPr>
      <w:szCs w:val="20"/>
      <w:lang w:val="en-US" w:eastAsia="en-US"/>
    </w:rPr>
  </w:style>
  <w:style w:type="character" w:customStyle="1" w:styleId="TextoindependienteCar">
    <w:name w:val="Texto independiente Car"/>
    <w:basedOn w:val="Fuentedeprrafopredeter"/>
    <w:link w:val="Textoindependiente"/>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notaalfinal">
    <w:name w:val="endnote text"/>
    <w:basedOn w:val="Normal"/>
    <w:link w:val="TextonotaalfinalCar"/>
    <w:uiPriority w:val="99"/>
    <w:semiHidden/>
    <w:unhideWhenUsed/>
    <w:rsid w:val="007A7C7C"/>
    <w:rPr>
      <w:sz w:val="20"/>
      <w:szCs w:val="20"/>
      <w:lang w:val="es-ES_tradnl" w:eastAsia="es-ES_tradnl"/>
    </w:rPr>
  </w:style>
  <w:style w:type="character" w:customStyle="1" w:styleId="TextonotaalfinalCar">
    <w:name w:val="Texto nota al final Car"/>
    <w:basedOn w:val="Fuentedeprrafopredeter"/>
    <w:link w:val="Textonotaalfinal"/>
    <w:uiPriority w:val="99"/>
    <w:semiHidden/>
    <w:rsid w:val="007A7C7C"/>
    <w:rPr>
      <w:rFonts w:ascii="Times New Roman" w:eastAsia="Times New Roman" w:hAnsi="Times New Roman" w:cs="Times New Roman"/>
      <w:sz w:val="20"/>
      <w:szCs w:val="20"/>
      <w:lang w:val="es-ES_tradnl" w:eastAsia="es-ES_tradnl"/>
    </w:rPr>
  </w:style>
  <w:style w:type="character" w:styleId="Refdenotaalfinal">
    <w:name w:val="endnote reference"/>
    <w:basedOn w:val="Fuentedeprrafopredeter"/>
    <w:uiPriority w:val="99"/>
    <w:semiHidden/>
    <w:unhideWhenUsed/>
    <w:rsid w:val="007A7C7C"/>
    <w:rPr>
      <w:vertAlign w:val="superscript"/>
    </w:rPr>
  </w:style>
  <w:style w:type="character" w:styleId="Hipervnculo">
    <w:name w:val="Hyperlink"/>
    <w:basedOn w:val="Fuentedeprrafopredeter"/>
    <w:unhideWhenUsed/>
    <w:rsid w:val="00B6522A"/>
    <w:rPr>
      <w:color w:val="0000FF"/>
      <w:u w:val="single"/>
    </w:rPr>
  </w:style>
  <w:style w:type="paragraph" w:styleId="Textodeglobo">
    <w:name w:val="Balloon Text"/>
    <w:basedOn w:val="Normal"/>
    <w:link w:val="TextodegloboCar"/>
    <w:uiPriority w:val="99"/>
    <w:semiHidden/>
    <w:unhideWhenUsed/>
    <w:rsid w:val="00160E3C"/>
    <w:rPr>
      <w:sz w:val="18"/>
      <w:szCs w:val="18"/>
      <w:lang w:val="es-ES_tradnl" w:eastAsia="es-ES_tradnl"/>
    </w:rPr>
  </w:style>
  <w:style w:type="character" w:customStyle="1" w:styleId="TextodegloboCar">
    <w:name w:val="Texto de globo Car"/>
    <w:basedOn w:val="Fuentedeprrafopredeter"/>
    <w:link w:val="Textodeglobo"/>
    <w:uiPriority w:val="99"/>
    <w:semiHidden/>
    <w:rsid w:val="00160E3C"/>
    <w:rPr>
      <w:rFonts w:ascii="Times New Roman" w:eastAsia="Times New Roman" w:hAnsi="Times New Roman" w:cs="Times New Roman"/>
      <w:sz w:val="18"/>
      <w:szCs w:val="18"/>
      <w:lang w:val="es-ES_tradnl" w:eastAsia="es-ES_tradnl"/>
    </w:rPr>
  </w:style>
  <w:style w:type="character" w:customStyle="1" w:styleId="Ttulo1Car">
    <w:name w:val="Título 1 Car"/>
    <w:basedOn w:val="Fuentedeprrafopredeter"/>
    <w:link w:val="Ttulo1"/>
    <w:uiPriority w:val="9"/>
    <w:rsid w:val="004B2E6E"/>
    <w:rPr>
      <w:rFonts w:ascii="Calibri" w:eastAsia="Calibri" w:hAnsi="Calibri" w:cs="Calibri"/>
      <w:b/>
      <w:sz w:val="48"/>
      <w:szCs w:val="48"/>
      <w:lang w:val="es-ES" w:eastAsia="es-AR"/>
    </w:rPr>
  </w:style>
  <w:style w:type="character" w:customStyle="1" w:styleId="Ttulo2Car">
    <w:name w:val="Título 2 Car"/>
    <w:basedOn w:val="Fuentedeprrafopredeter"/>
    <w:link w:val="Ttulo2"/>
    <w:uiPriority w:val="9"/>
    <w:rsid w:val="004B2E6E"/>
    <w:rPr>
      <w:rFonts w:ascii="Calibri" w:eastAsia="Calibri" w:hAnsi="Calibri" w:cs="Calibri"/>
      <w:b/>
      <w:sz w:val="36"/>
      <w:szCs w:val="36"/>
      <w:lang w:val="es-ES" w:eastAsia="es-AR"/>
    </w:rPr>
  </w:style>
  <w:style w:type="character" w:customStyle="1" w:styleId="Ttulo3Car">
    <w:name w:val="Título 3 Car"/>
    <w:basedOn w:val="Fuentedeprrafopredeter"/>
    <w:link w:val="Ttulo3"/>
    <w:rsid w:val="004B2E6E"/>
    <w:rPr>
      <w:rFonts w:ascii="Calibri" w:eastAsia="Calibri" w:hAnsi="Calibri" w:cs="Calibri"/>
      <w:b/>
      <w:sz w:val="28"/>
      <w:szCs w:val="28"/>
      <w:lang w:val="es-ES" w:eastAsia="es-AR"/>
    </w:rPr>
  </w:style>
  <w:style w:type="character" w:customStyle="1" w:styleId="Ttulo4Car">
    <w:name w:val="Título 4 Car"/>
    <w:basedOn w:val="Fuentedeprrafopredeter"/>
    <w:link w:val="Ttulo4"/>
    <w:rsid w:val="004B2E6E"/>
    <w:rPr>
      <w:rFonts w:ascii="Calibri" w:eastAsia="Calibri" w:hAnsi="Calibri" w:cs="Calibri"/>
      <w:b/>
      <w:lang w:val="es-ES" w:eastAsia="es-AR"/>
    </w:rPr>
  </w:style>
  <w:style w:type="character" w:customStyle="1" w:styleId="Ttulo5Car">
    <w:name w:val="Título 5 Car"/>
    <w:basedOn w:val="Fuentedeprrafopredeter"/>
    <w:link w:val="Ttulo5"/>
    <w:rsid w:val="004B2E6E"/>
    <w:rPr>
      <w:rFonts w:ascii="Calibri" w:eastAsia="Calibri" w:hAnsi="Calibri" w:cs="Calibri"/>
      <w:b/>
      <w:sz w:val="22"/>
      <w:szCs w:val="22"/>
      <w:lang w:val="es-ES" w:eastAsia="es-AR"/>
    </w:rPr>
  </w:style>
  <w:style w:type="character" w:customStyle="1" w:styleId="Ttulo6Car">
    <w:name w:val="Título 6 Car"/>
    <w:basedOn w:val="Fuentedeprrafopredeter"/>
    <w:link w:val="Ttulo6"/>
    <w:rsid w:val="004B2E6E"/>
    <w:rPr>
      <w:rFonts w:ascii="Calibri" w:eastAsia="Calibri" w:hAnsi="Calibri" w:cs="Calibri"/>
      <w:b/>
      <w:sz w:val="20"/>
      <w:szCs w:val="20"/>
      <w:lang w:val="es-ES" w:eastAsia="es-AR"/>
    </w:rPr>
  </w:style>
  <w:style w:type="character" w:customStyle="1" w:styleId="TtuloCar">
    <w:name w:val="Título Car"/>
    <w:basedOn w:val="Fuentedeprrafopredeter"/>
    <w:link w:val="Ttulo"/>
    <w:uiPriority w:val="10"/>
    <w:rsid w:val="004B2E6E"/>
    <w:rPr>
      <w:rFonts w:ascii="Calibri" w:eastAsia="Calibri" w:hAnsi="Calibri" w:cs="Calibri"/>
      <w:b/>
      <w:sz w:val="72"/>
      <w:szCs w:val="72"/>
      <w:lang w:val="es-ES" w:eastAsia="es-AR"/>
    </w:rPr>
  </w:style>
  <w:style w:type="paragraph" w:styleId="Ttulo">
    <w:name w:val="Title"/>
    <w:basedOn w:val="Normal"/>
    <w:next w:val="Normal"/>
    <w:link w:val="TtuloCar"/>
    <w:uiPriority w:val="10"/>
    <w:qFormat/>
    <w:rsid w:val="004B2E6E"/>
    <w:pPr>
      <w:keepNext/>
      <w:keepLines/>
      <w:spacing w:before="480" w:after="120"/>
    </w:pPr>
    <w:rPr>
      <w:rFonts w:ascii="Calibri" w:eastAsia="Calibri" w:hAnsi="Calibri" w:cs="Calibri"/>
      <w:b/>
      <w:sz w:val="72"/>
      <w:szCs w:val="72"/>
      <w:lang w:val="es-ES" w:eastAsia="es-AR"/>
    </w:rPr>
  </w:style>
  <w:style w:type="character" w:customStyle="1" w:styleId="SubttuloCar">
    <w:name w:val="Subtítulo Car"/>
    <w:basedOn w:val="Fuentedeprrafopredeter"/>
    <w:link w:val="Subttulo"/>
    <w:rsid w:val="004B2E6E"/>
    <w:rPr>
      <w:rFonts w:ascii="Georgia" w:eastAsia="Georgia" w:hAnsi="Georgia" w:cs="Georgia"/>
      <w:i/>
      <w:color w:val="666666"/>
      <w:sz w:val="48"/>
      <w:szCs w:val="48"/>
      <w:lang w:val="es-ES" w:eastAsia="es-AR"/>
    </w:rPr>
  </w:style>
  <w:style w:type="paragraph" w:styleId="Subttulo">
    <w:name w:val="Subtitle"/>
    <w:basedOn w:val="Normal"/>
    <w:next w:val="Normal"/>
    <w:link w:val="SubttuloCar"/>
    <w:rsid w:val="004B2E6E"/>
    <w:pPr>
      <w:keepNext/>
      <w:keepLines/>
      <w:spacing w:before="360" w:after="80"/>
    </w:pPr>
    <w:rPr>
      <w:rFonts w:ascii="Georgia" w:eastAsia="Georgia" w:hAnsi="Georgia" w:cs="Georgia"/>
      <w:i/>
      <w:color w:val="666666"/>
      <w:sz w:val="48"/>
      <w:szCs w:val="48"/>
      <w:lang w:val="es-ES" w:eastAsia="es-AR"/>
    </w:rPr>
  </w:style>
  <w:style w:type="character" w:customStyle="1" w:styleId="TextocomentarioCar">
    <w:name w:val="Texto comentario Car"/>
    <w:basedOn w:val="Fuentedeprrafopredeter"/>
    <w:link w:val="Textocomentario"/>
    <w:uiPriority w:val="99"/>
    <w:rsid w:val="004B2E6E"/>
    <w:rPr>
      <w:rFonts w:ascii="Calibri" w:eastAsia="Calibri" w:hAnsi="Calibri" w:cs="Calibri"/>
      <w:sz w:val="20"/>
      <w:szCs w:val="20"/>
      <w:lang w:val="es-ES" w:eastAsia="es-AR"/>
    </w:rPr>
  </w:style>
  <w:style w:type="paragraph" w:styleId="Textocomentario">
    <w:name w:val="annotation text"/>
    <w:basedOn w:val="Normal"/>
    <w:link w:val="TextocomentarioCar"/>
    <w:uiPriority w:val="99"/>
    <w:unhideWhenUsed/>
    <w:rsid w:val="004B2E6E"/>
    <w:rPr>
      <w:rFonts w:ascii="Calibri" w:eastAsia="Calibri" w:hAnsi="Calibri" w:cs="Calibri"/>
      <w:sz w:val="20"/>
      <w:szCs w:val="20"/>
      <w:lang w:val="es-ES" w:eastAsia="es-AR"/>
    </w:rPr>
  </w:style>
  <w:style w:type="character" w:customStyle="1" w:styleId="AsuntodelcomentarioCar">
    <w:name w:val="Asunto del comentario Car"/>
    <w:basedOn w:val="TextocomentarioCar"/>
    <w:link w:val="Asuntodelcomentario"/>
    <w:uiPriority w:val="99"/>
    <w:semiHidden/>
    <w:rsid w:val="004B2E6E"/>
    <w:rPr>
      <w:rFonts w:ascii="Calibri" w:eastAsia="Calibri" w:hAnsi="Calibri" w:cs="Calibri"/>
      <w:b/>
      <w:bCs/>
      <w:sz w:val="20"/>
      <w:szCs w:val="20"/>
      <w:lang w:val="es-ES" w:eastAsia="es-AR"/>
    </w:rPr>
  </w:style>
  <w:style w:type="paragraph" w:styleId="Asuntodelcomentario">
    <w:name w:val="annotation subject"/>
    <w:basedOn w:val="Textocomentario"/>
    <w:next w:val="Textocomentario"/>
    <w:link w:val="AsuntodelcomentarioCar"/>
    <w:uiPriority w:val="99"/>
    <w:semiHidden/>
    <w:unhideWhenUsed/>
    <w:rsid w:val="004B2E6E"/>
    <w:rPr>
      <w:b/>
      <w:bCs/>
    </w:rPr>
  </w:style>
  <w:style w:type="table" w:styleId="Tablaconcuadrcula">
    <w:name w:val="Table Grid"/>
    <w:basedOn w:val="Tablanormal"/>
    <w:uiPriority w:val="39"/>
    <w:rsid w:val="00DA1097"/>
    <w:rPr>
      <w:sz w:val="22"/>
      <w:szCs w:val="2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DA1097"/>
    <w:pPr>
      <w:spacing w:after="200"/>
    </w:pPr>
    <w:rPr>
      <w:rFonts w:asciiTheme="minorHAnsi" w:eastAsiaTheme="minorHAnsi" w:hAnsiTheme="minorHAnsi" w:cstheme="minorBidi"/>
      <w:i/>
      <w:iCs/>
      <w:color w:val="44546A" w:themeColor="text2"/>
      <w:sz w:val="18"/>
      <w:szCs w:val="18"/>
      <w:lang w:val="pt-PT" w:eastAsia="en-US"/>
    </w:rPr>
  </w:style>
  <w:style w:type="table" w:customStyle="1" w:styleId="Tabelacomgrelha1">
    <w:name w:val="Tabela com grelha1"/>
    <w:basedOn w:val="Tablanormal"/>
    <w:next w:val="Tablaconcuadrcula"/>
    <w:uiPriority w:val="59"/>
    <w:rsid w:val="00F92967"/>
    <w:rPr>
      <w:sz w:val="22"/>
      <w:szCs w:val="2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6802D2"/>
    <w:rPr>
      <w:color w:val="605E5C"/>
      <w:shd w:val="clear" w:color="auto" w:fill="E1DFDD"/>
    </w:rPr>
  </w:style>
  <w:style w:type="paragraph" w:customStyle="1" w:styleId="Instituciones">
    <w:name w:val="Instituciones"/>
    <w:basedOn w:val="Normal"/>
    <w:qFormat/>
    <w:rsid w:val="00B87BAC"/>
    <w:rPr>
      <w:i/>
      <w:sz w:val="28"/>
      <w:szCs w:val="28"/>
      <w:lang w:val="pt-BR" w:eastAsia="es-ES_tradnl"/>
    </w:rPr>
  </w:style>
  <w:style w:type="paragraph" w:customStyle="1" w:styleId="Notaalpie1erapgina">
    <w:name w:val="Nota al pie 1era página"/>
    <w:basedOn w:val="Normal"/>
    <w:qFormat/>
    <w:rsid w:val="00B87BAC"/>
    <w:rPr>
      <w:rFonts w:ascii="Times" w:hAnsi="Times"/>
      <w:sz w:val="16"/>
      <w:szCs w:val="16"/>
      <w:lang w:val="pt-BR" w:eastAsia="es-ES_tradnl"/>
    </w:rPr>
  </w:style>
  <w:style w:type="paragraph" w:customStyle="1" w:styleId="Palabrasclave">
    <w:name w:val="Palabras clave"/>
    <w:basedOn w:val="Normal"/>
    <w:qFormat/>
    <w:rsid w:val="00B87BAC"/>
    <w:pPr>
      <w:jc w:val="both"/>
    </w:pPr>
    <w:rPr>
      <w:bCs/>
      <w:sz w:val="20"/>
      <w:szCs w:val="20"/>
      <w:lang w:val="es-ES_tradnl" w:eastAsia="es-ES_tradnl"/>
    </w:rPr>
  </w:style>
  <w:style w:type="paragraph" w:customStyle="1" w:styleId="Prrafocomn">
    <w:name w:val="Párrafo común"/>
    <w:basedOn w:val="Normal"/>
    <w:qFormat/>
    <w:rsid w:val="00B87BAC"/>
    <w:pPr>
      <w:spacing w:line="360" w:lineRule="auto"/>
      <w:ind w:firstLine="708"/>
      <w:contextualSpacing/>
      <w:jc w:val="both"/>
    </w:pPr>
    <w:rPr>
      <w:lang w:val="en-US" w:eastAsia="es-ES_tradnl"/>
    </w:rPr>
  </w:style>
  <w:style w:type="paragraph" w:customStyle="1" w:styleId="RecibidoAceptado">
    <w:name w:val="Recibido/Aceptado"/>
    <w:basedOn w:val="Normal"/>
    <w:qFormat/>
    <w:rsid w:val="00B87BAC"/>
    <w:pPr>
      <w:shd w:val="clear" w:color="auto" w:fill="FFFFFF"/>
      <w:jc w:val="right"/>
    </w:pPr>
    <w:rPr>
      <w:i/>
      <w:iCs/>
      <w:sz w:val="20"/>
      <w:szCs w:val="20"/>
      <w:lang w:val="pt-BR" w:eastAsia="es-ES_tradnl"/>
    </w:rPr>
  </w:style>
  <w:style w:type="paragraph" w:customStyle="1" w:styleId="Referencias">
    <w:name w:val="Referencias"/>
    <w:basedOn w:val="Normal"/>
    <w:qFormat/>
    <w:rsid w:val="00B87BAC"/>
    <w:pPr>
      <w:ind w:left="720" w:hanging="720"/>
      <w:jc w:val="both"/>
    </w:pPr>
    <w:rPr>
      <w:lang w:val="en-US" w:eastAsia="es-ES_tradnl"/>
    </w:rPr>
  </w:style>
  <w:style w:type="paragraph" w:customStyle="1" w:styleId="Resumen">
    <w:name w:val="Resumen"/>
    <w:basedOn w:val="Normal"/>
    <w:autoRedefine/>
    <w:qFormat/>
    <w:rsid w:val="001006DE"/>
    <w:pPr>
      <w:jc w:val="both"/>
    </w:pPr>
    <w:rPr>
      <w:sz w:val="20"/>
      <w:szCs w:val="20"/>
      <w:lang w:val="en-US" w:eastAsia="es-ES_tradnl"/>
    </w:rPr>
  </w:style>
  <w:style w:type="paragraph" w:customStyle="1" w:styleId="Titulodeartculo">
    <w:name w:val="Titulo de artículo"/>
    <w:basedOn w:val="Normal"/>
    <w:link w:val="TitulodeartculoCar"/>
    <w:autoRedefine/>
    <w:qFormat/>
    <w:rsid w:val="00A815CA"/>
    <w:pPr>
      <w:jc w:val="center"/>
      <w:outlineLvl w:val="0"/>
    </w:pPr>
    <w:rPr>
      <w:b/>
      <w:noProof/>
      <w:sz w:val="36"/>
      <w:szCs w:val="36"/>
      <w:lang w:val="es-ES_tradnl" w:eastAsia="es-ES_tradnl"/>
    </w:rPr>
  </w:style>
  <w:style w:type="character" w:customStyle="1" w:styleId="TitulodeartculoCar">
    <w:name w:val="Titulo de artículo Car"/>
    <w:basedOn w:val="Fuentedeprrafopredeter"/>
    <w:link w:val="Titulodeartculo"/>
    <w:rsid w:val="00A815CA"/>
    <w:rPr>
      <w:rFonts w:ascii="Times New Roman" w:eastAsia="Times New Roman" w:hAnsi="Times New Roman" w:cs="Times New Roman"/>
      <w:b/>
      <w:noProof/>
      <w:sz w:val="36"/>
      <w:szCs w:val="36"/>
      <w:lang w:val="es-ES_tradnl" w:eastAsia="es-ES_tradnl"/>
    </w:rPr>
  </w:style>
  <w:style w:type="paragraph" w:customStyle="1" w:styleId="Ttulodepalabrasclave">
    <w:name w:val="Título de palabras clave"/>
    <w:basedOn w:val="Normal"/>
    <w:qFormat/>
    <w:rsid w:val="00B87BAC"/>
    <w:rPr>
      <w:b/>
      <w:sz w:val="20"/>
      <w:szCs w:val="20"/>
      <w:lang w:val="en-US" w:eastAsia="es-ES_tradnl"/>
    </w:rPr>
  </w:style>
  <w:style w:type="paragraph" w:customStyle="1" w:styleId="Ttuloprincipiodeartculo">
    <w:name w:val="Título principio de artículo"/>
    <w:basedOn w:val="Normal"/>
    <w:link w:val="TtuloprincipiodeartculoCar"/>
    <w:autoRedefine/>
    <w:qFormat/>
    <w:rsid w:val="00D14026"/>
    <w:pPr>
      <w:jc w:val="center"/>
      <w:outlineLvl w:val="0"/>
    </w:pPr>
    <w:rPr>
      <w:b/>
      <w:lang w:val="en-US" w:eastAsia="es-ES_tradnl"/>
    </w:rPr>
  </w:style>
  <w:style w:type="character" w:customStyle="1" w:styleId="TtuloprincipiodeartculoCar">
    <w:name w:val="Título principio de artículo Car"/>
    <w:basedOn w:val="Fuentedeprrafopredeter"/>
    <w:link w:val="Ttuloprincipiodeartculo"/>
    <w:rsid w:val="00D14026"/>
    <w:rPr>
      <w:rFonts w:ascii="Times New Roman" w:eastAsia="Times New Roman" w:hAnsi="Times New Roman" w:cs="Times New Roman"/>
      <w:b/>
      <w:lang w:eastAsia="es-ES_tradnl"/>
    </w:rPr>
  </w:style>
  <w:style w:type="paragraph" w:customStyle="1" w:styleId="TtuloResumen">
    <w:name w:val="Título Resumen"/>
    <w:basedOn w:val="Normal"/>
    <w:link w:val="TtuloResumenCar"/>
    <w:autoRedefine/>
    <w:qFormat/>
    <w:rsid w:val="000928CA"/>
    <w:pPr>
      <w:spacing w:after="120"/>
      <w:jc w:val="center"/>
      <w:outlineLvl w:val="0"/>
    </w:pPr>
    <w:rPr>
      <w:b/>
      <w:smallCaps/>
      <w:sz w:val="20"/>
      <w:szCs w:val="20"/>
      <w:lang w:val="pt-BR" w:eastAsia="es-ES_tradnl"/>
    </w:rPr>
  </w:style>
  <w:style w:type="character" w:customStyle="1" w:styleId="TtuloResumenCar">
    <w:name w:val="Título Resumen Car"/>
    <w:basedOn w:val="Fuentedeprrafopredeter"/>
    <w:link w:val="TtuloResumen"/>
    <w:rsid w:val="000928CA"/>
    <w:rPr>
      <w:rFonts w:ascii="Times New Roman" w:eastAsia="Times New Roman" w:hAnsi="Times New Roman" w:cs="Times New Roman"/>
      <w:b/>
      <w:smallCaps/>
      <w:sz w:val="20"/>
      <w:szCs w:val="20"/>
      <w:lang w:val="pt-BR" w:eastAsia="es-ES_tradnl"/>
    </w:rPr>
  </w:style>
  <w:style w:type="paragraph" w:customStyle="1" w:styleId="Ttulosinternos">
    <w:name w:val="Títulos internos"/>
    <w:basedOn w:val="Normal"/>
    <w:link w:val="TtulosinternosCar"/>
    <w:autoRedefine/>
    <w:qFormat/>
    <w:rsid w:val="00F42476"/>
    <w:pPr>
      <w:spacing w:before="100" w:beforeAutospacing="1" w:after="100" w:afterAutospacing="1"/>
      <w:jc w:val="center"/>
      <w:outlineLvl w:val="0"/>
    </w:pPr>
    <w:rPr>
      <w:b/>
      <w:bCs/>
      <w:iCs/>
      <w:lang w:val="pt-BR" w:eastAsia="en-US"/>
    </w:rPr>
  </w:style>
  <w:style w:type="character" w:customStyle="1" w:styleId="TtulosinternosCar">
    <w:name w:val="Títulos internos Car"/>
    <w:basedOn w:val="Fuentedeprrafopredeter"/>
    <w:link w:val="Ttulosinternos"/>
    <w:rsid w:val="00F42476"/>
    <w:rPr>
      <w:rFonts w:ascii="Times New Roman" w:eastAsia="Times New Roman" w:hAnsi="Times New Roman" w:cs="Times New Roman"/>
      <w:b/>
      <w:bCs/>
      <w:iCs/>
      <w:lang w:val="pt-BR"/>
    </w:rPr>
  </w:style>
  <w:style w:type="paragraph" w:customStyle="1" w:styleId="SubtituloInterno">
    <w:name w:val="Subtitulo Interno"/>
    <w:basedOn w:val="Normal"/>
    <w:link w:val="SubtituloInternoCar"/>
    <w:autoRedefine/>
    <w:qFormat/>
    <w:rsid w:val="001444E3"/>
    <w:pPr>
      <w:spacing w:before="100" w:beforeAutospacing="1" w:after="100" w:afterAutospacing="1" w:line="360" w:lineRule="auto"/>
      <w:contextualSpacing/>
      <w:jc w:val="both"/>
      <w:outlineLvl w:val="1"/>
    </w:pPr>
    <w:rPr>
      <w:b/>
      <w:i/>
      <w:lang w:eastAsia="en-US"/>
    </w:rPr>
  </w:style>
  <w:style w:type="paragraph" w:styleId="Bibliografa">
    <w:name w:val="Bibliography"/>
    <w:basedOn w:val="Normal"/>
    <w:next w:val="Normal"/>
    <w:uiPriority w:val="37"/>
    <w:semiHidden/>
    <w:unhideWhenUsed/>
    <w:rsid w:val="00F4526C"/>
    <w:rPr>
      <w:lang w:val="es-ES_tradnl" w:eastAsia="es-ES_tradnl"/>
    </w:rPr>
  </w:style>
  <w:style w:type="character" w:styleId="Hipervnculovisitado">
    <w:name w:val="FollowedHyperlink"/>
    <w:basedOn w:val="Fuentedeprrafopredeter"/>
    <w:uiPriority w:val="99"/>
    <w:semiHidden/>
    <w:unhideWhenUsed/>
    <w:rsid w:val="00F4526C"/>
    <w:rPr>
      <w:color w:val="954F72" w:themeColor="followedHyperlink"/>
      <w:u w:val="single"/>
    </w:rPr>
  </w:style>
  <w:style w:type="table" w:styleId="Tabladecuadrcula2">
    <w:name w:val="Grid Table 2"/>
    <w:basedOn w:val="Tablanormal"/>
    <w:uiPriority w:val="47"/>
    <w:rsid w:val="000A323A"/>
    <w:rPr>
      <w:sz w:val="22"/>
      <w:szCs w:val="22"/>
      <w:lang w:val="es-P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clara">
    <w:name w:val="Grid Table Light"/>
    <w:basedOn w:val="Tablanormal"/>
    <w:uiPriority w:val="40"/>
    <w:rsid w:val="00B63E3C"/>
    <w:rPr>
      <w:sz w:val="22"/>
      <w:szCs w:val="22"/>
      <w:lang w:val="es-P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rrafodelista">
    <w:name w:val="List Paragraph"/>
    <w:basedOn w:val="Normal"/>
    <w:uiPriority w:val="34"/>
    <w:qFormat/>
    <w:rsid w:val="000B01FD"/>
    <w:pPr>
      <w:spacing w:after="200" w:line="276" w:lineRule="auto"/>
      <w:ind w:left="720"/>
      <w:contextualSpacing/>
    </w:pPr>
    <w:rPr>
      <w:rFonts w:asciiTheme="minorHAnsi" w:eastAsiaTheme="minorHAnsi" w:hAnsiTheme="minorHAnsi" w:cstheme="minorBidi"/>
      <w:sz w:val="22"/>
      <w:szCs w:val="22"/>
      <w:lang w:val="es-CR" w:eastAsia="en-US"/>
    </w:rPr>
  </w:style>
  <w:style w:type="table" w:customStyle="1" w:styleId="Tablaconcuadrcula1">
    <w:name w:val="Tabla con cuadrícula1"/>
    <w:basedOn w:val="Tablanormal"/>
    <w:next w:val="Tablaconcuadrcula"/>
    <w:uiPriority w:val="59"/>
    <w:rsid w:val="000B01FD"/>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2E5EA3"/>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2E5EA3"/>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2">
    <w:name w:val="Plain Table 2"/>
    <w:basedOn w:val="Tablanormal"/>
    <w:uiPriority w:val="99"/>
    <w:rsid w:val="00201E32"/>
    <w:rPr>
      <w:rFonts w:ascii="Cambria" w:eastAsia="MS Mincho" w:hAnsi="Cambria" w:cs="Times New Roman"/>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Textoennegrita">
    <w:name w:val="Strong"/>
    <w:qFormat/>
    <w:rsid w:val="00F70FFE"/>
    <w:rPr>
      <w:b/>
      <w:bCs/>
    </w:rPr>
  </w:style>
  <w:style w:type="character" w:customStyle="1" w:styleId="st">
    <w:name w:val="st"/>
    <w:rsid w:val="00F70FFE"/>
  </w:style>
  <w:style w:type="character" w:customStyle="1" w:styleId="longtext">
    <w:name w:val="long_text"/>
    <w:basedOn w:val="Fuentedeprrafopredeter"/>
    <w:rsid w:val="00F70FFE"/>
  </w:style>
  <w:style w:type="character" w:customStyle="1" w:styleId="hps">
    <w:name w:val="hps"/>
    <w:basedOn w:val="Fuentedeprrafopredeter"/>
    <w:rsid w:val="00F70FFE"/>
  </w:style>
  <w:style w:type="character" w:styleId="nfasis">
    <w:name w:val="Emphasis"/>
    <w:basedOn w:val="Fuentedeprrafopredeter"/>
    <w:uiPriority w:val="20"/>
    <w:qFormat/>
    <w:rsid w:val="00F70FFE"/>
    <w:rPr>
      <w:i/>
      <w:iCs/>
    </w:rPr>
  </w:style>
  <w:style w:type="paragraph" w:customStyle="1" w:styleId="Default">
    <w:name w:val="Default"/>
    <w:rsid w:val="00B56D7D"/>
    <w:pPr>
      <w:autoSpaceDE w:val="0"/>
      <w:autoSpaceDN w:val="0"/>
      <w:adjustRightInd w:val="0"/>
    </w:pPr>
    <w:rPr>
      <w:rFonts w:ascii="Euphemia" w:hAnsi="Euphemia" w:cs="Euphemia"/>
      <w:color w:val="000000"/>
      <w:lang w:val="es-ES"/>
    </w:rPr>
  </w:style>
  <w:style w:type="paragraph" w:styleId="Sangradetextonormal">
    <w:name w:val="Body Text Indent"/>
    <w:basedOn w:val="Normal"/>
    <w:link w:val="SangradetextonormalCar"/>
    <w:uiPriority w:val="99"/>
    <w:semiHidden/>
    <w:unhideWhenUsed/>
    <w:rsid w:val="00B56D7D"/>
    <w:pPr>
      <w:spacing w:after="120"/>
      <w:ind w:left="283"/>
    </w:pPr>
    <w:rPr>
      <w:lang w:val="es-ES_tradnl" w:eastAsia="es-ES_tradnl"/>
    </w:rPr>
  </w:style>
  <w:style w:type="character" w:customStyle="1" w:styleId="SangradetextonormalCar">
    <w:name w:val="Sangría de texto normal Car"/>
    <w:basedOn w:val="Fuentedeprrafopredeter"/>
    <w:link w:val="Sangradetextonormal"/>
    <w:uiPriority w:val="99"/>
    <w:semiHidden/>
    <w:rsid w:val="00B56D7D"/>
    <w:rPr>
      <w:rFonts w:ascii="Times New Roman" w:eastAsia="Times New Roman" w:hAnsi="Times New Roman" w:cs="Times New Roman"/>
      <w:lang w:val="es-ES_tradnl" w:eastAsia="es-ES_tradnl"/>
    </w:rPr>
  </w:style>
  <w:style w:type="paragraph" w:styleId="Textoindependiente2">
    <w:name w:val="Body Text 2"/>
    <w:basedOn w:val="Normal"/>
    <w:link w:val="Textoindependiente2Car"/>
    <w:uiPriority w:val="99"/>
    <w:semiHidden/>
    <w:unhideWhenUsed/>
    <w:rsid w:val="00B56D7D"/>
    <w:pPr>
      <w:spacing w:after="120" w:line="480" w:lineRule="auto"/>
    </w:pPr>
    <w:rPr>
      <w:lang w:val="es-ES_tradnl" w:eastAsia="es-ES_tradnl"/>
    </w:rPr>
  </w:style>
  <w:style w:type="character" w:customStyle="1" w:styleId="Textoindependiente2Car">
    <w:name w:val="Texto independiente 2 Car"/>
    <w:basedOn w:val="Fuentedeprrafopredeter"/>
    <w:link w:val="Textoindependiente2"/>
    <w:uiPriority w:val="99"/>
    <w:semiHidden/>
    <w:rsid w:val="00B56D7D"/>
    <w:rPr>
      <w:rFonts w:ascii="Times New Roman" w:eastAsia="Times New Roman" w:hAnsi="Times New Roman" w:cs="Times New Roman"/>
      <w:lang w:val="es-ES_tradnl" w:eastAsia="es-ES_tradnl"/>
    </w:rPr>
  </w:style>
  <w:style w:type="paragraph" w:customStyle="1" w:styleId="SubtituloInterno1">
    <w:name w:val="Subtitulo Interno 1"/>
    <w:basedOn w:val="SubtituloInterno"/>
    <w:link w:val="SubtituloInterno1Car"/>
    <w:qFormat/>
    <w:rsid w:val="00EB1572"/>
    <w:pPr>
      <w:outlineLvl w:val="2"/>
    </w:pPr>
    <w:rPr>
      <w:b w:val="0"/>
    </w:rPr>
  </w:style>
  <w:style w:type="paragraph" w:styleId="Revisin">
    <w:name w:val="Revision"/>
    <w:hidden/>
    <w:uiPriority w:val="71"/>
    <w:rsid w:val="00EB1572"/>
    <w:rPr>
      <w:rFonts w:ascii="Times New Roman" w:eastAsia="Times New Roman" w:hAnsi="Times New Roman" w:cs="Times New Roman"/>
      <w:lang w:val="es-ES_tradnl" w:eastAsia="es-ES_tradnl"/>
    </w:rPr>
  </w:style>
  <w:style w:type="character" w:customStyle="1" w:styleId="SubtituloInternoCar">
    <w:name w:val="Subtitulo Interno Car"/>
    <w:basedOn w:val="Fuentedeprrafopredeter"/>
    <w:link w:val="SubtituloInterno"/>
    <w:rsid w:val="001444E3"/>
    <w:rPr>
      <w:rFonts w:ascii="Times New Roman" w:eastAsia="Times New Roman" w:hAnsi="Times New Roman" w:cs="Times New Roman"/>
      <w:b/>
      <w:i/>
      <w:lang w:val="es-AR"/>
    </w:rPr>
  </w:style>
  <w:style w:type="character" w:customStyle="1" w:styleId="SubtituloInterno1Car">
    <w:name w:val="Subtitulo Interno 1 Car"/>
    <w:basedOn w:val="SubtituloInternoCar"/>
    <w:link w:val="SubtituloInterno1"/>
    <w:rsid w:val="00EB1572"/>
    <w:rPr>
      <w:rFonts w:ascii="Times New Roman" w:eastAsia="Times New Roman" w:hAnsi="Times New Roman" w:cs="Times New Roman"/>
      <w:b w:val="0"/>
      <w:i/>
      <w:lang w:val="es-AR" w:eastAsia="es-ES_tradnl"/>
    </w:rPr>
  </w:style>
  <w:style w:type="table" w:customStyle="1" w:styleId="Tablaconcuadrcula4">
    <w:name w:val="Tabla con cuadrícula4"/>
    <w:basedOn w:val="Tablanormal"/>
    <w:next w:val="Tablaconcuadrcula"/>
    <w:uiPriority w:val="59"/>
    <w:rsid w:val="00E74675"/>
    <w:rPr>
      <w:rFonts w:ascii="Calibri" w:eastAsia="Times New Roman" w:hAnsi="Calibri" w:cs="Calibri"/>
      <w:sz w:val="20"/>
      <w:szCs w:val="20"/>
      <w:lang w:val="pt-BR"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Label29">
    <w:name w:val="ListLabel 29"/>
    <w:qFormat/>
    <w:rsid w:val="00414BBB"/>
    <w:rPr>
      <w:rFonts w:ascii="Calibri" w:hAnsi="Calibri" w:cs="Calibri"/>
      <w:b w:val="0"/>
      <w:color w:val="auto"/>
      <w:sz w:val="22"/>
      <w:szCs w:val="22"/>
      <w:highlight w:val="yellow"/>
      <w:u w:val="none"/>
      <w:lang w:val="en-US"/>
    </w:rPr>
  </w:style>
  <w:style w:type="table" w:customStyle="1" w:styleId="Tablaconcuadrcula5">
    <w:name w:val="Tabla con cuadrícula5"/>
    <w:basedOn w:val="Tablanormal"/>
    <w:next w:val="Tablaconcuadrcula"/>
    <w:uiPriority w:val="39"/>
    <w:rsid w:val="00414BBB"/>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A03E89"/>
    <w:rPr>
      <w:sz w:val="16"/>
      <w:szCs w:val="16"/>
    </w:rPr>
  </w:style>
  <w:style w:type="character" w:customStyle="1" w:styleId="Mencinsinresolver2">
    <w:name w:val="Mención sin resolver2"/>
    <w:basedOn w:val="Fuentedeprrafopredeter"/>
    <w:uiPriority w:val="99"/>
    <w:rsid w:val="0014510D"/>
    <w:rPr>
      <w:color w:val="605E5C"/>
      <w:shd w:val="clear" w:color="auto" w:fill="E1DFDD"/>
    </w:rPr>
  </w:style>
  <w:style w:type="paragraph" w:customStyle="1" w:styleId="Body">
    <w:name w:val="Body"/>
    <w:rsid w:val="0039161E"/>
    <w:pPr>
      <w:pBdr>
        <w:top w:val="nil"/>
        <w:left w:val="nil"/>
        <w:bottom w:val="nil"/>
        <w:right w:val="nil"/>
        <w:between w:val="nil"/>
        <w:bar w:val="nil"/>
      </w:pBdr>
    </w:pPr>
    <w:rPr>
      <w:rFonts w:ascii="Times New Roman" w:eastAsia="Times New Roman" w:hAnsi="Times New Roman" w:cs="Times New Roman"/>
      <w:color w:val="000000"/>
      <w:u w:color="000000"/>
      <w:bdr w:val="nil"/>
      <w:lang w:val="es-AR" w:eastAsia="es-ES_tradnl"/>
      <w14:textOutline w14:w="0" w14:cap="flat" w14:cmpd="sng" w14:algn="ctr">
        <w14:noFill/>
        <w14:prstDash w14:val="solid"/>
        <w14:bevel/>
      </w14:textOutline>
    </w:rPr>
  </w:style>
  <w:style w:type="paragraph" w:styleId="NormalWeb">
    <w:name w:val="Normal (Web)"/>
    <w:basedOn w:val="Normal"/>
    <w:uiPriority w:val="99"/>
    <w:unhideWhenUsed/>
    <w:rsid w:val="00804C60"/>
    <w:rPr>
      <w:lang w:eastAsia="es-ES_tradnl"/>
    </w:rPr>
  </w:style>
  <w:style w:type="table" w:customStyle="1" w:styleId="TableNormal1">
    <w:name w:val="Table Normal1"/>
    <w:rsid w:val="00590387"/>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character" w:customStyle="1" w:styleId="apple-converted-space">
    <w:name w:val="apple-converted-space"/>
    <w:basedOn w:val="Fuentedeprrafopredeter"/>
    <w:rsid w:val="00590387"/>
  </w:style>
  <w:style w:type="character" w:customStyle="1" w:styleId="SmartLink1">
    <w:name w:val="SmartLink1"/>
    <w:basedOn w:val="Fuentedeprrafopredeter"/>
    <w:uiPriority w:val="99"/>
    <w:rsid w:val="004F75E9"/>
    <w:rPr>
      <w:color w:val="0000FF"/>
      <w:u w:val="single"/>
      <w:shd w:val="clear" w:color="auto" w:fill="F3F2F1"/>
    </w:rPr>
  </w:style>
  <w:style w:type="table" w:customStyle="1" w:styleId="Tablaconcuadrcula6">
    <w:name w:val="Tabla con cuadrícula6"/>
    <w:basedOn w:val="Tablanormal"/>
    <w:next w:val="Tablaconcuadrcula"/>
    <w:uiPriority w:val="59"/>
    <w:rsid w:val="00BA79C8"/>
    <w:pPr>
      <w:pBdr>
        <w:top w:val="nil"/>
        <w:left w:val="nil"/>
        <w:bottom w:val="nil"/>
        <w:right w:val="nil"/>
        <w:between w:val="nil"/>
      </w:pBdr>
      <w:jc w:val="both"/>
    </w:pPr>
    <w:rPr>
      <w:rFonts w:ascii="Arial" w:eastAsia="Arial" w:hAnsi="Arial" w:cs="Arial"/>
      <w:color w:val="000000"/>
      <w:lang w:val="es-MX"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D43347"/>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
    <w:name w:val="Pa2"/>
    <w:basedOn w:val="Normal"/>
    <w:next w:val="Normal"/>
    <w:uiPriority w:val="99"/>
    <w:rsid w:val="00E32976"/>
    <w:pPr>
      <w:autoSpaceDE w:val="0"/>
      <w:autoSpaceDN w:val="0"/>
      <w:adjustRightInd w:val="0"/>
      <w:spacing w:line="321" w:lineRule="atLeast"/>
    </w:pPr>
    <w:rPr>
      <w:rFonts w:eastAsiaTheme="minorHAnsi"/>
      <w:lang w:val="en-US" w:eastAsia="en-US"/>
    </w:rPr>
  </w:style>
  <w:style w:type="character" w:customStyle="1" w:styleId="A11">
    <w:name w:val="A11"/>
    <w:uiPriority w:val="99"/>
    <w:rsid w:val="00E32976"/>
    <w:rPr>
      <w:rFonts w:cs="DIN Next LT Pro Light"/>
      <w:color w:val="000000"/>
      <w:sz w:val="12"/>
      <w:szCs w:val="12"/>
    </w:rPr>
  </w:style>
  <w:style w:type="character" w:customStyle="1" w:styleId="UnresolvedMention1">
    <w:name w:val="Unresolved Mention1"/>
    <w:basedOn w:val="Fuentedeprrafopredeter"/>
    <w:uiPriority w:val="99"/>
    <w:semiHidden/>
    <w:unhideWhenUsed/>
    <w:rsid w:val="00E32976"/>
    <w:rPr>
      <w:color w:val="808080"/>
      <w:shd w:val="clear" w:color="auto" w:fill="E6E6E6"/>
    </w:rPr>
  </w:style>
  <w:style w:type="character" w:customStyle="1" w:styleId="UnresolvedMention2">
    <w:name w:val="Unresolved Mention2"/>
    <w:basedOn w:val="Fuentedeprrafopredeter"/>
    <w:uiPriority w:val="99"/>
    <w:semiHidden/>
    <w:unhideWhenUsed/>
    <w:rsid w:val="00E32976"/>
    <w:rPr>
      <w:color w:val="605E5C"/>
      <w:shd w:val="clear" w:color="auto" w:fill="E1DFDD"/>
    </w:rPr>
  </w:style>
  <w:style w:type="character" w:styleId="Mencinsinresolver">
    <w:name w:val="Unresolved Mention"/>
    <w:basedOn w:val="Fuentedeprrafopredeter"/>
    <w:uiPriority w:val="99"/>
    <w:semiHidden/>
    <w:unhideWhenUsed/>
    <w:rsid w:val="00922B3A"/>
    <w:rPr>
      <w:color w:val="605E5C"/>
      <w:shd w:val="clear" w:color="auto" w:fill="E1DFDD"/>
    </w:rPr>
  </w:style>
  <w:style w:type="table" w:customStyle="1" w:styleId="SimplesTabela21">
    <w:name w:val="Simples Tabela 21"/>
    <w:basedOn w:val="Tablanormal"/>
    <w:uiPriority w:val="42"/>
    <w:rsid w:val="009A0192"/>
    <w:rPr>
      <w:rFonts w:ascii="Arial" w:eastAsia="Arial" w:hAnsi="Arial" w:cs="Arial"/>
      <w:sz w:val="22"/>
      <w:szCs w:val="22"/>
      <w:lang w:val="pt-BR" w:eastAsia="pt-B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eladeLista6Colorida8">
    <w:name w:val="Tabela de Lista 6 Colorida8"/>
    <w:basedOn w:val="Tablanormal"/>
    <w:uiPriority w:val="51"/>
    <w:rsid w:val="00E43535"/>
    <w:rPr>
      <w:color w:val="000000" w:themeColor="text1"/>
      <w:sz w:val="22"/>
      <w:szCs w:val="22"/>
      <w:lang w:val="pt-PT"/>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Lista1Clara1">
    <w:name w:val="Tabela de Lista 1 Clara1"/>
    <w:basedOn w:val="Tablanormal"/>
    <w:uiPriority w:val="46"/>
    <w:rsid w:val="00E43535"/>
    <w:rPr>
      <w:sz w:val="22"/>
      <w:szCs w:val="22"/>
      <w:lang w:val="pt-PT"/>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Lista6Colorida2">
    <w:name w:val="Tabela de Lista 6 Colorida2"/>
    <w:basedOn w:val="Tablanormal"/>
    <w:next w:val="Tablanormal"/>
    <w:uiPriority w:val="51"/>
    <w:rsid w:val="001941FE"/>
    <w:rPr>
      <w:color w:val="000000" w:themeColor="text1"/>
      <w:sz w:val="22"/>
      <w:szCs w:val="22"/>
      <w:lang w:val="pt-PT"/>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Lista6Colorida3">
    <w:name w:val="Tabela de Lista 6 Colorida3"/>
    <w:basedOn w:val="Tablanormal"/>
    <w:next w:val="Tablanormal"/>
    <w:uiPriority w:val="51"/>
    <w:rsid w:val="001941FE"/>
    <w:rPr>
      <w:color w:val="000000" w:themeColor="text1"/>
      <w:sz w:val="22"/>
      <w:szCs w:val="22"/>
      <w:lang w:val="pt-PT"/>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Lista6Colorida11">
    <w:name w:val="Tabela de Lista 6 Colorida11"/>
    <w:basedOn w:val="Tablanormal"/>
    <w:next w:val="Tablanormal"/>
    <w:uiPriority w:val="51"/>
    <w:rsid w:val="00750D6C"/>
    <w:rPr>
      <w:color w:val="000000" w:themeColor="text1"/>
      <w:sz w:val="22"/>
      <w:szCs w:val="22"/>
      <w:lang w:val="pt-PT"/>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64562">
      <w:bodyDiv w:val="1"/>
      <w:marLeft w:val="0"/>
      <w:marRight w:val="0"/>
      <w:marTop w:val="0"/>
      <w:marBottom w:val="0"/>
      <w:divBdr>
        <w:top w:val="none" w:sz="0" w:space="0" w:color="auto"/>
        <w:left w:val="none" w:sz="0" w:space="0" w:color="auto"/>
        <w:bottom w:val="none" w:sz="0" w:space="0" w:color="auto"/>
        <w:right w:val="none" w:sz="0" w:space="0" w:color="auto"/>
      </w:divBdr>
    </w:div>
    <w:div w:id="51469270">
      <w:bodyDiv w:val="1"/>
      <w:marLeft w:val="0"/>
      <w:marRight w:val="0"/>
      <w:marTop w:val="0"/>
      <w:marBottom w:val="0"/>
      <w:divBdr>
        <w:top w:val="none" w:sz="0" w:space="0" w:color="auto"/>
        <w:left w:val="none" w:sz="0" w:space="0" w:color="auto"/>
        <w:bottom w:val="none" w:sz="0" w:space="0" w:color="auto"/>
        <w:right w:val="none" w:sz="0" w:space="0" w:color="auto"/>
      </w:divBdr>
    </w:div>
    <w:div w:id="57677207">
      <w:bodyDiv w:val="1"/>
      <w:marLeft w:val="0"/>
      <w:marRight w:val="0"/>
      <w:marTop w:val="0"/>
      <w:marBottom w:val="0"/>
      <w:divBdr>
        <w:top w:val="none" w:sz="0" w:space="0" w:color="auto"/>
        <w:left w:val="none" w:sz="0" w:space="0" w:color="auto"/>
        <w:bottom w:val="none" w:sz="0" w:space="0" w:color="auto"/>
        <w:right w:val="none" w:sz="0" w:space="0" w:color="auto"/>
      </w:divBdr>
    </w:div>
    <w:div w:id="102387736">
      <w:bodyDiv w:val="1"/>
      <w:marLeft w:val="0"/>
      <w:marRight w:val="0"/>
      <w:marTop w:val="0"/>
      <w:marBottom w:val="0"/>
      <w:divBdr>
        <w:top w:val="none" w:sz="0" w:space="0" w:color="auto"/>
        <w:left w:val="none" w:sz="0" w:space="0" w:color="auto"/>
        <w:bottom w:val="none" w:sz="0" w:space="0" w:color="auto"/>
        <w:right w:val="none" w:sz="0" w:space="0" w:color="auto"/>
      </w:divBdr>
    </w:div>
    <w:div w:id="110902217">
      <w:bodyDiv w:val="1"/>
      <w:marLeft w:val="0"/>
      <w:marRight w:val="0"/>
      <w:marTop w:val="0"/>
      <w:marBottom w:val="0"/>
      <w:divBdr>
        <w:top w:val="none" w:sz="0" w:space="0" w:color="auto"/>
        <w:left w:val="none" w:sz="0" w:space="0" w:color="auto"/>
        <w:bottom w:val="none" w:sz="0" w:space="0" w:color="auto"/>
        <w:right w:val="none" w:sz="0" w:space="0" w:color="auto"/>
      </w:divBdr>
    </w:div>
    <w:div w:id="122775880">
      <w:bodyDiv w:val="1"/>
      <w:marLeft w:val="0"/>
      <w:marRight w:val="0"/>
      <w:marTop w:val="0"/>
      <w:marBottom w:val="0"/>
      <w:divBdr>
        <w:top w:val="none" w:sz="0" w:space="0" w:color="auto"/>
        <w:left w:val="none" w:sz="0" w:space="0" w:color="auto"/>
        <w:bottom w:val="none" w:sz="0" w:space="0" w:color="auto"/>
        <w:right w:val="none" w:sz="0" w:space="0" w:color="auto"/>
      </w:divBdr>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157960060">
      <w:bodyDiv w:val="1"/>
      <w:marLeft w:val="0"/>
      <w:marRight w:val="0"/>
      <w:marTop w:val="0"/>
      <w:marBottom w:val="0"/>
      <w:divBdr>
        <w:top w:val="none" w:sz="0" w:space="0" w:color="auto"/>
        <w:left w:val="none" w:sz="0" w:space="0" w:color="auto"/>
        <w:bottom w:val="none" w:sz="0" w:space="0" w:color="auto"/>
        <w:right w:val="none" w:sz="0" w:space="0" w:color="auto"/>
      </w:divBdr>
    </w:div>
    <w:div w:id="177546039">
      <w:bodyDiv w:val="1"/>
      <w:marLeft w:val="0"/>
      <w:marRight w:val="0"/>
      <w:marTop w:val="0"/>
      <w:marBottom w:val="0"/>
      <w:divBdr>
        <w:top w:val="none" w:sz="0" w:space="0" w:color="auto"/>
        <w:left w:val="none" w:sz="0" w:space="0" w:color="auto"/>
        <w:bottom w:val="none" w:sz="0" w:space="0" w:color="auto"/>
        <w:right w:val="none" w:sz="0" w:space="0" w:color="auto"/>
      </w:divBdr>
    </w:div>
    <w:div w:id="179587092">
      <w:bodyDiv w:val="1"/>
      <w:marLeft w:val="0"/>
      <w:marRight w:val="0"/>
      <w:marTop w:val="0"/>
      <w:marBottom w:val="0"/>
      <w:divBdr>
        <w:top w:val="none" w:sz="0" w:space="0" w:color="auto"/>
        <w:left w:val="none" w:sz="0" w:space="0" w:color="auto"/>
        <w:bottom w:val="none" w:sz="0" w:space="0" w:color="auto"/>
        <w:right w:val="none" w:sz="0" w:space="0" w:color="auto"/>
      </w:divBdr>
    </w:div>
    <w:div w:id="207421443">
      <w:bodyDiv w:val="1"/>
      <w:marLeft w:val="0"/>
      <w:marRight w:val="0"/>
      <w:marTop w:val="0"/>
      <w:marBottom w:val="0"/>
      <w:divBdr>
        <w:top w:val="none" w:sz="0" w:space="0" w:color="auto"/>
        <w:left w:val="none" w:sz="0" w:space="0" w:color="auto"/>
        <w:bottom w:val="none" w:sz="0" w:space="0" w:color="auto"/>
        <w:right w:val="none" w:sz="0" w:space="0" w:color="auto"/>
      </w:divBdr>
    </w:div>
    <w:div w:id="212884221">
      <w:bodyDiv w:val="1"/>
      <w:marLeft w:val="0"/>
      <w:marRight w:val="0"/>
      <w:marTop w:val="0"/>
      <w:marBottom w:val="0"/>
      <w:divBdr>
        <w:top w:val="none" w:sz="0" w:space="0" w:color="auto"/>
        <w:left w:val="none" w:sz="0" w:space="0" w:color="auto"/>
        <w:bottom w:val="none" w:sz="0" w:space="0" w:color="auto"/>
        <w:right w:val="none" w:sz="0" w:space="0" w:color="auto"/>
      </w:divBdr>
    </w:div>
    <w:div w:id="226111322">
      <w:bodyDiv w:val="1"/>
      <w:marLeft w:val="0"/>
      <w:marRight w:val="0"/>
      <w:marTop w:val="0"/>
      <w:marBottom w:val="0"/>
      <w:divBdr>
        <w:top w:val="none" w:sz="0" w:space="0" w:color="auto"/>
        <w:left w:val="none" w:sz="0" w:space="0" w:color="auto"/>
        <w:bottom w:val="none" w:sz="0" w:space="0" w:color="auto"/>
        <w:right w:val="none" w:sz="0" w:space="0" w:color="auto"/>
      </w:divBdr>
    </w:div>
    <w:div w:id="228468520">
      <w:bodyDiv w:val="1"/>
      <w:marLeft w:val="0"/>
      <w:marRight w:val="0"/>
      <w:marTop w:val="0"/>
      <w:marBottom w:val="0"/>
      <w:divBdr>
        <w:top w:val="none" w:sz="0" w:space="0" w:color="auto"/>
        <w:left w:val="none" w:sz="0" w:space="0" w:color="auto"/>
        <w:bottom w:val="none" w:sz="0" w:space="0" w:color="auto"/>
        <w:right w:val="none" w:sz="0" w:space="0" w:color="auto"/>
      </w:divBdr>
    </w:div>
    <w:div w:id="257950344">
      <w:bodyDiv w:val="1"/>
      <w:marLeft w:val="0"/>
      <w:marRight w:val="0"/>
      <w:marTop w:val="0"/>
      <w:marBottom w:val="0"/>
      <w:divBdr>
        <w:top w:val="none" w:sz="0" w:space="0" w:color="auto"/>
        <w:left w:val="none" w:sz="0" w:space="0" w:color="auto"/>
        <w:bottom w:val="none" w:sz="0" w:space="0" w:color="auto"/>
        <w:right w:val="none" w:sz="0" w:space="0" w:color="auto"/>
      </w:divBdr>
    </w:div>
    <w:div w:id="258955999">
      <w:bodyDiv w:val="1"/>
      <w:marLeft w:val="0"/>
      <w:marRight w:val="0"/>
      <w:marTop w:val="0"/>
      <w:marBottom w:val="0"/>
      <w:divBdr>
        <w:top w:val="none" w:sz="0" w:space="0" w:color="auto"/>
        <w:left w:val="none" w:sz="0" w:space="0" w:color="auto"/>
        <w:bottom w:val="none" w:sz="0" w:space="0" w:color="auto"/>
        <w:right w:val="none" w:sz="0" w:space="0" w:color="auto"/>
      </w:divBdr>
    </w:div>
    <w:div w:id="275260997">
      <w:bodyDiv w:val="1"/>
      <w:marLeft w:val="0"/>
      <w:marRight w:val="0"/>
      <w:marTop w:val="0"/>
      <w:marBottom w:val="0"/>
      <w:divBdr>
        <w:top w:val="none" w:sz="0" w:space="0" w:color="auto"/>
        <w:left w:val="none" w:sz="0" w:space="0" w:color="auto"/>
        <w:bottom w:val="none" w:sz="0" w:space="0" w:color="auto"/>
        <w:right w:val="none" w:sz="0" w:space="0" w:color="auto"/>
      </w:divBdr>
    </w:div>
    <w:div w:id="282006261">
      <w:bodyDiv w:val="1"/>
      <w:marLeft w:val="0"/>
      <w:marRight w:val="0"/>
      <w:marTop w:val="0"/>
      <w:marBottom w:val="0"/>
      <w:divBdr>
        <w:top w:val="none" w:sz="0" w:space="0" w:color="auto"/>
        <w:left w:val="none" w:sz="0" w:space="0" w:color="auto"/>
        <w:bottom w:val="none" w:sz="0" w:space="0" w:color="auto"/>
        <w:right w:val="none" w:sz="0" w:space="0" w:color="auto"/>
      </w:divBdr>
    </w:div>
    <w:div w:id="306979430">
      <w:bodyDiv w:val="1"/>
      <w:marLeft w:val="0"/>
      <w:marRight w:val="0"/>
      <w:marTop w:val="0"/>
      <w:marBottom w:val="0"/>
      <w:divBdr>
        <w:top w:val="none" w:sz="0" w:space="0" w:color="auto"/>
        <w:left w:val="none" w:sz="0" w:space="0" w:color="auto"/>
        <w:bottom w:val="none" w:sz="0" w:space="0" w:color="auto"/>
        <w:right w:val="none" w:sz="0" w:space="0" w:color="auto"/>
      </w:divBdr>
    </w:div>
    <w:div w:id="331878448">
      <w:bodyDiv w:val="1"/>
      <w:marLeft w:val="0"/>
      <w:marRight w:val="0"/>
      <w:marTop w:val="0"/>
      <w:marBottom w:val="0"/>
      <w:divBdr>
        <w:top w:val="none" w:sz="0" w:space="0" w:color="auto"/>
        <w:left w:val="none" w:sz="0" w:space="0" w:color="auto"/>
        <w:bottom w:val="none" w:sz="0" w:space="0" w:color="auto"/>
        <w:right w:val="none" w:sz="0" w:space="0" w:color="auto"/>
      </w:divBdr>
    </w:div>
    <w:div w:id="360515566">
      <w:bodyDiv w:val="1"/>
      <w:marLeft w:val="0"/>
      <w:marRight w:val="0"/>
      <w:marTop w:val="0"/>
      <w:marBottom w:val="0"/>
      <w:divBdr>
        <w:top w:val="none" w:sz="0" w:space="0" w:color="auto"/>
        <w:left w:val="none" w:sz="0" w:space="0" w:color="auto"/>
        <w:bottom w:val="none" w:sz="0" w:space="0" w:color="auto"/>
        <w:right w:val="none" w:sz="0" w:space="0" w:color="auto"/>
      </w:divBdr>
    </w:div>
    <w:div w:id="364596256">
      <w:bodyDiv w:val="1"/>
      <w:marLeft w:val="0"/>
      <w:marRight w:val="0"/>
      <w:marTop w:val="0"/>
      <w:marBottom w:val="0"/>
      <w:divBdr>
        <w:top w:val="none" w:sz="0" w:space="0" w:color="auto"/>
        <w:left w:val="none" w:sz="0" w:space="0" w:color="auto"/>
        <w:bottom w:val="none" w:sz="0" w:space="0" w:color="auto"/>
        <w:right w:val="none" w:sz="0" w:space="0" w:color="auto"/>
      </w:divBdr>
    </w:div>
    <w:div w:id="369187104">
      <w:bodyDiv w:val="1"/>
      <w:marLeft w:val="0"/>
      <w:marRight w:val="0"/>
      <w:marTop w:val="0"/>
      <w:marBottom w:val="0"/>
      <w:divBdr>
        <w:top w:val="none" w:sz="0" w:space="0" w:color="auto"/>
        <w:left w:val="none" w:sz="0" w:space="0" w:color="auto"/>
        <w:bottom w:val="none" w:sz="0" w:space="0" w:color="auto"/>
        <w:right w:val="none" w:sz="0" w:space="0" w:color="auto"/>
      </w:divBdr>
    </w:div>
    <w:div w:id="376664668">
      <w:bodyDiv w:val="1"/>
      <w:marLeft w:val="0"/>
      <w:marRight w:val="0"/>
      <w:marTop w:val="0"/>
      <w:marBottom w:val="0"/>
      <w:divBdr>
        <w:top w:val="none" w:sz="0" w:space="0" w:color="auto"/>
        <w:left w:val="none" w:sz="0" w:space="0" w:color="auto"/>
        <w:bottom w:val="none" w:sz="0" w:space="0" w:color="auto"/>
        <w:right w:val="none" w:sz="0" w:space="0" w:color="auto"/>
      </w:divBdr>
    </w:div>
    <w:div w:id="390887357">
      <w:bodyDiv w:val="1"/>
      <w:marLeft w:val="0"/>
      <w:marRight w:val="0"/>
      <w:marTop w:val="0"/>
      <w:marBottom w:val="0"/>
      <w:divBdr>
        <w:top w:val="none" w:sz="0" w:space="0" w:color="auto"/>
        <w:left w:val="none" w:sz="0" w:space="0" w:color="auto"/>
        <w:bottom w:val="none" w:sz="0" w:space="0" w:color="auto"/>
        <w:right w:val="none" w:sz="0" w:space="0" w:color="auto"/>
      </w:divBdr>
    </w:div>
    <w:div w:id="439296662">
      <w:bodyDiv w:val="1"/>
      <w:marLeft w:val="0"/>
      <w:marRight w:val="0"/>
      <w:marTop w:val="0"/>
      <w:marBottom w:val="0"/>
      <w:divBdr>
        <w:top w:val="none" w:sz="0" w:space="0" w:color="auto"/>
        <w:left w:val="none" w:sz="0" w:space="0" w:color="auto"/>
        <w:bottom w:val="none" w:sz="0" w:space="0" w:color="auto"/>
        <w:right w:val="none" w:sz="0" w:space="0" w:color="auto"/>
      </w:divBdr>
    </w:div>
    <w:div w:id="439760432">
      <w:bodyDiv w:val="1"/>
      <w:marLeft w:val="0"/>
      <w:marRight w:val="0"/>
      <w:marTop w:val="0"/>
      <w:marBottom w:val="0"/>
      <w:divBdr>
        <w:top w:val="none" w:sz="0" w:space="0" w:color="auto"/>
        <w:left w:val="none" w:sz="0" w:space="0" w:color="auto"/>
        <w:bottom w:val="none" w:sz="0" w:space="0" w:color="auto"/>
        <w:right w:val="none" w:sz="0" w:space="0" w:color="auto"/>
      </w:divBdr>
    </w:div>
    <w:div w:id="471294153">
      <w:bodyDiv w:val="1"/>
      <w:marLeft w:val="0"/>
      <w:marRight w:val="0"/>
      <w:marTop w:val="0"/>
      <w:marBottom w:val="0"/>
      <w:divBdr>
        <w:top w:val="none" w:sz="0" w:space="0" w:color="auto"/>
        <w:left w:val="none" w:sz="0" w:space="0" w:color="auto"/>
        <w:bottom w:val="none" w:sz="0" w:space="0" w:color="auto"/>
        <w:right w:val="none" w:sz="0" w:space="0" w:color="auto"/>
      </w:divBdr>
    </w:div>
    <w:div w:id="487326350">
      <w:bodyDiv w:val="1"/>
      <w:marLeft w:val="0"/>
      <w:marRight w:val="0"/>
      <w:marTop w:val="0"/>
      <w:marBottom w:val="0"/>
      <w:divBdr>
        <w:top w:val="none" w:sz="0" w:space="0" w:color="auto"/>
        <w:left w:val="none" w:sz="0" w:space="0" w:color="auto"/>
        <w:bottom w:val="none" w:sz="0" w:space="0" w:color="auto"/>
        <w:right w:val="none" w:sz="0" w:space="0" w:color="auto"/>
      </w:divBdr>
      <w:divsChild>
        <w:div w:id="499345239">
          <w:marLeft w:val="0"/>
          <w:marRight w:val="0"/>
          <w:marTop w:val="0"/>
          <w:marBottom w:val="0"/>
          <w:divBdr>
            <w:top w:val="none" w:sz="0" w:space="0" w:color="auto"/>
            <w:left w:val="none" w:sz="0" w:space="0" w:color="auto"/>
            <w:bottom w:val="none" w:sz="0" w:space="0" w:color="auto"/>
            <w:right w:val="none" w:sz="0" w:space="0" w:color="auto"/>
          </w:divBdr>
        </w:div>
        <w:div w:id="1487015087">
          <w:marLeft w:val="0"/>
          <w:marRight w:val="0"/>
          <w:marTop w:val="0"/>
          <w:marBottom w:val="480"/>
          <w:divBdr>
            <w:top w:val="none" w:sz="0" w:space="0" w:color="auto"/>
            <w:left w:val="none" w:sz="0" w:space="0" w:color="auto"/>
            <w:bottom w:val="none" w:sz="0" w:space="0" w:color="auto"/>
            <w:right w:val="none" w:sz="0" w:space="0" w:color="auto"/>
          </w:divBdr>
          <w:divsChild>
            <w:div w:id="55570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699812">
      <w:bodyDiv w:val="1"/>
      <w:marLeft w:val="0"/>
      <w:marRight w:val="0"/>
      <w:marTop w:val="0"/>
      <w:marBottom w:val="0"/>
      <w:divBdr>
        <w:top w:val="none" w:sz="0" w:space="0" w:color="auto"/>
        <w:left w:val="none" w:sz="0" w:space="0" w:color="auto"/>
        <w:bottom w:val="none" w:sz="0" w:space="0" w:color="auto"/>
        <w:right w:val="none" w:sz="0" w:space="0" w:color="auto"/>
      </w:divBdr>
    </w:div>
    <w:div w:id="526717836">
      <w:bodyDiv w:val="1"/>
      <w:marLeft w:val="0"/>
      <w:marRight w:val="0"/>
      <w:marTop w:val="0"/>
      <w:marBottom w:val="0"/>
      <w:divBdr>
        <w:top w:val="none" w:sz="0" w:space="0" w:color="auto"/>
        <w:left w:val="none" w:sz="0" w:space="0" w:color="auto"/>
        <w:bottom w:val="none" w:sz="0" w:space="0" w:color="auto"/>
        <w:right w:val="none" w:sz="0" w:space="0" w:color="auto"/>
      </w:divBdr>
    </w:div>
    <w:div w:id="579563062">
      <w:bodyDiv w:val="1"/>
      <w:marLeft w:val="0"/>
      <w:marRight w:val="0"/>
      <w:marTop w:val="0"/>
      <w:marBottom w:val="0"/>
      <w:divBdr>
        <w:top w:val="none" w:sz="0" w:space="0" w:color="auto"/>
        <w:left w:val="none" w:sz="0" w:space="0" w:color="auto"/>
        <w:bottom w:val="none" w:sz="0" w:space="0" w:color="auto"/>
        <w:right w:val="none" w:sz="0" w:space="0" w:color="auto"/>
      </w:divBdr>
      <w:divsChild>
        <w:div w:id="653677160">
          <w:marLeft w:val="0"/>
          <w:marRight w:val="0"/>
          <w:marTop w:val="0"/>
          <w:marBottom w:val="0"/>
          <w:divBdr>
            <w:top w:val="none" w:sz="0" w:space="0" w:color="auto"/>
            <w:left w:val="none" w:sz="0" w:space="0" w:color="auto"/>
            <w:bottom w:val="none" w:sz="0" w:space="0" w:color="auto"/>
            <w:right w:val="none" w:sz="0" w:space="0" w:color="auto"/>
          </w:divBdr>
          <w:divsChild>
            <w:div w:id="153423100">
              <w:marLeft w:val="0"/>
              <w:marRight w:val="0"/>
              <w:marTop w:val="0"/>
              <w:marBottom w:val="0"/>
              <w:divBdr>
                <w:top w:val="none" w:sz="0" w:space="0" w:color="auto"/>
                <w:left w:val="none" w:sz="0" w:space="0" w:color="auto"/>
                <w:bottom w:val="none" w:sz="0" w:space="0" w:color="auto"/>
                <w:right w:val="none" w:sz="0" w:space="0" w:color="auto"/>
              </w:divBdr>
            </w:div>
          </w:divsChild>
        </w:div>
        <w:div w:id="1882092506">
          <w:marLeft w:val="0"/>
          <w:marRight w:val="0"/>
          <w:marTop w:val="0"/>
          <w:marBottom w:val="0"/>
          <w:divBdr>
            <w:top w:val="none" w:sz="0" w:space="0" w:color="auto"/>
            <w:left w:val="none" w:sz="0" w:space="0" w:color="auto"/>
            <w:bottom w:val="none" w:sz="0" w:space="0" w:color="auto"/>
            <w:right w:val="none" w:sz="0" w:space="0" w:color="auto"/>
          </w:divBdr>
          <w:divsChild>
            <w:div w:id="191720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834541">
      <w:bodyDiv w:val="1"/>
      <w:marLeft w:val="0"/>
      <w:marRight w:val="0"/>
      <w:marTop w:val="0"/>
      <w:marBottom w:val="0"/>
      <w:divBdr>
        <w:top w:val="none" w:sz="0" w:space="0" w:color="auto"/>
        <w:left w:val="none" w:sz="0" w:space="0" w:color="auto"/>
        <w:bottom w:val="none" w:sz="0" w:space="0" w:color="auto"/>
        <w:right w:val="none" w:sz="0" w:space="0" w:color="auto"/>
      </w:divBdr>
    </w:div>
    <w:div w:id="695275940">
      <w:bodyDiv w:val="1"/>
      <w:marLeft w:val="0"/>
      <w:marRight w:val="0"/>
      <w:marTop w:val="0"/>
      <w:marBottom w:val="0"/>
      <w:divBdr>
        <w:top w:val="none" w:sz="0" w:space="0" w:color="auto"/>
        <w:left w:val="none" w:sz="0" w:space="0" w:color="auto"/>
        <w:bottom w:val="none" w:sz="0" w:space="0" w:color="auto"/>
        <w:right w:val="none" w:sz="0" w:space="0" w:color="auto"/>
      </w:divBdr>
    </w:div>
    <w:div w:id="706680888">
      <w:bodyDiv w:val="1"/>
      <w:marLeft w:val="0"/>
      <w:marRight w:val="0"/>
      <w:marTop w:val="0"/>
      <w:marBottom w:val="0"/>
      <w:divBdr>
        <w:top w:val="none" w:sz="0" w:space="0" w:color="auto"/>
        <w:left w:val="none" w:sz="0" w:space="0" w:color="auto"/>
        <w:bottom w:val="none" w:sz="0" w:space="0" w:color="auto"/>
        <w:right w:val="none" w:sz="0" w:space="0" w:color="auto"/>
      </w:divBdr>
    </w:div>
    <w:div w:id="742339034">
      <w:bodyDiv w:val="1"/>
      <w:marLeft w:val="0"/>
      <w:marRight w:val="0"/>
      <w:marTop w:val="0"/>
      <w:marBottom w:val="0"/>
      <w:divBdr>
        <w:top w:val="none" w:sz="0" w:space="0" w:color="auto"/>
        <w:left w:val="none" w:sz="0" w:space="0" w:color="auto"/>
        <w:bottom w:val="none" w:sz="0" w:space="0" w:color="auto"/>
        <w:right w:val="none" w:sz="0" w:space="0" w:color="auto"/>
      </w:divBdr>
    </w:div>
    <w:div w:id="747195529">
      <w:bodyDiv w:val="1"/>
      <w:marLeft w:val="0"/>
      <w:marRight w:val="0"/>
      <w:marTop w:val="0"/>
      <w:marBottom w:val="0"/>
      <w:divBdr>
        <w:top w:val="none" w:sz="0" w:space="0" w:color="auto"/>
        <w:left w:val="none" w:sz="0" w:space="0" w:color="auto"/>
        <w:bottom w:val="none" w:sz="0" w:space="0" w:color="auto"/>
        <w:right w:val="none" w:sz="0" w:space="0" w:color="auto"/>
      </w:divBdr>
    </w:div>
    <w:div w:id="791827182">
      <w:bodyDiv w:val="1"/>
      <w:marLeft w:val="0"/>
      <w:marRight w:val="0"/>
      <w:marTop w:val="0"/>
      <w:marBottom w:val="0"/>
      <w:divBdr>
        <w:top w:val="none" w:sz="0" w:space="0" w:color="auto"/>
        <w:left w:val="none" w:sz="0" w:space="0" w:color="auto"/>
        <w:bottom w:val="none" w:sz="0" w:space="0" w:color="auto"/>
        <w:right w:val="none" w:sz="0" w:space="0" w:color="auto"/>
      </w:divBdr>
    </w:div>
    <w:div w:id="792990485">
      <w:bodyDiv w:val="1"/>
      <w:marLeft w:val="0"/>
      <w:marRight w:val="0"/>
      <w:marTop w:val="0"/>
      <w:marBottom w:val="0"/>
      <w:divBdr>
        <w:top w:val="none" w:sz="0" w:space="0" w:color="auto"/>
        <w:left w:val="none" w:sz="0" w:space="0" w:color="auto"/>
        <w:bottom w:val="none" w:sz="0" w:space="0" w:color="auto"/>
        <w:right w:val="none" w:sz="0" w:space="0" w:color="auto"/>
      </w:divBdr>
    </w:div>
    <w:div w:id="808128436">
      <w:bodyDiv w:val="1"/>
      <w:marLeft w:val="0"/>
      <w:marRight w:val="0"/>
      <w:marTop w:val="0"/>
      <w:marBottom w:val="0"/>
      <w:divBdr>
        <w:top w:val="none" w:sz="0" w:space="0" w:color="auto"/>
        <w:left w:val="none" w:sz="0" w:space="0" w:color="auto"/>
        <w:bottom w:val="none" w:sz="0" w:space="0" w:color="auto"/>
        <w:right w:val="none" w:sz="0" w:space="0" w:color="auto"/>
      </w:divBdr>
    </w:div>
    <w:div w:id="808940759">
      <w:bodyDiv w:val="1"/>
      <w:marLeft w:val="0"/>
      <w:marRight w:val="0"/>
      <w:marTop w:val="0"/>
      <w:marBottom w:val="0"/>
      <w:divBdr>
        <w:top w:val="none" w:sz="0" w:space="0" w:color="auto"/>
        <w:left w:val="none" w:sz="0" w:space="0" w:color="auto"/>
        <w:bottom w:val="none" w:sz="0" w:space="0" w:color="auto"/>
        <w:right w:val="none" w:sz="0" w:space="0" w:color="auto"/>
      </w:divBdr>
    </w:div>
    <w:div w:id="825900797">
      <w:bodyDiv w:val="1"/>
      <w:marLeft w:val="0"/>
      <w:marRight w:val="0"/>
      <w:marTop w:val="0"/>
      <w:marBottom w:val="0"/>
      <w:divBdr>
        <w:top w:val="none" w:sz="0" w:space="0" w:color="auto"/>
        <w:left w:val="none" w:sz="0" w:space="0" w:color="auto"/>
        <w:bottom w:val="none" w:sz="0" w:space="0" w:color="auto"/>
        <w:right w:val="none" w:sz="0" w:space="0" w:color="auto"/>
      </w:divBdr>
    </w:div>
    <w:div w:id="834564597">
      <w:bodyDiv w:val="1"/>
      <w:marLeft w:val="0"/>
      <w:marRight w:val="0"/>
      <w:marTop w:val="0"/>
      <w:marBottom w:val="0"/>
      <w:divBdr>
        <w:top w:val="none" w:sz="0" w:space="0" w:color="auto"/>
        <w:left w:val="none" w:sz="0" w:space="0" w:color="auto"/>
        <w:bottom w:val="none" w:sz="0" w:space="0" w:color="auto"/>
        <w:right w:val="none" w:sz="0" w:space="0" w:color="auto"/>
      </w:divBdr>
    </w:div>
    <w:div w:id="843083469">
      <w:bodyDiv w:val="1"/>
      <w:marLeft w:val="0"/>
      <w:marRight w:val="0"/>
      <w:marTop w:val="0"/>
      <w:marBottom w:val="0"/>
      <w:divBdr>
        <w:top w:val="none" w:sz="0" w:space="0" w:color="auto"/>
        <w:left w:val="none" w:sz="0" w:space="0" w:color="auto"/>
        <w:bottom w:val="none" w:sz="0" w:space="0" w:color="auto"/>
        <w:right w:val="none" w:sz="0" w:space="0" w:color="auto"/>
      </w:divBdr>
    </w:div>
    <w:div w:id="844830282">
      <w:bodyDiv w:val="1"/>
      <w:marLeft w:val="0"/>
      <w:marRight w:val="0"/>
      <w:marTop w:val="0"/>
      <w:marBottom w:val="0"/>
      <w:divBdr>
        <w:top w:val="none" w:sz="0" w:space="0" w:color="auto"/>
        <w:left w:val="none" w:sz="0" w:space="0" w:color="auto"/>
        <w:bottom w:val="none" w:sz="0" w:space="0" w:color="auto"/>
        <w:right w:val="none" w:sz="0" w:space="0" w:color="auto"/>
      </w:divBdr>
    </w:div>
    <w:div w:id="846138430">
      <w:bodyDiv w:val="1"/>
      <w:marLeft w:val="0"/>
      <w:marRight w:val="0"/>
      <w:marTop w:val="0"/>
      <w:marBottom w:val="0"/>
      <w:divBdr>
        <w:top w:val="none" w:sz="0" w:space="0" w:color="auto"/>
        <w:left w:val="none" w:sz="0" w:space="0" w:color="auto"/>
        <w:bottom w:val="none" w:sz="0" w:space="0" w:color="auto"/>
        <w:right w:val="none" w:sz="0" w:space="0" w:color="auto"/>
      </w:divBdr>
    </w:div>
    <w:div w:id="849636211">
      <w:bodyDiv w:val="1"/>
      <w:marLeft w:val="0"/>
      <w:marRight w:val="0"/>
      <w:marTop w:val="0"/>
      <w:marBottom w:val="0"/>
      <w:divBdr>
        <w:top w:val="none" w:sz="0" w:space="0" w:color="auto"/>
        <w:left w:val="none" w:sz="0" w:space="0" w:color="auto"/>
        <w:bottom w:val="none" w:sz="0" w:space="0" w:color="auto"/>
        <w:right w:val="none" w:sz="0" w:space="0" w:color="auto"/>
      </w:divBdr>
    </w:div>
    <w:div w:id="855927341">
      <w:bodyDiv w:val="1"/>
      <w:marLeft w:val="0"/>
      <w:marRight w:val="0"/>
      <w:marTop w:val="0"/>
      <w:marBottom w:val="0"/>
      <w:divBdr>
        <w:top w:val="none" w:sz="0" w:space="0" w:color="auto"/>
        <w:left w:val="none" w:sz="0" w:space="0" w:color="auto"/>
        <w:bottom w:val="none" w:sz="0" w:space="0" w:color="auto"/>
        <w:right w:val="none" w:sz="0" w:space="0" w:color="auto"/>
      </w:divBdr>
    </w:div>
    <w:div w:id="866259708">
      <w:bodyDiv w:val="1"/>
      <w:marLeft w:val="0"/>
      <w:marRight w:val="0"/>
      <w:marTop w:val="0"/>
      <w:marBottom w:val="0"/>
      <w:divBdr>
        <w:top w:val="none" w:sz="0" w:space="0" w:color="auto"/>
        <w:left w:val="none" w:sz="0" w:space="0" w:color="auto"/>
        <w:bottom w:val="none" w:sz="0" w:space="0" w:color="auto"/>
        <w:right w:val="none" w:sz="0" w:space="0" w:color="auto"/>
      </w:divBdr>
    </w:div>
    <w:div w:id="875044758">
      <w:bodyDiv w:val="1"/>
      <w:marLeft w:val="0"/>
      <w:marRight w:val="0"/>
      <w:marTop w:val="0"/>
      <w:marBottom w:val="0"/>
      <w:divBdr>
        <w:top w:val="none" w:sz="0" w:space="0" w:color="auto"/>
        <w:left w:val="none" w:sz="0" w:space="0" w:color="auto"/>
        <w:bottom w:val="none" w:sz="0" w:space="0" w:color="auto"/>
        <w:right w:val="none" w:sz="0" w:space="0" w:color="auto"/>
      </w:divBdr>
    </w:div>
    <w:div w:id="884831015">
      <w:bodyDiv w:val="1"/>
      <w:marLeft w:val="0"/>
      <w:marRight w:val="0"/>
      <w:marTop w:val="0"/>
      <w:marBottom w:val="0"/>
      <w:divBdr>
        <w:top w:val="none" w:sz="0" w:space="0" w:color="auto"/>
        <w:left w:val="none" w:sz="0" w:space="0" w:color="auto"/>
        <w:bottom w:val="none" w:sz="0" w:space="0" w:color="auto"/>
        <w:right w:val="none" w:sz="0" w:space="0" w:color="auto"/>
      </w:divBdr>
    </w:div>
    <w:div w:id="919875071">
      <w:bodyDiv w:val="1"/>
      <w:marLeft w:val="0"/>
      <w:marRight w:val="0"/>
      <w:marTop w:val="0"/>
      <w:marBottom w:val="0"/>
      <w:divBdr>
        <w:top w:val="none" w:sz="0" w:space="0" w:color="auto"/>
        <w:left w:val="none" w:sz="0" w:space="0" w:color="auto"/>
        <w:bottom w:val="none" w:sz="0" w:space="0" w:color="auto"/>
        <w:right w:val="none" w:sz="0" w:space="0" w:color="auto"/>
      </w:divBdr>
    </w:div>
    <w:div w:id="996954988">
      <w:bodyDiv w:val="1"/>
      <w:marLeft w:val="0"/>
      <w:marRight w:val="0"/>
      <w:marTop w:val="0"/>
      <w:marBottom w:val="0"/>
      <w:divBdr>
        <w:top w:val="none" w:sz="0" w:space="0" w:color="auto"/>
        <w:left w:val="none" w:sz="0" w:space="0" w:color="auto"/>
        <w:bottom w:val="none" w:sz="0" w:space="0" w:color="auto"/>
        <w:right w:val="none" w:sz="0" w:space="0" w:color="auto"/>
      </w:divBdr>
    </w:div>
    <w:div w:id="997149987">
      <w:bodyDiv w:val="1"/>
      <w:marLeft w:val="0"/>
      <w:marRight w:val="0"/>
      <w:marTop w:val="0"/>
      <w:marBottom w:val="0"/>
      <w:divBdr>
        <w:top w:val="none" w:sz="0" w:space="0" w:color="auto"/>
        <w:left w:val="none" w:sz="0" w:space="0" w:color="auto"/>
        <w:bottom w:val="none" w:sz="0" w:space="0" w:color="auto"/>
        <w:right w:val="none" w:sz="0" w:space="0" w:color="auto"/>
      </w:divBdr>
    </w:div>
    <w:div w:id="1007517653">
      <w:bodyDiv w:val="1"/>
      <w:marLeft w:val="0"/>
      <w:marRight w:val="0"/>
      <w:marTop w:val="0"/>
      <w:marBottom w:val="0"/>
      <w:divBdr>
        <w:top w:val="none" w:sz="0" w:space="0" w:color="auto"/>
        <w:left w:val="none" w:sz="0" w:space="0" w:color="auto"/>
        <w:bottom w:val="none" w:sz="0" w:space="0" w:color="auto"/>
        <w:right w:val="none" w:sz="0" w:space="0" w:color="auto"/>
      </w:divBdr>
    </w:div>
    <w:div w:id="1019435007">
      <w:bodyDiv w:val="1"/>
      <w:marLeft w:val="0"/>
      <w:marRight w:val="0"/>
      <w:marTop w:val="0"/>
      <w:marBottom w:val="0"/>
      <w:divBdr>
        <w:top w:val="none" w:sz="0" w:space="0" w:color="auto"/>
        <w:left w:val="none" w:sz="0" w:space="0" w:color="auto"/>
        <w:bottom w:val="none" w:sz="0" w:space="0" w:color="auto"/>
        <w:right w:val="none" w:sz="0" w:space="0" w:color="auto"/>
      </w:divBdr>
    </w:div>
    <w:div w:id="1033311219">
      <w:bodyDiv w:val="1"/>
      <w:marLeft w:val="0"/>
      <w:marRight w:val="0"/>
      <w:marTop w:val="0"/>
      <w:marBottom w:val="0"/>
      <w:divBdr>
        <w:top w:val="none" w:sz="0" w:space="0" w:color="auto"/>
        <w:left w:val="none" w:sz="0" w:space="0" w:color="auto"/>
        <w:bottom w:val="none" w:sz="0" w:space="0" w:color="auto"/>
        <w:right w:val="none" w:sz="0" w:space="0" w:color="auto"/>
      </w:divBdr>
    </w:div>
    <w:div w:id="1039545393">
      <w:bodyDiv w:val="1"/>
      <w:marLeft w:val="0"/>
      <w:marRight w:val="0"/>
      <w:marTop w:val="0"/>
      <w:marBottom w:val="0"/>
      <w:divBdr>
        <w:top w:val="none" w:sz="0" w:space="0" w:color="auto"/>
        <w:left w:val="none" w:sz="0" w:space="0" w:color="auto"/>
        <w:bottom w:val="none" w:sz="0" w:space="0" w:color="auto"/>
        <w:right w:val="none" w:sz="0" w:space="0" w:color="auto"/>
      </w:divBdr>
    </w:div>
    <w:div w:id="1090587967">
      <w:bodyDiv w:val="1"/>
      <w:marLeft w:val="0"/>
      <w:marRight w:val="0"/>
      <w:marTop w:val="0"/>
      <w:marBottom w:val="0"/>
      <w:divBdr>
        <w:top w:val="none" w:sz="0" w:space="0" w:color="auto"/>
        <w:left w:val="none" w:sz="0" w:space="0" w:color="auto"/>
        <w:bottom w:val="none" w:sz="0" w:space="0" w:color="auto"/>
        <w:right w:val="none" w:sz="0" w:space="0" w:color="auto"/>
      </w:divBdr>
    </w:div>
    <w:div w:id="1094126153">
      <w:bodyDiv w:val="1"/>
      <w:marLeft w:val="0"/>
      <w:marRight w:val="0"/>
      <w:marTop w:val="0"/>
      <w:marBottom w:val="0"/>
      <w:divBdr>
        <w:top w:val="none" w:sz="0" w:space="0" w:color="auto"/>
        <w:left w:val="none" w:sz="0" w:space="0" w:color="auto"/>
        <w:bottom w:val="none" w:sz="0" w:space="0" w:color="auto"/>
        <w:right w:val="none" w:sz="0" w:space="0" w:color="auto"/>
      </w:divBdr>
    </w:div>
    <w:div w:id="1121925243">
      <w:bodyDiv w:val="1"/>
      <w:marLeft w:val="0"/>
      <w:marRight w:val="0"/>
      <w:marTop w:val="0"/>
      <w:marBottom w:val="0"/>
      <w:divBdr>
        <w:top w:val="none" w:sz="0" w:space="0" w:color="auto"/>
        <w:left w:val="none" w:sz="0" w:space="0" w:color="auto"/>
        <w:bottom w:val="none" w:sz="0" w:space="0" w:color="auto"/>
        <w:right w:val="none" w:sz="0" w:space="0" w:color="auto"/>
      </w:divBdr>
    </w:div>
    <w:div w:id="1127745515">
      <w:bodyDiv w:val="1"/>
      <w:marLeft w:val="0"/>
      <w:marRight w:val="0"/>
      <w:marTop w:val="0"/>
      <w:marBottom w:val="0"/>
      <w:divBdr>
        <w:top w:val="none" w:sz="0" w:space="0" w:color="auto"/>
        <w:left w:val="none" w:sz="0" w:space="0" w:color="auto"/>
        <w:bottom w:val="none" w:sz="0" w:space="0" w:color="auto"/>
        <w:right w:val="none" w:sz="0" w:space="0" w:color="auto"/>
      </w:divBdr>
    </w:div>
    <w:div w:id="1137726634">
      <w:bodyDiv w:val="1"/>
      <w:marLeft w:val="0"/>
      <w:marRight w:val="0"/>
      <w:marTop w:val="0"/>
      <w:marBottom w:val="0"/>
      <w:divBdr>
        <w:top w:val="none" w:sz="0" w:space="0" w:color="auto"/>
        <w:left w:val="none" w:sz="0" w:space="0" w:color="auto"/>
        <w:bottom w:val="none" w:sz="0" w:space="0" w:color="auto"/>
        <w:right w:val="none" w:sz="0" w:space="0" w:color="auto"/>
      </w:divBdr>
    </w:div>
    <w:div w:id="1156341637">
      <w:bodyDiv w:val="1"/>
      <w:marLeft w:val="0"/>
      <w:marRight w:val="0"/>
      <w:marTop w:val="0"/>
      <w:marBottom w:val="0"/>
      <w:divBdr>
        <w:top w:val="none" w:sz="0" w:space="0" w:color="auto"/>
        <w:left w:val="none" w:sz="0" w:space="0" w:color="auto"/>
        <w:bottom w:val="none" w:sz="0" w:space="0" w:color="auto"/>
        <w:right w:val="none" w:sz="0" w:space="0" w:color="auto"/>
      </w:divBdr>
    </w:div>
    <w:div w:id="1177845018">
      <w:bodyDiv w:val="1"/>
      <w:marLeft w:val="0"/>
      <w:marRight w:val="0"/>
      <w:marTop w:val="0"/>
      <w:marBottom w:val="0"/>
      <w:divBdr>
        <w:top w:val="none" w:sz="0" w:space="0" w:color="auto"/>
        <w:left w:val="none" w:sz="0" w:space="0" w:color="auto"/>
        <w:bottom w:val="none" w:sz="0" w:space="0" w:color="auto"/>
        <w:right w:val="none" w:sz="0" w:space="0" w:color="auto"/>
      </w:divBdr>
    </w:div>
    <w:div w:id="1188300984">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45608409">
      <w:bodyDiv w:val="1"/>
      <w:marLeft w:val="0"/>
      <w:marRight w:val="0"/>
      <w:marTop w:val="0"/>
      <w:marBottom w:val="0"/>
      <w:divBdr>
        <w:top w:val="none" w:sz="0" w:space="0" w:color="auto"/>
        <w:left w:val="none" w:sz="0" w:space="0" w:color="auto"/>
        <w:bottom w:val="none" w:sz="0" w:space="0" w:color="auto"/>
        <w:right w:val="none" w:sz="0" w:space="0" w:color="auto"/>
      </w:divBdr>
    </w:div>
    <w:div w:id="1295716949">
      <w:bodyDiv w:val="1"/>
      <w:marLeft w:val="0"/>
      <w:marRight w:val="0"/>
      <w:marTop w:val="0"/>
      <w:marBottom w:val="0"/>
      <w:divBdr>
        <w:top w:val="none" w:sz="0" w:space="0" w:color="auto"/>
        <w:left w:val="none" w:sz="0" w:space="0" w:color="auto"/>
        <w:bottom w:val="none" w:sz="0" w:space="0" w:color="auto"/>
        <w:right w:val="none" w:sz="0" w:space="0" w:color="auto"/>
      </w:divBdr>
    </w:div>
    <w:div w:id="1333869828">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5248934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410301263">
      <w:bodyDiv w:val="1"/>
      <w:marLeft w:val="0"/>
      <w:marRight w:val="0"/>
      <w:marTop w:val="0"/>
      <w:marBottom w:val="0"/>
      <w:divBdr>
        <w:top w:val="none" w:sz="0" w:space="0" w:color="auto"/>
        <w:left w:val="none" w:sz="0" w:space="0" w:color="auto"/>
        <w:bottom w:val="none" w:sz="0" w:space="0" w:color="auto"/>
        <w:right w:val="none" w:sz="0" w:space="0" w:color="auto"/>
      </w:divBdr>
    </w:div>
    <w:div w:id="1467745111">
      <w:bodyDiv w:val="1"/>
      <w:marLeft w:val="0"/>
      <w:marRight w:val="0"/>
      <w:marTop w:val="0"/>
      <w:marBottom w:val="0"/>
      <w:divBdr>
        <w:top w:val="none" w:sz="0" w:space="0" w:color="auto"/>
        <w:left w:val="none" w:sz="0" w:space="0" w:color="auto"/>
        <w:bottom w:val="none" w:sz="0" w:space="0" w:color="auto"/>
        <w:right w:val="none" w:sz="0" w:space="0" w:color="auto"/>
      </w:divBdr>
    </w:div>
    <w:div w:id="1492331835">
      <w:bodyDiv w:val="1"/>
      <w:marLeft w:val="0"/>
      <w:marRight w:val="0"/>
      <w:marTop w:val="0"/>
      <w:marBottom w:val="0"/>
      <w:divBdr>
        <w:top w:val="none" w:sz="0" w:space="0" w:color="auto"/>
        <w:left w:val="none" w:sz="0" w:space="0" w:color="auto"/>
        <w:bottom w:val="none" w:sz="0" w:space="0" w:color="auto"/>
        <w:right w:val="none" w:sz="0" w:space="0" w:color="auto"/>
      </w:divBdr>
    </w:div>
    <w:div w:id="1526941749">
      <w:bodyDiv w:val="1"/>
      <w:marLeft w:val="0"/>
      <w:marRight w:val="0"/>
      <w:marTop w:val="0"/>
      <w:marBottom w:val="0"/>
      <w:divBdr>
        <w:top w:val="none" w:sz="0" w:space="0" w:color="auto"/>
        <w:left w:val="none" w:sz="0" w:space="0" w:color="auto"/>
        <w:bottom w:val="none" w:sz="0" w:space="0" w:color="auto"/>
        <w:right w:val="none" w:sz="0" w:space="0" w:color="auto"/>
      </w:divBdr>
    </w:div>
    <w:div w:id="1535190847">
      <w:bodyDiv w:val="1"/>
      <w:marLeft w:val="0"/>
      <w:marRight w:val="0"/>
      <w:marTop w:val="0"/>
      <w:marBottom w:val="0"/>
      <w:divBdr>
        <w:top w:val="none" w:sz="0" w:space="0" w:color="auto"/>
        <w:left w:val="none" w:sz="0" w:space="0" w:color="auto"/>
        <w:bottom w:val="none" w:sz="0" w:space="0" w:color="auto"/>
        <w:right w:val="none" w:sz="0" w:space="0" w:color="auto"/>
      </w:divBdr>
    </w:div>
    <w:div w:id="1588418715">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880628317">
          <w:marLeft w:val="0"/>
          <w:marRight w:val="0"/>
          <w:marTop w:val="0"/>
          <w:marBottom w:val="0"/>
          <w:divBdr>
            <w:top w:val="none" w:sz="0" w:space="0" w:color="auto"/>
            <w:left w:val="none" w:sz="0" w:space="0" w:color="auto"/>
            <w:bottom w:val="none" w:sz="0" w:space="0" w:color="auto"/>
            <w:right w:val="none" w:sz="0" w:space="0" w:color="auto"/>
          </w:divBdr>
        </w:div>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sChild>
    </w:div>
    <w:div w:id="1683505529">
      <w:bodyDiv w:val="1"/>
      <w:marLeft w:val="0"/>
      <w:marRight w:val="0"/>
      <w:marTop w:val="0"/>
      <w:marBottom w:val="0"/>
      <w:divBdr>
        <w:top w:val="none" w:sz="0" w:space="0" w:color="auto"/>
        <w:left w:val="none" w:sz="0" w:space="0" w:color="auto"/>
        <w:bottom w:val="none" w:sz="0" w:space="0" w:color="auto"/>
        <w:right w:val="none" w:sz="0" w:space="0" w:color="auto"/>
      </w:divBdr>
    </w:div>
    <w:div w:id="1691177784">
      <w:bodyDiv w:val="1"/>
      <w:marLeft w:val="0"/>
      <w:marRight w:val="0"/>
      <w:marTop w:val="0"/>
      <w:marBottom w:val="0"/>
      <w:divBdr>
        <w:top w:val="none" w:sz="0" w:space="0" w:color="auto"/>
        <w:left w:val="none" w:sz="0" w:space="0" w:color="auto"/>
        <w:bottom w:val="none" w:sz="0" w:space="0" w:color="auto"/>
        <w:right w:val="none" w:sz="0" w:space="0" w:color="auto"/>
      </w:divBdr>
    </w:div>
    <w:div w:id="1727295823">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763183954">
      <w:bodyDiv w:val="1"/>
      <w:marLeft w:val="0"/>
      <w:marRight w:val="0"/>
      <w:marTop w:val="0"/>
      <w:marBottom w:val="0"/>
      <w:divBdr>
        <w:top w:val="none" w:sz="0" w:space="0" w:color="auto"/>
        <w:left w:val="none" w:sz="0" w:space="0" w:color="auto"/>
        <w:bottom w:val="none" w:sz="0" w:space="0" w:color="auto"/>
        <w:right w:val="none" w:sz="0" w:space="0" w:color="auto"/>
      </w:divBdr>
    </w:div>
    <w:div w:id="1776288585">
      <w:bodyDiv w:val="1"/>
      <w:marLeft w:val="0"/>
      <w:marRight w:val="0"/>
      <w:marTop w:val="0"/>
      <w:marBottom w:val="0"/>
      <w:divBdr>
        <w:top w:val="none" w:sz="0" w:space="0" w:color="auto"/>
        <w:left w:val="none" w:sz="0" w:space="0" w:color="auto"/>
        <w:bottom w:val="none" w:sz="0" w:space="0" w:color="auto"/>
        <w:right w:val="none" w:sz="0" w:space="0" w:color="auto"/>
      </w:divBdr>
    </w:div>
    <w:div w:id="1777552286">
      <w:bodyDiv w:val="1"/>
      <w:marLeft w:val="0"/>
      <w:marRight w:val="0"/>
      <w:marTop w:val="0"/>
      <w:marBottom w:val="0"/>
      <w:divBdr>
        <w:top w:val="none" w:sz="0" w:space="0" w:color="auto"/>
        <w:left w:val="none" w:sz="0" w:space="0" w:color="auto"/>
        <w:bottom w:val="none" w:sz="0" w:space="0" w:color="auto"/>
        <w:right w:val="none" w:sz="0" w:space="0" w:color="auto"/>
      </w:divBdr>
    </w:div>
    <w:div w:id="1806577136">
      <w:bodyDiv w:val="1"/>
      <w:marLeft w:val="0"/>
      <w:marRight w:val="0"/>
      <w:marTop w:val="0"/>
      <w:marBottom w:val="0"/>
      <w:divBdr>
        <w:top w:val="none" w:sz="0" w:space="0" w:color="auto"/>
        <w:left w:val="none" w:sz="0" w:space="0" w:color="auto"/>
        <w:bottom w:val="none" w:sz="0" w:space="0" w:color="auto"/>
        <w:right w:val="none" w:sz="0" w:space="0" w:color="auto"/>
      </w:divBdr>
    </w:div>
    <w:div w:id="1808736844">
      <w:bodyDiv w:val="1"/>
      <w:marLeft w:val="0"/>
      <w:marRight w:val="0"/>
      <w:marTop w:val="0"/>
      <w:marBottom w:val="0"/>
      <w:divBdr>
        <w:top w:val="none" w:sz="0" w:space="0" w:color="auto"/>
        <w:left w:val="none" w:sz="0" w:space="0" w:color="auto"/>
        <w:bottom w:val="none" w:sz="0" w:space="0" w:color="auto"/>
        <w:right w:val="none" w:sz="0" w:space="0" w:color="auto"/>
      </w:divBdr>
    </w:div>
    <w:div w:id="1852455023">
      <w:bodyDiv w:val="1"/>
      <w:marLeft w:val="0"/>
      <w:marRight w:val="0"/>
      <w:marTop w:val="0"/>
      <w:marBottom w:val="0"/>
      <w:divBdr>
        <w:top w:val="none" w:sz="0" w:space="0" w:color="auto"/>
        <w:left w:val="none" w:sz="0" w:space="0" w:color="auto"/>
        <w:bottom w:val="none" w:sz="0" w:space="0" w:color="auto"/>
        <w:right w:val="none" w:sz="0" w:space="0" w:color="auto"/>
      </w:divBdr>
    </w:div>
    <w:div w:id="1890340965">
      <w:bodyDiv w:val="1"/>
      <w:marLeft w:val="0"/>
      <w:marRight w:val="0"/>
      <w:marTop w:val="0"/>
      <w:marBottom w:val="0"/>
      <w:divBdr>
        <w:top w:val="none" w:sz="0" w:space="0" w:color="auto"/>
        <w:left w:val="none" w:sz="0" w:space="0" w:color="auto"/>
        <w:bottom w:val="none" w:sz="0" w:space="0" w:color="auto"/>
        <w:right w:val="none" w:sz="0" w:space="0" w:color="auto"/>
      </w:divBdr>
    </w:div>
    <w:div w:id="1924678160">
      <w:bodyDiv w:val="1"/>
      <w:marLeft w:val="0"/>
      <w:marRight w:val="0"/>
      <w:marTop w:val="0"/>
      <w:marBottom w:val="0"/>
      <w:divBdr>
        <w:top w:val="none" w:sz="0" w:space="0" w:color="auto"/>
        <w:left w:val="none" w:sz="0" w:space="0" w:color="auto"/>
        <w:bottom w:val="none" w:sz="0" w:space="0" w:color="auto"/>
        <w:right w:val="none" w:sz="0" w:space="0" w:color="auto"/>
      </w:divBdr>
    </w:div>
    <w:div w:id="1986205576">
      <w:bodyDiv w:val="1"/>
      <w:marLeft w:val="0"/>
      <w:marRight w:val="0"/>
      <w:marTop w:val="0"/>
      <w:marBottom w:val="0"/>
      <w:divBdr>
        <w:top w:val="none" w:sz="0" w:space="0" w:color="auto"/>
        <w:left w:val="none" w:sz="0" w:space="0" w:color="auto"/>
        <w:bottom w:val="none" w:sz="0" w:space="0" w:color="auto"/>
        <w:right w:val="none" w:sz="0" w:space="0" w:color="auto"/>
      </w:divBdr>
    </w:div>
    <w:div w:id="2001810693">
      <w:bodyDiv w:val="1"/>
      <w:marLeft w:val="0"/>
      <w:marRight w:val="0"/>
      <w:marTop w:val="0"/>
      <w:marBottom w:val="0"/>
      <w:divBdr>
        <w:top w:val="none" w:sz="0" w:space="0" w:color="auto"/>
        <w:left w:val="none" w:sz="0" w:space="0" w:color="auto"/>
        <w:bottom w:val="none" w:sz="0" w:space="0" w:color="auto"/>
        <w:right w:val="none" w:sz="0" w:space="0" w:color="auto"/>
      </w:divBdr>
    </w:div>
    <w:div w:id="2004578591">
      <w:bodyDiv w:val="1"/>
      <w:marLeft w:val="0"/>
      <w:marRight w:val="0"/>
      <w:marTop w:val="0"/>
      <w:marBottom w:val="0"/>
      <w:divBdr>
        <w:top w:val="none" w:sz="0" w:space="0" w:color="auto"/>
        <w:left w:val="none" w:sz="0" w:space="0" w:color="auto"/>
        <w:bottom w:val="none" w:sz="0" w:space="0" w:color="auto"/>
        <w:right w:val="none" w:sz="0" w:space="0" w:color="auto"/>
      </w:divBdr>
    </w:div>
    <w:div w:id="2023042771">
      <w:bodyDiv w:val="1"/>
      <w:marLeft w:val="0"/>
      <w:marRight w:val="0"/>
      <w:marTop w:val="0"/>
      <w:marBottom w:val="0"/>
      <w:divBdr>
        <w:top w:val="none" w:sz="0" w:space="0" w:color="auto"/>
        <w:left w:val="none" w:sz="0" w:space="0" w:color="auto"/>
        <w:bottom w:val="none" w:sz="0" w:space="0" w:color="auto"/>
        <w:right w:val="none" w:sz="0" w:space="0" w:color="auto"/>
      </w:divBdr>
    </w:div>
    <w:div w:id="2025549377">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 w:id="2051831423">
      <w:bodyDiv w:val="1"/>
      <w:marLeft w:val="0"/>
      <w:marRight w:val="0"/>
      <w:marTop w:val="0"/>
      <w:marBottom w:val="0"/>
      <w:divBdr>
        <w:top w:val="none" w:sz="0" w:space="0" w:color="auto"/>
        <w:left w:val="none" w:sz="0" w:space="0" w:color="auto"/>
        <w:bottom w:val="none" w:sz="0" w:space="0" w:color="auto"/>
        <w:right w:val="none" w:sz="0" w:space="0" w:color="auto"/>
      </w:divBdr>
    </w:div>
    <w:div w:id="2053992549">
      <w:bodyDiv w:val="1"/>
      <w:marLeft w:val="0"/>
      <w:marRight w:val="0"/>
      <w:marTop w:val="0"/>
      <w:marBottom w:val="0"/>
      <w:divBdr>
        <w:top w:val="none" w:sz="0" w:space="0" w:color="auto"/>
        <w:left w:val="none" w:sz="0" w:space="0" w:color="auto"/>
        <w:bottom w:val="none" w:sz="0" w:space="0" w:color="auto"/>
        <w:right w:val="none" w:sz="0" w:space="0" w:color="auto"/>
      </w:divBdr>
    </w:div>
    <w:div w:id="2076580848">
      <w:bodyDiv w:val="1"/>
      <w:marLeft w:val="0"/>
      <w:marRight w:val="0"/>
      <w:marTop w:val="0"/>
      <w:marBottom w:val="0"/>
      <w:divBdr>
        <w:top w:val="none" w:sz="0" w:space="0" w:color="auto"/>
        <w:left w:val="none" w:sz="0" w:space="0" w:color="auto"/>
        <w:bottom w:val="none" w:sz="0" w:space="0" w:color="auto"/>
        <w:right w:val="none" w:sz="0" w:space="0" w:color="auto"/>
      </w:divBdr>
    </w:div>
    <w:div w:id="2086220228">
      <w:bodyDiv w:val="1"/>
      <w:marLeft w:val="0"/>
      <w:marRight w:val="0"/>
      <w:marTop w:val="0"/>
      <w:marBottom w:val="0"/>
      <w:divBdr>
        <w:top w:val="none" w:sz="0" w:space="0" w:color="auto"/>
        <w:left w:val="none" w:sz="0" w:space="0" w:color="auto"/>
        <w:bottom w:val="none" w:sz="0" w:space="0" w:color="auto"/>
        <w:right w:val="none" w:sz="0" w:space="0" w:color="auto"/>
      </w:divBdr>
    </w:div>
    <w:div w:id="2088068026">
      <w:bodyDiv w:val="1"/>
      <w:marLeft w:val="0"/>
      <w:marRight w:val="0"/>
      <w:marTop w:val="0"/>
      <w:marBottom w:val="0"/>
      <w:divBdr>
        <w:top w:val="none" w:sz="0" w:space="0" w:color="auto"/>
        <w:left w:val="none" w:sz="0" w:space="0" w:color="auto"/>
        <w:bottom w:val="none" w:sz="0" w:space="0" w:color="auto"/>
        <w:right w:val="none" w:sz="0" w:space="0" w:color="auto"/>
      </w:divBdr>
    </w:div>
    <w:div w:id="2112045760">
      <w:bodyDiv w:val="1"/>
      <w:marLeft w:val="0"/>
      <w:marRight w:val="0"/>
      <w:marTop w:val="0"/>
      <w:marBottom w:val="0"/>
      <w:divBdr>
        <w:top w:val="none" w:sz="0" w:space="0" w:color="auto"/>
        <w:left w:val="none" w:sz="0" w:space="0" w:color="auto"/>
        <w:bottom w:val="none" w:sz="0" w:space="0" w:color="auto"/>
        <w:right w:val="none" w:sz="0" w:space="0" w:color="auto"/>
      </w:divBdr>
    </w:div>
    <w:div w:id="213682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rcid.org/0000-0001-5759-8443" TargetMode="External"/><Relationship Id="rId18" Type="http://schemas.openxmlformats.org/officeDocument/2006/relationships/hyperlink" Target="https://orcid.org/0000-0003-4093-1021" TargetMode="External"/><Relationship Id="rId26" Type="http://schemas.openxmlformats.org/officeDocument/2006/relationships/hyperlink" Target="http://dx.doi.org/10.9788/TP2013.2-16" TargetMode="External"/><Relationship Id="rId39" Type="http://schemas.openxmlformats.org/officeDocument/2006/relationships/hyperlink" Target="https://www.arca.fiocruz.br/handle/icict/41680" TargetMode="External"/><Relationship Id="rId21" Type="http://schemas.openxmlformats.org/officeDocument/2006/relationships/image" Target="media/image3.png"/><Relationship Id="rId34" Type="http://schemas.openxmlformats.org/officeDocument/2006/relationships/hyperlink" Target="https://doi.org/10.1590/1807-03102015v28n1p105" TargetMode="External"/><Relationship Id="rId42" Type="http://schemas.openxmlformats.org/officeDocument/2006/relationships/hyperlink" Target="https://doi.org/10.31211/rpics.2022.8.2.243" TargetMode="External"/><Relationship Id="rId47"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orcid.org/0000-0003-0280-9332" TargetMode="External"/><Relationship Id="rId29" Type="http://schemas.openxmlformats.org/officeDocument/2006/relationships/hyperlink" Target="https://bibliotecadigital.mdh.gov.br/jspui/handle/192/1005" TargetMode="External"/><Relationship Id="rId11" Type="http://schemas.openxmlformats.org/officeDocument/2006/relationships/image" Target="media/image2.png"/><Relationship Id="rId24" Type="http://schemas.openxmlformats.org/officeDocument/2006/relationships/hyperlink" Target="https://doi.org/10.18256/2175-5027.2020.v12i2.3517" TargetMode="External"/><Relationship Id="rId32" Type="http://schemas.openxmlformats.org/officeDocument/2006/relationships/hyperlink" Target="https://doi.org/10.1590/s0102-699220183302007" TargetMode="External"/><Relationship Id="rId37" Type="http://schemas.openxmlformats.org/officeDocument/2006/relationships/hyperlink" Target="https://www.gov.br/saude/pt-br" TargetMode="External"/><Relationship Id="rId40" Type="http://schemas.openxmlformats.org/officeDocument/2006/relationships/hyperlink" Target="http://ri.ucsal.br:8080/jspui/handle/prefix/2973" TargetMode="External"/><Relationship Id="rId45"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orcid.org/0000-0002-4594-6110" TargetMode="External"/><Relationship Id="rId23" Type="http://schemas.openxmlformats.org/officeDocument/2006/relationships/image" Target="media/image5.png"/><Relationship Id="rId28" Type="http://schemas.openxmlformats.org/officeDocument/2006/relationships/hyperlink" Target="https://doi.org/10.1093/geront/gnw170" TargetMode="External"/><Relationship Id="rId36" Type="http://schemas.openxmlformats.org/officeDocument/2006/relationships/hyperlink" Target="https://doi.org/10.12804/revistas.urosario.edu.co/apl/a.6155" TargetMode="External"/><Relationship Id="rId49" Type="http://schemas.openxmlformats.org/officeDocument/2006/relationships/theme" Target="theme/theme1.xml"/><Relationship Id="rId10" Type="http://schemas.openxmlformats.org/officeDocument/2006/relationships/hyperlink" Target="https://orcid.org/0000-0003-4499-9875" TargetMode="External"/><Relationship Id="rId19" Type="http://schemas.openxmlformats.org/officeDocument/2006/relationships/hyperlink" Target="https://orcid.org/0000-0002-8212-7288" TargetMode="External"/><Relationship Id="rId31" Type="http://schemas.openxmlformats.org/officeDocument/2006/relationships/hyperlink" Target="http://doi.org/10.18774/0719-448x.2019.16.1.410"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orcid.org/0000-0002-2152-4669" TargetMode="External"/><Relationship Id="rId22" Type="http://schemas.openxmlformats.org/officeDocument/2006/relationships/image" Target="media/image4.svg"/><Relationship Id="rId27" Type="http://schemas.openxmlformats.org/officeDocument/2006/relationships/hyperlink" Target="https://www.gov.br/depen/pt-br/sisdepen" TargetMode="External"/><Relationship Id="rId30" Type="http://schemas.openxmlformats.org/officeDocument/2006/relationships/hyperlink" Target="http://doi.org/10.1590/S0104-71832017000100010" TargetMode="External"/><Relationship Id="rId35" Type="http://schemas.openxmlformats.org/officeDocument/2006/relationships/hyperlink" Target="https://www.who.int/emergencies/diseases/novel-coronavirus-2019" TargetMode="External"/><Relationship Id="rId43" Type="http://schemas.openxmlformats.org/officeDocument/2006/relationships/hyperlink" Target="https://www.sescsp.org.br/online/artigo/12898" TargetMode="External"/><Relationship Id="rId48" Type="http://schemas.openxmlformats.org/officeDocument/2006/relationships/fontTable" Target="fontTable.xml"/><Relationship Id="rId8" Type="http://schemas.openxmlformats.org/officeDocument/2006/relationships/hyperlink" Target="https://doi.org/10.30849/ripijp.v56i3.1761" TargetMode="External"/><Relationship Id="rId3" Type="http://schemas.openxmlformats.org/officeDocument/2006/relationships/styles" Target="styles.xml"/><Relationship Id="rId12" Type="http://schemas.openxmlformats.org/officeDocument/2006/relationships/hyperlink" Target="https://orcid.org/0000-0003-4486-7565" TargetMode="External"/><Relationship Id="rId17" Type="http://schemas.openxmlformats.org/officeDocument/2006/relationships/hyperlink" Target="https://orcid.org/0000-0003-0053-4494" TargetMode="External"/><Relationship Id="rId25" Type="http://schemas.openxmlformats.org/officeDocument/2006/relationships/hyperlink" Target="http://dx.doi.org/10.1590/S1414-98932013000100012" TargetMode="External"/><Relationship Id="rId33" Type="http://schemas.openxmlformats.org/officeDocument/2006/relationships/hyperlink" Target="https://doi.org/10.36367/ntqr.3.2020.411-422" TargetMode="External"/><Relationship Id="rId38" Type="http://schemas.openxmlformats.org/officeDocument/2006/relationships/hyperlink" Target="https://doi.org/10.1590/0102-311x00083520" TargetMode="External"/><Relationship Id="rId46" Type="http://schemas.openxmlformats.org/officeDocument/2006/relationships/footer" Target="footer1.xml"/><Relationship Id="rId20" Type="http://schemas.openxmlformats.org/officeDocument/2006/relationships/hyperlink" Target="https://sipsych.org/" TargetMode="External"/><Relationship Id="rId41" Type="http://schemas.openxmlformats.org/officeDocument/2006/relationships/hyperlink" Target="https://doi.org/10.25248/reas.e6938.2021"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mailto:mateusegalves@gmail.com?subject=RIP/IJP:%20O%20envelhecimento%20visto%20do%20c&#225;rcere:%20an&#225;lise%20psicossocial%20da%20Velhice%20LGBT%20a%20partir%20de%20pessoas%20em%20priva&#231;&#227;o%20de%20liberdade%20de%20um%20estado%20brasileiro%20em%20tempos%20de%20COVID-19"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6.jp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F4711F-A8FE-4854-8543-D577D5D1B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15</Pages>
  <Words>5077</Words>
  <Characters>27926</Characters>
  <Application>Microsoft Office Word</Application>
  <DocSecurity>0</DocSecurity>
  <Lines>232</Lines>
  <Paragraphs>65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Fernando Andrés Polanco</cp:lastModifiedBy>
  <cp:revision>6</cp:revision>
  <cp:lastPrinted>2020-05-06T22:26:00Z</cp:lastPrinted>
  <dcterms:created xsi:type="dcterms:W3CDTF">2022-11-29T03:45:00Z</dcterms:created>
  <dcterms:modified xsi:type="dcterms:W3CDTF">2022-12-05T14:35:00Z</dcterms:modified>
</cp:coreProperties>
</file>