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6AD5" w14:textId="2B609924" w:rsidR="005E6F90" w:rsidRDefault="005E6F90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DFD74A" w14:textId="2D530A3A" w:rsid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C0C77" w14:textId="7A371050" w:rsid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9BA29" w14:textId="31E77C5B" w:rsid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A7126" w14:textId="77F37A38" w:rsid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4B81E" w14:textId="143847D2" w:rsid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7EC80" w14:textId="77777777" w:rsidR="002E2D33" w:rsidRPr="002E2D33" w:rsidRDefault="002E2D33" w:rsidP="00F957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732AE" w14:textId="498C39BA" w:rsidR="004954BC" w:rsidRPr="002E2D33" w:rsidRDefault="002F74FA" w:rsidP="00F957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D33">
        <w:rPr>
          <w:rFonts w:ascii="Times New Roman" w:hAnsi="Times New Roman" w:cs="Times New Roman"/>
          <w:b/>
          <w:bCs/>
          <w:sz w:val="24"/>
          <w:szCs w:val="24"/>
        </w:rPr>
        <w:t>Predictores individuales y contextuales de la revelación de la orientación sexual en estudiantes universitarios LGBTIQ+</w:t>
      </w:r>
      <w:r w:rsidR="008A369A" w:rsidRPr="002E2D33">
        <w:rPr>
          <w:rFonts w:ascii="Times New Roman" w:hAnsi="Times New Roman" w:cs="Times New Roman"/>
          <w:b/>
          <w:bCs/>
          <w:sz w:val="24"/>
          <w:szCs w:val="24"/>
        </w:rPr>
        <w:t xml:space="preserve"> en el sur de Chile</w:t>
      </w:r>
    </w:p>
    <w:p w14:paraId="786C3B7F" w14:textId="77777777" w:rsidR="002F74FA" w:rsidRPr="002E2D33" w:rsidRDefault="002F74FA" w:rsidP="00F957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FFC4D" w14:textId="77E8FC06" w:rsidR="004954BC" w:rsidRPr="002E2D33" w:rsidRDefault="002F74FA" w:rsidP="00F957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2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Individual and contextual predictors of sexual orientation disclosure </w:t>
      </w:r>
    </w:p>
    <w:p w14:paraId="249EED91" w14:textId="058A464E" w:rsidR="004954BC" w:rsidRPr="002E2D33" w:rsidRDefault="004954BC" w:rsidP="00F957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2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 w:rsidR="002F74FA" w:rsidRPr="002E2D33">
        <w:rPr>
          <w:rFonts w:ascii="Times New Roman" w:hAnsi="Times New Roman" w:cs="Times New Roman"/>
          <w:b/>
          <w:bCs/>
          <w:sz w:val="24"/>
          <w:szCs w:val="24"/>
          <w:lang w:val="en-US"/>
        </w:rPr>
        <w:t>LGBTQI+</w:t>
      </w:r>
      <w:r w:rsidRPr="002E2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students</w:t>
      </w:r>
      <w:r w:rsidR="008A369A" w:rsidRPr="002E2D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Southern Chile</w:t>
      </w:r>
    </w:p>
    <w:p w14:paraId="000C941E" w14:textId="77777777" w:rsidR="004954BC" w:rsidRPr="008A369A" w:rsidRDefault="004954BC" w:rsidP="00F957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C36762" w14:textId="77777777" w:rsidR="00386A14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8E77FCA" w14:textId="77777777" w:rsidR="00386A14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C1545E1" w14:textId="32FA5D05" w:rsidR="00386A14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49CF5B63" w14:textId="77777777" w:rsidR="002E2D33" w:rsidRPr="002E2D33" w:rsidRDefault="002E2D33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64458AC0" w14:textId="77777777" w:rsidR="00386A14" w:rsidRPr="002E2D33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2F8B21B1" w14:textId="77777777" w:rsidR="00386A14" w:rsidRPr="002E2D33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7851813E" w14:textId="77777777" w:rsidR="00386A14" w:rsidRPr="002E2D33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236208F0" w14:textId="77777777" w:rsidR="00386A14" w:rsidRPr="002E2D33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595FC258" w14:textId="77777777" w:rsidR="00386A14" w:rsidRPr="002E2D33" w:rsidRDefault="00386A14" w:rsidP="00F957F2">
      <w:pPr>
        <w:spacing w:after="0" w:line="36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14:paraId="7B7AF910" w14:textId="77777777" w:rsidR="00DD06C8" w:rsidRPr="005723A5" w:rsidRDefault="0053684C" w:rsidP="00F957F2">
      <w:pPr>
        <w:pStyle w:val="Ttulo1"/>
        <w:spacing w:line="360" w:lineRule="auto"/>
      </w:pPr>
      <w:r w:rsidRPr="002E2D33">
        <w:rPr>
          <w:lang w:val="en-US"/>
        </w:rPr>
        <w:br w:type="page"/>
      </w:r>
      <w:bookmarkStart w:id="0" w:name="_Toc92990557"/>
      <w:r w:rsidRPr="005723A5">
        <w:lastRenderedPageBreak/>
        <w:t>Resumen</w:t>
      </w:r>
      <w:bookmarkEnd w:id="0"/>
    </w:p>
    <w:p w14:paraId="24A7B3FF" w14:textId="77777777" w:rsidR="008E3CCB" w:rsidRDefault="008E3CC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4F32659" w14:textId="7A4ADA5A" w:rsidR="00674228" w:rsidRDefault="000C4D7A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a revelación de la orientación sexual</w:t>
      </w:r>
      <w:r w:rsidR="007A00AF">
        <w:rPr>
          <w:rFonts w:ascii="Times New Roman" w:eastAsia="Times New Roman" w:hAnsi="Times New Roman" w:cs="Times New Roman"/>
          <w:sz w:val="24"/>
          <w:szCs w:val="24"/>
        </w:rPr>
        <w:t xml:space="preserve"> es un proceso no lineal y dependiente del contexto. </w:t>
      </w:r>
      <w:r w:rsidR="00C920AB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7A00AF">
        <w:rPr>
          <w:rFonts w:ascii="Times New Roman" w:eastAsia="Times New Roman" w:hAnsi="Times New Roman" w:cs="Times New Roman"/>
          <w:sz w:val="24"/>
          <w:szCs w:val="24"/>
        </w:rPr>
        <w:t>estudiantes universitarios LGBTIQ+,</w:t>
      </w:r>
      <w:r w:rsidR="00C920AB">
        <w:rPr>
          <w:rFonts w:ascii="Times New Roman" w:eastAsia="Times New Roman" w:hAnsi="Times New Roman" w:cs="Times New Roman"/>
          <w:sz w:val="24"/>
          <w:szCs w:val="24"/>
        </w:rPr>
        <w:t xml:space="preserve"> los desafíos de la adultez emergente </w:t>
      </w:r>
      <w:r w:rsidR="00573646">
        <w:rPr>
          <w:rFonts w:ascii="Times New Roman" w:eastAsia="Times New Roman" w:hAnsi="Times New Roman" w:cs="Times New Roman"/>
          <w:sz w:val="24"/>
          <w:szCs w:val="24"/>
        </w:rPr>
        <w:t>incluyen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 xml:space="preserve"> revelar</w:t>
      </w:r>
      <w:r w:rsidR="007A00AF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r w:rsidR="00AE3D29">
        <w:rPr>
          <w:rFonts w:ascii="Times New Roman" w:eastAsia="Times New Roman" w:hAnsi="Times New Roman" w:cs="Times New Roman"/>
          <w:sz w:val="24"/>
          <w:szCs w:val="24"/>
        </w:rPr>
        <w:t>su</w:t>
      </w:r>
      <w:r w:rsidR="007A00AF">
        <w:rPr>
          <w:rFonts w:ascii="Times New Roman" w:eastAsia="Times New Roman" w:hAnsi="Times New Roman" w:cs="Times New Roman"/>
          <w:sz w:val="24"/>
          <w:szCs w:val="24"/>
        </w:rPr>
        <w:t xml:space="preserve"> orientación sexual</w:t>
      </w:r>
      <w:r w:rsidR="007D1D6B">
        <w:rPr>
          <w:rFonts w:ascii="Times New Roman" w:eastAsia="Times New Roman" w:hAnsi="Times New Roman" w:cs="Times New Roman"/>
          <w:sz w:val="24"/>
          <w:szCs w:val="24"/>
        </w:rPr>
        <w:t xml:space="preserve"> en su entorno, lo cual podría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variar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según orientación sexual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954BC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968">
        <w:rPr>
          <w:rFonts w:ascii="Times New Roman" w:eastAsia="Times New Roman" w:hAnsi="Times New Roman" w:cs="Times New Roman"/>
          <w:sz w:val="24"/>
          <w:szCs w:val="24"/>
        </w:rPr>
        <w:t xml:space="preserve">estudio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examin</w:t>
      </w:r>
      <w:r w:rsidR="007D1D6B">
        <w:rPr>
          <w:rFonts w:ascii="Times New Roman" w:eastAsia="Times New Roman" w:hAnsi="Times New Roman" w:cs="Times New Roman"/>
          <w:sz w:val="24"/>
          <w:szCs w:val="24"/>
        </w:rPr>
        <w:t>ó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>la orientación sexual, e</w:t>
      </w:r>
      <w:r w:rsidR="00954BC2">
        <w:rPr>
          <w:rFonts w:ascii="Times New Roman" w:eastAsia="Times New Roman" w:hAnsi="Times New Roman" w:cs="Times New Roman"/>
          <w:sz w:val="24"/>
          <w:szCs w:val="24"/>
        </w:rPr>
        <w:t xml:space="preserve">l contexto de residencia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>(urbano/rural, vivir con padres) y el apoyo familia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r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>amistades y otros significativos</w:t>
      </w:r>
      <w:r w:rsidR="007905F6">
        <w:rPr>
          <w:rFonts w:ascii="Times New Roman" w:eastAsia="Times New Roman" w:hAnsi="Times New Roman" w:cs="Times New Roman"/>
          <w:sz w:val="24"/>
          <w:szCs w:val="24"/>
        </w:rPr>
        <w:t xml:space="preserve"> como predictores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5F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revelación de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orientación sexual en estudiantes universitarios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 xml:space="preserve">LGBTQI+ en el sur de Chile.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muestra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 xml:space="preserve">fue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D2647A" w:rsidRPr="005723A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estudiantes quienes respondieron un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 xml:space="preserve"> cuestionario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en línea </w:t>
      </w:r>
      <w:r w:rsidR="00033CB2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preguntas sobre características sociodemográficas, </w:t>
      </w:r>
      <w:r w:rsidR="00A344CB">
        <w:rPr>
          <w:rFonts w:ascii="Times New Roman" w:eastAsia="Times New Roman" w:hAnsi="Times New Roman" w:cs="Times New Roman"/>
          <w:sz w:val="24"/>
          <w:szCs w:val="24"/>
        </w:rPr>
        <w:t>apoyo social percibido y a quiénes ha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revela</w:t>
      </w:r>
      <w:r w:rsidR="00A344CB">
        <w:rPr>
          <w:rFonts w:ascii="Times New Roman" w:eastAsia="Times New Roman" w:hAnsi="Times New Roman" w:cs="Times New Roman"/>
          <w:sz w:val="24"/>
          <w:szCs w:val="24"/>
        </w:rPr>
        <w:t>do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orientación sexual. </w:t>
      </w:r>
      <w:r w:rsidR="00AB6BF6">
        <w:rPr>
          <w:rFonts w:ascii="Times New Roman" w:eastAsia="Times New Roman" w:hAnsi="Times New Roman" w:cs="Times New Roman"/>
          <w:sz w:val="24"/>
          <w:szCs w:val="24"/>
        </w:rPr>
        <w:t>S</w:t>
      </w:r>
      <w:r w:rsidR="00A344CB">
        <w:rPr>
          <w:rFonts w:ascii="Times New Roman" w:eastAsia="Times New Roman" w:hAnsi="Times New Roman" w:cs="Times New Roman"/>
          <w:sz w:val="24"/>
          <w:szCs w:val="24"/>
        </w:rPr>
        <w:t>er gay o lesbiana (vs. bisexual</w:t>
      </w:r>
      <w:r w:rsidR="00674228">
        <w:rPr>
          <w:rFonts w:ascii="Times New Roman" w:eastAsia="Times New Roman" w:hAnsi="Times New Roman" w:cs="Times New Roman"/>
          <w:sz w:val="24"/>
          <w:szCs w:val="24"/>
        </w:rPr>
        <w:t xml:space="preserve"> y otras orientaciones)</w:t>
      </w:r>
      <w:r w:rsidR="00A344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4228">
        <w:rPr>
          <w:rFonts w:ascii="Times New Roman" w:eastAsia="Times New Roman" w:hAnsi="Times New Roman" w:cs="Times New Roman"/>
          <w:sz w:val="24"/>
          <w:szCs w:val="24"/>
        </w:rPr>
        <w:t xml:space="preserve"> vivir independientemente de los padres y </w:t>
      </w:r>
      <w:r w:rsidR="00B00C4E">
        <w:rPr>
          <w:rFonts w:ascii="Times New Roman" w:eastAsia="Times New Roman" w:hAnsi="Times New Roman" w:cs="Times New Roman"/>
          <w:sz w:val="24"/>
          <w:szCs w:val="24"/>
        </w:rPr>
        <w:t>percibir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apoyo de otros significativos predicen</w:t>
      </w:r>
      <w:r w:rsidR="00674228">
        <w:rPr>
          <w:rFonts w:ascii="Times New Roman" w:eastAsia="Times New Roman" w:hAnsi="Times New Roman" w:cs="Times New Roman"/>
          <w:sz w:val="24"/>
          <w:szCs w:val="24"/>
        </w:rPr>
        <w:t xml:space="preserve"> una mayor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revelación de orientación sexual. </w:t>
      </w:r>
      <w:r w:rsidR="00674228">
        <w:rPr>
          <w:rFonts w:ascii="Times New Roman" w:eastAsia="Times New Roman" w:hAnsi="Times New Roman" w:cs="Times New Roman"/>
          <w:sz w:val="24"/>
          <w:szCs w:val="24"/>
        </w:rPr>
        <w:t xml:space="preserve">Estos resultados sugieren </w:t>
      </w:r>
      <w:r w:rsidR="00A824C7">
        <w:rPr>
          <w:rFonts w:ascii="Times New Roman" w:eastAsia="Times New Roman" w:hAnsi="Times New Roman" w:cs="Times New Roman"/>
          <w:sz w:val="24"/>
          <w:szCs w:val="24"/>
        </w:rPr>
        <w:t xml:space="preserve">que estudiantes LGBTIQ+ </w:t>
      </w:r>
      <w:r w:rsidR="00D2114E">
        <w:rPr>
          <w:rFonts w:ascii="Times New Roman" w:eastAsia="Times New Roman" w:hAnsi="Times New Roman" w:cs="Times New Roman"/>
          <w:sz w:val="24"/>
          <w:szCs w:val="24"/>
        </w:rPr>
        <w:t>expresan este aspecto de su identidad al margen de sus círculos</w:t>
      </w:r>
      <w:r w:rsidR="00A82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367">
        <w:rPr>
          <w:rFonts w:ascii="Times New Roman" w:eastAsia="Times New Roman" w:hAnsi="Times New Roman" w:cs="Times New Roman"/>
          <w:sz w:val="24"/>
          <w:szCs w:val="24"/>
        </w:rPr>
        <w:t xml:space="preserve">sociales </w:t>
      </w:r>
      <w:r w:rsidR="00A824C7">
        <w:rPr>
          <w:rFonts w:ascii="Times New Roman" w:eastAsia="Times New Roman" w:hAnsi="Times New Roman" w:cs="Times New Roman"/>
          <w:sz w:val="24"/>
          <w:szCs w:val="24"/>
        </w:rPr>
        <w:t>más cercanos</w:t>
      </w:r>
      <w:r w:rsidR="00C06367">
        <w:rPr>
          <w:rFonts w:ascii="Times New Roman" w:eastAsia="Times New Roman" w:hAnsi="Times New Roman" w:cs="Times New Roman"/>
          <w:sz w:val="24"/>
          <w:szCs w:val="24"/>
        </w:rPr>
        <w:t>. Este estudio</w:t>
      </w:r>
      <w:r w:rsidR="00827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91F">
        <w:rPr>
          <w:rFonts w:ascii="Times New Roman" w:eastAsia="Times New Roman" w:hAnsi="Times New Roman" w:cs="Times New Roman"/>
          <w:sz w:val="24"/>
          <w:szCs w:val="24"/>
        </w:rPr>
        <w:t xml:space="preserve">plantea áreas de atención </w:t>
      </w:r>
      <w:r w:rsidR="00BB7B51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2650E0">
        <w:rPr>
          <w:rFonts w:ascii="Times New Roman" w:eastAsia="Times New Roman" w:hAnsi="Times New Roman" w:cs="Times New Roman"/>
          <w:sz w:val="24"/>
          <w:szCs w:val="24"/>
        </w:rPr>
        <w:t>promover</w:t>
      </w:r>
      <w:r w:rsidR="00BB7B51">
        <w:rPr>
          <w:rFonts w:ascii="Times New Roman" w:eastAsia="Times New Roman" w:hAnsi="Times New Roman" w:cs="Times New Roman"/>
          <w:sz w:val="24"/>
          <w:szCs w:val="24"/>
        </w:rPr>
        <w:t xml:space="preserve"> entorno</w:t>
      </w:r>
      <w:r w:rsidR="00C0636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B7B51">
        <w:rPr>
          <w:rFonts w:ascii="Times New Roman" w:eastAsia="Times New Roman" w:hAnsi="Times New Roman" w:cs="Times New Roman"/>
          <w:sz w:val="24"/>
          <w:szCs w:val="24"/>
        </w:rPr>
        <w:t xml:space="preserve"> seguro</w:t>
      </w:r>
      <w:r w:rsidR="00C0636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B7B51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827EA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BB7B51">
        <w:rPr>
          <w:rFonts w:ascii="Times New Roman" w:eastAsia="Times New Roman" w:hAnsi="Times New Roman" w:cs="Times New Roman"/>
          <w:sz w:val="24"/>
          <w:szCs w:val="24"/>
        </w:rPr>
        <w:t>expresión de las identidades LGBTIQ+</w:t>
      </w:r>
      <w:r w:rsidR="00BB7B51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1D459" w14:textId="3F12F614" w:rsidR="00DD06C8" w:rsidRPr="005723A5" w:rsidRDefault="00DD06C8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7596CBC" w14:textId="77777777" w:rsidR="00012EF7" w:rsidRPr="005723A5" w:rsidRDefault="00012EF7" w:rsidP="00012EF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92990558"/>
      <w:r w:rsidRPr="00BF13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Palabras clave: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LGBTIQ+, revelación de la orientación sexual, apoyo social percibido</w:t>
      </w:r>
      <w:r>
        <w:rPr>
          <w:rFonts w:ascii="Times New Roman" w:eastAsia="Times New Roman" w:hAnsi="Times New Roman" w:cs="Times New Roman"/>
          <w:sz w:val="24"/>
          <w:szCs w:val="24"/>
        </w:rPr>
        <w:t>, adultez emergente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38224F" w14:textId="77777777" w:rsidR="00386A14" w:rsidRPr="00D75312" w:rsidRDefault="00386A14" w:rsidP="00F957F2">
      <w:pPr>
        <w:spacing w:line="36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D75312">
        <w:br w:type="page"/>
      </w:r>
    </w:p>
    <w:p w14:paraId="04B2667E" w14:textId="267F0038" w:rsidR="00DD06C8" w:rsidRPr="005723A5" w:rsidRDefault="0053684C" w:rsidP="00F957F2">
      <w:pPr>
        <w:pStyle w:val="Ttulo1"/>
        <w:spacing w:line="360" w:lineRule="auto"/>
        <w:rPr>
          <w:lang w:val="en-US"/>
        </w:rPr>
      </w:pPr>
      <w:r w:rsidRPr="005723A5">
        <w:rPr>
          <w:lang w:val="en-US"/>
        </w:rPr>
        <w:lastRenderedPageBreak/>
        <w:t>Abstract</w:t>
      </w:r>
      <w:bookmarkEnd w:id="1"/>
    </w:p>
    <w:p w14:paraId="2FEDADE6" w14:textId="77777777" w:rsidR="008E3CCB" w:rsidRDefault="008E3CC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4B6B864" w14:textId="50B0F682" w:rsidR="00BF13BE" w:rsidRPr="00BF13BE" w:rsidRDefault="00BF13BE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d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isclosure of sexual orientation is a non-linear and context-dependent process. For LGBTIQ+ college students, the challenges of emerging adulthood include disclosing or not disclosing their sexual orientation 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people in 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their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environment,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 experience that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may vary by sexual orientation. This study examined the </w:t>
      </w:r>
      <w:r w:rsidR="007905F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role of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sexual orientation, context of residence (urban/rural, living with parents), and </w:t>
      </w:r>
      <w:r w:rsidR="007905F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support from 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family, friends, and </w:t>
      </w:r>
      <w:r w:rsidR="007905F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other significant people 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disclosure of sexual orientation in LGBTQI+ college students in </w:t>
      </w:r>
      <w:r w:rsidR="007905F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outhern Chile. The sample consisted of 272 students who answered an online questionnaire with questions about sociodemographic characteristics, perceived social support, and to whom they had 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disclosed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their sexual orientation. Being gay or lesbian (vs. bisexual and other orientations), living independently of parents, and receiving support from significant others predict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greater disclosure of sexual orientation. These results suggest that LGBTIQ+ students do not 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lean on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their closest 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relations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to reveal their sexual orientation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This study also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raise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areas of attention to promote safe environment</w:t>
      </w:r>
      <w:r w:rsidR="007467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BF13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for the expression of LGBTIQ+ identities.</w:t>
      </w:r>
    </w:p>
    <w:p w14:paraId="6B44AB1F" w14:textId="77777777" w:rsidR="00BF13BE" w:rsidRDefault="00BF13BE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8B9710" w14:textId="77777777" w:rsidR="00012EF7" w:rsidRPr="005723A5" w:rsidRDefault="00012EF7" w:rsidP="00012E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29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Keywords: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LGBTIQ+, disclosure of sexual orientation, perceived social support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emerging adults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4713C6" w14:textId="77777777" w:rsidR="00D0320E" w:rsidRPr="005723A5" w:rsidRDefault="00D0320E" w:rsidP="00F957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4783E9F2" w14:textId="61B1324D" w:rsidR="00D740BD" w:rsidRDefault="00675BA7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</w:t>
      </w:r>
      <w:r w:rsidR="00EC21D1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personas no heterosexuales, revelar </w:t>
      </w:r>
      <w:r w:rsidR="000B4786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orientación sexual </w:t>
      </w:r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 xml:space="preserve">no es un evento único, sino un proceso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>reafirma</w:t>
      </w:r>
      <w:r>
        <w:rPr>
          <w:rFonts w:ascii="Times New Roman" w:eastAsia="Times New Roman" w:hAnsi="Times New Roman" w:cs="Times New Roman"/>
          <w:sz w:val="24"/>
          <w:szCs w:val="24"/>
        </w:rPr>
        <w:t>ción de</w:t>
      </w:r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 xml:space="preserve"> su identidad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lo largo de su vida </w:t>
      </w:r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>Guittar</w:t>
      </w:r>
      <w:proofErr w:type="spellEnd"/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 xml:space="preserve"> &amp; Rayburn, 2016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7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Matos et al., 2015</w:t>
      </w:r>
      <w:r w:rsidR="00F66EAF" w:rsidRPr="000A47B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Estas experiencias contrastan con l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os modelos tradicionales del desarrollo de la identidad sexual </w:t>
      </w:r>
      <w:r w:rsidRPr="000C5C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C5CB9" w:rsidRPr="000C5CB9">
        <w:rPr>
          <w:rFonts w:ascii="Times New Roman" w:eastAsia="Times New Roman" w:hAnsi="Times New Roman" w:cs="Times New Roman"/>
          <w:sz w:val="24"/>
          <w:szCs w:val="24"/>
        </w:rPr>
        <w:t>Ellis et al., 2020</w:t>
      </w:r>
      <w:r w:rsidRPr="000C5CB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BF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sostienen </w:t>
      </w:r>
      <w:r w:rsidR="00AA33E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las personas lesbianas, </w:t>
      </w:r>
      <w:proofErr w:type="spellStart"/>
      <w:r w:rsidR="00FA1E7E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FA1E7E">
        <w:rPr>
          <w:rFonts w:ascii="Times New Roman" w:eastAsia="Times New Roman" w:hAnsi="Times New Roman" w:cs="Times New Roman"/>
          <w:sz w:val="24"/>
          <w:szCs w:val="24"/>
        </w:rPr>
        <w:t>, bisexuales</w:t>
      </w:r>
      <w:r w:rsidR="00AA33E0">
        <w:rPr>
          <w:rFonts w:ascii="Times New Roman" w:eastAsia="Times New Roman" w:hAnsi="Times New Roman" w:cs="Times New Roman"/>
          <w:sz w:val="24"/>
          <w:szCs w:val="24"/>
        </w:rPr>
        <w:t>, transgénero, intersex, queer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 y de otras </w:t>
      </w:r>
      <w:r w:rsidR="00AA33E0">
        <w:rPr>
          <w:rFonts w:ascii="Times New Roman" w:eastAsia="Times New Roman" w:hAnsi="Times New Roman" w:cs="Times New Roman"/>
          <w:sz w:val="24"/>
          <w:szCs w:val="24"/>
        </w:rPr>
        <w:t>identidades sexo-genéricas no normativas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 (LGB</w:t>
      </w:r>
      <w:r w:rsidR="00AA33E0">
        <w:rPr>
          <w:rFonts w:ascii="Times New Roman" w:eastAsia="Times New Roman" w:hAnsi="Times New Roman" w:cs="Times New Roman"/>
          <w:sz w:val="24"/>
          <w:szCs w:val="24"/>
        </w:rPr>
        <w:t>TIQ+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) pasan de estar “dentro del clóset” a estar “fuera del clóset” y </w:t>
      </w:r>
      <w:r w:rsidR="00EC21D1">
        <w:rPr>
          <w:rFonts w:ascii="Times New Roman" w:eastAsia="Times New Roman" w:hAnsi="Times New Roman" w:cs="Times New Roman"/>
          <w:sz w:val="24"/>
          <w:szCs w:val="24"/>
        </w:rPr>
        <w:t>esto último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 contribuye a </w:t>
      </w:r>
      <w:r w:rsidR="001D481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 xml:space="preserve"> salud y buen ajuste (Klein et al., 2015).</w:t>
      </w:r>
      <w:r w:rsidR="002F2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CD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F216A">
        <w:rPr>
          <w:rFonts w:ascii="Times New Roman" w:eastAsia="Times New Roman" w:hAnsi="Times New Roman" w:cs="Times New Roman"/>
          <w:sz w:val="24"/>
          <w:szCs w:val="24"/>
        </w:rPr>
        <w:t xml:space="preserve">ctualmente se reconoce que </w:t>
      </w:r>
      <w:r w:rsidR="00D740BD">
        <w:rPr>
          <w:rFonts w:ascii="Times New Roman" w:eastAsia="Times New Roman" w:hAnsi="Times New Roman" w:cs="Times New Roman"/>
          <w:sz w:val="24"/>
          <w:szCs w:val="24"/>
        </w:rPr>
        <w:t>el proceso de</w:t>
      </w:r>
      <w:r w:rsidR="00595C51">
        <w:rPr>
          <w:rFonts w:ascii="Times New Roman" w:eastAsia="Times New Roman" w:hAnsi="Times New Roman" w:cs="Times New Roman"/>
          <w:sz w:val="24"/>
          <w:szCs w:val="24"/>
        </w:rPr>
        <w:t xml:space="preserve"> relevación</w:t>
      </w:r>
      <w:r w:rsidR="00D740BD">
        <w:rPr>
          <w:rFonts w:ascii="Times New Roman" w:eastAsia="Times New Roman" w:hAnsi="Times New Roman" w:cs="Times New Roman"/>
          <w:sz w:val="24"/>
          <w:szCs w:val="24"/>
        </w:rPr>
        <w:t xml:space="preserve"> de la orientación sexual</w:t>
      </w:r>
      <w:r w:rsidR="00C624B0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 w:rsidR="00EC21D1">
        <w:rPr>
          <w:rFonts w:ascii="Times New Roman" w:eastAsia="Times New Roman" w:hAnsi="Times New Roman" w:cs="Times New Roman"/>
          <w:sz w:val="24"/>
          <w:szCs w:val="24"/>
        </w:rPr>
        <w:t xml:space="preserve">estratégico, </w:t>
      </w:r>
      <w:r w:rsidR="00C624B0">
        <w:rPr>
          <w:rFonts w:ascii="Times New Roman" w:eastAsia="Times New Roman" w:hAnsi="Times New Roman" w:cs="Times New Roman"/>
          <w:sz w:val="24"/>
          <w:szCs w:val="24"/>
        </w:rPr>
        <w:t>no lineal e</w:t>
      </w:r>
      <w:r w:rsidR="00595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0BD">
        <w:rPr>
          <w:rFonts w:ascii="Times New Roman" w:eastAsia="Times New Roman" w:hAnsi="Times New Roman" w:cs="Times New Roman"/>
          <w:sz w:val="24"/>
          <w:szCs w:val="24"/>
        </w:rPr>
        <w:t xml:space="preserve">involucra factores sociales, </w:t>
      </w:r>
      <w:r w:rsidR="00343B73">
        <w:rPr>
          <w:rFonts w:ascii="Times New Roman" w:eastAsia="Times New Roman" w:hAnsi="Times New Roman" w:cs="Times New Roman"/>
          <w:sz w:val="24"/>
          <w:szCs w:val="24"/>
        </w:rPr>
        <w:t>tanto facilitadores como de riesgo</w:t>
      </w:r>
      <w:r w:rsidR="004213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C21D1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EC21D1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r w:rsidR="00421377">
        <w:rPr>
          <w:rFonts w:ascii="Times New Roman" w:eastAsia="Times New Roman" w:hAnsi="Times New Roman" w:cs="Times New Roman"/>
          <w:sz w:val="24"/>
          <w:szCs w:val="24"/>
        </w:rPr>
        <w:t>Klein et al., 2015)</w:t>
      </w:r>
      <w:r w:rsidR="00FA1E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ACD02" w14:textId="7C42291C" w:rsidR="00154992" w:rsidRDefault="007D5662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la literatura latinoamericana se observa un creciente interés </w:t>
      </w:r>
      <w:r w:rsidR="00FF7661">
        <w:rPr>
          <w:rFonts w:ascii="Times New Roman" w:eastAsia="Times New Roman" w:hAnsi="Times New Roman" w:cs="Times New Roman"/>
          <w:sz w:val="24"/>
          <w:szCs w:val="24"/>
        </w:rPr>
        <w:t>sobre revelación de la orientación sexual</w:t>
      </w:r>
      <w:r w:rsidR="001B11CA">
        <w:rPr>
          <w:rFonts w:ascii="Times New Roman" w:eastAsia="Times New Roman" w:hAnsi="Times New Roman" w:cs="Times New Roman"/>
          <w:sz w:val="24"/>
          <w:szCs w:val="24"/>
        </w:rPr>
        <w:t xml:space="preserve"> y factores asociados</w:t>
      </w:r>
      <w:r w:rsidR="00FF7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3F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523FF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B523FF">
        <w:rPr>
          <w:rFonts w:ascii="Times New Roman" w:eastAsia="Times New Roman" w:hAnsi="Times New Roman" w:cs="Times New Roman"/>
          <w:sz w:val="24"/>
          <w:szCs w:val="24"/>
        </w:rPr>
        <w:t xml:space="preserve">., Barrientos et al., 2017; </w:t>
      </w:r>
      <w:r w:rsidR="002E7417">
        <w:rPr>
          <w:rFonts w:ascii="Times New Roman" w:eastAsia="Times New Roman" w:hAnsi="Times New Roman" w:cs="Times New Roman"/>
          <w:sz w:val="24"/>
          <w:szCs w:val="24"/>
        </w:rPr>
        <w:t xml:space="preserve">Galvis et al., 2020; </w:t>
      </w:r>
      <w:r w:rsidR="00B523FF">
        <w:rPr>
          <w:rFonts w:ascii="Times New Roman" w:eastAsia="Times New Roman" w:hAnsi="Times New Roman" w:cs="Times New Roman"/>
          <w:sz w:val="24"/>
          <w:szCs w:val="24"/>
        </w:rPr>
        <w:t>Longares et al., 2018</w:t>
      </w:r>
      <w:r w:rsidR="002E74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2E7417"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="002E7417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2020; Rodríguez-Bustamante et al., 2019; Sánchez et al., 2018; Silva, 2018; Zambrano et al., 2017</w:t>
      </w:r>
      <w:r w:rsidR="00B523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>. La mayoría de</w:t>
      </w:r>
      <w:r w:rsidR="007D3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>estos</w:t>
      </w:r>
      <w:r w:rsidR="004B13F0">
        <w:rPr>
          <w:rFonts w:ascii="Times New Roman" w:eastAsia="Times New Roman" w:hAnsi="Times New Roman" w:cs="Times New Roman"/>
          <w:sz w:val="24"/>
          <w:szCs w:val="24"/>
        </w:rPr>
        <w:t xml:space="preserve"> estudios exploran las dinámicas </w:t>
      </w:r>
      <w:r w:rsidR="00FB79E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C804C1">
        <w:rPr>
          <w:rFonts w:ascii="Times New Roman" w:eastAsia="Times New Roman" w:hAnsi="Times New Roman" w:cs="Times New Roman"/>
          <w:sz w:val="24"/>
          <w:szCs w:val="24"/>
        </w:rPr>
        <w:t xml:space="preserve">el entorno social, particularmente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>la familia</w:t>
      </w:r>
      <w:r w:rsidR="00C80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582D">
        <w:rPr>
          <w:rFonts w:ascii="Times New Roman" w:eastAsia="Times New Roman" w:hAnsi="Times New Roman" w:cs="Times New Roman"/>
          <w:sz w:val="24"/>
          <w:szCs w:val="24"/>
        </w:rPr>
        <w:t>y</w:t>
      </w:r>
      <w:r w:rsidR="00C804C1">
        <w:rPr>
          <w:rFonts w:ascii="Times New Roman" w:eastAsia="Times New Roman" w:hAnsi="Times New Roman" w:cs="Times New Roman"/>
          <w:sz w:val="24"/>
          <w:szCs w:val="24"/>
        </w:rPr>
        <w:t xml:space="preserve"> las experiencias de revelación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de hombres </w:t>
      </w:r>
      <w:proofErr w:type="spellStart"/>
      <w:r w:rsidR="006637E9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 y lesbianas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>; existe un vacío en el conocimiento sobre estas experiencias en personas bisexuales y de otras orientaciones no heterosexuales (</w:t>
      </w:r>
      <w:proofErr w:type="spellStart"/>
      <w:r w:rsidR="00740F0A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740F0A">
        <w:rPr>
          <w:rFonts w:ascii="Times New Roman" w:eastAsia="Times New Roman" w:hAnsi="Times New Roman" w:cs="Times New Roman"/>
          <w:sz w:val="24"/>
          <w:szCs w:val="24"/>
        </w:rPr>
        <w:t>., pansexuales, asexuales)</w:t>
      </w:r>
      <w:r w:rsidR="001B11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 revelación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también se ha </w:t>
      </w:r>
      <w:r w:rsidR="008A73C6">
        <w:rPr>
          <w:rFonts w:ascii="Times New Roman" w:eastAsia="Times New Roman" w:hAnsi="Times New Roman" w:cs="Times New Roman"/>
          <w:sz w:val="24"/>
          <w:szCs w:val="24"/>
        </w:rPr>
        <w:t>analizado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3C6">
        <w:rPr>
          <w:rFonts w:ascii="Times New Roman" w:eastAsia="Times New Roman" w:hAnsi="Times New Roman" w:cs="Times New Roman"/>
          <w:sz w:val="24"/>
          <w:szCs w:val="24"/>
        </w:rPr>
        <w:t xml:space="preserve">según ocurre en 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>área</w:t>
      </w:r>
      <w:r w:rsidR="008A73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urbana</w:t>
      </w:r>
      <w:r w:rsidR="008A73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o rural</w:t>
      </w:r>
      <w:r w:rsidR="008A73C6">
        <w:rPr>
          <w:rFonts w:ascii="Times New Roman" w:eastAsia="Times New Roman" w:hAnsi="Times New Roman" w:cs="Times New Roman"/>
          <w:sz w:val="24"/>
          <w:szCs w:val="24"/>
        </w:rPr>
        <w:t>es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637E9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4856E2">
        <w:rPr>
          <w:rFonts w:ascii="Times New Roman" w:eastAsia="Times New Roman" w:hAnsi="Times New Roman" w:cs="Times New Roman"/>
          <w:sz w:val="24"/>
          <w:szCs w:val="24"/>
        </w:rPr>
        <w:t>Annes</w:t>
      </w:r>
      <w:proofErr w:type="spellEnd"/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4856E2">
        <w:rPr>
          <w:rFonts w:ascii="Times New Roman" w:eastAsia="Times New Roman" w:hAnsi="Times New Roman" w:cs="Times New Roman"/>
          <w:sz w:val="24"/>
          <w:szCs w:val="24"/>
        </w:rPr>
        <w:t>Redlin</w:t>
      </w:r>
      <w:proofErr w:type="spellEnd"/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, 2012; Barrientos et al., 2017; </w:t>
      </w:r>
      <w:proofErr w:type="spellStart"/>
      <w:r w:rsidR="004856E2">
        <w:rPr>
          <w:rFonts w:ascii="Times New Roman" w:eastAsia="Times New Roman" w:hAnsi="Times New Roman" w:cs="Times New Roman"/>
          <w:sz w:val="24"/>
          <w:szCs w:val="24"/>
        </w:rPr>
        <w:t>Giano</w:t>
      </w:r>
      <w:proofErr w:type="spellEnd"/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 w:rsidR="00ED7429">
        <w:rPr>
          <w:rFonts w:ascii="Times New Roman" w:eastAsia="Times New Roman" w:hAnsi="Times New Roman" w:cs="Times New Roman"/>
          <w:sz w:val="24"/>
          <w:szCs w:val="24"/>
        </w:rPr>
        <w:t>Sin embargo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, como </w:t>
      </w:r>
      <w:r w:rsidR="008665AA">
        <w:rPr>
          <w:rFonts w:ascii="Times New Roman" w:eastAsia="Times New Roman" w:hAnsi="Times New Roman" w:cs="Times New Roman"/>
          <w:sz w:val="24"/>
          <w:szCs w:val="24"/>
        </w:rPr>
        <w:t>sugieren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6E2" w:rsidRPr="0010738F">
        <w:rPr>
          <w:rFonts w:ascii="Times New Roman" w:eastAsia="Times New Roman" w:hAnsi="Times New Roman" w:cs="Times New Roman"/>
          <w:sz w:val="24"/>
          <w:szCs w:val="24"/>
        </w:rPr>
        <w:t xml:space="preserve">Schmitz 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4856E2" w:rsidRPr="0010738F">
        <w:rPr>
          <w:rFonts w:ascii="Times New Roman" w:eastAsia="Times New Roman" w:hAnsi="Times New Roman" w:cs="Times New Roman"/>
          <w:sz w:val="24"/>
          <w:szCs w:val="24"/>
        </w:rPr>
        <w:t xml:space="preserve"> Tyler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856E2" w:rsidRPr="0010738F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4856E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021588">
        <w:rPr>
          <w:rFonts w:ascii="Times New Roman" w:eastAsia="Times New Roman" w:hAnsi="Times New Roman" w:cs="Times New Roman"/>
          <w:sz w:val="24"/>
          <w:szCs w:val="24"/>
        </w:rPr>
        <w:t>se requiere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n más estudios sobre </w:t>
      </w:r>
      <w:r w:rsidR="008665AA">
        <w:rPr>
          <w:rFonts w:ascii="Times New Roman" w:eastAsia="Times New Roman" w:hAnsi="Times New Roman" w:cs="Times New Roman"/>
          <w:sz w:val="24"/>
          <w:szCs w:val="24"/>
        </w:rPr>
        <w:t xml:space="preserve">el rol </w:t>
      </w:r>
      <w:r w:rsidR="000215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580EA5">
        <w:rPr>
          <w:rFonts w:ascii="Times New Roman" w:eastAsia="Times New Roman" w:hAnsi="Times New Roman" w:cs="Times New Roman"/>
          <w:sz w:val="24"/>
          <w:szCs w:val="24"/>
        </w:rPr>
        <w:t xml:space="preserve">el entorno social </w:t>
      </w:r>
      <w:r w:rsidR="008665AA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80EA5">
        <w:rPr>
          <w:rFonts w:ascii="Times New Roman" w:eastAsia="Times New Roman" w:hAnsi="Times New Roman" w:cs="Times New Roman"/>
          <w:sz w:val="24"/>
          <w:szCs w:val="24"/>
        </w:rPr>
        <w:t xml:space="preserve"> la revelación de la orientación sexual</w:t>
      </w:r>
      <w:r w:rsidR="00021588">
        <w:rPr>
          <w:rFonts w:ascii="Times New Roman" w:eastAsia="Times New Roman" w:hAnsi="Times New Roman" w:cs="Times New Roman"/>
          <w:sz w:val="24"/>
          <w:szCs w:val="24"/>
        </w:rPr>
        <w:t xml:space="preserve"> en jóvenes LGBTIQ+</w:t>
      </w:r>
      <w:r w:rsidR="00580E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2B22DB" w14:textId="1DD0C974" w:rsidR="00FF5A0C" w:rsidRDefault="00B53C48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presente estudio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examina </w:t>
      </w:r>
      <w:r w:rsidR="00A524B9">
        <w:rPr>
          <w:rFonts w:ascii="Times New Roman" w:eastAsia="Times New Roman" w:hAnsi="Times New Roman" w:cs="Times New Roman"/>
          <w:sz w:val="24"/>
          <w:szCs w:val="24"/>
        </w:rPr>
        <w:t xml:space="preserve">la orientación sexual, 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 xml:space="preserve">el contexto de residencia y 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el apoyo </w:t>
      </w:r>
      <w:r w:rsidR="004A57C5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 como 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>predictores de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 la revelación de la orientación sexual</w:t>
      </w:r>
      <w:r w:rsidR="00791058">
        <w:rPr>
          <w:rFonts w:ascii="Times New Roman" w:eastAsia="Times New Roman" w:hAnsi="Times New Roman" w:cs="Times New Roman"/>
          <w:sz w:val="24"/>
          <w:szCs w:val="24"/>
        </w:rPr>
        <w:t xml:space="preserve"> en estudiantes universitarios LGBTIQ+ en el sur de Chile</w:t>
      </w:r>
      <w:r w:rsidR="004A57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574">
        <w:rPr>
          <w:rFonts w:ascii="Times New Roman" w:eastAsia="Times New Roman" w:hAnsi="Times New Roman" w:cs="Times New Roman"/>
          <w:sz w:val="24"/>
          <w:szCs w:val="24"/>
        </w:rPr>
        <w:t>Se habla aquí de personas LGBTIQ+ pues personas transgénero, intersex y de otras identidades no binarias también transitan por procesos de reconocimiento y revelación de su orientación sexual (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9B3574">
        <w:rPr>
          <w:rFonts w:ascii="Times New Roman" w:eastAsia="Times New Roman" w:hAnsi="Times New Roman" w:cs="Times New Roman"/>
          <w:sz w:val="24"/>
          <w:szCs w:val="24"/>
        </w:rPr>
        <w:t xml:space="preserve">, 2015). 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Específicamente, se </w:t>
      </w:r>
      <w:r w:rsidR="00641107">
        <w:rPr>
          <w:rFonts w:ascii="Times New Roman" w:eastAsia="Times New Roman" w:hAnsi="Times New Roman" w:cs="Times New Roman"/>
          <w:sz w:val="24"/>
          <w:szCs w:val="24"/>
        </w:rPr>
        <w:t>examina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 el rol predictor de</w:t>
      </w:r>
      <w:r w:rsidR="00A5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524B9">
        <w:rPr>
          <w:rFonts w:ascii="Times New Roman" w:eastAsia="Times New Roman" w:hAnsi="Times New Roman" w:cs="Times New Roman"/>
          <w:sz w:val="24"/>
          <w:szCs w:val="24"/>
        </w:rPr>
        <w:t>a orientación sexual</w:t>
      </w:r>
      <w:r w:rsidR="000D3A06">
        <w:rPr>
          <w:rFonts w:ascii="Times New Roman" w:eastAsia="Times New Roman" w:hAnsi="Times New Roman" w:cs="Times New Roman"/>
          <w:sz w:val="24"/>
          <w:szCs w:val="24"/>
        </w:rPr>
        <w:t xml:space="preserve"> (gay/lesbiana, bisexual</w:t>
      </w:r>
      <w:r w:rsidR="009B3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3A06">
        <w:rPr>
          <w:rFonts w:ascii="Times New Roman" w:eastAsia="Times New Roman" w:hAnsi="Times New Roman" w:cs="Times New Roman"/>
          <w:sz w:val="24"/>
          <w:szCs w:val="24"/>
        </w:rPr>
        <w:t>otras)</w:t>
      </w:r>
      <w:r w:rsidR="00A524B9">
        <w:rPr>
          <w:rFonts w:ascii="Times New Roman" w:eastAsia="Times New Roman" w:hAnsi="Times New Roman" w:cs="Times New Roman"/>
          <w:sz w:val="24"/>
          <w:szCs w:val="24"/>
        </w:rPr>
        <w:t>, el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 área de residencia urban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>a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 o rural</w:t>
      </w:r>
      <w:r w:rsidR="00641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vivir o no con 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>lo</w:t>
      </w:r>
      <w:r w:rsidR="00740F0A">
        <w:rPr>
          <w:rFonts w:ascii="Times New Roman" w:eastAsia="Times New Roman" w:hAnsi="Times New Roman" w:cs="Times New Roman"/>
          <w:sz w:val="24"/>
          <w:szCs w:val="24"/>
        </w:rPr>
        <w:t xml:space="preserve">s padres, y el apoyo social de la familia, amistades y otros significativos. </w:t>
      </w:r>
      <w:r w:rsidR="009B3574">
        <w:rPr>
          <w:rFonts w:ascii="Times New Roman" w:eastAsia="Times New Roman" w:hAnsi="Times New Roman" w:cs="Times New Roman"/>
          <w:sz w:val="24"/>
          <w:szCs w:val="24"/>
        </w:rPr>
        <w:t>La mayoría de</w:t>
      </w:r>
      <w:r w:rsidR="004E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01D">
        <w:rPr>
          <w:rFonts w:ascii="Times New Roman" w:eastAsia="Times New Roman" w:hAnsi="Times New Roman" w:cs="Times New Roman"/>
          <w:sz w:val="24"/>
          <w:szCs w:val="24"/>
        </w:rPr>
        <w:t>los estudiantes</w:t>
      </w:r>
      <w:r w:rsidR="004E0FE0">
        <w:rPr>
          <w:rFonts w:ascii="Times New Roman" w:eastAsia="Times New Roman" w:hAnsi="Times New Roman" w:cs="Times New Roman"/>
          <w:sz w:val="24"/>
          <w:szCs w:val="24"/>
        </w:rPr>
        <w:t xml:space="preserve"> universitarios se encuentra en la etapa de la adultez emergente, un periodo que abarca de los 18 a los 30 años (</w:t>
      </w:r>
      <w:proofErr w:type="spellStart"/>
      <w:r w:rsidR="004E0FE0">
        <w:rPr>
          <w:rFonts w:ascii="Times New Roman" w:eastAsia="Times New Roman" w:hAnsi="Times New Roman" w:cs="Times New Roman"/>
          <w:sz w:val="24"/>
          <w:szCs w:val="24"/>
        </w:rPr>
        <w:t>Arnett</w:t>
      </w:r>
      <w:proofErr w:type="spellEnd"/>
      <w:r w:rsidR="004E0FE0">
        <w:rPr>
          <w:rFonts w:ascii="Times New Roman" w:eastAsia="Times New Roman" w:hAnsi="Times New Roman" w:cs="Times New Roman"/>
          <w:sz w:val="24"/>
          <w:szCs w:val="24"/>
        </w:rPr>
        <w:t xml:space="preserve">, 2000) que </w:t>
      </w:r>
      <w:r w:rsidR="00C348B6">
        <w:rPr>
          <w:rFonts w:ascii="Times New Roman" w:eastAsia="Times New Roman" w:hAnsi="Times New Roman" w:cs="Times New Roman"/>
          <w:sz w:val="24"/>
          <w:szCs w:val="24"/>
        </w:rPr>
        <w:t>conlleva una creciente independencia de los padres, la conformación de otros vínculos sociales y la exploración de distintos aspectos de la identidad</w:t>
      </w:r>
      <w:r w:rsidR="004E0F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48B6"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Barrera-Herrera </w:t>
      </w:r>
      <w:r w:rsidR="00C348B6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C348B6"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2017</w:t>
      </w:r>
      <w:r w:rsidR="00C348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E0FE0">
        <w:rPr>
          <w:rFonts w:ascii="Times New Roman" w:eastAsia="Times New Roman" w:hAnsi="Times New Roman" w:cs="Times New Roman"/>
          <w:sz w:val="24"/>
          <w:szCs w:val="24"/>
        </w:rPr>
        <w:t xml:space="preserve">Matos et al., 2015). </w:t>
      </w:r>
      <w:r w:rsidR="001E5671">
        <w:rPr>
          <w:rFonts w:ascii="Times New Roman" w:eastAsia="Times New Roman" w:hAnsi="Times New Roman" w:cs="Times New Roman"/>
          <w:sz w:val="24"/>
          <w:szCs w:val="24"/>
        </w:rPr>
        <w:t>Así, las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r w:rsidR="001E5671">
        <w:rPr>
          <w:rFonts w:ascii="Times New Roman" w:eastAsia="Times New Roman" w:hAnsi="Times New Roman" w:cs="Times New Roman"/>
          <w:sz w:val="24"/>
          <w:szCs w:val="24"/>
        </w:rPr>
        <w:t xml:space="preserve">mencionadas </w:t>
      </w:r>
      <w:r w:rsidR="00791058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relevantes en </w:t>
      </w:r>
      <w:r w:rsidR="00791058">
        <w:rPr>
          <w:rFonts w:ascii="Times New Roman" w:eastAsia="Times New Roman" w:hAnsi="Times New Roman" w:cs="Times New Roman"/>
          <w:sz w:val="24"/>
          <w:szCs w:val="24"/>
        </w:rPr>
        <w:t xml:space="preserve">población universitaria </w:t>
      </w:r>
      <w:r w:rsidR="001E5671">
        <w:rPr>
          <w:rFonts w:ascii="Times New Roman" w:eastAsia="Times New Roman" w:hAnsi="Times New Roman" w:cs="Times New Roman"/>
          <w:sz w:val="24"/>
          <w:szCs w:val="24"/>
        </w:rPr>
        <w:t>LGBTQI+</w:t>
      </w:r>
      <w:r w:rsidR="00EC4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058">
        <w:rPr>
          <w:rFonts w:ascii="Times New Roman" w:eastAsia="Times New Roman" w:hAnsi="Times New Roman" w:cs="Times New Roman"/>
          <w:sz w:val="24"/>
          <w:szCs w:val="24"/>
        </w:rPr>
        <w:t>pues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 xml:space="preserve"> la exploración de su identidad sexual, como</w:t>
      </w:r>
      <w:r w:rsidR="00977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72B">
        <w:rPr>
          <w:rFonts w:ascii="Times New Roman" w:eastAsia="Times New Roman" w:hAnsi="Times New Roman" w:cs="Times New Roman"/>
          <w:sz w:val="24"/>
          <w:szCs w:val="24"/>
        </w:rPr>
        <w:t xml:space="preserve">desafío propio de </w:t>
      </w:r>
      <w:r w:rsidR="00977F3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535288">
        <w:rPr>
          <w:rFonts w:ascii="Times New Roman" w:eastAsia="Times New Roman" w:hAnsi="Times New Roman" w:cs="Times New Roman"/>
          <w:sz w:val="24"/>
          <w:szCs w:val="24"/>
        </w:rPr>
        <w:t>adultez emergente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63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suele 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ocurr</w:t>
      </w:r>
      <w:r w:rsidR="00F063A3">
        <w:rPr>
          <w:rFonts w:ascii="Times New Roman" w:eastAsia="Times New Roman" w:hAnsi="Times New Roman" w:cs="Times New Roman"/>
          <w:sz w:val="24"/>
          <w:szCs w:val="24"/>
        </w:rPr>
        <w:t>ir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en un entorno social 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hostil ante</w:t>
      </w:r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identidades 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>Barrientos et al., 202</w:t>
      </w:r>
      <w:r w:rsidR="006C0F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15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Feinstein et al., 2019; </w:t>
      </w:r>
      <w:proofErr w:type="spellStart"/>
      <w:r w:rsidR="00FF5A0C">
        <w:rPr>
          <w:rFonts w:ascii="Times New Roman" w:eastAsia="Times New Roman" w:hAnsi="Times New Roman" w:cs="Times New Roman"/>
          <w:sz w:val="24"/>
          <w:szCs w:val="24"/>
        </w:rPr>
        <w:t>Goulet</w:t>
      </w:r>
      <w:proofErr w:type="spellEnd"/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FF5A0C">
        <w:rPr>
          <w:rFonts w:ascii="Times New Roman" w:eastAsia="Times New Roman" w:hAnsi="Times New Roman" w:cs="Times New Roman"/>
          <w:sz w:val="24"/>
          <w:szCs w:val="24"/>
        </w:rPr>
        <w:t>Villatte</w:t>
      </w:r>
      <w:proofErr w:type="spellEnd"/>
      <w:r w:rsidR="00FF5A0C">
        <w:rPr>
          <w:rFonts w:ascii="Times New Roman" w:eastAsia="Times New Roman" w:hAnsi="Times New Roman" w:cs="Times New Roman"/>
          <w:sz w:val="24"/>
          <w:szCs w:val="24"/>
        </w:rPr>
        <w:t xml:space="preserve">, 2019). </w:t>
      </w:r>
    </w:p>
    <w:p w14:paraId="4CFC2B08" w14:textId="0F54587B" w:rsidR="00FF7661" w:rsidRDefault="00FF7661" w:rsidP="00F957F2">
      <w:pPr>
        <w:tabs>
          <w:tab w:val="left" w:pos="118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050C8F" w14:textId="03497D22" w:rsidR="000A47BF" w:rsidRPr="00123D5D" w:rsidRDefault="00A510A2" w:rsidP="00F957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La r</w:t>
      </w:r>
      <w:r w:rsidR="008E1B7D"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evelación de la orientación sexual en la adultez emergente</w:t>
      </w:r>
    </w:p>
    <w:p w14:paraId="432D835A" w14:textId="6D74EBD8" w:rsidR="000604AA" w:rsidRPr="005723A5" w:rsidRDefault="000A47BF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a adultez emergente </w:t>
      </w:r>
      <w:r w:rsidR="0042137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una etapa propia de sociedades industrializadas</w:t>
      </w:r>
      <w:r w:rsidR="00421377" w:rsidRPr="00421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77">
        <w:rPr>
          <w:rFonts w:ascii="Times New Roman" w:eastAsia="Times New Roman" w:hAnsi="Times New Roman" w:cs="Times New Roman"/>
          <w:sz w:val="24"/>
          <w:szCs w:val="24"/>
        </w:rPr>
        <w:t xml:space="preserve">que abarca </w:t>
      </w:r>
      <w:r w:rsidR="00421377" w:rsidRPr="005723A5">
        <w:rPr>
          <w:rFonts w:ascii="Times New Roman" w:eastAsia="Times New Roman" w:hAnsi="Times New Roman" w:cs="Times New Roman"/>
          <w:sz w:val="24"/>
          <w:szCs w:val="24"/>
        </w:rPr>
        <w:t>desde la adolescencia tardía hacia los treinta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637E9">
        <w:rPr>
          <w:rFonts w:ascii="Times New Roman" w:eastAsia="Times New Roman" w:hAnsi="Times New Roman" w:cs="Times New Roman"/>
          <w:sz w:val="24"/>
          <w:szCs w:val="24"/>
        </w:rPr>
        <w:t>Arnett</w:t>
      </w:r>
      <w:proofErr w:type="spellEnd"/>
      <w:r w:rsidR="006637E9">
        <w:rPr>
          <w:rFonts w:ascii="Times New Roman" w:eastAsia="Times New Roman" w:hAnsi="Times New Roman" w:cs="Times New Roman"/>
          <w:sz w:val="24"/>
          <w:szCs w:val="24"/>
        </w:rPr>
        <w:t>, 2000)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>Investigaciones</w:t>
      </w:r>
      <w:r w:rsidR="00F17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F17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7E9">
        <w:rPr>
          <w:rFonts w:ascii="Times New Roman" w:eastAsia="Times New Roman" w:hAnsi="Times New Roman" w:cs="Times New Roman"/>
          <w:sz w:val="24"/>
          <w:szCs w:val="24"/>
        </w:rPr>
        <w:t xml:space="preserve">estudiantes </w:t>
      </w:r>
      <w:r w:rsidR="00A75BCA">
        <w:rPr>
          <w:rFonts w:ascii="Times New Roman" w:eastAsia="Times New Roman" w:hAnsi="Times New Roman" w:cs="Times New Roman"/>
          <w:sz w:val="24"/>
          <w:szCs w:val="24"/>
        </w:rPr>
        <w:t>universitarios chilenos</w:t>
      </w:r>
      <w:r w:rsidR="00F1774D">
        <w:rPr>
          <w:rFonts w:ascii="Times New Roman" w:eastAsia="Times New Roman" w:hAnsi="Times New Roman" w:cs="Times New Roman"/>
          <w:sz w:val="24"/>
          <w:szCs w:val="24"/>
        </w:rPr>
        <w:t xml:space="preserve"> indican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r w:rsidR="00F1774D">
        <w:rPr>
          <w:rFonts w:ascii="Times New Roman" w:eastAsia="Times New Roman" w:hAnsi="Times New Roman" w:cs="Times New Roman"/>
          <w:sz w:val="24"/>
          <w:szCs w:val="24"/>
        </w:rPr>
        <w:t xml:space="preserve"> propias de esta etapa</w:t>
      </w:r>
      <w:r w:rsidR="00DC7254">
        <w:rPr>
          <w:rFonts w:ascii="Times New Roman" w:eastAsia="Times New Roman" w:hAnsi="Times New Roman" w:cs="Times New Roman"/>
          <w:sz w:val="24"/>
          <w:szCs w:val="24"/>
        </w:rPr>
        <w:t xml:space="preserve">, como los ajustes en la relación con los padres y la salida del hogar, y la exploración de la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identidad, </w:t>
      </w:r>
      <w:r w:rsidR="00DC725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afectividad y </w:t>
      </w:r>
      <w:r w:rsidR="00DC725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sexualidad (Barrera-Herrera 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2017). </w:t>
      </w:r>
      <w:r w:rsidR="00A278EE">
        <w:rPr>
          <w:rFonts w:ascii="Times New Roman" w:eastAsia="Times New Roman" w:hAnsi="Times New Roman" w:cs="Times New Roman"/>
          <w:sz w:val="24"/>
          <w:szCs w:val="24"/>
        </w:rPr>
        <w:t>Relacionado a esto último, l</w:t>
      </w:r>
      <w:r w:rsidR="001C14E9">
        <w:rPr>
          <w:rFonts w:ascii="Times New Roman" w:eastAsia="Times New Roman" w:hAnsi="Times New Roman" w:cs="Times New Roman"/>
          <w:sz w:val="24"/>
          <w:szCs w:val="24"/>
        </w:rPr>
        <w:t>os conceptos de orientación e identidad sexual son multidimensionales e incluyen atracción, comportamiento e identidad (</w:t>
      </w:r>
      <w:proofErr w:type="spellStart"/>
      <w:r w:rsidR="001C14E9">
        <w:rPr>
          <w:rFonts w:ascii="Times New Roman" w:eastAsia="Times New Roman" w:hAnsi="Times New Roman" w:cs="Times New Roman"/>
          <w:sz w:val="24"/>
          <w:szCs w:val="24"/>
        </w:rPr>
        <w:t>Galupo</w:t>
      </w:r>
      <w:proofErr w:type="spellEnd"/>
      <w:r w:rsidR="001C14E9">
        <w:rPr>
          <w:rFonts w:ascii="Times New Roman" w:eastAsia="Times New Roman" w:hAnsi="Times New Roman" w:cs="Times New Roman"/>
          <w:sz w:val="24"/>
          <w:szCs w:val="24"/>
        </w:rPr>
        <w:t xml:space="preserve">, 2018). </w:t>
      </w:r>
      <w:r w:rsidR="000604AA" w:rsidRPr="005723A5">
        <w:rPr>
          <w:rFonts w:ascii="Times New Roman" w:eastAsia="Times New Roman" w:hAnsi="Times New Roman" w:cs="Times New Roman"/>
          <w:sz w:val="24"/>
          <w:szCs w:val="24"/>
        </w:rPr>
        <w:t>La orientación sexual</w:t>
      </w:r>
      <w:r w:rsidR="001C14E9">
        <w:rPr>
          <w:rFonts w:ascii="Times New Roman" w:eastAsia="Times New Roman" w:hAnsi="Times New Roman" w:cs="Times New Roman"/>
          <w:sz w:val="24"/>
          <w:szCs w:val="24"/>
        </w:rPr>
        <w:t xml:space="preserve"> se entiende como </w:t>
      </w:r>
      <w:r w:rsidR="000604AA" w:rsidRPr="005723A5">
        <w:rPr>
          <w:rFonts w:ascii="Times New Roman" w:eastAsia="Times New Roman" w:hAnsi="Times New Roman" w:cs="Times New Roman"/>
          <w:sz w:val="24"/>
          <w:szCs w:val="24"/>
        </w:rPr>
        <w:t>la atracción afectiva y sexual hacia otras personas</w:t>
      </w:r>
      <w:r w:rsidR="00616EFC">
        <w:rPr>
          <w:rFonts w:ascii="Times New Roman" w:eastAsia="Times New Roman" w:hAnsi="Times New Roman" w:cs="Times New Roman"/>
          <w:sz w:val="24"/>
          <w:szCs w:val="24"/>
        </w:rPr>
        <w:t xml:space="preserve"> (Ellis et al., 2020; </w:t>
      </w:r>
      <w:proofErr w:type="spellStart"/>
      <w:r w:rsidR="00616EFC">
        <w:rPr>
          <w:rFonts w:ascii="Times New Roman" w:eastAsia="Times New Roman" w:hAnsi="Times New Roman" w:cs="Times New Roman"/>
          <w:sz w:val="24"/>
          <w:szCs w:val="24"/>
        </w:rPr>
        <w:t>Galupo</w:t>
      </w:r>
      <w:proofErr w:type="spellEnd"/>
      <w:r w:rsidR="00616EFC">
        <w:rPr>
          <w:rFonts w:ascii="Times New Roman" w:eastAsia="Times New Roman" w:hAnsi="Times New Roman" w:cs="Times New Roman"/>
          <w:sz w:val="24"/>
          <w:szCs w:val="24"/>
        </w:rPr>
        <w:t>, 2018)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>. Esta atracción puede experimentarse hacia un género distinto al propio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076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>heterosexualidad; hacia el mismo género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 homosexualidad</w:t>
      </w:r>
      <w:r w:rsidR="000064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06407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006407">
        <w:rPr>
          <w:rFonts w:ascii="Times New Roman" w:eastAsia="Times New Roman" w:hAnsi="Times New Roman" w:cs="Times New Roman"/>
          <w:sz w:val="24"/>
          <w:szCs w:val="24"/>
        </w:rPr>
        <w:t xml:space="preserve"> y lesbianas)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>;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 hacia más de un género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 bisexualidad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 xml:space="preserve"> y otras orientaciones plurisexuales </w:t>
      </w:r>
      <w:r w:rsidR="00655DA4">
        <w:rPr>
          <w:rFonts w:ascii="Times New Roman" w:eastAsia="Times New Roman" w:hAnsi="Times New Roman" w:cs="Times New Roman"/>
          <w:sz w:val="24"/>
          <w:szCs w:val="24"/>
        </w:rPr>
        <w:t xml:space="preserve">(ver </w:t>
      </w:r>
      <w:r w:rsidR="007422E6" w:rsidRPr="00BD076A">
        <w:rPr>
          <w:rFonts w:ascii="Times New Roman" w:eastAsia="Times New Roman" w:hAnsi="Times New Roman" w:cs="Times New Roman"/>
          <w:sz w:val="24"/>
          <w:szCs w:val="24"/>
        </w:rPr>
        <w:t xml:space="preserve">Barrientos et al., 2021; </w:t>
      </w:r>
      <w:r w:rsidR="00655DA4">
        <w:rPr>
          <w:rFonts w:ascii="Times New Roman" w:eastAsia="Times New Roman" w:hAnsi="Times New Roman" w:cs="Times New Roman"/>
          <w:sz w:val="24"/>
          <w:szCs w:val="24"/>
        </w:rPr>
        <w:t>Gray &amp; Moore, 2018</w:t>
      </w:r>
      <w:r w:rsidR="007422E6">
        <w:rPr>
          <w:rFonts w:ascii="Times New Roman" w:eastAsia="Times New Roman" w:hAnsi="Times New Roman" w:cs="Times New Roman"/>
          <w:sz w:val="24"/>
          <w:szCs w:val="24"/>
        </w:rPr>
        <w:t>; Orellana et al., en prensa</w:t>
      </w:r>
      <w:r w:rsidR="00655D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>además del espectro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77E">
        <w:rPr>
          <w:rFonts w:ascii="Times New Roman" w:eastAsia="Times New Roman" w:hAnsi="Times New Roman" w:cs="Times New Roman"/>
          <w:sz w:val="24"/>
          <w:szCs w:val="24"/>
        </w:rPr>
        <w:t>de la</w:t>
      </w:r>
      <w:r w:rsidR="001A24D5">
        <w:rPr>
          <w:rFonts w:ascii="Times New Roman" w:eastAsia="Times New Roman" w:hAnsi="Times New Roman" w:cs="Times New Roman"/>
          <w:sz w:val="24"/>
          <w:szCs w:val="24"/>
        </w:rPr>
        <w:t xml:space="preserve"> asexualidad. 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>Por su parte,</w:t>
      </w:r>
      <w:r w:rsidR="004C6B85">
        <w:rPr>
          <w:rFonts w:ascii="Times New Roman" w:eastAsia="Times New Roman" w:hAnsi="Times New Roman" w:cs="Times New Roman"/>
          <w:sz w:val="24"/>
          <w:szCs w:val="24"/>
        </w:rPr>
        <w:t xml:space="preserve"> la identidad sexual 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>se entiende como</w:t>
      </w:r>
      <w:r w:rsidR="004C6B85">
        <w:rPr>
          <w:rFonts w:ascii="Times New Roman" w:eastAsia="Times New Roman" w:hAnsi="Times New Roman" w:cs="Times New Roman"/>
          <w:sz w:val="24"/>
          <w:szCs w:val="24"/>
        </w:rPr>
        <w:t xml:space="preserve"> el sentido del yo en función de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 xml:space="preserve"> reconocerse como heterosexual, gay</w:t>
      </w:r>
      <w:r w:rsidR="0000640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>lesbiana, bisexual,</w:t>
      </w:r>
      <w:r w:rsidR="004C6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 xml:space="preserve">pansexual, 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>u otr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>a categoría</w:t>
      </w:r>
      <w:r w:rsidR="00714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B85">
        <w:rPr>
          <w:rFonts w:ascii="Times New Roman" w:eastAsia="Times New Roman" w:hAnsi="Times New Roman" w:cs="Times New Roman"/>
          <w:sz w:val="24"/>
          <w:szCs w:val="24"/>
        </w:rPr>
        <w:t>(Ellis et al., 2020)</w:t>
      </w:r>
      <w:r w:rsidR="0085525B" w:rsidRPr="00107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15C0C" w14:textId="64270317" w:rsidR="00A46238" w:rsidRDefault="000A47BF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048DB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C06F00" w:rsidRPr="003048D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3048DB">
        <w:rPr>
          <w:rFonts w:ascii="Times New Roman" w:eastAsia="Times New Roman" w:hAnsi="Times New Roman" w:cs="Times New Roman"/>
          <w:sz w:val="24"/>
          <w:szCs w:val="24"/>
        </w:rPr>
        <w:t>adultez emergente,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F00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personas </w:t>
      </w:r>
      <w:r w:rsidR="00C06F00">
        <w:rPr>
          <w:rFonts w:ascii="Times New Roman" w:eastAsia="Times New Roman" w:hAnsi="Times New Roman" w:cs="Times New Roman"/>
          <w:sz w:val="24"/>
          <w:szCs w:val="24"/>
        </w:rPr>
        <w:t>LGBTIQ+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 más vulnerables a </w:t>
      </w:r>
      <w:r w:rsidR="000604AA">
        <w:rPr>
          <w:rFonts w:ascii="Times New Roman" w:eastAsia="Times New Roman" w:hAnsi="Times New Roman" w:cs="Times New Roman"/>
          <w:sz w:val="24"/>
          <w:szCs w:val="24"/>
        </w:rPr>
        <w:t>experimentar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dificultades de ajuste</w:t>
      </w:r>
      <w:r w:rsidR="00436C40">
        <w:rPr>
          <w:rFonts w:ascii="Times New Roman" w:eastAsia="Times New Roman" w:hAnsi="Times New Roman" w:cs="Times New Roman"/>
          <w:sz w:val="24"/>
          <w:szCs w:val="24"/>
        </w:rPr>
        <w:t xml:space="preserve"> que sus pares cisgénero y heterosexuales (</w:t>
      </w:r>
      <w:r w:rsidR="00006407">
        <w:rPr>
          <w:rFonts w:ascii="Times New Roman" w:eastAsia="Times New Roman" w:hAnsi="Times New Roman" w:cs="Times New Roman"/>
          <w:sz w:val="24"/>
          <w:szCs w:val="24"/>
        </w:rPr>
        <w:t xml:space="preserve">Feinstein et al., 2019; </w:t>
      </w:r>
      <w:proofErr w:type="spellStart"/>
      <w:r w:rsidR="00436C40">
        <w:rPr>
          <w:rFonts w:ascii="Times New Roman" w:eastAsia="Times New Roman" w:hAnsi="Times New Roman" w:cs="Times New Roman"/>
          <w:sz w:val="24"/>
          <w:szCs w:val="24"/>
        </w:rPr>
        <w:t>Goulet</w:t>
      </w:r>
      <w:proofErr w:type="spellEnd"/>
      <w:r w:rsidR="00436C40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436C40">
        <w:rPr>
          <w:rFonts w:ascii="Times New Roman" w:eastAsia="Times New Roman" w:hAnsi="Times New Roman" w:cs="Times New Roman"/>
          <w:sz w:val="24"/>
          <w:szCs w:val="24"/>
        </w:rPr>
        <w:t>Villatte</w:t>
      </w:r>
      <w:proofErr w:type="spellEnd"/>
      <w:r w:rsidR="00436C40">
        <w:rPr>
          <w:rFonts w:ascii="Times New Roman" w:eastAsia="Times New Roman" w:hAnsi="Times New Roman" w:cs="Times New Roman"/>
          <w:sz w:val="24"/>
          <w:szCs w:val="24"/>
        </w:rPr>
        <w:t>, 2019)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7E7A">
        <w:rPr>
          <w:rFonts w:ascii="Times New Roman" w:eastAsia="Times New Roman" w:hAnsi="Times New Roman" w:cs="Times New Roman"/>
          <w:sz w:val="24"/>
          <w:szCs w:val="24"/>
        </w:rPr>
        <w:t>En este sentido,</w:t>
      </w:r>
      <w:r w:rsidR="00EB2183">
        <w:rPr>
          <w:rFonts w:ascii="Times New Roman" w:eastAsia="Times New Roman" w:hAnsi="Times New Roman" w:cs="Times New Roman"/>
          <w:sz w:val="24"/>
          <w:szCs w:val="24"/>
        </w:rPr>
        <w:t xml:space="preserve"> la Teoría de Estrés de Minorías </w:t>
      </w:r>
      <w:r w:rsidR="00FC7E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Meyer</w:t>
      </w:r>
      <w:r w:rsidR="00FC7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2003</w:t>
      </w:r>
      <w:r w:rsidR="00D4431A">
        <w:rPr>
          <w:rFonts w:ascii="Times New Roman" w:eastAsia="Times New Roman" w:hAnsi="Times New Roman" w:cs="Times New Roman"/>
          <w:sz w:val="24"/>
          <w:szCs w:val="24"/>
        </w:rPr>
        <w:t>; Meyer et al., 2021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31A">
        <w:rPr>
          <w:rFonts w:ascii="Times New Roman" w:eastAsia="Times New Roman" w:hAnsi="Times New Roman" w:cs="Times New Roman"/>
          <w:sz w:val="24"/>
          <w:szCs w:val="24"/>
        </w:rPr>
        <w:t xml:space="preserve"> sostiene que las fuentes de 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estrés adicional que </w:t>
      </w:r>
      <w:r w:rsidR="00D4431A">
        <w:rPr>
          <w:rFonts w:ascii="Times New Roman" w:eastAsia="Times New Roman" w:hAnsi="Times New Roman" w:cs="Times New Roman"/>
          <w:sz w:val="24"/>
          <w:szCs w:val="24"/>
        </w:rPr>
        <w:t xml:space="preserve">experimentan las personas de minorías 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estigmatizadas</w:t>
      </w:r>
      <w:r w:rsidR="00D4431A">
        <w:rPr>
          <w:rFonts w:ascii="Times New Roman" w:eastAsia="Times New Roman" w:hAnsi="Times New Roman" w:cs="Times New Roman"/>
          <w:sz w:val="24"/>
          <w:szCs w:val="24"/>
        </w:rPr>
        <w:t xml:space="preserve"> se encuentran en el entorno social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0C7">
        <w:rPr>
          <w:rFonts w:ascii="Times New Roman" w:eastAsia="Times New Roman" w:hAnsi="Times New Roman" w:cs="Times New Roman"/>
          <w:sz w:val="24"/>
          <w:szCs w:val="24"/>
        </w:rPr>
        <w:t>El estrés de minorías se compone de factores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distales y proximales</w:t>
      </w:r>
      <w:r w:rsidR="001570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570C7" w:rsidRPr="005723A5">
        <w:rPr>
          <w:rFonts w:ascii="Times New Roman" w:eastAsia="Times New Roman" w:hAnsi="Times New Roman" w:cs="Times New Roman"/>
          <w:sz w:val="24"/>
          <w:szCs w:val="24"/>
        </w:rPr>
        <w:t>Meyer</w:t>
      </w:r>
      <w:r w:rsidR="001570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0C7" w:rsidRPr="005723A5">
        <w:rPr>
          <w:rFonts w:ascii="Times New Roman" w:eastAsia="Times New Roman" w:hAnsi="Times New Roman" w:cs="Times New Roman"/>
          <w:sz w:val="24"/>
          <w:szCs w:val="24"/>
        </w:rPr>
        <w:t>2003)</w:t>
      </w:r>
      <w:r w:rsidR="000064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Las fuentes de estrés distales </w:t>
      </w:r>
      <w:r w:rsidR="001570C7">
        <w:rPr>
          <w:rFonts w:ascii="Times New Roman" w:eastAsia="Times New Roman" w:hAnsi="Times New Roman" w:cs="Times New Roman"/>
          <w:sz w:val="24"/>
          <w:szCs w:val="24"/>
        </w:rPr>
        <w:t>son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acontecimientos y condiciones </w:t>
      </w:r>
      <w:r w:rsidR="00A278EE">
        <w:rPr>
          <w:rFonts w:ascii="Times New Roman" w:eastAsia="Times New Roman" w:hAnsi="Times New Roman" w:cs="Times New Roman"/>
          <w:sz w:val="24"/>
          <w:szCs w:val="24"/>
        </w:rPr>
        <w:t>amenazantes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 w:rsidR="00006407">
        <w:rPr>
          <w:rFonts w:ascii="Times New Roman" w:eastAsia="Times New Roman" w:hAnsi="Times New Roman" w:cs="Times New Roman"/>
          <w:sz w:val="24"/>
          <w:szCs w:val="24"/>
        </w:rPr>
        <w:t xml:space="preserve"> el acoso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>y las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actitudes heterosexistas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las fuentes de estrés proximales son </w:t>
      </w:r>
      <w:r w:rsidR="001570C7">
        <w:rPr>
          <w:rFonts w:ascii="Times New Roman" w:eastAsia="Times New Roman" w:hAnsi="Times New Roman" w:cs="Times New Roman"/>
          <w:sz w:val="24"/>
          <w:szCs w:val="24"/>
        </w:rPr>
        <w:t>internas al individuo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>y entre ellas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34E">
        <w:rPr>
          <w:rFonts w:ascii="Times New Roman" w:eastAsia="Times New Roman" w:hAnsi="Times New Roman" w:cs="Times New Roman"/>
          <w:sz w:val="24"/>
          <w:szCs w:val="24"/>
        </w:rPr>
        <w:t xml:space="preserve">destaca </w:t>
      </w:r>
      <w:r w:rsidR="00B13CA4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436C40" w:rsidRPr="005723A5">
        <w:rPr>
          <w:rFonts w:ascii="Times New Roman" w:eastAsia="Times New Roman" w:hAnsi="Times New Roman" w:cs="Times New Roman"/>
          <w:sz w:val="24"/>
          <w:szCs w:val="24"/>
        </w:rPr>
        <w:t>ocultamiento de la identidad sexual.</w:t>
      </w:r>
      <w:r w:rsidR="00E8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213747" w14:textId="2A8B8474" w:rsidR="00157CC8" w:rsidRDefault="007200E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0A08DD">
        <w:rPr>
          <w:rFonts w:ascii="Times New Roman" w:eastAsia="Times New Roman" w:hAnsi="Times New Roman" w:cs="Times New Roman"/>
          <w:sz w:val="24"/>
          <w:szCs w:val="24"/>
        </w:rPr>
        <w:t>a revelación</w:t>
      </w:r>
      <w:r w:rsidR="0087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orientación </w:t>
      </w:r>
      <w:r w:rsidR="00870E4B">
        <w:rPr>
          <w:rFonts w:ascii="Times New Roman" w:eastAsia="Times New Roman" w:hAnsi="Times New Roman" w:cs="Times New Roman"/>
          <w:sz w:val="24"/>
          <w:szCs w:val="24"/>
        </w:rPr>
        <w:t xml:space="preserve">puede traer tanto beneficios como </w:t>
      </w:r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>consecuencias negativas (</w:t>
      </w:r>
      <w:r w:rsidR="0065587F">
        <w:rPr>
          <w:rFonts w:ascii="Times New Roman" w:eastAsia="Times New Roman" w:hAnsi="Times New Roman" w:cs="Times New Roman"/>
          <w:sz w:val="24"/>
          <w:szCs w:val="24"/>
        </w:rPr>
        <w:t xml:space="preserve">Ellis et al., 2020; </w:t>
      </w:r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 xml:space="preserve">Feinstein et al., 2019; </w:t>
      </w:r>
      <w:proofErr w:type="spellStart"/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>Pachankis</w:t>
      </w:r>
      <w:proofErr w:type="spellEnd"/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1B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>Bränström</w:t>
      </w:r>
      <w:proofErr w:type="spellEnd"/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0A08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65EB9" w:rsidRPr="00E469A7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2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5DC">
        <w:rPr>
          <w:rFonts w:ascii="Times New Roman" w:eastAsia="Times New Roman" w:hAnsi="Times New Roman" w:cs="Times New Roman"/>
          <w:sz w:val="24"/>
          <w:szCs w:val="24"/>
        </w:rPr>
        <w:t xml:space="preserve">Estudios </w:t>
      </w:r>
      <w:r w:rsidR="00D65E59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2261D8">
        <w:rPr>
          <w:rFonts w:ascii="Times New Roman" w:eastAsia="Times New Roman" w:hAnsi="Times New Roman" w:cs="Times New Roman"/>
          <w:sz w:val="24"/>
          <w:szCs w:val="24"/>
        </w:rPr>
        <w:t xml:space="preserve">América Latina </w:t>
      </w:r>
      <w:r w:rsidR="00157C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5E59" w:rsidRPr="005723A5">
        <w:rPr>
          <w:rFonts w:ascii="Times New Roman" w:eastAsia="Times New Roman" w:hAnsi="Times New Roman" w:cs="Times New Roman"/>
          <w:sz w:val="24"/>
          <w:szCs w:val="24"/>
        </w:rPr>
        <w:t>Rodríguez-Bustamante et al.</w:t>
      </w:r>
      <w:r w:rsidR="00D65E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5E59" w:rsidRPr="005723A5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D65E5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65E59" w:rsidRPr="005723A5">
        <w:rPr>
          <w:rFonts w:ascii="Times New Roman" w:eastAsia="Times New Roman" w:hAnsi="Times New Roman" w:cs="Times New Roman"/>
          <w:sz w:val="24"/>
          <w:szCs w:val="24"/>
        </w:rPr>
        <w:t>Sánchez et al., 2018</w:t>
      </w:r>
      <w:r w:rsidR="00D65E59">
        <w:rPr>
          <w:rFonts w:ascii="Times New Roman" w:eastAsia="Times New Roman" w:hAnsi="Times New Roman" w:cs="Times New Roman"/>
          <w:sz w:val="24"/>
          <w:szCs w:val="24"/>
        </w:rPr>
        <w:t xml:space="preserve">; Silva, 2018; </w:t>
      </w:r>
      <w:r w:rsidR="00157CC8" w:rsidRPr="005723A5">
        <w:rPr>
          <w:rFonts w:ascii="Times New Roman" w:eastAsia="Times New Roman" w:hAnsi="Times New Roman" w:cs="Times New Roman"/>
          <w:sz w:val="24"/>
          <w:szCs w:val="24"/>
        </w:rPr>
        <w:t>Zambrano et al.</w:t>
      </w:r>
      <w:r w:rsidR="00157C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CC8" w:rsidRPr="005723A5">
        <w:rPr>
          <w:rFonts w:ascii="Times New Roman" w:eastAsia="Times New Roman" w:hAnsi="Times New Roman" w:cs="Times New Roman"/>
          <w:sz w:val="24"/>
          <w:szCs w:val="24"/>
        </w:rPr>
        <w:t xml:space="preserve">2017) </w:t>
      </w:r>
      <w:r w:rsidR="00E20F26">
        <w:rPr>
          <w:rFonts w:ascii="Times New Roman" w:eastAsia="Times New Roman" w:hAnsi="Times New Roman" w:cs="Times New Roman"/>
          <w:sz w:val="24"/>
          <w:szCs w:val="24"/>
        </w:rPr>
        <w:t xml:space="preserve">muestran que revelar la orientación sexual implica exponerse a </w:t>
      </w:r>
      <w:r w:rsidR="00157CC8">
        <w:rPr>
          <w:rFonts w:ascii="Times New Roman" w:eastAsia="Times New Roman" w:hAnsi="Times New Roman" w:cs="Times New Roman"/>
          <w:sz w:val="24"/>
          <w:szCs w:val="24"/>
        </w:rPr>
        <w:t>estereotipos, prejuicios y discriminación por parte de la familia y amistades</w:t>
      </w:r>
      <w:r w:rsidR="00E20F26">
        <w:rPr>
          <w:rFonts w:ascii="Times New Roman" w:eastAsia="Times New Roman" w:hAnsi="Times New Roman" w:cs="Times New Roman"/>
          <w:sz w:val="24"/>
          <w:szCs w:val="24"/>
        </w:rPr>
        <w:t xml:space="preserve">, así como a la </w:t>
      </w:r>
      <w:r w:rsidR="00157CC8" w:rsidRPr="005723A5">
        <w:rPr>
          <w:rFonts w:ascii="Times New Roman" w:eastAsia="Times New Roman" w:hAnsi="Times New Roman" w:cs="Times New Roman"/>
          <w:sz w:val="24"/>
          <w:szCs w:val="24"/>
        </w:rPr>
        <w:t>desprotección económica y legal.</w:t>
      </w:r>
      <w:r w:rsidR="00157CC8" w:rsidRPr="00F66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AA222B" w14:textId="4F5653D5" w:rsidR="00157CC8" w:rsidRDefault="00E73F28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 </w:t>
      </w:r>
      <w:r w:rsidR="00B17FCA">
        <w:rPr>
          <w:rFonts w:ascii="Times New Roman" w:eastAsia="Times New Roman" w:hAnsi="Times New Roman" w:cs="Times New Roman"/>
          <w:sz w:val="24"/>
          <w:szCs w:val="24"/>
        </w:rPr>
        <w:t xml:space="preserve">mayoría de </w:t>
      </w:r>
      <w:r w:rsidR="00133ABE">
        <w:rPr>
          <w:rFonts w:ascii="Times New Roman" w:eastAsia="Times New Roman" w:hAnsi="Times New Roman" w:cs="Times New Roman"/>
          <w:sz w:val="24"/>
          <w:szCs w:val="24"/>
        </w:rPr>
        <w:t>estos</w:t>
      </w:r>
      <w:r w:rsidR="00B17FCA">
        <w:rPr>
          <w:rFonts w:ascii="Times New Roman" w:eastAsia="Times New Roman" w:hAnsi="Times New Roman" w:cs="Times New Roman"/>
          <w:sz w:val="24"/>
          <w:szCs w:val="24"/>
        </w:rPr>
        <w:t xml:space="preserve"> estudios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centra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lesbianas. 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>A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 nivel cultural (Matos et al., 2015</w:t>
      </w:r>
      <w:r w:rsidR="00B17FCA">
        <w:rPr>
          <w:rFonts w:ascii="Times New Roman" w:eastAsia="Times New Roman" w:hAnsi="Times New Roman" w:cs="Times New Roman"/>
          <w:sz w:val="24"/>
          <w:szCs w:val="24"/>
        </w:rPr>
        <w:t>; Perera &amp; Arenas, 2019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A6E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 la academia (</w:t>
      </w:r>
      <w:proofErr w:type="spellStart"/>
      <w:r w:rsidR="005F4F80">
        <w:rPr>
          <w:rFonts w:ascii="Times New Roman" w:eastAsia="Times New Roman" w:hAnsi="Times New Roman" w:cs="Times New Roman"/>
          <w:sz w:val="24"/>
          <w:szCs w:val="24"/>
        </w:rPr>
        <w:t>Monro</w:t>
      </w:r>
      <w:proofErr w:type="spellEnd"/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 et al., 2017) persiste </w:t>
      </w:r>
      <w:r w:rsidR="006C2416">
        <w:rPr>
          <w:rFonts w:ascii="Times New Roman" w:eastAsia="Times New Roman" w:hAnsi="Times New Roman" w:cs="Times New Roman"/>
          <w:sz w:val="24"/>
          <w:szCs w:val="24"/>
        </w:rPr>
        <w:t>la óptica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 xml:space="preserve"> heterosexual-homosexual, que omite las experiencias de personas bisexuales y de otras orientaciones no heterosexuales</w:t>
      </w:r>
      <w:r w:rsidR="00E36A7F">
        <w:rPr>
          <w:rFonts w:ascii="Times New Roman" w:eastAsia="Times New Roman" w:hAnsi="Times New Roman" w:cs="Times New Roman"/>
          <w:sz w:val="24"/>
          <w:szCs w:val="24"/>
        </w:rPr>
        <w:t xml:space="preserve"> (tanto cisgénero como transgénero y no binarias, 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E36A7F">
        <w:rPr>
          <w:rFonts w:ascii="Times New Roman" w:eastAsia="Times New Roman" w:hAnsi="Times New Roman" w:cs="Times New Roman"/>
          <w:sz w:val="24"/>
          <w:szCs w:val="24"/>
        </w:rPr>
        <w:t>, 2015)</w:t>
      </w:r>
      <w:r w:rsidR="005F4F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>D</w:t>
      </w:r>
      <w:r w:rsidR="00F45C83" w:rsidRPr="004E42A3">
        <w:rPr>
          <w:rFonts w:ascii="Times New Roman" w:eastAsia="Times New Roman" w:hAnsi="Times New Roman" w:cs="Times New Roman"/>
          <w:sz w:val="24"/>
          <w:szCs w:val="24"/>
        </w:rPr>
        <w:t xml:space="preserve">esde poblaciones heterosexuales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>y</w:t>
      </w:r>
      <w:r w:rsidR="00F45C83" w:rsidRPr="004E42A3">
        <w:rPr>
          <w:rFonts w:ascii="Times New Roman" w:eastAsia="Times New Roman" w:hAnsi="Times New Roman" w:cs="Times New Roman"/>
          <w:sz w:val="24"/>
          <w:szCs w:val="24"/>
        </w:rPr>
        <w:t xml:space="preserve"> homosexuales, la bisexualidad se invisibiliza o se reconoce de modo negativo</w:t>
      </w:r>
      <w:r w:rsidR="00402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02691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402691">
        <w:rPr>
          <w:rFonts w:ascii="Times New Roman" w:eastAsia="Times New Roman" w:hAnsi="Times New Roman" w:cs="Times New Roman"/>
          <w:sz w:val="24"/>
          <w:szCs w:val="24"/>
        </w:rPr>
        <w:t xml:space="preserve">., una fase, negación de la sexualidad “verdadera”, promiscuidad, </w:t>
      </w:r>
      <w:r w:rsidR="00F45C83" w:rsidRPr="004E42A3">
        <w:rPr>
          <w:rFonts w:ascii="Times New Roman" w:eastAsia="Times New Roman" w:hAnsi="Times New Roman" w:cs="Times New Roman"/>
          <w:sz w:val="24"/>
          <w:szCs w:val="24"/>
        </w:rPr>
        <w:t>Feinstein et al., 2016</w:t>
      </w:r>
      <w:r w:rsidR="00E265A6">
        <w:rPr>
          <w:rFonts w:ascii="Times New Roman" w:eastAsia="Times New Roman" w:hAnsi="Times New Roman" w:cs="Times New Roman"/>
          <w:sz w:val="24"/>
          <w:szCs w:val="24"/>
        </w:rPr>
        <w:t>; Perera &amp; Arenas, 2019</w:t>
      </w:r>
      <w:r w:rsidR="00F45C83" w:rsidRPr="004E42A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45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416">
        <w:rPr>
          <w:rFonts w:ascii="Times New Roman" w:eastAsia="Times New Roman" w:hAnsi="Times New Roman" w:cs="Times New Roman"/>
          <w:sz w:val="24"/>
          <w:szCs w:val="24"/>
        </w:rPr>
        <w:t>Así</w:t>
      </w:r>
      <w:r w:rsidR="00F45C83">
        <w:rPr>
          <w:rFonts w:ascii="Times New Roman" w:eastAsia="Times New Roman" w:hAnsi="Times New Roman" w:cs="Times New Roman"/>
          <w:sz w:val="24"/>
          <w:szCs w:val="24"/>
        </w:rPr>
        <w:t>, las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 personas bisexuales </w:t>
      </w:r>
      <w:r w:rsidR="00A276CC">
        <w:rPr>
          <w:rFonts w:ascii="Times New Roman" w:eastAsia="Times New Roman" w:hAnsi="Times New Roman" w:cs="Times New Roman"/>
          <w:sz w:val="24"/>
          <w:szCs w:val="24"/>
        </w:rPr>
        <w:t>revelan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EF43BE">
        <w:rPr>
          <w:rFonts w:ascii="Times New Roman" w:eastAsia="Times New Roman" w:hAnsi="Times New Roman" w:cs="Times New Roman"/>
          <w:sz w:val="24"/>
          <w:szCs w:val="24"/>
        </w:rPr>
        <w:t>orientación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r w:rsidR="00EF43BE">
        <w:rPr>
          <w:rFonts w:ascii="Times New Roman" w:eastAsia="Times New Roman" w:hAnsi="Times New Roman" w:cs="Times New Roman"/>
          <w:sz w:val="24"/>
          <w:szCs w:val="24"/>
        </w:rPr>
        <w:t xml:space="preserve">menos 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 w:rsidR="00EF43BE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EF43BE">
        <w:rPr>
          <w:rFonts w:ascii="Times New Roman" w:eastAsia="Times New Roman" w:hAnsi="Times New Roman" w:cs="Times New Roman"/>
          <w:sz w:val="24"/>
          <w:szCs w:val="24"/>
        </w:rPr>
        <w:t xml:space="preserve"> y lesbianas 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para evitar </w:t>
      </w:r>
      <w:r w:rsidR="005A3E95">
        <w:rPr>
          <w:rFonts w:ascii="Times New Roman" w:eastAsia="Times New Roman" w:hAnsi="Times New Roman" w:cs="Times New Roman"/>
          <w:sz w:val="24"/>
          <w:szCs w:val="24"/>
        </w:rPr>
        <w:t>prejuicios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, o deben revelarla con mayor frecuencia pues su orientación sexual </w:t>
      </w:r>
      <w:r w:rsidR="00D7242F">
        <w:rPr>
          <w:rFonts w:ascii="Times New Roman" w:eastAsia="Times New Roman" w:hAnsi="Times New Roman" w:cs="Times New Roman"/>
          <w:sz w:val="24"/>
          <w:szCs w:val="24"/>
        </w:rPr>
        <w:t xml:space="preserve">se asume según 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 xml:space="preserve">el género de su pareja </w:t>
      </w:r>
      <w:r w:rsidR="00A46238" w:rsidRPr="000A47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>Orellana et al., en prensa</w:t>
      </w:r>
      <w:r w:rsidR="00A46238" w:rsidRPr="000A47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45C83" w:rsidRPr="000A47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>Aún más escaso es el conocimiento sobre</w:t>
      </w:r>
      <w:r w:rsidR="005A3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5A3E95">
        <w:rPr>
          <w:rFonts w:ascii="Times New Roman" w:eastAsia="Times New Roman" w:hAnsi="Times New Roman" w:cs="Times New Roman"/>
          <w:sz w:val="24"/>
          <w:szCs w:val="24"/>
        </w:rPr>
        <w:t xml:space="preserve">revelación en personas pansexuales, asexuales, demisexuales y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A3E95">
        <w:rPr>
          <w:rFonts w:ascii="Times New Roman" w:eastAsia="Times New Roman" w:hAnsi="Times New Roman" w:cs="Times New Roman"/>
          <w:sz w:val="24"/>
          <w:szCs w:val="24"/>
        </w:rPr>
        <w:t xml:space="preserve">otras orientaciones/identidades no heterosexuales, lo cual constituye un interés emergente en la literatura (Gray &amp; Moore, 2018). </w:t>
      </w:r>
    </w:p>
    <w:p w14:paraId="6CA832BF" w14:textId="437B4C24" w:rsidR="000A47BF" w:rsidRDefault="007200E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Adolescentes y adultos emergentes </w:t>
      </w:r>
      <w:r w:rsidR="00910348"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C46738">
        <w:rPr>
          <w:rFonts w:ascii="Times New Roman" w:eastAsia="Times New Roman" w:hAnsi="Times New Roman" w:cs="Times New Roman"/>
          <w:sz w:val="24"/>
          <w:szCs w:val="24"/>
        </w:rPr>
        <w:t xml:space="preserve"> pueden ocultar su orientación sexual para preservar su </w:t>
      </w:r>
      <w:r w:rsidR="009B0708">
        <w:rPr>
          <w:rFonts w:ascii="Times New Roman" w:eastAsia="Times New Roman" w:hAnsi="Times New Roman" w:cs="Times New Roman"/>
          <w:sz w:val="24"/>
          <w:szCs w:val="24"/>
        </w:rPr>
        <w:t>bienestar</w:t>
      </w:r>
      <w:r w:rsidR="00C4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2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042B9">
        <w:rPr>
          <w:rFonts w:ascii="Times New Roman" w:eastAsia="Times New Roman" w:hAnsi="Times New Roman" w:cs="Times New Roman"/>
          <w:sz w:val="24"/>
          <w:szCs w:val="24"/>
        </w:rPr>
        <w:t>Goulet</w:t>
      </w:r>
      <w:proofErr w:type="spellEnd"/>
      <w:r w:rsidR="00D042B9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D042B9">
        <w:rPr>
          <w:rFonts w:ascii="Times New Roman" w:eastAsia="Times New Roman" w:hAnsi="Times New Roman" w:cs="Times New Roman"/>
          <w:sz w:val="24"/>
          <w:szCs w:val="24"/>
        </w:rPr>
        <w:t>Villatte</w:t>
      </w:r>
      <w:proofErr w:type="spellEnd"/>
      <w:r w:rsidR="00D042B9">
        <w:rPr>
          <w:rFonts w:ascii="Times New Roman" w:eastAsia="Times New Roman" w:hAnsi="Times New Roman" w:cs="Times New Roman"/>
          <w:sz w:val="24"/>
          <w:szCs w:val="24"/>
        </w:rPr>
        <w:t>, 2019)</w:t>
      </w:r>
      <w:r w:rsidR="00F93EBB">
        <w:rPr>
          <w:rFonts w:ascii="Times New Roman" w:eastAsia="Times New Roman" w:hAnsi="Times New Roman" w:cs="Times New Roman"/>
          <w:sz w:val="24"/>
          <w:szCs w:val="24"/>
        </w:rPr>
        <w:t>, priorizando otros factores protectores como las</w:t>
      </w:r>
      <w:r w:rsidR="00837FFA">
        <w:rPr>
          <w:rFonts w:ascii="Times New Roman" w:eastAsia="Times New Roman" w:hAnsi="Times New Roman" w:cs="Times New Roman"/>
          <w:sz w:val="24"/>
          <w:szCs w:val="24"/>
        </w:rPr>
        <w:t xml:space="preserve"> relaciones positivas con su familia o la estabilidad económica (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837FFA">
        <w:rPr>
          <w:rFonts w:ascii="Times New Roman" w:eastAsia="Times New Roman" w:hAnsi="Times New Roman" w:cs="Times New Roman"/>
          <w:sz w:val="24"/>
          <w:szCs w:val="24"/>
        </w:rPr>
        <w:t>, 2015)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3A81">
        <w:rPr>
          <w:rFonts w:ascii="Times New Roman" w:eastAsia="Times New Roman" w:hAnsi="Times New Roman" w:cs="Times New Roman"/>
          <w:sz w:val="24"/>
          <w:szCs w:val="24"/>
        </w:rPr>
        <w:t xml:space="preserve">En el caso de las personas bisexuales, la revelación de su orientación sexual acarrea consecuencias negativas que no enfrentan </w:t>
      </w:r>
      <w:proofErr w:type="spellStart"/>
      <w:r w:rsidR="00F862B1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F862B1">
        <w:rPr>
          <w:rFonts w:ascii="Times New Roman" w:eastAsia="Times New Roman" w:hAnsi="Times New Roman" w:cs="Times New Roman"/>
          <w:sz w:val="24"/>
          <w:szCs w:val="24"/>
        </w:rPr>
        <w:t xml:space="preserve"> y lesbianas (Feinstein et al., 201</w:t>
      </w:r>
      <w:r w:rsidR="006C0F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862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, mientras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B17FCA">
        <w:rPr>
          <w:rFonts w:ascii="Times New Roman" w:eastAsia="Times New Roman" w:hAnsi="Times New Roman" w:cs="Times New Roman"/>
          <w:sz w:val="24"/>
          <w:szCs w:val="24"/>
        </w:rPr>
        <w:t>estas consecuencias no muestran un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 patrón claro entre </w:t>
      </w:r>
      <w:r w:rsidR="006C2416">
        <w:rPr>
          <w:rFonts w:ascii="Times New Roman" w:eastAsia="Times New Roman" w:hAnsi="Times New Roman" w:cs="Times New Roman"/>
          <w:sz w:val="24"/>
          <w:szCs w:val="24"/>
        </w:rPr>
        <w:t>personas</w:t>
      </w:r>
      <w:r w:rsidR="00C47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41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C47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otras </w:t>
      </w:r>
      <w:r w:rsidR="00C4734C">
        <w:rPr>
          <w:rFonts w:ascii="Times New Roman" w:eastAsia="Times New Roman" w:hAnsi="Times New Roman" w:cs="Times New Roman"/>
          <w:sz w:val="24"/>
          <w:szCs w:val="24"/>
        </w:rPr>
        <w:t xml:space="preserve">orientaciones no heterosexuales (Barrientos et al., 2021; Gray &amp; Moore, 2018; 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BA6F0A">
        <w:rPr>
          <w:rFonts w:ascii="Times New Roman" w:eastAsia="Times New Roman" w:hAnsi="Times New Roman" w:cs="Times New Roman"/>
          <w:sz w:val="24"/>
          <w:szCs w:val="24"/>
        </w:rPr>
        <w:t xml:space="preserve">, 2015; </w:t>
      </w:r>
      <w:r w:rsidR="00C4734C">
        <w:rPr>
          <w:rFonts w:ascii="Times New Roman" w:eastAsia="Times New Roman" w:hAnsi="Times New Roman" w:cs="Times New Roman"/>
          <w:sz w:val="24"/>
          <w:szCs w:val="24"/>
        </w:rPr>
        <w:t>Orellana et al., en prensa)</w:t>
      </w:r>
      <w:r w:rsidR="004713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7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F0A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1D33D9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BA6F0A">
        <w:rPr>
          <w:rFonts w:ascii="Times New Roman" w:eastAsia="Times New Roman" w:hAnsi="Times New Roman" w:cs="Times New Roman"/>
          <w:sz w:val="24"/>
          <w:szCs w:val="24"/>
        </w:rPr>
        <w:t>conjunto, la literatura señala que l</w:t>
      </w:r>
      <w:r w:rsidR="00161910">
        <w:rPr>
          <w:rFonts w:ascii="Times New Roman" w:eastAsia="Times New Roman" w:hAnsi="Times New Roman" w:cs="Times New Roman"/>
          <w:sz w:val="24"/>
          <w:szCs w:val="24"/>
        </w:rPr>
        <w:t xml:space="preserve">a revelación de la orientación sexual </w:t>
      </w:r>
      <w:r>
        <w:rPr>
          <w:rFonts w:ascii="Times New Roman" w:eastAsia="Times New Roman" w:hAnsi="Times New Roman" w:cs="Times New Roman"/>
          <w:sz w:val="24"/>
          <w:szCs w:val="24"/>
        </w:rPr>
        <w:t>trae</w:t>
      </w:r>
      <w:r w:rsidR="00161910">
        <w:rPr>
          <w:rFonts w:ascii="Times New Roman" w:eastAsia="Times New Roman" w:hAnsi="Times New Roman" w:cs="Times New Roman"/>
          <w:sz w:val="24"/>
          <w:szCs w:val="24"/>
        </w:rPr>
        <w:t xml:space="preserve"> resultados positivos </w:t>
      </w:r>
      <w:r w:rsidR="00F85102">
        <w:rPr>
          <w:rFonts w:ascii="Times New Roman" w:eastAsia="Times New Roman" w:hAnsi="Times New Roman" w:cs="Times New Roman"/>
          <w:sz w:val="24"/>
          <w:szCs w:val="24"/>
        </w:rPr>
        <w:t>cuando</w:t>
      </w:r>
      <w:r w:rsidR="00161910">
        <w:rPr>
          <w:rFonts w:ascii="Times New Roman" w:eastAsia="Times New Roman" w:hAnsi="Times New Roman" w:cs="Times New Roman"/>
          <w:sz w:val="24"/>
          <w:szCs w:val="24"/>
        </w:rPr>
        <w:t xml:space="preserve"> el entorno social </w:t>
      </w:r>
      <w:r w:rsidR="00BA6F0A">
        <w:rPr>
          <w:rFonts w:ascii="Times New Roman" w:eastAsia="Times New Roman" w:hAnsi="Times New Roman" w:cs="Times New Roman"/>
          <w:sz w:val="24"/>
          <w:szCs w:val="24"/>
        </w:rPr>
        <w:t>acept</w:t>
      </w:r>
      <w:r w:rsidR="00F851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A6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 xml:space="preserve">personas </w:t>
      </w:r>
      <w:r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A47BF">
        <w:rPr>
          <w:rFonts w:ascii="Times New Roman" w:eastAsia="Times New Roman" w:hAnsi="Times New Roman" w:cs="Times New Roman"/>
          <w:sz w:val="24"/>
          <w:szCs w:val="24"/>
        </w:rPr>
        <w:t>Goulet</w:t>
      </w:r>
      <w:proofErr w:type="spellEnd"/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0A47BF">
        <w:rPr>
          <w:rFonts w:ascii="Times New Roman" w:eastAsia="Times New Roman" w:hAnsi="Times New Roman" w:cs="Times New Roman"/>
          <w:sz w:val="24"/>
          <w:szCs w:val="24"/>
        </w:rPr>
        <w:t>Villatte</w:t>
      </w:r>
      <w:proofErr w:type="spellEnd"/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, 2019). </w:t>
      </w:r>
    </w:p>
    <w:p w14:paraId="3189B126" w14:textId="77777777" w:rsidR="00157CC8" w:rsidRDefault="00157CC8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1919EF4" w14:textId="3BDC39D1" w:rsidR="004D7F0F" w:rsidRPr="00123D5D" w:rsidRDefault="001D33D9" w:rsidP="00F957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La revelación de la orientación sexual según contexto de residencia y apoyo social</w:t>
      </w:r>
    </w:p>
    <w:p w14:paraId="441C1728" w14:textId="2D84AFFB" w:rsidR="005C3267" w:rsidRDefault="008616F3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acuerdo con la Teoría del Manejo de la Identidad, l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as personas LGBTIQ+ aplican estrategias 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decidir en qué contextos 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“salir del closet” </w:t>
      </w:r>
      <w:r w:rsidR="00777456" w:rsidRPr="001073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5182A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="00D43821">
        <w:rPr>
          <w:rFonts w:ascii="Times New Roman" w:eastAsia="Times New Roman" w:hAnsi="Times New Roman" w:cs="Times New Roman"/>
          <w:sz w:val="24"/>
          <w:szCs w:val="24"/>
        </w:rPr>
        <w:t>Guittar</w:t>
      </w:r>
      <w:proofErr w:type="spellEnd"/>
      <w:r w:rsidR="00D43821">
        <w:rPr>
          <w:rFonts w:ascii="Times New Roman" w:eastAsia="Times New Roman" w:hAnsi="Times New Roman" w:cs="Times New Roman"/>
          <w:sz w:val="24"/>
          <w:szCs w:val="24"/>
        </w:rPr>
        <w:t xml:space="preserve"> &amp; Rayburn, 2016; </w:t>
      </w:r>
      <w:r w:rsidR="00777456" w:rsidRPr="0010738F">
        <w:rPr>
          <w:rFonts w:ascii="Times New Roman" w:eastAsia="Times New Roman" w:hAnsi="Times New Roman" w:cs="Times New Roman"/>
          <w:sz w:val="24"/>
          <w:szCs w:val="24"/>
        </w:rPr>
        <w:t>Schmitz &amp; Tyler, 2018)</w:t>
      </w:r>
      <w:r w:rsidR="005C3267" w:rsidRPr="007774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obstante, se 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>sabe poco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sobre el impacto de distintos entornos sociales en las estrategias del manejo de la </w:t>
      </w:r>
      <w:r w:rsidR="00777456">
        <w:rPr>
          <w:rFonts w:ascii="Times New Roman" w:eastAsia="Times New Roman" w:hAnsi="Times New Roman" w:cs="Times New Roman"/>
          <w:sz w:val="24"/>
          <w:szCs w:val="24"/>
        </w:rPr>
        <w:t xml:space="preserve">identidad de jóvenes LGBTIQ+ </w:t>
      </w:r>
      <w:r w:rsidR="00777456" w:rsidRPr="0010738F">
        <w:rPr>
          <w:rFonts w:ascii="Times New Roman" w:eastAsia="Times New Roman" w:hAnsi="Times New Roman" w:cs="Times New Roman"/>
          <w:sz w:val="24"/>
          <w:szCs w:val="24"/>
        </w:rPr>
        <w:t>(Schmitz &amp; Tyler, 2018)</w:t>
      </w:r>
      <w:r w:rsidR="005C3267" w:rsidRPr="007774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>t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>ocimiento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 xml:space="preserve"> es esencial pues revelar la orientación sexual, más que ser un tránsito lineal “de la vergüenza al orgullo” (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>, 2015)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 xml:space="preserve"> es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>ejercicio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constante 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>de a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>utonomía</w:t>
      </w:r>
      <w:r w:rsidR="00777456" w:rsidRPr="00777456">
        <w:rPr>
          <w:rFonts w:ascii="Times New Roman" w:eastAsia="Times New Roman" w:hAnsi="Times New Roman" w:cs="Times New Roman"/>
          <w:sz w:val="24"/>
          <w:szCs w:val="24"/>
        </w:rPr>
        <w:t xml:space="preserve"> que depende de </w:t>
      </w:r>
      <w:r w:rsidR="00D5182A">
        <w:rPr>
          <w:rFonts w:ascii="Times New Roman" w:eastAsia="Times New Roman" w:hAnsi="Times New Roman" w:cs="Times New Roman"/>
          <w:sz w:val="24"/>
          <w:szCs w:val="24"/>
        </w:rPr>
        <w:t>las esferas sociales en las que se mueve la persona</w:t>
      </w:r>
      <w:r w:rsidR="00777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56" w:rsidRPr="001073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5182A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D5182A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r w:rsidR="00777456" w:rsidRPr="0010738F">
        <w:rPr>
          <w:rFonts w:ascii="Times New Roman" w:eastAsia="Times New Roman" w:hAnsi="Times New Roman" w:cs="Times New Roman"/>
          <w:sz w:val="24"/>
          <w:szCs w:val="24"/>
        </w:rPr>
        <w:t>Schmitz &amp; Tyler, 2018)</w:t>
      </w:r>
      <w:r w:rsidR="007774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3110E2" w14:textId="621C1618" w:rsidR="008616F3" w:rsidRDefault="008616F3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>factor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 xml:space="preserve">relevante en </w:t>
      </w:r>
      <w:r w:rsidR="000301A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 xml:space="preserve"> revelación </w:t>
      </w:r>
      <w:r>
        <w:rPr>
          <w:rFonts w:ascii="Times New Roman" w:eastAsia="Times New Roman" w:hAnsi="Times New Roman" w:cs="Times New Roman"/>
          <w:sz w:val="24"/>
          <w:szCs w:val="24"/>
        </w:rPr>
        <w:t>es el área de residencia</w:t>
      </w:r>
      <w:r w:rsidR="003A7D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F">
        <w:rPr>
          <w:rFonts w:ascii="Times New Roman" w:eastAsia="Times New Roman" w:hAnsi="Times New Roman" w:cs="Times New Roman"/>
          <w:sz w:val="24"/>
          <w:szCs w:val="24"/>
        </w:rPr>
        <w:t xml:space="preserve">Diversos estudios </w:t>
      </w:r>
      <w:r w:rsidR="00AE770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3821">
        <w:rPr>
          <w:rFonts w:ascii="Times New Roman" w:eastAsia="Times New Roman" w:hAnsi="Times New Roman" w:cs="Times New Roman"/>
          <w:sz w:val="24"/>
          <w:szCs w:val="24"/>
        </w:rPr>
        <w:t>estacan</w:t>
      </w:r>
      <w:r w:rsidR="00AE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E31">
        <w:rPr>
          <w:rFonts w:ascii="Times New Roman" w:eastAsia="Times New Roman" w:hAnsi="Times New Roman" w:cs="Times New Roman"/>
          <w:sz w:val="24"/>
          <w:szCs w:val="24"/>
        </w:rPr>
        <w:t xml:space="preserve">la necesidad de </w:t>
      </w:r>
      <w:r w:rsidR="00F47E31" w:rsidRPr="005723A5">
        <w:rPr>
          <w:rFonts w:ascii="Times New Roman" w:eastAsia="Times New Roman" w:hAnsi="Times New Roman" w:cs="Times New Roman"/>
          <w:sz w:val="24"/>
          <w:szCs w:val="24"/>
        </w:rPr>
        <w:t>las personas LGBTIQ+</w:t>
      </w:r>
      <w:r w:rsidR="00F47E31">
        <w:rPr>
          <w:rFonts w:ascii="Times New Roman" w:eastAsia="Times New Roman" w:hAnsi="Times New Roman" w:cs="Times New Roman"/>
          <w:sz w:val="24"/>
          <w:szCs w:val="24"/>
        </w:rPr>
        <w:t xml:space="preserve"> de migrar del ámbito rural al urbano</w:t>
      </w:r>
      <w:r w:rsidR="00AE7704">
        <w:rPr>
          <w:rFonts w:ascii="Times New Roman" w:eastAsia="Times New Roman" w:hAnsi="Times New Roman" w:cs="Times New Roman"/>
          <w:sz w:val="24"/>
          <w:szCs w:val="24"/>
        </w:rPr>
        <w:t xml:space="preserve">, pues el </w:t>
      </w:r>
      <w:r w:rsidR="00AE7704">
        <w:rPr>
          <w:rFonts w:ascii="Times New Roman" w:eastAsia="Times New Roman" w:hAnsi="Times New Roman" w:cs="Times New Roman"/>
          <w:sz w:val="24"/>
          <w:szCs w:val="24"/>
        </w:rPr>
        <w:lastRenderedPageBreak/>
        <w:t>segundo permite</w:t>
      </w:r>
      <w:r w:rsidR="000D351F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r w:rsidR="007E05BD">
        <w:rPr>
          <w:rFonts w:ascii="Times New Roman" w:eastAsia="Times New Roman" w:hAnsi="Times New Roman" w:cs="Times New Roman"/>
          <w:sz w:val="24"/>
          <w:szCs w:val="24"/>
        </w:rPr>
        <w:t xml:space="preserve">libre </w:t>
      </w:r>
      <w:r w:rsidR="000D351F">
        <w:rPr>
          <w:rFonts w:ascii="Times New Roman" w:eastAsia="Times New Roman" w:hAnsi="Times New Roman" w:cs="Times New Roman"/>
          <w:sz w:val="24"/>
          <w:szCs w:val="24"/>
        </w:rPr>
        <w:t xml:space="preserve">desarrollo </w:t>
      </w:r>
      <w:r w:rsidR="00F47E31">
        <w:rPr>
          <w:rFonts w:ascii="Times New Roman" w:eastAsia="Times New Roman" w:hAnsi="Times New Roman" w:cs="Times New Roman"/>
          <w:sz w:val="24"/>
          <w:szCs w:val="24"/>
        </w:rPr>
        <w:t xml:space="preserve">y expresión </w:t>
      </w:r>
      <w:r w:rsidR="000D351F">
        <w:rPr>
          <w:rFonts w:ascii="Times New Roman" w:eastAsia="Times New Roman" w:hAnsi="Times New Roman" w:cs="Times New Roman"/>
          <w:sz w:val="24"/>
          <w:szCs w:val="24"/>
        </w:rPr>
        <w:t>de la identidad sexual</w:t>
      </w:r>
      <w:r w:rsidR="00F47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F" w:rsidRPr="005723A5">
        <w:rPr>
          <w:rFonts w:ascii="Times New Roman" w:eastAsia="Times New Roman" w:hAnsi="Times New Roman" w:cs="Times New Roman"/>
          <w:sz w:val="24"/>
          <w:szCs w:val="24"/>
        </w:rPr>
        <w:t>(Barrientos</w:t>
      </w:r>
      <w:r w:rsidR="000D351F">
        <w:rPr>
          <w:rFonts w:ascii="Times New Roman" w:eastAsia="Times New Roman" w:hAnsi="Times New Roman" w:cs="Times New Roman"/>
          <w:sz w:val="24"/>
          <w:szCs w:val="24"/>
        </w:rPr>
        <w:t>-Delgado</w:t>
      </w:r>
      <w:r w:rsidR="000D351F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2014; </w:t>
      </w:r>
      <w:proofErr w:type="spellStart"/>
      <w:r w:rsidR="007E05BD">
        <w:rPr>
          <w:rFonts w:ascii="Times New Roman" w:eastAsia="Times New Roman" w:hAnsi="Times New Roman" w:cs="Times New Roman"/>
          <w:sz w:val="24"/>
          <w:szCs w:val="24"/>
        </w:rPr>
        <w:t>Giano</w:t>
      </w:r>
      <w:proofErr w:type="spellEnd"/>
      <w:r w:rsidR="007E05BD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="000D351F" w:rsidRPr="005723A5">
        <w:rPr>
          <w:rFonts w:ascii="Times New Roman" w:eastAsia="Times New Roman" w:hAnsi="Times New Roman" w:cs="Times New Roman"/>
          <w:sz w:val="24"/>
          <w:szCs w:val="24"/>
        </w:rPr>
        <w:t>McGlynn</w:t>
      </w:r>
      <w:proofErr w:type="spellEnd"/>
      <w:r w:rsidR="000D351F" w:rsidRPr="005723A5">
        <w:rPr>
          <w:rFonts w:ascii="Times New Roman" w:eastAsia="Times New Roman" w:hAnsi="Times New Roman" w:cs="Times New Roman"/>
          <w:sz w:val="24"/>
          <w:szCs w:val="24"/>
        </w:rPr>
        <w:t>, 2018).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101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3001">
        <w:rPr>
          <w:rFonts w:ascii="Times New Roman" w:eastAsia="Times New Roman" w:hAnsi="Times New Roman" w:cs="Times New Roman"/>
          <w:sz w:val="24"/>
          <w:szCs w:val="24"/>
        </w:rPr>
        <w:t xml:space="preserve">tros estudios 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>cuestionan</w:t>
      </w:r>
      <w:r w:rsidR="003D3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esta narrativa al encontrar que,</w:t>
      </w:r>
      <w:r w:rsidR="00B069C5">
        <w:rPr>
          <w:rFonts w:ascii="Times New Roman" w:eastAsia="Times New Roman" w:hAnsi="Times New Roman" w:cs="Times New Roman"/>
          <w:sz w:val="24"/>
          <w:szCs w:val="24"/>
        </w:rPr>
        <w:t xml:space="preserve"> para personas LGBTIQ+ del área rural, la ciudad puede resultarles disonante con sus propias identidades (</w:t>
      </w:r>
      <w:proofErr w:type="spellStart"/>
      <w:r w:rsidR="007037E5">
        <w:rPr>
          <w:rFonts w:ascii="Times New Roman" w:eastAsia="Times New Roman" w:hAnsi="Times New Roman" w:cs="Times New Roman"/>
          <w:sz w:val="24"/>
          <w:szCs w:val="24"/>
        </w:rPr>
        <w:t>Annes</w:t>
      </w:r>
      <w:proofErr w:type="spellEnd"/>
      <w:r w:rsidR="0070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9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703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7E5">
        <w:rPr>
          <w:rFonts w:ascii="Times New Roman" w:eastAsia="Times New Roman" w:hAnsi="Times New Roman" w:cs="Times New Roman"/>
          <w:sz w:val="24"/>
          <w:szCs w:val="24"/>
        </w:rPr>
        <w:t>Redlin</w:t>
      </w:r>
      <w:proofErr w:type="spellEnd"/>
      <w:r w:rsidR="00B069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37E5">
        <w:rPr>
          <w:rFonts w:ascii="Times New Roman" w:eastAsia="Times New Roman" w:hAnsi="Times New Roman" w:cs="Times New Roman"/>
          <w:sz w:val="24"/>
          <w:szCs w:val="24"/>
        </w:rPr>
        <w:t xml:space="preserve">2012). </w:t>
      </w:r>
      <w:r w:rsidR="00BC6A5C">
        <w:rPr>
          <w:rFonts w:ascii="Times New Roman" w:eastAsia="Times New Roman" w:hAnsi="Times New Roman" w:cs="Times New Roman"/>
          <w:sz w:val="24"/>
          <w:szCs w:val="24"/>
        </w:rPr>
        <w:t xml:space="preserve">Asimismo, </w:t>
      </w:r>
      <w:proofErr w:type="spellStart"/>
      <w:r w:rsidR="00BC6A5C">
        <w:rPr>
          <w:rFonts w:ascii="Times New Roman" w:eastAsia="Times New Roman" w:hAnsi="Times New Roman" w:cs="Times New Roman"/>
          <w:sz w:val="24"/>
          <w:szCs w:val="24"/>
        </w:rPr>
        <w:t>Giano</w:t>
      </w:r>
      <w:proofErr w:type="spellEnd"/>
      <w:r w:rsidR="00BC6A5C">
        <w:rPr>
          <w:rFonts w:ascii="Times New Roman" w:eastAsia="Times New Roman" w:hAnsi="Times New Roman" w:cs="Times New Roman"/>
          <w:sz w:val="24"/>
          <w:szCs w:val="24"/>
        </w:rPr>
        <w:t xml:space="preserve"> et al. (2020) señalan que l</w:t>
      </w:r>
      <w:r w:rsidR="003D3001">
        <w:rPr>
          <w:rFonts w:ascii="Times New Roman" w:eastAsia="Times New Roman" w:hAnsi="Times New Roman" w:cs="Times New Roman"/>
          <w:sz w:val="24"/>
          <w:szCs w:val="24"/>
        </w:rPr>
        <w:t>a mayoría de los estudios con población LGBTIQ+ se realiza en el ámbito urbano</w:t>
      </w:r>
      <w:r w:rsidR="00BC6A5C">
        <w:rPr>
          <w:rFonts w:ascii="Times New Roman" w:eastAsia="Times New Roman" w:hAnsi="Times New Roman" w:cs="Times New Roman"/>
          <w:sz w:val="24"/>
          <w:szCs w:val="24"/>
        </w:rPr>
        <w:t xml:space="preserve">, pero </w:t>
      </w:r>
      <w:r w:rsidR="007656AA">
        <w:rPr>
          <w:rFonts w:ascii="Times New Roman" w:eastAsia="Times New Roman" w:hAnsi="Times New Roman" w:cs="Times New Roman"/>
          <w:sz w:val="24"/>
          <w:szCs w:val="24"/>
        </w:rPr>
        <w:t>l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a ruralidad no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 homogénea</w:t>
      </w:r>
      <w:r w:rsidR="00624B90">
        <w:rPr>
          <w:rFonts w:ascii="Times New Roman" w:eastAsia="Times New Roman" w:hAnsi="Times New Roman" w:cs="Times New Roman"/>
          <w:sz w:val="24"/>
          <w:szCs w:val="24"/>
        </w:rPr>
        <w:t xml:space="preserve">: áreas urbanas pueden encontrarse en regiones conservadoras 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>que rechazan</w:t>
      </w:r>
      <w:r w:rsidR="00624B90">
        <w:rPr>
          <w:rFonts w:ascii="Times New Roman" w:eastAsia="Times New Roman" w:hAnsi="Times New Roman" w:cs="Times New Roman"/>
          <w:sz w:val="24"/>
          <w:szCs w:val="24"/>
        </w:rPr>
        <w:t xml:space="preserve"> las identidades LGBTIQ+, mientras que 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624B90">
        <w:rPr>
          <w:rFonts w:ascii="Times New Roman" w:eastAsia="Times New Roman" w:hAnsi="Times New Roman" w:cs="Times New Roman"/>
          <w:sz w:val="24"/>
          <w:szCs w:val="24"/>
        </w:rPr>
        <w:t xml:space="preserve">áreas rurales 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pueden 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>encontrarse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 factor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 protector</w:t>
      </w:r>
      <w:r w:rsidR="004F054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 xml:space="preserve"> de aquellas</w:t>
      </w:r>
      <w:r w:rsidR="000A47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B55336" w14:textId="452D44C9" w:rsidR="00AC1219" w:rsidRDefault="00366641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segundo </w:t>
      </w:r>
      <w:r w:rsidR="00D43821">
        <w:rPr>
          <w:rFonts w:ascii="Times New Roman" w:eastAsia="Times New Roman" w:hAnsi="Times New Roman" w:cs="Times New Roman"/>
          <w:sz w:val="24"/>
          <w:szCs w:val="24"/>
        </w:rPr>
        <w:t>factor contextual importante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la revelación de la orientación sexual, particularmente en la adultez emergente, es </w:t>
      </w:r>
      <w:r w:rsidR="00A46238">
        <w:rPr>
          <w:rFonts w:ascii="Times New Roman" w:eastAsia="Times New Roman" w:hAnsi="Times New Roman" w:cs="Times New Roman"/>
          <w:sz w:val="24"/>
          <w:szCs w:val="24"/>
        </w:rPr>
        <w:t>vivir o no con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padres</w:t>
      </w:r>
      <w:r w:rsidR="00517101">
        <w:rPr>
          <w:rFonts w:ascii="Times New Roman" w:eastAsia="Times New Roman" w:hAnsi="Times New Roman" w:cs="Times New Roman"/>
          <w:sz w:val="24"/>
          <w:szCs w:val="24"/>
        </w:rPr>
        <w:t xml:space="preserve"> (Barrera-Herrera &amp; Vinet, 2017)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186E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0150">
        <w:rPr>
          <w:rFonts w:ascii="Times New Roman" w:eastAsia="Times New Roman" w:hAnsi="Times New Roman" w:cs="Times New Roman"/>
          <w:sz w:val="24"/>
          <w:szCs w:val="24"/>
        </w:rPr>
        <w:t>a familia de origen se considera un</w:t>
      </w:r>
      <w:r w:rsidR="0069660A">
        <w:rPr>
          <w:rFonts w:ascii="Times New Roman" w:eastAsia="Times New Roman" w:hAnsi="Times New Roman" w:cs="Times New Roman"/>
          <w:sz w:val="24"/>
          <w:szCs w:val="24"/>
        </w:rPr>
        <w:t>a fuente</w:t>
      </w:r>
      <w:r w:rsidR="00330150">
        <w:rPr>
          <w:rFonts w:ascii="Times New Roman" w:eastAsia="Times New Roman" w:hAnsi="Times New Roman" w:cs="Times New Roman"/>
          <w:sz w:val="24"/>
          <w:szCs w:val="24"/>
        </w:rPr>
        <w:t xml:space="preserve"> vital </w:t>
      </w:r>
      <w:r w:rsidR="0069660A">
        <w:rPr>
          <w:rFonts w:ascii="Times New Roman" w:eastAsia="Times New Roman" w:hAnsi="Times New Roman" w:cs="Times New Roman"/>
          <w:sz w:val="24"/>
          <w:szCs w:val="24"/>
        </w:rPr>
        <w:t xml:space="preserve">de afecto y cuidado </w:t>
      </w:r>
      <w:r w:rsidR="00330150">
        <w:rPr>
          <w:rFonts w:ascii="Times New Roman" w:eastAsia="Times New Roman" w:hAnsi="Times New Roman" w:cs="Times New Roman"/>
          <w:sz w:val="24"/>
          <w:szCs w:val="24"/>
        </w:rPr>
        <w:t>(Silva, 2018)</w:t>
      </w:r>
      <w:r w:rsidR="006966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60A" w:rsidRPr="003334B8">
        <w:rPr>
          <w:rFonts w:ascii="Times New Roman" w:eastAsia="Times New Roman" w:hAnsi="Times New Roman" w:cs="Times New Roman"/>
          <w:sz w:val="24"/>
          <w:szCs w:val="24"/>
        </w:rPr>
        <w:t>pero también es tradicionalmente una institución protectora de normas sociales relativas a la sexualidad</w:t>
      </w:r>
      <w:r w:rsidR="002C1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10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C186E">
        <w:rPr>
          <w:rFonts w:ascii="Times New Roman" w:eastAsia="Times New Roman" w:hAnsi="Times New Roman" w:cs="Times New Roman"/>
          <w:sz w:val="24"/>
          <w:szCs w:val="24"/>
        </w:rPr>
        <w:t>que sanciona</w:t>
      </w:r>
      <w:r w:rsidR="0069660A" w:rsidRPr="003334B8">
        <w:rPr>
          <w:rFonts w:ascii="Times New Roman" w:eastAsia="Times New Roman" w:hAnsi="Times New Roman" w:cs="Times New Roman"/>
          <w:sz w:val="24"/>
          <w:szCs w:val="24"/>
        </w:rPr>
        <w:t xml:space="preserve"> a los miembros que </w:t>
      </w:r>
      <w:r w:rsidR="002C186E">
        <w:rPr>
          <w:rFonts w:ascii="Times New Roman" w:eastAsia="Times New Roman" w:hAnsi="Times New Roman" w:cs="Times New Roman"/>
          <w:sz w:val="24"/>
          <w:szCs w:val="24"/>
        </w:rPr>
        <w:t>rompen estas</w:t>
      </w:r>
      <w:r w:rsidR="0069660A" w:rsidRPr="003334B8">
        <w:rPr>
          <w:rFonts w:ascii="Times New Roman" w:eastAsia="Times New Roman" w:hAnsi="Times New Roman" w:cs="Times New Roman"/>
          <w:sz w:val="24"/>
          <w:szCs w:val="24"/>
        </w:rPr>
        <w:t xml:space="preserve"> normas (Rodríguez-Bustamante et al., 2019). </w:t>
      </w:r>
      <w:r w:rsidR="00551F91">
        <w:rPr>
          <w:rFonts w:ascii="Times New Roman" w:eastAsia="Times New Roman" w:hAnsi="Times New Roman" w:cs="Times New Roman"/>
          <w:sz w:val="24"/>
          <w:szCs w:val="24"/>
        </w:rPr>
        <w:t xml:space="preserve">Las personas LGBTIQ+ optan por no revelar su orientación sexual por miedo al rechazo 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A207C">
        <w:rPr>
          <w:rFonts w:ascii="Times New Roman" w:eastAsia="Times New Roman" w:hAnsi="Times New Roman" w:cs="Times New Roman"/>
          <w:sz w:val="24"/>
          <w:szCs w:val="24"/>
        </w:rPr>
        <w:t>Grafsky</w:t>
      </w:r>
      <w:proofErr w:type="spellEnd"/>
      <w:r w:rsidR="003A207C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y est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e ocultamiento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más marcad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en personas bisexuales que en </w:t>
      </w:r>
      <w:proofErr w:type="spellStart"/>
      <w:r w:rsidR="00084A5A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y lesbianas (</w:t>
      </w:r>
      <w:proofErr w:type="spellStart"/>
      <w:r w:rsidR="00084A5A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  <w:r w:rsidR="005A6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9EF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n estudio realizado durante la pandemia por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 COVID-19</w:t>
      </w:r>
      <w:r w:rsidR="004E3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>Barrientos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2021) 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mostró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 que jóvenes LGBTIQ+ </w:t>
      </w:r>
      <w:r w:rsidR="002C186E">
        <w:rPr>
          <w:rFonts w:ascii="Times New Roman" w:eastAsia="Times New Roman" w:hAnsi="Times New Roman" w:cs="Times New Roman"/>
          <w:sz w:val="24"/>
          <w:szCs w:val="24"/>
        </w:rPr>
        <w:t xml:space="preserve">chilenos 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viv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ía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A207C" w:rsidRPr="005723A5">
        <w:rPr>
          <w:rFonts w:ascii="Times New Roman" w:eastAsia="Times New Roman" w:hAnsi="Times New Roman" w:cs="Times New Roman"/>
          <w:sz w:val="24"/>
          <w:szCs w:val="24"/>
        </w:rPr>
        <w:t>y depend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ía</w:t>
      </w:r>
      <w:r w:rsidR="003A207C" w:rsidRPr="005723A5">
        <w:rPr>
          <w:rFonts w:ascii="Times New Roman" w:eastAsia="Times New Roman" w:hAnsi="Times New Roman" w:cs="Times New Roman"/>
          <w:sz w:val="24"/>
          <w:szCs w:val="24"/>
        </w:rPr>
        <w:t xml:space="preserve">n económicamente </w:t>
      </w:r>
      <w:r w:rsidR="003A207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 sus padres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reportaron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 mayor malestar emocional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, relacionado con la dificultad para expresa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 xml:space="preserve"> su orientación sexual o de género. En este grupo, las personas bisexuales </w:t>
      </w:r>
      <w:r w:rsidR="00AC1219" w:rsidRPr="005723A5">
        <w:rPr>
          <w:rFonts w:ascii="Times New Roman" w:eastAsia="Times New Roman" w:hAnsi="Times New Roman" w:cs="Times New Roman"/>
          <w:sz w:val="24"/>
          <w:szCs w:val="24"/>
        </w:rPr>
        <w:t xml:space="preserve">y de otras identidades no heterosexuales </w:t>
      </w:r>
      <w:r w:rsidR="00AC1219">
        <w:rPr>
          <w:rFonts w:ascii="Times New Roman" w:eastAsia="Times New Roman" w:hAnsi="Times New Roman" w:cs="Times New Roman"/>
          <w:sz w:val="24"/>
          <w:szCs w:val="24"/>
        </w:rPr>
        <w:t>reportaron mayor afectación</w:t>
      </w:r>
      <w:r w:rsidR="002448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C20A0B" w14:textId="415B5F92" w:rsidR="008E1B7D" w:rsidRDefault="00084A5A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contexto de residencia</w:t>
      </w:r>
      <w:r w:rsidR="006B3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podría vincularse al</w:t>
      </w:r>
      <w:r w:rsidR="009E2043">
        <w:rPr>
          <w:rFonts w:ascii="Times New Roman" w:eastAsia="Times New Roman" w:hAnsi="Times New Roman" w:cs="Times New Roman"/>
          <w:sz w:val="24"/>
          <w:szCs w:val="24"/>
        </w:rPr>
        <w:t xml:space="preserve"> apoyo social que </w:t>
      </w:r>
      <w:r w:rsidR="00DF7A8B">
        <w:rPr>
          <w:rFonts w:ascii="Times New Roman" w:eastAsia="Times New Roman" w:hAnsi="Times New Roman" w:cs="Times New Roman"/>
          <w:sz w:val="24"/>
          <w:szCs w:val="24"/>
        </w:rPr>
        <w:t>perciben</w:t>
      </w:r>
      <w:r w:rsidR="009E2043">
        <w:rPr>
          <w:rFonts w:ascii="Times New Roman" w:eastAsia="Times New Roman" w:hAnsi="Times New Roman" w:cs="Times New Roman"/>
          <w:sz w:val="24"/>
          <w:szCs w:val="24"/>
        </w:rPr>
        <w:t xml:space="preserve"> las personas LGBTIQ+</w:t>
      </w:r>
      <w:r w:rsidR="006B3567">
        <w:rPr>
          <w:rFonts w:ascii="Times New Roman" w:eastAsia="Times New Roman" w:hAnsi="Times New Roman" w:cs="Times New Roman"/>
          <w:sz w:val="24"/>
          <w:szCs w:val="24"/>
        </w:rPr>
        <w:t xml:space="preserve"> para revelar su orientación sexual</w:t>
      </w:r>
      <w:r w:rsidR="00DF7A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1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El apoyo social percibido se entiende como </w:t>
      </w:r>
      <w:r w:rsidR="00DF7A8B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recursos</w:t>
      </w:r>
      <w:r w:rsidR="00710716">
        <w:rPr>
          <w:rFonts w:ascii="Times New Roman" w:eastAsia="Times New Roman" w:hAnsi="Times New Roman" w:cs="Times New Roman"/>
          <w:sz w:val="24"/>
          <w:szCs w:val="24"/>
        </w:rPr>
        <w:t xml:space="preserve"> materiales </w:t>
      </w:r>
      <w:r w:rsidR="00DF7A8B">
        <w:rPr>
          <w:rFonts w:ascii="Times New Roman" w:eastAsia="Times New Roman" w:hAnsi="Times New Roman" w:cs="Times New Roman"/>
          <w:sz w:val="24"/>
          <w:szCs w:val="24"/>
        </w:rPr>
        <w:t>y</w:t>
      </w:r>
      <w:r w:rsidR="00710716">
        <w:rPr>
          <w:rFonts w:ascii="Times New Roman" w:eastAsia="Times New Roman" w:hAnsi="Times New Roman" w:cs="Times New Roman"/>
          <w:sz w:val="24"/>
          <w:szCs w:val="24"/>
        </w:rPr>
        <w:t xml:space="preserve"> afectivos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10716">
        <w:rPr>
          <w:rFonts w:ascii="Times New Roman" w:eastAsia="Times New Roman" w:hAnsi="Times New Roman" w:cs="Times New Roman"/>
          <w:sz w:val="24"/>
          <w:szCs w:val="24"/>
        </w:rPr>
        <w:t>la familia, las amistades y otros significativos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1988). </w:t>
      </w:r>
      <w:r w:rsidR="0038568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46211F">
        <w:rPr>
          <w:rFonts w:ascii="Times New Roman" w:eastAsia="Times New Roman" w:hAnsi="Times New Roman" w:cs="Times New Roman"/>
          <w:sz w:val="24"/>
          <w:szCs w:val="24"/>
        </w:rPr>
        <w:t>estudiantes universitarios, mayor apoyo social percibido se vincula</w:t>
      </w:r>
      <w:r w:rsidR="006E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11F">
        <w:rPr>
          <w:rFonts w:ascii="Times New Roman" w:eastAsia="Times New Roman" w:hAnsi="Times New Roman" w:cs="Times New Roman"/>
          <w:sz w:val="24"/>
          <w:szCs w:val="24"/>
        </w:rPr>
        <w:t>con mejores indicadores de salud mental (</w:t>
      </w:r>
      <w:r w:rsidR="00385681" w:rsidRPr="005723A5">
        <w:rPr>
          <w:rFonts w:ascii="Times New Roman" w:eastAsia="Times New Roman" w:hAnsi="Times New Roman" w:cs="Times New Roman"/>
          <w:sz w:val="24"/>
          <w:szCs w:val="24"/>
        </w:rPr>
        <w:t>Barrera-Herrera</w:t>
      </w:r>
      <w:r w:rsidR="00385681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4621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681" w:rsidRPr="005723A5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46211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Barrera </w:t>
      </w:r>
      <w:r w:rsidR="0046211F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Flores, 2020)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;</w:t>
      </w:r>
      <w:r w:rsidR="00114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148A4">
        <w:rPr>
          <w:rFonts w:ascii="Times New Roman" w:eastAsia="Times New Roman" w:hAnsi="Times New Roman" w:cs="Times New Roman"/>
          <w:sz w:val="24"/>
          <w:szCs w:val="24"/>
        </w:rPr>
        <w:t xml:space="preserve">n universitarios </w:t>
      </w:r>
      <w:proofErr w:type="spellStart"/>
      <w:r w:rsidR="001148A4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1148A4">
        <w:rPr>
          <w:rFonts w:ascii="Times New Roman" w:eastAsia="Times New Roman" w:hAnsi="Times New Roman" w:cs="Times New Roman"/>
          <w:sz w:val="24"/>
          <w:szCs w:val="24"/>
        </w:rPr>
        <w:t xml:space="preserve">, lesbianas, bisexuales y pansexuales, el apoyo social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asocia </w:t>
      </w:r>
      <w:r w:rsidR="001148A4">
        <w:rPr>
          <w:rFonts w:ascii="Times New Roman" w:eastAsia="Times New Roman" w:hAnsi="Times New Roman" w:cs="Times New Roman"/>
          <w:sz w:val="24"/>
          <w:szCs w:val="24"/>
        </w:rPr>
        <w:t>con mayor satisfacción con la vida (Orellana et al., en prensa)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B3567">
        <w:rPr>
          <w:rFonts w:ascii="Times New Roman" w:eastAsia="Times New Roman" w:hAnsi="Times New Roman" w:cs="Times New Roman"/>
          <w:sz w:val="24"/>
          <w:szCs w:val="24"/>
        </w:rPr>
        <w:t>En general, el apoyo social funge como factor protector del bienestar en la adultez emergente (</w:t>
      </w:r>
      <w:proofErr w:type="spellStart"/>
      <w:r w:rsidR="006B3567">
        <w:rPr>
          <w:rFonts w:ascii="Times New Roman" w:eastAsia="Times New Roman" w:hAnsi="Times New Roman" w:cs="Times New Roman"/>
          <w:sz w:val="24"/>
          <w:szCs w:val="24"/>
        </w:rPr>
        <w:t>Goulet</w:t>
      </w:r>
      <w:proofErr w:type="spellEnd"/>
      <w:r w:rsidR="006B3567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6B3567">
        <w:rPr>
          <w:rFonts w:ascii="Times New Roman" w:eastAsia="Times New Roman" w:hAnsi="Times New Roman" w:cs="Times New Roman"/>
          <w:sz w:val="24"/>
          <w:szCs w:val="24"/>
        </w:rPr>
        <w:t>Villatte</w:t>
      </w:r>
      <w:proofErr w:type="spellEnd"/>
      <w:r w:rsidR="006B3567">
        <w:rPr>
          <w:rFonts w:ascii="Times New Roman" w:eastAsia="Times New Roman" w:hAnsi="Times New Roman" w:cs="Times New Roman"/>
          <w:sz w:val="24"/>
          <w:szCs w:val="24"/>
        </w:rPr>
        <w:t>, 2019).</w:t>
      </w:r>
    </w:p>
    <w:p w14:paraId="20321316" w14:textId="6B6A1533" w:rsidR="00DF505D" w:rsidRDefault="00945A01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apoyo social percibido </w:t>
      </w:r>
      <w:r w:rsidR="003546E6">
        <w:rPr>
          <w:rFonts w:ascii="Times New Roman" w:eastAsia="Times New Roman" w:hAnsi="Times New Roman" w:cs="Times New Roman"/>
          <w:sz w:val="24"/>
          <w:szCs w:val="24"/>
        </w:rPr>
        <w:t>también</w:t>
      </w:r>
      <w:r w:rsidR="00E9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15F">
        <w:rPr>
          <w:rFonts w:ascii="Times New Roman" w:eastAsia="Times New Roman" w:hAnsi="Times New Roman" w:cs="Times New Roman"/>
          <w:sz w:val="24"/>
          <w:szCs w:val="24"/>
        </w:rPr>
        <w:t>se 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relaciona</w:t>
      </w:r>
      <w:r w:rsidR="001B115F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una mayor revelación de la orientación sexual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6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E6D">
        <w:rPr>
          <w:rFonts w:ascii="Times New Roman" w:eastAsia="Times New Roman" w:hAnsi="Times New Roman" w:cs="Times New Roman"/>
          <w:sz w:val="24"/>
          <w:szCs w:val="24"/>
        </w:rPr>
        <w:t xml:space="preserve">El apoyo 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de diversos miembros de la familia </w:t>
      </w:r>
      <w:r w:rsidR="00B75E6D">
        <w:rPr>
          <w:rFonts w:ascii="Times New Roman" w:eastAsia="Times New Roman" w:hAnsi="Times New Roman" w:cs="Times New Roman"/>
          <w:sz w:val="24"/>
          <w:szCs w:val="24"/>
        </w:rPr>
        <w:t xml:space="preserve">ha sido ampliamente explorado y se 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>vincula</w:t>
      </w:r>
      <w:r w:rsidR="00B75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5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21B49">
        <w:rPr>
          <w:rFonts w:ascii="Times New Roman" w:eastAsia="Times New Roman" w:hAnsi="Times New Roman" w:cs="Times New Roman"/>
          <w:sz w:val="24"/>
          <w:szCs w:val="24"/>
        </w:rPr>
        <w:t xml:space="preserve">una mayor y más positiva experiencia </w:t>
      </w:r>
      <w:r w:rsidR="005E258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21B49">
        <w:rPr>
          <w:rFonts w:ascii="Times New Roman" w:eastAsia="Times New Roman" w:hAnsi="Times New Roman" w:cs="Times New Roman"/>
          <w:sz w:val="24"/>
          <w:szCs w:val="24"/>
        </w:rPr>
        <w:t xml:space="preserve">revelación </w:t>
      </w:r>
      <w:r w:rsidR="006545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5450A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65450A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="0065450A">
        <w:rPr>
          <w:rFonts w:ascii="Times New Roman" w:eastAsia="Times New Roman" w:hAnsi="Times New Roman" w:cs="Times New Roman"/>
          <w:sz w:val="24"/>
          <w:szCs w:val="24"/>
        </w:rPr>
        <w:t>Grafsky</w:t>
      </w:r>
      <w:proofErr w:type="spellEnd"/>
      <w:r w:rsidR="0065450A">
        <w:rPr>
          <w:rFonts w:ascii="Times New Roman" w:eastAsia="Times New Roman" w:hAnsi="Times New Roman" w:cs="Times New Roman"/>
          <w:sz w:val="24"/>
          <w:szCs w:val="24"/>
        </w:rPr>
        <w:t xml:space="preserve"> et al., 2018; </w:t>
      </w:r>
      <w:proofErr w:type="spellStart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6545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2020)</w:t>
      </w:r>
      <w:r w:rsidR="00F579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6B29">
        <w:rPr>
          <w:rFonts w:ascii="Times New Roman" w:eastAsia="Times New Roman" w:hAnsi="Times New Roman" w:cs="Times New Roman"/>
          <w:sz w:val="24"/>
          <w:szCs w:val="24"/>
        </w:rPr>
        <w:t xml:space="preserve">El apoyo social de las amistades también se destaca para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>adultos emergentes</w:t>
      </w:r>
      <w:r w:rsidR="00916B29">
        <w:rPr>
          <w:rFonts w:ascii="Times New Roman" w:eastAsia="Times New Roman" w:hAnsi="Times New Roman" w:cs="Times New Roman"/>
          <w:sz w:val="24"/>
          <w:szCs w:val="24"/>
        </w:rPr>
        <w:t xml:space="preserve"> LGBTIQ+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B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7965">
        <w:rPr>
          <w:rFonts w:ascii="Times New Roman" w:eastAsia="Times New Roman" w:hAnsi="Times New Roman" w:cs="Times New Roman"/>
          <w:sz w:val="24"/>
          <w:szCs w:val="24"/>
        </w:rPr>
        <w:t xml:space="preserve">Barrera &amp; Flores, 2020; </w:t>
      </w:r>
      <w:r w:rsidR="00916B29">
        <w:rPr>
          <w:rFonts w:ascii="Times New Roman" w:eastAsia="Times New Roman" w:hAnsi="Times New Roman" w:cs="Times New Roman"/>
          <w:sz w:val="24"/>
          <w:szCs w:val="24"/>
        </w:rPr>
        <w:t>Silva, 2018)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 xml:space="preserve">, quienes con frecuencia priorizan </w:t>
      </w:r>
      <w:r w:rsidR="006E5CA3">
        <w:rPr>
          <w:rFonts w:ascii="Times New Roman" w:eastAsia="Times New Roman" w:hAnsi="Times New Roman" w:cs="Times New Roman"/>
          <w:sz w:val="24"/>
          <w:szCs w:val="24"/>
        </w:rPr>
        <w:t xml:space="preserve">revelar su orientación sexual a sus amistades </w:t>
      </w:r>
      <w:r w:rsidR="00572EE6">
        <w:rPr>
          <w:rFonts w:ascii="Times New Roman" w:eastAsia="Times New Roman" w:hAnsi="Times New Roman" w:cs="Times New Roman"/>
          <w:sz w:val="24"/>
          <w:szCs w:val="24"/>
        </w:rPr>
        <w:t xml:space="preserve">antes </w:t>
      </w:r>
      <w:r w:rsidR="006E5CA3">
        <w:rPr>
          <w:rFonts w:ascii="Times New Roman" w:eastAsia="Times New Roman" w:hAnsi="Times New Roman" w:cs="Times New Roman"/>
          <w:sz w:val="24"/>
          <w:szCs w:val="24"/>
        </w:rPr>
        <w:t xml:space="preserve">que a su familia </w:t>
      </w:r>
      <w:r w:rsidR="006E5CA3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="006E5CA3">
        <w:rPr>
          <w:rFonts w:ascii="Times New Roman" w:eastAsia="Times New Roman" w:hAnsi="Times New Roman" w:cs="Times New Roman"/>
          <w:sz w:val="24"/>
          <w:szCs w:val="24"/>
        </w:rPr>
        <w:t>Gacusan</w:t>
      </w:r>
      <w:proofErr w:type="spellEnd"/>
      <w:r w:rsidR="006E5CA3"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 w:rsidR="002A3C7A">
        <w:rPr>
          <w:rFonts w:ascii="Times New Roman" w:eastAsia="Times New Roman" w:hAnsi="Times New Roman" w:cs="Times New Roman"/>
          <w:sz w:val="24"/>
          <w:szCs w:val="24"/>
        </w:rPr>
        <w:t xml:space="preserve">A esta fuente de apoyo se suma </w:t>
      </w:r>
      <w:r w:rsidR="001909AE">
        <w:rPr>
          <w:rFonts w:ascii="Times New Roman" w:eastAsia="Times New Roman" w:hAnsi="Times New Roman" w:cs="Times New Roman"/>
          <w:sz w:val="24"/>
          <w:szCs w:val="24"/>
        </w:rPr>
        <w:t xml:space="preserve">el apoyo de </w:t>
      </w:r>
      <w:r w:rsidR="002A3C7A">
        <w:rPr>
          <w:rFonts w:ascii="Times New Roman" w:eastAsia="Times New Roman" w:hAnsi="Times New Roman" w:cs="Times New Roman"/>
          <w:sz w:val="24"/>
          <w:szCs w:val="24"/>
        </w:rPr>
        <w:t>otros significativos</w:t>
      </w:r>
      <w:r w:rsidR="00A25A7D">
        <w:rPr>
          <w:rFonts w:ascii="Times New Roman" w:eastAsia="Times New Roman" w:hAnsi="Times New Roman" w:cs="Times New Roman"/>
          <w:sz w:val="24"/>
          <w:szCs w:val="24"/>
        </w:rPr>
        <w:t xml:space="preserve">, que se encuentran </w:t>
      </w:r>
      <w:r w:rsidR="00C30845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A323DA">
        <w:rPr>
          <w:rFonts w:ascii="Times New Roman" w:eastAsia="Times New Roman" w:hAnsi="Times New Roman" w:cs="Times New Roman"/>
          <w:sz w:val="24"/>
          <w:szCs w:val="24"/>
        </w:rPr>
        <w:t xml:space="preserve"> entorno </w:t>
      </w:r>
      <w:r w:rsidR="005B53AF">
        <w:rPr>
          <w:rFonts w:ascii="Times New Roman" w:eastAsia="Times New Roman" w:hAnsi="Times New Roman" w:cs="Times New Roman"/>
          <w:sz w:val="24"/>
          <w:szCs w:val="24"/>
        </w:rPr>
        <w:t xml:space="preserve">universitario, </w:t>
      </w:r>
      <w:r w:rsidR="00C30845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A323DA">
        <w:rPr>
          <w:rFonts w:ascii="Times New Roman" w:eastAsia="Times New Roman" w:hAnsi="Times New Roman" w:cs="Times New Roman"/>
          <w:sz w:val="24"/>
          <w:szCs w:val="24"/>
        </w:rPr>
        <w:t>comunidad LGBTIQ+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CA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C30845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AF2CA9">
        <w:rPr>
          <w:rFonts w:ascii="Times New Roman" w:eastAsia="Times New Roman" w:hAnsi="Times New Roman" w:cs="Times New Roman"/>
          <w:sz w:val="24"/>
          <w:szCs w:val="24"/>
        </w:rPr>
        <w:t>fuentes en internet (</w:t>
      </w:r>
      <w:proofErr w:type="spellStart"/>
      <w:r w:rsidR="00AF2CA9" w:rsidRPr="005723A5">
        <w:rPr>
          <w:rFonts w:ascii="Times New Roman" w:eastAsia="Times New Roman" w:hAnsi="Times New Roman" w:cs="Times New Roman"/>
          <w:sz w:val="24"/>
          <w:szCs w:val="24"/>
        </w:rPr>
        <w:t>Calvelhe</w:t>
      </w:r>
      <w:proofErr w:type="spellEnd"/>
      <w:r w:rsidR="00AF2CA9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>, 2015</w:t>
      </w:r>
      <w:r w:rsidR="00AF2C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53AF">
        <w:rPr>
          <w:rFonts w:ascii="Times New Roman" w:eastAsia="Times New Roman" w:hAnsi="Times New Roman" w:cs="Times New Roman"/>
          <w:sz w:val="24"/>
          <w:szCs w:val="24"/>
        </w:rPr>
        <w:t>, entre otros</w:t>
      </w:r>
      <w:r w:rsidR="000C1869">
        <w:rPr>
          <w:rFonts w:ascii="Times New Roman" w:eastAsia="Times New Roman" w:hAnsi="Times New Roman" w:cs="Times New Roman"/>
          <w:sz w:val="24"/>
          <w:szCs w:val="24"/>
        </w:rPr>
        <w:t xml:space="preserve">. No obstante, 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>l</w:t>
      </w:r>
      <w:r w:rsidR="000C1869">
        <w:rPr>
          <w:rFonts w:ascii="Times New Roman" w:eastAsia="Times New Roman" w:hAnsi="Times New Roman" w:cs="Times New Roman"/>
          <w:sz w:val="24"/>
          <w:szCs w:val="24"/>
        </w:rPr>
        <w:t xml:space="preserve">a comunidad 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LGBTIQ+ </w:t>
      </w:r>
      <w:r w:rsidR="000C1869">
        <w:rPr>
          <w:rFonts w:ascii="Times New Roman" w:eastAsia="Times New Roman" w:hAnsi="Times New Roman" w:cs="Times New Roman"/>
          <w:sz w:val="24"/>
          <w:szCs w:val="24"/>
        </w:rPr>
        <w:t>también puede ser fuente de rechazo, particularmente para las personas bisexuales, trans y de otras identidades no binarias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1D14">
        <w:rPr>
          <w:rFonts w:ascii="Times New Roman" w:eastAsia="Times New Roman" w:hAnsi="Times New Roman" w:cs="Times New Roman"/>
          <w:sz w:val="24"/>
          <w:szCs w:val="24"/>
        </w:rPr>
        <w:t>Klein et al.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, 2015; </w:t>
      </w:r>
      <w:proofErr w:type="spellStart"/>
      <w:r w:rsidR="000C1869">
        <w:rPr>
          <w:rFonts w:ascii="Times New Roman" w:eastAsia="Times New Roman" w:hAnsi="Times New Roman" w:cs="Times New Roman"/>
          <w:sz w:val="24"/>
          <w:szCs w:val="24"/>
        </w:rPr>
        <w:t>Parmenter</w:t>
      </w:r>
      <w:proofErr w:type="spellEnd"/>
      <w:r w:rsidR="000C1869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AC0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869" w:rsidRPr="00787951">
        <w:rPr>
          <w:rFonts w:ascii="Times New Roman" w:eastAsia="Times New Roman" w:hAnsi="Times New Roman" w:cs="Times New Roman"/>
          <w:sz w:val="24"/>
          <w:szCs w:val="24"/>
        </w:rPr>
        <w:t>2020)</w:t>
      </w:r>
      <w:r w:rsidR="00DF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98968C" w14:textId="77777777" w:rsidR="00664B10" w:rsidRDefault="00664B10" w:rsidP="00F957F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D2B4F7" w14:textId="1379254C" w:rsidR="00526500" w:rsidRPr="00123D5D" w:rsidRDefault="00526500" w:rsidP="00F957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Este estudio</w:t>
      </w:r>
    </w:p>
    <w:p w14:paraId="0B7A874F" w14:textId="77777777" w:rsidR="002261A6" w:rsidRDefault="00A20015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7A0F75">
        <w:rPr>
          <w:rFonts w:ascii="Times New Roman" w:eastAsia="Times New Roman" w:hAnsi="Times New Roman" w:cs="Times New Roman"/>
          <w:sz w:val="24"/>
          <w:szCs w:val="24"/>
        </w:rPr>
        <w:t xml:space="preserve">literatura </w:t>
      </w:r>
      <w:r w:rsidR="00C30845">
        <w:rPr>
          <w:rFonts w:ascii="Times New Roman" w:eastAsia="Times New Roman" w:hAnsi="Times New Roman" w:cs="Times New Roman"/>
          <w:sz w:val="24"/>
          <w:szCs w:val="24"/>
        </w:rPr>
        <w:t xml:space="preserve">actual </w:t>
      </w:r>
      <w:r w:rsidR="007A0F75">
        <w:rPr>
          <w:rFonts w:ascii="Times New Roman" w:eastAsia="Times New Roman" w:hAnsi="Times New Roman" w:cs="Times New Roman"/>
          <w:sz w:val="24"/>
          <w:szCs w:val="24"/>
        </w:rPr>
        <w:t xml:space="preserve">sobre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revelación de la orientación sexual </w:t>
      </w:r>
      <w:r w:rsidR="00C30845">
        <w:rPr>
          <w:rFonts w:ascii="Times New Roman" w:eastAsia="Times New Roman" w:hAnsi="Times New Roman" w:cs="Times New Roman"/>
          <w:sz w:val="24"/>
          <w:szCs w:val="24"/>
        </w:rPr>
        <w:t>destaca</w:t>
      </w:r>
      <w:r w:rsidR="007A0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A7D">
        <w:rPr>
          <w:rFonts w:ascii="Times New Roman" w:eastAsia="Times New Roman" w:hAnsi="Times New Roman" w:cs="Times New Roman"/>
          <w:sz w:val="24"/>
          <w:szCs w:val="24"/>
        </w:rPr>
        <w:t xml:space="preserve">que este es un proceso complejo, 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dependiente del contexto y </w:t>
      </w:r>
      <w:r w:rsidR="007A0F75">
        <w:rPr>
          <w:rFonts w:ascii="Times New Roman" w:eastAsia="Times New Roman" w:hAnsi="Times New Roman" w:cs="Times New Roman"/>
          <w:sz w:val="24"/>
          <w:szCs w:val="24"/>
        </w:rPr>
        <w:t>marcado por decisiones estratégicas (</w:t>
      </w:r>
      <w:r w:rsidR="00A25A7D">
        <w:rPr>
          <w:rFonts w:ascii="Times New Roman" w:eastAsia="Times New Roman" w:hAnsi="Times New Roman" w:cs="Times New Roman"/>
          <w:sz w:val="24"/>
          <w:szCs w:val="24"/>
        </w:rPr>
        <w:t xml:space="preserve">Klein et al., 2015; </w:t>
      </w:r>
      <w:r w:rsidR="007A0F75">
        <w:rPr>
          <w:rFonts w:ascii="Times New Roman" w:eastAsia="Times New Roman" w:hAnsi="Times New Roman" w:cs="Times New Roman"/>
          <w:sz w:val="24"/>
          <w:szCs w:val="24"/>
        </w:rPr>
        <w:t>Schmitz &amp; Tyler, 2018)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5A7D">
        <w:rPr>
          <w:rFonts w:ascii="Times New Roman" w:eastAsia="Times New Roman" w:hAnsi="Times New Roman" w:cs="Times New Roman"/>
          <w:sz w:val="24"/>
          <w:szCs w:val="24"/>
        </w:rPr>
        <w:t>Con estos antecedentes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24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l objetivo de este estudio fue examinar </w:t>
      </w:r>
      <w:r w:rsidR="00317018">
        <w:rPr>
          <w:rFonts w:ascii="Times New Roman" w:eastAsia="Times New Roman" w:hAnsi="Times New Roman" w:cs="Times New Roman"/>
          <w:sz w:val="24"/>
          <w:szCs w:val="24"/>
        </w:rPr>
        <w:t>l</w:t>
      </w:r>
      <w:r w:rsidR="0075272A">
        <w:rPr>
          <w:rFonts w:ascii="Times New Roman" w:eastAsia="Times New Roman" w:hAnsi="Times New Roman" w:cs="Times New Roman"/>
          <w:sz w:val="24"/>
          <w:szCs w:val="24"/>
        </w:rPr>
        <w:t>a orientación sexual, el</w:t>
      </w:r>
      <w:r w:rsidR="00317018">
        <w:rPr>
          <w:rFonts w:ascii="Times New Roman" w:eastAsia="Times New Roman" w:hAnsi="Times New Roman" w:cs="Times New Roman"/>
          <w:sz w:val="24"/>
          <w:szCs w:val="24"/>
        </w:rPr>
        <w:t xml:space="preserve"> entorno de residencia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(área de residencia, </w:t>
      </w:r>
      <w:r w:rsidR="00317018">
        <w:rPr>
          <w:rFonts w:ascii="Times New Roman" w:eastAsia="Times New Roman" w:hAnsi="Times New Roman" w:cs="Times New Roman"/>
          <w:sz w:val="24"/>
          <w:szCs w:val="24"/>
        </w:rPr>
        <w:t>vivir con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los padres</w:t>
      </w:r>
      <w:r w:rsidR="003170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7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75272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apoyo social percibido 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>familia, amistades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otros significativos</w:t>
      </w:r>
      <w:r w:rsidR="00084A5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A7D">
        <w:rPr>
          <w:rFonts w:ascii="Times New Roman" w:eastAsia="Times New Roman" w:hAnsi="Times New Roman" w:cs="Times New Roman"/>
          <w:sz w:val="24"/>
          <w:szCs w:val="24"/>
        </w:rPr>
        <w:t>como predictores de</w:t>
      </w:r>
      <w:r w:rsidR="00085736">
        <w:rPr>
          <w:rFonts w:ascii="Times New Roman" w:eastAsia="Times New Roman" w:hAnsi="Times New Roman" w:cs="Times New Roman"/>
          <w:sz w:val="24"/>
          <w:szCs w:val="24"/>
        </w:rPr>
        <w:t xml:space="preserve"> la revelación de la orientación sexual de estudiantes universitarios LGBTIQ+ en el sur de Chile. </w:t>
      </w:r>
      <w:bookmarkStart w:id="2" w:name="_Toc92990565"/>
    </w:p>
    <w:p w14:paraId="4BC9C4BA" w14:textId="714F54F1" w:rsidR="00C06BF7" w:rsidRDefault="00C06BF7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A16F4" w:rsidRPr="005723A5">
        <w:rPr>
          <w:rFonts w:ascii="Times New Roman" w:eastAsia="Times New Roman" w:hAnsi="Times New Roman" w:cs="Times New Roman"/>
          <w:sz w:val="24"/>
          <w:szCs w:val="24"/>
        </w:rPr>
        <w:t>plante</w:t>
      </w:r>
      <w:r w:rsidR="00AA16F4">
        <w:rPr>
          <w:rFonts w:ascii="Times New Roman" w:eastAsia="Times New Roman" w:hAnsi="Times New Roman" w:cs="Times New Roman"/>
          <w:sz w:val="24"/>
          <w:szCs w:val="24"/>
        </w:rPr>
        <w:t>ar</w:t>
      </w:r>
      <w:r w:rsidR="00AA16F4" w:rsidRPr="005723A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las siguientes hipótesis:</w:t>
      </w:r>
      <w:r w:rsidR="000C5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 gay o lesbiana predice una mayor revelación de la orientación sexual que ser bisexual o de otra orientación no heterosexual</w:t>
      </w:r>
      <w:r w:rsidR="000C5AF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H2. Residir en el área urbana y ser independiente de los padres predice una mayor revelación de la orientación sexual</w:t>
      </w:r>
      <w:r w:rsidR="000C5AF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apoyo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familiar, de amistades y de otros significativos predice una mayor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revelación de la orientación sexual.</w:t>
      </w:r>
    </w:p>
    <w:p w14:paraId="123E6085" w14:textId="77777777" w:rsidR="00425F7F" w:rsidRDefault="00425F7F" w:rsidP="00F957F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1EFD7B" w14:textId="65EAACCB" w:rsidR="00DD06C8" w:rsidRPr="00425F7F" w:rsidRDefault="0053684C" w:rsidP="00F957F2">
      <w:pPr>
        <w:spacing w:after="0"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25F7F">
        <w:rPr>
          <w:rFonts w:ascii="Times New Roman" w:hAnsi="Times New Roman" w:cs="Times New Roman"/>
          <w:b/>
          <w:bCs/>
          <w:sz w:val="24"/>
          <w:szCs w:val="24"/>
        </w:rPr>
        <w:t>Método</w:t>
      </w:r>
      <w:bookmarkEnd w:id="2"/>
    </w:p>
    <w:p w14:paraId="54EF04CA" w14:textId="5E589BB5" w:rsidR="00DD06C8" w:rsidRPr="00123D5D" w:rsidRDefault="0045428B" w:rsidP="00F957F2">
      <w:pPr>
        <w:pStyle w:val="Ttulo2"/>
        <w:spacing w:line="360" w:lineRule="auto"/>
      </w:pPr>
      <w:r w:rsidRPr="00123D5D">
        <w:t>Participantes</w:t>
      </w:r>
    </w:p>
    <w:p w14:paraId="4604DA2A" w14:textId="62EAAFAD" w:rsidR="00DD06C8" w:rsidRPr="005723A5" w:rsidRDefault="003F7766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muestra de este estudio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fue</w:t>
      </w:r>
      <w:r w:rsidR="00022513">
        <w:rPr>
          <w:rFonts w:ascii="Times New Roman" w:eastAsia="Times New Roman" w:hAnsi="Times New Roman" w:cs="Times New Roman"/>
          <w:sz w:val="24"/>
          <w:szCs w:val="24"/>
        </w:rPr>
        <w:t xml:space="preserve"> no probabilística</w:t>
      </w:r>
      <w:r>
        <w:rPr>
          <w:rFonts w:ascii="Times New Roman" w:eastAsia="Times New Roman" w:hAnsi="Times New Roman" w:cs="Times New Roman"/>
          <w:sz w:val="24"/>
          <w:szCs w:val="24"/>
        </w:rPr>
        <w:t>. Los criterios de inclusión fueron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ser estudiante universitario, mayor de 18 años, de orientación homosexual (lesbianas/</w:t>
      </w:r>
      <w:proofErr w:type="spellStart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), bisexual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u otra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no heterosexual, y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cursar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84C" w:rsidRPr="005B4030">
        <w:rPr>
          <w:rFonts w:ascii="Times New Roman" w:eastAsia="Times New Roman" w:hAnsi="Times New Roman" w:cs="Times New Roman"/>
          <w:sz w:val="24"/>
          <w:szCs w:val="24"/>
        </w:rPr>
        <w:t xml:space="preserve">estudios de pregrado en universidades de Temuco, </w:t>
      </w:r>
      <w:r w:rsidR="005B4030" w:rsidRPr="005B4030">
        <w:rPr>
          <w:rFonts w:ascii="Times New Roman" w:eastAsia="Times New Roman" w:hAnsi="Times New Roman" w:cs="Times New Roman"/>
          <w:sz w:val="24"/>
          <w:szCs w:val="24"/>
        </w:rPr>
        <w:t>Chile</w:t>
      </w:r>
      <w:r w:rsidR="0053684C" w:rsidRPr="005B40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 xml:space="preserve">El tamaño mínimo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requerido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 xml:space="preserve"> de la muestra fue 134 participantes, calculado a través de </w:t>
      </w:r>
      <w:r w:rsidR="006B3CFB">
        <w:rPr>
          <w:rFonts w:ascii="Times New Roman" w:eastAsia="Times New Roman" w:hAnsi="Times New Roman" w:cs="Times New Roman"/>
          <w:sz w:val="24"/>
          <w:szCs w:val="24"/>
        </w:rPr>
        <w:t>G*</w:t>
      </w:r>
      <w:proofErr w:type="spellStart"/>
      <w:r w:rsidR="006B3CFB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="006B3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F71">
        <w:rPr>
          <w:rFonts w:ascii="Times New Roman" w:eastAsia="Times New Roman" w:hAnsi="Times New Roman" w:cs="Times New Roman"/>
          <w:sz w:val="24"/>
          <w:szCs w:val="24"/>
        </w:rPr>
        <w:t xml:space="preserve">v. 3.1.9.7 </w:t>
      </w:r>
      <w:r w:rsidR="00424EBE">
        <w:rPr>
          <w:rFonts w:ascii="Times New Roman" w:eastAsia="Times New Roman" w:hAnsi="Times New Roman" w:cs="Times New Roman"/>
          <w:sz w:val="24"/>
          <w:szCs w:val="24"/>
        </w:rPr>
        <w:t>para una regresión múltiple con incremento en R</w:t>
      </w:r>
      <w:r w:rsidR="00424EBE" w:rsidRPr="00424E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24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3812">
        <w:rPr>
          <w:rFonts w:ascii="Times New Roman" w:eastAsia="Times New Roman" w:hAnsi="Times New Roman" w:cs="Times New Roman"/>
          <w:sz w:val="24"/>
          <w:szCs w:val="24"/>
        </w:rPr>
        <w:t xml:space="preserve">con tamaño del efecto </w:t>
      </w:r>
      <w:r w:rsidR="007F6B90">
        <w:rPr>
          <w:rFonts w:ascii="Times New Roman" w:eastAsia="Times New Roman" w:hAnsi="Times New Roman" w:cs="Times New Roman"/>
          <w:sz w:val="24"/>
          <w:szCs w:val="24"/>
        </w:rPr>
        <w:t>pequeño (.10, Cohen, 1992) y un poder estadístico de .80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>. La muestra estuvo</w:t>
      </w:r>
      <w:r w:rsidR="00F64134">
        <w:rPr>
          <w:rFonts w:ascii="Times New Roman" w:eastAsia="Times New Roman" w:hAnsi="Times New Roman" w:cs="Times New Roman"/>
          <w:sz w:val="24"/>
          <w:szCs w:val="24"/>
        </w:rPr>
        <w:t xml:space="preserve"> compuesta por 272 participantes</w:t>
      </w:r>
      <w:r w:rsidR="00F64134" w:rsidRPr="00522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134">
        <w:rPr>
          <w:rFonts w:ascii="Times New Roman" w:eastAsia="Times New Roman" w:hAnsi="Times New Roman" w:cs="Times New Roman"/>
          <w:sz w:val="24"/>
          <w:szCs w:val="24"/>
        </w:rPr>
        <w:t>quienes respondieron una encuesta en línea</w:t>
      </w:r>
      <w:r w:rsidR="003E75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1F28E" w14:textId="0A3FF6C1" w:rsidR="00D0320E" w:rsidRDefault="005B4030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características de la muestra se describen en la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Tabla 1</w:t>
      </w:r>
      <w:r>
        <w:rPr>
          <w:rFonts w:ascii="Times New Roman" w:eastAsia="Times New Roman" w:hAnsi="Times New Roman" w:cs="Times New Roman"/>
          <w:sz w:val="24"/>
          <w:szCs w:val="24"/>
        </w:rPr>
        <w:t>. La edad promedio de los participantes fue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6 años (</w:t>
      </w:r>
      <w:r w:rsidR="0053684C" w:rsidRPr="005723A5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3), con un valor mínimo de 18 y un valor máximo de 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a mayoría de los participantes (73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era</w:t>
      </w:r>
      <w:r w:rsidR="007A3BF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mujeres y personas cisgénero (9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>l 6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 xml:space="preserve">3% de 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>la muestra reportó ser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 xml:space="preserve"> bisexual, el 21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>% gay o lesbiana, y el 1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>% restante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 xml:space="preserve"> reportó 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lastRenderedPageBreak/>
        <w:t>otra orientación no heterosexual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>pansexual, demisexual y asexual, entre otras</w:t>
      </w:r>
      <w:r w:rsidR="0094168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4739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El 7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3B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% de los participantes resid</w:t>
      </w:r>
      <w:r w:rsidR="007A3BFF">
        <w:rPr>
          <w:rFonts w:ascii="Times New Roman" w:eastAsia="Times New Roman" w:hAnsi="Times New Roman" w:cs="Times New Roman"/>
          <w:sz w:val="24"/>
          <w:szCs w:val="24"/>
        </w:rPr>
        <w:t>ía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con sus padres, y el 83</w:t>
      </w:r>
      <w:r w:rsidR="007A3B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% viv</w:t>
      </w:r>
      <w:r w:rsidR="007A3BFF">
        <w:rPr>
          <w:rFonts w:ascii="Times New Roman" w:eastAsia="Times New Roman" w:hAnsi="Times New Roman" w:cs="Times New Roman"/>
          <w:sz w:val="24"/>
          <w:szCs w:val="24"/>
        </w:rPr>
        <w:t>ía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áreas urbanas. </w:t>
      </w:r>
    </w:p>
    <w:p w14:paraId="114D3B1C" w14:textId="77777777" w:rsidR="00D75312" w:rsidRPr="005723A5" w:rsidRDefault="00D75312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EC8861" w14:textId="77777777" w:rsidR="004354B2" w:rsidRPr="00A234C9" w:rsidRDefault="004354B2" w:rsidP="00F957F2">
      <w:pPr>
        <w:spacing w:after="0" w:line="360" w:lineRule="auto"/>
        <w:rPr>
          <w:rFonts w:ascii="Times New Roman" w:hAnsi="Times New Roman" w:cs="Times New Roman"/>
          <w:i/>
          <w:iCs/>
        </w:rPr>
      </w:pPr>
      <w:bookmarkStart w:id="3" w:name="_Toc92990568"/>
      <w:r w:rsidRPr="00A234C9">
        <w:rPr>
          <w:rFonts w:ascii="Times New Roman" w:hAnsi="Times New Roman" w:cs="Times New Roman"/>
        </w:rPr>
        <w:t>Tabla 1.</w:t>
      </w:r>
      <w:r w:rsidRPr="00FC197D">
        <w:rPr>
          <w:rFonts w:ascii="Times New Roman" w:hAnsi="Times New Roman" w:cs="Times New Roman"/>
        </w:rPr>
        <w:t xml:space="preserve"> </w:t>
      </w:r>
      <w:r w:rsidRPr="00A234C9">
        <w:rPr>
          <w:rFonts w:ascii="Times New Roman" w:hAnsi="Times New Roman" w:cs="Times New Roman"/>
          <w:i/>
          <w:iCs/>
        </w:rPr>
        <w:t>Características de la muestra (n = 272).</w:t>
      </w:r>
    </w:p>
    <w:tbl>
      <w:tblPr>
        <w:tblStyle w:val="Tablaconcuadrcula"/>
        <w:tblW w:w="8946" w:type="dxa"/>
        <w:jc w:val="center"/>
        <w:tblLook w:val="04A0" w:firstRow="1" w:lastRow="0" w:firstColumn="1" w:lastColumn="0" w:noHBand="0" w:noVBand="1"/>
      </w:tblPr>
      <w:tblGrid>
        <w:gridCol w:w="2694"/>
        <w:gridCol w:w="5496"/>
        <w:gridCol w:w="756"/>
      </w:tblGrid>
      <w:tr w:rsidR="004354B2" w:rsidRPr="00FC197D" w14:paraId="62AC608C" w14:textId="77777777" w:rsidTr="007A368F">
        <w:trPr>
          <w:jc w:val="center"/>
        </w:trPr>
        <w:tc>
          <w:tcPr>
            <w:tcW w:w="81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38EF6B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45B137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%</w:t>
            </w:r>
          </w:p>
        </w:tc>
      </w:tr>
      <w:tr w:rsidR="004354B2" w:rsidRPr="00FC197D" w14:paraId="1E6F16D8" w14:textId="77777777" w:rsidTr="007A368F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2E96C4C9" w14:textId="259EFC08" w:rsidR="004354B2" w:rsidRPr="00FC197D" w:rsidRDefault="00941688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Vivir con padres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2D62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Con padre y/o madre todo el año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1E4AF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74.6</w:t>
            </w:r>
          </w:p>
        </w:tc>
      </w:tr>
      <w:tr w:rsidR="004354B2" w:rsidRPr="00FC197D" w14:paraId="0DEF6AD1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right w:val="nil"/>
            </w:tcBorders>
          </w:tcPr>
          <w:p w14:paraId="26CC2D51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55E5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Con padre y/o madre fines de semana o en vacaciones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2E105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12.5</w:t>
            </w:r>
          </w:p>
        </w:tc>
      </w:tr>
      <w:tr w:rsidR="004354B2" w:rsidRPr="00FC197D" w14:paraId="246A7291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34E190FE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3B89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Independiente de padre y/o madre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D9C1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12.9</w:t>
            </w:r>
          </w:p>
        </w:tc>
      </w:tr>
      <w:tr w:rsidR="004354B2" w:rsidRPr="00FC197D" w14:paraId="038F8804" w14:textId="77777777" w:rsidTr="007A368F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22B9FA05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Área de residencia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6762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Urbana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0514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83.5</w:t>
            </w:r>
          </w:p>
        </w:tc>
      </w:tr>
      <w:tr w:rsidR="004354B2" w:rsidRPr="00FC197D" w14:paraId="671042D8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3461BA53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D6D3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19DE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16.5</w:t>
            </w:r>
          </w:p>
        </w:tc>
      </w:tr>
      <w:tr w:rsidR="004354B2" w:rsidRPr="00FC197D" w14:paraId="0FFD2AF9" w14:textId="77777777" w:rsidTr="007A368F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2ED6C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Género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B0D66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Hombre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A844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18.8</w:t>
            </w:r>
          </w:p>
        </w:tc>
      </w:tr>
      <w:tr w:rsidR="004354B2" w:rsidRPr="00FC197D" w14:paraId="04A28F77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7E665D02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0BAA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Mujer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B4F01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73.9</w:t>
            </w:r>
          </w:p>
        </w:tc>
      </w:tr>
      <w:tr w:rsidR="004354B2" w:rsidRPr="00FC197D" w14:paraId="66113D23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6B668140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956DB" w14:textId="305FBFCA" w:rsidR="004354B2" w:rsidRPr="00FC197D" w:rsidRDefault="00B9760A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binario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5EAE6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7.4</w:t>
            </w:r>
          </w:p>
        </w:tc>
      </w:tr>
      <w:tr w:rsidR="004354B2" w:rsidRPr="00FC197D" w14:paraId="538D2A90" w14:textId="77777777" w:rsidTr="007A368F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3E6361C6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Este género corresponde con el asignado al nacer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BEA7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Sí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B85B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91.2</w:t>
            </w:r>
          </w:p>
        </w:tc>
      </w:tr>
      <w:tr w:rsidR="004354B2" w:rsidRPr="00FC197D" w14:paraId="7114D16B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right w:val="nil"/>
            </w:tcBorders>
          </w:tcPr>
          <w:p w14:paraId="69A6B64C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663D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09D3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7.7</w:t>
            </w:r>
          </w:p>
        </w:tc>
      </w:tr>
      <w:tr w:rsidR="004354B2" w:rsidRPr="00FC197D" w14:paraId="6C607CB7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46B2FA0B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61B8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Prefiere no responder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B4FF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1.1</w:t>
            </w:r>
          </w:p>
        </w:tc>
      </w:tr>
      <w:tr w:rsidR="004354B2" w:rsidRPr="00FC197D" w14:paraId="7F4D06E3" w14:textId="77777777" w:rsidTr="007A368F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4C9D6FC4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Orientación sexual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92A3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Lesbiana/gay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74849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21.7</w:t>
            </w:r>
          </w:p>
        </w:tc>
      </w:tr>
      <w:tr w:rsidR="004354B2" w:rsidRPr="00FC197D" w14:paraId="26E26D02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490E21BC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F919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Bisexual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F8B7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64.3</w:t>
            </w:r>
          </w:p>
        </w:tc>
      </w:tr>
      <w:tr w:rsidR="004354B2" w:rsidRPr="00FC197D" w14:paraId="2CC7822C" w14:textId="77777777" w:rsidTr="007A368F">
        <w:trPr>
          <w:jc w:val="center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577CA830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nil"/>
              <w:left w:val="nil"/>
              <w:right w:val="nil"/>
            </w:tcBorders>
            <w:vAlign w:val="center"/>
          </w:tcPr>
          <w:p w14:paraId="644D17B2" w14:textId="77777777" w:rsidR="004354B2" w:rsidRPr="00FC197D" w:rsidRDefault="004354B2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 xml:space="preserve">Otra 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vAlign w:val="center"/>
          </w:tcPr>
          <w:p w14:paraId="7C92F4D5" w14:textId="77777777" w:rsidR="004354B2" w:rsidRPr="00FC197D" w:rsidRDefault="004354B2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97D">
              <w:rPr>
                <w:rFonts w:ascii="Times New Roman" w:hAnsi="Times New Roman" w:cs="Times New Roman"/>
              </w:rPr>
              <w:t>14.0</w:t>
            </w:r>
          </w:p>
        </w:tc>
      </w:tr>
    </w:tbl>
    <w:p w14:paraId="5EABBAB5" w14:textId="77777777" w:rsidR="004354B2" w:rsidRDefault="004354B2" w:rsidP="00F957F2">
      <w:pPr>
        <w:pStyle w:val="Ttulo2"/>
        <w:spacing w:line="360" w:lineRule="auto"/>
      </w:pPr>
    </w:p>
    <w:p w14:paraId="7592FAF0" w14:textId="76B52B3C" w:rsidR="00DD06C8" w:rsidRPr="00123D5D" w:rsidRDefault="0053684C" w:rsidP="00F957F2">
      <w:pPr>
        <w:pStyle w:val="Ttulo2"/>
        <w:spacing w:line="360" w:lineRule="auto"/>
      </w:pPr>
      <w:r w:rsidRPr="00123D5D">
        <w:t>Instrumento</w:t>
      </w:r>
      <w:bookmarkEnd w:id="3"/>
    </w:p>
    <w:p w14:paraId="22B1C2B9" w14:textId="76A58896" w:rsidR="00DD06C8" w:rsidRPr="005723A5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ab/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Datos sociodemográficos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Esta sección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incluyó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preguntas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con quién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vive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; el área de residencia; edad; género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si su género fue asignado al nacer; y orientación sexual.</w:t>
      </w:r>
    </w:p>
    <w:p w14:paraId="34416FDD" w14:textId="1E1A841C" w:rsidR="00DD06C8" w:rsidRPr="005723A5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Revelación de la orientación sexual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6AA3">
        <w:rPr>
          <w:rFonts w:ascii="Times New Roman" w:eastAsia="Times New Roman" w:hAnsi="Times New Roman" w:cs="Times New Roman"/>
          <w:sz w:val="24"/>
          <w:szCs w:val="24"/>
        </w:rPr>
        <w:t>Esta p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regunta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se basó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la investigación de Barrientos</w:t>
      </w:r>
      <w:r w:rsidR="004B59B5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(2017)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indaga </w:t>
      </w:r>
      <w:r w:rsidR="00B9760A">
        <w:rPr>
          <w:rFonts w:ascii="Times New Roman" w:eastAsia="Times New Roman" w:hAnsi="Times New Roman" w:cs="Times New Roman"/>
          <w:sz w:val="24"/>
          <w:szCs w:val="24"/>
        </w:rPr>
        <w:t xml:space="preserve">a quiénes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la persona ha </w:t>
      </w:r>
      <w:r w:rsidR="00466AA3">
        <w:rPr>
          <w:rFonts w:ascii="Times New Roman" w:eastAsia="Times New Roman" w:hAnsi="Times New Roman" w:cs="Times New Roman"/>
          <w:sz w:val="24"/>
          <w:szCs w:val="24"/>
        </w:rPr>
        <w:t>revelado su orientación sexual</w:t>
      </w:r>
      <w:r w:rsidR="007D50BD">
        <w:rPr>
          <w:rFonts w:ascii="Times New Roman" w:eastAsia="Times New Roman" w:hAnsi="Times New Roman" w:cs="Times New Roman"/>
          <w:sz w:val="24"/>
          <w:szCs w:val="24"/>
        </w:rPr>
        <w:t xml:space="preserve">, de una </w:t>
      </w:r>
      <w:r w:rsidR="00D37896">
        <w:rPr>
          <w:rFonts w:ascii="Times New Roman" w:eastAsia="Times New Roman" w:hAnsi="Times New Roman" w:cs="Times New Roman"/>
          <w:sz w:val="24"/>
          <w:szCs w:val="24"/>
        </w:rPr>
        <w:t>lista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nueve individuos o grupos de individuos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D531B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3789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adre/Madrastra/otra figura materna”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 A cada opción seleccionada se le atribuy</w:t>
      </w:r>
      <w:r w:rsidR="007D50BD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el valor de 1</w:t>
      </w:r>
      <w:r w:rsidR="007D50BD">
        <w:rPr>
          <w:rFonts w:ascii="Times New Roman" w:eastAsia="Times New Roman" w:hAnsi="Times New Roman" w:cs="Times New Roman"/>
          <w:sz w:val="24"/>
          <w:szCs w:val="24"/>
        </w:rPr>
        <w:t xml:space="preserve"> y a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>no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 seleccionadas un valor de 0. La suma de estas nuev</w:t>
      </w:r>
      <w:r w:rsidR="007D50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 opciones permit</w:t>
      </w:r>
      <w:r w:rsidR="007D50BD">
        <w:rPr>
          <w:rFonts w:ascii="Times New Roman" w:eastAsia="Times New Roman" w:hAnsi="Times New Roman" w:cs="Times New Roman"/>
          <w:sz w:val="24"/>
          <w:szCs w:val="24"/>
        </w:rPr>
        <w:t>ió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cuantifica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el rango de 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revelación, desde 0 (no ha 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>revelado su orientación sexual a nadie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) a 9 (ha </w:t>
      </w:r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revelado su orientación sexual a </w:t>
      </w:r>
      <w:proofErr w:type="gramStart"/>
      <w:r w:rsidR="0040492E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="00255CF8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gramEnd"/>
      <w:r w:rsidR="00255CF8">
        <w:rPr>
          <w:rFonts w:ascii="Times New Roman" w:eastAsia="Times New Roman" w:hAnsi="Times New Roman" w:cs="Times New Roman"/>
          <w:sz w:val="24"/>
          <w:szCs w:val="24"/>
        </w:rPr>
        <w:t>, amistades y otros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6D3C4A" w14:textId="55EBF2A0" w:rsidR="00DD06C8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Escala Multidimensional de Apoyo Social Percibido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 Es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>ta escala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12 ítems 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 xml:space="preserve">fue </w:t>
      </w:r>
      <w:r w:rsidR="00FA56E1" w:rsidRPr="005723A5">
        <w:rPr>
          <w:rFonts w:ascii="Times New Roman" w:eastAsia="Times New Roman" w:hAnsi="Times New Roman" w:cs="Times New Roman"/>
          <w:sz w:val="24"/>
          <w:szCs w:val="24"/>
        </w:rPr>
        <w:t xml:space="preserve">elaborada por </w:t>
      </w:r>
      <w:proofErr w:type="spellStart"/>
      <w:r w:rsidR="00FA56E1" w:rsidRPr="005723A5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="00FA56E1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 (1988)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evalúa 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 xml:space="preserve">el nivel de apoyo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que la persona percibe de sus ami</w:t>
      </w:r>
      <w:r w:rsidR="005E3B1A">
        <w:rPr>
          <w:rFonts w:ascii="Times New Roman" w:eastAsia="Times New Roman" w:hAnsi="Times New Roman" w:cs="Times New Roman"/>
          <w:sz w:val="24"/>
          <w:szCs w:val="24"/>
        </w:rPr>
        <w:t>stades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B1A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familia y </w:t>
      </w:r>
      <w:r w:rsidR="005E3B1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otr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A56E1">
        <w:rPr>
          <w:rFonts w:ascii="Times New Roman" w:eastAsia="Times New Roman" w:hAnsi="Times New Roman" w:cs="Times New Roman"/>
          <w:sz w:val="24"/>
          <w:szCs w:val="24"/>
        </w:rPr>
        <w:t>significativos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5CF8">
        <w:rPr>
          <w:rFonts w:ascii="Times New Roman" w:eastAsia="Times New Roman" w:hAnsi="Times New Roman" w:cs="Times New Roman"/>
          <w:sz w:val="24"/>
          <w:szCs w:val="24"/>
        </w:rPr>
        <w:t>L</w:t>
      </w:r>
      <w:r w:rsidR="007E3617">
        <w:rPr>
          <w:rFonts w:ascii="Times New Roman" w:eastAsia="Times New Roman" w:hAnsi="Times New Roman" w:cs="Times New Roman"/>
          <w:sz w:val="24"/>
          <w:szCs w:val="24"/>
        </w:rPr>
        <w:t>a escala se divide en tres subescalas</w:t>
      </w:r>
      <w:r w:rsidR="00255CF8">
        <w:rPr>
          <w:rFonts w:ascii="Times New Roman" w:eastAsia="Times New Roman" w:hAnsi="Times New Roman" w:cs="Times New Roman"/>
          <w:sz w:val="24"/>
          <w:szCs w:val="24"/>
        </w:rPr>
        <w:t>, una por cada tipo de apoyo y</w:t>
      </w:r>
      <w:r w:rsidR="007E3617">
        <w:rPr>
          <w:rFonts w:ascii="Times New Roman" w:eastAsia="Times New Roman" w:hAnsi="Times New Roman" w:cs="Times New Roman"/>
          <w:sz w:val="24"/>
          <w:szCs w:val="24"/>
        </w:rPr>
        <w:t xml:space="preserve"> de cuatro ítems cada una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D531B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“m</w:t>
      </w:r>
      <w:r w:rsidR="00604EA4" w:rsidRPr="00604EA4">
        <w:rPr>
          <w:rFonts w:ascii="Times New Roman" w:eastAsia="Times New Roman" w:hAnsi="Times New Roman" w:cs="Times New Roman"/>
          <w:sz w:val="24"/>
          <w:szCs w:val="24"/>
        </w:rPr>
        <w:t>i familia realmente intenta ayudarme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EA4" w:rsidRPr="00604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La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s opciones de respuesta van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de 1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 = “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Totalmente en desacuerdo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a 7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Totalmente de acuerdo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 En Chile</w:t>
      </w:r>
      <w:r w:rsidR="00CC2F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Pinto et al. (2014) reportaron </w:t>
      </w:r>
      <w:r w:rsidR="00CC2F1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confiabilidad </w:t>
      </w:r>
      <w:r w:rsidR="00CC2F11">
        <w:rPr>
          <w:rFonts w:ascii="Times New Roman" w:eastAsia="Times New Roman" w:hAnsi="Times New Roman" w:cs="Times New Roman"/>
          <w:sz w:val="24"/>
          <w:szCs w:val="24"/>
        </w:rPr>
        <w:t>de</w:t>
      </w:r>
      <w:r w:rsidR="00CC2F11" w:rsidRPr="005723A5">
        <w:rPr>
          <w:rFonts w:ascii="Times New Roman" w:eastAsia="Times New Roman" w:hAnsi="Times New Roman" w:cs="Times New Roman"/>
          <w:sz w:val="24"/>
          <w:szCs w:val="24"/>
        </w:rPr>
        <w:t xml:space="preserve"> las tres </w:t>
      </w:r>
      <w:r w:rsidR="00CC2F11">
        <w:rPr>
          <w:rFonts w:ascii="Times New Roman" w:eastAsia="Times New Roman" w:hAnsi="Times New Roman" w:cs="Times New Roman"/>
          <w:sz w:val="24"/>
          <w:szCs w:val="24"/>
        </w:rPr>
        <w:t>subescalas</w:t>
      </w:r>
      <w:r w:rsidR="00CC2F11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con valores mayores a α =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80. En </w:t>
      </w:r>
      <w:r w:rsidR="00A15027" w:rsidRPr="005723A5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estudio,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A01C1">
        <w:rPr>
          <w:rFonts w:ascii="Times New Roman" w:eastAsia="Times New Roman" w:hAnsi="Times New Roman" w:cs="Times New Roman"/>
          <w:sz w:val="24"/>
          <w:szCs w:val="24"/>
        </w:rPr>
        <w:t>analizaron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604EA4">
        <w:rPr>
          <w:rFonts w:ascii="Times New Roman" w:eastAsia="Times New Roman" w:hAnsi="Times New Roman" w:cs="Times New Roman"/>
          <w:sz w:val="24"/>
          <w:szCs w:val="24"/>
        </w:rPr>
        <w:t xml:space="preserve">tres </w:t>
      </w:r>
      <w:r w:rsidR="00AA01C1">
        <w:rPr>
          <w:rFonts w:ascii="Times New Roman" w:eastAsia="Times New Roman" w:hAnsi="Times New Roman" w:cs="Times New Roman"/>
          <w:sz w:val="24"/>
          <w:szCs w:val="24"/>
        </w:rPr>
        <w:t>dimensiones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apoyo social percibido </w:t>
      </w:r>
      <w:r w:rsidR="00AA01C1">
        <w:rPr>
          <w:rFonts w:ascii="Times New Roman" w:eastAsia="Times New Roman" w:hAnsi="Times New Roman" w:cs="Times New Roman"/>
          <w:sz w:val="24"/>
          <w:szCs w:val="24"/>
        </w:rPr>
        <w:t>por separado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. La consistencia interna fue, </w:t>
      </w:r>
      <w:r w:rsidR="005E3B1A">
        <w:rPr>
          <w:rFonts w:ascii="Times New Roman" w:eastAsia="Times New Roman" w:hAnsi="Times New Roman" w:cs="Times New Roman"/>
          <w:sz w:val="24"/>
          <w:szCs w:val="24"/>
        </w:rPr>
        <w:t xml:space="preserve">para la 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subescala de apoyo social familiar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 xml:space="preserve"> α = 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0A0A" w:rsidRPr="005E3B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 xml:space="preserve">7; 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 xml:space="preserve">para la 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subescala de apoyo de amistades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 xml:space="preserve"> α = </w:t>
      </w:r>
      <w:r w:rsidR="00C90A0A" w:rsidRPr="005E3B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0A0A" w:rsidRPr="005E3B1A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 xml:space="preserve">y para la 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subescala de apoyo social de otros significativos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 xml:space="preserve"> α = </w:t>
      </w:r>
      <w:r w:rsidR="005E3B1A" w:rsidRPr="005E3B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0A0A" w:rsidRPr="005E3B1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5E3B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125E36" w14:textId="77777777" w:rsidR="00091ADF" w:rsidRPr="005723A5" w:rsidRDefault="00091ADF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2AEB5E7" w14:textId="77777777" w:rsidR="00DD06C8" w:rsidRPr="00123D5D" w:rsidRDefault="0053684C" w:rsidP="00F957F2">
      <w:pPr>
        <w:pStyle w:val="Ttulo2"/>
        <w:spacing w:line="360" w:lineRule="auto"/>
      </w:pPr>
      <w:bookmarkStart w:id="4" w:name="_Toc92990569"/>
      <w:r w:rsidRPr="00123D5D">
        <w:t>Procedimiento</w:t>
      </w:r>
      <w:bookmarkEnd w:id="4"/>
    </w:p>
    <w:p w14:paraId="1A5AAB28" w14:textId="05B78EDE" w:rsidR="00DD06C8" w:rsidRDefault="000C5AF6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invitación a responder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la encuesta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línea entre estudiantes de pregrado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difundió a través de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cuatro universidades de la ciudad de Temuc</w:t>
      </w:r>
      <w:r>
        <w:rPr>
          <w:rFonts w:ascii="Times New Roman" w:eastAsia="Times New Roman" w:hAnsi="Times New Roman" w:cs="Times New Roman"/>
          <w:sz w:val="24"/>
          <w:szCs w:val="24"/>
        </w:rPr>
        <w:t>o y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0B6">
        <w:rPr>
          <w:rFonts w:ascii="Times New Roman" w:eastAsia="Times New Roman" w:hAnsi="Times New Roman" w:cs="Times New Roman"/>
          <w:sz w:val="24"/>
          <w:szCs w:val="24"/>
        </w:rPr>
        <w:t>agrupaciones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20E" w:rsidRPr="005723A5">
        <w:rPr>
          <w:rFonts w:ascii="Times New Roman" w:eastAsia="Times New Roman" w:hAnsi="Times New Roman" w:cs="Times New Roman"/>
          <w:sz w:val="24"/>
          <w:szCs w:val="24"/>
        </w:rPr>
        <w:t xml:space="preserve">estudiantiles </w:t>
      </w:r>
      <w:r w:rsidR="006740B6">
        <w:rPr>
          <w:rFonts w:ascii="Times New Roman" w:eastAsia="Times New Roman" w:hAnsi="Times New Roman" w:cs="Times New Roman"/>
          <w:sz w:val="24"/>
          <w:szCs w:val="24"/>
        </w:rPr>
        <w:t>y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LGBTIQ+</w:t>
      </w:r>
      <w:r w:rsidR="0053684C" w:rsidRPr="005723A5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 w:rsidR="006740B6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Al abrir el enlace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encuesta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, se presentó el consentimiento informado</w:t>
      </w:r>
      <w:r w:rsidR="003A1F4A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objetivo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estudio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los criterios de inclusión y la naturaleza voluntaria de 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la participación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el tratamiento anónimo y confidencial de los datos obtenidos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3930">
        <w:rPr>
          <w:rFonts w:ascii="Times New Roman" w:eastAsia="Times New Roman" w:hAnsi="Times New Roman" w:cs="Times New Roman"/>
          <w:sz w:val="24"/>
          <w:szCs w:val="24"/>
        </w:rPr>
        <w:t>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os participantes debían marcar una casilla para confirmar su participación. Esta encuesta 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FD531B">
        <w:rPr>
          <w:rFonts w:ascii="Times New Roman" w:eastAsia="Times New Roman" w:hAnsi="Times New Roman" w:cs="Times New Roman"/>
          <w:sz w:val="24"/>
          <w:szCs w:val="24"/>
        </w:rPr>
        <w:t>alojó</w:t>
      </w:r>
      <w:r w:rsidR="002125D6"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la plataforma </w:t>
      </w:r>
      <w:proofErr w:type="spellStart"/>
      <w:r w:rsidR="002125D6" w:rsidRPr="005723A5">
        <w:rPr>
          <w:rFonts w:ascii="Times New Roman" w:eastAsia="Times New Roman" w:hAnsi="Times New Roman" w:cs="Times New Roman"/>
          <w:sz w:val="24"/>
          <w:szCs w:val="24"/>
        </w:rPr>
        <w:t>QuestionPRO</w:t>
      </w:r>
      <w:proofErr w:type="spellEnd"/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fue aplicada entre julio y agosto del 2021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. Previo a su aplicación,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se realizó un pilotaje del instrumento con 24 estudiantes que cumplieron los criterios de inclusión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 antes establecidos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8DFA71" w14:textId="44F29357" w:rsidR="00993930" w:rsidRPr="005723A5" w:rsidRDefault="00993930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Este estudio se enmarca en una investigación más amplia sobre orientación sexual y satisfacción con la vida en estudiantes universitarios, perteneciente al </w:t>
      </w:r>
      <w:r w:rsidR="00536E23">
        <w:rPr>
          <w:rFonts w:ascii="Times New Roman" w:eastAsia="Times New Roman" w:hAnsi="Times New Roman" w:cs="Times New Roman"/>
          <w:sz w:val="24"/>
          <w:szCs w:val="24"/>
        </w:rPr>
        <w:t>[información omitida para revisión de pares]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Esta investigación fue aprobada por el Comité Ético </w:t>
      </w:r>
      <w:r w:rsidR="006D44A9">
        <w:rPr>
          <w:rFonts w:ascii="Times New Roman" w:eastAsia="Times New Roman" w:hAnsi="Times New Roman" w:cs="Times New Roman"/>
          <w:sz w:val="24"/>
          <w:szCs w:val="24"/>
        </w:rPr>
        <w:t>[información omitida para revisión de pares]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9986DC" w14:textId="77777777" w:rsidR="001235DF" w:rsidRDefault="001235DF" w:rsidP="00F957F2">
      <w:pPr>
        <w:pStyle w:val="Ttulo2"/>
        <w:spacing w:line="360" w:lineRule="auto"/>
      </w:pPr>
      <w:bookmarkStart w:id="5" w:name="_Toc92990570"/>
    </w:p>
    <w:p w14:paraId="6DA4AC0B" w14:textId="3BD72F46" w:rsidR="00DD06C8" w:rsidRPr="00123D5D" w:rsidRDefault="0053684C" w:rsidP="00F957F2">
      <w:pPr>
        <w:pStyle w:val="Ttulo2"/>
        <w:spacing w:line="360" w:lineRule="auto"/>
      </w:pPr>
      <w:r w:rsidRPr="00123D5D">
        <w:t xml:space="preserve">Análisis de </w:t>
      </w:r>
      <w:r w:rsidR="00FD531B" w:rsidRPr="00123D5D">
        <w:t>d</w:t>
      </w:r>
      <w:r w:rsidRPr="00123D5D">
        <w:t>atos</w:t>
      </w:r>
      <w:bookmarkEnd w:id="5"/>
    </w:p>
    <w:p w14:paraId="16AE9996" w14:textId="009982C9" w:rsidR="005627C9" w:rsidRDefault="0007438A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análisis se </w:t>
      </w:r>
      <w:r>
        <w:rPr>
          <w:rFonts w:ascii="Times New Roman" w:eastAsia="Times New Roman" w:hAnsi="Times New Roman" w:cs="Times New Roman"/>
          <w:sz w:val="24"/>
          <w:szCs w:val="24"/>
        </w:rPr>
        <w:t>realizó con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el programa SPSS v.2</w:t>
      </w:r>
      <w:r w:rsidR="00EB79AF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61A6">
        <w:rPr>
          <w:rFonts w:ascii="Times New Roman" w:eastAsia="Times New Roman" w:hAnsi="Times New Roman" w:cs="Times New Roman"/>
          <w:sz w:val="24"/>
          <w:szCs w:val="24"/>
        </w:rPr>
        <w:t>Tras la exclusión de encuestas incompletas o que no cumplieron criterios de análisis, 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 realizó la suma</w:t>
      </w:r>
      <w:r w:rsidR="002E4F3F">
        <w:rPr>
          <w:rFonts w:ascii="Times New Roman" w:eastAsia="Times New Roman" w:hAnsi="Times New Roman" w:cs="Times New Roman"/>
          <w:sz w:val="24"/>
          <w:szCs w:val="24"/>
        </w:rPr>
        <w:t>toria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puntajes y el cálculo de confiabilidad de la</w:t>
      </w:r>
      <w:r w:rsidR="00BD7C2B">
        <w:rPr>
          <w:rFonts w:ascii="Times New Roman" w:eastAsia="Times New Roman" w:hAnsi="Times New Roman" w:cs="Times New Roman"/>
          <w:sz w:val="24"/>
          <w:szCs w:val="24"/>
        </w:rPr>
        <w:t>s tres sub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escala</w:t>
      </w:r>
      <w:r w:rsidR="00BD7C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de apoyo social percibido. Posteriormente, se ejecutó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análisis descriptivo y </w:t>
      </w:r>
      <w:r w:rsidR="00696FB1">
        <w:rPr>
          <w:rFonts w:ascii="Times New Roman" w:eastAsia="Times New Roman" w:hAnsi="Times New Roman" w:cs="Times New Roman"/>
          <w:sz w:val="24"/>
          <w:szCs w:val="24"/>
        </w:rPr>
        <w:t>la comparación de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puntajes </w:t>
      </w:r>
      <w:r w:rsidR="005627C9">
        <w:rPr>
          <w:rFonts w:ascii="Times New Roman" w:eastAsia="Times New Roman" w:hAnsi="Times New Roman" w:cs="Times New Roman"/>
          <w:sz w:val="24"/>
          <w:szCs w:val="24"/>
        </w:rPr>
        <w:t>según orientación sexual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C688A5" w14:textId="63723A37" w:rsidR="00AA2C15" w:rsidRPr="00B309D0" w:rsidRDefault="0053684C" w:rsidP="000C5AF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5627C9">
        <w:rPr>
          <w:rFonts w:ascii="Times New Roman" w:eastAsia="Times New Roman" w:hAnsi="Times New Roman" w:cs="Times New Roman"/>
          <w:sz w:val="24"/>
          <w:szCs w:val="24"/>
        </w:rPr>
        <w:t>las pruebas de hipótesis se realizó una regresión jerárquica</w:t>
      </w:r>
      <w:r w:rsidR="00AA2C15">
        <w:rPr>
          <w:rFonts w:ascii="Times New Roman" w:eastAsia="Times New Roman" w:hAnsi="Times New Roman" w:cs="Times New Roman"/>
          <w:sz w:val="24"/>
          <w:szCs w:val="24"/>
        </w:rPr>
        <w:t xml:space="preserve"> múltiple de tres etapas.</w:t>
      </w:r>
      <w:r w:rsidR="00562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L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 xml:space="preserve">as variables predictoras fueron 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>orientación sexual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 (gay/lesbiana, bisexual, otra orientación no heterosexual)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>área de residencia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 (urbana o rural)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vivir con los padres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(todo el año, durante fines de semana y vacaciones, independiente), </w:t>
      </w:r>
      <w:r w:rsidR="00224AAE">
        <w:rPr>
          <w:rFonts w:ascii="Times New Roman" w:eastAsia="Times New Roman" w:hAnsi="Times New Roman" w:cs="Times New Roman"/>
          <w:sz w:val="24"/>
          <w:szCs w:val="24"/>
        </w:rPr>
        <w:t xml:space="preserve">y el apoyo familiar, de amistades, y de otros significativos. 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>La variable dependiente fue el puntaje de la relevación de la orientación sexual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E31A1">
        <w:rPr>
          <w:rFonts w:ascii="Times New Roman" w:eastAsia="Times New Roman" w:hAnsi="Times New Roman" w:cs="Times New Roman"/>
          <w:sz w:val="24"/>
          <w:szCs w:val="24"/>
        </w:rPr>
        <w:t>a mayor puntaje, la ha revelado a más personas o grupos de personas</w:t>
      </w:r>
      <w:r w:rsidR="000A5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7C44">
        <w:rPr>
          <w:rFonts w:ascii="Times New Roman" w:eastAsia="Times New Roman" w:hAnsi="Times New Roman" w:cs="Times New Roman"/>
          <w:sz w:val="24"/>
          <w:szCs w:val="24"/>
        </w:rPr>
        <w:t xml:space="preserve">Las variables orientación sexual, área de residencia y con quiénes reside fueron </w:t>
      </w:r>
      <w:r w:rsidR="00C10564">
        <w:rPr>
          <w:rFonts w:ascii="Times New Roman" w:eastAsia="Times New Roman" w:hAnsi="Times New Roman" w:cs="Times New Roman"/>
          <w:sz w:val="24"/>
          <w:szCs w:val="24"/>
        </w:rPr>
        <w:t>convertidas</w:t>
      </w:r>
      <w:r w:rsidR="007B7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56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B7C44">
        <w:rPr>
          <w:rFonts w:ascii="Times New Roman" w:eastAsia="Times New Roman" w:hAnsi="Times New Roman" w:cs="Times New Roman"/>
          <w:sz w:val="24"/>
          <w:szCs w:val="24"/>
        </w:rPr>
        <w:t xml:space="preserve"> variables </w:t>
      </w:r>
      <w:proofErr w:type="spellStart"/>
      <w:r w:rsidR="007B7C44" w:rsidRPr="007B7C44">
        <w:rPr>
          <w:rFonts w:ascii="Times New Roman" w:eastAsia="Times New Roman" w:hAnsi="Times New Roman" w:cs="Times New Roman"/>
          <w:i/>
          <w:iCs/>
          <w:sz w:val="24"/>
          <w:szCs w:val="24"/>
        </w:rPr>
        <w:t>dummy</w:t>
      </w:r>
      <w:proofErr w:type="spellEnd"/>
      <w:r w:rsidR="007B7C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0564">
        <w:rPr>
          <w:rFonts w:ascii="Times New Roman" w:eastAsia="Times New Roman" w:hAnsi="Times New Roman" w:cs="Times New Roman"/>
          <w:sz w:val="24"/>
          <w:szCs w:val="24"/>
        </w:rPr>
        <w:t xml:space="preserve">en las que los valores de 1, 2 y 3 se transformaron en 0, 1 y 2, </w:t>
      </w:r>
      <w:r w:rsidR="00C105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respectivamente. </w:t>
      </w:r>
      <w:r w:rsidR="00AA2C15">
        <w:rPr>
          <w:rFonts w:ascii="Times New Roman" w:eastAsia="Times New Roman" w:hAnsi="Times New Roman" w:cs="Times New Roman"/>
          <w:sz w:val="24"/>
          <w:szCs w:val="24"/>
        </w:rPr>
        <w:t>Las variables predictoras fueron ingresadas en bloque</w:t>
      </w:r>
      <w:r w:rsidR="000C5AF6">
        <w:rPr>
          <w:rFonts w:ascii="Times New Roman" w:eastAsia="Times New Roman" w:hAnsi="Times New Roman" w:cs="Times New Roman"/>
          <w:sz w:val="24"/>
          <w:szCs w:val="24"/>
        </w:rPr>
        <w:t xml:space="preserve"> (ver Resultados)</w:t>
      </w:r>
      <w:r w:rsidR="00AA2C15" w:rsidRPr="0091283B">
        <w:rPr>
          <w:rFonts w:ascii="Times New Roman" w:hAnsi="Times New Roman" w:cs="Times New Roman"/>
          <w:sz w:val="24"/>
          <w:szCs w:val="24"/>
        </w:rPr>
        <w:t xml:space="preserve"> para observar las relaciones desde condiciones sociodemográficas</w:t>
      </w:r>
      <w:r w:rsidR="003D5569">
        <w:rPr>
          <w:rFonts w:ascii="Times New Roman" w:hAnsi="Times New Roman" w:cs="Times New Roman"/>
          <w:sz w:val="24"/>
          <w:szCs w:val="24"/>
        </w:rPr>
        <w:t xml:space="preserve"> </w:t>
      </w:r>
      <w:r w:rsidR="00AA2C15" w:rsidRPr="0091283B">
        <w:rPr>
          <w:rFonts w:ascii="Times New Roman" w:hAnsi="Times New Roman" w:cs="Times New Roman"/>
          <w:sz w:val="24"/>
          <w:szCs w:val="24"/>
        </w:rPr>
        <w:t>a los recursos que est</w:t>
      </w:r>
      <w:r w:rsidR="003A1F4A">
        <w:rPr>
          <w:rFonts w:ascii="Times New Roman" w:hAnsi="Times New Roman" w:cs="Times New Roman"/>
          <w:sz w:val="24"/>
          <w:szCs w:val="24"/>
        </w:rPr>
        <w:t>a</w:t>
      </w:r>
      <w:r w:rsidR="00AA2C15" w:rsidRPr="0091283B">
        <w:rPr>
          <w:rFonts w:ascii="Times New Roman" w:hAnsi="Times New Roman" w:cs="Times New Roman"/>
          <w:sz w:val="24"/>
          <w:szCs w:val="24"/>
        </w:rPr>
        <w:t>s pueden proveer a la</w:t>
      </w:r>
      <w:r w:rsidR="00AA2C15">
        <w:rPr>
          <w:rFonts w:ascii="Times New Roman" w:hAnsi="Times New Roman" w:cs="Times New Roman"/>
          <w:sz w:val="24"/>
          <w:szCs w:val="24"/>
        </w:rPr>
        <w:t>s personas</w:t>
      </w:r>
      <w:r w:rsidR="003D5569">
        <w:rPr>
          <w:rFonts w:ascii="Times New Roman" w:hAnsi="Times New Roman" w:cs="Times New Roman"/>
          <w:sz w:val="24"/>
          <w:szCs w:val="24"/>
        </w:rPr>
        <w:t xml:space="preserve"> para revelar su orientación sexual</w:t>
      </w:r>
      <w:r w:rsidR="00AA2C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039A4" w14:textId="77777777" w:rsidR="00060EC5" w:rsidRPr="005723A5" w:rsidRDefault="00060EC5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6974FA1" w14:textId="77777777" w:rsidR="00DD06C8" w:rsidRPr="005723A5" w:rsidRDefault="0053684C" w:rsidP="00F957F2">
      <w:pPr>
        <w:pStyle w:val="Ttulo1"/>
        <w:spacing w:line="360" w:lineRule="auto"/>
      </w:pPr>
      <w:bookmarkStart w:id="6" w:name="_Toc92990571"/>
      <w:r w:rsidRPr="005723A5">
        <w:t>Resultados</w:t>
      </w:r>
      <w:bookmarkEnd w:id="6"/>
    </w:p>
    <w:p w14:paraId="0E5F8871" w14:textId="12997D8A" w:rsidR="00A64D0C" w:rsidRPr="00123D5D" w:rsidRDefault="003C34CF" w:rsidP="00F957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Puntajes promedio y c</w:t>
      </w:r>
      <w:r w:rsidR="00A64D0C" w:rsidRPr="00123D5D">
        <w:rPr>
          <w:rFonts w:ascii="Times New Roman" w:eastAsia="Times New Roman" w:hAnsi="Times New Roman" w:cs="Times New Roman"/>
          <w:b/>
          <w:bCs/>
          <w:sz w:val="24"/>
          <w:szCs w:val="24"/>
        </w:rPr>
        <w:t>omparaciones entre grupos</w:t>
      </w:r>
    </w:p>
    <w:p w14:paraId="3CBD84B9" w14:textId="44BF6C8A" w:rsidR="00F514DE" w:rsidRDefault="003C34CF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puntajes promedio de apoyo social 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>en sus tres dimensiones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de la revelación de la orientación sexual se presentan en la Tabla 2. Asimismo, se presentan las comparaciones de estas variables </w:t>
      </w:r>
      <w:r w:rsidR="001E41A5">
        <w:rPr>
          <w:rFonts w:ascii="Times New Roman" w:eastAsia="Times New Roman" w:hAnsi="Times New Roman" w:cs="Times New Roman"/>
          <w:sz w:val="24"/>
          <w:szCs w:val="24"/>
        </w:rPr>
        <w:t>entre grupos según orientación sexual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 xml:space="preserve">. Hubo </w:t>
      </w:r>
      <w:r w:rsidR="00D75312">
        <w:rPr>
          <w:rFonts w:ascii="Times New Roman" w:eastAsia="Times New Roman" w:hAnsi="Times New Roman" w:cs="Times New Roman"/>
          <w:sz w:val="24"/>
          <w:szCs w:val="24"/>
        </w:rPr>
        <w:t xml:space="preserve">diferencias significativas en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75312">
        <w:rPr>
          <w:rFonts w:ascii="Times New Roman" w:eastAsia="Times New Roman" w:hAnsi="Times New Roman" w:cs="Times New Roman"/>
          <w:sz w:val="24"/>
          <w:szCs w:val="24"/>
        </w:rPr>
        <w:t xml:space="preserve"> revelación de orientación sexual</w:t>
      </w:r>
      <w:r w:rsidR="00672AAF">
        <w:rPr>
          <w:rFonts w:ascii="Times New Roman" w:eastAsia="Times New Roman" w:hAnsi="Times New Roman" w:cs="Times New Roman"/>
          <w:sz w:val="24"/>
          <w:szCs w:val="24"/>
        </w:rPr>
        <w:t xml:space="preserve"> entre los grupos.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Un</w:t>
      </w:r>
      <w:r w:rsidR="00672AAF">
        <w:rPr>
          <w:rFonts w:ascii="Times New Roman" w:eastAsia="Times New Roman" w:hAnsi="Times New Roman" w:cs="Times New Roman"/>
          <w:sz w:val="24"/>
          <w:szCs w:val="24"/>
        </w:rPr>
        <w:t xml:space="preserve">a prueba </w:t>
      </w:r>
      <w:r w:rsidR="00672AAF" w:rsidRPr="00672AAF">
        <w:rPr>
          <w:rFonts w:ascii="Times New Roman" w:eastAsia="Times New Roman" w:hAnsi="Times New Roman" w:cs="Times New Roman"/>
          <w:i/>
          <w:iCs/>
          <w:sz w:val="24"/>
          <w:szCs w:val="24"/>
        </w:rPr>
        <w:t>post hoc</w:t>
      </w:r>
      <w:r w:rsidR="00672AAF">
        <w:rPr>
          <w:rFonts w:ascii="Times New Roman" w:eastAsia="Times New Roman" w:hAnsi="Times New Roman" w:cs="Times New Roman"/>
          <w:sz w:val="24"/>
          <w:szCs w:val="24"/>
        </w:rPr>
        <w:t xml:space="preserve"> indic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ó</w:t>
      </w:r>
      <w:r w:rsidR="00672AA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 xml:space="preserve">estudiantes 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>lesbianas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 xml:space="preserve"> revelan su orientación sexual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promedio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 xml:space="preserve"> a dos personas 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 xml:space="preserve">o grupos de personas 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>más que bisexuales y otras orientaciones no heterosexuales</w:t>
      </w:r>
      <w:r w:rsidR="009C46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3615">
        <w:rPr>
          <w:rFonts w:ascii="Times New Roman" w:eastAsia="Times New Roman" w:hAnsi="Times New Roman" w:cs="Times New Roman"/>
          <w:sz w:val="24"/>
          <w:szCs w:val="24"/>
        </w:rPr>
        <w:t xml:space="preserve"> mientras que entre estos dos últimos grupos no hubo diferencias,</w:t>
      </w:r>
      <w:r w:rsidR="00335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14DE" w:rsidRPr="00393FC5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="00F514DE" w:rsidRPr="00A24D3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514DE" w:rsidRPr="00A24D3A">
        <w:rPr>
          <w:rFonts w:ascii="Times New Roman" w:eastAsia="Times New Roman" w:hAnsi="Times New Roman" w:cs="Times New Roman"/>
          <w:sz w:val="24"/>
          <w:szCs w:val="24"/>
        </w:rPr>
        <w:t>2, 26</w:t>
      </w:r>
      <w:r w:rsidR="00A24D3A" w:rsidRPr="00A24D3A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14DE" w:rsidRPr="00A24D3A">
        <w:rPr>
          <w:rFonts w:ascii="Times New Roman" w:eastAsia="Times New Roman" w:hAnsi="Times New Roman" w:cs="Times New Roman"/>
          <w:sz w:val="24"/>
          <w:szCs w:val="24"/>
        </w:rPr>
        <w:t>) = 2</w:t>
      </w:r>
      <w:r w:rsidR="00A24D3A" w:rsidRPr="00A24D3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589D" w:rsidRPr="00A24D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D3A" w:rsidRPr="00A24D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89D" w:rsidRPr="00A24D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4DE" w:rsidRPr="00A24D3A">
        <w:rPr>
          <w:rFonts w:ascii="Times New Roman" w:eastAsia="Times New Roman" w:hAnsi="Times New Roman" w:cs="Times New Roman"/>
          <w:i/>
          <w:sz w:val="24"/>
          <w:szCs w:val="24"/>
        </w:rPr>
        <w:t xml:space="preserve"> p</w:t>
      </w:r>
      <w:r w:rsidR="00F514DE" w:rsidRPr="00A24D3A">
        <w:rPr>
          <w:rFonts w:ascii="Times New Roman" w:eastAsia="Times New Roman" w:hAnsi="Times New Roman" w:cs="Times New Roman"/>
          <w:sz w:val="24"/>
          <w:szCs w:val="24"/>
        </w:rPr>
        <w:t xml:space="preserve"> &lt; </w:t>
      </w:r>
      <w:r w:rsidR="0033589D" w:rsidRPr="00A24D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14DE" w:rsidRPr="00A24D3A">
        <w:rPr>
          <w:rFonts w:ascii="Times New Roman" w:eastAsia="Times New Roman" w:hAnsi="Times New Roman" w:cs="Times New Roman"/>
          <w:sz w:val="24"/>
          <w:szCs w:val="24"/>
        </w:rPr>
        <w:t>001</w:t>
      </w:r>
      <w:r w:rsidR="0033589D" w:rsidRPr="00A24D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4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9F7" w:rsidRPr="00550C09">
        <w:rPr>
          <w:rFonts w:ascii="Times New Roman" w:eastAsia="Times New Roman" w:hAnsi="Times New Roman" w:cs="Times New Roman"/>
          <w:i/>
          <w:iCs/>
          <w:sz w:val="24"/>
          <w:szCs w:val="24"/>
        </w:rPr>
        <w:t>ηp</w:t>
      </w:r>
      <w:r w:rsidR="000449F7" w:rsidRPr="00550C0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449F7">
        <w:rPr>
          <w:rFonts w:ascii="Times New Roman" w:eastAsia="Times New Roman" w:hAnsi="Times New Roman" w:cs="Times New Roman"/>
          <w:sz w:val="24"/>
          <w:szCs w:val="24"/>
        </w:rPr>
        <w:t xml:space="preserve"> = .152</w:t>
      </w:r>
      <w:r w:rsidR="000E0801">
        <w:rPr>
          <w:rFonts w:ascii="Times New Roman" w:eastAsia="Times New Roman" w:hAnsi="Times New Roman" w:cs="Times New Roman"/>
          <w:sz w:val="24"/>
          <w:szCs w:val="24"/>
        </w:rPr>
        <w:t xml:space="preserve">; el tamaño del efecto de esta diferencia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E0801">
        <w:rPr>
          <w:rFonts w:ascii="Times New Roman" w:eastAsia="Times New Roman" w:hAnsi="Times New Roman" w:cs="Times New Roman"/>
          <w:sz w:val="24"/>
          <w:szCs w:val="24"/>
        </w:rPr>
        <w:t xml:space="preserve"> pequeño (Cohen, 1992)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No hubo</w:t>
      </w:r>
      <w:r w:rsidR="00F514DE" w:rsidRPr="005723A5">
        <w:rPr>
          <w:rFonts w:ascii="Times New Roman" w:eastAsia="Times New Roman" w:hAnsi="Times New Roman" w:cs="Times New Roman"/>
          <w:sz w:val="24"/>
          <w:szCs w:val="24"/>
        </w:rPr>
        <w:t xml:space="preserve"> diferencias significativas </w:t>
      </w:r>
      <w:r w:rsidR="00B643FF">
        <w:rPr>
          <w:rFonts w:ascii="Times New Roman" w:eastAsia="Times New Roman" w:hAnsi="Times New Roman" w:cs="Times New Roman"/>
          <w:sz w:val="24"/>
          <w:szCs w:val="24"/>
        </w:rPr>
        <w:t>por orientación sexual en apoyo familia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B643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438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643FF">
        <w:rPr>
          <w:rFonts w:ascii="Times New Roman" w:eastAsia="Times New Roman" w:hAnsi="Times New Roman" w:cs="Times New Roman"/>
          <w:sz w:val="24"/>
          <w:szCs w:val="24"/>
        </w:rPr>
        <w:t xml:space="preserve">amistades y otros significativos. </w:t>
      </w:r>
    </w:p>
    <w:p w14:paraId="5A97B0AE" w14:textId="27634646" w:rsidR="00A64D0C" w:rsidRDefault="00A64D0C" w:rsidP="00F957F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44F538" w14:textId="46FCB93D" w:rsidR="00A64D0C" w:rsidRPr="00B643FF" w:rsidRDefault="00A64D0C" w:rsidP="00F957F2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B643FF">
        <w:rPr>
          <w:rFonts w:ascii="Times New Roman" w:hAnsi="Times New Roman" w:cs="Times New Roman"/>
        </w:rPr>
        <w:t xml:space="preserve">Tabla </w:t>
      </w:r>
      <w:r w:rsidR="00B643FF" w:rsidRPr="00B643FF">
        <w:rPr>
          <w:rFonts w:ascii="Times New Roman" w:hAnsi="Times New Roman" w:cs="Times New Roman"/>
        </w:rPr>
        <w:t>2</w:t>
      </w:r>
      <w:r w:rsidRPr="00B643FF">
        <w:rPr>
          <w:rFonts w:ascii="Times New Roman" w:hAnsi="Times New Roman" w:cs="Times New Roman"/>
        </w:rPr>
        <w:t>.</w:t>
      </w:r>
      <w:r w:rsidRPr="000845C5">
        <w:rPr>
          <w:rFonts w:ascii="Times New Roman" w:hAnsi="Times New Roman" w:cs="Times New Roman"/>
        </w:rPr>
        <w:t xml:space="preserve"> </w:t>
      </w:r>
      <w:r w:rsidRPr="00B643FF">
        <w:rPr>
          <w:rFonts w:ascii="Times New Roman" w:hAnsi="Times New Roman" w:cs="Times New Roman"/>
          <w:i/>
          <w:iCs/>
        </w:rPr>
        <w:t>Medias y desviación estándar de puntajes por subgrupo.</w:t>
      </w:r>
    </w:p>
    <w:tbl>
      <w:tblPr>
        <w:tblStyle w:val="Tablaconcuadrcula"/>
        <w:tblW w:w="894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76"/>
        <w:gridCol w:w="830"/>
        <w:gridCol w:w="876"/>
        <w:gridCol w:w="799"/>
        <w:gridCol w:w="6"/>
        <w:gridCol w:w="750"/>
        <w:gridCol w:w="1152"/>
        <w:gridCol w:w="934"/>
        <w:gridCol w:w="727"/>
      </w:tblGrid>
      <w:tr w:rsidR="00A64D0C" w:rsidRPr="000845C5" w14:paraId="230B636D" w14:textId="77777777" w:rsidTr="007A368F">
        <w:tc>
          <w:tcPr>
            <w:tcW w:w="1996" w:type="dxa"/>
            <w:vMerge w:val="restart"/>
            <w:vAlign w:val="center"/>
          </w:tcPr>
          <w:p w14:paraId="23803F1C" w14:textId="77777777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706" w:type="dxa"/>
            <w:gridSpan w:val="2"/>
            <w:tcBorders>
              <w:bottom w:val="nil"/>
            </w:tcBorders>
            <w:vAlign w:val="center"/>
          </w:tcPr>
          <w:p w14:paraId="0A01DFE1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Lesbiana/gay</w:t>
            </w:r>
          </w:p>
        </w:tc>
        <w:tc>
          <w:tcPr>
            <w:tcW w:w="1681" w:type="dxa"/>
            <w:gridSpan w:val="3"/>
            <w:tcBorders>
              <w:bottom w:val="nil"/>
            </w:tcBorders>
            <w:vAlign w:val="center"/>
          </w:tcPr>
          <w:p w14:paraId="04F671E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Bisexual</w:t>
            </w:r>
          </w:p>
        </w:tc>
        <w:tc>
          <w:tcPr>
            <w:tcW w:w="1902" w:type="dxa"/>
            <w:gridSpan w:val="2"/>
            <w:tcBorders>
              <w:bottom w:val="nil"/>
            </w:tcBorders>
            <w:vAlign w:val="center"/>
          </w:tcPr>
          <w:p w14:paraId="7D7BDF50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Otra orientación</w:t>
            </w:r>
          </w:p>
        </w:tc>
        <w:tc>
          <w:tcPr>
            <w:tcW w:w="934" w:type="dxa"/>
            <w:vMerge w:val="restart"/>
            <w:vAlign w:val="center"/>
          </w:tcPr>
          <w:p w14:paraId="1432F5B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845C5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727" w:type="dxa"/>
            <w:vMerge w:val="restart"/>
            <w:vAlign w:val="center"/>
          </w:tcPr>
          <w:p w14:paraId="0208B4C4" w14:textId="5B84EF50" w:rsidR="00A64D0C" w:rsidRPr="000845C5" w:rsidRDefault="00211DE0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Style w:val="hgkelc"/>
                <w:rFonts w:ascii="Times New Roman" w:hAnsi="Times New Roman" w:cs="Times New Roman"/>
              </w:rPr>
              <w:t>ηp2</w:t>
            </w:r>
          </w:p>
        </w:tc>
      </w:tr>
      <w:tr w:rsidR="00A64D0C" w:rsidRPr="000845C5" w14:paraId="542C3B6E" w14:textId="77777777" w:rsidTr="007A368F"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14:paraId="06F20420" w14:textId="77777777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vAlign w:val="center"/>
          </w:tcPr>
          <w:p w14:paraId="0D94FA99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vAlign w:val="center"/>
          </w:tcPr>
          <w:p w14:paraId="275E7130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  <w:vAlign w:val="center"/>
          </w:tcPr>
          <w:p w14:paraId="6D28FB5A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  <w:vAlign w:val="center"/>
          </w:tcPr>
          <w:p w14:paraId="583F9F6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7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BD25DD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vAlign w:val="center"/>
          </w:tcPr>
          <w:p w14:paraId="70663EB7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vAlign w:val="center"/>
          </w:tcPr>
          <w:p w14:paraId="1D80F53C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774CB0EC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D0C" w:rsidRPr="000845C5" w14:paraId="7B60091F" w14:textId="77777777" w:rsidTr="007A368F"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F0C1CE" w14:textId="77777777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Apoyo familia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1247C35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61CDF3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7CABB37D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6211CE4D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756" w:type="dxa"/>
            <w:gridSpan w:val="2"/>
            <w:tcBorders>
              <w:top w:val="nil"/>
              <w:bottom w:val="nil"/>
            </w:tcBorders>
            <w:vAlign w:val="center"/>
          </w:tcPr>
          <w:p w14:paraId="60243E9B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13.21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6982A9F5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14:paraId="54BEFA30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.898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D90E9A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---</w:t>
            </w:r>
          </w:p>
        </w:tc>
      </w:tr>
      <w:tr w:rsidR="00A64D0C" w:rsidRPr="000845C5" w14:paraId="48E9188F" w14:textId="77777777" w:rsidTr="007A368F"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4AF495" w14:textId="77777777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Apoyo amistades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0C95B799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15.47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6B11649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32B0E715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15.87</w:t>
            </w:r>
          </w:p>
        </w:tc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479DCE1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56" w:type="dxa"/>
            <w:gridSpan w:val="2"/>
            <w:tcBorders>
              <w:top w:val="nil"/>
              <w:bottom w:val="nil"/>
            </w:tcBorders>
            <w:vAlign w:val="center"/>
          </w:tcPr>
          <w:p w14:paraId="0BF76049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16.42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2C357888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14:paraId="1A5DD319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.423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C7829D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---</w:t>
            </w:r>
          </w:p>
        </w:tc>
      </w:tr>
      <w:tr w:rsidR="00A64D0C" w:rsidRPr="000845C5" w14:paraId="09A30E9C" w14:textId="77777777" w:rsidTr="007A368F"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5FF36D" w14:textId="77777777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Apoyo otros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490A6F65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15.54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0604484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14:paraId="78315916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15.41</w:t>
            </w:r>
          </w:p>
        </w:tc>
        <w:tc>
          <w:tcPr>
            <w:tcW w:w="799" w:type="dxa"/>
            <w:tcBorders>
              <w:top w:val="nil"/>
              <w:bottom w:val="nil"/>
            </w:tcBorders>
            <w:vAlign w:val="center"/>
          </w:tcPr>
          <w:p w14:paraId="183398BB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3.85</w:t>
            </w:r>
          </w:p>
        </w:tc>
        <w:tc>
          <w:tcPr>
            <w:tcW w:w="756" w:type="dxa"/>
            <w:gridSpan w:val="2"/>
            <w:tcBorders>
              <w:top w:val="nil"/>
              <w:bottom w:val="nil"/>
            </w:tcBorders>
            <w:vAlign w:val="center"/>
          </w:tcPr>
          <w:p w14:paraId="0E76FB9A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14.86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14:paraId="059F093B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14:paraId="4131DE7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.651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12F963A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---</w:t>
            </w:r>
          </w:p>
        </w:tc>
      </w:tr>
      <w:tr w:rsidR="00A64D0C" w:rsidRPr="000845C5" w14:paraId="785C2377" w14:textId="77777777" w:rsidTr="007A368F">
        <w:tc>
          <w:tcPr>
            <w:tcW w:w="1996" w:type="dxa"/>
            <w:tcBorders>
              <w:top w:val="nil"/>
            </w:tcBorders>
            <w:vAlign w:val="center"/>
          </w:tcPr>
          <w:p w14:paraId="4F741A7D" w14:textId="5A1E3BEC" w:rsidR="00A64D0C" w:rsidRPr="000845C5" w:rsidRDefault="00A64D0C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ROS</w:t>
            </w:r>
            <w:r w:rsidR="00B643FF" w:rsidRPr="00B643F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14:paraId="34290082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6.54</w:t>
            </w:r>
          </w:p>
        </w:tc>
        <w:tc>
          <w:tcPr>
            <w:tcW w:w="830" w:type="dxa"/>
            <w:tcBorders>
              <w:top w:val="nil"/>
            </w:tcBorders>
            <w:vAlign w:val="center"/>
          </w:tcPr>
          <w:p w14:paraId="24053F90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14:paraId="786443F6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99" w:type="dxa"/>
            <w:tcBorders>
              <w:top w:val="nil"/>
            </w:tcBorders>
            <w:vAlign w:val="center"/>
          </w:tcPr>
          <w:p w14:paraId="39902D9A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756" w:type="dxa"/>
            <w:gridSpan w:val="2"/>
            <w:tcBorders>
              <w:top w:val="nil"/>
            </w:tcBorders>
            <w:vAlign w:val="center"/>
          </w:tcPr>
          <w:p w14:paraId="6B3242E3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4.76</w:t>
            </w:r>
          </w:p>
        </w:tc>
        <w:tc>
          <w:tcPr>
            <w:tcW w:w="1152" w:type="dxa"/>
            <w:tcBorders>
              <w:top w:val="nil"/>
            </w:tcBorders>
            <w:vAlign w:val="center"/>
          </w:tcPr>
          <w:p w14:paraId="023CE56C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934" w:type="dxa"/>
            <w:tcBorders>
              <w:top w:val="nil"/>
            </w:tcBorders>
            <w:vAlign w:val="center"/>
          </w:tcPr>
          <w:p w14:paraId="753A0386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727" w:type="dxa"/>
            <w:tcBorders>
              <w:top w:val="nil"/>
            </w:tcBorders>
            <w:vAlign w:val="center"/>
          </w:tcPr>
          <w:p w14:paraId="4DA61ABA" w14:textId="77777777" w:rsidR="00A64D0C" w:rsidRPr="000845C5" w:rsidRDefault="00A64D0C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845C5">
              <w:rPr>
                <w:rFonts w:ascii="Times New Roman" w:hAnsi="Times New Roman" w:cs="Times New Roman"/>
              </w:rPr>
              <w:t>.152</w:t>
            </w:r>
          </w:p>
        </w:tc>
      </w:tr>
    </w:tbl>
    <w:p w14:paraId="01C97A87" w14:textId="7CB2A7B7" w:rsidR="00A64D0C" w:rsidRDefault="00B643FF" w:rsidP="00F957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3FF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B643F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Revelación de la orientación sexual</w:t>
      </w:r>
    </w:p>
    <w:p w14:paraId="268BC233" w14:textId="15AC25A3" w:rsidR="00A64D0C" w:rsidRDefault="00A64D0C" w:rsidP="00F957F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564AF" w14:textId="20A09345" w:rsidR="00CA46A2" w:rsidRDefault="00CA46A2" w:rsidP="00F957F2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Por otro lado, no se encontró asociación entre la orientación sexual de los estudiantes y </w:t>
      </w:r>
      <w:r w:rsidR="004E4A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 viven o no con sus padres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FC1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46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χ</w:t>
      </w:r>
      <w:r w:rsidRPr="00CA46A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FC1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(4, 272) = 2.55, </w:t>
      </w:r>
      <w:r w:rsidRPr="00CA46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</w:t>
      </w:r>
      <w:r w:rsidRPr="00FC1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= .635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ni entre orientación sexual y área de residencia, </w:t>
      </w:r>
      <w:r w:rsidRPr="00CA46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χ</w:t>
      </w:r>
      <w:r w:rsidRPr="00CA46A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FC1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(2, 272) = 2.05, </w:t>
      </w:r>
      <w:r w:rsidRPr="00CA46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</w:t>
      </w:r>
      <w:r w:rsidRPr="00FC10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= .358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Es decir, no hay variación en la muestra entre estas variables según la orientación sexual de la persona. </w:t>
      </w:r>
    </w:p>
    <w:p w14:paraId="306CF455" w14:textId="638A5A2F" w:rsidR="00FC10AC" w:rsidRDefault="00FC10AC" w:rsidP="00F957F2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845DE1" w14:textId="77777777" w:rsidR="00DD06C8" w:rsidRPr="00123D5D" w:rsidRDefault="0053684C" w:rsidP="00F957F2">
      <w:pPr>
        <w:pStyle w:val="Ttulo2"/>
        <w:spacing w:line="360" w:lineRule="auto"/>
      </w:pPr>
      <w:bookmarkStart w:id="7" w:name="_Toc92990574"/>
      <w:r w:rsidRPr="00123D5D">
        <w:t>Análisis de regresión</w:t>
      </w:r>
      <w:bookmarkEnd w:id="7"/>
    </w:p>
    <w:p w14:paraId="3962456B" w14:textId="2B6D0D40" w:rsidR="00211FFA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Para poner a prueba </w:t>
      </w:r>
      <w:r w:rsidR="006E0A88">
        <w:rPr>
          <w:rFonts w:ascii="Times New Roman" w:eastAsia="Times New Roman" w:hAnsi="Times New Roman" w:cs="Times New Roman"/>
          <w:sz w:val="24"/>
          <w:szCs w:val="24"/>
        </w:rPr>
        <w:t>el modelo propuesto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, se realizó un análisis de regresión múltiple jerárquica. E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>n 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ste análisis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, la variable dependiente fue la revelación de la orientación sexual, 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mientras que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las variables 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predictoras fueron: orientación sexual,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área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residencia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857">
        <w:rPr>
          <w:rFonts w:ascii="Times New Roman" w:eastAsia="Times New Roman" w:hAnsi="Times New Roman" w:cs="Times New Roman"/>
          <w:sz w:val="24"/>
          <w:szCs w:val="24"/>
        </w:rPr>
        <w:t xml:space="preserve">vivir 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EE4857">
        <w:rPr>
          <w:rFonts w:ascii="Times New Roman" w:eastAsia="Times New Roman" w:hAnsi="Times New Roman" w:cs="Times New Roman"/>
          <w:sz w:val="24"/>
          <w:szCs w:val="24"/>
        </w:rPr>
        <w:t>lo</w:t>
      </w:r>
      <w:r w:rsidR="001019C7">
        <w:rPr>
          <w:rFonts w:ascii="Times New Roman" w:eastAsia="Times New Roman" w:hAnsi="Times New Roman" w:cs="Times New Roman"/>
          <w:sz w:val="24"/>
          <w:szCs w:val="24"/>
        </w:rPr>
        <w:t xml:space="preserve">s padres, y apoyo familiar, de amistades y de otros significativos. </w:t>
      </w:r>
    </w:p>
    <w:p w14:paraId="649679D8" w14:textId="5BF07C2F" w:rsidR="001019C7" w:rsidRPr="00211FFA" w:rsidRDefault="001019C7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8473D">
        <w:rPr>
          <w:rFonts w:ascii="Times New Roman" w:hAnsi="Times New Roman" w:cs="Times New Roman"/>
          <w:sz w:val="24"/>
          <w:szCs w:val="24"/>
        </w:rPr>
        <w:t>Antes de realizar l</w:t>
      </w:r>
      <w:r>
        <w:rPr>
          <w:rFonts w:ascii="Times New Roman" w:hAnsi="Times New Roman" w:cs="Times New Roman"/>
          <w:sz w:val="24"/>
          <w:szCs w:val="24"/>
        </w:rPr>
        <w:t xml:space="preserve">a regresión, se pusieron a prueba una serie de supuestos. </w:t>
      </w:r>
      <w:r w:rsidR="00B15C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supuesto de errores independientes</w:t>
      </w:r>
      <w:r w:rsidR="00B15C04">
        <w:rPr>
          <w:rFonts w:ascii="Times New Roman" w:hAnsi="Times New Roman" w:cs="Times New Roman"/>
          <w:sz w:val="24"/>
          <w:szCs w:val="24"/>
        </w:rPr>
        <w:t xml:space="preserve"> no se cumplió</w:t>
      </w:r>
      <w:r>
        <w:rPr>
          <w:rFonts w:ascii="Times New Roman" w:hAnsi="Times New Roman" w:cs="Times New Roman"/>
          <w:sz w:val="24"/>
          <w:szCs w:val="24"/>
        </w:rPr>
        <w:t>, pues el valor Durbin-Watson fue de .021</w:t>
      </w:r>
      <w:r w:rsidR="00B15C04">
        <w:rPr>
          <w:rFonts w:ascii="Times New Roman" w:hAnsi="Times New Roman" w:cs="Times New Roman"/>
          <w:sz w:val="24"/>
          <w:szCs w:val="24"/>
        </w:rPr>
        <w:t xml:space="preserve"> (los </w:t>
      </w:r>
      <w:r>
        <w:rPr>
          <w:rFonts w:ascii="Times New Roman" w:hAnsi="Times New Roman" w:cs="Times New Roman"/>
          <w:sz w:val="24"/>
          <w:szCs w:val="24"/>
        </w:rPr>
        <w:t xml:space="preserve">valores </w:t>
      </w:r>
      <w:r w:rsidR="00B15C04">
        <w:rPr>
          <w:rFonts w:ascii="Times New Roman" w:hAnsi="Times New Roman" w:cs="Times New Roman"/>
          <w:sz w:val="24"/>
          <w:szCs w:val="24"/>
        </w:rPr>
        <w:t>deben encontrarse entre 1 y 3), mientras que</w:t>
      </w:r>
      <w:r>
        <w:rPr>
          <w:rFonts w:ascii="Times New Roman" w:hAnsi="Times New Roman" w:cs="Times New Roman"/>
          <w:sz w:val="24"/>
          <w:szCs w:val="24"/>
        </w:rPr>
        <w:t xml:space="preserve"> el gráfico de dispersión no permitió comprobar la homocedasticidad y linealidad. Sin embargo, el resto de los supuestos fueron cumplidos. </w:t>
      </w:r>
      <w:r w:rsidR="00B15C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os residuales estandarizados </w:t>
      </w:r>
      <w:r w:rsidR="00B15C04">
        <w:rPr>
          <w:rFonts w:ascii="Times New Roman" w:hAnsi="Times New Roman" w:cs="Times New Roman"/>
          <w:sz w:val="24"/>
          <w:szCs w:val="24"/>
        </w:rPr>
        <w:t xml:space="preserve">no mostraron </w:t>
      </w:r>
      <w:r>
        <w:rPr>
          <w:rFonts w:ascii="Times New Roman" w:hAnsi="Times New Roman" w:cs="Times New Roman"/>
          <w:sz w:val="24"/>
          <w:szCs w:val="24"/>
        </w:rPr>
        <w:t xml:space="preserve">datos atípicos. El supuesto de colinealidad </w:t>
      </w:r>
      <w:r w:rsidR="00B15C04">
        <w:rPr>
          <w:rFonts w:ascii="Times New Roman" w:hAnsi="Times New Roman" w:cs="Times New Roman"/>
          <w:sz w:val="24"/>
          <w:szCs w:val="24"/>
        </w:rPr>
        <w:t>se cumplió</w:t>
      </w:r>
      <w:r>
        <w:rPr>
          <w:rFonts w:ascii="Times New Roman" w:hAnsi="Times New Roman" w:cs="Times New Roman"/>
          <w:sz w:val="24"/>
          <w:szCs w:val="24"/>
        </w:rPr>
        <w:t xml:space="preserve"> con valores VIF menores de 10 y Tolerancia mayores de 0.1. </w:t>
      </w:r>
      <w:r w:rsidR="00B15C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os supuestos de errores aleatorios distribuidos normalmente, homocedasticidad y linealidad también se cumplieron, de acuerdo con la inspección del histograma de residuos estandarizados y el gráfico normal P-O. Finalmente, las variables mostraron varianzas distintas de cero. </w:t>
      </w:r>
    </w:p>
    <w:p w14:paraId="6AB604B6" w14:textId="2C15940D" w:rsidR="00DD06C8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En el primer bloque de variables se incluyó </w:t>
      </w:r>
      <w:r w:rsidR="00211FFA">
        <w:rPr>
          <w:rFonts w:ascii="Times New Roman" w:eastAsia="Times New Roman" w:hAnsi="Times New Roman" w:cs="Times New Roman"/>
          <w:sz w:val="24"/>
          <w:szCs w:val="24"/>
        </w:rPr>
        <w:t>orientación sexual como variable de control</w:t>
      </w:r>
      <w:r w:rsidR="00F01BCC">
        <w:rPr>
          <w:rFonts w:ascii="Times New Roman" w:eastAsia="Times New Roman" w:hAnsi="Times New Roman" w:cs="Times New Roman"/>
          <w:sz w:val="24"/>
          <w:szCs w:val="24"/>
        </w:rPr>
        <w:t xml:space="preserve"> (Hipótesis 1)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43C1">
        <w:rPr>
          <w:rFonts w:ascii="Times New Roman" w:eastAsia="Times New Roman" w:hAnsi="Times New Roman" w:cs="Times New Roman"/>
          <w:sz w:val="24"/>
          <w:szCs w:val="24"/>
        </w:rPr>
        <w:t xml:space="preserve"> Esta variable fue </w:t>
      </w:r>
      <w:r w:rsidR="00B15C04">
        <w:rPr>
          <w:rFonts w:ascii="Times New Roman" w:eastAsia="Times New Roman" w:hAnsi="Times New Roman" w:cs="Times New Roman"/>
          <w:sz w:val="24"/>
          <w:szCs w:val="24"/>
        </w:rPr>
        <w:t>examinada</w:t>
      </w:r>
      <w:r w:rsidR="004C43C1">
        <w:rPr>
          <w:rFonts w:ascii="Times New Roman" w:eastAsia="Times New Roman" w:hAnsi="Times New Roman" w:cs="Times New Roman"/>
          <w:sz w:val="24"/>
          <w:szCs w:val="24"/>
        </w:rPr>
        <w:t xml:space="preserve"> pues la literatura reporta que las experiencias </w:t>
      </w:r>
      <w:r w:rsidR="00867722">
        <w:rPr>
          <w:rFonts w:ascii="Times New Roman" w:eastAsia="Times New Roman" w:hAnsi="Times New Roman" w:cs="Times New Roman"/>
          <w:sz w:val="24"/>
          <w:szCs w:val="24"/>
        </w:rPr>
        <w:t>como parte de una minoría sexual</w:t>
      </w:r>
      <w:r w:rsidR="004C43C1">
        <w:rPr>
          <w:rFonts w:ascii="Times New Roman" w:eastAsia="Times New Roman" w:hAnsi="Times New Roman" w:cs="Times New Roman"/>
          <w:sz w:val="24"/>
          <w:szCs w:val="24"/>
        </w:rPr>
        <w:t xml:space="preserve"> no son las mismas para personas </w:t>
      </w:r>
      <w:proofErr w:type="spellStart"/>
      <w:r w:rsidR="004C43C1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4C43C1">
        <w:rPr>
          <w:rFonts w:ascii="Times New Roman" w:eastAsia="Times New Roman" w:hAnsi="Times New Roman" w:cs="Times New Roman"/>
          <w:sz w:val="24"/>
          <w:szCs w:val="24"/>
        </w:rPr>
        <w:t xml:space="preserve"> y lesbianas, bisexuales y de otras orientaciones </w:t>
      </w:r>
      <w:r w:rsidR="006710ED">
        <w:rPr>
          <w:rFonts w:ascii="Times New Roman" w:eastAsia="Times New Roman" w:hAnsi="Times New Roman" w:cs="Times New Roman"/>
          <w:sz w:val="24"/>
          <w:szCs w:val="24"/>
        </w:rPr>
        <w:t>no hetero</w:t>
      </w:r>
      <w:r w:rsidR="004C43C1">
        <w:rPr>
          <w:rFonts w:ascii="Times New Roman" w:eastAsia="Times New Roman" w:hAnsi="Times New Roman" w:cs="Times New Roman"/>
          <w:sz w:val="24"/>
          <w:szCs w:val="24"/>
        </w:rPr>
        <w:t xml:space="preserve">sexuales. </w:t>
      </w:r>
      <w:r w:rsidR="00D46337">
        <w:rPr>
          <w:rFonts w:ascii="Times New Roman" w:eastAsia="Times New Roman" w:hAnsi="Times New Roman" w:cs="Times New Roman"/>
          <w:sz w:val="24"/>
          <w:szCs w:val="24"/>
        </w:rPr>
        <w:t xml:space="preserve">En un segundo modelo, se incluyeron las variables </w:t>
      </w:r>
      <w:r w:rsidR="00EE4857">
        <w:rPr>
          <w:rFonts w:ascii="Times New Roman" w:eastAsia="Times New Roman" w:hAnsi="Times New Roman" w:cs="Times New Roman"/>
          <w:sz w:val="24"/>
          <w:szCs w:val="24"/>
        </w:rPr>
        <w:t>vivir</w:t>
      </w:r>
      <w:r w:rsidR="00D46337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 w:rsidR="00EE4857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D46337">
        <w:rPr>
          <w:rFonts w:ascii="Times New Roman" w:eastAsia="Times New Roman" w:hAnsi="Times New Roman" w:cs="Times New Roman"/>
          <w:sz w:val="24"/>
          <w:szCs w:val="24"/>
        </w:rPr>
        <w:t xml:space="preserve"> padres y área de residencia</w:t>
      </w:r>
      <w:r w:rsidR="00F01BCC">
        <w:rPr>
          <w:rFonts w:ascii="Times New Roman" w:eastAsia="Times New Roman" w:hAnsi="Times New Roman" w:cs="Times New Roman"/>
          <w:sz w:val="24"/>
          <w:szCs w:val="24"/>
        </w:rPr>
        <w:t xml:space="preserve"> (Hipótesis 2)</w:t>
      </w:r>
      <w:r w:rsidR="00D46337">
        <w:rPr>
          <w:rFonts w:ascii="Times New Roman" w:eastAsia="Times New Roman" w:hAnsi="Times New Roman" w:cs="Times New Roman"/>
          <w:sz w:val="24"/>
          <w:szCs w:val="24"/>
        </w:rPr>
        <w:t>. La</w:t>
      </w:r>
      <w:r w:rsidR="00E10FAA">
        <w:rPr>
          <w:rFonts w:ascii="Times New Roman" w:eastAsia="Times New Roman" w:hAnsi="Times New Roman" w:cs="Times New Roman"/>
          <w:sz w:val="24"/>
          <w:szCs w:val="24"/>
        </w:rPr>
        <w:t xml:space="preserve"> primera variable fue incluida puesto que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en la adultez emergente </w:t>
      </w:r>
      <w:r w:rsidR="00E10FAA">
        <w:rPr>
          <w:rFonts w:ascii="Times New Roman" w:eastAsia="Times New Roman" w:hAnsi="Times New Roman" w:cs="Times New Roman"/>
          <w:sz w:val="24"/>
          <w:szCs w:val="24"/>
        </w:rPr>
        <w:t xml:space="preserve">se esperan tensiones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entre aspectos </w:t>
      </w:r>
      <w:r w:rsidR="00EE4857">
        <w:rPr>
          <w:rFonts w:ascii="Times New Roman" w:eastAsia="Times New Roman" w:hAnsi="Times New Roman" w:cs="Times New Roman"/>
          <w:sz w:val="24"/>
          <w:szCs w:val="24"/>
        </w:rPr>
        <w:t>del desarrollo de la identidad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del individuo y las expectativas de los padres (Barrera-Herrera 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2017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, y estas experiencias pueden ser más marcadas para personas </w:t>
      </w:r>
      <w:r w:rsidR="00BB496E"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971EC" w:rsidRPr="005723A5">
        <w:rPr>
          <w:rFonts w:ascii="Times New Roman" w:eastAsia="Times New Roman" w:hAnsi="Times New Roman" w:cs="Times New Roman"/>
          <w:sz w:val="24"/>
          <w:szCs w:val="24"/>
        </w:rPr>
        <w:t>Barrientos et al., 2021)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El área de residencia se </w:t>
      </w:r>
      <w:r w:rsidR="00BB496E">
        <w:rPr>
          <w:rFonts w:ascii="Times New Roman" w:eastAsia="Times New Roman" w:hAnsi="Times New Roman" w:cs="Times New Roman"/>
          <w:sz w:val="24"/>
          <w:szCs w:val="24"/>
        </w:rPr>
        <w:t>incluyó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porque</w:t>
      </w:r>
      <w:r w:rsidR="00B15C04">
        <w:rPr>
          <w:rFonts w:ascii="Times New Roman" w:eastAsia="Times New Roman" w:hAnsi="Times New Roman" w:cs="Times New Roman"/>
          <w:sz w:val="24"/>
          <w:szCs w:val="24"/>
        </w:rPr>
        <w:t xml:space="preserve"> la literatura sugiere que el área urbana permite que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C04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r w:rsidR="00B34514"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B15C04">
        <w:rPr>
          <w:rFonts w:ascii="Times New Roman" w:eastAsia="Times New Roman" w:hAnsi="Times New Roman" w:cs="Times New Roman"/>
          <w:sz w:val="24"/>
          <w:szCs w:val="24"/>
        </w:rPr>
        <w:t xml:space="preserve"> expresen su identidad sexual de modo más abierto que el área rural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(Barrientos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-Delgado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53572B" w:rsidRPr="00572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2014;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McGlynn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>, 2018).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Finalmente, en el tercer 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>modelo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 xml:space="preserve">se sumaron 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>el apoyo familiar, apoyo de amistades y apoyo de otros significativos</w:t>
      </w:r>
      <w:r w:rsidR="00F01BCC">
        <w:rPr>
          <w:rFonts w:ascii="Times New Roman" w:eastAsia="Times New Roman" w:hAnsi="Times New Roman" w:cs="Times New Roman"/>
          <w:sz w:val="24"/>
          <w:szCs w:val="24"/>
        </w:rPr>
        <w:t xml:space="preserve"> (Hipótesis 3)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022A">
        <w:rPr>
          <w:rFonts w:ascii="Times New Roman" w:eastAsia="Times New Roman" w:hAnsi="Times New Roman" w:cs="Times New Roman"/>
          <w:sz w:val="24"/>
          <w:szCs w:val="24"/>
        </w:rPr>
        <w:t xml:space="preserve">Estudios con población </w:t>
      </w:r>
      <w:r w:rsidR="00CA2231">
        <w:rPr>
          <w:rFonts w:ascii="Times New Roman" w:eastAsia="Times New Roman" w:hAnsi="Times New Roman" w:cs="Times New Roman"/>
          <w:sz w:val="24"/>
          <w:szCs w:val="24"/>
        </w:rPr>
        <w:t xml:space="preserve">joven y adulta </w:t>
      </w:r>
      <w:r w:rsidR="00CF022A">
        <w:rPr>
          <w:rFonts w:ascii="Times New Roman" w:eastAsia="Times New Roman" w:hAnsi="Times New Roman" w:cs="Times New Roman"/>
          <w:sz w:val="24"/>
          <w:szCs w:val="24"/>
        </w:rPr>
        <w:t xml:space="preserve">LGBTIQ+ </w:t>
      </w:r>
      <w:r w:rsidR="00CA2231">
        <w:rPr>
          <w:rFonts w:ascii="Times New Roman" w:eastAsia="Times New Roman" w:hAnsi="Times New Roman" w:cs="Times New Roman"/>
          <w:sz w:val="24"/>
          <w:szCs w:val="24"/>
        </w:rPr>
        <w:t>sugieren</w:t>
      </w:r>
      <w:r w:rsidR="00492844">
        <w:rPr>
          <w:rFonts w:ascii="Times New Roman" w:eastAsia="Times New Roman" w:hAnsi="Times New Roman" w:cs="Times New Roman"/>
          <w:sz w:val="24"/>
          <w:szCs w:val="24"/>
        </w:rPr>
        <w:t xml:space="preserve"> que el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apoyo social</w:t>
      </w:r>
      <w:r w:rsidR="00CA2231">
        <w:rPr>
          <w:rFonts w:ascii="Times New Roman" w:eastAsia="Times New Roman" w:hAnsi="Times New Roman" w:cs="Times New Roman"/>
          <w:sz w:val="24"/>
          <w:szCs w:val="24"/>
        </w:rPr>
        <w:t>, sobre todo el familiar,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>promu</w:t>
      </w:r>
      <w:r w:rsidR="00CA22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>ve</w:t>
      </w:r>
      <w:r w:rsidR="00CA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1EC">
        <w:rPr>
          <w:rFonts w:ascii="Times New Roman" w:eastAsia="Times New Roman" w:hAnsi="Times New Roman" w:cs="Times New Roman"/>
          <w:sz w:val="24"/>
          <w:szCs w:val="24"/>
        </w:rPr>
        <w:t>la revelación de la</w:t>
      </w:r>
      <w:r w:rsidR="00DA2E53">
        <w:rPr>
          <w:rFonts w:ascii="Times New Roman" w:eastAsia="Times New Roman" w:hAnsi="Times New Roman" w:cs="Times New Roman"/>
          <w:sz w:val="24"/>
          <w:szCs w:val="24"/>
        </w:rPr>
        <w:t xml:space="preserve"> orientación sexual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6AD44371" w14:textId="7E7E03C1" w:rsidR="0064732B" w:rsidRDefault="0064732B" w:rsidP="00F957F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Siguiendo el método de entrada</w:t>
      </w:r>
      <w:r w:rsidR="000B3013">
        <w:rPr>
          <w:rFonts w:ascii="Times New Roman" w:hAnsi="Times New Roman" w:cs="Times New Roman"/>
          <w:sz w:val="24"/>
          <w:szCs w:val="24"/>
        </w:rPr>
        <w:t xml:space="preserve"> (Tabla </w:t>
      </w:r>
      <w:r w:rsidR="00536E23">
        <w:rPr>
          <w:rFonts w:ascii="Times New Roman" w:hAnsi="Times New Roman" w:cs="Times New Roman"/>
          <w:sz w:val="24"/>
          <w:szCs w:val="24"/>
        </w:rPr>
        <w:t>3</w:t>
      </w:r>
      <w:r w:rsidR="000B30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2231">
        <w:rPr>
          <w:rFonts w:ascii="Times New Roman" w:hAnsi="Times New Roman" w:cs="Times New Roman"/>
          <w:sz w:val="24"/>
          <w:szCs w:val="24"/>
        </w:rPr>
        <w:t>se encontró que, en</w:t>
      </w:r>
      <w:r w:rsidRPr="003B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Bloque 1, la orientación sexual contribuyó significativamente al modelo de regresión, </w:t>
      </w:r>
      <w:proofErr w:type="gramStart"/>
      <w:r w:rsidRPr="003B483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B483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B483D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3B483D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</w:rPr>
        <w:t>23.16</w:t>
      </w:r>
      <w:r w:rsidRPr="003B483D">
        <w:rPr>
          <w:rFonts w:ascii="Times New Roman" w:hAnsi="Times New Roman" w:cs="Times New Roman"/>
          <w:sz w:val="24"/>
          <w:szCs w:val="24"/>
        </w:rPr>
        <w:t xml:space="preserve">, </w:t>
      </w:r>
      <w:r w:rsidRPr="00CA2861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83D">
        <w:rPr>
          <w:rFonts w:ascii="Times New Roman" w:hAnsi="Times New Roman" w:cs="Times New Roman"/>
          <w:sz w:val="24"/>
          <w:szCs w:val="24"/>
        </w:rPr>
        <w:t>&lt; .0</w:t>
      </w:r>
      <w:r>
        <w:rPr>
          <w:rFonts w:ascii="Times New Roman" w:hAnsi="Times New Roman" w:cs="Times New Roman"/>
          <w:sz w:val="24"/>
          <w:szCs w:val="24"/>
        </w:rPr>
        <w:t xml:space="preserve">01, y explicó 8.8% de la variación en la revelación de la orientación sexual. Al </w:t>
      </w:r>
      <w:r w:rsidR="00CA2231">
        <w:rPr>
          <w:rFonts w:ascii="Times New Roman" w:hAnsi="Times New Roman" w:cs="Times New Roman"/>
          <w:sz w:val="24"/>
          <w:szCs w:val="24"/>
        </w:rPr>
        <w:t>agregar</w:t>
      </w:r>
      <w:r>
        <w:rPr>
          <w:rFonts w:ascii="Times New Roman" w:hAnsi="Times New Roman" w:cs="Times New Roman"/>
          <w:sz w:val="24"/>
          <w:szCs w:val="24"/>
        </w:rPr>
        <w:t xml:space="preserve"> área de residencia</w:t>
      </w:r>
      <w:r w:rsidR="00492844">
        <w:rPr>
          <w:rFonts w:ascii="Times New Roman" w:hAnsi="Times New Roman" w:cs="Times New Roman"/>
          <w:sz w:val="24"/>
          <w:szCs w:val="24"/>
        </w:rPr>
        <w:t xml:space="preserve"> y vivir con padres</w:t>
      </w:r>
      <w:r>
        <w:rPr>
          <w:rFonts w:ascii="Times New Roman" w:hAnsi="Times New Roman" w:cs="Times New Roman"/>
          <w:sz w:val="24"/>
          <w:szCs w:val="24"/>
        </w:rPr>
        <w:t xml:space="preserve">, en el Bloque 2, se logró explicar un 3% adicional y este cambio en </w:t>
      </w:r>
      <w:r w:rsidRPr="0026708E">
        <w:rPr>
          <w:rFonts w:ascii="Times New Roman" w:hAnsi="Times New Roman" w:cs="Times New Roman"/>
          <w:sz w:val="24"/>
          <w:szCs w:val="24"/>
        </w:rPr>
        <w:t xml:space="preserve">R² fue significativo, </w:t>
      </w:r>
      <w:proofErr w:type="gramStart"/>
      <w:r w:rsidRPr="0026708E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670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6708E">
        <w:rPr>
          <w:rFonts w:ascii="Times New Roman" w:hAnsi="Times New Roman" w:cs="Times New Roman"/>
          <w:sz w:val="24"/>
          <w:szCs w:val="24"/>
        </w:rPr>
        <w:t>3,268) = 12.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26708E">
        <w:rPr>
          <w:rFonts w:ascii="Times New Roman" w:hAnsi="Times New Roman" w:cs="Times New Roman"/>
          <w:sz w:val="24"/>
          <w:szCs w:val="24"/>
        </w:rPr>
        <w:t xml:space="preserve">, p &lt; .001. </w:t>
      </w:r>
      <w:r w:rsidR="00CA22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introducción en el Bloque 3 de apoyo social percibido de familia, amistades y otros significativos conllevó un incremento significativo de 2.9% de la varianza de la </w:t>
      </w:r>
      <w:r w:rsidR="00492844">
        <w:rPr>
          <w:rFonts w:ascii="Times New Roman" w:hAnsi="Times New Roman" w:cs="Times New Roman"/>
          <w:sz w:val="24"/>
          <w:szCs w:val="24"/>
        </w:rPr>
        <w:t>revelación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286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8666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666CB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>265</w:t>
      </w:r>
      <w:r w:rsidRPr="008666CB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66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8666CB">
        <w:rPr>
          <w:rFonts w:ascii="Times New Roman" w:hAnsi="Times New Roman" w:cs="Times New Roman"/>
          <w:sz w:val="24"/>
          <w:szCs w:val="24"/>
        </w:rPr>
        <w:t xml:space="preserve">, </w:t>
      </w:r>
      <w:r w:rsidRPr="00CA286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666CB">
        <w:rPr>
          <w:rFonts w:ascii="Times New Roman" w:hAnsi="Times New Roman" w:cs="Times New Roman"/>
          <w:sz w:val="24"/>
          <w:szCs w:val="24"/>
        </w:rPr>
        <w:t xml:space="preserve"> &lt; .001. </w:t>
      </w:r>
    </w:p>
    <w:p w14:paraId="6C2C408E" w14:textId="4CCCDD8D" w:rsidR="0064732B" w:rsidRDefault="0064732B" w:rsidP="00F957F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4A73">
        <w:rPr>
          <w:rFonts w:ascii="Times New Roman" w:hAnsi="Times New Roman" w:cs="Times New Roman"/>
          <w:sz w:val="24"/>
          <w:szCs w:val="24"/>
        </w:rPr>
        <w:lastRenderedPageBreak/>
        <w:t xml:space="preserve">Considerando las seis variables independientes en el </w:t>
      </w:r>
      <w:r w:rsidR="002035B9">
        <w:rPr>
          <w:rFonts w:ascii="Times New Roman" w:hAnsi="Times New Roman" w:cs="Times New Roman"/>
          <w:sz w:val="24"/>
          <w:szCs w:val="24"/>
        </w:rPr>
        <w:t>M</w:t>
      </w:r>
      <w:r w:rsidRPr="00474A73">
        <w:rPr>
          <w:rFonts w:ascii="Times New Roman" w:hAnsi="Times New Roman" w:cs="Times New Roman"/>
          <w:sz w:val="24"/>
          <w:szCs w:val="24"/>
        </w:rPr>
        <w:t xml:space="preserve">odelo 3, </w:t>
      </w:r>
      <w:r>
        <w:rPr>
          <w:rFonts w:ascii="Times New Roman" w:hAnsi="Times New Roman" w:cs="Times New Roman"/>
          <w:sz w:val="24"/>
          <w:szCs w:val="24"/>
        </w:rPr>
        <w:t xml:space="preserve">los predictores de la revelación de la orientación sexual </w:t>
      </w:r>
      <w:r w:rsidR="00492844">
        <w:rPr>
          <w:rFonts w:ascii="Times New Roman" w:hAnsi="Times New Roman" w:cs="Times New Roman"/>
          <w:sz w:val="24"/>
          <w:szCs w:val="24"/>
        </w:rPr>
        <w:t>fueron</w:t>
      </w:r>
      <w:r>
        <w:rPr>
          <w:rFonts w:ascii="Times New Roman" w:hAnsi="Times New Roman" w:cs="Times New Roman"/>
          <w:sz w:val="24"/>
          <w:szCs w:val="24"/>
        </w:rPr>
        <w:t xml:space="preserve"> ser gay o lesbiana (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-.289, </w:t>
      </w:r>
      <w:proofErr w:type="gramStart"/>
      <w:r w:rsidRPr="00AF68D0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271) = -5.03, 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.001), vivir independientemente de los padres (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.135, 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(271) = -5.03, 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.001) y contar con apoyo de otros significativos (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.154, 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(271) = 2.08, </w:t>
      </w:r>
      <w:r w:rsidRPr="00AF68D0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.038). El predictor más importante de la revelación fue orientación sexual</w:t>
      </w:r>
      <w:r w:rsidR="004928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492844"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</w:rPr>
        <w:t>% de varianza</w:t>
      </w:r>
      <w:r w:rsidR="00492844">
        <w:rPr>
          <w:rFonts w:ascii="Times New Roman" w:hAnsi="Times New Roman" w:cs="Times New Roman"/>
          <w:sz w:val="24"/>
          <w:szCs w:val="24"/>
        </w:rPr>
        <w:t xml:space="preserve"> explicada)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6FD4">
        <w:rPr>
          <w:rFonts w:ascii="Times New Roman" w:hAnsi="Times New Roman" w:cs="Times New Roman"/>
          <w:sz w:val="24"/>
          <w:szCs w:val="24"/>
        </w:rPr>
        <w:t xml:space="preserve">En conjunto, estas variables explicaron </w:t>
      </w:r>
      <w:r>
        <w:rPr>
          <w:rFonts w:ascii="Times New Roman" w:hAnsi="Times New Roman" w:cs="Times New Roman"/>
          <w:sz w:val="24"/>
          <w:szCs w:val="24"/>
        </w:rPr>
        <w:t>cerca de un 13% (R</w:t>
      </w:r>
      <w:r w:rsidRPr="00C925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ajustado = 12.9) de la varianza </w:t>
      </w:r>
      <w:r w:rsidR="00492844">
        <w:rPr>
          <w:rFonts w:ascii="Times New Roman" w:hAnsi="Times New Roman" w:cs="Times New Roman"/>
          <w:sz w:val="24"/>
          <w:szCs w:val="24"/>
        </w:rPr>
        <w:t>de la</w:t>
      </w:r>
      <w:r>
        <w:rPr>
          <w:rFonts w:ascii="Times New Roman" w:hAnsi="Times New Roman" w:cs="Times New Roman"/>
          <w:sz w:val="24"/>
          <w:szCs w:val="24"/>
        </w:rPr>
        <w:t xml:space="preserve"> revelación de la orientación sexual. </w:t>
      </w:r>
      <w:r w:rsidR="0049284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alores de R</w:t>
      </w:r>
      <w:r w:rsidRPr="00C232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.12 representan un tamaño del efecto pequeño, con el límite de .13 </w:t>
      </w:r>
      <w:r w:rsidR="00C65D22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D22">
        <w:rPr>
          <w:rFonts w:ascii="Times New Roman" w:hAnsi="Times New Roman" w:cs="Times New Roman"/>
          <w:sz w:val="24"/>
          <w:szCs w:val="24"/>
        </w:rPr>
        <w:t>efecto</w:t>
      </w:r>
      <w:r>
        <w:rPr>
          <w:rFonts w:ascii="Times New Roman" w:hAnsi="Times New Roman" w:cs="Times New Roman"/>
          <w:sz w:val="24"/>
          <w:szCs w:val="24"/>
        </w:rPr>
        <w:t xml:space="preserve"> mediano</w:t>
      </w:r>
      <w:r w:rsidR="00492844">
        <w:rPr>
          <w:rFonts w:ascii="Times New Roman" w:hAnsi="Times New Roman" w:cs="Times New Roman"/>
          <w:sz w:val="24"/>
          <w:szCs w:val="24"/>
        </w:rPr>
        <w:t xml:space="preserve"> (Cohen, 1992)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106DB" w14:textId="5C566EEA" w:rsidR="00CC3EB0" w:rsidRDefault="00CC3EB0" w:rsidP="00F957F2">
      <w:pPr>
        <w:spacing w:line="360" w:lineRule="auto"/>
        <w:rPr>
          <w:rFonts w:ascii="Times New Roman" w:hAnsi="Times New Roman" w:cs="Times New Roman"/>
        </w:rPr>
      </w:pPr>
    </w:p>
    <w:p w14:paraId="6710232A" w14:textId="467ACF0B" w:rsidR="0064732B" w:rsidRPr="0064732B" w:rsidRDefault="0064732B" w:rsidP="00F957F2">
      <w:pPr>
        <w:spacing w:after="0" w:line="360" w:lineRule="auto"/>
        <w:rPr>
          <w:rFonts w:ascii="Times New Roman" w:hAnsi="Times New Roman" w:cs="Times New Roman"/>
        </w:rPr>
      </w:pPr>
      <w:r w:rsidRPr="0064732B">
        <w:rPr>
          <w:rFonts w:ascii="Times New Roman" w:hAnsi="Times New Roman" w:cs="Times New Roman"/>
        </w:rPr>
        <w:t xml:space="preserve">Tabla </w:t>
      </w:r>
      <w:r w:rsidR="00536E23">
        <w:rPr>
          <w:rFonts w:ascii="Times New Roman" w:hAnsi="Times New Roman" w:cs="Times New Roman"/>
        </w:rPr>
        <w:t>3</w:t>
      </w:r>
      <w:r w:rsidRPr="0064732B">
        <w:rPr>
          <w:rFonts w:ascii="Times New Roman" w:hAnsi="Times New Roman" w:cs="Times New Roman"/>
        </w:rPr>
        <w:t xml:space="preserve">. </w:t>
      </w:r>
      <w:r w:rsidR="000B3013">
        <w:rPr>
          <w:rFonts w:ascii="Times New Roman" w:hAnsi="Times New Roman" w:cs="Times New Roman"/>
        </w:rPr>
        <w:t>Predictores</w:t>
      </w:r>
      <w:r w:rsidR="00CC3EB0">
        <w:rPr>
          <w:rFonts w:ascii="Times New Roman" w:hAnsi="Times New Roman" w:cs="Times New Roman"/>
        </w:rPr>
        <w:t xml:space="preserve"> de la revelación de la orientación sexual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599"/>
        <w:gridCol w:w="776"/>
        <w:gridCol w:w="1076"/>
        <w:gridCol w:w="949"/>
        <w:gridCol w:w="876"/>
        <w:gridCol w:w="926"/>
        <w:gridCol w:w="756"/>
      </w:tblGrid>
      <w:tr w:rsidR="0064732B" w:rsidRPr="0064732B" w14:paraId="63EA471D" w14:textId="77777777" w:rsidTr="007A368F"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121DD4B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B337AA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40F66FE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492FD313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sr</w:t>
            </w:r>
            <w:r w:rsidRPr="0064732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AC157CB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7651E30E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R</w:t>
            </w:r>
            <w:r w:rsidRPr="0064732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E8087E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∆R</w:t>
            </w:r>
            <w:r w:rsidRPr="0064732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4732B" w:rsidRPr="0064732B" w14:paraId="17A9930E" w14:textId="77777777" w:rsidTr="007A368F">
        <w:tc>
          <w:tcPr>
            <w:tcW w:w="236" w:type="dxa"/>
            <w:vMerge w:val="restart"/>
            <w:tcBorders>
              <w:bottom w:val="nil"/>
            </w:tcBorders>
          </w:tcPr>
          <w:p w14:paraId="2DB70518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bottom w:val="nil"/>
            </w:tcBorders>
          </w:tcPr>
          <w:p w14:paraId="614B3039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bottom w:val="nil"/>
            </w:tcBorders>
          </w:tcPr>
          <w:p w14:paraId="1C85F7F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14:paraId="5A87735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bottom w:val="nil"/>
            </w:tcBorders>
          </w:tcPr>
          <w:p w14:paraId="19617115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4A3BF23E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.297</w:t>
            </w:r>
          </w:p>
        </w:tc>
        <w:tc>
          <w:tcPr>
            <w:tcW w:w="926" w:type="dxa"/>
            <w:tcBorders>
              <w:bottom w:val="nil"/>
            </w:tcBorders>
          </w:tcPr>
          <w:p w14:paraId="78C9168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.088</w:t>
            </w:r>
          </w:p>
        </w:tc>
        <w:tc>
          <w:tcPr>
            <w:tcW w:w="756" w:type="dxa"/>
            <w:tcBorders>
              <w:bottom w:val="nil"/>
            </w:tcBorders>
          </w:tcPr>
          <w:p w14:paraId="5572295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.088</w:t>
            </w:r>
          </w:p>
        </w:tc>
      </w:tr>
      <w:tr w:rsidR="0064732B" w:rsidRPr="0064732B" w14:paraId="0891A9DA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5F7B3163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42290BD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Orientación sexual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0D175A1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-.29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3E8A78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-5.11**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F6FF19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2492DD0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1364CD4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B2E4174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5A6796F0" w14:textId="77777777" w:rsidTr="007A368F"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72DD833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4CC0BB9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72EA80F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9624585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A11C56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6CDC75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.345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2F656225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F7303D9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.030</w:t>
            </w:r>
          </w:p>
        </w:tc>
      </w:tr>
      <w:tr w:rsidR="0064732B" w:rsidRPr="0064732B" w14:paraId="0D1B8CBF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53165FBC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C639461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Orientación sexual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334001F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-.29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9991BF4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-5.07**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1D23FB3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9E28A9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42ECD26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24F73D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1689F38E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74F3311B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0AFE214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Vive con padre/madre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6680EA1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7AA233F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2.66*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BB1B932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2C1A7AD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EE8905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AF5E61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1124CC42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45513C38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87FFB92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Área de residencia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40E2F7F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-.06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E4F961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-1.14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2E3E0EFB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1DD17B1E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86CEFC4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636D8B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219141AF" w14:textId="77777777" w:rsidTr="007A368F"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4BBCC968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48774EC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7B9D48EA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C03284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02CFB99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8BCBADA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.385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B5925B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.148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608FAF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.029</w:t>
            </w:r>
          </w:p>
        </w:tc>
      </w:tr>
      <w:tr w:rsidR="0064732B" w:rsidRPr="0064732B" w14:paraId="59084604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5C918986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655C74C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Orientación sexual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33CBA4D9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-.28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67FE47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-4.98**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36B5ABB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18847AB3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2D63D26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98CC902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4809A64C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2D72DDB2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AAFD221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Vive con padre/madre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361CF502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FF0305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2.45*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C7B083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6F70FE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2F2AF12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72614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226E565B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353D877A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483334E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Área de residencia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085404F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-.07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1A4F321A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-1.21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6B41D607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7BCA86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B964E5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0492DC9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49EFE9FB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7DF3AED5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887100D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Apoyo familia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407F8123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-.06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768A0151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-1.01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276165F5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.003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E912046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0900715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06C6874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0B0AF6FA" w14:textId="77777777" w:rsidTr="007A368F">
        <w:tc>
          <w:tcPr>
            <w:tcW w:w="236" w:type="dxa"/>
            <w:vMerge/>
            <w:tcBorders>
              <w:top w:val="nil"/>
              <w:bottom w:val="nil"/>
            </w:tcBorders>
          </w:tcPr>
          <w:p w14:paraId="13F01E3C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DC4B012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Apoyo amistades</w:t>
            </w:r>
          </w:p>
        </w:tc>
        <w:tc>
          <w:tcPr>
            <w:tcW w:w="776" w:type="dxa"/>
            <w:tcBorders>
              <w:top w:val="nil"/>
              <w:bottom w:val="nil"/>
            </w:tcBorders>
          </w:tcPr>
          <w:p w14:paraId="7DA39F4B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922EAB9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B93730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&lt; .001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2B0B9C0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0D2A4E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C0E48C8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2B" w:rsidRPr="0064732B" w14:paraId="6B908257" w14:textId="77777777" w:rsidTr="007A368F">
        <w:tc>
          <w:tcPr>
            <w:tcW w:w="236" w:type="dxa"/>
            <w:vMerge/>
            <w:tcBorders>
              <w:top w:val="nil"/>
            </w:tcBorders>
          </w:tcPr>
          <w:p w14:paraId="3EB191E3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3D368CBA" w14:textId="77777777" w:rsidR="0064732B" w:rsidRPr="0064732B" w:rsidRDefault="0064732B" w:rsidP="00F957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Apoyo otros</w:t>
            </w:r>
          </w:p>
        </w:tc>
        <w:tc>
          <w:tcPr>
            <w:tcW w:w="776" w:type="dxa"/>
            <w:tcBorders>
              <w:top w:val="nil"/>
            </w:tcBorders>
          </w:tcPr>
          <w:p w14:paraId="70C19E8C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1076" w:type="dxa"/>
            <w:tcBorders>
              <w:top w:val="nil"/>
            </w:tcBorders>
          </w:tcPr>
          <w:p w14:paraId="4EEC5F0A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2.38*</w:t>
            </w:r>
          </w:p>
        </w:tc>
        <w:tc>
          <w:tcPr>
            <w:tcW w:w="949" w:type="dxa"/>
            <w:tcBorders>
              <w:top w:val="nil"/>
            </w:tcBorders>
          </w:tcPr>
          <w:p w14:paraId="5D06D7FA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732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76" w:type="dxa"/>
            <w:tcBorders>
              <w:top w:val="nil"/>
            </w:tcBorders>
          </w:tcPr>
          <w:p w14:paraId="6A986763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14:paraId="73C32B6F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216645CD" w14:textId="77777777" w:rsidR="0064732B" w:rsidRPr="0064732B" w:rsidRDefault="0064732B" w:rsidP="00F957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E53EA4" w14:textId="77777777" w:rsidR="0064732B" w:rsidRPr="0064732B" w:rsidRDefault="0064732B" w:rsidP="00F957F2">
      <w:pPr>
        <w:spacing w:after="0" w:line="360" w:lineRule="auto"/>
        <w:rPr>
          <w:rFonts w:ascii="Times New Roman" w:hAnsi="Times New Roman" w:cs="Times New Roman"/>
        </w:rPr>
      </w:pPr>
      <w:r w:rsidRPr="0064732B">
        <w:rPr>
          <w:rFonts w:ascii="Times New Roman" w:hAnsi="Times New Roman" w:cs="Times New Roman"/>
        </w:rPr>
        <w:t>Note. N = 272; *p &lt; .05, **p&lt; .001</w:t>
      </w:r>
    </w:p>
    <w:p w14:paraId="46E135B7" w14:textId="77777777" w:rsidR="00A12D0B" w:rsidRPr="005723A5" w:rsidRDefault="00A12D0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653E8CE" w14:textId="6F11FBC2" w:rsidR="00353814" w:rsidRPr="00C43459" w:rsidRDefault="0053684C" w:rsidP="00F957F2">
      <w:pPr>
        <w:pStyle w:val="Ttulo1"/>
        <w:spacing w:line="360" w:lineRule="auto"/>
      </w:pPr>
      <w:bookmarkStart w:id="8" w:name="_Toc92990575"/>
      <w:r w:rsidRPr="005723A5">
        <w:t>Discusión</w:t>
      </w:r>
      <w:bookmarkEnd w:id="8"/>
      <w:r w:rsidRPr="005723A5">
        <w:t xml:space="preserve"> </w:t>
      </w:r>
    </w:p>
    <w:p w14:paraId="0C792C7C" w14:textId="19A71E0F" w:rsidR="002009AD" w:rsidRPr="009B5F96" w:rsidRDefault="003B79EE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modelos tradicionales del desarrollo de la identidad sexual sugieren un proceso lineal en el que la persona LGBTIQ+ pasa de estar “dentro del clóset” a “fuera del clóset” </w:t>
      </w:r>
      <w:r w:rsidR="00510DF3">
        <w:rPr>
          <w:rFonts w:ascii="Times New Roman" w:eastAsia="Times New Roman" w:hAnsi="Times New Roman" w:cs="Times New Roman"/>
          <w:sz w:val="24"/>
          <w:szCs w:val="24"/>
        </w:rPr>
        <w:t xml:space="preserve">y esto último indica que la persona se enorgullece de sí misma y tiene mejor salud psicológica. Por el contrario, </w:t>
      </w:r>
      <w:r w:rsidR="00313114">
        <w:rPr>
          <w:rFonts w:ascii="Times New Roman" w:eastAsia="Times New Roman" w:hAnsi="Times New Roman" w:cs="Times New Roman"/>
          <w:sz w:val="24"/>
          <w:szCs w:val="24"/>
        </w:rPr>
        <w:t>según</w:t>
      </w:r>
      <w:r w:rsidR="00F439D9">
        <w:rPr>
          <w:rFonts w:ascii="Times New Roman" w:eastAsia="Times New Roman" w:hAnsi="Times New Roman" w:cs="Times New Roman"/>
          <w:sz w:val="24"/>
          <w:szCs w:val="24"/>
        </w:rPr>
        <w:t xml:space="preserve"> la Teoría del Manejo de la Identidad, la revelación de la orientación sexual es un proceso complejo y no lineal que depende de factores individuales y contextuales, y es el balance de estos factores los que </w:t>
      </w:r>
      <w:r w:rsidR="002009AD" w:rsidRPr="009B5F96">
        <w:rPr>
          <w:rFonts w:ascii="Times New Roman" w:eastAsia="Times New Roman" w:hAnsi="Times New Roman" w:cs="Times New Roman"/>
          <w:sz w:val="24"/>
          <w:szCs w:val="24"/>
        </w:rPr>
        <w:t>se involucran en la salud psicológica de la</w:t>
      </w:r>
      <w:r w:rsidR="001135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09AD" w:rsidRPr="009B5F96">
        <w:rPr>
          <w:rFonts w:ascii="Times New Roman" w:eastAsia="Times New Roman" w:hAnsi="Times New Roman" w:cs="Times New Roman"/>
          <w:sz w:val="24"/>
          <w:szCs w:val="24"/>
        </w:rPr>
        <w:t xml:space="preserve"> persona</w:t>
      </w:r>
      <w:r w:rsidR="001135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09AD" w:rsidRPr="009B5F96">
        <w:rPr>
          <w:rFonts w:ascii="Times New Roman" w:eastAsia="Times New Roman" w:hAnsi="Times New Roman" w:cs="Times New Roman"/>
          <w:sz w:val="24"/>
          <w:szCs w:val="24"/>
        </w:rPr>
        <w:t xml:space="preserve"> LGBTIQ+ (Klein et al., 2015).</w:t>
      </w:r>
    </w:p>
    <w:p w14:paraId="7B042C17" w14:textId="22917C56" w:rsidR="00A357E1" w:rsidRDefault="0053684C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Los resultados de este estudio </w:t>
      </w:r>
      <w:r w:rsidR="00A87AE5">
        <w:rPr>
          <w:rFonts w:ascii="Times New Roman" w:eastAsia="Times New Roman" w:hAnsi="Times New Roman" w:cs="Times New Roman"/>
          <w:sz w:val="24"/>
          <w:szCs w:val="24"/>
        </w:rPr>
        <w:t>muestran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 xml:space="preserve"> la revelación de la orientación sexual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en estudiantes universitarios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 xml:space="preserve"> depende de </w:t>
      </w:r>
      <w:r w:rsidR="00A357E1">
        <w:rPr>
          <w:rFonts w:ascii="Times New Roman" w:eastAsia="Times New Roman" w:hAnsi="Times New Roman" w:cs="Times New Roman"/>
          <w:sz w:val="24"/>
          <w:szCs w:val="24"/>
        </w:rPr>
        <w:t>que est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>a orientación se</w:t>
      </w:r>
      <w:r w:rsidR="00A357E1">
        <w:rPr>
          <w:rFonts w:ascii="Times New Roman" w:eastAsia="Times New Roman" w:hAnsi="Times New Roman" w:cs="Times New Roman"/>
          <w:sz w:val="24"/>
          <w:szCs w:val="24"/>
        </w:rPr>
        <w:t>a homosexual (gay o lesbiana)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D307A">
        <w:rPr>
          <w:rFonts w:ascii="Times New Roman" w:eastAsia="Times New Roman" w:hAnsi="Times New Roman" w:cs="Times New Roman"/>
          <w:sz w:val="24"/>
          <w:szCs w:val="24"/>
        </w:rPr>
        <w:t>que la persona viva independientemente de sus padres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 xml:space="preserve"> y de</w:t>
      </w:r>
      <w:r w:rsidR="001D307A">
        <w:rPr>
          <w:rFonts w:ascii="Times New Roman" w:eastAsia="Times New Roman" w:hAnsi="Times New Roman" w:cs="Times New Roman"/>
          <w:sz w:val="24"/>
          <w:szCs w:val="24"/>
        </w:rPr>
        <w:t xml:space="preserve"> que reciba</w:t>
      </w:r>
      <w:r w:rsidR="007A7F7C">
        <w:rPr>
          <w:rFonts w:ascii="Times New Roman" w:eastAsia="Times New Roman" w:hAnsi="Times New Roman" w:cs="Times New Roman"/>
          <w:sz w:val="24"/>
          <w:szCs w:val="24"/>
        </w:rPr>
        <w:t xml:space="preserve"> apoyo social de otros significativos. </w:t>
      </w:r>
      <w:r w:rsidR="002261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43EC">
        <w:rPr>
          <w:rFonts w:ascii="Times New Roman" w:eastAsia="Times New Roman" w:hAnsi="Times New Roman" w:cs="Times New Roman"/>
          <w:sz w:val="24"/>
          <w:szCs w:val="24"/>
        </w:rPr>
        <w:t xml:space="preserve">i el área de residencia (urbana o rural) ni el apoyo familiar y de amistades se relaciona con la revelación. </w:t>
      </w:r>
      <w:r w:rsidR="0011351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43EC">
        <w:rPr>
          <w:rFonts w:ascii="Times New Roman" w:eastAsia="Times New Roman" w:hAnsi="Times New Roman" w:cs="Times New Roman"/>
          <w:sz w:val="24"/>
          <w:szCs w:val="24"/>
        </w:rPr>
        <w:t xml:space="preserve">stos hallazgos sugieren </w:t>
      </w:r>
      <w:r w:rsidR="006F3D30">
        <w:rPr>
          <w:rFonts w:ascii="Times New Roman" w:eastAsia="Times New Roman" w:hAnsi="Times New Roman" w:cs="Times New Roman"/>
          <w:sz w:val="24"/>
          <w:szCs w:val="24"/>
        </w:rPr>
        <w:t xml:space="preserve">que estudiantes LGBTIQ+ </w:t>
      </w:r>
      <w:r w:rsidR="00113519">
        <w:rPr>
          <w:rFonts w:ascii="Times New Roman" w:eastAsia="Times New Roman" w:hAnsi="Times New Roman" w:cs="Times New Roman"/>
          <w:sz w:val="24"/>
          <w:szCs w:val="24"/>
        </w:rPr>
        <w:t>del sur de</w:t>
      </w:r>
      <w:r w:rsidR="006F3D30">
        <w:rPr>
          <w:rFonts w:ascii="Times New Roman" w:eastAsia="Times New Roman" w:hAnsi="Times New Roman" w:cs="Times New Roman"/>
          <w:sz w:val="24"/>
          <w:szCs w:val="24"/>
        </w:rPr>
        <w:t xml:space="preserve"> Chile </w:t>
      </w:r>
      <w:r w:rsidR="002E09F7">
        <w:rPr>
          <w:rFonts w:ascii="Times New Roman" w:eastAsia="Times New Roman" w:hAnsi="Times New Roman" w:cs="Times New Roman"/>
          <w:sz w:val="24"/>
          <w:szCs w:val="24"/>
        </w:rPr>
        <w:t xml:space="preserve">no se apoyan en sus círculos más cercanos para </w:t>
      </w:r>
      <w:r w:rsidR="00CD0EFE">
        <w:rPr>
          <w:rFonts w:ascii="Times New Roman" w:eastAsia="Times New Roman" w:hAnsi="Times New Roman" w:cs="Times New Roman"/>
          <w:sz w:val="24"/>
          <w:szCs w:val="24"/>
        </w:rPr>
        <w:t>revelar</w:t>
      </w:r>
      <w:r w:rsidR="002E09F7">
        <w:rPr>
          <w:rFonts w:ascii="Times New Roman" w:eastAsia="Times New Roman" w:hAnsi="Times New Roman" w:cs="Times New Roman"/>
          <w:sz w:val="24"/>
          <w:szCs w:val="24"/>
        </w:rPr>
        <w:t xml:space="preserve"> su orientación sexual</w:t>
      </w:r>
      <w:r w:rsidR="0087630C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r w:rsidR="00CD0EFE">
        <w:rPr>
          <w:rFonts w:ascii="Times New Roman" w:eastAsia="Times New Roman" w:hAnsi="Times New Roman" w:cs="Times New Roman"/>
          <w:sz w:val="24"/>
          <w:szCs w:val="24"/>
        </w:rPr>
        <w:t xml:space="preserve">quienes hacen esta revelación en mayor </w:t>
      </w:r>
      <w:r w:rsidR="00414C79">
        <w:rPr>
          <w:rFonts w:ascii="Times New Roman" w:eastAsia="Times New Roman" w:hAnsi="Times New Roman" w:cs="Times New Roman"/>
          <w:sz w:val="24"/>
          <w:szCs w:val="24"/>
        </w:rPr>
        <w:t>medida</w:t>
      </w:r>
      <w:r w:rsidR="00CD0EFE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r w:rsidR="0087630C">
        <w:rPr>
          <w:rFonts w:ascii="Times New Roman" w:eastAsia="Times New Roman" w:hAnsi="Times New Roman" w:cs="Times New Roman"/>
          <w:sz w:val="24"/>
          <w:szCs w:val="24"/>
        </w:rPr>
        <w:t xml:space="preserve">estudiantes </w:t>
      </w:r>
      <w:proofErr w:type="spellStart"/>
      <w:r w:rsidR="00CD0EFE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CD0EFE">
        <w:rPr>
          <w:rFonts w:ascii="Times New Roman" w:eastAsia="Times New Roman" w:hAnsi="Times New Roman" w:cs="Times New Roman"/>
          <w:sz w:val="24"/>
          <w:szCs w:val="24"/>
        </w:rPr>
        <w:t xml:space="preserve"> y lesbianas, a comparación de </w:t>
      </w:r>
      <w:r w:rsidR="0087630C">
        <w:rPr>
          <w:rFonts w:ascii="Times New Roman" w:eastAsia="Times New Roman" w:hAnsi="Times New Roman" w:cs="Times New Roman"/>
          <w:sz w:val="24"/>
          <w:szCs w:val="24"/>
        </w:rPr>
        <w:t xml:space="preserve">bisexuales y de otras orientaciones </w:t>
      </w:r>
      <w:r w:rsidR="00A87AE5">
        <w:rPr>
          <w:rFonts w:ascii="Times New Roman" w:eastAsia="Times New Roman" w:hAnsi="Times New Roman" w:cs="Times New Roman"/>
          <w:sz w:val="24"/>
          <w:szCs w:val="24"/>
        </w:rPr>
        <w:t xml:space="preserve">no heterosexuales </w:t>
      </w:r>
      <w:r w:rsidR="0087630C">
        <w:rPr>
          <w:rFonts w:ascii="Times New Roman" w:eastAsia="Times New Roman" w:hAnsi="Times New Roman" w:cs="Times New Roman"/>
          <w:sz w:val="24"/>
          <w:szCs w:val="24"/>
        </w:rPr>
        <w:t>sexuales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FEB4A0" w14:textId="2C3271F9" w:rsidR="00451391" w:rsidRDefault="00735DF8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a orientación sexual fue el predictor más importante de la revelación de </w:t>
      </w:r>
      <w:r w:rsidR="00F83678"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74A">
        <w:rPr>
          <w:rFonts w:ascii="Times New Roman" w:eastAsia="Times New Roman" w:hAnsi="Times New Roman" w:cs="Times New Roman"/>
          <w:sz w:val="24"/>
          <w:szCs w:val="24"/>
        </w:rPr>
        <w:t>explicando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 un 8</w:t>
      </w:r>
      <w:r w:rsidR="00B00464">
        <w:rPr>
          <w:rFonts w:ascii="Times New Roman" w:eastAsia="Times New Roman" w:hAnsi="Times New Roman" w:cs="Times New Roman"/>
          <w:sz w:val="24"/>
          <w:szCs w:val="24"/>
        </w:rPr>
        <w:t>.8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2F674A">
        <w:rPr>
          <w:rFonts w:ascii="Times New Roman" w:eastAsia="Times New Roman" w:hAnsi="Times New Roman" w:cs="Times New Roman"/>
          <w:sz w:val="24"/>
          <w:szCs w:val="24"/>
        </w:rPr>
        <w:t xml:space="preserve">de la varianza del modelo propuesto. </w:t>
      </w:r>
      <w:r w:rsidR="002F0BEC">
        <w:rPr>
          <w:rFonts w:ascii="Times New Roman" w:eastAsia="Times New Roman" w:hAnsi="Times New Roman" w:cs="Times New Roman"/>
          <w:sz w:val="24"/>
          <w:szCs w:val="24"/>
        </w:rPr>
        <w:t>Se encontró evidencia para la primera hipótesis y o</w:t>
      </w:r>
      <w:r w:rsidR="00F83678">
        <w:rPr>
          <w:rFonts w:ascii="Times New Roman" w:eastAsia="Times New Roman" w:hAnsi="Times New Roman" w:cs="Times New Roman"/>
          <w:sz w:val="24"/>
          <w:szCs w:val="24"/>
        </w:rPr>
        <w:t>tros resultados de este estudio</w:t>
      </w:r>
      <w:r w:rsidR="00F17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BE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1811B0">
        <w:rPr>
          <w:rFonts w:ascii="Times New Roman" w:eastAsia="Times New Roman" w:hAnsi="Times New Roman" w:cs="Times New Roman"/>
          <w:sz w:val="24"/>
          <w:szCs w:val="24"/>
        </w:rPr>
        <w:t>complementan</w:t>
      </w:r>
      <w:r w:rsidR="000C3AFB">
        <w:rPr>
          <w:rFonts w:ascii="Times New Roman" w:eastAsia="Times New Roman" w:hAnsi="Times New Roman" w:cs="Times New Roman"/>
          <w:sz w:val="24"/>
          <w:szCs w:val="24"/>
        </w:rPr>
        <w:t xml:space="preserve">. Las personas </w:t>
      </w:r>
      <w:proofErr w:type="spellStart"/>
      <w:r w:rsidR="000C3AFB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0C3AFB">
        <w:rPr>
          <w:rFonts w:ascii="Times New Roman" w:eastAsia="Times New Roman" w:hAnsi="Times New Roman" w:cs="Times New Roman"/>
          <w:sz w:val="24"/>
          <w:szCs w:val="24"/>
        </w:rPr>
        <w:t xml:space="preserve"> y lesbianas reportaron que, en promedio, revelaban su orientación sexual a seis individuos o grupos de individuos. </w:t>
      </w:r>
      <w:r w:rsidR="00113519">
        <w:rPr>
          <w:rFonts w:ascii="Times New Roman" w:eastAsia="Times New Roman" w:hAnsi="Times New Roman" w:cs="Times New Roman"/>
          <w:sz w:val="24"/>
          <w:szCs w:val="24"/>
        </w:rPr>
        <w:t>M</w:t>
      </w:r>
      <w:r w:rsidR="00186518">
        <w:rPr>
          <w:rFonts w:ascii="Times New Roman" w:eastAsia="Times New Roman" w:hAnsi="Times New Roman" w:cs="Times New Roman"/>
          <w:sz w:val="24"/>
          <w:szCs w:val="24"/>
        </w:rPr>
        <w:t>ás de la mitad de l</w:t>
      </w:r>
      <w:r w:rsidR="007163E1">
        <w:rPr>
          <w:rFonts w:ascii="Times New Roman" w:eastAsia="Times New Roman" w:hAnsi="Times New Roman" w:cs="Times New Roman"/>
          <w:sz w:val="24"/>
          <w:szCs w:val="24"/>
        </w:rPr>
        <w:t>os participantes</w:t>
      </w:r>
      <w:r w:rsidR="00186518">
        <w:rPr>
          <w:rFonts w:ascii="Times New Roman" w:eastAsia="Times New Roman" w:hAnsi="Times New Roman" w:cs="Times New Roman"/>
          <w:sz w:val="24"/>
          <w:szCs w:val="24"/>
        </w:rPr>
        <w:t xml:space="preserve"> era bisexual (6</w:t>
      </w:r>
      <w:r w:rsidR="001170B0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18651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1170B0">
        <w:rPr>
          <w:rFonts w:ascii="Times New Roman" w:eastAsia="Times New Roman" w:hAnsi="Times New Roman" w:cs="Times New Roman"/>
          <w:sz w:val="24"/>
          <w:szCs w:val="24"/>
        </w:rPr>
        <w:t xml:space="preserve"> y, en conjunto con las otras orientaciones no heterosexuales</w:t>
      </w:r>
      <w:r w:rsidR="007279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1F5E">
        <w:rPr>
          <w:rFonts w:ascii="Times New Roman" w:eastAsia="Times New Roman" w:hAnsi="Times New Roman" w:cs="Times New Roman"/>
          <w:sz w:val="24"/>
          <w:szCs w:val="24"/>
        </w:rPr>
        <w:t>se observa una muestra cuya mayoría (78.3%)</w:t>
      </w:r>
      <w:r w:rsidR="00716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227">
        <w:rPr>
          <w:rFonts w:ascii="Times New Roman" w:eastAsia="Times New Roman" w:hAnsi="Times New Roman" w:cs="Times New Roman"/>
          <w:sz w:val="24"/>
          <w:szCs w:val="24"/>
        </w:rPr>
        <w:t>revela su orientación sexual de modo limitado</w:t>
      </w:r>
      <w:r w:rsidR="001811B0">
        <w:rPr>
          <w:rFonts w:ascii="Times New Roman" w:eastAsia="Times New Roman" w:hAnsi="Times New Roman" w:cs="Times New Roman"/>
          <w:sz w:val="24"/>
          <w:szCs w:val="24"/>
        </w:rPr>
        <w:t>, a un promedio de cuatro personas</w:t>
      </w:r>
      <w:r w:rsidR="00542195">
        <w:rPr>
          <w:rFonts w:ascii="Times New Roman" w:eastAsia="Times New Roman" w:hAnsi="Times New Roman" w:cs="Times New Roman"/>
          <w:sz w:val="24"/>
          <w:szCs w:val="24"/>
        </w:rPr>
        <w:t xml:space="preserve"> o grupos</w:t>
      </w:r>
      <w:r w:rsidR="005732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2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C6265" w14:textId="485219B9" w:rsidR="007C53B6" w:rsidRDefault="003B1B2B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segunda hipótesis, relativa al contexto de residencia, encontró soporte parcial. Por un lado, e</w:t>
      </w:r>
      <w:r w:rsidR="00500826">
        <w:rPr>
          <w:rFonts w:ascii="Times New Roman" w:eastAsia="Times New Roman" w:hAnsi="Times New Roman" w:cs="Times New Roman"/>
          <w:sz w:val="24"/>
          <w:szCs w:val="24"/>
        </w:rPr>
        <w:t xml:space="preserve">l área </w:t>
      </w:r>
      <w:r w:rsidR="008F78FF" w:rsidRPr="005723A5">
        <w:rPr>
          <w:rFonts w:ascii="Times New Roman" w:eastAsia="Times New Roman" w:hAnsi="Times New Roman" w:cs="Times New Roman"/>
          <w:sz w:val="24"/>
          <w:szCs w:val="24"/>
        </w:rPr>
        <w:t xml:space="preserve">de residencia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urbana o rural </w:t>
      </w:r>
      <w:r w:rsidR="008F78FF" w:rsidRPr="005723A5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>fue predictor de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 xml:space="preserve"> la revelación de la orientación sexual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r w:rsidR="001811B0">
        <w:rPr>
          <w:rFonts w:ascii="Times New Roman" w:eastAsia="Times New Roman" w:hAnsi="Times New Roman" w:cs="Times New Roman"/>
          <w:sz w:val="24"/>
          <w:szCs w:val="24"/>
        </w:rPr>
        <w:t>resultado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 contradice la literatura que señala que el área urbana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ofrece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 mayor apertura y recursos para que las personas LGBTIQ+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expresen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 su identidad sexual de modo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más 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>seguro (</w:t>
      </w:r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>Barrientos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-Delgado</w:t>
      </w:r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2014</w:t>
      </w:r>
      <w:r w:rsidR="000513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>McGlynn</w:t>
      </w:r>
      <w:proofErr w:type="spellEnd"/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 xml:space="preserve">, 2018). 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No obstante, otros estudios </w:t>
      </w:r>
      <w:r w:rsidR="00A07574">
        <w:rPr>
          <w:rFonts w:ascii="Times New Roman" w:eastAsia="Times New Roman" w:hAnsi="Times New Roman" w:cs="Times New Roman"/>
          <w:sz w:val="24"/>
          <w:szCs w:val="24"/>
        </w:rPr>
        <w:t xml:space="preserve">destacan 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07574">
        <w:rPr>
          <w:rFonts w:ascii="Times New Roman" w:eastAsia="Times New Roman" w:hAnsi="Times New Roman" w:cs="Times New Roman"/>
          <w:sz w:val="24"/>
          <w:szCs w:val="24"/>
        </w:rPr>
        <w:t>las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L</w:t>
      </w:r>
      <w:r w:rsidR="00743831">
        <w:rPr>
          <w:rFonts w:ascii="Times New Roman" w:eastAsia="Times New Roman" w:hAnsi="Times New Roman" w:cs="Times New Roman"/>
          <w:sz w:val="24"/>
          <w:szCs w:val="24"/>
        </w:rPr>
        <w:t xml:space="preserve">GBTIQ+ 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>en</w:t>
      </w:r>
      <w:r w:rsidR="00A07574">
        <w:rPr>
          <w:rFonts w:ascii="Times New Roman" w:eastAsia="Times New Roman" w:hAnsi="Times New Roman" w:cs="Times New Roman"/>
          <w:sz w:val="24"/>
          <w:szCs w:val="24"/>
        </w:rPr>
        <w:t xml:space="preserve"> áreas rurales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>encuentran en est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 xml:space="preserve">áreas 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>recursos que son importantes para su identidad (</w:t>
      </w:r>
      <w:proofErr w:type="spellStart"/>
      <w:r w:rsidR="00F23463">
        <w:rPr>
          <w:rFonts w:ascii="Times New Roman" w:eastAsia="Times New Roman" w:hAnsi="Times New Roman" w:cs="Times New Roman"/>
          <w:sz w:val="24"/>
          <w:szCs w:val="24"/>
        </w:rPr>
        <w:t>Annes</w:t>
      </w:r>
      <w:proofErr w:type="spellEnd"/>
      <w:r w:rsidR="00F23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F88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5662">
        <w:rPr>
          <w:rFonts w:ascii="Times New Roman" w:eastAsia="Times New Roman" w:hAnsi="Times New Roman" w:cs="Times New Roman"/>
          <w:sz w:val="24"/>
          <w:szCs w:val="24"/>
        </w:rPr>
        <w:t>Redlin</w:t>
      </w:r>
      <w:proofErr w:type="spellEnd"/>
      <w:r w:rsidR="00F23463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3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>McGlynn</w:t>
      </w:r>
      <w:proofErr w:type="spellEnd"/>
      <w:r w:rsidR="00051314" w:rsidRPr="005723A5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F2346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Además</w:t>
      </w:r>
      <w:r w:rsidR="007C53B6">
        <w:rPr>
          <w:rFonts w:ascii="Times New Roman" w:eastAsia="Times New Roman" w:hAnsi="Times New Roman" w:cs="Times New Roman"/>
          <w:sz w:val="24"/>
          <w:szCs w:val="24"/>
        </w:rPr>
        <w:t>, área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C53B6">
        <w:rPr>
          <w:rFonts w:ascii="Times New Roman" w:eastAsia="Times New Roman" w:hAnsi="Times New Roman" w:cs="Times New Roman"/>
          <w:sz w:val="24"/>
          <w:szCs w:val="24"/>
        </w:rPr>
        <w:t xml:space="preserve"> urbana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s más pequeñas</w:t>
      </w:r>
      <w:r w:rsidR="007C53B6">
        <w:rPr>
          <w:rFonts w:ascii="Times New Roman" w:eastAsia="Times New Roman" w:hAnsi="Times New Roman" w:cs="Times New Roman"/>
          <w:sz w:val="24"/>
          <w:szCs w:val="24"/>
        </w:rPr>
        <w:t xml:space="preserve"> puede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C53B6">
        <w:rPr>
          <w:rFonts w:ascii="Times New Roman" w:eastAsia="Times New Roman" w:hAnsi="Times New Roman" w:cs="Times New Roman"/>
          <w:sz w:val="24"/>
          <w:szCs w:val="24"/>
        </w:rPr>
        <w:t xml:space="preserve"> tener características</w:t>
      </w:r>
      <w:r w:rsidR="00CD52FE">
        <w:rPr>
          <w:rFonts w:ascii="Times New Roman" w:eastAsia="Times New Roman" w:hAnsi="Times New Roman" w:cs="Times New Roman"/>
          <w:sz w:val="24"/>
          <w:szCs w:val="24"/>
        </w:rPr>
        <w:t xml:space="preserve"> conservadoras </w:t>
      </w:r>
      <w:r w:rsidR="00F83EE9">
        <w:rPr>
          <w:rFonts w:ascii="Times New Roman" w:eastAsia="Times New Roman" w:hAnsi="Times New Roman" w:cs="Times New Roman"/>
          <w:sz w:val="24"/>
          <w:szCs w:val="24"/>
        </w:rPr>
        <w:t>(como es el caso de</w:t>
      </w:r>
      <w:r w:rsidR="005D3804">
        <w:rPr>
          <w:rFonts w:ascii="Times New Roman" w:eastAsia="Times New Roman" w:hAnsi="Times New Roman" w:cs="Times New Roman"/>
          <w:sz w:val="24"/>
          <w:szCs w:val="24"/>
        </w:rPr>
        <w:t xml:space="preserve"> la Región de la Araucanía, en cuya 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 xml:space="preserve">ciudad </w:t>
      </w:r>
      <w:r w:rsidR="005D3804">
        <w:rPr>
          <w:rFonts w:ascii="Times New Roman" w:eastAsia="Times New Roman" w:hAnsi="Times New Roman" w:cs="Times New Roman"/>
          <w:sz w:val="24"/>
          <w:szCs w:val="24"/>
        </w:rPr>
        <w:t xml:space="preserve">capital se realizó este estudio, </w:t>
      </w:r>
      <w:r w:rsidR="00DF0951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="005D3804">
        <w:rPr>
          <w:rFonts w:ascii="Times New Roman" w:eastAsia="Times New Roman" w:hAnsi="Times New Roman" w:cs="Times New Roman"/>
          <w:sz w:val="24"/>
          <w:szCs w:val="24"/>
        </w:rPr>
        <w:t>Fajardo, 2021)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E9">
        <w:rPr>
          <w:rFonts w:ascii="Times New Roman" w:eastAsia="Times New Roman" w:hAnsi="Times New Roman" w:cs="Times New Roman"/>
          <w:sz w:val="24"/>
          <w:szCs w:val="24"/>
        </w:rPr>
        <w:t xml:space="preserve">que implican rechazo a las identidades LGBTIQ+ </w:t>
      </w:r>
      <w:r w:rsidR="002924B7">
        <w:rPr>
          <w:rFonts w:ascii="Times New Roman" w:eastAsia="Times New Roman" w:hAnsi="Times New Roman" w:cs="Times New Roman"/>
          <w:sz w:val="24"/>
          <w:szCs w:val="24"/>
        </w:rPr>
        <w:t>y que contrarrestan</w:t>
      </w:r>
      <w:r w:rsidR="00CD52FE">
        <w:rPr>
          <w:rFonts w:ascii="Times New Roman" w:eastAsia="Times New Roman" w:hAnsi="Times New Roman" w:cs="Times New Roman"/>
          <w:sz w:val="24"/>
          <w:szCs w:val="24"/>
        </w:rPr>
        <w:t xml:space="preserve"> los beneficios </w:t>
      </w:r>
      <w:r w:rsidR="00CD3FEC">
        <w:rPr>
          <w:rFonts w:ascii="Times New Roman" w:eastAsia="Times New Roman" w:hAnsi="Times New Roman" w:cs="Times New Roman"/>
          <w:sz w:val="24"/>
          <w:szCs w:val="24"/>
        </w:rPr>
        <w:t>tradicionalmente atribuidos al</w:t>
      </w:r>
      <w:r w:rsidR="00CD52FE">
        <w:rPr>
          <w:rFonts w:ascii="Times New Roman" w:eastAsia="Times New Roman" w:hAnsi="Times New Roman" w:cs="Times New Roman"/>
          <w:sz w:val="24"/>
          <w:szCs w:val="24"/>
        </w:rPr>
        <w:t xml:space="preserve"> área urbana. </w:t>
      </w:r>
    </w:p>
    <w:p w14:paraId="6333A9AA" w14:textId="6FBAA1E9" w:rsidR="00030385" w:rsidRDefault="006C0DB9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otro lado,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 xml:space="preserve"> vivir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>independiente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>mente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 xml:space="preserve"> de los padres (versus vivir con ellos 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siempre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 xml:space="preserve"> o durante fines de semana y vacaciones) 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>es un predictor de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 xml:space="preserve"> una mayor revelación de la orientación sexual. 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Este hallazgo cobra sentido en tanto que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imagen ideal de la familia de origen 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es la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fuente de apoyo incondicional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, lo cual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contrapone con 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>su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 xml:space="preserve"> función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282">
        <w:rPr>
          <w:rFonts w:ascii="Times New Roman" w:eastAsia="Times New Roman" w:hAnsi="Times New Roman" w:cs="Times New Roman"/>
          <w:sz w:val="24"/>
          <w:szCs w:val="24"/>
        </w:rPr>
        <w:t xml:space="preserve">protectora de normas tradicionales y, por ende,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fuente primaria de rechazo y prejuicio 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ante las personas LGBTIQ+ (</w:t>
      </w:r>
      <w:proofErr w:type="spellStart"/>
      <w:r w:rsidR="00030385" w:rsidRPr="005723A5">
        <w:rPr>
          <w:rFonts w:ascii="Times New Roman" w:eastAsia="Times New Roman" w:hAnsi="Times New Roman" w:cs="Times New Roman"/>
          <w:sz w:val="24"/>
          <w:szCs w:val="24"/>
        </w:rPr>
        <w:t>Grafsky</w:t>
      </w:r>
      <w:proofErr w:type="spellEnd"/>
      <w:r w:rsidR="001770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0385" w:rsidRPr="005723A5">
        <w:rPr>
          <w:rFonts w:ascii="Times New Roman" w:eastAsia="Times New Roman" w:hAnsi="Times New Roman" w:cs="Times New Roman"/>
          <w:sz w:val="24"/>
          <w:szCs w:val="24"/>
        </w:rPr>
        <w:t xml:space="preserve">2017). </w:t>
      </w:r>
      <w:r w:rsidR="00030385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17703D">
        <w:rPr>
          <w:rFonts w:ascii="Times New Roman" w:eastAsia="Times New Roman" w:hAnsi="Times New Roman" w:cs="Times New Roman"/>
          <w:sz w:val="24"/>
          <w:szCs w:val="24"/>
        </w:rPr>
        <w:t>Chile</w:t>
      </w:r>
      <w:r w:rsidR="00030385">
        <w:rPr>
          <w:rFonts w:ascii="Times New Roman" w:eastAsia="Times New Roman" w:hAnsi="Times New Roman" w:cs="Times New Roman"/>
          <w:sz w:val="24"/>
          <w:szCs w:val="24"/>
        </w:rPr>
        <w:t>, j</w:t>
      </w:r>
      <w:r w:rsidR="005449DD">
        <w:rPr>
          <w:rFonts w:ascii="Times New Roman" w:eastAsia="Times New Roman" w:hAnsi="Times New Roman" w:cs="Times New Roman"/>
          <w:sz w:val="24"/>
          <w:szCs w:val="24"/>
        </w:rPr>
        <w:t xml:space="preserve">óvenes LGBTQI+ han reportado que </w:t>
      </w:r>
      <w:r w:rsidR="002E2171">
        <w:rPr>
          <w:rFonts w:ascii="Times New Roman" w:eastAsia="Times New Roman" w:hAnsi="Times New Roman" w:cs="Times New Roman"/>
          <w:sz w:val="24"/>
          <w:szCs w:val="24"/>
        </w:rPr>
        <w:t>vivir</w:t>
      </w:r>
      <w:r w:rsidR="005449DD">
        <w:rPr>
          <w:rFonts w:ascii="Times New Roman" w:eastAsia="Times New Roman" w:hAnsi="Times New Roman" w:cs="Times New Roman"/>
          <w:sz w:val="24"/>
          <w:szCs w:val="24"/>
        </w:rPr>
        <w:t xml:space="preserve"> con sus padres</w:t>
      </w:r>
      <w:r w:rsidR="00CE6C3E">
        <w:rPr>
          <w:rFonts w:ascii="Times New Roman" w:eastAsia="Times New Roman" w:hAnsi="Times New Roman" w:cs="Times New Roman"/>
          <w:sz w:val="24"/>
          <w:szCs w:val="24"/>
        </w:rPr>
        <w:t xml:space="preserve"> evita que </w:t>
      </w:r>
      <w:r w:rsidR="00F76DE1">
        <w:rPr>
          <w:rFonts w:ascii="Times New Roman" w:eastAsia="Times New Roman" w:hAnsi="Times New Roman" w:cs="Times New Roman"/>
          <w:sz w:val="24"/>
          <w:szCs w:val="24"/>
        </w:rPr>
        <w:t xml:space="preserve">puedan expresar </w:t>
      </w:r>
      <w:r w:rsidR="00CE6C3E">
        <w:rPr>
          <w:rFonts w:ascii="Times New Roman" w:eastAsia="Times New Roman" w:hAnsi="Times New Roman" w:cs="Times New Roman"/>
          <w:sz w:val="24"/>
          <w:szCs w:val="24"/>
        </w:rPr>
        <w:t xml:space="preserve">su identidad sexual o de género, </w:t>
      </w:r>
      <w:r w:rsidR="00F76DE1">
        <w:rPr>
          <w:rFonts w:ascii="Times New Roman" w:eastAsia="Times New Roman" w:hAnsi="Times New Roman" w:cs="Times New Roman"/>
          <w:sz w:val="24"/>
          <w:szCs w:val="24"/>
        </w:rPr>
        <w:t xml:space="preserve">lo cual se ha </w:t>
      </w:r>
      <w:r w:rsidR="00F76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visto </w:t>
      </w:r>
      <w:r w:rsidR="00CE6C3E">
        <w:rPr>
          <w:rFonts w:ascii="Times New Roman" w:eastAsia="Times New Roman" w:hAnsi="Times New Roman" w:cs="Times New Roman"/>
          <w:sz w:val="24"/>
          <w:szCs w:val="24"/>
        </w:rPr>
        <w:t>exacerbad</w:t>
      </w:r>
      <w:r w:rsidR="00F76DE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E6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DE1">
        <w:rPr>
          <w:rFonts w:ascii="Times New Roman" w:eastAsia="Times New Roman" w:hAnsi="Times New Roman" w:cs="Times New Roman"/>
          <w:sz w:val="24"/>
          <w:szCs w:val="24"/>
        </w:rPr>
        <w:t>durante el</w:t>
      </w:r>
      <w:r w:rsidR="00CE6C3E">
        <w:rPr>
          <w:rFonts w:ascii="Times New Roman" w:eastAsia="Times New Roman" w:hAnsi="Times New Roman" w:cs="Times New Roman"/>
          <w:sz w:val="24"/>
          <w:szCs w:val="24"/>
        </w:rPr>
        <w:t xml:space="preserve"> confinamiento debido a la pandemia por COVID-19 (Barrientos et al., 2021).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748BE9" w14:textId="15F9FA3B" w:rsidR="00500826" w:rsidRPr="005723A5" w:rsidRDefault="0017703D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>a independencia</w:t>
      </w:r>
      <w:r w:rsidR="00AE2B0D">
        <w:rPr>
          <w:rFonts w:ascii="Times New Roman" w:eastAsia="Times New Roman" w:hAnsi="Times New Roman" w:cs="Times New Roman"/>
          <w:sz w:val="24"/>
          <w:szCs w:val="24"/>
        </w:rPr>
        <w:t xml:space="preserve"> de los padres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predictor de la </w:t>
      </w:r>
      <w:r w:rsidR="00AE2B0D">
        <w:rPr>
          <w:rFonts w:ascii="Times New Roman" w:eastAsia="Times New Roman" w:hAnsi="Times New Roman" w:cs="Times New Roman"/>
          <w:sz w:val="24"/>
          <w:szCs w:val="24"/>
        </w:rPr>
        <w:t>revelación</w:t>
      </w:r>
      <w:r w:rsidR="00B17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B0D">
        <w:rPr>
          <w:rFonts w:ascii="Times New Roman" w:eastAsia="Times New Roman" w:hAnsi="Times New Roman" w:cs="Times New Roman"/>
          <w:sz w:val="24"/>
          <w:szCs w:val="24"/>
        </w:rPr>
        <w:t>puede</w:t>
      </w:r>
      <w:r w:rsidR="007C7AF9">
        <w:rPr>
          <w:rFonts w:ascii="Times New Roman" w:eastAsia="Times New Roman" w:hAnsi="Times New Roman" w:cs="Times New Roman"/>
          <w:sz w:val="24"/>
          <w:szCs w:val="24"/>
        </w:rPr>
        <w:t xml:space="preserve"> deberse también a los hitos esperados durante la adultez emergente. En esta etapa vital, </w:t>
      </w:r>
      <w:r w:rsidR="00776E19">
        <w:rPr>
          <w:rFonts w:ascii="Times New Roman" w:eastAsia="Times New Roman" w:hAnsi="Times New Roman" w:cs="Times New Roman"/>
          <w:sz w:val="24"/>
          <w:szCs w:val="24"/>
        </w:rPr>
        <w:t>muchas personas se independizan de su familia de origen y cuentan</w:t>
      </w:r>
      <w:r w:rsidR="00500826" w:rsidRPr="005723A5">
        <w:rPr>
          <w:rFonts w:ascii="Times New Roman" w:eastAsia="Times New Roman" w:hAnsi="Times New Roman" w:cs="Times New Roman"/>
          <w:sz w:val="24"/>
          <w:szCs w:val="24"/>
        </w:rPr>
        <w:t xml:space="preserve"> con mayor autonomía para explorar y consolidar su identidad (Barrera-Herrera 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00826"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2017). </w:t>
      </w:r>
      <w:r w:rsidR="004C11B2">
        <w:rPr>
          <w:rFonts w:ascii="Times New Roman" w:eastAsia="Times New Roman" w:hAnsi="Times New Roman" w:cs="Times New Roman"/>
          <w:sz w:val="24"/>
          <w:szCs w:val="24"/>
        </w:rPr>
        <w:t>No obstante, en 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estudio solo </w:t>
      </w:r>
      <w:r w:rsidR="004C11B2">
        <w:rPr>
          <w:rFonts w:ascii="Times New Roman" w:eastAsia="Times New Roman" w:hAnsi="Times New Roman" w:cs="Times New Roman"/>
          <w:sz w:val="24"/>
          <w:szCs w:val="24"/>
        </w:rPr>
        <w:t>cerca del 13% de estudiantes vivía de modo independiente de sus padres</w:t>
      </w:r>
      <w:r w:rsidR="00A511CE">
        <w:rPr>
          <w:rFonts w:ascii="Times New Roman" w:eastAsia="Times New Roman" w:hAnsi="Times New Roman" w:cs="Times New Roman"/>
          <w:sz w:val="24"/>
          <w:szCs w:val="24"/>
        </w:rPr>
        <w:t xml:space="preserve">, lo que sugiere que la mayoría de la muestra puede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encontrarse </w:t>
      </w:r>
      <w:r w:rsidR="00A511CE">
        <w:rPr>
          <w:rFonts w:ascii="Times New Roman" w:eastAsia="Times New Roman" w:hAnsi="Times New Roman" w:cs="Times New Roman"/>
          <w:sz w:val="24"/>
          <w:szCs w:val="24"/>
        </w:rPr>
        <w:t xml:space="preserve">en un entorno familiar 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>que desalienta la revelación de la orientación sexual</w:t>
      </w:r>
      <w:r w:rsidR="004C1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 Para estudiantes universitarios LGBTQIQ+ que viven con sus padres, ocultar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su orientación sexual 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C2BC8">
        <w:rPr>
          <w:rFonts w:ascii="Times New Roman" w:eastAsia="Times New Roman" w:hAnsi="Times New Roman" w:cs="Times New Roman"/>
          <w:sz w:val="24"/>
          <w:szCs w:val="24"/>
        </w:rPr>
        <w:t xml:space="preserve">identidad 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>de género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>puede ser un factor protector ante el conflicto familiar, la pérdida de soporte económico e incluso la expulsión del hogar (</w:t>
      </w:r>
      <w:proofErr w:type="spellStart"/>
      <w:r w:rsidR="00026709">
        <w:rPr>
          <w:rFonts w:ascii="Times New Roman" w:eastAsia="Times New Roman" w:hAnsi="Times New Roman" w:cs="Times New Roman"/>
          <w:sz w:val="24"/>
          <w:szCs w:val="24"/>
        </w:rPr>
        <w:t>Grafsky</w:t>
      </w:r>
      <w:proofErr w:type="spellEnd"/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 et al.,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 w:rsidR="00D2605D">
        <w:rPr>
          <w:rFonts w:ascii="Times New Roman" w:eastAsia="Times New Roman" w:hAnsi="Times New Roman" w:cs="Times New Roman"/>
          <w:sz w:val="24"/>
          <w:szCs w:val="24"/>
        </w:rPr>
        <w:t>E</w:t>
      </w:r>
      <w:r w:rsidR="007A427C">
        <w:rPr>
          <w:rFonts w:ascii="Times New Roman" w:eastAsia="Times New Roman" w:hAnsi="Times New Roman" w:cs="Times New Roman"/>
          <w:sz w:val="24"/>
          <w:szCs w:val="24"/>
        </w:rPr>
        <w:t xml:space="preserve">ste ocultamiento </w:t>
      </w:r>
      <w:r w:rsidR="00D2605D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 w:rsidR="007A427C">
        <w:rPr>
          <w:rFonts w:ascii="Times New Roman" w:eastAsia="Times New Roman" w:hAnsi="Times New Roman" w:cs="Times New Roman"/>
          <w:sz w:val="24"/>
          <w:szCs w:val="24"/>
        </w:rPr>
        <w:t>puede ser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 parte de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7A427C">
        <w:rPr>
          <w:rFonts w:ascii="Times New Roman" w:eastAsia="Times New Roman" w:hAnsi="Times New Roman" w:cs="Times New Roman"/>
          <w:sz w:val="24"/>
          <w:szCs w:val="24"/>
        </w:rPr>
        <w:t>esfuerzos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A427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os estudiantes por 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retribuir el apoyo emocional y económico de sus 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 xml:space="preserve">familias 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(Barrera-Herrera 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2017)</w:t>
      </w:r>
      <w:r w:rsidR="000267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709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1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3485D19" w14:textId="1A677560" w:rsidR="00D2605D" w:rsidRDefault="00825FEA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tercera y última hipótesis, relativa al apoyo social, también encontró soporte parcial</w:t>
      </w:r>
      <w:r w:rsidR="00E15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4C4C">
        <w:rPr>
          <w:rFonts w:ascii="Times New Roman" w:eastAsia="Times New Roman" w:hAnsi="Times New Roman" w:cs="Times New Roman"/>
          <w:sz w:val="24"/>
          <w:szCs w:val="24"/>
        </w:rPr>
        <w:t>La literatura latinoamericana</w:t>
      </w:r>
      <w:r w:rsidR="00456F6C">
        <w:rPr>
          <w:rFonts w:ascii="Times New Roman" w:eastAsia="Times New Roman" w:hAnsi="Times New Roman" w:cs="Times New Roman"/>
          <w:sz w:val="24"/>
          <w:szCs w:val="24"/>
        </w:rPr>
        <w:t xml:space="preserve"> se ha centrado en el apoyo familiar para personas </w:t>
      </w:r>
      <w:proofErr w:type="spellStart"/>
      <w:r w:rsidR="00456F6C">
        <w:rPr>
          <w:rFonts w:ascii="Times New Roman" w:eastAsia="Times New Roman" w:hAnsi="Times New Roman" w:cs="Times New Roman"/>
          <w:sz w:val="24"/>
          <w:szCs w:val="24"/>
        </w:rPr>
        <w:t>gay</w:t>
      </w:r>
      <w:r w:rsidR="0047701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456F6C">
        <w:rPr>
          <w:rFonts w:ascii="Times New Roman" w:eastAsia="Times New Roman" w:hAnsi="Times New Roman" w:cs="Times New Roman"/>
          <w:sz w:val="24"/>
          <w:szCs w:val="24"/>
        </w:rPr>
        <w:t xml:space="preserve"> y lesbianas, mostrando que un mayor apoyo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promueve una </w:t>
      </w:r>
      <w:r w:rsidR="000D3CBE">
        <w:rPr>
          <w:rFonts w:ascii="Times New Roman" w:eastAsia="Times New Roman" w:hAnsi="Times New Roman" w:cs="Times New Roman"/>
          <w:sz w:val="24"/>
          <w:szCs w:val="24"/>
        </w:rPr>
        <w:t>experiencia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positiva</w:t>
      </w:r>
      <w:r w:rsidR="000D3CBE">
        <w:rPr>
          <w:rFonts w:ascii="Times New Roman" w:eastAsia="Times New Roman" w:hAnsi="Times New Roman" w:cs="Times New Roman"/>
          <w:sz w:val="24"/>
          <w:szCs w:val="24"/>
        </w:rPr>
        <w:t xml:space="preserve"> de revelación de la orientación sexual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(Barrera </w:t>
      </w:r>
      <w:r w:rsidR="000D3CBE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Flores, 2020; </w:t>
      </w:r>
      <w:proofErr w:type="spellStart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et al., 2020). Sin embargo, </w:t>
      </w:r>
      <w:r w:rsidR="0050336E">
        <w:rPr>
          <w:rFonts w:ascii="Times New Roman" w:eastAsia="Times New Roman" w:hAnsi="Times New Roman" w:cs="Times New Roman"/>
          <w:sz w:val="24"/>
          <w:szCs w:val="24"/>
        </w:rPr>
        <w:t xml:space="preserve">en este estudio </w:t>
      </w:r>
      <w:r w:rsidR="00D2605D">
        <w:rPr>
          <w:rFonts w:ascii="Times New Roman" w:eastAsia="Times New Roman" w:hAnsi="Times New Roman" w:cs="Times New Roman"/>
          <w:sz w:val="24"/>
          <w:szCs w:val="24"/>
        </w:rPr>
        <w:t xml:space="preserve">no se encontró relación entre el apoyo </w:t>
      </w:r>
      <w:r w:rsidR="00F644E0">
        <w:rPr>
          <w:rFonts w:ascii="Times New Roman" w:eastAsia="Times New Roman" w:hAnsi="Times New Roman" w:cs="Times New Roman"/>
          <w:sz w:val="24"/>
          <w:szCs w:val="24"/>
        </w:rPr>
        <w:t>familiar</w:t>
      </w:r>
      <w:r w:rsidR="00D2605D">
        <w:rPr>
          <w:rFonts w:ascii="Times New Roman" w:eastAsia="Times New Roman" w:hAnsi="Times New Roman" w:cs="Times New Roman"/>
          <w:sz w:val="24"/>
          <w:szCs w:val="24"/>
        </w:rPr>
        <w:t xml:space="preserve"> y esta revelación. </w:t>
      </w:r>
      <w:r w:rsidR="005E4DE9">
        <w:rPr>
          <w:rFonts w:ascii="Times New Roman" w:eastAsia="Times New Roman" w:hAnsi="Times New Roman" w:cs="Times New Roman"/>
          <w:sz w:val="24"/>
          <w:szCs w:val="24"/>
        </w:rPr>
        <w:t>Lo mismo ocurr</w:t>
      </w:r>
      <w:r>
        <w:rPr>
          <w:rFonts w:ascii="Times New Roman" w:eastAsia="Times New Roman" w:hAnsi="Times New Roman" w:cs="Times New Roman"/>
          <w:sz w:val="24"/>
          <w:szCs w:val="24"/>
        </w:rPr>
        <w:t>ió</w:t>
      </w:r>
      <w:r w:rsidR="005E4DE9">
        <w:rPr>
          <w:rFonts w:ascii="Times New Roman" w:eastAsia="Times New Roman" w:hAnsi="Times New Roman" w:cs="Times New Roman"/>
          <w:sz w:val="24"/>
          <w:szCs w:val="24"/>
        </w:rPr>
        <w:t xml:space="preserve"> con el apoyo de las amistades. </w:t>
      </w:r>
      <w:r w:rsidR="001E22E6">
        <w:rPr>
          <w:rFonts w:ascii="Times New Roman" w:eastAsia="Times New Roman" w:hAnsi="Times New Roman" w:cs="Times New Roman"/>
          <w:sz w:val="24"/>
          <w:szCs w:val="24"/>
        </w:rPr>
        <w:t xml:space="preserve">Es decir, la revelación parece </w:t>
      </w:r>
      <w:r>
        <w:rPr>
          <w:rFonts w:ascii="Times New Roman" w:eastAsia="Times New Roman" w:hAnsi="Times New Roman" w:cs="Times New Roman"/>
          <w:sz w:val="24"/>
          <w:szCs w:val="24"/>
        </w:rPr>
        <w:t>darse</w:t>
      </w:r>
      <w:r w:rsidR="001E22E6">
        <w:rPr>
          <w:rFonts w:ascii="Times New Roman" w:eastAsia="Times New Roman" w:hAnsi="Times New Roman" w:cs="Times New Roman"/>
          <w:sz w:val="24"/>
          <w:szCs w:val="24"/>
        </w:rPr>
        <w:t xml:space="preserve"> independientemente de que la persona LGBTIQ+ perciba o no apoyo de su familia</w:t>
      </w:r>
      <w:r w:rsidR="001F5F4C">
        <w:rPr>
          <w:rFonts w:ascii="Times New Roman" w:eastAsia="Times New Roman" w:hAnsi="Times New Roman" w:cs="Times New Roman"/>
          <w:sz w:val="24"/>
          <w:szCs w:val="24"/>
        </w:rPr>
        <w:t xml:space="preserve"> y amistades</w:t>
      </w:r>
      <w:r w:rsidR="005377F0">
        <w:rPr>
          <w:rFonts w:ascii="Times New Roman" w:eastAsia="Times New Roman" w:hAnsi="Times New Roman" w:cs="Times New Roman"/>
          <w:sz w:val="24"/>
          <w:szCs w:val="24"/>
        </w:rPr>
        <w:t>. Este hallazgo</w:t>
      </w:r>
      <w:r w:rsidR="001E22E6">
        <w:rPr>
          <w:rFonts w:ascii="Times New Roman" w:eastAsia="Times New Roman" w:hAnsi="Times New Roman" w:cs="Times New Roman"/>
          <w:sz w:val="24"/>
          <w:szCs w:val="24"/>
        </w:rPr>
        <w:t xml:space="preserve"> sugiere 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>, en estos adultos emergentes,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BF">
        <w:rPr>
          <w:rFonts w:ascii="Times New Roman" w:eastAsia="Times New Roman" w:hAnsi="Times New Roman" w:cs="Times New Roman"/>
          <w:sz w:val="24"/>
          <w:szCs w:val="24"/>
        </w:rPr>
        <w:t>la exp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>resión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 xml:space="preserve"> aspecto </w:t>
      </w:r>
      <w:r>
        <w:rPr>
          <w:rFonts w:ascii="Times New Roman" w:eastAsia="Times New Roman" w:hAnsi="Times New Roman" w:cs="Times New Roman"/>
          <w:sz w:val="24"/>
          <w:szCs w:val="24"/>
        </w:rPr>
        <w:t>vital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C1ADD">
        <w:rPr>
          <w:rFonts w:ascii="Times New Roman" w:eastAsia="Times New Roman" w:hAnsi="Times New Roman" w:cs="Times New Roman"/>
          <w:sz w:val="24"/>
          <w:szCs w:val="24"/>
        </w:rPr>
        <w:t xml:space="preserve"> identidad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 xml:space="preserve"> ocurre al margen de las esferas sociales más cercanas al individuo</w:t>
      </w:r>
      <w:r w:rsidR="001E22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6329B2" w14:textId="0DFAC59D" w:rsidR="001670FC" w:rsidRDefault="00CA1B7D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contraste, 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l apoyo social </w:t>
      </w:r>
      <w:r>
        <w:rPr>
          <w:rFonts w:ascii="Times New Roman" w:eastAsia="Times New Roman" w:hAnsi="Times New Roman" w:cs="Times New Roman"/>
          <w:sz w:val="24"/>
          <w:szCs w:val="24"/>
        </w:rPr>
        <w:t>percibido d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 otros significativos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4E0">
        <w:rPr>
          <w:rFonts w:ascii="Times New Roman" w:eastAsia="Times New Roman" w:hAnsi="Times New Roman" w:cs="Times New Roman"/>
          <w:sz w:val="24"/>
          <w:szCs w:val="24"/>
        </w:rPr>
        <w:t xml:space="preserve">fue </w:t>
      </w:r>
      <w:r w:rsidR="00F57DA7">
        <w:rPr>
          <w:rFonts w:ascii="Times New Roman" w:eastAsia="Times New Roman" w:hAnsi="Times New Roman" w:cs="Times New Roman"/>
          <w:sz w:val="24"/>
          <w:szCs w:val="24"/>
        </w:rPr>
        <w:t>predictor de</w:t>
      </w:r>
      <w:r w:rsidR="001F5F4C">
        <w:rPr>
          <w:rFonts w:ascii="Times New Roman" w:eastAsia="Times New Roman" w:hAnsi="Times New Roman" w:cs="Times New Roman"/>
          <w:sz w:val="24"/>
          <w:szCs w:val="24"/>
        </w:rPr>
        <w:t xml:space="preserve"> la revelación.</w:t>
      </w:r>
      <w:r w:rsidR="00C40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0FC">
        <w:rPr>
          <w:rFonts w:ascii="Times New Roman" w:eastAsia="Times New Roman" w:hAnsi="Times New Roman" w:cs="Times New Roman"/>
          <w:sz w:val="24"/>
          <w:szCs w:val="24"/>
        </w:rPr>
        <w:t xml:space="preserve">Las redes sociales en internet se perfilan como 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>parte de este apoyo (</w:t>
      </w:r>
      <w:proofErr w:type="spellStart"/>
      <w:r w:rsidR="009609F6" w:rsidRPr="005723A5">
        <w:rPr>
          <w:rFonts w:ascii="Times New Roman" w:eastAsia="Times New Roman" w:hAnsi="Times New Roman" w:cs="Times New Roman"/>
          <w:sz w:val="24"/>
          <w:szCs w:val="24"/>
        </w:rPr>
        <w:t>Calvelhe</w:t>
      </w:r>
      <w:proofErr w:type="spellEnd"/>
      <w:r w:rsidR="009609F6" w:rsidRPr="005723A5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 xml:space="preserve">) pues permite a jóvenes LGBTIQ+ </w:t>
      </w:r>
      <w:r w:rsidR="00FF6A53">
        <w:rPr>
          <w:rFonts w:ascii="Times New Roman" w:eastAsia="Times New Roman" w:hAnsi="Times New Roman" w:cs="Times New Roman"/>
          <w:sz w:val="24"/>
          <w:szCs w:val="24"/>
        </w:rPr>
        <w:t xml:space="preserve">acceder a 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>información</w:t>
      </w:r>
      <w:r w:rsidR="007A3C42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 xml:space="preserve"> apoyo 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>relativo</w:t>
      </w:r>
      <w:r w:rsidR="00FF6A5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 xml:space="preserve"> su identidad sexual que no encuentran en </w:t>
      </w:r>
      <w:r w:rsidR="004301D3">
        <w:rPr>
          <w:rFonts w:ascii="Times New Roman" w:eastAsia="Times New Roman" w:hAnsi="Times New Roman" w:cs="Times New Roman"/>
          <w:sz w:val="24"/>
          <w:szCs w:val="24"/>
        </w:rPr>
        <w:t>su entorno</w:t>
      </w:r>
      <w:r w:rsidR="00960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5BF0">
        <w:rPr>
          <w:rFonts w:ascii="Times New Roman" w:eastAsia="Times New Roman" w:hAnsi="Times New Roman" w:cs="Times New Roman"/>
          <w:sz w:val="24"/>
          <w:szCs w:val="24"/>
        </w:rPr>
        <w:t>Estas fuentes, a su vez, podrían neutralizar el efecto de</w:t>
      </w:r>
      <w:r w:rsidR="003E5462">
        <w:rPr>
          <w:rFonts w:ascii="Times New Roman" w:eastAsia="Times New Roman" w:hAnsi="Times New Roman" w:cs="Times New Roman"/>
          <w:sz w:val="24"/>
          <w:szCs w:val="24"/>
        </w:rPr>
        <w:t xml:space="preserve"> vivir en áreas urbanas o rurales</w:t>
      </w:r>
      <w:r w:rsidR="00F57DA7">
        <w:rPr>
          <w:rFonts w:ascii="Times New Roman" w:eastAsia="Times New Roman" w:hAnsi="Times New Roman" w:cs="Times New Roman"/>
          <w:sz w:val="24"/>
          <w:szCs w:val="24"/>
        </w:rPr>
        <w:t xml:space="preserve"> al brindar espacios virtuales para que </w:t>
      </w:r>
      <w:r w:rsidR="003E5462">
        <w:rPr>
          <w:rFonts w:ascii="Times New Roman" w:eastAsia="Times New Roman" w:hAnsi="Times New Roman" w:cs="Times New Roman"/>
          <w:sz w:val="24"/>
          <w:szCs w:val="24"/>
        </w:rPr>
        <w:t xml:space="preserve">las personas LGBTQI+ </w:t>
      </w:r>
      <w:r w:rsidR="00F57DA7">
        <w:rPr>
          <w:rFonts w:ascii="Times New Roman" w:eastAsia="Times New Roman" w:hAnsi="Times New Roman" w:cs="Times New Roman"/>
          <w:sz w:val="24"/>
          <w:szCs w:val="24"/>
        </w:rPr>
        <w:t>formen parte de una comunidad</w:t>
      </w:r>
      <w:r w:rsidR="003E54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E5462" w:rsidRPr="005723A5">
        <w:rPr>
          <w:rFonts w:ascii="Times New Roman" w:eastAsia="Times New Roman" w:hAnsi="Times New Roman" w:cs="Times New Roman"/>
          <w:sz w:val="24"/>
          <w:szCs w:val="24"/>
        </w:rPr>
        <w:t>Calvelhe</w:t>
      </w:r>
      <w:proofErr w:type="spellEnd"/>
      <w:r w:rsidR="003E5462" w:rsidRPr="005723A5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3E546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3E5462">
        <w:rPr>
          <w:rFonts w:ascii="Times New Roman" w:eastAsia="Times New Roman" w:hAnsi="Times New Roman" w:cs="Times New Roman"/>
          <w:sz w:val="24"/>
          <w:szCs w:val="24"/>
        </w:rPr>
        <w:t>McGlynn</w:t>
      </w:r>
      <w:proofErr w:type="spellEnd"/>
      <w:r w:rsidR="003E5462">
        <w:rPr>
          <w:rFonts w:ascii="Times New Roman" w:eastAsia="Times New Roman" w:hAnsi="Times New Roman" w:cs="Times New Roman"/>
          <w:sz w:val="24"/>
          <w:szCs w:val="24"/>
        </w:rPr>
        <w:t>, 2018).</w:t>
      </w:r>
      <w:r w:rsidR="003E5462" w:rsidRPr="003E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40F">
        <w:rPr>
          <w:rFonts w:ascii="Times New Roman" w:eastAsia="Times New Roman" w:hAnsi="Times New Roman" w:cs="Times New Roman"/>
          <w:sz w:val="24"/>
          <w:szCs w:val="24"/>
        </w:rPr>
        <w:t xml:space="preserve">Estudios señalan que las personas LGBTIQ+ reciben menor apoyo familiar que personas cis-heterosexuales y esto se compensa </w:t>
      </w:r>
      <w:r w:rsidR="00F57DA7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B8040F">
        <w:rPr>
          <w:rFonts w:ascii="Times New Roman" w:eastAsia="Times New Roman" w:hAnsi="Times New Roman" w:cs="Times New Roman"/>
          <w:sz w:val="24"/>
          <w:szCs w:val="24"/>
        </w:rPr>
        <w:t xml:space="preserve">mayor apoyo de sus amistades </w:t>
      </w:r>
      <w:r w:rsidR="00B8040F" w:rsidRPr="005723A5">
        <w:rPr>
          <w:rFonts w:ascii="Times New Roman" w:eastAsia="Times New Roman" w:hAnsi="Times New Roman" w:cs="Times New Roman"/>
          <w:sz w:val="24"/>
          <w:szCs w:val="24"/>
        </w:rPr>
        <w:t>(Rodríguez-Bustamante et al., 2019; Zambrano et al., 2017)</w:t>
      </w:r>
      <w:r w:rsidR="00B8040F">
        <w:rPr>
          <w:rFonts w:ascii="Times New Roman" w:eastAsia="Times New Roman" w:hAnsi="Times New Roman" w:cs="Times New Roman"/>
          <w:sz w:val="24"/>
          <w:szCs w:val="24"/>
        </w:rPr>
        <w:t xml:space="preserve">. No obstante, </w:t>
      </w:r>
      <w:r w:rsidR="00285740">
        <w:rPr>
          <w:rFonts w:ascii="Times New Roman" w:eastAsia="Times New Roman" w:hAnsi="Times New Roman" w:cs="Times New Roman"/>
          <w:sz w:val="24"/>
          <w:szCs w:val="24"/>
        </w:rPr>
        <w:t xml:space="preserve">y dada la nula relación entre apoyo familiar y de amistades con la revelación, son otros significativos quienes proveen recursos necesarios para alentar a la persona LGBTIQ+ a </w:t>
      </w:r>
      <w:r w:rsidR="00F644E0">
        <w:rPr>
          <w:rFonts w:ascii="Times New Roman" w:eastAsia="Times New Roman" w:hAnsi="Times New Roman" w:cs="Times New Roman"/>
          <w:sz w:val="24"/>
          <w:szCs w:val="24"/>
        </w:rPr>
        <w:t xml:space="preserve">revelar su </w:t>
      </w:r>
      <w:r w:rsidR="003E5462">
        <w:rPr>
          <w:rFonts w:ascii="Times New Roman" w:eastAsia="Times New Roman" w:hAnsi="Times New Roman" w:cs="Times New Roman"/>
          <w:sz w:val="24"/>
          <w:szCs w:val="24"/>
        </w:rPr>
        <w:t>orientación sexual.</w:t>
      </w:r>
    </w:p>
    <w:p w14:paraId="49AD6D8E" w14:textId="4775C6BF" w:rsidR="00DD06C8" w:rsidRPr="005723A5" w:rsidRDefault="00D36199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Este estudio cuenta con una serie de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limitaciones. En primer lugar, </w:t>
      </w:r>
      <w:r w:rsidR="00AC0ECD">
        <w:rPr>
          <w:rFonts w:ascii="Times New Roman" w:eastAsia="Times New Roman" w:hAnsi="Times New Roman" w:cs="Times New Roman"/>
          <w:sz w:val="24"/>
          <w:szCs w:val="24"/>
        </w:rPr>
        <w:t>se utilizó una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muestra por conveniencia, </w:t>
      </w:r>
      <w:r w:rsidR="001C1C18">
        <w:rPr>
          <w:rFonts w:ascii="Times New Roman" w:eastAsia="Times New Roman" w:hAnsi="Times New Roman" w:cs="Times New Roman"/>
          <w:sz w:val="24"/>
          <w:szCs w:val="24"/>
        </w:rPr>
        <w:t xml:space="preserve">que puede no reflejar la distribución por orientación sexual </w:t>
      </w:r>
      <w:r w:rsidR="00E4649D">
        <w:rPr>
          <w:rFonts w:ascii="Times New Roman" w:eastAsia="Times New Roman" w:hAnsi="Times New Roman" w:cs="Times New Roman"/>
          <w:sz w:val="24"/>
          <w:szCs w:val="24"/>
        </w:rPr>
        <w:t xml:space="preserve">reportada </w:t>
      </w:r>
      <w:r w:rsidR="001C1C18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40F">
        <w:rPr>
          <w:rFonts w:ascii="Times New Roman" w:eastAsia="Times New Roman" w:hAnsi="Times New Roman" w:cs="Times New Roman"/>
          <w:sz w:val="24"/>
          <w:szCs w:val="24"/>
        </w:rPr>
        <w:t xml:space="preserve">la población universitaria </w:t>
      </w:r>
      <w:r w:rsidR="001C1C18">
        <w:rPr>
          <w:rFonts w:ascii="Times New Roman" w:eastAsia="Times New Roman" w:hAnsi="Times New Roman" w:cs="Times New Roman"/>
          <w:sz w:val="24"/>
          <w:szCs w:val="24"/>
        </w:rPr>
        <w:t>chilena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263D">
        <w:rPr>
          <w:rFonts w:ascii="Times New Roman" w:eastAsia="Times New Roman" w:hAnsi="Times New Roman" w:cs="Times New Roman"/>
          <w:sz w:val="24"/>
          <w:szCs w:val="24"/>
        </w:rPr>
        <w:t xml:space="preserve">Asimismo, la naturaleza transversal del estudio no permite establecer causalidad entre las variables de interés.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Una segunda limitación </w:t>
      </w:r>
      <w:r w:rsidR="00116FA4">
        <w:rPr>
          <w:rFonts w:ascii="Times New Roman" w:eastAsia="Times New Roman" w:hAnsi="Times New Roman" w:cs="Times New Roman"/>
          <w:sz w:val="24"/>
          <w:szCs w:val="24"/>
        </w:rPr>
        <w:t>es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E46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el instrumento utilizado no contempla</w:t>
      </w:r>
      <w:r w:rsidR="00116FA4">
        <w:rPr>
          <w:rFonts w:ascii="Times New Roman" w:eastAsia="Times New Roman" w:hAnsi="Times New Roman" w:cs="Times New Roman"/>
          <w:sz w:val="24"/>
          <w:szCs w:val="24"/>
        </w:rPr>
        <w:t xml:space="preserve"> las particularidades de</w:t>
      </w:r>
      <w:r w:rsidR="00E4649D">
        <w:rPr>
          <w:rFonts w:ascii="Times New Roman" w:eastAsia="Times New Roman" w:hAnsi="Times New Roman" w:cs="Times New Roman"/>
          <w:sz w:val="24"/>
          <w:szCs w:val="24"/>
        </w:rPr>
        <w:t>l</w:t>
      </w:r>
      <w:r w:rsidR="00116FA4">
        <w:rPr>
          <w:rFonts w:ascii="Times New Roman" w:eastAsia="Times New Roman" w:hAnsi="Times New Roman" w:cs="Times New Roman"/>
          <w:sz w:val="24"/>
          <w:szCs w:val="24"/>
        </w:rPr>
        <w:t xml:space="preserve"> contexto</w:t>
      </w:r>
      <w:r w:rsidR="001C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49D">
        <w:rPr>
          <w:rFonts w:ascii="Times New Roman" w:eastAsia="Times New Roman" w:hAnsi="Times New Roman" w:cs="Times New Roman"/>
          <w:sz w:val="24"/>
          <w:szCs w:val="24"/>
        </w:rPr>
        <w:t>de pandemia en el que se llevó a cabo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 xml:space="preserve"> este estudio</w:t>
      </w:r>
      <w:r w:rsidR="00E46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3D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C43D7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1C43D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estudiar desde casa</w:t>
      </w:r>
      <w:r w:rsidR="001C43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6F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43D7">
        <w:rPr>
          <w:rFonts w:ascii="Times New Roman" w:eastAsia="Times New Roman" w:hAnsi="Times New Roman" w:cs="Times New Roman"/>
          <w:sz w:val="24"/>
          <w:szCs w:val="24"/>
        </w:rPr>
        <w:t>Tampoco se exploró la calidad de las relaciones familiares entre los participantes y sus padres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 w:rsidR="00987151">
        <w:rPr>
          <w:rFonts w:ascii="Times New Roman" w:eastAsia="Times New Roman" w:hAnsi="Times New Roman" w:cs="Times New Roman"/>
          <w:sz w:val="24"/>
          <w:szCs w:val="24"/>
        </w:rPr>
        <w:t xml:space="preserve"> el grado de prejuicio de estos</w:t>
      </w:r>
      <w:r w:rsidR="001C43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que podrían ser</w:t>
      </w:r>
      <w:r w:rsidR="00987151">
        <w:rPr>
          <w:rFonts w:ascii="Times New Roman" w:eastAsia="Times New Roman" w:hAnsi="Times New Roman" w:cs="Times New Roman"/>
          <w:sz w:val="24"/>
          <w:szCs w:val="24"/>
        </w:rPr>
        <w:t xml:space="preserve"> variable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987151">
        <w:rPr>
          <w:rFonts w:ascii="Times New Roman" w:eastAsia="Times New Roman" w:hAnsi="Times New Roman" w:cs="Times New Roman"/>
          <w:sz w:val="24"/>
          <w:szCs w:val="24"/>
        </w:rPr>
        <w:t xml:space="preserve"> intermedia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987151">
        <w:rPr>
          <w:rFonts w:ascii="Times New Roman" w:eastAsia="Times New Roman" w:hAnsi="Times New Roman" w:cs="Times New Roman"/>
          <w:sz w:val="24"/>
          <w:szCs w:val="24"/>
        </w:rPr>
        <w:t xml:space="preserve"> entre vivir con ellos y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la revelación</w:t>
      </w:r>
      <w:r w:rsidR="00987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O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tros aspectos </w:t>
      </w:r>
      <w:r w:rsidR="00562791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>hubiesen mostrado</w:t>
      </w:r>
      <w:r w:rsidR="00EB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791">
        <w:rPr>
          <w:rFonts w:ascii="Times New Roman" w:eastAsia="Times New Roman" w:hAnsi="Times New Roman" w:cs="Times New Roman"/>
          <w:sz w:val="24"/>
          <w:szCs w:val="24"/>
        </w:rPr>
        <w:t xml:space="preserve">un panorama más amplio </w:t>
      </w:r>
      <w:r w:rsidR="00456771">
        <w:rPr>
          <w:rFonts w:ascii="Times New Roman" w:eastAsia="Times New Roman" w:hAnsi="Times New Roman" w:cs="Times New Roman"/>
          <w:sz w:val="24"/>
          <w:szCs w:val="24"/>
        </w:rPr>
        <w:t>no fueron examinados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>, como a quiénes se revela la orientación sexual con más frecuencia,</w:t>
      </w:r>
      <w:r w:rsidR="00EB021B">
        <w:rPr>
          <w:rFonts w:ascii="Times New Roman" w:eastAsia="Times New Roman" w:hAnsi="Times New Roman" w:cs="Times New Roman"/>
          <w:sz w:val="24"/>
          <w:szCs w:val="24"/>
        </w:rPr>
        <w:t xml:space="preserve"> quiénes componen la categoría de otros significativos y qué tan importante </w:t>
      </w:r>
      <w:r w:rsidR="00FA11F0">
        <w:rPr>
          <w:rFonts w:ascii="Times New Roman" w:eastAsia="Times New Roman" w:hAnsi="Times New Roman" w:cs="Times New Roman"/>
          <w:sz w:val="24"/>
          <w:szCs w:val="24"/>
        </w:rPr>
        <w:t xml:space="preserve">y seguro </w:t>
      </w:r>
      <w:r w:rsidR="00EB021B">
        <w:rPr>
          <w:rFonts w:ascii="Times New Roman" w:eastAsia="Times New Roman" w:hAnsi="Times New Roman" w:cs="Times New Roman"/>
          <w:sz w:val="24"/>
          <w:szCs w:val="24"/>
        </w:rPr>
        <w:t xml:space="preserve">es para la persona LGBTQI+ </w:t>
      </w:r>
      <w:r w:rsidR="00F0456A">
        <w:rPr>
          <w:rFonts w:ascii="Times New Roman" w:eastAsia="Times New Roman" w:hAnsi="Times New Roman" w:cs="Times New Roman"/>
          <w:sz w:val="24"/>
          <w:szCs w:val="24"/>
        </w:rPr>
        <w:t>revelar</w:t>
      </w:r>
      <w:r w:rsidR="00FA11F0">
        <w:rPr>
          <w:rFonts w:ascii="Times New Roman" w:eastAsia="Times New Roman" w:hAnsi="Times New Roman" w:cs="Times New Roman"/>
          <w:sz w:val="24"/>
          <w:szCs w:val="24"/>
        </w:rPr>
        <w:t xml:space="preserve"> su orientación sexual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D44B4" w14:textId="69EDE164" w:rsidR="0041211A" w:rsidRDefault="00456771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Frente</w:t>
      </w:r>
      <w:r w:rsidR="00FA11F0">
        <w:rPr>
          <w:rFonts w:ascii="Times New Roman" w:eastAsia="Times New Roman" w:hAnsi="Times New Roman" w:cs="Times New Roman"/>
          <w:sz w:val="24"/>
          <w:szCs w:val="24"/>
        </w:rPr>
        <w:t xml:space="preserve"> a estas limitaciones,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F0456A">
        <w:rPr>
          <w:rFonts w:ascii="Times New Roman" w:eastAsia="Times New Roman" w:hAnsi="Times New Roman" w:cs="Times New Roman"/>
          <w:sz w:val="24"/>
          <w:szCs w:val="24"/>
        </w:rPr>
        <w:t xml:space="preserve"> recomienda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replicar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este estudio en muestra</w:t>
      </w:r>
      <w:r w:rsidR="00C0713A">
        <w:rPr>
          <w:rFonts w:ascii="Times New Roman" w:eastAsia="Times New Roman" w:hAnsi="Times New Roman" w:cs="Times New Roman"/>
          <w:sz w:val="24"/>
          <w:szCs w:val="24"/>
        </w:rPr>
        <w:t xml:space="preserve">s más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>grandes</w:t>
      </w:r>
      <w:r w:rsidR="00C0713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14B">
        <w:rPr>
          <w:rFonts w:ascii="Times New Roman" w:eastAsia="Times New Roman" w:hAnsi="Times New Roman" w:cs="Times New Roman"/>
          <w:sz w:val="24"/>
          <w:szCs w:val="24"/>
        </w:rPr>
        <w:t xml:space="preserve">adultos emergentes </w:t>
      </w:r>
      <w:r w:rsidR="00C0713A">
        <w:rPr>
          <w:rFonts w:ascii="Times New Roman" w:eastAsia="Times New Roman" w:hAnsi="Times New Roman" w:cs="Times New Roman"/>
          <w:sz w:val="24"/>
          <w:szCs w:val="24"/>
        </w:rPr>
        <w:t>LGBTIQ+</w:t>
      </w:r>
      <w:r w:rsidR="00EB6B98">
        <w:rPr>
          <w:rFonts w:ascii="Times New Roman" w:eastAsia="Times New Roman" w:hAnsi="Times New Roman" w:cs="Times New Roman"/>
          <w:sz w:val="24"/>
          <w:szCs w:val="24"/>
        </w:rPr>
        <w:t xml:space="preserve"> (estudiantes y no estudiantes)</w:t>
      </w:r>
      <w:r w:rsidR="0006514B">
        <w:rPr>
          <w:rFonts w:ascii="Times New Roman" w:eastAsia="Times New Roman" w:hAnsi="Times New Roman" w:cs="Times New Roman"/>
          <w:sz w:val="24"/>
          <w:szCs w:val="24"/>
        </w:rPr>
        <w:t xml:space="preserve">. También es relevante explorar las experiencias sobre identidad sexual en áreas rurales, </w:t>
      </w:r>
      <w:r w:rsidR="00C1149A">
        <w:rPr>
          <w:rFonts w:ascii="Times New Roman" w:eastAsia="Times New Roman" w:hAnsi="Times New Roman" w:cs="Times New Roman"/>
          <w:sz w:val="24"/>
          <w:szCs w:val="24"/>
        </w:rPr>
        <w:t>y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B6B98">
        <w:rPr>
          <w:rFonts w:ascii="Times New Roman" w:eastAsia="Times New Roman" w:hAnsi="Times New Roman" w:cs="Times New Roman"/>
          <w:sz w:val="24"/>
          <w:szCs w:val="24"/>
        </w:rPr>
        <w:t xml:space="preserve">relación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>de esta identidad con otras</w:t>
      </w:r>
      <w:r>
        <w:rPr>
          <w:rFonts w:ascii="Times New Roman" w:eastAsia="Times New Roman" w:hAnsi="Times New Roman" w:cs="Times New Roman"/>
          <w:sz w:val="24"/>
          <w:szCs w:val="24"/>
        </w:rPr>
        <w:t>, como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etnia</w:t>
      </w:r>
      <w:r w:rsidR="00BE0B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684C" w:rsidRPr="005723A5">
        <w:rPr>
          <w:rFonts w:ascii="Times New Roman" w:eastAsia="Times New Roman" w:hAnsi="Times New Roman" w:cs="Times New Roman"/>
          <w:sz w:val="24"/>
          <w:szCs w:val="24"/>
        </w:rPr>
        <w:t>nivel socioeconómico y religión</w:t>
      </w:r>
      <w:r w:rsidR="00C114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103C">
        <w:rPr>
          <w:rFonts w:ascii="Times New Roman" w:eastAsia="Times New Roman" w:hAnsi="Times New Roman" w:cs="Times New Roman"/>
          <w:sz w:val="24"/>
          <w:szCs w:val="24"/>
        </w:rPr>
        <w:t>Es importante, además, examinar las experiencias de revelación tanto de la orientación sexual como de la identidad de género en poblaciones trans y no binarias</w:t>
      </w:r>
      <w:r w:rsidR="007E63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2D2A63">
        <w:rPr>
          <w:rFonts w:ascii="Times New Roman" w:eastAsia="Times New Roman" w:hAnsi="Times New Roman" w:cs="Times New Roman"/>
          <w:sz w:val="24"/>
          <w:szCs w:val="24"/>
        </w:rPr>
        <w:t xml:space="preserve">reconocer estas vivencias y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ampliar las conceptualizaciones en torno al </w:t>
      </w:r>
      <w:r w:rsidR="007E6382">
        <w:rPr>
          <w:rFonts w:ascii="Times New Roman" w:eastAsia="Times New Roman" w:hAnsi="Times New Roman" w:cs="Times New Roman"/>
          <w:sz w:val="24"/>
          <w:szCs w:val="24"/>
        </w:rPr>
        <w:t xml:space="preserve">género y </w:t>
      </w:r>
      <w:r w:rsidR="009D595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7E6382">
        <w:rPr>
          <w:rFonts w:ascii="Times New Roman" w:eastAsia="Times New Roman" w:hAnsi="Times New Roman" w:cs="Times New Roman"/>
          <w:sz w:val="24"/>
          <w:szCs w:val="24"/>
        </w:rPr>
        <w:t>sexualidad</w:t>
      </w:r>
      <w:r w:rsidR="008A10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211A">
        <w:rPr>
          <w:rFonts w:ascii="Times New Roman" w:eastAsia="Times New Roman" w:hAnsi="Times New Roman" w:cs="Times New Roman"/>
          <w:sz w:val="24"/>
          <w:szCs w:val="24"/>
        </w:rPr>
        <w:t xml:space="preserve">Finalmente se destaca la necesidad de </w:t>
      </w:r>
      <w:r w:rsidR="00332ABA">
        <w:rPr>
          <w:rFonts w:ascii="Times New Roman" w:eastAsia="Times New Roman" w:hAnsi="Times New Roman" w:cs="Times New Roman"/>
          <w:sz w:val="24"/>
          <w:szCs w:val="24"/>
        </w:rPr>
        <w:t>examinar</w:t>
      </w:r>
      <w:r w:rsidR="00D4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ABA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455DD">
        <w:rPr>
          <w:rFonts w:ascii="Times New Roman" w:eastAsia="Times New Roman" w:hAnsi="Times New Roman" w:cs="Times New Roman"/>
          <w:sz w:val="24"/>
          <w:szCs w:val="24"/>
        </w:rPr>
        <w:t xml:space="preserve"> naturaleza </w:t>
      </w:r>
      <w:r w:rsidR="00395EFF">
        <w:rPr>
          <w:rFonts w:ascii="Times New Roman" w:eastAsia="Times New Roman" w:hAnsi="Times New Roman" w:cs="Times New Roman"/>
          <w:sz w:val="24"/>
          <w:szCs w:val="24"/>
        </w:rPr>
        <w:t xml:space="preserve">estratégica, </w:t>
      </w:r>
      <w:r w:rsidR="00D455DD">
        <w:rPr>
          <w:rFonts w:ascii="Times New Roman" w:eastAsia="Times New Roman" w:hAnsi="Times New Roman" w:cs="Times New Roman"/>
          <w:sz w:val="24"/>
          <w:szCs w:val="24"/>
        </w:rPr>
        <w:t>no lineal y dependiente del contexto</w:t>
      </w:r>
      <w:r w:rsidR="00332ABA">
        <w:rPr>
          <w:rFonts w:ascii="Times New Roman" w:eastAsia="Times New Roman" w:hAnsi="Times New Roman" w:cs="Times New Roman"/>
          <w:sz w:val="24"/>
          <w:szCs w:val="24"/>
        </w:rPr>
        <w:t xml:space="preserve"> de la revelación de la orientación sexual, </w:t>
      </w:r>
      <w:r w:rsidR="0041211A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D1896">
        <w:rPr>
          <w:rFonts w:ascii="Times New Roman" w:eastAsia="Times New Roman" w:hAnsi="Times New Roman" w:cs="Times New Roman"/>
          <w:sz w:val="24"/>
          <w:szCs w:val="24"/>
        </w:rPr>
        <w:t>romper con el paradigma heterosexual-homosexual</w:t>
      </w:r>
      <w:r w:rsidR="00332ABA">
        <w:rPr>
          <w:rFonts w:ascii="Times New Roman" w:eastAsia="Times New Roman" w:hAnsi="Times New Roman" w:cs="Times New Roman"/>
          <w:sz w:val="24"/>
          <w:szCs w:val="24"/>
        </w:rPr>
        <w:t>, explorando</w:t>
      </w:r>
      <w:r w:rsidR="00DD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ABA">
        <w:rPr>
          <w:rFonts w:ascii="Times New Roman" w:eastAsia="Times New Roman" w:hAnsi="Times New Roman" w:cs="Times New Roman"/>
          <w:sz w:val="24"/>
          <w:szCs w:val="24"/>
        </w:rPr>
        <w:t xml:space="preserve">las vivencias </w:t>
      </w:r>
      <w:r w:rsidR="00DD1896">
        <w:rPr>
          <w:rFonts w:ascii="Times New Roman" w:eastAsia="Times New Roman" w:hAnsi="Times New Roman" w:cs="Times New Roman"/>
          <w:sz w:val="24"/>
          <w:szCs w:val="24"/>
        </w:rPr>
        <w:t>de personas bisexuales, pansexuales, asexuales y otras</w:t>
      </w:r>
      <w:r w:rsidR="009B26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E0C04B" w14:textId="70E32623" w:rsidR="005D5D45" w:rsidRDefault="00332ABA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estudio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 xml:space="preserve"> muestra que t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ener una orientación </w:t>
      </w:r>
      <w:r w:rsidR="00387241">
        <w:rPr>
          <w:rFonts w:ascii="Times New Roman" w:eastAsia="Times New Roman" w:hAnsi="Times New Roman" w:cs="Times New Roman"/>
          <w:sz w:val="24"/>
          <w:szCs w:val="24"/>
        </w:rPr>
        <w:t xml:space="preserve">sexual fuera del binomio 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>heterosexual</w:t>
      </w:r>
      <w:r w:rsidR="00387241">
        <w:rPr>
          <w:rFonts w:ascii="Times New Roman" w:eastAsia="Times New Roman" w:hAnsi="Times New Roman" w:cs="Times New Roman"/>
          <w:sz w:val="24"/>
          <w:szCs w:val="24"/>
        </w:rPr>
        <w:t>-homosexual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87241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="0038724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bisexual, pansexual, asexual), vivir con los </w:t>
      </w:r>
      <w:r w:rsidR="00D36199" w:rsidRPr="005723A5">
        <w:rPr>
          <w:rFonts w:ascii="Times New Roman" w:eastAsia="Times New Roman" w:hAnsi="Times New Roman" w:cs="Times New Roman"/>
          <w:sz w:val="24"/>
          <w:szCs w:val="24"/>
        </w:rPr>
        <w:t>padres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 y tener menos apoyo de otros significativos redunda 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menor 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>revela</w:t>
      </w:r>
      <w:r>
        <w:rPr>
          <w:rFonts w:ascii="Times New Roman" w:eastAsia="Times New Roman" w:hAnsi="Times New Roman" w:cs="Times New Roman"/>
          <w:sz w:val="24"/>
          <w:szCs w:val="24"/>
        </w:rPr>
        <w:t>ción de la orientación sexual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>Este panorama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>ugiere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 xml:space="preserve"> que estudiantes universitarios </w:t>
      </w:r>
      <w:r w:rsidR="00DE2C22">
        <w:rPr>
          <w:rFonts w:ascii="Times New Roman" w:eastAsia="Times New Roman" w:hAnsi="Times New Roman" w:cs="Times New Roman"/>
          <w:sz w:val="24"/>
          <w:szCs w:val="24"/>
        </w:rPr>
        <w:t xml:space="preserve">LGBTQI+ 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>se encuentran en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 un entorno de dependencia </w:t>
      </w:r>
      <w:r w:rsidR="004665F7">
        <w:rPr>
          <w:rFonts w:ascii="Times New Roman" w:eastAsia="Times New Roman" w:hAnsi="Times New Roman" w:cs="Times New Roman"/>
          <w:sz w:val="24"/>
          <w:szCs w:val="24"/>
        </w:rPr>
        <w:t xml:space="preserve">(y potencial rechazo) 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665F7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04BC8">
        <w:rPr>
          <w:rFonts w:ascii="Times New Roman" w:eastAsia="Times New Roman" w:hAnsi="Times New Roman" w:cs="Times New Roman"/>
          <w:sz w:val="24"/>
          <w:szCs w:val="24"/>
        </w:rPr>
        <w:t>s padres</w:t>
      </w:r>
      <w:r w:rsidR="004665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2955">
        <w:rPr>
          <w:rFonts w:ascii="Times New Roman" w:eastAsia="Times New Roman" w:hAnsi="Times New Roman" w:cs="Times New Roman"/>
          <w:sz w:val="24"/>
          <w:szCs w:val="24"/>
        </w:rPr>
        <w:t xml:space="preserve"> y de incomprensión ante 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>el espectro de la orientación sexual</w:t>
      </w:r>
      <w:r w:rsidR="00682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>lo que se suma a los desafíos propios de la adultez emergente y a</w:t>
      </w:r>
      <w:r w:rsidR="00561C5B">
        <w:rPr>
          <w:rFonts w:ascii="Times New Roman" w:eastAsia="Times New Roman" w:hAnsi="Times New Roman" w:cs="Times New Roman"/>
          <w:sz w:val="24"/>
          <w:szCs w:val="24"/>
        </w:rPr>
        <w:t xml:space="preserve">l estrés 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>propio de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 xml:space="preserve"> pertenecer a un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 xml:space="preserve"> grupo</w:t>
      </w:r>
      <w:r w:rsidR="00E83436">
        <w:rPr>
          <w:rFonts w:ascii="Times New Roman" w:eastAsia="Times New Roman" w:hAnsi="Times New Roman" w:cs="Times New Roman"/>
          <w:sz w:val="24"/>
          <w:szCs w:val="24"/>
        </w:rPr>
        <w:t xml:space="preserve"> estigmatizad</w:t>
      </w:r>
      <w:r w:rsidR="008052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D5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>Est</w:t>
      </w:r>
      <w:r w:rsidR="004665F7">
        <w:rPr>
          <w:rFonts w:ascii="Times New Roman" w:eastAsia="Times New Roman" w:hAnsi="Times New Roman" w:cs="Times New Roman"/>
          <w:sz w:val="24"/>
          <w:szCs w:val="24"/>
        </w:rPr>
        <w:t>os hallazgos plantean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 xml:space="preserve"> áreas de atención </w:t>
      </w:r>
      <w:r w:rsidR="005D5D45" w:rsidRPr="005723A5">
        <w:rPr>
          <w:rFonts w:ascii="Times New Roman" w:eastAsia="Times New Roman" w:hAnsi="Times New Roman" w:cs="Times New Roman"/>
          <w:sz w:val="24"/>
          <w:szCs w:val="24"/>
        </w:rPr>
        <w:t xml:space="preserve">para instituciones </w:t>
      </w:r>
      <w:r w:rsidR="0010085F" w:rsidRPr="005723A5">
        <w:rPr>
          <w:rFonts w:ascii="Times New Roman" w:eastAsia="Times New Roman" w:hAnsi="Times New Roman" w:cs="Times New Roman"/>
          <w:sz w:val="24"/>
          <w:szCs w:val="24"/>
        </w:rPr>
        <w:t>gubernamentales</w:t>
      </w:r>
      <w:r w:rsidR="001008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085F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>educativas</w:t>
      </w:r>
      <w:r w:rsidR="005D5D45" w:rsidRPr="00572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5F7">
        <w:rPr>
          <w:rFonts w:ascii="Times New Roman" w:eastAsia="Times New Roman" w:hAnsi="Times New Roman" w:cs="Times New Roman"/>
          <w:sz w:val="24"/>
          <w:szCs w:val="24"/>
        </w:rPr>
        <w:t>y</w:t>
      </w:r>
      <w:r w:rsidR="005D5D45" w:rsidRPr="005723A5">
        <w:rPr>
          <w:rFonts w:ascii="Times New Roman" w:eastAsia="Times New Roman" w:hAnsi="Times New Roman" w:cs="Times New Roman"/>
          <w:sz w:val="24"/>
          <w:szCs w:val="24"/>
        </w:rPr>
        <w:t xml:space="preserve"> autogestionadas que apoyan a la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 xml:space="preserve"> población universitaria</w:t>
      </w:r>
      <w:r w:rsidR="006E67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 xml:space="preserve"> a fin de promover </w:t>
      </w:r>
      <w:r w:rsidR="005B00A3">
        <w:rPr>
          <w:rFonts w:ascii="Times New Roman" w:eastAsia="Times New Roman" w:hAnsi="Times New Roman" w:cs="Times New Roman"/>
          <w:sz w:val="24"/>
          <w:szCs w:val="24"/>
        </w:rPr>
        <w:t xml:space="preserve">cambios estructurales que </w:t>
      </w:r>
      <w:r w:rsidR="0010085F">
        <w:rPr>
          <w:rFonts w:ascii="Times New Roman" w:eastAsia="Times New Roman" w:hAnsi="Times New Roman" w:cs="Times New Roman"/>
          <w:sz w:val="24"/>
          <w:szCs w:val="24"/>
        </w:rPr>
        <w:t>generen entornos seguros</w:t>
      </w:r>
      <w:r w:rsidR="005D5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65E">
        <w:rPr>
          <w:rFonts w:ascii="Times New Roman" w:eastAsia="Times New Roman" w:hAnsi="Times New Roman" w:cs="Times New Roman"/>
          <w:sz w:val="24"/>
          <w:szCs w:val="24"/>
        </w:rPr>
        <w:t>para la exploración y expresión de</w:t>
      </w:r>
      <w:r w:rsidR="006E67AB">
        <w:rPr>
          <w:rFonts w:ascii="Times New Roman" w:eastAsia="Times New Roman" w:hAnsi="Times New Roman" w:cs="Times New Roman"/>
          <w:sz w:val="24"/>
          <w:szCs w:val="24"/>
        </w:rPr>
        <w:t xml:space="preserve"> las identidades LGBTIQ+</w:t>
      </w:r>
      <w:r w:rsidR="005D5D45" w:rsidRPr="00572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3DD64" w14:textId="2A161583" w:rsidR="00272B66" w:rsidRDefault="00272B66" w:rsidP="00F957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C7F1425" w14:textId="27C4F97A" w:rsidR="00DD06C8" w:rsidRPr="00970E13" w:rsidRDefault="0053684C" w:rsidP="00F957F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9" w:name="_Toc92990576"/>
      <w:proofErr w:type="spellStart"/>
      <w:r w:rsidRPr="00970E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Referencias</w:t>
      </w:r>
      <w:bookmarkEnd w:id="9"/>
      <w:proofErr w:type="spellEnd"/>
    </w:p>
    <w:p w14:paraId="0EA0963B" w14:textId="790FF688" w:rsidR="006C6EF5" w:rsidRDefault="006C6EF5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6EF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Annes, A., &amp; Redlin, M. (2012). Coming out and coming back: Rural gay migration and the city. </w:t>
      </w:r>
      <w:r w:rsidRPr="006C6E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Rural Studies, 28</w:t>
      </w:r>
      <w:r w:rsidRPr="006C6E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56-68.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6C6EF5">
        <w:rPr>
          <w:rFonts w:ascii="Times New Roman" w:eastAsia="Times New Roman" w:hAnsi="Times New Roman" w:cs="Times New Roman"/>
          <w:sz w:val="24"/>
          <w:szCs w:val="24"/>
          <w:lang w:val="en-US"/>
        </w:rPr>
        <w:t>ttps://doi.org/10.1016/j.jrurstud.2011.08.005</w:t>
      </w:r>
    </w:p>
    <w:p w14:paraId="72349499" w14:textId="616584B2" w:rsidR="00DD06C8" w:rsidRPr="00970E13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Arnett, J. J. (2000). Emerging adulthood: A theory of development from the late teens through the twenties. </w:t>
      </w:r>
      <w:r w:rsidRPr="00970E1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Psychologist, 55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(5), 469–480. https://doi.org/10.1037/0003-066X.55.5.469</w:t>
      </w:r>
    </w:p>
    <w:p w14:paraId="6635A485" w14:textId="32B1FC71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Barrera, M.</w:t>
      </w:r>
      <w:r w:rsidR="00D012C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&amp; 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Flores, M. (2020).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Apoyo social percibido y salud mental positiva en hombres y mujeres universitarios.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Voces y silencios. Revista Latinoamericana de Educación, 11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(2), 67-83. https://doi.org/10.18175/VyS11.2.2020.4</w:t>
      </w:r>
    </w:p>
    <w:p w14:paraId="32F574BC" w14:textId="182E0F81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Barrera-Herrera, A., Neira-Cofré, M.,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Raipán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-Gómez, P., Riquelme-Lobos, P., </w:t>
      </w:r>
      <w:r w:rsidR="00D012C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Escobar, B. (2019). 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Perceived social support and socio-demographic factors in relation to symptoms of anxiety, </w:t>
      </w:r>
      <w:proofErr w:type="gramStart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depression</w:t>
      </w:r>
      <w:proofErr w:type="gramEnd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stress in Chilean university students.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Revista de Psicopatología y Psicología Clínica, 24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(2), 105–115. https://doi.org/10.5944/rppc.23676</w:t>
      </w:r>
    </w:p>
    <w:p w14:paraId="0D8C11CA" w14:textId="101EFEE5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Barrera-Herrera, A., </w:t>
      </w:r>
      <w:r w:rsidR="00A14F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Vinet, E. V. (2017). Adultez </w:t>
      </w:r>
      <w:r w:rsidR="00A14F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mergente y características culturales de la etapa en universitarios chilenos.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Terapia Psicológica, 35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(1), 47–56. https://doi.org/10.4067/s0718-48082017000100005</w:t>
      </w:r>
    </w:p>
    <w:p w14:paraId="51931C6B" w14:textId="0243CD12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Barrientos-Delgado, J., Cárdenas-Castro, M., </w:t>
      </w:r>
      <w:r w:rsidR="00A14F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Gómez-Ojeda, F. (2014). Características sociodemográficas, bienestar subjetivo y homofobia en una muestra de hombres gay en tres ciudades chilenas.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Cadernos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Saúde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 xml:space="preserve"> Pública, 30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, 1259-1269. https://doi.org/10.1590/0102-311X00108413</w:t>
      </w:r>
    </w:p>
    <w:p w14:paraId="49CC9462" w14:textId="1E89B0E4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Barrientos, J., Gómez, F.,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Cárdenas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, M., Guzmán, M., </w:t>
      </w:r>
      <w:r w:rsidR="00A14F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Bahamondes, J. (2017). Medidas de salud mental y bienestar subjetivo en una muestra de hombres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y mujeres lesbianas en Chile.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Revista Médica de Chile, 145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, 1115- 1121. http://dx.doi.org/10.4067/s0034-98872017000901115</w:t>
      </w:r>
    </w:p>
    <w:p w14:paraId="48655F59" w14:textId="60F05A13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Barrientos, J., Guzmán-González, M., Urzúa, A., </w:t>
      </w:r>
      <w:r w:rsidR="00A14F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Ulloa, F. (2021). 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Psychosocial impact of COVID-19 pandemic on LGBT people in Chile.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Sexologies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, 30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(1), e35-e41. https://doi.org/10.1016/j.sexol.2020.12.006</w:t>
      </w:r>
    </w:p>
    <w:p w14:paraId="1909E745" w14:textId="03494A0C" w:rsidR="00DD06C8" w:rsidRPr="004954BC" w:rsidRDefault="0053684C" w:rsidP="00F957F2">
      <w:pPr>
        <w:spacing w:after="0" w:line="36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Calvelhe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, L. (2019). Adolescentes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la era digital: orientaciones para la educación. </w:t>
      </w:r>
      <w:proofErr w:type="spellStart"/>
      <w:r w:rsidRPr="004954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Alteridad</w:t>
      </w:r>
      <w:proofErr w:type="spellEnd"/>
      <w:r w:rsidRPr="004954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14</w:t>
      </w:r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>(1), 65-75. https://doi.org/10.17163/alt.v14n1.2019.05</w:t>
      </w:r>
    </w:p>
    <w:p w14:paraId="3F4AA9ED" w14:textId="58975C41" w:rsidR="00D21D14" w:rsidRPr="00AC34D3" w:rsidRDefault="00D21D14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Ellis, S., Peel, E., &amp; Riggs, D. (2020). </w:t>
      </w:r>
      <w:r w:rsidRPr="00D21D1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Lesbian, Gay, Bisexual, Trans, Intersex, and Queer Psychology: An Introduction</w:t>
      </w:r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(2ª Ed). </w:t>
      </w:r>
      <w:r w:rsidRPr="00AC34D3">
        <w:rPr>
          <w:rFonts w:ascii="Times New Roman" w:eastAsia="Times New Roman" w:hAnsi="Times New Roman" w:cs="Times New Roman"/>
          <w:sz w:val="24"/>
          <w:szCs w:val="24"/>
        </w:rPr>
        <w:t xml:space="preserve">Cambridge </w:t>
      </w:r>
      <w:proofErr w:type="spellStart"/>
      <w:r w:rsidRPr="00AC34D3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AC3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4D3">
        <w:rPr>
          <w:rFonts w:ascii="Times New Roman" w:eastAsia="Times New Roman" w:hAnsi="Times New Roman" w:cs="Times New Roman"/>
          <w:sz w:val="24"/>
          <w:szCs w:val="24"/>
        </w:rPr>
        <w:t>Press</w:t>
      </w:r>
      <w:proofErr w:type="spellEnd"/>
      <w:r w:rsidRPr="00AC34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05147E" w14:textId="128A8ABD" w:rsidR="00E82282" w:rsidRPr="00E82282" w:rsidRDefault="00E82282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E82282">
        <w:rPr>
          <w:rFonts w:ascii="Times New Roman" w:eastAsia="Times New Roman" w:hAnsi="Times New Roman" w:cs="Times New Roman"/>
          <w:sz w:val="24"/>
          <w:szCs w:val="24"/>
        </w:rPr>
        <w:t xml:space="preserve">Fajardo, M. (2021, 19 de diciembre). Sociólogo Nicolás Rojas y voto rural por Kast: "En </w:t>
      </w:r>
      <w:proofErr w:type="spellStart"/>
      <w:r w:rsidRPr="00E82282">
        <w:rPr>
          <w:rFonts w:ascii="Times New Roman" w:eastAsia="Times New Roman" w:hAnsi="Times New Roman" w:cs="Times New Roman"/>
          <w:sz w:val="24"/>
          <w:szCs w:val="24"/>
        </w:rPr>
        <w:t>Wallmapu</w:t>
      </w:r>
      <w:proofErr w:type="spellEnd"/>
      <w:r w:rsidRPr="00E82282">
        <w:rPr>
          <w:rFonts w:ascii="Times New Roman" w:eastAsia="Times New Roman" w:hAnsi="Times New Roman" w:cs="Times New Roman"/>
          <w:sz w:val="24"/>
          <w:szCs w:val="24"/>
        </w:rPr>
        <w:t>, no hay presencia de comandos de los partidos progresistas".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282">
        <w:rPr>
          <w:rFonts w:ascii="Times New Roman" w:eastAsia="Times New Roman" w:hAnsi="Times New Roman" w:cs="Times New Roman"/>
          <w:i/>
          <w:iCs/>
          <w:sz w:val="24"/>
          <w:szCs w:val="24"/>
        </w:rPr>
        <w:t>El Mostrador.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Disponible en </w:t>
      </w:r>
      <w:r w:rsidRPr="00E82282">
        <w:rPr>
          <w:rFonts w:ascii="Times New Roman" w:eastAsia="Times New Roman" w:hAnsi="Times New Roman" w:cs="Times New Roman"/>
          <w:sz w:val="24"/>
          <w:szCs w:val="24"/>
        </w:rPr>
        <w:t>https://www.elmostrador.cl/cultura/2021/12/19/sociologo-nicolas-rojas-y-voto-rural-por-kast-en-wallmapu-no-hay-presencia-de-comandos-de-los-partidos-progresistas/</w:t>
      </w:r>
    </w:p>
    <w:p w14:paraId="206394C3" w14:textId="4261C666" w:rsidR="00C67CD5" w:rsidRPr="00675BA7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Feinstein, B. A., </w:t>
      </w:r>
      <w:proofErr w:type="spellStart"/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>Dyar</w:t>
      </w:r>
      <w:proofErr w:type="spellEnd"/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Bhatia, V., </w:t>
      </w:r>
      <w:proofErr w:type="spellStart"/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>Latack</w:t>
      </w:r>
      <w:proofErr w:type="spellEnd"/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A., </w:t>
      </w:r>
      <w:r w:rsidR="00A14F95"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D21D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Davila, J. (2016). 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Conservative beliefs, attitudes toward bisexuality, and willingness to engage in romantic and sexual activities with a bisexual partner.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Archives of sexual behavior, 45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(6), 1535-1550. </w:t>
      </w:r>
      <w:r w:rsidR="00C67CD5" w:rsidRP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https://doi.org/10.1007/s10508-015-0642-x</w:t>
      </w:r>
    </w:p>
    <w:p w14:paraId="256F4DBC" w14:textId="1A105489" w:rsidR="005B3DBA" w:rsidRPr="005B3DBA" w:rsidRDefault="005B3DBA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Feinstein, B. A., </w:t>
      </w:r>
      <w:proofErr w:type="spellStart"/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>Dyar</w:t>
      </w:r>
      <w:proofErr w:type="spellEnd"/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Li, D. H., Whitton, S. W., Newcomb, M. E., &amp; </w:t>
      </w:r>
      <w:proofErr w:type="spellStart"/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>Mustanski</w:t>
      </w:r>
      <w:proofErr w:type="spellEnd"/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(2019). The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ongitudinal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ssociations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etween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utness and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ealth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utcomes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mong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>ay/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esbian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ersus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isexual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merging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dults. </w:t>
      </w:r>
      <w:r w:rsidRPr="005B3DB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Archives of sexual behavior, 48</w:t>
      </w:r>
      <w:r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>(4), 1111–1126. https://doi.org/10.1007/s10508-018-1221-8</w:t>
      </w:r>
    </w:p>
    <w:p w14:paraId="420865C6" w14:textId="12D0DC89" w:rsidR="00C05069" w:rsidRDefault="00C05069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Gacusan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14F9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C., </w:t>
      </w: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Uy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14F9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D., 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Yu</w:t>
      </w:r>
      <w:r w:rsidR="00A14F9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Hechanova</w:t>
      </w:r>
      <w:proofErr w:type="spellEnd"/>
      <w:r w:rsidR="00A14F9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, M.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(2020)</w:t>
      </w:r>
      <w:r w:rsidR="00A14F95"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70E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069">
        <w:rPr>
          <w:rFonts w:ascii="Times New Roman" w:eastAsia="Times New Roman" w:hAnsi="Times New Roman" w:cs="Times New Roman"/>
          <w:sz w:val="24"/>
          <w:szCs w:val="24"/>
          <w:lang w:val="en-US"/>
        </w:rPr>
        <w:t>Sexual identity management of GLB emerging adults in social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5069">
        <w:rPr>
          <w:rFonts w:ascii="Times New Roman" w:eastAsia="Times New Roman" w:hAnsi="Times New Roman" w:cs="Times New Roman"/>
          <w:sz w:val="24"/>
          <w:szCs w:val="24"/>
          <w:lang w:val="en-US"/>
        </w:rPr>
        <w:t>support contexts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05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4F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Journal of GLBT Family Studies, </w:t>
      </w:r>
      <w:r w:rsidR="00A14F95" w:rsidRPr="00A14F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63-83. </w:t>
      </w:r>
      <w:r w:rsidR="00A14F95" w:rsidRPr="005B3DBA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</w:t>
      </w:r>
      <w:r w:rsidRPr="00C05069">
        <w:rPr>
          <w:rFonts w:ascii="Times New Roman" w:eastAsia="Times New Roman" w:hAnsi="Times New Roman" w:cs="Times New Roman"/>
          <w:sz w:val="24"/>
          <w:szCs w:val="24"/>
          <w:lang w:val="en-US"/>
        </w:rPr>
        <w:t>10.1080/1550428X.2020.1746724</w:t>
      </w:r>
    </w:p>
    <w:p w14:paraId="7247D74B" w14:textId="27339ADE" w:rsidR="00DD06C8" w:rsidRPr="00F957F2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Galupo</w:t>
      </w:r>
      <w:proofErr w:type="spellEnd"/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M.P. (2018)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lurisexual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dentity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abels and the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arking of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isexual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esire. In Swan D., Habibi S. (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ds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Bisexuality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61 - 75). </w:t>
      </w:r>
      <w:r w:rsidRPr="00F957F2">
        <w:rPr>
          <w:rFonts w:ascii="Times New Roman" w:eastAsia="Times New Roman" w:hAnsi="Times New Roman" w:cs="Times New Roman"/>
          <w:sz w:val="24"/>
          <w:szCs w:val="24"/>
        </w:rPr>
        <w:t>Springer, Cham. https://doi.org/10.1007/978-3-319-71535-3_4</w:t>
      </w:r>
    </w:p>
    <w:p w14:paraId="412FEDC0" w14:textId="11686947" w:rsidR="004B59B5" w:rsidRPr="004954BC" w:rsidRDefault="004B59B5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4B59B5">
        <w:rPr>
          <w:rFonts w:ascii="Times New Roman" w:eastAsia="Times New Roman" w:hAnsi="Times New Roman" w:cs="Times New Roman"/>
          <w:sz w:val="24"/>
          <w:szCs w:val="24"/>
        </w:rPr>
        <w:t xml:space="preserve">Galvis, A. Gómez, J., </w:t>
      </w:r>
      <w:proofErr w:type="spellStart"/>
      <w:r w:rsidRPr="004B59B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Pr="004B59B5">
        <w:rPr>
          <w:rFonts w:ascii="Times New Roman" w:eastAsia="Times New Roman" w:hAnsi="Times New Roman" w:cs="Times New Roman"/>
          <w:sz w:val="24"/>
          <w:szCs w:val="24"/>
        </w:rPr>
        <w:t xml:space="preserve">, L., &amp; Rueda-Toro, J. (2020). Interseccionalidad en el proceso de revelación y aceptación de la orientación sexual de hijos homosexuales en dos familias afrocolombianas. </w:t>
      </w:r>
      <w:r w:rsidRPr="004954BC">
        <w:rPr>
          <w:rFonts w:ascii="Times New Roman" w:eastAsia="Times New Roman" w:hAnsi="Times New Roman" w:cs="Times New Roman"/>
          <w:i/>
          <w:iCs/>
          <w:sz w:val="24"/>
          <w:szCs w:val="24"/>
        </w:rPr>
        <w:t>Revista Controversia, 215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>, 75-108. https://doi.org/10.54118/controver.vi215.1210</w:t>
      </w:r>
    </w:p>
    <w:p w14:paraId="18E78412" w14:textId="1B665DFA" w:rsidR="00E469A7" w:rsidRPr="00E469A7" w:rsidRDefault="00E469A7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54BC">
        <w:rPr>
          <w:rFonts w:ascii="Times New Roman" w:eastAsia="Times New Roman" w:hAnsi="Times New Roman" w:cs="Times New Roman"/>
          <w:sz w:val="24"/>
          <w:szCs w:val="24"/>
        </w:rPr>
        <w:t>Giano</w:t>
      </w:r>
      <w:proofErr w:type="spellEnd"/>
      <w:r w:rsidRPr="004954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F95" w:rsidRPr="004954BC">
        <w:rPr>
          <w:rFonts w:ascii="Times New Roman" w:eastAsia="Times New Roman" w:hAnsi="Times New Roman" w:cs="Times New Roman"/>
          <w:sz w:val="24"/>
          <w:szCs w:val="24"/>
        </w:rPr>
        <w:t xml:space="preserve"> Z.,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54BC">
        <w:rPr>
          <w:rFonts w:ascii="Times New Roman" w:eastAsia="Times New Roman" w:hAnsi="Times New Roman" w:cs="Times New Roman"/>
          <w:sz w:val="24"/>
          <w:szCs w:val="24"/>
        </w:rPr>
        <w:t>Currin</w:t>
      </w:r>
      <w:proofErr w:type="spellEnd"/>
      <w:r w:rsidRPr="004954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F95" w:rsidRPr="004954BC">
        <w:rPr>
          <w:rFonts w:ascii="Times New Roman" w:eastAsia="Times New Roman" w:hAnsi="Times New Roman" w:cs="Times New Roman"/>
          <w:sz w:val="24"/>
          <w:szCs w:val="24"/>
        </w:rPr>
        <w:t xml:space="preserve"> J., 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>Wheeler</w:t>
      </w:r>
      <w:r w:rsidR="00A14F95" w:rsidRPr="004954BC">
        <w:rPr>
          <w:rFonts w:ascii="Times New Roman" w:eastAsia="Times New Roman" w:hAnsi="Times New Roman" w:cs="Times New Roman"/>
          <w:sz w:val="24"/>
          <w:szCs w:val="24"/>
        </w:rPr>
        <w:t>, D.,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954BC">
        <w:rPr>
          <w:rFonts w:ascii="Times New Roman" w:eastAsia="Times New Roman" w:hAnsi="Times New Roman" w:cs="Times New Roman"/>
          <w:sz w:val="24"/>
          <w:szCs w:val="24"/>
        </w:rPr>
        <w:t>Hubach</w:t>
      </w:r>
      <w:proofErr w:type="spellEnd"/>
      <w:r w:rsidR="00A14F95" w:rsidRPr="004954BC">
        <w:rPr>
          <w:rFonts w:ascii="Times New Roman" w:eastAsia="Times New Roman" w:hAnsi="Times New Roman" w:cs="Times New Roman"/>
          <w:sz w:val="24"/>
          <w:szCs w:val="24"/>
        </w:rPr>
        <w:t>, R.</w:t>
      </w:r>
      <w:r w:rsidR="00C05069" w:rsidRPr="00495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>(2020)</w:t>
      </w:r>
      <w:r w:rsidR="00A14F95" w:rsidRPr="004954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5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9A7">
        <w:rPr>
          <w:rFonts w:ascii="Times New Roman" w:eastAsia="Times New Roman" w:hAnsi="Times New Roman" w:cs="Times New Roman"/>
          <w:sz w:val="24"/>
          <w:szCs w:val="24"/>
          <w:lang w:val="en-US"/>
        </w:rPr>
        <w:t>Outness amplifies the negative effect of gay related rejection in rural, but not urban sexual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69A7">
        <w:rPr>
          <w:rFonts w:ascii="Times New Roman" w:eastAsia="Times New Roman" w:hAnsi="Times New Roman" w:cs="Times New Roman"/>
          <w:sz w:val="24"/>
          <w:szCs w:val="24"/>
          <w:lang w:val="en-US"/>
        </w:rPr>
        <w:t>minority men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469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4F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Psychology &amp; Sexuality</w:t>
      </w:r>
      <w:r w:rsidRPr="00E469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14F95"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</w:t>
      </w:r>
      <w:r w:rsidRPr="00E469A7">
        <w:rPr>
          <w:rFonts w:ascii="Times New Roman" w:eastAsia="Times New Roman" w:hAnsi="Times New Roman" w:cs="Times New Roman"/>
          <w:sz w:val="24"/>
          <w:szCs w:val="24"/>
          <w:lang w:val="en-US"/>
        </w:rPr>
        <w:t>10.1080/19419899.2020.1765411</w:t>
      </w:r>
    </w:p>
    <w:p w14:paraId="5E206390" w14:textId="031A0968" w:rsidR="00EC3A68" w:rsidRDefault="00EC3A68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A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Goulet, M., &amp; </w:t>
      </w:r>
      <w:proofErr w:type="spellStart"/>
      <w:r w:rsidRPr="00EC3A68">
        <w:rPr>
          <w:rFonts w:ascii="Times New Roman" w:eastAsia="Times New Roman" w:hAnsi="Times New Roman" w:cs="Times New Roman"/>
          <w:sz w:val="24"/>
          <w:szCs w:val="24"/>
          <w:lang w:val="en-US"/>
        </w:rPr>
        <w:t>Villatte</w:t>
      </w:r>
      <w:proofErr w:type="spellEnd"/>
      <w:r w:rsidRPr="00EC3A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(2020). Understanding risk and resilience for sexual minority emerging adults: A longitudinal outlook on minority stress, mental health, and academic perseverance. </w:t>
      </w:r>
      <w:r w:rsidRPr="00EC3A6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Sexuality Research &amp; Social Policy</w:t>
      </w:r>
      <w:r w:rsidRPr="00EC3A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C3A6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EC3A68">
        <w:rPr>
          <w:rFonts w:ascii="Times New Roman" w:eastAsia="Times New Roman" w:hAnsi="Times New Roman" w:cs="Times New Roman"/>
          <w:sz w:val="24"/>
          <w:szCs w:val="24"/>
          <w:lang w:val="en-US"/>
        </w:rPr>
        <w:t>(3), 511–523. https://doi.org/10.1007/s13178-019-00412-1</w:t>
      </w:r>
    </w:p>
    <w:p w14:paraId="491B5A2C" w14:textId="2EBCD764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Grafsky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L. (2017). Deciding to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ome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 to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arents: Toward a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odel of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exual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rientation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isclosure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ecisions.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Family Process, 57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, 783-799. https://doi.org/10.1111/famp.12313</w:t>
      </w:r>
    </w:p>
    <w:p w14:paraId="395F22A0" w14:textId="642981DE" w:rsidR="00DD06C8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Grafsky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L., Hickey, K., Nguyen, H. N.,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Wall, J. D. (2018). Youth </w:t>
      </w:r>
      <w:r w:rsidR="0086184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isclosure of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exual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rientation to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iblings and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xtended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amily.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Family relations, 67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147–160. </w:t>
      </w:r>
      <w:r w:rsidR="00A5256B" w:rsidRPr="00123D5D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https://doi.org/10.1111/fare.12299</w:t>
      </w:r>
    </w:p>
    <w:p w14:paraId="1A037589" w14:textId="284A0B39" w:rsidR="00A5256B" w:rsidRPr="005723A5" w:rsidRDefault="00A5256B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25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Gray, A. &amp; Moore, E. (2018). Understanding the relationship between sexual identity, life satisfaction, psychological well-being, and online community use. </w:t>
      </w:r>
      <w:r w:rsidRPr="00A525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Modern Psychological Studies, 23</w:t>
      </w:r>
      <w:r w:rsidRPr="00A5256B">
        <w:rPr>
          <w:rFonts w:ascii="Times New Roman" w:eastAsia="Times New Roman" w:hAnsi="Times New Roman" w:cs="Times New Roman"/>
          <w:sz w:val="24"/>
          <w:szCs w:val="24"/>
          <w:lang w:val="en-US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5256B">
        <w:rPr>
          <w:rFonts w:ascii="Times New Roman" w:eastAsia="Times New Roman" w:hAnsi="Times New Roman" w:cs="Times New Roman"/>
          <w:sz w:val="24"/>
          <w:szCs w:val="24"/>
          <w:lang w:val="en-US"/>
        </w:rPr>
        <w:t>https://scholar.utc.edu/mps/vol23/iss2/4</w:t>
      </w:r>
    </w:p>
    <w:p w14:paraId="11C02966" w14:textId="4115D284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Guittar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Rayburn, R. (2016). Coming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ut: The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areer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anagement of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ne’s </w:t>
      </w:r>
      <w:r w:rsidR="00A14F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exuality.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Sexuality </w:t>
      </w:r>
      <w:r w:rsidR="0008328B"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&amp;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Culture 20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, 336–357. https://doi.org/10.1007/s12119-015-9325-y</w:t>
      </w:r>
    </w:p>
    <w:p w14:paraId="4A9FA80E" w14:textId="6E157618" w:rsidR="00353814" w:rsidRPr="00970E13" w:rsidRDefault="00353814" w:rsidP="00F957F2">
      <w:pPr>
        <w:tabs>
          <w:tab w:val="left" w:pos="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53814">
        <w:rPr>
          <w:rFonts w:ascii="Times New Roman" w:hAnsi="Times New Roman"/>
          <w:sz w:val="24"/>
          <w:szCs w:val="24"/>
          <w:lang w:val="en-US"/>
        </w:rPr>
        <w:t>Klein,</w:t>
      </w:r>
      <w:r w:rsidR="0058248C">
        <w:rPr>
          <w:rFonts w:ascii="Times New Roman" w:hAnsi="Times New Roman"/>
          <w:sz w:val="24"/>
          <w:szCs w:val="24"/>
          <w:lang w:val="en-US"/>
        </w:rPr>
        <w:t xml:space="preserve"> K.,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 Holtby, </w:t>
      </w:r>
      <w:r w:rsidR="0058248C">
        <w:rPr>
          <w:rFonts w:ascii="Times New Roman" w:hAnsi="Times New Roman"/>
          <w:sz w:val="24"/>
          <w:szCs w:val="24"/>
          <w:lang w:val="en-US"/>
        </w:rPr>
        <w:t xml:space="preserve">A., </w:t>
      </w:r>
      <w:r w:rsidRPr="00353814">
        <w:rPr>
          <w:rFonts w:ascii="Times New Roman" w:hAnsi="Times New Roman"/>
          <w:sz w:val="24"/>
          <w:szCs w:val="24"/>
          <w:lang w:val="en-US"/>
        </w:rPr>
        <w:t>Cook</w:t>
      </w:r>
      <w:r w:rsidR="0058248C">
        <w:rPr>
          <w:rFonts w:ascii="Times New Roman" w:hAnsi="Times New Roman"/>
          <w:sz w:val="24"/>
          <w:szCs w:val="24"/>
          <w:lang w:val="en-US"/>
        </w:rPr>
        <w:t>, K.,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 &amp; Travers</w:t>
      </w:r>
      <w:r w:rsidR="0058248C">
        <w:rPr>
          <w:rFonts w:ascii="Times New Roman" w:hAnsi="Times New Roman"/>
          <w:sz w:val="24"/>
          <w:szCs w:val="24"/>
          <w:lang w:val="en-US"/>
        </w:rPr>
        <w:t>, R.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 (2015) Complicating</w:t>
      </w:r>
      <w:r w:rsidR="00E469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58248C">
        <w:rPr>
          <w:rFonts w:ascii="Times New Roman" w:hAnsi="Times New Roman"/>
          <w:sz w:val="24"/>
          <w:szCs w:val="24"/>
          <w:lang w:val="en-US"/>
        </w:rPr>
        <w:t>c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oming </w:t>
      </w:r>
      <w:r w:rsidR="0058248C">
        <w:rPr>
          <w:rFonts w:ascii="Times New Roman" w:hAnsi="Times New Roman"/>
          <w:sz w:val="24"/>
          <w:szCs w:val="24"/>
          <w:lang w:val="en-US"/>
        </w:rPr>
        <w:t>o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ut </w:t>
      </w:r>
      <w:r w:rsidR="0058248C">
        <w:rPr>
          <w:rFonts w:ascii="Times New Roman" w:hAnsi="Times New Roman"/>
          <w:sz w:val="24"/>
          <w:szCs w:val="24"/>
          <w:lang w:val="en-US"/>
        </w:rPr>
        <w:t>n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arrative: Becoming </w:t>
      </w:r>
      <w:r w:rsidR="0058248C">
        <w:rPr>
          <w:rFonts w:ascii="Times New Roman" w:hAnsi="Times New Roman"/>
          <w:sz w:val="24"/>
          <w:szCs w:val="24"/>
          <w:lang w:val="en-US"/>
        </w:rPr>
        <w:t>o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neself in a </w:t>
      </w:r>
      <w:r w:rsidR="0058248C">
        <w:rPr>
          <w:rFonts w:ascii="Times New Roman" w:hAnsi="Times New Roman"/>
          <w:sz w:val="24"/>
          <w:szCs w:val="24"/>
          <w:lang w:val="en-US"/>
        </w:rPr>
        <w:t>h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eterosexist and </w:t>
      </w:r>
      <w:r w:rsidR="0058248C">
        <w:rPr>
          <w:rFonts w:ascii="Times New Roman" w:hAnsi="Times New Roman"/>
          <w:sz w:val="24"/>
          <w:szCs w:val="24"/>
          <w:lang w:val="en-US"/>
        </w:rPr>
        <w:t>c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issexist </w:t>
      </w:r>
      <w:r w:rsidR="0058248C">
        <w:rPr>
          <w:rFonts w:ascii="Times New Roman" w:hAnsi="Times New Roman"/>
          <w:sz w:val="24"/>
          <w:szCs w:val="24"/>
          <w:lang w:val="en-US"/>
        </w:rPr>
        <w:t>w</w:t>
      </w:r>
      <w:r w:rsidRPr="00353814">
        <w:rPr>
          <w:rFonts w:ascii="Times New Roman" w:hAnsi="Times New Roman"/>
          <w:sz w:val="24"/>
          <w:szCs w:val="24"/>
          <w:lang w:val="en-US"/>
        </w:rPr>
        <w:t>orld</w:t>
      </w:r>
      <w:r w:rsidR="0058248C">
        <w:rPr>
          <w:rFonts w:ascii="Times New Roman" w:hAnsi="Times New Roman"/>
          <w:sz w:val="24"/>
          <w:szCs w:val="24"/>
          <w:lang w:val="en-US"/>
        </w:rPr>
        <w:t>.</w:t>
      </w:r>
      <w:r w:rsidRPr="003538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0E13">
        <w:rPr>
          <w:rFonts w:ascii="Times New Roman" w:hAnsi="Times New Roman"/>
          <w:i/>
          <w:iCs/>
          <w:sz w:val="24"/>
          <w:szCs w:val="24"/>
        </w:rPr>
        <w:t>Journal</w:t>
      </w:r>
      <w:proofErr w:type="spellEnd"/>
      <w:r w:rsidRPr="00970E1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0E13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E469A7" w:rsidRPr="00970E1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0E13">
        <w:rPr>
          <w:rFonts w:ascii="Times New Roman" w:hAnsi="Times New Roman"/>
          <w:i/>
          <w:iCs/>
          <w:sz w:val="24"/>
          <w:szCs w:val="24"/>
        </w:rPr>
        <w:t>Homosexuality</w:t>
      </w:r>
      <w:proofErr w:type="spellEnd"/>
      <w:r w:rsidRPr="00970E13">
        <w:rPr>
          <w:rFonts w:ascii="Times New Roman" w:hAnsi="Times New Roman"/>
          <w:i/>
          <w:iCs/>
          <w:sz w:val="24"/>
          <w:szCs w:val="24"/>
        </w:rPr>
        <w:t>, 62</w:t>
      </w:r>
      <w:r w:rsidR="0058248C" w:rsidRPr="00970E13">
        <w:rPr>
          <w:rFonts w:ascii="Times New Roman" w:hAnsi="Times New Roman"/>
          <w:sz w:val="24"/>
          <w:szCs w:val="24"/>
        </w:rPr>
        <w:t>(</w:t>
      </w:r>
      <w:r w:rsidRPr="00970E13">
        <w:rPr>
          <w:rFonts w:ascii="Times New Roman" w:hAnsi="Times New Roman"/>
          <w:sz w:val="24"/>
          <w:szCs w:val="24"/>
        </w:rPr>
        <w:t>3</w:t>
      </w:r>
      <w:r w:rsidR="0058248C" w:rsidRPr="00970E13">
        <w:rPr>
          <w:rFonts w:ascii="Times New Roman" w:hAnsi="Times New Roman"/>
          <w:sz w:val="24"/>
          <w:szCs w:val="24"/>
        </w:rPr>
        <w:t>)</w:t>
      </w:r>
      <w:r w:rsidRPr="00970E13">
        <w:rPr>
          <w:rFonts w:ascii="Times New Roman" w:hAnsi="Times New Roman"/>
          <w:sz w:val="24"/>
          <w:szCs w:val="24"/>
        </w:rPr>
        <w:t>, 297-326</w:t>
      </w:r>
      <w:r w:rsidR="0058248C" w:rsidRPr="00970E13">
        <w:rPr>
          <w:rFonts w:ascii="Times New Roman" w:hAnsi="Times New Roman"/>
          <w:sz w:val="24"/>
          <w:szCs w:val="24"/>
        </w:rPr>
        <w:t>.</w:t>
      </w:r>
      <w:r w:rsidRPr="00970E13">
        <w:rPr>
          <w:rFonts w:ascii="Times New Roman" w:hAnsi="Times New Roman"/>
          <w:sz w:val="24"/>
          <w:szCs w:val="24"/>
        </w:rPr>
        <w:t xml:space="preserve"> </w:t>
      </w:r>
      <w:r w:rsidR="0058248C" w:rsidRPr="00970E13">
        <w:rPr>
          <w:rFonts w:ascii="Times New Roman" w:eastAsia="Times New Roman" w:hAnsi="Times New Roman" w:cs="Times New Roman"/>
          <w:sz w:val="24"/>
          <w:szCs w:val="24"/>
        </w:rPr>
        <w:t>https://doi.org/</w:t>
      </w:r>
      <w:r w:rsidRPr="00970E13">
        <w:rPr>
          <w:rFonts w:ascii="Times New Roman" w:hAnsi="Times New Roman"/>
          <w:sz w:val="24"/>
          <w:szCs w:val="24"/>
        </w:rPr>
        <w:t>10.1080/00918369.2014.970829</w:t>
      </w:r>
    </w:p>
    <w:p w14:paraId="21AB8DE0" w14:textId="1E355DB0" w:rsidR="006D6DE7" w:rsidRDefault="006D6DE7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DE7">
        <w:rPr>
          <w:rFonts w:ascii="Times New Roman" w:eastAsia="Times New Roman" w:hAnsi="Times New Roman" w:cs="Times New Roman"/>
          <w:sz w:val="24"/>
          <w:szCs w:val="24"/>
        </w:rPr>
        <w:t xml:space="preserve">Longares, L., Escartín, J., Barrientos, J.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6D6DE7">
        <w:rPr>
          <w:rFonts w:ascii="Times New Roman" w:eastAsia="Times New Roman" w:hAnsi="Times New Roman" w:cs="Times New Roman"/>
          <w:sz w:val="24"/>
          <w:szCs w:val="24"/>
        </w:rPr>
        <w:t>Rodríguez-Carballeira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A. (2020). 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Insecure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ttachment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erpetration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sychological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buse 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>ame-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ouples: 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elationship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oderated by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utness. </w:t>
      </w:r>
      <w:r w:rsidRPr="006D6DE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Sexuality Research and Social Policy 17</w:t>
      </w:r>
      <w:r w:rsidRPr="006D6DE7">
        <w:rPr>
          <w:rFonts w:ascii="Times New Roman" w:eastAsia="Times New Roman" w:hAnsi="Times New Roman" w:cs="Times New Roman"/>
          <w:sz w:val="24"/>
          <w:szCs w:val="24"/>
          <w:lang w:val="en-US"/>
        </w:rPr>
        <w:t>, 1–12 https://doi.org/10.1007/s13178-018-0363-8</w:t>
      </w:r>
    </w:p>
    <w:p w14:paraId="1A8F37D3" w14:textId="05A18D04" w:rsidR="002D7073" w:rsidRPr="00C43459" w:rsidRDefault="002D7073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>Martos</w:t>
      </w:r>
      <w:proofErr w:type="spellEnd"/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Nezhad, S., &amp; Meyer, I. H. (2015). </w:t>
      </w:r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Variations in sexual identity milestones among lesbians, gay </w:t>
      </w:r>
      <w:proofErr w:type="gramStart"/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>men</w:t>
      </w:r>
      <w:proofErr w:type="gramEnd"/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bisexuals. </w:t>
      </w:r>
      <w:r w:rsidRPr="00C4345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Sexuality Research &amp; Social Policy, 12</w:t>
      </w:r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>(1), 24–33. https://doi.org/10.1007/s13178-014-0167-4</w:t>
      </w:r>
    </w:p>
    <w:p w14:paraId="5C97E438" w14:textId="2CE36015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McGlynn, N. (2018). Slippery geographies of the urban and the rural: Public sector LGBT equalities work in the shadow of the “Gay Capital”.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Rural Studies, 57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[LO1], 65–77. https://doi.org/10.1016/j.jrurstud.2017.10.008</w:t>
      </w:r>
    </w:p>
    <w:p w14:paraId="4A1B2EBB" w14:textId="30F90B72" w:rsidR="00DD06C8" w:rsidRPr="00A75BCA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Meyer, I. (2003). Prejudice,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ocial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tress, and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ental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ealth in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esbian,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ay, and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isexual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opulations: Conceptual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ssues and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esearch </w:t>
      </w:r>
      <w:r w:rsidR="00B449C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vidence. </w:t>
      </w:r>
      <w:r w:rsidRPr="00A75B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</w:t>
      </w:r>
      <w:r w:rsidR="00B449C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ogy</w:t>
      </w:r>
      <w:r w:rsidRPr="00A75B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Bull</w:t>
      </w:r>
      <w:r w:rsidR="00B449C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etin</w:t>
      </w:r>
      <w:r w:rsidRPr="00A75B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129</w:t>
      </w:r>
      <w:r w:rsidRPr="00A75BCA">
        <w:rPr>
          <w:rFonts w:ascii="Times New Roman" w:eastAsia="Times New Roman" w:hAnsi="Times New Roman" w:cs="Times New Roman"/>
          <w:sz w:val="24"/>
          <w:szCs w:val="24"/>
          <w:lang w:val="en-US"/>
        </w:rPr>
        <w:t>(5): 674–697. https://doi.apa.org/doi/10.1037/0033-2909.129.5.674</w:t>
      </w:r>
    </w:p>
    <w:p w14:paraId="0136756C" w14:textId="48DB84A9" w:rsidR="003048DB" w:rsidRPr="003048DB" w:rsidRDefault="003048DB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Meyer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, Russell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, Hammack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, Frost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Wilson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(2021) Minority stress, distress,</w:t>
      </w:r>
    </w:p>
    <w:p w14:paraId="449A1F56" w14:textId="6E835AB8" w:rsidR="003048DB" w:rsidRDefault="003048DB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>and suicide attempts in three cohorts of sexual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minority adults: A U.S. probability sample. </w:t>
      </w:r>
      <w:proofErr w:type="spellStart"/>
      <w:r w:rsidRPr="004954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PLoS</w:t>
      </w:r>
      <w:proofErr w:type="spellEnd"/>
      <w:r w:rsidRPr="004954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ONE 16</w:t>
      </w:r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>(3). e0246827. https://doi.org/10.1371/</w:t>
      </w:r>
      <w:r w:rsidRPr="003048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journal.pone.0246827 </w:t>
      </w:r>
    </w:p>
    <w:p w14:paraId="25ABCB04" w14:textId="6B15F663" w:rsidR="00C43459" w:rsidRPr="004954BC" w:rsidRDefault="00C43459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>Monro</w:t>
      </w:r>
      <w:proofErr w:type="spellEnd"/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Hines, S., &amp; Osborne, A. (2017). Is bisexuality invisible? A review of sexualities scholarship 1970–2015. </w:t>
      </w:r>
      <w:r w:rsidRPr="004954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Sociological Review, 65</w:t>
      </w:r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663-681. </w:t>
      </w:r>
      <w:r w:rsidR="00B449C7"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</w:t>
      </w:r>
      <w:r w:rsidRPr="004954BC">
        <w:rPr>
          <w:rFonts w:ascii="Times New Roman" w:eastAsia="Times New Roman" w:hAnsi="Times New Roman" w:cs="Times New Roman"/>
          <w:sz w:val="24"/>
          <w:szCs w:val="24"/>
          <w:lang w:val="en-US"/>
        </w:rPr>
        <w:t>10.1177/0038026117695488</w:t>
      </w:r>
    </w:p>
    <w:p w14:paraId="1D180DF5" w14:textId="3CD58CF3" w:rsidR="00A5256B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Orcasita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, L., Sevilla, T., Acevedo-Velasco, V., Montenegro, J., Tamayo, M., </w:t>
      </w:r>
      <w:r w:rsidR="00B449C7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Rueda-Toro, J. (2020). Apoyo social familiar para el bienestar de hijos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 hijas lesbianas.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Revista Latinoamericana de Ciencias Sociales Niñez y Juventud, 18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(2), 1–23. </w:t>
      </w:r>
      <w:r w:rsidR="00A5256B" w:rsidRPr="00A5256B">
        <w:rPr>
          <w:rFonts w:ascii="Times New Roman" w:eastAsia="Times New Roman" w:hAnsi="Times New Roman" w:cs="Times New Roman"/>
          <w:sz w:val="24"/>
          <w:szCs w:val="24"/>
        </w:rPr>
        <w:t>https://doi.org/10.11600/1692715x.18205</w:t>
      </w:r>
    </w:p>
    <w:p w14:paraId="1C5F1F1F" w14:textId="74971331" w:rsidR="00DD06C8" w:rsidRPr="00970E13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49C7">
        <w:rPr>
          <w:rFonts w:ascii="Times New Roman" w:eastAsia="Times New Roman" w:hAnsi="Times New Roman" w:cs="Times New Roman"/>
          <w:sz w:val="24"/>
          <w:szCs w:val="24"/>
        </w:rPr>
        <w:t xml:space="preserve">Orellana, L., </w:t>
      </w:r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>Álvarez,</w:t>
      </w:r>
      <w:r w:rsidR="00B449C7">
        <w:rPr>
          <w:rFonts w:ascii="Times New Roman" w:eastAsia="Times New Roman" w:hAnsi="Times New Roman" w:cs="Times New Roman"/>
          <w:sz w:val="24"/>
          <w:szCs w:val="24"/>
        </w:rPr>
        <w:t xml:space="preserve"> N., Álvarez, G., Álvarez, M</w:t>
      </w:r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 xml:space="preserve">., &amp; </w:t>
      </w:r>
      <w:r w:rsidRPr="00B449C7">
        <w:rPr>
          <w:rFonts w:ascii="Times New Roman" w:eastAsia="Times New Roman" w:hAnsi="Times New Roman" w:cs="Times New Roman"/>
          <w:sz w:val="24"/>
          <w:szCs w:val="24"/>
        </w:rPr>
        <w:t xml:space="preserve">Schnettler, B. </w:t>
      </w:r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C34D3">
        <w:rPr>
          <w:rFonts w:ascii="Times New Roman" w:eastAsia="Times New Roman" w:hAnsi="Times New Roman" w:cs="Times New Roman"/>
          <w:sz w:val="24"/>
          <w:szCs w:val="24"/>
        </w:rPr>
        <w:t>en prensa</w:t>
      </w:r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 xml:space="preserve">). Variables asociadas a la satisfacción vital: comparaciones entre estudiantes universitarios lesbianas, </w:t>
      </w:r>
      <w:proofErr w:type="spellStart"/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>gays</w:t>
      </w:r>
      <w:proofErr w:type="spellEnd"/>
      <w:r w:rsidR="00B449C7" w:rsidRPr="00B449C7">
        <w:rPr>
          <w:rFonts w:ascii="Times New Roman" w:eastAsia="Times New Roman" w:hAnsi="Times New Roman" w:cs="Times New Roman"/>
          <w:sz w:val="24"/>
          <w:szCs w:val="24"/>
        </w:rPr>
        <w:t>, bisexuales y pansexuales en Chile</w:t>
      </w:r>
      <w:r w:rsidRPr="00B449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49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49C7" w:rsidRPr="00970E1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Interdisciplinaria</w:t>
      </w:r>
      <w:proofErr w:type="spellEnd"/>
      <w:r w:rsidR="00B449C7" w:rsidRPr="00970E1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14:paraId="5E769052" w14:textId="613408D5" w:rsidR="00F54C5E" w:rsidRDefault="00F54C5E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Pachankis</w:t>
      </w:r>
      <w:proofErr w:type="spellEnd"/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proofErr w:type="spellStart"/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ä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nstr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ö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End"/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(2019) How</w:t>
      </w:r>
      <w:r w:rsid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many sexual minorities are hidden? Projecting the</w:t>
      </w:r>
      <w:r w:rsid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size of the global closet with implications for policy</w:t>
      </w:r>
      <w:r w:rsid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public health. </w:t>
      </w:r>
      <w:proofErr w:type="spellStart"/>
      <w:r w:rsidRPr="005165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PLoS</w:t>
      </w:r>
      <w:proofErr w:type="spellEnd"/>
      <w:r w:rsidRPr="005165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ONE 14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(6)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e0218084.</w:t>
      </w:r>
      <w:r w:rsid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https://doi.org/10.1371/journal.pone.0218084</w:t>
      </w:r>
    </w:p>
    <w:p w14:paraId="7B176B05" w14:textId="001D19EC" w:rsidR="00353814" w:rsidRDefault="00353814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Parmenter, 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J., </w:t>
      </w:r>
      <w:proofErr w:type="spellStart"/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>Galliher</w:t>
      </w:r>
      <w:proofErr w:type="spellEnd"/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, R.,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Maughan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, A.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(2020)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LGBTQ+ emerging adults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perceptions of discrimination and exclusion within the LGBTQ+ community</w:t>
      </w:r>
      <w:r w:rsidR="005165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32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165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Psychology &amp; Sexuality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, 289-304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1653B" w:rsidRPr="00F54C5E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</w:t>
      </w:r>
      <w:r w:rsidRPr="00353814">
        <w:rPr>
          <w:rFonts w:ascii="Times New Roman" w:eastAsia="Times New Roman" w:hAnsi="Times New Roman" w:cs="Times New Roman"/>
          <w:sz w:val="24"/>
          <w:szCs w:val="24"/>
          <w:lang w:val="en-US"/>
        </w:rPr>
        <w:t>10.1080/19419899.2020.1716056</w:t>
      </w:r>
    </w:p>
    <w:p w14:paraId="4E38DAD8" w14:textId="7FDECEDD" w:rsidR="00F54C5E" w:rsidRPr="00A75BCA" w:rsidRDefault="00C43459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BCA">
        <w:rPr>
          <w:rFonts w:ascii="Times New Roman" w:eastAsia="Times New Roman" w:hAnsi="Times New Roman" w:cs="Times New Roman"/>
          <w:sz w:val="24"/>
          <w:szCs w:val="24"/>
          <w:lang w:val="en-US"/>
        </w:rPr>
        <w:t>Perera</w:t>
      </w:r>
      <w:proofErr w:type="spellEnd"/>
      <w:r w:rsidRPr="00A75B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&amp; Arenas, Y. (2019). </w:t>
      </w:r>
      <w:r w:rsidRPr="00C434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Development of bisexual identity. </w:t>
      </w:r>
      <w:proofErr w:type="spellStart"/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>Ciência</w:t>
      </w:r>
      <w:proofErr w:type="spellEnd"/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>Saúde</w:t>
      </w:r>
      <w:proofErr w:type="spellEnd"/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>Coletiva</w:t>
      </w:r>
      <w:proofErr w:type="spellEnd"/>
      <w:r w:rsidR="00150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06E1" w:rsidRPr="001506E1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="001506E1">
        <w:rPr>
          <w:rFonts w:ascii="Times New Roman" w:eastAsia="Times New Roman" w:hAnsi="Times New Roman" w:cs="Times New Roman"/>
          <w:sz w:val="24"/>
          <w:szCs w:val="24"/>
        </w:rPr>
        <w:t>(5), 1669-1678.</w:t>
      </w:r>
      <w:r w:rsidRPr="00A75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</w:rPr>
        <w:t>https://doi.org/</w:t>
      </w:r>
      <w:r w:rsidRPr="00A75BCA">
        <w:rPr>
          <w:rFonts w:ascii="Times New Roman" w:eastAsia="Times New Roman" w:hAnsi="Times New Roman" w:cs="Times New Roman"/>
          <w:sz w:val="24"/>
          <w:szCs w:val="24"/>
        </w:rPr>
        <w:t>10.1590/1413-81232018245.04382019</w:t>
      </w:r>
    </w:p>
    <w:p w14:paraId="0839ABC7" w14:textId="66FBAC5E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Pinto, C., Lara, R., Espinoza, E., </w:t>
      </w:r>
      <w:r w:rsidR="001506E1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Montoya, P. (2014). Propiedades psicométricas de la escala de apoyo social percibido de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en personas mayores de Atención Primaria de Salud.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Index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 xml:space="preserve"> de Enfermería, 23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(1-2), 85-89. https://dx.doi.org/10.4321/S1132-12962014000100018</w:t>
      </w:r>
    </w:p>
    <w:p w14:paraId="277F97A8" w14:textId="74CE8F41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Rodríguez-Bustamante, R.,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Mayorquin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-Muñoz, C., </w:t>
      </w:r>
      <w:proofErr w:type="spellStart"/>
      <w:r w:rsidRPr="005723A5">
        <w:rPr>
          <w:rFonts w:ascii="Times New Roman" w:eastAsia="Times New Roman" w:hAnsi="Times New Roman" w:cs="Times New Roman"/>
          <w:sz w:val="24"/>
          <w:szCs w:val="24"/>
        </w:rPr>
        <w:t>Baéz</w:t>
      </w:r>
      <w:proofErr w:type="spellEnd"/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-Hernández, F., Nava-Navarro, V. </w:t>
      </w:r>
      <w:r w:rsidR="001506E1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Rico-Pérez, E. (2019). Respuesta familiar ante la revelación de la orientación sexual, desde el discurso de hombres homosexuales.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Enfermería Universitaria, 16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(3), 240-248. https://doi.org/10.22201/eneo.23958421e.2019.3.690</w:t>
      </w:r>
    </w:p>
    <w:p w14:paraId="64E9E1DE" w14:textId="3940F378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Sánchez, S., Podestá, S., </w:t>
      </w:r>
      <w:r w:rsidR="001506E1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 Garrido, P. (2018). Ser madre fuera de la heteronormatividad: Trayectorias vitales y desafíos de familias homoparentales chilenas.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Psicoperspectivas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, 17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(1), 1-12. https://doi.org/10.5027/psicoperspectivas-vol17-issue1-fulltext-1202</w:t>
      </w:r>
    </w:p>
    <w:p w14:paraId="289FA0F3" w14:textId="51786A5E" w:rsidR="00F329A6" w:rsidRPr="00F329A6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Silva, B. (2018). Efectos en el afrontamiento y soporte social ante la revelación de la homosexualidad a la familia: estudio comparativo en gais y lesbianas. </w:t>
      </w:r>
      <w:proofErr w:type="spellStart"/>
      <w:r w:rsidRPr="00675BA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Psicogente</w:t>
      </w:r>
      <w:proofErr w:type="spellEnd"/>
      <w:r w:rsidRPr="00675BA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21</w:t>
      </w:r>
      <w:r w:rsidRPr="00675B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(40), 321-336. </w:t>
      </w:r>
      <w:r w:rsidR="00F329A6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https://doi.org/10.17081/psico.21.40.3077</w:t>
      </w:r>
    </w:p>
    <w:p w14:paraId="6C4EEE57" w14:textId="77E27D58" w:rsidR="00F329A6" w:rsidRPr="00F329A6" w:rsidRDefault="00F329A6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>Schmitz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, R.,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Tyler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, K.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(2018)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Contextual constraints 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>choices: Strategic identity management among LGBTQ youth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506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Journal of LGBT Youth, </w:t>
      </w:r>
      <w:r w:rsidR="001506E1" w:rsidRPr="001506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, 212-226</w:t>
      </w:r>
      <w:r w:rsidR="00150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https://doi.org/</w:t>
      </w:r>
      <w:r w:rsidRPr="00F329A6">
        <w:rPr>
          <w:rFonts w:ascii="Times New Roman" w:eastAsia="Times New Roman" w:hAnsi="Times New Roman" w:cs="Times New Roman"/>
          <w:sz w:val="24"/>
          <w:szCs w:val="24"/>
          <w:lang w:val="en-US"/>
        </w:rPr>
        <w:t>10.1080/19361653.2018.1466754</w:t>
      </w:r>
    </w:p>
    <w:p w14:paraId="1D9987F7" w14:textId="6D1C8976" w:rsidR="00DD06C8" w:rsidRPr="005723A5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Zambrano, C., Ceballos, A. </w:t>
      </w:r>
      <w:r w:rsidR="001506E1"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>&amp;</w:t>
      </w:r>
      <w:r w:rsidRPr="001506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Ojeda, D. (2017). 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 xml:space="preserve">Reconocimiento de la orientación sexual homosexual.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 xml:space="preserve">Revista </w:t>
      </w:r>
      <w:proofErr w:type="spellStart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Psicoespacios</w:t>
      </w:r>
      <w:proofErr w:type="spellEnd"/>
      <w:r w:rsidRPr="005723A5">
        <w:rPr>
          <w:rFonts w:ascii="Times New Roman" w:eastAsia="Times New Roman" w:hAnsi="Times New Roman" w:cs="Times New Roman"/>
          <w:i/>
          <w:sz w:val="24"/>
          <w:szCs w:val="24"/>
        </w:rPr>
        <w:t>, 11</w:t>
      </w:r>
      <w:r w:rsidRPr="005723A5">
        <w:rPr>
          <w:rFonts w:ascii="Times New Roman" w:eastAsia="Times New Roman" w:hAnsi="Times New Roman" w:cs="Times New Roman"/>
          <w:sz w:val="24"/>
          <w:szCs w:val="24"/>
        </w:rPr>
        <w:t>(19), 61-78. https://doi.org/10.25057/issn.2145-2776</w:t>
      </w:r>
    </w:p>
    <w:p w14:paraId="436B5A4B" w14:textId="741DE67E" w:rsidR="00DD06C8" w:rsidRPr="002071EC" w:rsidRDefault="0053684C" w:rsidP="00F957F2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</w:rPr>
        <w:t>Dahlem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</w:rPr>
        <w:t>Zimet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r w:rsidR="001506E1" w:rsidRPr="00970E13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970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E13">
        <w:rPr>
          <w:rFonts w:ascii="Times New Roman" w:eastAsia="Times New Roman" w:hAnsi="Times New Roman" w:cs="Times New Roman"/>
          <w:sz w:val="24"/>
          <w:szCs w:val="24"/>
        </w:rPr>
        <w:t>Farley</w:t>
      </w:r>
      <w:proofErr w:type="spellEnd"/>
      <w:r w:rsidRPr="00970E13">
        <w:rPr>
          <w:rFonts w:ascii="Times New Roman" w:eastAsia="Times New Roman" w:hAnsi="Times New Roman" w:cs="Times New Roman"/>
          <w:sz w:val="24"/>
          <w:szCs w:val="24"/>
        </w:rPr>
        <w:t xml:space="preserve">, G. (1988). 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Multidimensional Scale of Perceived Social Support. </w:t>
      </w:r>
      <w:r w:rsidRPr="005723A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Personality Assessment, 52</w:t>
      </w:r>
      <w:r w:rsidRPr="005723A5">
        <w:rPr>
          <w:rFonts w:ascii="Times New Roman" w:eastAsia="Times New Roman" w:hAnsi="Times New Roman" w:cs="Times New Roman"/>
          <w:sz w:val="24"/>
          <w:szCs w:val="24"/>
          <w:lang w:val="en-US"/>
        </w:rPr>
        <w:t>, 30-41. https://doi.org/10.1207/s15327752jpa5201_2</w:t>
      </w:r>
    </w:p>
    <w:sectPr w:rsidR="00DD06C8" w:rsidRPr="002071EC" w:rsidSect="00DC59CE">
      <w:footerReference w:type="default" r:id="rId7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3F72" w14:textId="77777777" w:rsidR="00286C31" w:rsidRDefault="00286C31">
      <w:pPr>
        <w:spacing w:after="0" w:line="240" w:lineRule="auto"/>
      </w:pPr>
      <w:r>
        <w:separator/>
      </w:r>
    </w:p>
  </w:endnote>
  <w:endnote w:type="continuationSeparator" w:id="0">
    <w:p w14:paraId="354E8C80" w14:textId="77777777" w:rsidR="00286C31" w:rsidRDefault="0028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645645"/>
      <w:docPartObj>
        <w:docPartGallery w:val="Page Numbers (Bottom of Page)"/>
        <w:docPartUnique/>
      </w:docPartObj>
    </w:sdtPr>
    <w:sdtEndPr/>
    <w:sdtContent>
      <w:p w14:paraId="727C1218" w14:textId="4E0ED100" w:rsidR="009F224C" w:rsidRDefault="009F22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CC49DF" w14:textId="77777777" w:rsidR="009F224C" w:rsidRDefault="009F2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A599" w14:textId="77777777" w:rsidR="00286C31" w:rsidRDefault="00286C31">
      <w:pPr>
        <w:spacing w:after="0" w:line="240" w:lineRule="auto"/>
      </w:pPr>
      <w:r>
        <w:separator/>
      </w:r>
    </w:p>
  </w:footnote>
  <w:footnote w:type="continuationSeparator" w:id="0">
    <w:p w14:paraId="0F3DD2B4" w14:textId="77777777" w:rsidR="00286C31" w:rsidRDefault="00286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C8"/>
    <w:rsid w:val="0000211C"/>
    <w:rsid w:val="00005445"/>
    <w:rsid w:val="00006407"/>
    <w:rsid w:val="00010263"/>
    <w:rsid w:val="00012EF7"/>
    <w:rsid w:val="00015391"/>
    <w:rsid w:val="00020339"/>
    <w:rsid w:val="00021588"/>
    <w:rsid w:val="00022030"/>
    <w:rsid w:val="00022513"/>
    <w:rsid w:val="000225DC"/>
    <w:rsid w:val="000256DE"/>
    <w:rsid w:val="00026709"/>
    <w:rsid w:val="000301A9"/>
    <w:rsid w:val="00030385"/>
    <w:rsid w:val="00033CB2"/>
    <w:rsid w:val="00037678"/>
    <w:rsid w:val="000449F7"/>
    <w:rsid w:val="00046CA3"/>
    <w:rsid w:val="00046DE0"/>
    <w:rsid w:val="0005023A"/>
    <w:rsid w:val="00051314"/>
    <w:rsid w:val="000604AA"/>
    <w:rsid w:val="00060E53"/>
    <w:rsid w:val="00060EC5"/>
    <w:rsid w:val="0006514B"/>
    <w:rsid w:val="000709B1"/>
    <w:rsid w:val="0007438A"/>
    <w:rsid w:val="0007734C"/>
    <w:rsid w:val="0008328B"/>
    <w:rsid w:val="000845C5"/>
    <w:rsid w:val="00084A5A"/>
    <w:rsid w:val="00085736"/>
    <w:rsid w:val="00091ADF"/>
    <w:rsid w:val="0009405F"/>
    <w:rsid w:val="000A08DD"/>
    <w:rsid w:val="000A0E10"/>
    <w:rsid w:val="000A2398"/>
    <w:rsid w:val="000A26BF"/>
    <w:rsid w:val="000A3E59"/>
    <w:rsid w:val="000A47BF"/>
    <w:rsid w:val="000A5321"/>
    <w:rsid w:val="000A5484"/>
    <w:rsid w:val="000B2899"/>
    <w:rsid w:val="000B3013"/>
    <w:rsid w:val="000B4786"/>
    <w:rsid w:val="000B5507"/>
    <w:rsid w:val="000B77C1"/>
    <w:rsid w:val="000C1869"/>
    <w:rsid w:val="000C3AFB"/>
    <w:rsid w:val="000C4D7A"/>
    <w:rsid w:val="000C5AF6"/>
    <w:rsid w:val="000C5CB9"/>
    <w:rsid w:val="000C60D6"/>
    <w:rsid w:val="000C7CCC"/>
    <w:rsid w:val="000D351F"/>
    <w:rsid w:val="000D3A06"/>
    <w:rsid w:val="000D3CBE"/>
    <w:rsid w:val="000D765E"/>
    <w:rsid w:val="000E0801"/>
    <w:rsid w:val="000E09B4"/>
    <w:rsid w:val="000E1774"/>
    <w:rsid w:val="000E1DFF"/>
    <w:rsid w:val="000E6932"/>
    <w:rsid w:val="000F1612"/>
    <w:rsid w:val="000F776F"/>
    <w:rsid w:val="0010085F"/>
    <w:rsid w:val="001019C7"/>
    <w:rsid w:val="0010738F"/>
    <w:rsid w:val="001077CC"/>
    <w:rsid w:val="00113519"/>
    <w:rsid w:val="0011458E"/>
    <w:rsid w:val="001148A4"/>
    <w:rsid w:val="00115745"/>
    <w:rsid w:val="00115794"/>
    <w:rsid w:val="00116FA4"/>
    <w:rsid w:val="001170B0"/>
    <w:rsid w:val="0012094C"/>
    <w:rsid w:val="00121B49"/>
    <w:rsid w:val="001235DF"/>
    <w:rsid w:val="00123D5D"/>
    <w:rsid w:val="00133ABE"/>
    <w:rsid w:val="00146B02"/>
    <w:rsid w:val="001506E1"/>
    <w:rsid w:val="00150A3F"/>
    <w:rsid w:val="00152C82"/>
    <w:rsid w:val="0015413E"/>
    <w:rsid w:val="00154992"/>
    <w:rsid w:val="001570C7"/>
    <w:rsid w:val="0015768D"/>
    <w:rsid w:val="00157CC8"/>
    <w:rsid w:val="00160838"/>
    <w:rsid w:val="00161910"/>
    <w:rsid w:val="0016416B"/>
    <w:rsid w:val="001670FC"/>
    <w:rsid w:val="001730A2"/>
    <w:rsid w:val="001753B0"/>
    <w:rsid w:val="00176E34"/>
    <w:rsid w:val="0017703D"/>
    <w:rsid w:val="001770AF"/>
    <w:rsid w:val="0017728E"/>
    <w:rsid w:val="001811B0"/>
    <w:rsid w:val="00186518"/>
    <w:rsid w:val="001909AE"/>
    <w:rsid w:val="0019226F"/>
    <w:rsid w:val="00192D67"/>
    <w:rsid w:val="0019308D"/>
    <w:rsid w:val="00195C17"/>
    <w:rsid w:val="00196ED4"/>
    <w:rsid w:val="001971EC"/>
    <w:rsid w:val="001974AB"/>
    <w:rsid w:val="001976A6"/>
    <w:rsid w:val="001A0C21"/>
    <w:rsid w:val="001A24D5"/>
    <w:rsid w:val="001A442B"/>
    <w:rsid w:val="001A4A01"/>
    <w:rsid w:val="001A4A58"/>
    <w:rsid w:val="001B115F"/>
    <w:rsid w:val="001B11CA"/>
    <w:rsid w:val="001B1FC0"/>
    <w:rsid w:val="001B511B"/>
    <w:rsid w:val="001C0F8B"/>
    <w:rsid w:val="001C14E9"/>
    <w:rsid w:val="001C1C18"/>
    <w:rsid w:val="001C3E43"/>
    <w:rsid w:val="001C43D7"/>
    <w:rsid w:val="001D307A"/>
    <w:rsid w:val="001D33D9"/>
    <w:rsid w:val="001D4815"/>
    <w:rsid w:val="001E22E6"/>
    <w:rsid w:val="001E41A5"/>
    <w:rsid w:val="001E5671"/>
    <w:rsid w:val="001F11B5"/>
    <w:rsid w:val="001F2D14"/>
    <w:rsid w:val="001F2D7D"/>
    <w:rsid w:val="001F4139"/>
    <w:rsid w:val="001F5F4C"/>
    <w:rsid w:val="002009AD"/>
    <w:rsid w:val="00201220"/>
    <w:rsid w:val="002035B9"/>
    <w:rsid w:val="002048BA"/>
    <w:rsid w:val="002071EC"/>
    <w:rsid w:val="002109B8"/>
    <w:rsid w:val="002116EB"/>
    <w:rsid w:val="00211DE0"/>
    <w:rsid w:val="00211FFA"/>
    <w:rsid w:val="002125D6"/>
    <w:rsid w:val="00224AAE"/>
    <w:rsid w:val="002261A6"/>
    <w:rsid w:val="002261D8"/>
    <w:rsid w:val="0023075D"/>
    <w:rsid w:val="00231925"/>
    <w:rsid w:val="00231B0D"/>
    <w:rsid w:val="00244831"/>
    <w:rsid w:val="002467E1"/>
    <w:rsid w:val="00255CF8"/>
    <w:rsid w:val="00257627"/>
    <w:rsid w:val="0026321D"/>
    <w:rsid w:val="002650E0"/>
    <w:rsid w:val="0026641F"/>
    <w:rsid w:val="00270873"/>
    <w:rsid w:val="00272B66"/>
    <w:rsid w:val="00275276"/>
    <w:rsid w:val="00277335"/>
    <w:rsid w:val="00285740"/>
    <w:rsid w:val="00286C31"/>
    <w:rsid w:val="002924B7"/>
    <w:rsid w:val="00292CA4"/>
    <w:rsid w:val="00295ED5"/>
    <w:rsid w:val="002A3C7A"/>
    <w:rsid w:val="002B07E9"/>
    <w:rsid w:val="002B19CD"/>
    <w:rsid w:val="002B4777"/>
    <w:rsid w:val="002B4C26"/>
    <w:rsid w:val="002C0987"/>
    <w:rsid w:val="002C186E"/>
    <w:rsid w:val="002C1ADD"/>
    <w:rsid w:val="002C3628"/>
    <w:rsid w:val="002C3AD4"/>
    <w:rsid w:val="002C65B6"/>
    <w:rsid w:val="002C702C"/>
    <w:rsid w:val="002D181E"/>
    <w:rsid w:val="002D2A63"/>
    <w:rsid w:val="002D4EDE"/>
    <w:rsid w:val="002D7073"/>
    <w:rsid w:val="002E09F7"/>
    <w:rsid w:val="002E2171"/>
    <w:rsid w:val="002E2D33"/>
    <w:rsid w:val="002E4F3F"/>
    <w:rsid w:val="002E7417"/>
    <w:rsid w:val="002F0BEC"/>
    <w:rsid w:val="002F216A"/>
    <w:rsid w:val="002F4E45"/>
    <w:rsid w:val="002F674A"/>
    <w:rsid w:val="002F74FA"/>
    <w:rsid w:val="003048DB"/>
    <w:rsid w:val="0030525E"/>
    <w:rsid w:val="003058FE"/>
    <w:rsid w:val="00313114"/>
    <w:rsid w:val="00317018"/>
    <w:rsid w:val="003201BA"/>
    <w:rsid w:val="00330150"/>
    <w:rsid w:val="003319B4"/>
    <w:rsid w:val="00331F2A"/>
    <w:rsid w:val="0033222E"/>
    <w:rsid w:val="00332ABA"/>
    <w:rsid w:val="003334B8"/>
    <w:rsid w:val="00334148"/>
    <w:rsid w:val="0033589D"/>
    <w:rsid w:val="00337E96"/>
    <w:rsid w:val="00343B73"/>
    <w:rsid w:val="0034639C"/>
    <w:rsid w:val="00347883"/>
    <w:rsid w:val="00353814"/>
    <w:rsid w:val="003546E6"/>
    <w:rsid w:val="00355409"/>
    <w:rsid w:val="00355968"/>
    <w:rsid w:val="00357BFC"/>
    <w:rsid w:val="00364400"/>
    <w:rsid w:val="00364AF0"/>
    <w:rsid w:val="00364D6D"/>
    <w:rsid w:val="00366641"/>
    <w:rsid w:val="00380F88"/>
    <w:rsid w:val="003830A4"/>
    <w:rsid w:val="00383736"/>
    <w:rsid w:val="00385681"/>
    <w:rsid w:val="00386A14"/>
    <w:rsid w:val="00387241"/>
    <w:rsid w:val="00393FC5"/>
    <w:rsid w:val="00395858"/>
    <w:rsid w:val="00395EFF"/>
    <w:rsid w:val="003A09E9"/>
    <w:rsid w:val="003A1F4A"/>
    <w:rsid w:val="003A207C"/>
    <w:rsid w:val="003A334D"/>
    <w:rsid w:val="003A41DB"/>
    <w:rsid w:val="003A723F"/>
    <w:rsid w:val="003A7D55"/>
    <w:rsid w:val="003B1B2B"/>
    <w:rsid w:val="003B79EE"/>
    <w:rsid w:val="003C34CF"/>
    <w:rsid w:val="003C3545"/>
    <w:rsid w:val="003C3982"/>
    <w:rsid w:val="003C636D"/>
    <w:rsid w:val="003D15D5"/>
    <w:rsid w:val="003D3001"/>
    <w:rsid w:val="003D5569"/>
    <w:rsid w:val="003D771A"/>
    <w:rsid w:val="003E31A1"/>
    <w:rsid w:val="003E544E"/>
    <w:rsid w:val="003E5462"/>
    <w:rsid w:val="003E746A"/>
    <w:rsid w:val="003E75BA"/>
    <w:rsid w:val="003F04C1"/>
    <w:rsid w:val="003F2AF7"/>
    <w:rsid w:val="003F45DA"/>
    <w:rsid w:val="003F7766"/>
    <w:rsid w:val="00400227"/>
    <w:rsid w:val="00402691"/>
    <w:rsid w:val="0040492E"/>
    <w:rsid w:val="0041211A"/>
    <w:rsid w:val="00414C79"/>
    <w:rsid w:val="0041532B"/>
    <w:rsid w:val="00421377"/>
    <w:rsid w:val="00424A0B"/>
    <w:rsid w:val="00424EBE"/>
    <w:rsid w:val="00425F7F"/>
    <w:rsid w:val="004301D3"/>
    <w:rsid w:val="00434AAE"/>
    <w:rsid w:val="004354B2"/>
    <w:rsid w:val="00436C40"/>
    <w:rsid w:val="00443655"/>
    <w:rsid w:val="00443DE9"/>
    <w:rsid w:val="00443E16"/>
    <w:rsid w:val="00450050"/>
    <w:rsid w:val="00451391"/>
    <w:rsid w:val="0045428B"/>
    <w:rsid w:val="00456771"/>
    <w:rsid w:val="00456F6C"/>
    <w:rsid w:val="0046211F"/>
    <w:rsid w:val="004655F5"/>
    <w:rsid w:val="004665F7"/>
    <w:rsid w:val="00466AA3"/>
    <w:rsid w:val="0047132F"/>
    <w:rsid w:val="0047267C"/>
    <w:rsid w:val="004754F8"/>
    <w:rsid w:val="0047701C"/>
    <w:rsid w:val="00477891"/>
    <w:rsid w:val="00477C70"/>
    <w:rsid w:val="004856E2"/>
    <w:rsid w:val="00491710"/>
    <w:rsid w:val="00492844"/>
    <w:rsid w:val="004954BC"/>
    <w:rsid w:val="004A57C5"/>
    <w:rsid w:val="004A6632"/>
    <w:rsid w:val="004B13F0"/>
    <w:rsid w:val="004B298B"/>
    <w:rsid w:val="004B4CE8"/>
    <w:rsid w:val="004B59B5"/>
    <w:rsid w:val="004C0E65"/>
    <w:rsid w:val="004C11B2"/>
    <w:rsid w:val="004C2BC2"/>
    <w:rsid w:val="004C2BC8"/>
    <w:rsid w:val="004C43C1"/>
    <w:rsid w:val="004C6B85"/>
    <w:rsid w:val="004D1AF4"/>
    <w:rsid w:val="004D4050"/>
    <w:rsid w:val="004D7F0F"/>
    <w:rsid w:val="004E0C65"/>
    <w:rsid w:val="004E0FE0"/>
    <w:rsid w:val="004E12D8"/>
    <w:rsid w:val="004E3BB8"/>
    <w:rsid w:val="004E42A3"/>
    <w:rsid w:val="004E4AEA"/>
    <w:rsid w:val="004E4B49"/>
    <w:rsid w:val="004E77AE"/>
    <w:rsid w:val="004E791F"/>
    <w:rsid w:val="004F0542"/>
    <w:rsid w:val="004F427F"/>
    <w:rsid w:val="004F4956"/>
    <w:rsid w:val="004F52C4"/>
    <w:rsid w:val="004F5563"/>
    <w:rsid w:val="004F6D60"/>
    <w:rsid w:val="004F7839"/>
    <w:rsid w:val="00500826"/>
    <w:rsid w:val="0050336E"/>
    <w:rsid w:val="00507C46"/>
    <w:rsid w:val="00510271"/>
    <w:rsid w:val="00510DF3"/>
    <w:rsid w:val="00515108"/>
    <w:rsid w:val="0051653B"/>
    <w:rsid w:val="00517101"/>
    <w:rsid w:val="00520DB5"/>
    <w:rsid w:val="005225DB"/>
    <w:rsid w:val="005227E3"/>
    <w:rsid w:val="00522871"/>
    <w:rsid w:val="00526500"/>
    <w:rsid w:val="0052705D"/>
    <w:rsid w:val="00527508"/>
    <w:rsid w:val="00527D1D"/>
    <w:rsid w:val="00531150"/>
    <w:rsid w:val="00534959"/>
    <w:rsid w:val="00535288"/>
    <w:rsid w:val="0053572B"/>
    <w:rsid w:val="00536298"/>
    <w:rsid w:val="0053684C"/>
    <w:rsid w:val="00536E23"/>
    <w:rsid w:val="005377F0"/>
    <w:rsid w:val="00537AC0"/>
    <w:rsid w:val="00542195"/>
    <w:rsid w:val="005449DD"/>
    <w:rsid w:val="00550C09"/>
    <w:rsid w:val="00551F91"/>
    <w:rsid w:val="00554201"/>
    <w:rsid w:val="00560017"/>
    <w:rsid w:val="00561C5B"/>
    <w:rsid w:val="00562791"/>
    <w:rsid w:val="005627C9"/>
    <w:rsid w:val="005723A5"/>
    <w:rsid w:val="00572EE6"/>
    <w:rsid w:val="00573227"/>
    <w:rsid w:val="00573646"/>
    <w:rsid w:val="005748D2"/>
    <w:rsid w:val="00574ED1"/>
    <w:rsid w:val="00580EA5"/>
    <w:rsid w:val="0058248C"/>
    <w:rsid w:val="0058579F"/>
    <w:rsid w:val="00585ACD"/>
    <w:rsid w:val="00586DAC"/>
    <w:rsid w:val="00595C51"/>
    <w:rsid w:val="005A3E95"/>
    <w:rsid w:val="005A48FB"/>
    <w:rsid w:val="005A6A96"/>
    <w:rsid w:val="005A6CCE"/>
    <w:rsid w:val="005B00A3"/>
    <w:rsid w:val="005B3DBA"/>
    <w:rsid w:val="005B4026"/>
    <w:rsid w:val="005B4030"/>
    <w:rsid w:val="005B53AF"/>
    <w:rsid w:val="005C3267"/>
    <w:rsid w:val="005C4189"/>
    <w:rsid w:val="005D22D6"/>
    <w:rsid w:val="005D3804"/>
    <w:rsid w:val="005D5D45"/>
    <w:rsid w:val="005E1706"/>
    <w:rsid w:val="005E2585"/>
    <w:rsid w:val="005E382F"/>
    <w:rsid w:val="005E3B1A"/>
    <w:rsid w:val="005E4BAF"/>
    <w:rsid w:val="005E4DE9"/>
    <w:rsid w:val="005E6F90"/>
    <w:rsid w:val="005F31E0"/>
    <w:rsid w:val="005F4F80"/>
    <w:rsid w:val="005F54E7"/>
    <w:rsid w:val="00600A51"/>
    <w:rsid w:val="00601920"/>
    <w:rsid w:val="00604EA4"/>
    <w:rsid w:val="0060651F"/>
    <w:rsid w:val="006100D7"/>
    <w:rsid w:val="00610156"/>
    <w:rsid w:val="00611F5E"/>
    <w:rsid w:val="00616018"/>
    <w:rsid w:val="00616EFC"/>
    <w:rsid w:val="00624B90"/>
    <w:rsid w:val="00633B5C"/>
    <w:rsid w:val="00637976"/>
    <w:rsid w:val="00641107"/>
    <w:rsid w:val="00643782"/>
    <w:rsid w:val="006437B5"/>
    <w:rsid w:val="0064633B"/>
    <w:rsid w:val="0064732B"/>
    <w:rsid w:val="0065450A"/>
    <w:rsid w:val="0065587F"/>
    <w:rsid w:val="00655DA4"/>
    <w:rsid w:val="00656ED8"/>
    <w:rsid w:val="0066294C"/>
    <w:rsid w:val="006637E9"/>
    <w:rsid w:val="00664B10"/>
    <w:rsid w:val="00665EB9"/>
    <w:rsid w:val="00666FE6"/>
    <w:rsid w:val="006676D0"/>
    <w:rsid w:val="006710ED"/>
    <w:rsid w:val="00672880"/>
    <w:rsid w:val="00672AAF"/>
    <w:rsid w:val="006740B6"/>
    <w:rsid w:val="00674228"/>
    <w:rsid w:val="00675BA7"/>
    <w:rsid w:val="00676EB0"/>
    <w:rsid w:val="0067701D"/>
    <w:rsid w:val="00682955"/>
    <w:rsid w:val="0068677E"/>
    <w:rsid w:val="00686C88"/>
    <w:rsid w:val="00692E84"/>
    <w:rsid w:val="00695FA4"/>
    <w:rsid w:val="0069660A"/>
    <w:rsid w:val="00696FB1"/>
    <w:rsid w:val="006A367C"/>
    <w:rsid w:val="006A7B90"/>
    <w:rsid w:val="006B346C"/>
    <w:rsid w:val="006B3567"/>
    <w:rsid w:val="006B3CFB"/>
    <w:rsid w:val="006B4C46"/>
    <w:rsid w:val="006B6C64"/>
    <w:rsid w:val="006C0380"/>
    <w:rsid w:val="006C0DB9"/>
    <w:rsid w:val="006C0FCB"/>
    <w:rsid w:val="006C2416"/>
    <w:rsid w:val="006C2DD6"/>
    <w:rsid w:val="006C6EF5"/>
    <w:rsid w:val="006C7F31"/>
    <w:rsid w:val="006D0278"/>
    <w:rsid w:val="006D44A9"/>
    <w:rsid w:val="006D4991"/>
    <w:rsid w:val="006D51AE"/>
    <w:rsid w:val="006D6DE7"/>
    <w:rsid w:val="006D78A0"/>
    <w:rsid w:val="006E09EF"/>
    <w:rsid w:val="006E0A88"/>
    <w:rsid w:val="006E3D8D"/>
    <w:rsid w:val="006E41D0"/>
    <w:rsid w:val="006E5CA3"/>
    <w:rsid w:val="006E67AB"/>
    <w:rsid w:val="006F0B0C"/>
    <w:rsid w:val="006F356E"/>
    <w:rsid w:val="006F3D30"/>
    <w:rsid w:val="006F3F53"/>
    <w:rsid w:val="006F59D8"/>
    <w:rsid w:val="00701D0E"/>
    <w:rsid w:val="00703615"/>
    <w:rsid w:val="007037E5"/>
    <w:rsid w:val="00704A4A"/>
    <w:rsid w:val="0070595E"/>
    <w:rsid w:val="00710673"/>
    <w:rsid w:val="00710716"/>
    <w:rsid w:val="00710F76"/>
    <w:rsid w:val="00711AC9"/>
    <w:rsid w:val="00714F1A"/>
    <w:rsid w:val="007163E1"/>
    <w:rsid w:val="007170DF"/>
    <w:rsid w:val="007200EB"/>
    <w:rsid w:val="00720955"/>
    <w:rsid w:val="00723499"/>
    <w:rsid w:val="00725EFB"/>
    <w:rsid w:val="00727900"/>
    <w:rsid w:val="00731033"/>
    <w:rsid w:val="00735DF8"/>
    <w:rsid w:val="00737188"/>
    <w:rsid w:val="007402D3"/>
    <w:rsid w:val="00740F0A"/>
    <w:rsid w:val="007422E6"/>
    <w:rsid w:val="00743831"/>
    <w:rsid w:val="00746765"/>
    <w:rsid w:val="007467E5"/>
    <w:rsid w:val="0075272A"/>
    <w:rsid w:val="00752AE2"/>
    <w:rsid w:val="0076162D"/>
    <w:rsid w:val="007656AA"/>
    <w:rsid w:val="0076790E"/>
    <w:rsid w:val="0077418F"/>
    <w:rsid w:val="007745F2"/>
    <w:rsid w:val="00776E19"/>
    <w:rsid w:val="00777456"/>
    <w:rsid w:val="007854CF"/>
    <w:rsid w:val="00787951"/>
    <w:rsid w:val="007905F6"/>
    <w:rsid w:val="00791058"/>
    <w:rsid w:val="007A00AF"/>
    <w:rsid w:val="007A0F75"/>
    <w:rsid w:val="007A3BFF"/>
    <w:rsid w:val="007A3C42"/>
    <w:rsid w:val="007A427C"/>
    <w:rsid w:val="007A7EB9"/>
    <w:rsid w:val="007A7F7C"/>
    <w:rsid w:val="007B4EF1"/>
    <w:rsid w:val="007B7C44"/>
    <w:rsid w:val="007C53B6"/>
    <w:rsid w:val="007C5779"/>
    <w:rsid w:val="007C7AF9"/>
    <w:rsid w:val="007D1D6B"/>
    <w:rsid w:val="007D329E"/>
    <w:rsid w:val="007D50BD"/>
    <w:rsid w:val="007D5662"/>
    <w:rsid w:val="007E05BD"/>
    <w:rsid w:val="007E3617"/>
    <w:rsid w:val="007E6382"/>
    <w:rsid w:val="007E7B51"/>
    <w:rsid w:val="007F3A81"/>
    <w:rsid w:val="007F43FA"/>
    <w:rsid w:val="007F694E"/>
    <w:rsid w:val="007F6B90"/>
    <w:rsid w:val="0080352F"/>
    <w:rsid w:val="0080524B"/>
    <w:rsid w:val="00807B36"/>
    <w:rsid w:val="008102DE"/>
    <w:rsid w:val="00811792"/>
    <w:rsid w:val="008215E3"/>
    <w:rsid w:val="0082510E"/>
    <w:rsid w:val="00825FEA"/>
    <w:rsid w:val="0082773B"/>
    <w:rsid w:val="00827EA3"/>
    <w:rsid w:val="008343EC"/>
    <w:rsid w:val="00837405"/>
    <w:rsid w:val="00837FFA"/>
    <w:rsid w:val="008461F7"/>
    <w:rsid w:val="00847233"/>
    <w:rsid w:val="0085525B"/>
    <w:rsid w:val="008616F3"/>
    <w:rsid w:val="0086184A"/>
    <w:rsid w:val="00862120"/>
    <w:rsid w:val="00863A5E"/>
    <w:rsid w:val="00865D86"/>
    <w:rsid w:val="008665AA"/>
    <w:rsid w:val="00866D81"/>
    <w:rsid w:val="00867722"/>
    <w:rsid w:val="00870E4B"/>
    <w:rsid w:val="0087630C"/>
    <w:rsid w:val="008772F5"/>
    <w:rsid w:val="00877CED"/>
    <w:rsid w:val="00885A7B"/>
    <w:rsid w:val="00887159"/>
    <w:rsid w:val="008902A1"/>
    <w:rsid w:val="00891AD5"/>
    <w:rsid w:val="00894E12"/>
    <w:rsid w:val="00895298"/>
    <w:rsid w:val="0089734E"/>
    <w:rsid w:val="0089764D"/>
    <w:rsid w:val="008A0AF9"/>
    <w:rsid w:val="008A103C"/>
    <w:rsid w:val="008A369A"/>
    <w:rsid w:val="008A5092"/>
    <w:rsid w:val="008A73C6"/>
    <w:rsid w:val="008B1968"/>
    <w:rsid w:val="008B48EA"/>
    <w:rsid w:val="008B4ECE"/>
    <w:rsid w:val="008C0CD4"/>
    <w:rsid w:val="008C25F4"/>
    <w:rsid w:val="008C35C6"/>
    <w:rsid w:val="008C780C"/>
    <w:rsid w:val="008C7B83"/>
    <w:rsid w:val="008D705A"/>
    <w:rsid w:val="008E0BF8"/>
    <w:rsid w:val="008E0F3C"/>
    <w:rsid w:val="008E1B7D"/>
    <w:rsid w:val="008E3CCB"/>
    <w:rsid w:val="008E4487"/>
    <w:rsid w:val="008F013F"/>
    <w:rsid w:val="008F78FF"/>
    <w:rsid w:val="009040A0"/>
    <w:rsid w:val="00910348"/>
    <w:rsid w:val="00912D50"/>
    <w:rsid w:val="00914EE7"/>
    <w:rsid w:val="00916B29"/>
    <w:rsid w:val="00917DEA"/>
    <w:rsid w:val="0092017C"/>
    <w:rsid w:val="009226A7"/>
    <w:rsid w:val="009265CC"/>
    <w:rsid w:val="00941688"/>
    <w:rsid w:val="00945A01"/>
    <w:rsid w:val="00950D27"/>
    <w:rsid w:val="00951FA7"/>
    <w:rsid w:val="00954BC2"/>
    <w:rsid w:val="009609F6"/>
    <w:rsid w:val="00960AD3"/>
    <w:rsid w:val="00962512"/>
    <w:rsid w:val="00965C1E"/>
    <w:rsid w:val="00966D3E"/>
    <w:rsid w:val="0097047F"/>
    <w:rsid w:val="00970E13"/>
    <w:rsid w:val="00971FAF"/>
    <w:rsid w:val="00973812"/>
    <w:rsid w:val="00973E27"/>
    <w:rsid w:val="00977F39"/>
    <w:rsid w:val="009836F9"/>
    <w:rsid w:val="0098471D"/>
    <w:rsid w:val="00986087"/>
    <w:rsid w:val="00986151"/>
    <w:rsid w:val="00987151"/>
    <w:rsid w:val="00993930"/>
    <w:rsid w:val="00996177"/>
    <w:rsid w:val="009A0775"/>
    <w:rsid w:val="009A1093"/>
    <w:rsid w:val="009A3ECF"/>
    <w:rsid w:val="009A53FA"/>
    <w:rsid w:val="009B0708"/>
    <w:rsid w:val="009B2645"/>
    <w:rsid w:val="009B2EE4"/>
    <w:rsid w:val="009B3574"/>
    <w:rsid w:val="009B5649"/>
    <w:rsid w:val="009B5F96"/>
    <w:rsid w:val="009C467B"/>
    <w:rsid w:val="009C7672"/>
    <w:rsid w:val="009D1B56"/>
    <w:rsid w:val="009D501D"/>
    <w:rsid w:val="009D5957"/>
    <w:rsid w:val="009E1C08"/>
    <w:rsid w:val="009E2043"/>
    <w:rsid w:val="009F0B37"/>
    <w:rsid w:val="009F21F6"/>
    <w:rsid w:val="009F224C"/>
    <w:rsid w:val="009F3978"/>
    <w:rsid w:val="00A03546"/>
    <w:rsid w:val="00A07574"/>
    <w:rsid w:val="00A07D85"/>
    <w:rsid w:val="00A12D0B"/>
    <w:rsid w:val="00A14F95"/>
    <w:rsid w:val="00A15027"/>
    <w:rsid w:val="00A16AA7"/>
    <w:rsid w:val="00A20015"/>
    <w:rsid w:val="00A234C9"/>
    <w:rsid w:val="00A24D3A"/>
    <w:rsid w:val="00A250C9"/>
    <w:rsid w:val="00A25A7D"/>
    <w:rsid w:val="00A276CC"/>
    <w:rsid w:val="00A278EE"/>
    <w:rsid w:val="00A27D82"/>
    <w:rsid w:val="00A323DA"/>
    <w:rsid w:val="00A344CB"/>
    <w:rsid w:val="00A352D5"/>
    <w:rsid w:val="00A357E1"/>
    <w:rsid w:val="00A42FA4"/>
    <w:rsid w:val="00A46238"/>
    <w:rsid w:val="00A510A2"/>
    <w:rsid w:val="00A511CE"/>
    <w:rsid w:val="00A51F3C"/>
    <w:rsid w:val="00A524B9"/>
    <w:rsid w:val="00A5256B"/>
    <w:rsid w:val="00A60434"/>
    <w:rsid w:val="00A60CFB"/>
    <w:rsid w:val="00A61699"/>
    <w:rsid w:val="00A61D3E"/>
    <w:rsid w:val="00A61E19"/>
    <w:rsid w:val="00A62D06"/>
    <w:rsid w:val="00A64D0C"/>
    <w:rsid w:val="00A67F92"/>
    <w:rsid w:val="00A74559"/>
    <w:rsid w:val="00A75BCA"/>
    <w:rsid w:val="00A76399"/>
    <w:rsid w:val="00A824C7"/>
    <w:rsid w:val="00A837D4"/>
    <w:rsid w:val="00A859E5"/>
    <w:rsid w:val="00A86FDC"/>
    <w:rsid w:val="00A87254"/>
    <w:rsid w:val="00A8744E"/>
    <w:rsid w:val="00A87AE5"/>
    <w:rsid w:val="00A9189E"/>
    <w:rsid w:val="00A9263D"/>
    <w:rsid w:val="00A93362"/>
    <w:rsid w:val="00A935A7"/>
    <w:rsid w:val="00AA01C1"/>
    <w:rsid w:val="00AA16F4"/>
    <w:rsid w:val="00AA2C15"/>
    <w:rsid w:val="00AA33E0"/>
    <w:rsid w:val="00AA45AB"/>
    <w:rsid w:val="00AB1F88"/>
    <w:rsid w:val="00AB3C71"/>
    <w:rsid w:val="00AB411F"/>
    <w:rsid w:val="00AB5718"/>
    <w:rsid w:val="00AB6AE3"/>
    <w:rsid w:val="00AB6BF6"/>
    <w:rsid w:val="00AC044E"/>
    <w:rsid w:val="00AC0ECD"/>
    <w:rsid w:val="00AC1219"/>
    <w:rsid w:val="00AC34D3"/>
    <w:rsid w:val="00AC510F"/>
    <w:rsid w:val="00AC521F"/>
    <w:rsid w:val="00AD2A6E"/>
    <w:rsid w:val="00AE2B0D"/>
    <w:rsid w:val="00AE3D29"/>
    <w:rsid w:val="00AE46B7"/>
    <w:rsid w:val="00AE6FC3"/>
    <w:rsid w:val="00AE7704"/>
    <w:rsid w:val="00AF2CA9"/>
    <w:rsid w:val="00AF58C5"/>
    <w:rsid w:val="00AF68D0"/>
    <w:rsid w:val="00B00464"/>
    <w:rsid w:val="00B0059E"/>
    <w:rsid w:val="00B00C4E"/>
    <w:rsid w:val="00B0537D"/>
    <w:rsid w:val="00B069C5"/>
    <w:rsid w:val="00B06F52"/>
    <w:rsid w:val="00B1248F"/>
    <w:rsid w:val="00B13CA4"/>
    <w:rsid w:val="00B14BCD"/>
    <w:rsid w:val="00B15C04"/>
    <w:rsid w:val="00B177EE"/>
    <w:rsid w:val="00B17FCA"/>
    <w:rsid w:val="00B21EF9"/>
    <w:rsid w:val="00B2205E"/>
    <w:rsid w:val="00B2572C"/>
    <w:rsid w:val="00B26AB8"/>
    <w:rsid w:val="00B27125"/>
    <w:rsid w:val="00B3388E"/>
    <w:rsid w:val="00B34514"/>
    <w:rsid w:val="00B349EA"/>
    <w:rsid w:val="00B36E9E"/>
    <w:rsid w:val="00B40063"/>
    <w:rsid w:val="00B449C7"/>
    <w:rsid w:val="00B4785B"/>
    <w:rsid w:val="00B47BAB"/>
    <w:rsid w:val="00B523FF"/>
    <w:rsid w:val="00B5350B"/>
    <w:rsid w:val="00B53C48"/>
    <w:rsid w:val="00B5446B"/>
    <w:rsid w:val="00B56839"/>
    <w:rsid w:val="00B60033"/>
    <w:rsid w:val="00B63AEB"/>
    <w:rsid w:val="00B643FF"/>
    <w:rsid w:val="00B70321"/>
    <w:rsid w:val="00B75506"/>
    <w:rsid w:val="00B75E6D"/>
    <w:rsid w:val="00B8040F"/>
    <w:rsid w:val="00B80FBB"/>
    <w:rsid w:val="00B825B2"/>
    <w:rsid w:val="00B9760A"/>
    <w:rsid w:val="00BA6F0A"/>
    <w:rsid w:val="00BB222C"/>
    <w:rsid w:val="00BB2A6B"/>
    <w:rsid w:val="00BB496E"/>
    <w:rsid w:val="00BB5D95"/>
    <w:rsid w:val="00BB7B51"/>
    <w:rsid w:val="00BC6A5C"/>
    <w:rsid w:val="00BD076A"/>
    <w:rsid w:val="00BD1B80"/>
    <w:rsid w:val="00BD4A0B"/>
    <w:rsid w:val="00BD4C4C"/>
    <w:rsid w:val="00BD5FA6"/>
    <w:rsid w:val="00BD7C2B"/>
    <w:rsid w:val="00BE004E"/>
    <w:rsid w:val="00BE08B2"/>
    <w:rsid w:val="00BE0B79"/>
    <w:rsid w:val="00BE0BF9"/>
    <w:rsid w:val="00BE1A9C"/>
    <w:rsid w:val="00BE6BE8"/>
    <w:rsid w:val="00BF13BE"/>
    <w:rsid w:val="00BF5822"/>
    <w:rsid w:val="00C04DA9"/>
    <w:rsid w:val="00C05026"/>
    <w:rsid w:val="00C05069"/>
    <w:rsid w:val="00C06367"/>
    <w:rsid w:val="00C06BF7"/>
    <w:rsid w:val="00C06F00"/>
    <w:rsid w:val="00C0713A"/>
    <w:rsid w:val="00C07FDA"/>
    <w:rsid w:val="00C10564"/>
    <w:rsid w:val="00C1149A"/>
    <w:rsid w:val="00C13FFF"/>
    <w:rsid w:val="00C30845"/>
    <w:rsid w:val="00C30F87"/>
    <w:rsid w:val="00C3318D"/>
    <w:rsid w:val="00C348B6"/>
    <w:rsid w:val="00C405C8"/>
    <w:rsid w:val="00C41602"/>
    <w:rsid w:val="00C43459"/>
    <w:rsid w:val="00C45B5F"/>
    <w:rsid w:val="00C46738"/>
    <w:rsid w:val="00C4734C"/>
    <w:rsid w:val="00C55452"/>
    <w:rsid w:val="00C624B0"/>
    <w:rsid w:val="00C6319D"/>
    <w:rsid w:val="00C63DDC"/>
    <w:rsid w:val="00C65C14"/>
    <w:rsid w:val="00C65D22"/>
    <w:rsid w:val="00C664A9"/>
    <w:rsid w:val="00C67CD5"/>
    <w:rsid w:val="00C76AA1"/>
    <w:rsid w:val="00C76B09"/>
    <w:rsid w:val="00C804C1"/>
    <w:rsid w:val="00C8162D"/>
    <w:rsid w:val="00C85B46"/>
    <w:rsid w:val="00C90A0A"/>
    <w:rsid w:val="00C91CDE"/>
    <w:rsid w:val="00C920AB"/>
    <w:rsid w:val="00CA1B7D"/>
    <w:rsid w:val="00CA2231"/>
    <w:rsid w:val="00CA46A2"/>
    <w:rsid w:val="00CB0275"/>
    <w:rsid w:val="00CB752B"/>
    <w:rsid w:val="00CC0E09"/>
    <w:rsid w:val="00CC2F11"/>
    <w:rsid w:val="00CC3EB0"/>
    <w:rsid w:val="00CD0EFE"/>
    <w:rsid w:val="00CD3F80"/>
    <w:rsid w:val="00CD3FEC"/>
    <w:rsid w:val="00CD52FE"/>
    <w:rsid w:val="00CD5BB3"/>
    <w:rsid w:val="00CD6BA0"/>
    <w:rsid w:val="00CE0370"/>
    <w:rsid w:val="00CE1E20"/>
    <w:rsid w:val="00CE6C3E"/>
    <w:rsid w:val="00CF022A"/>
    <w:rsid w:val="00CF184C"/>
    <w:rsid w:val="00CF293A"/>
    <w:rsid w:val="00D012C5"/>
    <w:rsid w:val="00D0320E"/>
    <w:rsid w:val="00D042B9"/>
    <w:rsid w:val="00D04BC8"/>
    <w:rsid w:val="00D1374D"/>
    <w:rsid w:val="00D2114E"/>
    <w:rsid w:val="00D218A6"/>
    <w:rsid w:val="00D21D14"/>
    <w:rsid w:val="00D22423"/>
    <w:rsid w:val="00D22A4F"/>
    <w:rsid w:val="00D25E1D"/>
    <w:rsid w:val="00D2605D"/>
    <w:rsid w:val="00D2647A"/>
    <w:rsid w:val="00D36199"/>
    <w:rsid w:val="00D375C5"/>
    <w:rsid w:val="00D37896"/>
    <w:rsid w:val="00D402FA"/>
    <w:rsid w:val="00D43821"/>
    <w:rsid w:val="00D4431A"/>
    <w:rsid w:val="00D45313"/>
    <w:rsid w:val="00D453FE"/>
    <w:rsid w:val="00D455DD"/>
    <w:rsid w:val="00D46337"/>
    <w:rsid w:val="00D5182A"/>
    <w:rsid w:val="00D53D06"/>
    <w:rsid w:val="00D55BF0"/>
    <w:rsid w:val="00D577B7"/>
    <w:rsid w:val="00D60EED"/>
    <w:rsid w:val="00D61240"/>
    <w:rsid w:val="00D64BE9"/>
    <w:rsid w:val="00D65E59"/>
    <w:rsid w:val="00D66876"/>
    <w:rsid w:val="00D700CA"/>
    <w:rsid w:val="00D7018C"/>
    <w:rsid w:val="00D7072B"/>
    <w:rsid w:val="00D7242F"/>
    <w:rsid w:val="00D728E6"/>
    <w:rsid w:val="00D72E68"/>
    <w:rsid w:val="00D740BD"/>
    <w:rsid w:val="00D75312"/>
    <w:rsid w:val="00D77389"/>
    <w:rsid w:val="00D84EAC"/>
    <w:rsid w:val="00D86221"/>
    <w:rsid w:val="00DA23D2"/>
    <w:rsid w:val="00DA2E53"/>
    <w:rsid w:val="00DA3A04"/>
    <w:rsid w:val="00DA5AAD"/>
    <w:rsid w:val="00DA6A51"/>
    <w:rsid w:val="00DB27A6"/>
    <w:rsid w:val="00DB60E8"/>
    <w:rsid w:val="00DC59CE"/>
    <w:rsid w:val="00DC619B"/>
    <w:rsid w:val="00DC718C"/>
    <w:rsid w:val="00DC7254"/>
    <w:rsid w:val="00DD06C8"/>
    <w:rsid w:val="00DD1896"/>
    <w:rsid w:val="00DD234E"/>
    <w:rsid w:val="00DD70F6"/>
    <w:rsid w:val="00DE2C22"/>
    <w:rsid w:val="00DE6CE2"/>
    <w:rsid w:val="00DE783F"/>
    <w:rsid w:val="00DE7D73"/>
    <w:rsid w:val="00DF0951"/>
    <w:rsid w:val="00DF35F7"/>
    <w:rsid w:val="00DF3B33"/>
    <w:rsid w:val="00DF3DD8"/>
    <w:rsid w:val="00DF505D"/>
    <w:rsid w:val="00DF6795"/>
    <w:rsid w:val="00DF7A8B"/>
    <w:rsid w:val="00E011A6"/>
    <w:rsid w:val="00E03C27"/>
    <w:rsid w:val="00E0684C"/>
    <w:rsid w:val="00E078C7"/>
    <w:rsid w:val="00E10FAA"/>
    <w:rsid w:val="00E15E72"/>
    <w:rsid w:val="00E20B06"/>
    <w:rsid w:val="00E20F26"/>
    <w:rsid w:val="00E21B39"/>
    <w:rsid w:val="00E22853"/>
    <w:rsid w:val="00E265A6"/>
    <w:rsid w:val="00E332D5"/>
    <w:rsid w:val="00E36A7F"/>
    <w:rsid w:val="00E36F71"/>
    <w:rsid w:val="00E4649D"/>
    <w:rsid w:val="00E469A7"/>
    <w:rsid w:val="00E501F5"/>
    <w:rsid w:val="00E50E02"/>
    <w:rsid w:val="00E53A5F"/>
    <w:rsid w:val="00E60C35"/>
    <w:rsid w:val="00E7351E"/>
    <w:rsid w:val="00E73F28"/>
    <w:rsid w:val="00E75139"/>
    <w:rsid w:val="00E8101D"/>
    <w:rsid w:val="00E81D70"/>
    <w:rsid w:val="00E82282"/>
    <w:rsid w:val="00E83436"/>
    <w:rsid w:val="00E8582D"/>
    <w:rsid w:val="00E8675E"/>
    <w:rsid w:val="00E867D1"/>
    <w:rsid w:val="00E87415"/>
    <w:rsid w:val="00E879D6"/>
    <w:rsid w:val="00E909C1"/>
    <w:rsid w:val="00E94341"/>
    <w:rsid w:val="00E96E12"/>
    <w:rsid w:val="00EA131B"/>
    <w:rsid w:val="00EA4739"/>
    <w:rsid w:val="00EB021B"/>
    <w:rsid w:val="00EB2183"/>
    <w:rsid w:val="00EB6B98"/>
    <w:rsid w:val="00EB7227"/>
    <w:rsid w:val="00EB79AF"/>
    <w:rsid w:val="00EC1921"/>
    <w:rsid w:val="00EC1FDC"/>
    <w:rsid w:val="00EC21D1"/>
    <w:rsid w:val="00EC3A68"/>
    <w:rsid w:val="00EC46CA"/>
    <w:rsid w:val="00ED5B30"/>
    <w:rsid w:val="00ED7429"/>
    <w:rsid w:val="00EE3D81"/>
    <w:rsid w:val="00EE4857"/>
    <w:rsid w:val="00EE5399"/>
    <w:rsid w:val="00EF0A20"/>
    <w:rsid w:val="00EF43BE"/>
    <w:rsid w:val="00F01BCC"/>
    <w:rsid w:val="00F0456A"/>
    <w:rsid w:val="00F04B5A"/>
    <w:rsid w:val="00F063A3"/>
    <w:rsid w:val="00F15E73"/>
    <w:rsid w:val="00F16CFC"/>
    <w:rsid w:val="00F17489"/>
    <w:rsid w:val="00F1774D"/>
    <w:rsid w:val="00F2003F"/>
    <w:rsid w:val="00F223C2"/>
    <w:rsid w:val="00F23463"/>
    <w:rsid w:val="00F23CC6"/>
    <w:rsid w:val="00F24D76"/>
    <w:rsid w:val="00F265DB"/>
    <w:rsid w:val="00F32957"/>
    <w:rsid w:val="00F329A6"/>
    <w:rsid w:val="00F34A44"/>
    <w:rsid w:val="00F35DA8"/>
    <w:rsid w:val="00F439D9"/>
    <w:rsid w:val="00F43B4F"/>
    <w:rsid w:val="00F45C83"/>
    <w:rsid w:val="00F467BF"/>
    <w:rsid w:val="00F47E31"/>
    <w:rsid w:val="00F514DE"/>
    <w:rsid w:val="00F53603"/>
    <w:rsid w:val="00F540A4"/>
    <w:rsid w:val="00F54C5E"/>
    <w:rsid w:val="00F57965"/>
    <w:rsid w:val="00F57DA7"/>
    <w:rsid w:val="00F60FE6"/>
    <w:rsid w:val="00F63AC1"/>
    <w:rsid w:val="00F64134"/>
    <w:rsid w:val="00F641A1"/>
    <w:rsid w:val="00F644E0"/>
    <w:rsid w:val="00F64BCC"/>
    <w:rsid w:val="00F658D3"/>
    <w:rsid w:val="00F66EAF"/>
    <w:rsid w:val="00F70FF4"/>
    <w:rsid w:val="00F76DE1"/>
    <w:rsid w:val="00F833AC"/>
    <w:rsid w:val="00F83678"/>
    <w:rsid w:val="00F836AF"/>
    <w:rsid w:val="00F83E15"/>
    <w:rsid w:val="00F83EE9"/>
    <w:rsid w:val="00F85102"/>
    <w:rsid w:val="00F862B1"/>
    <w:rsid w:val="00F93EBB"/>
    <w:rsid w:val="00F957F2"/>
    <w:rsid w:val="00F97451"/>
    <w:rsid w:val="00FA11F0"/>
    <w:rsid w:val="00FA1E7E"/>
    <w:rsid w:val="00FA56E1"/>
    <w:rsid w:val="00FB4D74"/>
    <w:rsid w:val="00FB5D5B"/>
    <w:rsid w:val="00FB79E0"/>
    <w:rsid w:val="00FC10AC"/>
    <w:rsid w:val="00FC1819"/>
    <w:rsid w:val="00FC197D"/>
    <w:rsid w:val="00FC2926"/>
    <w:rsid w:val="00FC467D"/>
    <w:rsid w:val="00FC570A"/>
    <w:rsid w:val="00FC6B8B"/>
    <w:rsid w:val="00FC78E9"/>
    <w:rsid w:val="00FC7E7A"/>
    <w:rsid w:val="00FD0955"/>
    <w:rsid w:val="00FD295C"/>
    <w:rsid w:val="00FD2C08"/>
    <w:rsid w:val="00FD531B"/>
    <w:rsid w:val="00FE1F04"/>
    <w:rsid w:val="00FE48AB"/>
    <w:rsid w:val="00FE78E2"/>
    <w:rsid w:val="00FF04D0"/>
    <w:rsid w:val="00FF2760"/>
    <w:rsid w:val="00FF40D9"/>
    <w:rsid w:val="00FF5A0C"/>
    <w:rsid w:val="00FF6392"/>
    <w:rsid w:val="00FF6A53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28"/>
  </w:style>
  <w:style w:type="paragraph" w:styleId="Ttulo1">
    <w:name w:val="heading 1"/>
    <w:basedOn w:val="Normal"/>
    <w:next w:val="Normal"/>
    <w:link w:val="Ttulo1Car"/>
    <w:uiPriority w:val="9"/>
    <w:qFormat/>
    <w:rsid w:val="0011507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507F"/>
    <w:pPr>
      <w:spacing w:after="0" w:line="480" w:lineRule="auto"/>
      <w:contextualSpacing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B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1507F"/>
    <w:rPr>
      <w:rFonts w:ascii="Times New Roman" w:eastAsiaTheme="majorEastAsia" w:hAnsi="Times New Roman" w:cs="Times New Roman"/>
      <w:b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A3671E"/>
    <w:pPr>
      <w:spacing w:line="259" w:lineRule="auto"/>
      <w:outlineLvl w:val="9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36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71E"/>
  </w:style>
  <w:style w:type="paragraph" w:styleId="Piedepgina">
    <w:name w:val="footer"/>
    <w:basedOn w:val="Normal"/>
    <w:link w:val="PiedepginaCar"/>
    <w:uiPriority w:val="99"/>
    <w:unhideWhenUsed/>
    <w:rsid w:val="00A36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71E"/>
  </w:style>
  <w:style w:type="paragraph" w:styleId="TDC1">
    <w:name w:val="toc 1"/>
    <w:basedOn w:val="Normal"/>
    <w:next w:val="Normal"/>
    <w:autoRedefine/>
    <w:uiPriority w:val="39"/>
    <w:unhideWhenUsed/>
    <w:rsid w:val="00B74E7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74E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1507F"/>
    <w:rPr>
      <w:rFonts w:ascii="Times New Roman" w:hAnsi="Times New Roman" w:cs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12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64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4E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4E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4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4EE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A72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902CF5"/>
    <w:pPr>
      <w:spacing w:after="100"/>
      <w:ind w:left="220"/>
    </w:pPr>
  </w:style>
  <w:style w:type="character" w:styleId="Mencinsinresolver">
    <w:name w:val="Unresolved Mention"/>
    <w:basedOn w:val="Fuentedeprrafopredeter"/>
    <w:uiPriority w:val="99"/>
    <w:semiHidden/>
    <w:unhideWhenUsed/>
    <w:rsid w:val="00DE218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DE21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2188"/>
    <w:rPr>
      <w:rFonts w:ascii="Verdana" w:eastAsia="Verdana" w:hAnsi="Verdana" w:cs="Verdana"/>
      <w:sz w:val="18"/>
      <w:szCs w:val="18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gkelc">
    <w:name w:val="hgkelc"/>
    <w:basedOn w:val="Fuentedeprrafopredeter"/>
    <w:rsid w:val="0021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b7c9uy98+PAUgbbZLAXXOKuMOQ==">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7126</Words>
  <Characters>39194</Characters>
  <Application>Microsoft Office Word</Application>
  <DocSecurity>0</DocSecurity>
  <Lines>326</Lines>
  <Paragraphs>92</Paragraphs>
  <ScaleCrop>false</ScaleCrop>
  <Company/>
  <LinksUpToDate>false</LinksUpToDate>
  <CharactersWithSpaces>46228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2022-03-08T20:20:00Z</dcterms:created>
  <dcterms:modified xsi:type="dcterms:W3CDTF">2022-03-08T20:21:00Z</dcterms:modified>
</cp:coreProperties>
</file>