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02939863" w:rsidR="00791ABD" w:rsidRPr="003C0CBF" w:rsidRDefault="00227A77" w:rsidP="00A03701">
      <w:pPr>
        <w:spacing w:before="30" w:after="30" w:line="480" w:lineRule="auto"/>
        <w:jc w:val="center"/>
        <w:rPr>
          <w:b/>
          <w:bCs/>
          <w:sz w:val="24"/>
          <w:szCs w:val="24"/>
          <w:lang w:val="en-US"/>
        </w:rPr>
      </w:pPr>
      <w:r w:rsidRPr="003C0CBF">
        <w:rPr>
          <w:b/>
          <w:bCs/>
          <w:sz w:val="24"/>
          <w:szCs w:val="24"/>
          <w:lang w:val="en-US"/>
        </w:rPr>
        <w:t xml:space="preserve"> </w:t>
      </w:r>
      <w:r w:rsidRPr="003C0CBF">
        <w:rPr>
          <w:b/>
          <w:bCs/>
          <w:sz w:val="24"/>
          <w:szCs w:val="24"/>
          <w:lang w:val="en-US"/>
        </w:rPr>
        <w:t>Prejudice against Sexual and Gender Diversity Scale:</w:t>
      </w:r>
    </w:p>
    <w:p w14:paraId="32DD9878" w14:textId="5E9A0CCE" w:rsidR="009D2D49" w:rsidRDefault="00227A77" w:rsidP="003C0CBF">
      <w:pPr>
        <w:spacing w:before="30" w:after="30" w:line="480" w:lineRule="auto"/>
        <w:jc w:val="center"/>
        <w:rPr>
          <w:b/>
          <w:bCs/>
          <w:sz w:val="24"/>
          <w:szCs w:val="24"/>
          <w:lang w:val="en-US"/>
        </w:rPr>
      </w:pPr>
      <w:r w:rsidRPr="003C0CBF">
        <w:rPr>
          <w:b/>
          <w:bCs/>
          <w:sz w:val="24"/>
          <w:szCs w:val="24"/>
          <w:lang w:val="en-US"/>
        </w:rPr>
        <w:t>Validation of an instrument for Portuguese teaching and non-teaching staff</w:t>
      </w:r>
    </w:p>
    <w:p w14:paraId="56EA3019" w14:textId="77777777" w:rsidR="00227A77" w:rsidRPr="003C0CBF" w:rsidRDefault="00227A77" w:rsidP="003C0CBF">
      <w:pPr>
        <w:spacing w:before="30" w:after="30" w:line="480" w:lineRule="auto"/>
        <w:jc w:val="center"/>
        <w:rPr>
          <w:b/>
          <w:bCs/>
          <w:sz w:val="24"/>
          <w:szCs w:val="24"/>
          <w:lang w:val="en-US"/>
        </w:rPr>
      </w:pPr>
    </w:p>
    <w:p w14:paraId="4A26F8B4" w14:textId="77777777" w:rsidR="00A03701" w:rsidRPr="00675067" w:rsidRDefault="00A03701" w:rsidP="00A03701">
      <w:pPr>
        <w:spacing w:before="30" w:after="30" w:line="480" w:lineRule="auto"/>
        <w:jc w:val="center"/>
        <w:rPr>
          <w:b/>
          <w:sz w:val="24"/>
          <w:szCs w:val="24"/>
          <w:lang w:val="en-US"/>
        </w:rPr>
      </w:pPr>
      <w:r w:rsidRPr="00675067">
        <w:rPr>
          <w:b/>
          <w:sz w:val="24"/>
          <w:szCs w:val="24"/>
          <w:lang w:val="en-US"/>
        </w:rPr>
        <w:t>Abstract</w:t>
      </w:r>
    </w:p>
    <w:p w14:paraId="7AF223AE" w14:textId="364FD44E" w:rsidR="009D2D49" w:rsidRPr="00675067" w:rsidRDefault="00A03701" w:rsidP="00A03701">
      <w:pPr>
        <w:spacing w:before="30" w:after="30" w:line="480" w:lineRule="auto"/>
        <w:rPr>
          <w:sz w:val="24"/>
          <w:szCs w:val="24"/>
          <w:lang w:val="en-US"/>
        </w:rPr>
      </w:pPr>
      <w:r w:rsidRPr="00675067">
        <w:rPr>
          <w:sz w:val="24"/>
          <w:szCs w:val="24"/>
          <w:lang w:val="en-US"/>
        </w:rPr>
        <w:t>Portugal has worrying indicators of prejudice in relation to the school age LGBT population. From this, the Portuguese State developed strategies to face prejudice and discrimination against this population. This study aimed to validate an instrument that measures prejudice in relation to sexual and gender diversity in a sample of Portuguese teachers and non-teachers. 111 education professionals participated in this study, of which 81 are teachers and 30 operational assistants. The participants responded to the Scale of Prejudice against Sexual Diversity and Gender (SPSDG), adapted from the original Brazilian version to European Portuguese. The results obtained indicate good reliability and validity of the instrument for the context of Portugal. The 20-item single-factor model proved to be the most appropriate. In addition, the scale showed a good ability to differentiate groups historically associated with higher degrees of prejudice. This instrument may contribute to broaden the knowledge of the real situation on the needs of information and training of teaching and non-teaching staff in Portuguese schools and to the reinforcement of equality and equity policies in schools.</w:t>
      </w:r>
    </w:p>
    <w:p w14:paraId="52BD546D" w14:textId="70A42DD4" w:rsidR="00A03701" w:rsidRDefault="00A03701" w:rsidP="009D2D49">
      <w:pPr>
        <w:spacing w:before="30" w:after="30" w:line="480" w:lineRule="auto"/>
        <w:rPr>
          <w:sz w:val="24"/>
          <w:szCs w:val="24"/>
          <w:lang w:val="en-US"/>
        </w:rPr>
      </w:pPr>
      <w:r w:rsidRPr="009D2D49">
        <w:rPr>
          <w:b/>
          <w:bCs/>
          <w:iCs/>
          <w:sz w:val="24"/>
          <w:szCs w:val="24"/>
          <w:lang w:val="en-US"/>
        </w:rPr>
        <w:t>Keywords:</w:t>
      </w:r>
      <w:r w:rsidRPr="00675067">
        <w:rPr>
          <w:sz w:val="24"/>
          <w:szCs w:val="24"/>
          <w:lang w:val="en-US"/>
        </w:rPr>
        <w:t xml:space="preserve"> Schools; Teachers; School Personnel; Prejudice; LGBTQ People.</w:t>
      </w:r>
    </w:p>
    <w:p w14:paraId="01B9071C" w14:textId="0A336E33" w:rsidR="00A03701" w:rsidRDefault="00A03701" w:rsidP="009C28C3">
      <w:pPr>
        <w:spacing w:before="30" w:after="30" w:line="480" w:lineRule="auto"/>
        <w:rPr>
          <w:sz w:val="24"/>
          <w:szCs w:val="24"/>
        </w:rPr>
      </w:pPr>
    </w:p>
    <w:p w14:paraId="3252803C" w14:textId="77777777" w:rsidR="00A03701" w:rsidRPr="003C0CBF" w:rsidRDefault="00A03701" w:rsidP="00A03701">
      <w:pPr>
        <w:spacing w:before="30" w:after="30" w:line="480" w:lineRule="auto"/>
        <w:jc w:val="center"/>
        <w:rPr>
          <w:b/>
          <w:bCs/>
          <w:sz w:val="24"/>
          <w:szCs w:val="24"/>
        </w:rPr>
      </w:pPr>
      <w:r w:rsidRPr="003C0CBF">
        <w:rPr>
          <w:b/>
          <w:bCs/>
          <w:sz w:val="24"/>
          <w:szCs w:val="24"/>
        </w:rPr>
        <w:t>Escala de Preconceito Contra Diversidade Sexual e de Gênero:</w:t>
      </w:r>
    </w:p>
    <w:p w14:paraId="00000007" w14:textId="7144132F" w:rsidR="00791ABD" w:rsidRDefault="00A03701" w:rsidP="003C0CBF">
      <w:pPr>
        <w:spacing w:before="30" w:after="30" w:line="480" w:lineRule="auto"/>
        <w:jc w:val="center"/>
        <w:rPr>
          <w:b/>
          <w:bCs/>
          <w:sz w:val="24"/>
          <w:szCs w:val="24"/>
        </w:rPr>
      </w:pPr>
      <w:sdt>
        <w:sdtPr>
          <w:rPr>
            <w:b/>
            <w:bCs/>
          </w:rPr>
          <w:tag w:val="goog_rdk_0"/>
          <w:id w:val="-1116368803"/>
        </w:sdtPr>
        <w:sdtContent/>
      </w:sdt>
      <w:sdt>
        <w:sdtPr>
          <w:rPr>
            <w:b/>
            <w:bCs/>
          </w:rPr>
          <w:tag w:val="goog_rdk_1"/>
          <w:id w:val="-1350559706"/>
        </w:sdtPr>
        <w:sdtContent/>
      </w:sdt>
      <w:r w:rsidRPr="003C0CBF">
        <w:rPr>
          <w:b/>
          <w:bCs/>
          <w:sz w:val="24"/>
          <w:szCs w:val="24"/>
        </w:rPr>
        <w:t>Validação de um Instrumento para Docentes e Não Docentes Portugueses</w:t>
      </w:r>
    </w:p>
    <w:p w14:paraId="5BA0E5B0" w14:textId="77777777" w:rsidR="00227A77" w:rsidRPr="003C0CBF" w:rsidRDefault="00227A77" w:rsidP="003C0CBF">
      <w:pPr>
        <w:spacing w:before="30" w:after="30" w:line="480" w:lineRule="auto"/>
        <w:jc w:val="center"/>
        <w:rPr>
          <w:b/>
          <w:bCs/>
          <w:sz w:val="24"/>
          <w:szCs w:val="24"/>
        </w:rPr>
      </w:pPr>
    </w:p>
    <w:p w14:paraId="00000008" w14:textId="77777777" w:rsidR="00791ABD" w:rsidRDefault="00227A77" w:rsidP="00F003BF">
      <w:pPr>
        <w:pBdr>
          <w:top w:val="nil"/>
          <w:left w:val="nil"/>
          <w:bottom w:val="nil"/>
          <w:right w:val="nil"/>
          <w:between w:val="nil"/>
        </w:pBdr>
        <w:spacing w:before="30" w:after="30" w:line="480" w:lineRule="auto"/>
        <w:jc w:val="center"/>
        <w:rPr>
          <w:b/>
          <w:color w:val="000000"/>
          <w:sz w:val="24"/>
          <w:szCs w:val="24"/>
        </w:rPr>
      </w:pPr>
      <w:r>
        <w:rPr>
          <w:b/>
          <w:color w:val="000000"/>
          <w:sz w:val="24"/>
          <w:szCs w:val="24"/>
        </w:rPr>
        <w:t>Resumo</w:t>
      </w:r>
    </w:p>
    <w:p w14:paraId="00000009" w14:textId="4DE4B2CB" w:rsidR="00791ABD" w:rsidRDefault="00227A77" w:rsidP="00F003BF">
      <w:pPr>
        <w:pBdr>
          <w:top w:val="nil"/>
          <w:left w:val="nil"/>
          <w:bottom w:val="nil"/>
          <w:right w:val="nil"/>
          <w:between w:val="nil"/>
        </w:pBdr>
        <w:spacing w:before="30" w:after="30" w:line="480" w:lineRule="auto"/>
        <w:rPr>
          <w:color w:val="000000"/>
          <w:sz w:val="24"/>
          <w:szCs w:val="24"/>
        </w:rPr>
      </w:pPr>
      <w:r>
        <w:rPr>
          <w:color w:val="000000"/>
          <w:sz w:val="24"/>
          <w:szCs w:val="24"/>
        </w:rPr>
        <w:t>Portugal apresenta indicadores preocupantes de preconceito em relação à população LGBT em idade escolar. A partir disso</w:t>
      </w:r>
      <w:r>
        <w:rPr>
          <w:color w:val="000000"/>
          <w:sz w:val="24"/>
          <w:szCs w:val="24"/>
        </w:rPr>
        <w:t xml:space="preserve">, o Estado Português desenvolveu estratégias de enfrentamento ao </w:t>
      </w:r>
      <w:r>
        <w:rPr>
          <w:color w:val="000000"/>
          <w:sz w:val="24"/>
          <w:szCs w:val="24"/>
        </w:rPr>
        <w:lastRenderedPageBreak/>
        <w:t xml:space="preserve">preconceito e a discriminação </w:t>
      </w:r>
      <w:r w:rsidR="003C0CBF">
        <w:rPr>
          <w:color w:val="000000"/>
          <w:sz w:val="24"/>
          <w:szCs w:val="24"/>
        </w:rPr>
        <w:t>a</w:t>
      </w:r>
      <w:r>
        <w:rPr>
          <w:color w:val="000000"/>
          <w:sz w:val="24"/>
          <w:szCs w:val="24"/>
        </w:rPr>
        <w:t xml:space="preserve"> pessoas desta população. Este estudo teve como objetivo a validação de um instrumento que mede o preconceito em relação à diversidade sexual e de gênero numa a</w:t>
      </w:r>
      <w:r>
        <w:rPr>
          <w:color w:val="000000"/>
          <w:sz w:val="24"/>
          <w:szCs w:val="24"/>
        </w:rPr>
        <w:t xml:space="preserve">mostra de docentes e não docentes portugueses. Participaram deste estudo 111 profissionais da educação, dos quais 81 são docentes e 30 assistentes operacionais. Os participantes responderam à </w:t>
      </w:r>
      <w:r>
        <w:rPr>
          <w:i/>
          <w:color w:val="000000"/>
          <w:sz w:val="24"/>
          <w:szCs w:val="24"/>
        </w:rPr>
        <w:t>Escala de Preconceito contra Diversidade Sexual e de Gênero</w:t>
      </w:r>
      <w:r>
        <w:rPr>
          <w:color w:val="000000"/>
          <w:sz w:val="24"/>
          <w:szCs w:val="24"/>
        </w:rPr>
        <w:t xml:space="preserve"> (EPD</w:t>
      </w:r>
      <w:r>
        <w:rPr>
          <w:color w:val="000000"/>
          <w:sz w:val="24"/>
          <w:szCs w:val="24"/>
        </w:rPr>
        <w:t xml:space="preserve">SG), adaptada da versão original brasileira para o português Europeu. Os resultados obtidos apontam boa fidedignidade e validade do instrumento para o contexto de Portugal. O modelo </w:t>
      </w:r>
      <w:proofErr w:type="spellStart"/>
      <w:r>
        <w:rPr>
          <w:color w:val="000000"/>
          <w:sz w:val="24"/>
          <w:szCs w:val="24"/>
        </w:rPr>
        <w:t>unifatorial</w:t>
      </w:r>
      <w:proofErr w:type="spellEnd"/>
      <w:r>
        <w:rPr>
          <w:color w:val="000000"/>
          <w:sz w:val="24"/>
          <w:szCs w:val="24"/>
        </w:rPr>
        <w:t xml:space="preserve"> com 20 itens mostrou-se o mais adequado. Além disso, a escala </w:t>
      </w:r>
      <w:r>
        <w:rPr>
          <w:color w:val="000000"/>
          <w:sz w:val="24"/>
          <w:szCs w:val="24"/>
        </w:rPr>
        <w:t>apresentou boa capacidade de diferenciar grupos historicamente associados com maiores graus de preconceito. Este instrumento poderá contribuir para alargar o conhecimento da situação real sobre as necessidades de (in)formação do pessoal docentes e não doce</w:t>
      </w:r>
      <w:r>
        <w:rPr>
          <w:color w:val="000000"/>
          <w:sz w:val="24"/>
          <w:szCs w:val="24"/>
        </w:rPr>
        <w:t>ntes das escolas portuguesas e para o reforço de políticas de igualdade e equidade nas escolas.</w:t>
      </w:r>
    </w:p>
    <w:p w14:paraId="0000000A" w14:textId="67191537" w:rsidR="00791ABD" w:rsidRPr="009D2D49" w:rsidRDefault="00227A77" w:rsidP="009D2D49">
      <w:pPr>
        <w:spacing w:before="30" w:after="30" w:line="480" w:lineRule="auto"/>
        <w:rPr>
          <w:sz w:val="24"/>
          <w:szCs w:val="24"/>
        </w:rPr>
      </w:pPr>
      <w:r w:rsidRPr="009D2D49">
        <w:rPr>
          <w:iCs/>
          <w:sz w:val="24"/>
          <w:szCs w:val="24"/>
        </w:rPr>
        <w:t>Palavras-chave</w:t>
      </w:r>
      <w:r>
        <w:rPr>
          <w:i/>
          <w:sz w:val="24"/>
          <w:szCs w:val="24"/>
        </w:rPr>
        <w:t>:</w:t>
      </w:r>
      <w:r>
        <w:rPr>
          <w:sz w:val="24"/>
          <w:szCs w:val="24"/>
        </w:rPr>
        <w:t xml:space="preserve"> Escolas</w:t>
      </w:r>
      <w:r w:rsidR="009D2D49">
        <w:rPr>
          <w:sz w:val="24"/>
          <w:szCs w:val="24"/>
        </w:rPr>
        <w:t>;</w:t>
      </w:r>
      <w:r>
        <w:rPr>
          <w:sz w:val="24"/>
          <w:szCs w:val="24"/>
        </w:rPr>
        <w:t xml:space="preserve"> Docentes</w:t>
      </w:r>
      <w:r w:rsidR="009D2D49">
        <w:rPr>
          <w:sz w:val="24"/>
          <w:szCs w:val="24"/>
        </w:rPr>
        <w:t>;</w:t>
      </w:r>
      <w:r>
        <w:rPr>
          <w:sz w:val="24"/>
          <w:szCs w:val="24"/>
        </w:rPr>
        <w:t xml:space="preserve"> </w:t>
      </w:r>
      <w:proofErr w:type="gramStart"/>
      <w:r>
        <w:rPr>
          <w:sz w:val="24"/>
          <w:szCs w:val="24"/>
        </w:rPr>
        <w:t>Não</w:t>
      </w:r>
      <w:proofErr w:type="gramEnd"/>
      <w:r>
        <w:rPr>
          <w:sz w:val="24"/>
          <w:szCs w:val="24"/>
        </w:rPr>
        <w:t xml:space="preserve"> docentes</w:t>
      </w:r>
      <w:r w:rsidR="009D2D49">
        <w:rPr>
          <w:sz w:val="24"/>
          <w:szCs w:val="24"/>
        </w:rPr>
        <w:t>;</w:t>
      </w:r>
      <w:r>
        <w:rPr>
          <w:sz w:val="24"/>
          <w:szCs w:val="24"/>
        </w:rPr>
        <w:t xml:space="preserve"> </w:t>
      </w:r>
      <w:r w:rsidRPr="009D2D49">
        <w:rPr>
          <w:sz w:val="24"/>
          <w:szCs w:val="24"/>
        </w:rPr>
        <w:t>Preconceito</w:t>
      </w:r>
      <w:r w:rsidR="009D2D49" w:rsidRPr="009D2D49">
        <w:rPr>
          <w:sz w:val="24"/>
          <w:szCs w:val="24"/>
        </w:rPr>
        <w:t>;</w:t>
      </w:r>
      <w:r w:rsidRPr="009D2D49">
        <w:rPr>
          <w:sz w:val="24"/>
          <w:szCs w:val="24"/>
        </w:rPr>
        <w:t xml:space="preserve"> Pessoas LGBTQ.</w:t>
      </w:r>
    </w:p>
    <w:p w14:paraId="0000000D" w14:textId="55947E77" w:rsidR="00791ABD" w:rsidRDefault="00227A77" w:rsidP="00F003BF">
      <w:pPr>
        <w:spacing w:before="30" w:after="30" w:line="480" w:lineRule="auto"/>
        <w:ind w:firstLine="720"/>
        <w:rPr>
          <w:sz w:val="24"/>
          <w:szCs w:val="24"/>
        </w:rPr>
      </w:pPr>
      <w:r w:rsidRPr="009D2D49">
        <w:rPr>
          <w:sz w:val="24"/>
          <w:szCs w:val="24"/>
        </w:rPr>
        <w:t xml:space="preserve"> </w:t>
      </w:r>
    </w:p>
    <w:p w14:paraId="3CC481E2" w14:textId="59B78F18" w:rsidR="008B236D" w:rsidRDefault="008B236D" w:rsidP="00F003BF">
      <w:pPr>
        <w:spacing w:before="30" w:after="30" w:line="480" w:lineRule="auto"/>
        <w:ind w:firstLine="720"/>
        <w:rPr>
          <w:sz w:val="24"/>
          <w:szCs w:val="24"/>
        </w:rPr>
      </w:pPr>
    </w:p>
    <w:p w14:paraId="71F97D4F" w14:textId="0B4927A1" w:rsidR="008B236D" w:rsidRDefault="008B236D" w:rsidP="00F003BF">
      <w:pPr>
        <w:spacing w:before="30" w:after="30" w:line="480" w:lineRule="auto"/>
        <w:ind w:firstLine="720"/>
        <w:rPr>
          <w:sz w:val="24"/>
          <w:szCs w:val="24"/>
        </w:rPr>
      </w:pPr>
    </w:p>
    <w:p w14:paraId="1081FC92" w14:textId="65C31F8A" w:rsidR="008B236D" w:rsidRDefault="008B236D" w:rsidP="00F003BF">
      <w:pPr>
        <w:spacing w:before="30" w:after="30" w:line="480" w:lineRule="auto"/>
        <w:ind w:firstLine="720"/>
        <w:rPr>
          <w:sz w:val="24"/>
          <w:szCs w:val="24"/>
        </w:rPr>
      </w:pPr>
    </w:p>
    <w:p w14:paraId="099DDB4F" w14:textId="07F327F1" w:rsidR="008B236D" w:rsidRDefault="008B236D" w:rsidP="00F003BF">
      <w:pPr>
        <w:spacing w:before="30" w:after="30" w:line="480" w:lineRule="auto"/>
        <w:ind w:firstLine="720"/>
        <w:rPr>
          <w:sz w:val="24"/>
          <w:szCs w:val="24"/>
        </w:rPr>
      </w:pPr>
    </w:p>
    <w:p w14:paraId="164FEB8C" w14:textId="130C06AB" w:rsidR="008B236D" w:rsidRDefault="008B236D" w:rsidP="00F003BF">
      <w:pPr>
        <w:spacing w:before="30" w:after="30" w:line="480" w:lineRule="auto"/>
        <w:ind w:firstLine="720"/>
        <w:rPr>
          <w:sz w:val="24"/>
          <w:szCs w:val="24"/>
        </w:rPr>
      </w:pPr>
    </w:p>
    <w:p w14:paraId="4F68996C" w14:textId="7AD2B320" w:rsidR="008B236D" w:rsidRDefault="008B236D" w:rsidP="00F003BF">
      <w:pPr>
        <w:spacing w:before="30" w:after="30" w:line="480" w:lineRule="auto"/>
        <w:ind w:firstLine="720"/>
        <w:rPr>
          <w:sz w:val="24"/>
          <w:szCs w:val="24"/>
        </w:rPr>
      </w:pPr>
    </w:p>
    <w:p w14:paraId="002ECC3D" w14:textId="1E5DEC25" w:rsidR="008B236D" w:rsidRDefault="008B236D" w:rsidP="00F003BF">
      <w:pPr>
        <w:spacing w:before="30" w:after="30" w:line="480" w:lineRule="auto"/>
        <w:ind w:firstLine="720"/>
        <w:rPr>
          <w:sz w:val="24"/>
          <w:szCs w:val="24"/>
        </w:rPr>
      </w:pPr>
    </w:p>
    <w:p w14:paraId="1D4A7A66" w14:textId="46987544" w:rsidR="009C28C3" w:rsidRDefault="009C28C3" w:rsidP="009C28C3">
      <w:pPr>
        <w:spacing w:before="30" w:after="30" w:line="480" w:lineRule="auto"/>
        <w:rPr>
          <w:sz w:val="24"/>
          <w:szCs w:val="24"/>
        </w:rPr>
      </w:pPr>
    </w:p>
    <w:p w14:paraId="61D793DC" w14:textId="77777777" w:rsidR="00227A77" w:rsidRDefault="00227A77" w:rsidP="009C28C3">
      <w:pPr>
        <w:spacing w:before="30" w:after="30" w:line="480" w:lineRule="auto"/>
        <w:rPr>
          <w:sz w:val="24"/>
          <w:szCs w:val="24"/>
        </w:rPr>
      </w:pPr>
    </w:p>
    <w:p w14:paraId="21DB6AFE" w14:textId="79A44718" w:rsidR="00845939" w:rsidRDefault="00845939" w:rsidP="009C28C3">
      <w:pPr>
        <w:spacing w:before="30" w:after="30" w:line="480" w:lineRule="auto"/>
        <w:rPr>
          <w:sz w:val="24"/>
          <w:szCs w:val="24"/>
        </w:rPr>
      </w:pPr>
    </w:p>
    <w:p w14:paraId="2E486618" w14:textId="77777777" w:rsidR="00845939" w:rsidRDefault="00845939" w:rsidP="009C28C3">
      <w:pPr>
        <w:spacing w:before="30" w:after="30" w:line="480" w:lineRule="auto"/>
        <w:rPr>
          <w:sz w:val="24"/>
          <w:szCs w:val="24"/>
        </w:rPr>
      </w:pPr>
    </w:p>
    <w:p w14:paraId="3D6F5EE9" w14:textId="77777777" w:rsidR="008B236D" w:rsidRDefault="008B236D" w:rsidP="008B236D">
      <w:pPr>
        <w:spacing w:before="30" w:after="30" w:line="480" w:lineRule="auto"/>
        <w:jc w:val="center"/>
        <w:rPr>
          <w:sz w:val="24"/>
          <w:szCs w:val="24"/>
        </w:rPr>
      </w:pPr>
      <w:r>
        <w:rPr>
          <w:sz w:val="24"/>
          <w:szCs w:val="24"/>
        </w:rPr>
        <w:lastRenderedPageBreak/>
        <w:t>Escala de Preconceito Contra Diversidade Sexual e de Gênero:</w:t>
      </w:r>
    </w:p>
    <w:p w14:paraId="15CFEDC3" w14:textId="270A5C7F" w:rsidR="008B236D" w:rsidRPr="009C28C3" w:rsidRDefault="008B236D" w:rsidP="009C28C3">
      <w:pPr>
        <w:spacing w:before="30" w:after="30" w:line="480" w:lineRule="auto"/>
        <w:jc w:val="center"/>
        <w:rPr>
          <w:sz w:val="24"/>
          <w:szCs w:val="24"/>
        </w:rPr>
      </w:pPr>
      <w:sdt>
        <w:sdtPr>
          <w:tag w:val="goog_rdk_0"/>
          <w:id w:val="-910076009"/>
        </w:sdtPr>
        <w:sdtContent/>
      </w:sdt>
      <w:sdt>
        <w:sdtPr>
          <w:tag w:val="goog_rdk_1"/>
          <w:id w:val="-2113652085"/>
        </w:sdtPr>
        <w:sdtContent/>
      </w:sdt>
      <w:r>
        <w:rPr>
          <w:sz w:val="24"/>
          <w:szCs w:val="24"/>
        </w:rPr>
        <w:t>Validação de um Instrumento para Docentes e Não Docentes Portugueses</w:t>
      </w:r>
    </w:p>
    <w:p w14:paraId="0000000E" w14:textId="12BA72B9" w:rsidR="00791ABD" w:rsidRDefault="00227A77" w:rsidP="00F003BF">
      <w:pPr>
        <w:spacing w:before="30" w:after="30" w:line="480" w:lineRule="auto"/>
        <w:rPr>
          <w:b/>
          <w:sz w:val="24"/>
          <w:szCs w:val="24"/>
        </w:rPr>
      </w:pPr>
      <w:r>
        <w:rPr>
          <w:b/>
          <w:sz w:val="24"/>
          <w:szCs w:val="24"/>
        </w:rPr>
        <w:t>Introdução</w:t>
      </w:r>
    </w:p>
    <w:p w14:paraId="0000000F" w14:textId="77777777" w:rsidR="00791ABD" w:rsidRDefault="00227A77" w:rsidP="00F003BF">
      <w:pPr>
        <w:spacing w:before="30" w:after="30" w:line="480" w:lineRule="auto"/>
        <w:ind w:firstLine="720"/>
        <w:rPr>
          <w:color w:val="000000"/>
          <w:sz w:val="24"/>
          <w:szCs w:val="24"/>
        </w:rPr>
      </w:pPr>
      <w:r>
        <w:rPr>
          <w:sz w:val="24"/>
          <w:szCs w:val="24"/>
        </w:rPr>
        <w:t>U</w:t>
      </w:r>
      <w:r>
        <w:rPr>
          <w:sz w:val="24"/>
          <w:szCs w:val="24"/>
        </w:rPr>
        <w:t xml:space="preserve">ma em cada três pessoas LGBT+ (Lésbicas, </w:t>
      </w:r>
      <w:r>
        <w:rPr>
          <w:i/>
          <w:sz w:val="24"/>
          <w:szCs w:val="24"/>
        </w:rPr>
        <w:t>Gays</w:t>
      </w:r>
      <w:r>
        <w:rPr>
          <w:sz w:val="24"/>
          <w:szCs w:val="24"/>
        </w:rPr>
        <w:t>, Bissexuais e Transsexuais) da comunidade europeia admite ter se sentido discriminada pela sua orientação sexual e/ou identidade de gênero (OECD, 2019). Em Portugal, os dados apontam no mesmo sentido, com as pe</w:t>
      </w:r>
      <w:r>
        <w:rPr>
          <w:sz w:val="24"/>
          <w:szCs w:val="24"/>
        </w:rPr>
        <w:t>ssoas homossexuais a relatar maiores níveis de discriminação. No espaço escolar, os jovens portugueses LGBT+ reportam sentir-se desconfortáveis e inseguros, existindo evidências de que a escola pode ser um ambiente de opressão, discriminação, preconceito e</w:t>
      </w:r>
      <w:r>
        <w:rPr>
          <w:sz w:val="24"/>
          <w:szCs w:val="24"/>
        </w:rPr>
        <w:t xml:space="preserve"> violência </w:t>
      </w:r>
      <w:r>
        <w:rPr>
          <w:color w:val="000000"/>
          <w:sz w:val="24"/>
          <w:szCs w:val="24"/>
        </w:rPr>
        <w:t xml:space="preserve">(António et.al., 2012; Associação ILGA Portugal, 2018; Autor, 2020; </w:t>
      </w:r>
      <w:proofErr w:type="spellStart"/>
      <w:r>
        <w:rPr>
          <w:color w:val="000000"/>
          <w:sz w:val="24"/>
          <w:szCs w:val="24"/>
        </w:rPr>
        <w:t>Pizmony</w:t>
      </w:r>
      <w:proofErr w:type="spellEnd"/>
      <w:r>
        <w:rPr>
          <w:color w:val="000000"/>
          <w:sz w:val="24"/>
          <w:szCs w:val="24"/>
        </w:rPr>
        <w:t>-Levy et al., 2018; Rodrigues et al., 2016; Santos, 2017)</w:t>
      </w:r>
      <w:r>
        <w:rPr>
          <w:sz w:val="24"/>
          <w:szCs w:val="24"/>
        </w:rPr>
        <w:t>. Dados do Estudo Nacional sobre o Ambiente Escolar (ENAE) com jovens LGBTI+, da Associação ILGA Portugal, aponta</w:t>
      </w:r>
      <w:r>
        <w:rPr>
          <w:sz w:val="24"/>
          <w:szCs w:val="24"/>
        </w:rPr>
        <w:t xml:space="preserve">ram o facto de muitos/as jovens estarem expostos frequentemente a insultos e outras atitudes negativas </w:t>
      </w:r>
      <w:r>
        <w:rPr>
          <w:color w:val="000000"/>
          <w:sz w:val="24"/>
          <w:szCs w:val="24"/>
        </w:rPr>
        <w:t>(Associação ILGA Portugal, 2018)</w:t>
      </w:r>
      <w:r>
        <w:rPr>
          <w:sz w:val="24"/>
          <w:szCs w:val="24"/>
        </w:rPr>
        <w:t xml:space="preserve">. Cerca de 60% destes já ouviram comentários negativos na escola de forma regular ou frequente, e </w:t>
      </w:r>
      <w:proofErr w:type="gramStart"/>
      <w:r>
        <w:rPr>
          <w:sz w:val="24"/>
          <w:szCs w:val="24"/>
        </w:rPr>
        <w:t>62% refere</w:t>
      </w:r>
      <w:proofErr w:type="gramEnd"/>
      <w:r>
        <w:rPr>
          <w:sz w:val="24"/>
          <w:szCs w:val="24"/>
        </w:rPr>
        <w:t xml:space="preserve"> que estes pr</w:t>
      </w:r>
      <w:r>
        <w:rPr>
          <w:sz w:val="24"/>
          <w:szCs w:val="24"/>
        </w:rPr>
        <w:t>ovêm de pessoal docente ou não docente. A ausência de intervenção perante comentários homofóbicos, por parte do pessoal docente e não docente, foi referida por mais de metade dos/as jovens LGBT+ do estudo, e apenas um terço denunciou situações de violência</w:t>
      </w:r>
      <w:r>
        <w:rPr>
          <w:sz w:val="24"/>
          <w:szCs w:val="24"/>
        </w:rPr>
        <w:t xml:space="preserve"> aos docentes. Cerca de 1 em cada 10 jovens faz denúncias recorrentes e apenas 30,4% dos/as jovens que já denunciaram, consideraram as respostas do pessoal docente e não docente adequadas e eficazes </w:t>
      </w:r>
      <w:r>
        <w:rPr>
          <w:color w:val="000000"/>
          <w:sz w:val="24"/>
          <w:szCs w:val="24"/>
        </w:rPr>
        <w:t>(Associação ILGA Portugal, 2018).</w:t>
      </w:r>
    </w:p>
    <w:p w14:paraId="00000010" w14:textId="77777777" w:rsidR="00791ABD" w:rsidRDefault="00227A77" w:rsidP="00F003BF">
      <w:pPr>
        <w:spacing w:before="30" w:after="30" w:line="480" w:lineRule="auto"/>
        <w:ind w:firstLine="720"/>
        <w:rPr>
          <w:color w:val="000000"/>
          <w:sz w:val="24"/>
          <w:szCs w:val="24"/>
        </w:rPr>
      </w:pPr>
      <w:r>
        <w:rPr>
          <w:sz w:val="24"/>
          <w:szCs w:val="24"/>
        </w:rPr>
        <w:t>Ainda no âmbito deste e</w:t>
      </w:r>
      <w:r>
        <w:rPr>
          <w:sz w:val="24"/>
          <w:szCs w:val="24"/>
        </w:rPr>
        <w:t xml:space="preserve">studo, importa referir que a maioria dos/as jovens LGBT+ (93,3%) é capaz de identificar pelo menos um elemento do pessoal docente ou não docente da escola que apoia estudantes LGBT+ </w:t>
      </w:r>
      <w:r>
        <w:rPr>
          <w:color w:val="000000"/>
          <w:sz w:val="24"/>
          <w:szCs w:val="24"/>
        </w:rPr>
        <w:t>(Associação ILGA Portugal, 2018).</w:t>
      </w:r>
      <w:r>
        <w:rPr>
          <w:sz w:val="24"/>
          <w:szCs w:val="24"/>
        </w:rPr>
        <w:t xml:space="preserve"> Em contrapartida, apenas metade se sente</w:t>
      </w:r>
      <w:r>
        <w:rPr>
          <w:sz w:val="24"/>
          <w:szCs w:val="24"/>
        </w:rPr>
        <w:t xml:space="preserve"> confortável para falar de questões LGBT+ com um docente, psicólogo </w:t>
      </w:r>
      <w:r>
        <w:rPr>
          <w:sz w:val="24"/>
          <w:szCs w:val="24"/>
        </w:rPr>
        <w:lastRenderedPageBreak/>
        <w:t xml:space="preserve">ou assistente social e os números são ainda menores quando se trata de pessoal administrativo e de segurança escolar </w:t>
      </w:r>
      <w:r>
        <w:rPr>
          <w:color w:val="000000"/>
          <w:sz w:val="24"/>
          <w:szCs w:val="24"/>
        </w:rPr>
        <w:t>(Associação ILGA Portugal, 2018)</w:t>
      </w:r>
      <w:r>
        <w:rPr>
          <w:sz w:val="24"/>
          <w:szCs w:val="24"/>
        </w:rPr>
        <w:t>. A atuação do corpo docente e não doce</w:t>
      </w:r>
      <w:r>
        <w:rPr>
          <w:sz w:val="24"/>
          <w:szCs w:val="24"/>
        </w:rPr>
        <w:t xml:space="preserve">nte das escolas, particularmente quando se trata de intervir perante comentários homofóbicos, é essencial para romper com a problemática da violência baseada no gênero e na orientação sexual e, dessa forma, contribuir para aumentar a percepção de apoio, o </w:t>
      </w:r>
      <w:r>
        <w:rPr>
          <w:sz w:val="24"/>
          <w:szCs w:val="24"/>
        </w:rPr>
        <w:t xml:space="preserve">sentimento de pertença e diminuir a probabilidade dos/as estudantes faltarem às aulas por insegurança </w:t>
      </w:r>
      <w:r>
        <w:rPr>
          <w:color w:val="000000"/>
          <w:sz w:val="24"/>
          <w:szCs w:val="24"/>
        </w:rPr>
        <w:t>(Associação ILGA Portugal, 2018).</w:t>
      </w:r>
    </w:p>
    <w:p w14:paraId="00000011" w14:textId="77777777" w:rsidR="00791ABD" w:rsidRDefault="00227A77" w:rsidP="00F003BF">
      <w:pPr>
        <w:spacing w:before="30" w:after="30" w:line="480" w:lineRule="auto"/>
        <w:ind w:firstLine="720"/>
        <w:rPr>
          <w:sz w:val="24"/>
          <w:szCs w:val="24"/>
        </w:rPr>
      </w:pPr>
      <w:r>
        <w:rPr>
          <w:sz w:val="24"/>
          <w:szCs w:val="24"/>
        </w:rPr>
        <w:t xml:space="preserve">Dada a dimensão desta problemática e o impacto nas vítimas diretas da homofobia foram criadas recentemente políticas de </w:t>
      </w:r>
      <w:r>
        <w:rPr>
          <w:sz w:val="24"/>
          <w:szCs w:val="24"/>
        </w:rPr>
        <w:t xml:space="preserve">combate à discriminação. O </w:t>
      </w:r>
      <w:r>
        <w:rPr>
          <w:i/>
          <w:sz w:val="24"/>
          <w:szCs w:val="24"/>
        </w:rPr>
        <w:t>Plano Nacional de Ação para o Combate à Discriminação em razão da Orientação Sexual, da Identidade de Género e Características Sexuais</w:t>
      </w:r>
      <w:r>
        <w:rPr>
          <w:sz w:val="24"/>
          <w:szCs w:val="24"/>
        </w:rPr>
        <w:t xml:space="preserve"> (PNAOIC) que faz parte da Estratégia Nacional para a Igualdade e Não Discriminação, vigente de</w:t>
      </w:r>
      <w:r>
        <w:rPr>
          <w:sz w:val="24"/>
          <w:szCs w:val="24"/>
        </w:rPr>
        <w:t xml:space="preserve"> 2018 a 2030, no Programa </w:t>
      </w:r>
      <w:r>
        <w:rPr>
          <w:i/>
          <w:sz w:val="24"/>
          <w:szCs w:val="24"/>
        </w:rPr>
        <w:t xml:space="preserve">Portugal + Igual </w:t>
      </w:r>
      <w:r>
        <w:rPr>
          <w:sz w:val="24"/>
          <w:szCs w:val="24"/>
        </w:rPr>
        <w:t xml:space="preserve">(Presidência do Conselho de Ministros, 2018) é exemplo disso. Em Portugal foi também aprovada a Lei n.º 38/2018 de 7 de agosto, que se refere ao </w:t>
      </w:r>
      <w:r>
        <w:rPr>
          <w:i/>
          <w:sz w:val="24"/>
          <w:szCs w:val="24"/>
        </w:rPr>
        <w:t>Direito à autodeterminação da identidade de género e expressão de gé</w:t>
      </w:r>
      <w:r>
        <w:rPr>
          <w:i/>
          <w:sz w:val="24"/>
          <w:szCs w:val="24"/>
        </w:rPr>
        <w:t>nero e à proteção das características sexuais de cada pessoa</w:t>
      </w:r>
      <w:r>
        <w:rPr>
          <w:sz w:val="24"/>
          <w:szCs w:val="24"/>
        </w:rPr>
        <w:t xml:space="preserve"> e o Despacho nº 7247/2019 (</w:t>
      </w:r>
      <w:r>
        <w:rPr>
          <w:sz w:val="24"/>
          <w:szCs w:val="24"/>
          <w:highlight w:val="white"/>
        </w:rPr>
        <w:t>Presidência do Conselho de Ministros</w:t>
      </w:r>
      <w:r>
        <w:rPr>
          <w:sz w:val="24"/>
          <w:szCs w:val="24"/>
        </w:rPr>
        <w:t>, 2019) que estabelece as medidas administrativas que as escolas devem adotar para efeitos da implementação do previsto n.1 do artig</w:t>
      </w:r>
      <w:r>
        <w:rPr>
          <w:sz w:val="24"/>
          <w:szCs w:val="24"/>
        </w:rPr>
        <w:t>o 12.º da lei n.º 38/2018, tornando-se clara a necessidade de intervenção em setores-chave e em contextos específicos como a educação.</w:t>
      </w:r>
    </w:p>
    <w:p w14:paraId="00000012" w14:textId="77777777" w:rsidR="00791ABD" w:rsidRDefault="00227A77" w:rsidP="00F003BF">
      <w:pPr>
        <w:spacing w:before="30" w:after="30" w:line="480" w:lineRule="auto"/>
        <w:ind w:firstLine="720"/>
        <w:rPr>
          <w:sz w:val="24"/>
          <w:szCs w:val="24"/>
        </w:rPr>
      </w:pPr>
      <w:r>
        <w:rPr>
          <w:sz w:val="24"/>
          <w:szCs w:val="24"/>
        </w:rPr>
        <w:t xml:space="preserve">  Atendendo ao papel educativo e de socialização que a escola desempenha na vida dos jovens, compreende-se que o/a profes</w:t>
      </w:r>
      <w:r>
        <w:rPr>
          <w:sz w:val="24"/>
          <w:szCs w:val="24"/>
        </w:rPr>
        <w:t>sor/a seja, inevitavelmente, um elemento fundamental e decisivo no processo de construção de uma cidadania voltada para uma educação libertadora e emancipatória (Freire, 2006), através da qual são promovidos momentos de reflexão crítica sobre temáticas imp</w:t>
      </w:r>
      <w:r>
        <w:rPr>
          <w:sz w:val="24"/>
          <w:szCs w:val="24"/>
        </w:rPr>
        <w:t>ortantes para a humanidade (</w:t>
      </w:r>
      <w:r>
        <w:rPr>
          <w:color w:val="000000"/>
          <w:sz w:val="24"/>
          <w:szCs w:val="24"/>
        </w:rPr>
        <w:t>Vieira et al., 2018; Souza et al., 2016; Stewart-Brown, 2006</w:t>
      </w:r>
      <w:r>
        <w:rPr>
          <w:sz w:val="24"/>
          <w:szCs w:val="24"/>
        </w:rPr>
        <w:t xml:space="preserve">). Desta maneira, para que as escolas possam responder positivamente aos diversos </w:t>
      </w:r>
      <w:r>
        <w:rPr>
          <w:sz w:val="24"/>
          <w:szCs w:val="24"/>
        </w:rPr>
        <w:lastRenderedPageBreak/>
        <w:t>desafios que enfrentam ao lidar com a diversidade (</w:t>
      </w:r>
      <w:r>
        <w:rPr>
          <w:color w:val="000000"/>
          <w:sz w:val="24"/>
          <w:szCs w:val="24"/>
        </w:rPr>
        <w:t>Unesco, 2016</w:t>
      </w:r>
      <w:r>
        <w:rPr>
          <w:sz w:val="24"/>
          <w:szCs w:val="24"/>
        </w:rPr>
        <w:t>), a capacitação dos pr</w:t>
      </w:r>
      <w:r>
        <w:rPr>
          <w:sz w:val="24"/>
          <w:szCs w:val="24"/>
        </w:rPr>
        <w:t>ofissionais da educação (</w:t>
      </w:r>
      <w:r>
        <w:rPr>
          <w:color w:val="000000"/>
          <w:sz w:val="24"/>
          <w:szCs w:val="24"/>
        </w:rPr>
        <w:t>Taylor et al., 2011; Albuquerque,  &amp; Williams, 2015; Vieira et al., 2018</w:t>
      </w:r>
      <w:r>
        <w:rPr>
          <w:sz w:val="24"/>
          <w:szCs w:val="24"/>
        </w:rPr>
        <w:t>), cujo objetivo seja sensibilizar e preparar os/as professores/as para a problemática da violência baseada no gênero e na orientação sexual, constitui uma das</w:t>
      </w:r>
      <w:r>
        <w:rPr>
          <w:sz w:val="24"/>
          <w:szCs w:val="24"/>
        </w:rPr>
        <w:t xml:space="preserve"> estratégias de enfrentamento à discriminação e preconceito sexual (</w:t>
      </w:r>
      <w:r>
        <w:rPr>
          <w:color w:val="000000"/>
          <w:sz w:val="24"/>
          <w:szCs w:val="24"/>
        </w:rPr>
        <w:t>Taylor et al., 2011; Albuquerque &amp; Williams, 2015; Carvalho et al., 2017</w:t>
      </w:r>
      <w:r>
        <w:rPr>
          <w:sz w:val="24"/>
          <w:szCs w:val="24"/>
        </w:rPr>
        <w:t>). Manter o pessoal docentes e não docentes excluído destes debates contribui para a manutenção de crenças negativas</w:t>
      </w:r>
      <w:r>
        <w:rPr>
          <w:sz w:val="24"/>
          <w:szCs w:val="24"/>
        </w:rPr>
        <w:t xml:space="preserve"> sobre a homossexualidade, atitudes preconceituosas e discriminatórias, falta de sensibilidade e conscientização para esta problemática (</w:t>
      </w:r>
      <w:r>
        <w:rPr>
          <w:color w:val="000000"/>
          <w:sz w:val="24"/>
          <w:szCs w:val="24"/>
        </w:rPr>
        <w:t>Junqueira, 2009; Souza, Silva &amp; Santos, 2015; Souza &amp; Silva, 2016</w:t>
      </w:r>
      <w:r>
        <w:rPr>
          <w:sz w:val="24"/>
          <w:szCs w:val="24"/>
        </w:rPr>
        <w:t>), além de promover o desconhecimento de estratégias d</w:t>
      </w:r>
      <w:r>
        <w:rPr>
          <w:sz w:val="24"/>
          <w:szCs w:val="24"/>
        </w:rPr>
        <w:t>e atuação em relação ao tema em sala de aula e em outros espaços escolares (</w:t>
      </w:r>
      <w:r>
        <w:rPr>
          <w:color w:val="000000"/>
          <w:sz w:val="24"/>
          <w:szCs w:val="24"/>
        </w:rPr>
        <w:t>Souza &amp; Silva, 2016; Santos, 2017</w:t>
      </w:r>
      <w:r>
        <w:rPr>
          <w:sz w:val="24"/>
          <w:szCs w:val="24"/>
        </w:rPr>
        <w:t xml:space="preserve">). Nesse sentido, o aumento da conscientização para uma educação a favor de todas as pessoas, sem negligenciar a sua diversidade, contribuirá para </w:t>
      </w:r>
      <w:r>
        <w:rPr>
          <w:sz w:val="24"/>
          <w:szCs w:val="24"/>
        </w:rPr>
        <w:t>reduzir vulnerabilidades e preconceitos (</w:t>
      </w:r>
      <w:r>
        <w:rPr>
          <w:color w:val="000000"/>
          <w:sz w:val="24"/>
          <w:szCs w:val="24"/>
        </w:rPr>
        <w:t>Sousa, et al., 2017; Santos, 2017</w:t>
      </w:r>
      <w:r>
        <w:rPr>
          <w:sz w:val="24"/>
          <w:szCs w:val="24"/>
        </w:rPr>
        <w:t>) permitindo que todas as pessoas se sintam representadas e tenham voz nos espaços educativos (Unesco, 2017).</w:t>
      </w:r>
    </w:p>
    <w:p w14:paraId="00000013" w14:textId="1E60302B" w:rsidR="00791ABD" w:rsidRPr="001D668A" w:rsidRDefault="00227A77" w:rsidP="00F003BF">
      <w:pPr>
        <w:spacing w:before="30" w:after="30" w:line="480" w:lineRule="auto"/>
        <w:ind w:firstLine="720"/>
        <w:rPr>
          <w:sz w:val="24"/>
          <w:szCs w:val="24"/>
        </w:rPr>
      </w:pPr>
      <w:sdt>
        <w:sdtPr>
          <w:tag w:val="goog_rdk_2"/>
          <w:id w:val="-1465424697"/>
        </w:sdtPr>
        <w:sdtEndPr/>
        <w:sdtContent/>
      </w:sdt>
      <w:r w:rsidRPr="001D668A">
        <w:rPr>
          <w:sz w:val="24"/>
          <w:szCs w:val="24"/>
        </w:rPr>
        <w:t>Historicamente, duas formas de manifestação do preconceito contra dive</w:t>
      </w:r>
      <w:r w:rsidRPr="001D668A">
        <w:rPr>
          <w:sz w:val="24"/>
          <w:szCs w:val="24"/>
        </w:rPr>
        <w:t xml:space="preserve">rsidade sexual foram estabelecidas. A primeira está ancorada na interpretação da sexualidade não-heterossexual a partir de matrizes médicas, morais e religiosas. Essa forma </w:t>
      </w:r>
      <w:r w:rsidR="00675067" w:rsidRPr="001D668A">
        <w:rPr>
          <w:sz w:val="24"/>
          <w:szCs w:val="24"/>
        </w:rPr>
        <w:t>é denominada</w:t>
      </w:r>
      <w:r w:rsidRPr="001D668A">
        <w:rPr>
          <w:sz w:val="24"/>
          <w:szCs w:val="24"/>
        </w:rPr>
        <w:t xml:space="preserve"> clássica (</w:t>
      </w:r>
      <w:proofErr w:type="spellStart"/>
      <w:r w:rsidRPr="001D668A">
        <w:rPr>
          <w:sz w:val="24"/>
          <w:szCs w:val="24"/>
        </w:rPr>
        <w:t>old-fashioned</w:t>
      </w:r>
      <w:proofErr w:type="spellEnd"/>
      <w:r w:rsidRPr="001D668A">
        <w:rPr>
          <w:sz w:val="24"/>
          <w:szCs w:val="24"/>
        </w:rPr>
        <w:t>) e ainda é prevalente em várias partes do mun</w:t>
      </w:r>
      <w:r w:rsidRPr="001D668A">
        <w:rPr>
          <w:sz w:val="24"/>
          <w:szCs w:val="24"/>
        </w:rPr>
        <w:t>do, como no Brasil (</w:t>
      </w:r>
      <w:r w:rsidR="001D668A" w:rsidRPr="00227A77">
        <w:rPr>
          <w:sz w:val="24"/>
          <w:szCs w:val="24"/>
        </w:rPr>
        <w:t>Autor</w:t>
      </w:r>
      <w:r w:rsidRPr="00227A77">
        <w:rPr>
          <w:sz w:val="24"/>
          <w:szCs w:val="24"/>
        </w:rPr>
        <w:t>, 2015</w:t>
      </w:r>
      <w:r w:rsidR="009A34FE" w:rsidRPr="00227A77">
        <w:rPr>
          <w:sz w:val="24"/>
          <w:szCs w:val="24"/>
        </w:rPr>
        <w:t>a</w:t>
      </w:r>
      <w:r w:rsidRPr="001D668A">
        <w:rPr>
          <w:sz w:val="24"/>
          <w:szCs w:val="24"/>
        </w:rPr>
        <w:t>). A segunda forma é oriunda dos grupos de preconceitos “modernos” (</w:t>
      </w:r>
      <w:proofErr w:type="spellStart"/>
      <w:r w:rsidRPr="001D668A">
        <w:rPr>
          <w:sz w:val="24"/>
          <w:szCs w:val="24"/>
        </w:rPr>
        <w:t>Morrisson</w:t>
      </w:r>
      <w:proofErr w:type="spellEnd"/>
      <w:r w:rsidRPr="001D668A">
        <w:rPr>
          <w:sz w:val="24"/>
          <w:szCs w:val="24"/>
        </w:rPr>
        <w:t xml:space="preserve"> &amp; Morrison, 2002) também presentes no Brasil e em Portugal (</w:t>
      </w:r>
      <w:r w:rsidR="001D668A" w:rsidRPr="001D668A">
        <w:rPr>
          <w:sz w:val="24"/>
          <w:szCs w:val="24"/>
        </w:rPr>
        <w:t>Autor</w:t>
      </w:r>
      <w:r w:rsidRPr="001D668A">
        <w:rPr>
          <w:sz w:val="24"/>
          <w:szCs w:val="24"/>
        </w:rPr>
        <w:t>, 2012). Estas formas apar</w:t>
      </w:r>
      <w:r w:rsidRPr="001D668A">
        <w:rPr>
          <w:sz w:val="24"/>
          <w:szCs w:val="24"/>
        </w:rPr>
        <w:t xml:space="preserve">entemente positivas de encarar a diversidade sexual, na verdade, operam de maneira a hierarquizar as sexualidades a partir da assimilação a uma norma </w:t>
      </w:r>
      <w:r w:rsidR="00675067" w:rsidRPr="001D668A">
        <w:rPr>
          <w:sz w:val="24"/>
          <w:szCs w:val="24"/>
        </w:rPr>
        <w:t>heterossexual</w:t>
      </w:r>
      <w:r w:rsidRPr="001D668A">
        <w:rPr>
          <w:sz w:val="24"/>
          <w:szCs w:val="24"/>
        </w:rPr>
        <w:t xml:space="preserve"> e se manifestando mesmo na ausência de uma</w:t>
      </w:r>
      <w:r w:rsidRPr="001D668A">
        <w:rPr>
          <w:sz w:val="24"/>
          <w:szCs w:val="24"/>
        </w:rPr>
        <w:t xml:space="preserve"> discriminação flagrante, presente nas formas c</w:t>
      </w:r>
      <w:r w:rsidRPr="001D668A">
        <w:rPr>
          <w:sz w:val="24"/>
          <w:szCs w:val="24"/>
        </w:rPr>
        <w:t>lássicas (</w:t>
      </w:r>
      <w:r w:rsidR="001D668A" w:rsidRPr="00227A77">
        <w:rPr>
          <w:sz w:val="24"/>
          <w:szCs w:val="24"/>
        </w:rPr>
        <w:t>Autor</w:t>
      </w:r>
      <w:r w:rsidRPr="00227A77">
        <w:rPr>
          <w:sz w:val="24"/>
          <w:szCs w:val="24"/>
        </w:rPr>
        <w:t>, 2015</w:t>
      </w:r>
      <w:r w:rsidR="009A34FE" w:rsidRPr="00227A77">
        <w:rPr>
          <w:sz w:val="24"/>
          <w:szCs w:val="24"/>
        </w:rPr>
        <w:t>b</w:t>
      </w:r>
      <w:r w:rsidRPr="001D668A">
        <w:rPr>
          <w:sz w:val="24"/>
          <w:szCs w:val="24"/>
        </w:rPr>
        <w:t>).</w:t>
      </w:r>
    </w:p>
    <w:p w14:paraId="00000014" w14:textId="77777777" w:rsidR="00791ABD" w:rsidRDefault="00227A77" w:rsidP="00F003BF">
      <w:pPr>
        <w:spacing w:before="30" w:after="30" w:line="480" w:lineRule="auto"/>
        <w:ind w:firstLine="720"/>
        <w:rPr>
          <w:sz w:val="24"/>
          <w:szCs w:val="24"/>
        </w:rPr>
      </w:pPr>
      <w:r>
        <w:rPr>
          <w:sz w:val="24"/>
          <w:szCs w:val="24"/>
        </w:rPr>
        <w:lastRenderedPageBreak/>
        <w:t>Em Portugal não são conhecidos estudos, até ao momento, focados na perspectiva do pessoal docente ou não docente do ensino não universitário, nomeadamente professores e assistentes operacionais, relativos a esta temática. Nesse contexto, considera-se funda</w:t>
      </w:r>
      <w:r>
        <w:rPr>
          <w:sz w:val="24"/>
          <w:szCs w:val="24"/>
        </w:rPr>
        <w:t>mental a realização de estudos que permitam conhecer as crenças, atitudes e comportamentos do corpo docente e não docente quanto à diversidade sexual e de gênero, de modo a identificar necessidades específicas neste grupo-chave, sobre o qual recai uma parc</w:t>
      </w:r>
      <w:r>
        <w:rPr>
          <w:sz w:val="24"/>
          <w:szCs w:val="24"/>
        </w:rPr>
        <w:t>ela de responsabilidade pela formação, supervisão e acompanhamento de crianças e jovens em idade escolar.</w:t>
      </w:r>
    </w:p>
    <w:p w14:paraId="00000015" w14:textId="77777777" w:rsidR="00791ABD" w:rsidRDefault="00227A77" w:rsidP="00F003BF">
      <w:pPr>
        <w:spacing w:before="30" w:after="30" w:line="480" w:lineRule="auto"/>
        <w:ind w:firstLine="720"/>
        <w:rPr>
          <w:sz w:val="24"/>
          <w:szCs w:val="24"/>
        </w:rPr>
      </w:pPr>
      <w:r>
        <w:rPr>
          <w:sz w:val="24"/>
          <w:szCs w:val="24"/>
        </w:rPr>
        <w:t>Sendo assim, neste artigo são apresentados dados coletados em meados de 2013 e 2014, que oportunizam possibilidades de comparação com dados mais recen</w:t>
      </w:r>
      <w:r>
        <w:rPr>
          <w:sz w:val="24"/>
          <w:szCs w:val="24"/>
        </w:rPr>
        <w:t xml:space="preserve">tes sobre preconceitos. Desde então, ocorreram mudanças no âmbito legal português tal qual a implementação do Programa </w:t>
      </w:r>
      <w:r>
        <w:rPr>
          <w:i/>
          <w:sz w:val="24"/>
          <w:szCs w:val="24"/>
        </w:rPr>
        <w:t>Portugal + Igual</w:t>
      </w:r>
      <w:r>
        <w:rPr>
          <w:sz w:val="24"/>
          <w:szCs w:val="24"/>
        </w:rPr>
        <w:t xml:space="preserve"> em 2018, que visa a diminuição e o combate do preconceito contra diversidade sexual e de género no país. Segundo </w:t>
      </w:r>
      <w:r>
        <w:rPr>
          <w:color w:val="000000"/>
          <w:sz w:val="24"/>
          <w:szCs w:val="24"/>
        </w:rPr>
        <w:t>Bota (2</w:t>
      </w:r>
      <w:r>
        <w:rPr>
          <w:color w:val="000000"/>
          <w:sz w:val="24"/>
          <w:szCs w:val="24"/>
        </w:rPr>
        <w:t>017)</w:t>
      </w:r>
      <w:r>
        <w:rPr>
          <w:sz w:val="24"/>
          <w:szCs w:val="24"/>
        </w:rPr>
        <w:t xml:space="preserve">, o preconceito em vista da orientação sexual diminuiu de 2013 para 2016, mas seguiu sendo apresentado através de formas mais complexas, sutis e modernas nas sociedades. Todavia, o </w:t>
      </w:r>
      <w:r>
        <w:rPr>
          <w:color w:val="000000"/>
          <w:sz w:val="24"/>
          <w:szCs w:val="24"/>
        </w:rPr>
        <w:t xml:space="preserve">ENAE de 2018 </w:t>
      </w:r>
      <w:r>
        <w:rPr>
          <w:sz w:val="24"/>
          <w:szCs w:val="24"/>
        </w:rPr>
        <w:t>mostra que a situação de preconceitos decorrentes de diver</w:t>
      </w:r>
      <w:r>
        <w:rPr>
          <w:sz w:val="24"/>
          <w:szCs w:val="24"/>
        </w:rPr>
        <w:t xml:space="preserve">sidade sexual e de género nas escolas portuguesas ainda são alarmantes, o que demonstra a importância de discutir os dados elucidados neste trabalho. </w:t>
      </w:r>
    </w:p>
    <w:p w14:paraId="00000016" w14:textId="77777777" w:rsidR="00791ABD" w:rsidRDefault="00227A77" w:rsidP="00F003BF">
      <w:pPr>
        <w:spacing w:before="30" w:after="30" w:line="480" w:lineRule="auto"/>
        <w:ind w:firstLine="720"/>
        <w:rPr>
          <w:sz w:val="24"/>
          <w:szCs w:val="24"/>
        </w:rPr>
      </w:pPr>
      <w:r>
        <w:rPr>
          <w:sz w:val="24"/>
          <w:szCs w:val="24"/>
        </w:rPr>
        <w:t>A concretização deste trabalho no contexto português é bastante inovadora, na medida em que se procurou v</w:t>
      </w:r>
      <w:r>
        <w:rPr>
          <w:sz w:val="24"/>
          <w:szCs w:val="24"/>
        </w:rPr>
        <w:t>alidar uma medida que avalia o preconceito contra a diversidade sexual e de gênero com pessoal docente e não docente e, assim, disponibilizar à comunidade acadêmica, às organizações e associações responsáveis pela formação e capacitação deste público um in</w:t>
      </w:r>
      <w:r>
        <w:rPr>
          <w:sz w:val="24"/>
          <w:szCs w:val="24"/>
        </w:rPr>
        <w:t xml:space="preserve">strumento que permita identificar necessidades concretas a incluir nos planos de formação inicial e continuada.   </w:t>
      </w:r>
    </w:p>
    <w:p w14:paraId="00000017" w14:textId="77777777" w:rsidR="00791ABD" w:rsidRDefault="00227A77" w:rsidP="009C28C3">
      <w:pPr>
        <w:spacing w:before="30" w:after="30" w:line="480" w:lineRule="auto"/>
        <w:jc w:val="center"/>
        <w:rPr>
          <w:b/>
          <w:sz w:val="24"/>
          <w:szCs w:val="24"/>
        </w:rPr>
      </w:pPr>
      <w:r>
        <w:rPr>
          <w:b/>
          <w:sz w:val="24"/>
          <w:szCs w:val="24"/>
        </w:rPr>
        <w:t>Método</w:t>
      </w:r>
    </w:p>
    <w:p w14:paraId="00000018" w14:textId="77777777" w:rsidR="00791ABD" w:rsidRPr="009C28C3" w:rsidRDefault="00227A77" w:rsidP="00F003BF">
      <w:pPr>
        <w:spacing w:before="30" w:after="30" w:line="480" w:lineRule="auto"/>
        <w:rPr>
          <w:b/>
          <w:bCs/>
          <w:i/>
          <w:sz w:val="24"/>
          <w:szCs w:val="24"/>
        </w:rPr>
      </w:pPr>
      <w:r w:rsidRPr="009C28C3">
        <w:rPr>
          <w:b/>
          <w:bCs/>
          <w:i/>
          <w:sz w:val="24"/>
          <w:szCs w:val="24"/>
        </w:rPr>
        <w:t>Procedimentos</w:t>
      </w:r>
    </w:p>
    <w:p w14:paraId="00000019" w14:textId="77777777" w:rsidR="00791ABD" w:rsidRDefault="00227A77" w:rsidP="00F003BF">
      <w:pPr>
        <w:spacing w:before="30" w:after="30" w:line="480" w:lineRule="auto"/>
        <w:ind w:firstLine="720"/>
        <w:rPr>
          <w:sz w:val="24"/>
          <w:szCs w:val="24"/>
        </w:rPr>
      </w:pPr>
      <w:r>
        <w:rPr>
          <w:sz w:val="24"/>
          <w:szCs w:val="24"/>
        </w:rPr>
        <w:lastRenderedPageBreak/>
        <w:t>A realização deste estudo no contexto português resulta de um projeto maior e originalmente desenvolvido no Brasil que v</w:t>
      </w:r>
      <w:r>
        <w:rPr>
          <w:sz w:val="24"/>
          <w:szCs w:val="24"/>
        </w:rPr>
        <w:t>isava desenvolver um instrumento para avaliar o preconceito contra diversidade sexual e de gênero e avaliar o grau deste tipo de preconceito no contexto escolar (aprovado pelo Comitê de Ética do Instituto de Psicologia da Universidade Federal do Rio Grande</w:t>
      </w:r>
      <w:r>
        <w:rPr>
          <w:sz w:val="24"/>
          <w:szCs w:val="24"/>
        </w:rPr>
        <w:t xml:space="preserve"> do Sul - CAAE 04642712.9.0000.5334). Referente à construção e validação da Escala de Preconceito contra Diversidade Sexual e de Gênero (EPDSG). Em Portugal, o estudo obteve o parecer positivo da Comissão de Ética da Faculdade de Psicologia e de Ciências d</w:t>
      </w:r>
      <w:r>
        <w:rPr>
          <w:sz w:val="24"/>
          <w:szCs w:val="24"/>
        </w:rPr>
        <w:t>a Educação da Universidade do Porto. A coleta dos dados foi feita a professores/as e funcionários/as de 10 escolas do ensino básico e secundário da área metropolitana da cidade do Porto no período de 2013 a 2014. O questionário foi distribuído em um envelo</w:t>
      </w:r>
      <w:r>
        <w:rPr>
          <w:sz w:val="24"/>
          <w:szCs w:val="24"/>
        </w:rPr>
        <w:t xml:space="preserve">pe fechado a todos/as os/as participantes e a recolha de dados </w:t>
      </w:r>
      <w:proofErr w:type="gramStart"/>
      <w:r>
        <w:rPr>
          <w:sz w:val="24"/>
          <w:szCs w:val="24"/>
        </w:rPr>
        <w:t>decorreu</w:t>
      </w:r>
      <w:proofErr w:type="gramEnd"/>
      <w:r>
        <w:rPr>
          <w:sz w:val="24"/>
          <w:szCs w:val="24"/>
        </w:rPr>
        <w:t xml:space="preserve"> no formato de </w:t>
      </w:r>
      <w:r>
        <w:rPr>
          <w:i/>
          <w:sz w:val="24"/>
          <w:szCs w:val="24"/>
        </w:rPr>
        <w:t>bola de neve</w:t>
      </w:r>
      <w:r>
        <w:rPr>
          <w:sz w:val="24"/>
          <w:szCs w:val="24"/>
        </w:rPr>
        <w:t>.</w:t>
      </w:r>
    </w:p>
    <w:p w14:paraId="0000001A" w14:textId="77777777" w:rsidR="00791ABD" w:rsidRPr="009C28C3" w:rsidRDefault="00227A77" w:rsidP="00F003BF">
      <w:pPr>
        <w:spacing w:before="30" w:after="30" w:line="480" w:lineRule="auto"/>
        <w:rPr>
          <w:b/>
          <w:bCs/>
          <w:i/>
          <w:sz w:val="24"/>
          <w:szCs w:val="24"/>
        </w:rPr>
      </w:pPr>
      <w:r w:rsidRPr="009C28C3">
        <w:rPr>
          <w:b/>
          <w:bCs/>
          <w:i/>
          <w:sz w:val="24"/>
          <w:szCs w:val="24"/>
        </w:rPr>
        <w:t>Participantes</w:t>
      </w:r>
    </w:p>
    <w:p w14:paraId="0000001B" w14:textId="77777777" w:rsidR="00791ABD" w:rsidRDefault="00227A77" w:rsidP="00F003BF">
      <w:pPr>
        <w:spacing w:before="30" w:after="30" w:line="480" w:lineRule="auto"/>
        <w:ind w:firstLine="720"/>
        <w:rPr>
          <w:sz w:val="24"/>
          <w:szCs w:val="24"/>
        </w:rPr>
      </w:pPr>
      <w:r>
        <w:rPr>
          <w:i/>
          <w:sz w:val="24"/>
          <w:szCs w:val="24"/>
        </w:rPr>
        <w:t xml:space="preserve"> </w:t>
      </w:r>
      <w:r>
        <w:rPr>
          <w:sz w:val="24"/>
          <w:szCs w:val="24"/>
        </w:rPr>
        <w:t>Participaram do estudo 111 profissionais da educação (81 docentes 30 auxiliares escolares não-docentes) com idades entre 22 e 66 anos (M = 46</w:t>
      </w:r>
      <w:r>
        <w:rPr>
          <w:sz w:val="24"/>
          <w:szCs w:val="24"/>
        </w:rPr>
        <w:t>,90; DP = 9,12), em sua maioria com nível de formação Bacharelato/Licenciatura (54,1%), do gênero feminino (70,3%), heterossexuais (98,2%), casadas (92,8%) e com filhos (87,4%).</w:t>
      </w:r>
    </w:p>
    <w:p w14:paraId="0000001C" w14:textId="77777777" w:rsidR="00791ABD" w:rsidRPr="009C28C3" w:rsidRDefault="00227A77" w:rsidP="00F003BF">
      <w:pPr>
        <w:spacing w:before="30" w:after="30" w:line="480" w:lineRule="auto"/>
        <w:rPr>
          <w:b/>
          <w:bCs/>
          <w:i/>
          <w:sz w:val="24"/>
          <w:szCs w:val="24"/>
        </w:rPr>
      </w:pPr>
      <w:r w:rsidRPr="009C28C3">
        <w:rPr>
          <w:b/>
          <w:bCs/>
          <w:i/>
          <w:sz w:val="24"/>
          <w:szCs w:val="24"/>
        </w:rPr>
        <w:t>Instrumentos</w:t>
      </w:r>
    </w:p>
    <w:p w14:paraId="0000001D" w14:textId="77777777" w:rsidR="00791ABD" w:rsidRDefault="00227A77" w:rsidP="00F003BF">
      <w:pPr>
        <w:spacing w:before="30" w:after="30" w:line="480" w:lineRule="auto"/>
        <w:ind w:firstLine="720"/>
        <w:rPr>
          <w:sz w:val="24"/>
          <w:szCs w:val="24"/>
        </w:rPr>
      </w:pPr>
      <w:r>
        <w:rPr>
          <w:i/>
          <w:sz w:val="24"/>
          <w:szCs w:val="24"/>
        </w:rPr>
        <w:t xml:space="preserve">Escala de Preconceito contra Diversidade Sexual e de Gênero.  </w:t>
      </w:r>
      <w:r>
        <w:rPr>
          <w:sz w:val="24"/>
          <w:szCs w:val="24"/>
        </w:rPr>
        <w:t xml:space="preserve">22 </w:t>
      </w:r>
      <w:r>
        <w:rPr>
          <w:sz w:val="24"/>
          <w:szCs w:val="24"/>
        </w:rPr>
        <w:t>itens.</w:t>
      </w:r>
    </w:p>
    <w:p w14:paraId="0000001E" w14:textId="70E17680" w:rsidR="00791ABD" w:rsidRDefault="00227A77" w:rsidP="00F003BF">
      <w:pPr>
        <w:spacing w:before="30" w:after="30" w:line="480" w:lineRule="auto"/>
        <w:rPr>
          <w:sz w:val="24"/>
          <w:szCs w:val="24"/>
        </w:rPr>
      </w:pPr>
      <w:r>
        <w:rPr>
          <w:sz w:val="24"/>
          <w:szCs w:val="24"/>
        </w:rPr>
        <w:t xml:space="preserve">         A </w:t>
      </w:r>
      <w:r>
        <w:rPr>
          <w:i/>
          <w:sz w:val="24"/>
          <w:szCs w:val="24"/>
        </w:rPr>
        <w:t>Escala de Preconceito contra Diversidade Sexual e de Gênero</w:t>
      </w:r>
      <w:r>
        <w:rPr>
          <w:sz w:val="24"/>
          <w:szCs w:val="24"/>
        </w:rPr>
        <w:t xml:space="preserve"> (EPDSG) é um instrumento criado para avaliar o preconceito contra a diversidade sexual e de gênero (de forma composta) no contexto brasileiro. A conceitualização da escala é oriu</w:t>
      </w:r>
      <w:r>
        <w:rPr>
          <w:sz w:val="24"/>
          <w:szCs w:val="24"/>
        </w:rPr>
        <w:t xml:space="preserve">nda da reflexão presente de duas revisões sistemáticas. A primeira sobre as formas de apresentação deste tipo de preconceito </w:t>
      </w:r>
      <w:r>
        <w:rPr>
          <w:color w:val="000000"/>
          <w:sz w:val="24"/>
          <w:szCs w:val="24"/>
        </w:rPr>
        <w:t>(Autor, 2013b)</w:t>
      </w:r>
      <w:r>
        <w:rPr>
          <w:sz w:val="24"/>
          <w:szCs w:val="24"/>
        </w:rPr>
        <w:t xml:space="preserve"> e sobre instrumentos disponíveis para avaliá-lo (</w:t>
      </w:r>
      <w:r>
        <w:rPr>
          <w:color w:val="000000"/>
          <w:sz w:val="24"/>
          <w:szCs w:val="24"/>
        </w:rPr>
        <w:t>Autor, 2013)</w:t>
      </w:r>
      <w:r>
        <w:rPr>
          <w:sz w:val="24"/>
          <w:szCs w:val="24"/>
        </w:rPr>
        <w:t xml:space="preserve">. A EPDSG foi originalmente composta por itens de dois </w:t>
      </w:r>
      <w:r>
        <w:rPr>
          <w:sz w:val="24"/>
          <w:szCs w:val="24"/>
        </w:rPr>
        <w:t xml:space="preserve">instrumentos. A </w:t>
      </w:r>
      <w:proofErr w:type="spellStart"/>
      <w:r>
        <w:rPr>
          <w:i/>
          <w:sz w:val="24"/>
          <w:szCs w:val="24"/>
        </w:rPr>
        <w:t>Attitudes</w:t>
      </w:r>
      <w:proofErr w:type="spellEnd"/>
      <w:r>
        <w:rPr>
          <w:i/>
          <w:sz w:val="24"/>
          <w:szCs w:val="24"/>
        </w:rPr>
        <w:t xml:space="preserve"> </w:t>
      </w:r>
      <w:proofErr w:type="spellStart"/>
      <w:r>
        <w:rPr>
          <w:i/>
          <w:sz w:val="24"/>
          <w:szCs w:val="24"/>
        </w:rPr>
        <w:t>Toward</w:t>
      </w:r>
      <w:proofErr w:type="spellEnd"/>
      <w:r>
        <w:rPr>
          <w:i/>
          <w:sz w:val="24"/>
          <w:szCs w:val="24"/>
        </w:rPr>
        <w:t xml:space="preserve"> </w:t>
      </w:r>
      <w:proofErr w:type="spellStart"/>
      <w:r>
        <w:rPr>
          <w:i/>
          <w:sz w:val="24"/>
          <w:szCs w:val="24"/>
        </w:rPr>
        <w:lastRenderedPageBreak/>
        <w:t>Lesbians</w:t>
      </w:r>
      <w:proofErr w:type="spellEnd"/>
      <w:r>
        <w:rPr>
          <w:i/>
          <w:sz w:val="24"/>
          <w:szCs w:val="24"/>
        </w:rPr>
        <w:t xml:space="preserve"> </w:t>
      </w:r>
      <w:proofErr w:type="spellStart"/>
      <w:r>
        <w:rPr>
          <w:i/>
          <w:sz w:val="24"/>
          <w:szCs w:val="24"/>
        </w:rPr>
        <w:t>and</w:t>
      </w:r>
      <w:proofErr w:type="spellEnd"/>
      <w:r>
        <w:rPr>
          <w:i/>
          <w:sz w:val="24"/>
          <w:szCs w:val="24"/>
        </w:rPr>
        <w:t xml:space="preserve"> Gays </w:t>
      </w:r>
      <w:proofErr w:type="spellStart"/>
      <w:r>
        <w:rPr>
          <w:i/>
          <w:sz w:val="24"/>
          <w:szCs w:val="24"/>
        </w:rPr>
        <w:t>Scale</w:t>
      </w:r>
      <w:proofErr w:type="spellEnd"/>
      <w:r>
        <w:rPr>
          <w:sz w:val="24"/>
          <w:szCs w:val="24"/>
        </w:rPr>
        <w:t xml:space="preserve"> (ATLG) que avalia o preconceito contra a Orientação Sexual, dividindo o preconceito contra mulheres lésbicas do preconceito contra homens </w:t>
      </w:r>
      <w:r>
        <w:rPr>
          <w:i/>
          <w:sz w:val="24"/>
          <w:szCs w:val="24"/>
        </w:rPr>
        <w:t xml:space="preserve">gays </w:t>
      </w:r>
      <w:r>
        <w:rPr>
          <w:color w:val="000000"/>
          <w:sz w:val="24"/>
          <w:szCs w:val="24"/>
        </w:rPr>
        <w:t>(</w:t>
      </w:r>
      <w:proofErr w:type="spellStart"/>
      <w:r>
        <w:rPr>
          <w:color w:val="000000"/>
          <w:sz w:val="24"/>
          <w:szCs w:val="24"/>
        </w:rPr>
        <w:t>Herek</w:t>
      </w:r>
      <w:proofErr w:type="spellEnd"/>
      <w:r>
        <w:rPr>
          <w:color w:val="000000"/>
          <w:sz w:val="24"/>
          <w:szCs w:val="24"/>
        </w:rPr>
        <w:t xml:space="preserve"> &amp; </w:t>
      </w:r>
      <w:proofErr w:type="spellStart"/>
      <w:r>
        <w:rPr>
          <w:color w:val="000000"/>
          <w:sz w:val="24"/>
          <w:szCs w:val="24"/>
        </w:rPr>
        <w:t>McLemore</w:t>
      </w:r>
      <w:proofErr w:type="spellEnd"/>
      <w:r>
        <w:rPr>
          <w:color w:val="000000"/>
          <w:sz w:val="24"/>
          <w:szCs w:val="24"/>
        </w:rPr>
        <w:t>, 2011)</w:t>
      </w:r>
      <w:r>
        <w:rPr>
          <w:sz w:val="24"/>
          <w:szCs w:val="24"/>
        </w:rPr>
        <w:t xml:space="preserve"> e </w:t>
      </w:r>
      <w:proofErr w:type="spellStart"/>
      <w:r>
        <w:rPr>
          <w:i/>
          <w:sz w:val="24"/>
          <w:szCs w:val="24"/>
        </w:rPr>
        <w:t>Genderism</w:t>
      </w:r>
      <w:proofErr w:type="spellEnd"/>
      <w:r>
        <w:rPr>
          <w:i/>
          <w:sz w:val="24"/>
          <w:szCs w:val="24"/>
        </w:rPr>
        <w:t xml:space="preserve"> </w:t>
      </w:r>
      <w:proofErr w:type="spellStart"/>
      <w:r>
        <w:rPr>
          <w:i/>
          <w:sz w:val="24"/>
          <w:szCs w:val="24"/>
        </w:rPr>
        <w:t>and</w:t>
      </w:r>
      <w:proofErr w:type="spellEnd"/>
      <w:r>
        <w:rPr>
          <w:i/>
          <w:sz w:val="24"/>
          <w:szCs w:val="24"/>
        </w:rPr>
        <w:t xml:space="preserve"> </w:t>
      </w:r>
      <w:proofErr w:type="spellStart"/>
      <w:r>
        <w:rPr>
          <w:i/>
          <w:sz w:val="24"/>
          <w:szCs w:val="24"/>
        </w:rPr>
        <w:t>Transphobia</w:t>
      </w:r>
      <w:proofErr w:type="spellEnd"/>
      <w:r>
        <w:rPr>
          <w:i/>
          <w:sz w:val="24"/>
          <w:szCs w:val="24"/>
        </w:rPr>
        <w:t xml:space="preserve"> </w:t>
      </w:r>
      <w:proofErr w:type="spellStart"/>
      <w:r>
        <w:rPr>
          <w:i/>
          <w:sz w:val="24"/>
          <w:szCs w:val="24"/>
        </w:rPr>
        <w:t>Sca</w:t>
      </w:r>
      <w:r>
        <w:rPr>
          <w:i/>
          <w:sz w:val="24"/>
          <w:szCs w:val="24"/>
        </w:rPr>
        <w:t>le</w:t>
      </w:r>
      <w:proofErr w:type="spellEnd"/>
      <w:r>
        <w:rPr>
          <w:sz w:val="24"/>
          <w:szCs w:val="24"/>
        </w:rPr>
        <w:t xml:space="preserve"> </w:t>
      </w:r>
      <w:r>
        <w:rPr>
          <w:color w:val="000000"/>
          <w:sz w:val="24"/>
          <w:szCs w:val="24"/>
        </w:rPr>
        <w:t xml:space="preserve">(Hill &amp; </w:t>
      </w:r>
      <w:proofErr w:type="spellStart"/>
      <w:r>
        <w:rPr>
          <w:color w:val="000000"/>
          <w:sz w:val="24"/>
          <w:szCs w:val="24"/>
        </w:rPr>
        <w:t>Willoughby</w:t>
      </w:r>
      <w:proofErr w:type="spellEnd"/>
      <w:r>
        <w:rPr>
          <w:color w:val="000000"/>
          <w:sz w:val="24"/>
          <w:szCs w:val="24"/>
        </w:rPr>
        <w:t>, 2005),</w:t>
      </w:r>
      <w:r>
        <w:rPr>
          <w:sz w:val="24"/>
          <w:szCs w:val="24"/>
        </w:rPr>
        <w:t xml:space="preserve"> o qual foi modificado para atender às circunstâncias do contexto brasileiro e avaliar o preconceito relativo à não conformidade de Gênero e Transexualidade. A partir de um estudo com alunos do Ensino Médio, professores e funci</w:t>
      </w:r>
      <w:r>
        <w:rPr>
          <w:sz w:val="24"/>
          <w:szCs w:val="24"/>
        </w:rPr>
        <w:t xml:space="preserve">onários, publicado em 2015, a ferramenta mostrou-se útil, com boas evidências de validade e fidedignidade em uma solução </w:t>
      </w:r>
      <w:proofErr w:type="spellStart"/>
      <w:r>
        <w:rPr>
          <w:sz w:val="24"/>
          <w:szCs w:val="24"/>
        </w:rPr>
        <w:t>unifatorial</w:t>
      </w:r>
      <w:proofErr w:type="spellEnd"/>
      <w:r>
        <w:rPr>
          <w:sz w:val="24"/>
          <w:szCs w:val="24"/>
        </w:rPr>
        <w:t xml:space="preserve"> (</w:t>
      </w:r>
      <w:r w:rsidRPr="00227A77">
        <w:rPr>
          <w:sz w:val="24"/>
          <w:szCs w:val="24"/>
        </w:rPr>
        <w:t>Autor, 2015</w:t>
      </w:r>
      <w:r w:rsidR="00F26F2B" w:rsidRPr="00227A77">
        <w:rPr>
          <w:sz w:val="24"/>
          <w:szCs w:val="24"/>
        </w:rPr>
        <w:t>c</w:t>
      </w:r>
      <w:r>
        <w:rPr>
          <w:sz w:val="24"/>
          <w:szCs w:val="24"/>
        </w:rPr>
        <w:t>).</w:t>
      </w:r>
    </w:p>
    <w:p w14:paraId="0000001F" w14:textId="3378B377" w:rsidR="00791ABD" w:rsidRDefault="00227A77" w:rsidP="00F003BF">
      <w:pPr>
        <w:spacing w:before="30" w:after="30" w:line="480" w:lineRule="auto"/>
        <w:ind w:firstLine="720"/>
        <w:rPr>
          <w:sz w:val="24"/>
          <w:szCs w:val="24"/>
        </w:rPr>
      </w:pPr>
      <w:r>
        <w:rPr>
          <w:sz w:val="24"/>
          <w:szCs w:val="24"/>
        </w:rPr>
        <w:t xml:space="preserve">Em 2016, a EPDSG foi revisada e modificada para dar conta de formas mais intensas </w:t>
      </w:r>
      <w:r w:rsidR="001D668A">
        <w:rPr>
          <w:sz w:val="24"/>
          <w:szCs w:val="24"/>
        </w:rPr>
        <w:t>e</w:t>
      </w:r>
      <w:r>
        <w:rPr>
          <w:sz w:val="24"/>
          <w:szCs w:val="24"/>
        </w:rPr>
        <w:t xml:space="preserve"> sutis de preconc</w:t>
      </w:r>
      <w:r>
        <w:rPr>
          <w:sz w:val="24"/>
          <w:szCs w:val="24"/>
        </w:rPr>
        <w:t>eito. Ocorreu a remoção e o acréscimo de novos itens, a partir da teoria de resposta ao item, por meio de um estudo com universitários brasileiros. A versão revisada, assim como a ampliada, também mostrou boas evidências de validade e confiabilidade em uma</w:t>
      </w:r>
      <w:r>
        <w:rPr>
          <w:sz w:val="24"/>
          <w:szCs w:val="24"/>
        </w:rPr>
        <w:t xml:space="preserve"> solução </w:t>
      </w:r>
      <w:proofErr w:type="spellStart"/>
      <w:proofErr w:type="gramStart"/>
      <w:r>
        <w:rPr>
          <w:sz w:val="24"/>
          <w:szCs w:val="24"/>
        </w:rPr>
        <w:t>bi-fatorial</w:t>
      </w:r>
      <w:proofErr w:type="spellEnd"/>
      <w:proofErr w:type="gramEnd"/>
      <w:r>
        <w:rPr>
          <w:sz w:val="24"/>
          <w:szCs w:val="24"/>
        </w:rPr>
        <w:t xml:space="preserve"> (podendo ser utilizada com apenas um fator geral ou dois fatores - preconceito contra diversidade de gênero e preconceito contra a diversidade sexual) (Autor, 2016). Tal variante foi adaptada e validada para a língua espanhola e contex</w:t>
      </w:r>
      <w:r>
        <w:rPr>
          <w:sz w:val="24"/>
          <w:szCs w:val="24"/>
        </w:rPr>
        <w:t>to peruano em 2017 (</w:t>
      </w:r>
      <w:proofErr w:type="spellStart"/>
      <w:r>
        <w:rPr>
          <w:sz w:val="24"/>
          <w:szCs w:val="24"/>
        </w:rPr>
        <w:t>Portalino</w:t>
      </w:r>
      <w:proofErr w:type="spellEnd"/>
      <w:r>
        <w:rPr>
          <w:sz w:val="24"/>
          <w:szCs w:val="24"/>
        </w:rPr>
        <w:t>, 2017).</w:t>
      </w:r>
    </w:p>
    <w:p w14:paraId="00000020" w14:textId="77777777" w:rsidR="00791ABD" w:rsidRDefault="00227A77" w:rsidP="00F003BF">
      <w:pPr>
        <w:spacing w:before="30" w:after="30" w:line="480" w:lineRule="auto"/>
        <w:rPr>
          <w:sz w:val="24"/>
          <w:szCs w:val="24"/>
        </w:rPr>
      </w:pPr>
      <w:r>
        <w:rPr>
          <w:sz w:val="24"/>
          <w:szCs w:val="24"/>
        </w:rPr>
        <w:t xml:space="preserve">         A versão original da Escala de Preconceito contra Diversidade Sexual e de Gênero já foi utilizada em um estudo sobre as representações sociais das </w:t>
      </w:r>
      <w:proofErr w:type="spellStart"/>
      <w:r>
        <w:rPr>
          <w:sz w:val="24"/>
          <w:szCs w:val="24"/>
        </w:rPr>
        <w:t>homolesbotransfobias</w:t>
      </w:r>
      <w:proofErr w:type="spellEnd"/>
      <w:r>
        <w:rPr>
          <w:sz w:val="24"/>
          <w:szCs w:val="24"/>
        </w:rPr>
        <w:t xml:space="preserve"> no espaço escolar. As respostas dos estud</w:t>
      </w:r>
      <w:r>
        <w:rPr>
          <w:sz w:val="24"/>
          <w:szCs w:val="24"/>
        </w:rPr>
        <w:t xml:space="preserve">antes do último ano do Ensino Médio de turno noturno (17-22 anos) foram separadas em três categorias – normatizações, sexualização de lésbicas e transfobia. Constatou-se que as representações sociais são construídas socialmente a partir de interações do </w:t>
      </w:r>
      <w:proofErr w:type="gramStart"/>
      <w:r>
        <w:rPr>
          <w:sz w:val="24"/>
          <w:szCs w:val="24"/>
        </w:rPr>
        <w:t>di</w:t>
      </w:r>
      <w:r>
        <w:rPr>
          <w:sz w:val="24"/>
          <w:szCs w:val="24"/>
        </w:rPr>
        <w:t>a-a-dia</w:t>
      </w:r>
      <w:proofErr w:type="gramEnd"/>
      <w:r>
        <w:rPr>
          <w:sz w:val="24"/>
          <w:szCs w:val="24"/>
        </w:rPr>
        <w:t xml:space="preserve">. O poder dessas representações aparece na exclusão e marginalização dos indivíduos fora de estereótipos </w:t>
      </w:r>
      <w:r>
        <w:rPr>
          <w:color w:val="000000"/>
          <w:sz w:val="24"/>
          <w:szCs w:val="24"/>
        </w:rPr>
        <w:t>(Miranda &amp; Villarroel, 2020)</w:t>
      </w:r>
      <w:r>
        <w:rPr>
          <w:sz w:val="24"/>
          <w:szCs w:val="24"/>
        </w:rPr>
        <w:t>. Além disso, a escala original foi utilizada para avaliar níveis de preconceito sexual e de gênero em escolas públi</w:t>
      </w:r>
      <w:r>
        <w:rPr>
          <w:sz w:val="24"/>
          <w:szCs w:val="24"/>
        </w:rPr>
        <w:t>cas brasileiras (</w:t>
      </w:r>
      <w:proofErr w:type="spellStart"/>
      <w:r>
        <w:rPr>
          <w:color w:val="000000"/>
          <w:sz w:val="24"/>
          <w:szCs w:val="24"/>
        </w:rPr>
        <w:t>Stucky</w:t>
      </w:r>
      <w:proofErr w:type="spellEnd"/>
      <w:r>
        <w:rPr>
          <w:color w:val="000000"/>
          <w:sz w:val="24"/>
          <w:szCs w:val="24"/>
        </w:rPr>
        <w:t xml:space="preserve"> et al., 2020</w:t>
      </w:r>
      <w:r>
        <w:rPr>
          <w:sz w:val="24"/>
          <w:szCs w:val="24"/>
        </w:rPr>
        <w:t xml:space="preserve">). No Ensino Médio público brasileiro, a EPDSG foi aplicada em professores, alunos e funcionários. Dentre os dados obtidos, seguidores da Igreja </w:t>
      </w:r>
      <w:r>
        <w:rPr>
          <w:sz w:val="24"/>
          <w:szCs w:val="24"/>
        </w:rPr>
        <w:lastRenderedPageBreak/>
        <w:t>Neopentecostal apresentam maiores índices de preconceito quanto à diversida</w:t>
      </w:r>
      <w:r>
        <w:rPr>
          <w:sz w:val="24"/>
          <w:szCs w:val="24"/>
        </w:rPr>
        <w:t>de sexual e de gênero; enquanto, pessoas que tiveram treinamentos anteriores sobre a temática do preconceito exibiram menores níveis de preconceito do que outros que não realizaram qualquer tipo de treinamento (</w:t>
      </w:r>
      <w:proofErr w:type="spellStart"/>
      <w:r>
        <w:rPr>
          <w:color w:val="000000"/>
          <w:sz w:val="24"/>
          <w:szCs w:val="24"/>
        </w:rPr>
        <w:t>Stucky</w:t>
      </w:r>
      <w:proofErr w:type="spellEnd"/>
      <w:r>
        <w:rPr>
          <w:color w:val="000000"/>
          <w:sz w:val="24"/>
          <w:szCs w:val="24"/>
        </w:rPr>
        <w:t xml:space="preserve"> et al., 2020).</w:t>
      </w:r>
    </w:p>
    <w:p w14:paraId="00000021" w14:textId="0C802880" w:rsidR="00791ABD" w:rsidRDefault="00227A77" w:rsidP="00F003BF">
      <w:pPr>
        <w:spacing w:before="30" w:after="30" w:line="480" w:lineRule="auto"/>
        <w:ind w:firstLine="720"/>
        <w:rPr>
          <w:sz w:val="24"/>
          <w:szCs w:val="24"/>
        </w:rPr>
      </w:pPr>
      <w:r>
        <w:rPr>
          <w:sz w:val="24"/>
          <w:szCs w:val="24"/>
        </w:rPr>
        <w:t>A versão revisada da EP</w:t>
      </w:r>
      <w:r>
        <w:rPr>
          <w:sz w:val="24"/>
          <w:szCs w:val="24"/>
        </w:rPr>
        <w:t>DSG por sua vez foi usada principalmente com a população universitária brasileira em diferentes pesquisas. Com base no modelo de estresse de minoria, dados indicam que estudantes não-heterossexuais têm piores índices de saúde mental que os heterossexuais (</w:t>
      </w:r>
      <w:r>
        <w:rPr>
          <w:color w:val="000000"/>
          <w:sz w:val="24"/>
          <w:szCs w:val="24"/>
        </w:rPr>
        <w:t>Cerqueira-Santos et al., 2020</w:t>
      </w:r>
      <w:r>
        <w:rPr>
          <w:sz w:val="24"/>
          <w:szCs w:val="24"/>
        </w:rPr>
        <w:t>). O nível de preconceito contra diversidade sexual e de gênero, entre estudantes de Medicina, no Sul do Brasil encontrou-se entre 69% e 89%, de acordo com as afirmativas do EPDSG (</w:t>
      </w:r>
      <w:r>
        <w:rPr>
          <w:color w:val="000000"/>
          <w:sz w:val="24"/>
          <w:szCs w:val="24"/>
        </w:rPr>
        <w:t>Moretti-Pires et al., 2019</w:t>
      </w:r>
      <w:r>
        <w:rPr>
          <w:sz w:val="24"/>
          <w:szCs w:val="24"/>
        </w:rPr>
        <w:t>). Todavia, outro es</w:t>
      </w:r>
      <w:r>
        <w:rPr>
          <w:sz w:val="24"/>
          <w:szCs w:val="24"/>
        </w:rPr>
        <w:t>tudo com a escala revela que estudantes das áreas da Saúde, Ciências Sociais e Biológicas têm seu preconceito majoritariamente “moderado” ou “baixo”. Os universitários com altos níveis de preconceito sexual e de gênero são primariamente das Engenharias, Ci</w:t>
      </w:r>
      <w:r>
        <w:rPr>
          <w:sz w:val="24"/>
          <w:szCs w:val="24"/>
        </w:rPr>
        <w:t>ências Agrárias, Exatas e Geológicas; com os menores índices de preconceito registrados entre estudantes do campo das Humanidades, Linguagens e Artes (</w:t>
      </w:r>
      <w:r w:rsidRPr="00227A77">
        <w:rPr>
          <w:color w:val="000000"/>
          <w:sz w:val="24"/>
          <w:szCs w:val="24"/>
        </w:rPr>
        <w:t>Autor, 2015</w:t>
      </w:r>
      <w:r w:rsidR="007E748D" w:rsidRPr="00227A77">
        <w:rPr>
          <w:color w:val="000000"/>
          <w:sz w:val="24"/>
          <w:szCs w:val="24"/>
        </w:rPr>
        <w:t>d</w:t>
      </w:r>
      <w:r>
        <w:rPr>
          <w:sz w:val="24"/>
          <w:szCs w:val="24"/>
        </w:rPr>
        <w:t>). A versão revisada da Escala de Preconceito contra Diversidade Sexual e de Gênero também já</w:t>
      </w:r>
      <w:r>
        <w:rPr>
          <w:sz w:val="24"/>
          <w:szCs w:val="24"/>
        </w:rPr>
        <w:t xml:space="preserve"> foi usada com psicólogos brasileiros, que demonstraram baixos índices de preconceito </w:t>
      </w:r>
      <w:r>
        <w:rPr>
          <w:color w:val="000000"/>
          <w:sz w:val="24"/>
          <w:szCs w:val="24"/>
        </w:rPr>
        <w:t>(</w:t>
      </w:r>
      <w:proofErr w:type="spellStart"/>
      <w:r>
        <w:rPr>
          <w:color w:val="000000"/>
          <w:sz w:val="24"/>
          <w:szCs w:val="24"/>
        </w:rPr>
        <w:t>Gaspodini</w:t>
      </w:r>
      <w:proofErr w:type="spellEnd"/>
      <w:r>
        <w:rPr>
          <w:color w:val="000000"/>
          <w:sz w:val="24"/>
          <w:szCs w:val="24"/>
        </w:rPr>
        <w:t xml:space="preserve"> &amp; </w:t>
      </w:r>
      <w:proofErr w:type="spellStart"/>
      <w:r>
        <w:rPr>
          <w:color w:val="000000"/>
          <w:sz w:val="24"/>
          <w:szCs w:val="24"/>
        </w:rPr>
        <w:t>Falcke</w:t>
      </w:r>
      <w:proofErr w:type="spellEnd"/>
      <w:r>
        <w:rPr>
          <w:color w:val="000000"/>
          <w:sz w:val="24"/>
          <w:szCs w:val="24"/>
        </w:rPr>
        <w:t>, 2018</w:t>
      </w:r>
      <w:r>
        <w:rPr>
          <w:sz w:val="24"/>
          <w:szCs w:val="24"/>
        </w:rPr>
        <w:t>); e como método para análise da efetividade de um programa de habilidades sociais na redução do preconceito contra a diversidade sexual e de gên</w:t>
      </w:r>
      <w:r>
        <w:rPr>
          <w:sz w:val="24"/>
          <w:szCs w:val="24"/>
        </w:rPr>
        <w:t>ero em adolescentes (</w:t>
      </w:r>
      <w:r>
        <w:rPr>
          <w:color w:val="000000"/>
          <w:sz w:val="24"/>
          <w:szCs w:val="24"/>
        </w:rPr>
        <w:t>Sousa, 2017</w:t>
      </w:r>
      <w:r>
        <w:rPr>
          <w:sz w:val="24"/>
          <w:szCs w:val="24"/>
        </w:rPr>
        <w:t>).</w:t>
      </w:r>
    </w:p>
    <w:p w14:paraId="00000022" w14:textId="77777777" w:rsidR="00791ABD" w:rsidRDefault="00227A77" w:rsidP="00F003BF">
      <w:pPr>
        <w:spacing w:before="30" w:after="30" w:line="480" w:lineRule="auto"/>
        <w:ind w:firstLine="720"/>
        <w:rPr>
          <w:sz w:val="24"/>
          <w:szCs w:val="24"/>
        </w:rPr>
      </w:pPr>
      <w:r w:rsidRPr="001D668A">
        <w:rPr>
          <w:sz w:val="24"/>
          <w:szCs w:val="24"/>
        </w:rPr>
        <w:t>Cabe destacar que tanto a versão original quanto a revista do instrumento apresentaram ótimas evidências de validade e fidedignidade tendo como diferença apenas a inclusão de itens de preconceito mais flagrante e sutis na</w:t>
      </w:r>
      <w:r w:rsidRPr="001D668A">
        <w:rPr>
          <w:sz w:val="24"/>
          <w:szCs w:val="24"/>
        </w:rPr>
        <w:t xml:space="preserve"> versão revisada.</w:t>
      </w:r>
      <w:r>
        <w:rPr>
          <w:sz w:val="24"/>
          <w:szCs w:val="24"/>
        </w:rPr>
        <w:t xml:space="preserve"> Para o presente estudo, foram utilizados todos os 22 itens originalmente testados para a construção da primeira versão do instrumento no Brasil. Eles foram avaliados em uma escala de cinco pontos, sendo 1 para "discordo totalmente", e 5 p</w:t>
      </w:r>
      <w:r>
        <w:rPr>
          <w:sz w:val="24"/>
          <w:szCs w:val="24"/>
        </w:rPr>
        <w:t xml:space="preserve">ara "concordo totalmente". Escores mais próximos a 5 evidenciam </w:t>
      </w:r>
      <w:r>
        <w:rPr>
          <w:sz w:val="24"/>
          <w:szCs w:val="24"/>
        </w:rPr>
        <w:lastRenderedPageBreak/>
        <w:t>maior preconceito. A validade facial dos itens foi testada com uma amostra de seis falantes de português europeu e ligeiros ajustes semânticos foram feitos de modo a facilitar a sua compreensã</w:t>
      </w:r>
      <w:r>
        <w:rPr>
          <w:sz w:val="24"/>
          <w:szCs w:val="24"/>
        </w:rPr>
        <w:t>o.</w:t>
      </w:r>
    </w:p>
    <w:p w14:paraId="00000023" w14:textId="77777777" w:rsidR="00791ABD" w:rsidRPr="009C28C3" w:rsidRDefault="00227A77" w:rsidP="00F003BF">
      <w:pPr>
        <w:spacing w:before="30" w:after="30" w:line="480" w:lineRule="auto"/>
        <w:rPr>
          <w:b/>
          <w:bCs/>
          <w:i/>
          <w:sz w:val="24"/>
          <w:szCs w:val="24"/>
        </w:rPr>
      </w:pPr>
      <w:r w:rsidRPr="009C28C3">
        <w:rPr>
          <w:b/>
          <w:bCs/>
          <w:i/>
          <w:sz w:val="24"/>
          <w:szCs w:val="24"/>
        </w:rPr>
        <w:t>Análise de Dados</w:t>
      </w:r>
    </w:p>
    <w:p w14:paraId="00000024" w14:textId="77777777" w:rsidR="00791ABD" w:rsidRDefault="00227A77" w:rsidP="00F003BF">
      <w:pPr>
        <w:spacing w:before="30" w:after="30" w:line="480" w:lineRule="auto"/>
        <w:ind w:firstLine="720"/>
        <w:rPr>
          <w:sz w:val="24"/>
          <w:szCs w:val="24"/>
        </w:rPr>
      </w:pPr>
      <w:r>
        <w:rPr>
          <w:sz w:val="24"/>
          <w:szCs w:val="24"/>
        </w:rPr>
        <w:t xml:space="preserve">Foi realizada uma Análise Fatorial Exploratória (AFE) com o objetivo de avaliar a estrutura fatorial da Escala de Preconceito contra Diversidade Sexual e de Gênero (EPDSG). A análise foi realizada por meio do </w:t>
      </w:r>
      <w:r>
        <w:rPr>
          <w:i/>
          <w:sz w:val="24"/>
          <w:szCs w:val="24"/>
        </w:rPr>
        <w:t xml:space="preserve">software </w:t>
      </w:r>
      <w:r>
        <w:rPr>
          <w:sz w:val="24"/>
          <w:szCs w:val="24"/>
        </w:rPr>
        <w:t xml:space="preserve">Factor versão 10.10.3 utilizando uma matriz </w:t>
      </w:r>
      <w:proofErr w:type="spellStart"/>
      <w:r>
        <w:rPr>
          <w:sz w:val="24"/>
          <w:szCs w:val="24"/>
        </w:rPr>
        <w:t>policórica</w:t>
      </w:r>
      <w:proofErr w:type="spellEnd"/>
      <w:r>
        <w:rPr>
          <w:sz w:val="24"/>
          <w:szCs w:val="24"/>
        </w:rPr>
        <w:t xml:space="preserve"> e método de extração </w:t>
      </w:r>
      <w:proofErr w:type="spellStart"/>
      <w:r>
        <w:rPr>
          <w:i/>
          <w:sz w:val="24"/>
          <w:szCs w:val="24"/>
        </w:rPr>
        <w:t>Robust</w:t>
      </w:r>
      <w:proofErr w:type="spellEnd"/>
      <w:r>
        <w:rPr>
          <w:i/>
          <w:sz w:val="24"/>
          <w:szCs w:val="24"/>
        </w:rPr>
        <w:t xml:space="preserve"> </w:t>
      </w:r>
      <w:proofErr w:type="spellStart"/>
      <w:r>
        <w:rPr>
          <w:i/>
          <w:sz w:val="24"/>
          <w:szCs w:val="24"/>
        </w:rPr>
        <w:t>Diagonally</w:t>
      </w:r>
      <w:proofErr w:type="spellEnd"/>
      <w:r>
        <w:rPr>
          <w:i/>
          <w:sz w:val="24"/>
          <w:szCs w:val="24"/>
        </w:rPr>
        <w:t xml:space="preserve"> </w:t>
      </w:r>
      <w:proofErr w:type="spellStart"/>
      <w:r>
        <w:rPr>
          <w:i/>
          <w:sz w:val="24"/>
          <w:szCs w:val="24"/>
        </w:rPr>
        <w:t>Weighted</w:t>
      </w:r>
      <w:proofErr w:type="spellEnd"/>
      <w:r>
        <w:rPr>
          <w:i/>
          <w:sz w:val="24"/>
          <w:szCs w:val="24"/>
        </w:rPr>
        <w:t xml:space="preserve"> </w:t>
      </w:r>
      <w:proofErr w:type="spellStart"/>
      <w:r>
        <w:rPr>
          <w:i/>
          <w:sz w:val="24"/>
          <w:szCs w:val="24"/>
        </w:rPr>
        <w:t>Least</w:t>
      </w:r>
      <w:proofErr w:type="spellEnd"/>
      <w:r>
        <w:rPr>
          <w:i/>
          <w:sz w:val="24"/>
          <w:szCs w:val="24"/>
        </w:rPr>
        <w:t xml:space="preserve"> </w:t>
      </w:r>
      <w:proofErr w:type="spellStart"/>
      <w:r>
        <w:rPr>
          <w:i/>
          <w:sz w:val="24"/>
          <w:szCs w:val="24"/>
        </w:rPr>
        <w:t>Squares</w:t>
      </w:r>
      <w:proofErr w:type="spellEnd"/>
      <w:r>
        <w:rPr>
          <w:sz w:val="24"/>
          <w:szCs w:val="24"/>
        </w:rPr>
        <w:t xml:space="preserve"> (RDWLS). A decisão sobre o número de fatores a ser retido foi realizada por meio da técnica da Análise Paralela Robusta com permutação alea</w:t>
      </w:r>
      <w:r>
        <w:rPr>
          <w:sz w:val="24"/>
          <w:szCs w:val="24"/>
        </w:rPr>
        <w:t>tória dos dados observados (</w:t>
      </w:r>
      <w:proofErr w:type="spellStart"/>
      <w:r>
        <w:rPr>
          <w:color w:val="000000"/>
          <w:sz w:val="24"/>
          <w:szCs w:val="24"/>
        </w:rPr>
        <w:t>Timmerman</w:t>
      </w:r>
      <w:proofErr w:type="spellEnd"/>
      <w:r>
        <w:rPr>
          <w:color w:val="000000"/>
          <w:sz w:val="24"/>
          <w:szCs w:val="24"/>
        </w:rPr>
        <w:t>, &amp; Lorenzo-Seva, 2011</w:t>
      </w:r>
      <w:r>
        <w:rPr>
          <w:sz w:val="24"/>
          <w:szCs w:val="24"/>
        </w:rPr>
        <w:t xml:space="preserve">). Não se fixou o número de fatores e a rotação </w:t>
      </w:r>
      <w:proofErr w:type="spellStart"/>
      <w:r>
        <w:rPr>
          <w:i/>
          <w:sz w:val="24"/>
          <w:szCs w:val="24"/>
        </w:rPr>
        <w:t>Robust</w:t>
      </w:r>
      <w:proofErr w:type="spellEnd"/>
      <w:r>
        <w:rPr>
          <w:i/>
          <w:sz w:val="24"/>
          <w:szCs w:val="24"/>
        </w:rPr>
        <w:t xml:space="preserve"> </w:t>
      </w:r>
      <w:proofErr w:type="spellStart"/>
      <w:r>
        <w:rPr>
          <w:i/>
          <w:sz w:val="24"/>
          <w:szCs w:val="24"/>
        </w:rPr>
        <w:t>Oblimin</w:t>
      </w:r>
      <w:proofErr w:type="spellEnd"/>
      <w:r>
        <w:rPr>
          <w:sz w:val="24"/>
          <w:szCs w:val="24"/>
        </w:rPr>
        <w:t xml:space="preserve"> foi selecionada para o caso de a solução fatorial adequada ser multifatorial (</w:t>
      </w:r>
      <w:r>
        <w:rPr>
          <w:color w:val="000000"/>
          <w:sz w:val="24"/>
          <w:szCs w:val="24"/>
        </w:rPr>
        <w:t>Lorenzo-Seva &amp; Ferrando, 2019</w:t>
      </w:r>
      <w:r>
        <w:rPr>
          <w:sz w:val="24"/>
          <w:szCs w:val="24"/>
        </w:rPr>
        <w:t>).</w:t>
      </w:r>
    </w:p>
    <w:p w14:paraId="00000025" w14:textId="77777777" w:rsidR="00791ABD" w:rsidRDefault="00227A77" w:rsidP="00F003BF">
      <w:pPr>
        <w:spacing w:before="30" w:after="30" w:line="480" w:lineRule="auto"/>
        <w:ind w:firstLine="720"/>
        <w:rPr>
          <w:sz w:val="24"/>
          <w:szCs w:val="24"/>
        </w:rPr>
      </w:pPr>
      <w:r>
        <w:rPr>
          <w:sz w:val="24"/>
          <w:szCs w:val="24"/>
        </w:rPr>
        <w:t>A adequação do modelo fo</w:t>
      </w:r>
      <w:r>
        <w:rPr>
          <w:sz w:val="24"/>
          <w:szCs w:val="24"/>
        </w:rPr>
        <w:t xml:space="preserve">i avaliada por meio dos índices de ajuste razão χ² / graus de liberdade (χ² / </w:t>
      </w:r>
      <w:proofErr w:type="spellStart"/>
      <w:r>
        <w:rPr>
          <w:sz w:val="24"/>
          <w:szCs w:val="24"/>
        </w:rPr>
        <w:t>gl</w:t>
      </w:r>
      <w:proofErr w:type="spellEnd"/>
      <w:r>
        <w:rPr>
          <w:sz w:val="24"/>
          <w:szCs w:val="24"/>
        </w:rPr>
        <w:t xml:space="preserve">), </w:t>
      </w:r>
      <w:r>
        <w:rPr>
          <w:i/>
          <w:sz w:val="24"/>
          <w:szCs w:val="24"/>
        </w:rPr>
        <w:t xml:space="preserve">Root </w:t>
      </w:r>
      <w:proofErr w:type="spellStart"/>
      <w:r>
        <w:rPr>
          <w:i/>
          <w:sz w:val="24"/>
          <w:szCs w:val="24"/>
        </w:rPr>
        <w:t>Mean</w:t>
      </w:r>
      <w:proofErr w:type="spellEnd"/>
      <w:r>
        <w:rPr>
          <w:i/>
          <w:sz w:val="24"/>
          <w:szCs w:val="24"/>
        </w:rPr>
        <w:t xml:space="preserve"> Square </w:t>
      </w:r>
      <w:proofErr w:type="spellStart"/>
      <w:r>
        <w:rPr>
          <w:i/>
          <w:sz w:val="24"/>
          <w:szCs w:val="24"/>
        </w:rPr>
        <w:t>Error</w:t>
      </w:r>
      <w:proofErr w:type="spellEnd"/>
      <w:r>
        <w:rPr>
          <w:i/>
          <w:sz w:val="24"/>
          <w:szCs w:val="24"/>
        </w:rPr>
        <w:t xml:space="preserve"> </w:t>
      </w:r>
      <w:proofErr w:type="spellStart"/>
      <w:r>
        <w:rPr>
          <w:i/>
          <w:sz w:val="24"/>
          <w:szCs w:val="24"/>
        </w:rPr>
        <w:t>of</w:t>
      </w:r>
      <w:proofErr w:type="spellEnd"/>
      <w:r>
        <w:rPr>
          <w:i/>
          <w:sz w:val="24"/>
          <w:szCs w:val="24"/>
        </w:rPr>
        <w:t xml:space="preserve"> </w:t>
      </w:r>
      <w:proofErr w:type="spellStart"/>
      <w:r>
        <w:rPr>
          <w:i/>
          <w:sz w:val="24"/>
          <w:szCs w:val="24"/>
        </w:rPr>
        <w:t>Aproximation</w:t>
      </w:r>
      <w:proofErr w:type="spellEnd"/>
      <w:r>
        <w:rPr>
          <w:sz w:val="24"/>
          <w:szCs w:val="24"/>
        </w:rPr>
        <w:t xml:space="preserve"> (RMSEA), </w:t>
      </w:r>
      <w:proofErr w:type="spellStart"/>
      <w:r>
        <w:rPr>
          <w:i/>
          <w:sz w:val="24"/>
          <w:szCs w:val="24"/>
        </w:rPr>
        <w:t>Comparative</w:t>
      </w:r>
      <w:proofErr w:type="spellEnd"/>
      <w:r>
        <w:rPr>
          <w:i/>
          <w:sz w:val="24"/>
          <w:szCs w:val="24"/>
        </w:rPr>
        <w:t xml:space="preserve"> Fit Index</w:t>
      </w:r>
      <w:r>
        <w:rPr>
          <w:sz w:val="24"/>
          <w:szCs w:val="24"/>
        </w:rPr>
        <w:t xml:space="preserve"> (CFI) e </w:t>
      </w:r>
      <w:r>
        <w:rPr>
          <w:i/>
          <w:sz w:val="24"/>
          <w:szCs w:val="24"/>
        </w:rPr>
        <w:t xml:space="preserve">Tucker-Lewis Index </w:t>
      </w:r>
      <w:r>
        <w:rPr>
          <w:sz w:val="24"/>
          <w:szCs w:val="24"/>
        </w:rPr>
        <w:t>(TLI). De acordo com a literatura (</w:t>
      </w:r>
      <w:r>
        <w:rPr>
          <w:color w:val="000000"/>
          <w:sz w:val="24"/>
          <w:szCs w:val="24"/>
        </w:rPr>
        <w:t>Brown, 2015</w:t>
      </w:r>
      <w:r>
        <w:rPr>
          <w:sz w:val="24"/>
          <w:szCs w:val="24"/>
        </w:rPr>
        <w:t xml:space="preserve">), valores de RMSEA devem ser </w:t>
      </w:r>
      <w:r>
        <w:rPr>
          <w:sz w:val="24"/>
          <w:szCs w:val="24"/>
        </w:rPr>
        <w:t xml:space="preserve">menores que 0,08, e valores de CFI e TLI devem ser acima de 0,90, ou preferencialmente, 0,95; e valores de χ² / </w:t>
      </w:r>
      <w:proofErr w:type="spellStart"/>
      <w:r>
        <w:rPr>
          <w:sz w:val="24"/>
          <w:szCs w:val="24"/>
        </w:rPr>
        <w:t>gl</w:t>
      </w:r>
      <w:proofErr w:type="spellEnd"/>
      <w:r>
        <w:rPr>
          <w:sz w:val="24"/>
          <w:szCs w:val="24"/>
        </w:rPr>
        <w:t xml:space="preserve"> devem ser inferiores a 2. Foram consideradas satisfatórias as cargas fatoriais com valores acima de 0,40 (</w:t>
      </w:r>
      <w:proofErr w:type="spellStart"/>
      <w:r>
        <w:rPr>
          <w:color w:val="000000"/>
          <w:sz w:val="24"/>
          <w:szCs w:val="24"/>
        </w:rPr>
        <w:t>Hair</w:t>
      </w:r>
      <w:proofErr w:type="spellEnd"/>
      <w:r>
        <w:rPr>
          <w:color w:val="000000"/>
          <w:sz w:val="24"/>
          <w:szCs w:val="24"/>
        </w:rPr>
        <w:t xml:space="preserve"> et al., 2019</w:t>
      </w:r>
      <w:r>
        <w:rPr>
          <w:sz w:val="24"/>
          <w:szCs w:val="24"/>
        </w:rPr>
        <w:t>); e comunalidades</w:t>
      </w:r>
      <w:r>
        <w:rPr>
          <w:sz w:val="24"/>
          <w:szCs w:val="24"/>
        </w:rPr>
        <w:t xml:space="preserve"> acima de 0,20 </w:t>
      </w:r>
      <w:r>
        <w:rPr>
          <w:color w:val="000000"/>
          <w:sz w:val="24"/>
          <w:szCs w:val="24"/>
        </w:rPr>
        <w:t>(</w:t>
      </w:r>
      <w:proofErr w:type="spellStart"/>
      <w:r>
        <w:rPr>
          <w:color w:val="000000"/>
          <w:sz w:val="24"/>
          <w:szCs w:val="24"/>
        </w:rPr>
        <w:t>Child</w:t>
      </w:r>
      <w:proofErr w:type="spellEnd"/>
      <w:r>
        <w:rPr>
          <w:color w:val="000000"/>
          <w:sz w:val="24"/>
          <w:szCs w:val="24"/>
        </w:rPr>
        <w:t>, 2006)</w:t>
      </w:r>
      <w:r>
        <w:rPr>
          <w:sz w:val="24"/>
          <w:szCs w:val="24"/>
        </w:rPr>
        <w:t>.</w:t>
      </w:r>
    </w:p>
    <w:p w14:paraId="00000026" w14:textId="77777777" w:rsidR="00791ABD" w:rsidRDefault="00227A77" w:rsidP="00F003BF">
      <w:pPr>
        <w:spacing w:before="30" w:after="30" w:line="480" w:lineRule="auto"/>
        <w:ind w:firstLine="720"/>
        <w:rPr>
          <w:sz w:val="24"/>
          <w:szCs w:val="24"/>
        </w:rPr>
      </w:pPr>
      <w:r>
        <w:rPr>
          <w:sz w:val="24"/>
          <w:szCs w:val="24"/>
        </w:rPr>
        <w:t xml:space="preserve">A estabilidade dos fatores foi avaliada por meio do índice </w:t>
      </w:r>
      <w:r>
        <w:rPr>
          <w:i/>
          <w:color w:val="000000"/>
          <w:sz w:val="24"/>
          <w:szCs w:val="24"/>
        </w:rPr>
        <w:t>H-index</w:t>
      </w:r>
      <w:r>
        <w:rPr>
          <w:color w:val="000000"/>
          <w:sz w:val="24"/>
          <w:szCs w:val="24"/>
        </w:rPr>
        <w:t xml:space="preserve"> (Ferrando &amp; Lorenzo-Seva, 2018</w:t>
      </w:r>
      <w:r>
        <w:rPr>
          <w:sz w:val="24"/>
          <w:szCs w:val="24"/>
        </w:rPr>
        <w:t>). O índice H avalia quão bem um conjunto de itens representa um fator comum, variando de 0 a 1. Valores altos de H (&gt; 0,80) sugerem uma variável latente definida, com maior probabilidade de ser estável em diferentes estudos. Valores baixos de H sugerem um</w:t>
      </w:r>
      <w:r>
        <w:rPr>
          <w:sz w:val="24"/>
          <w:szCs w:val="24"/>
        </w:rPr>
        <w:t>a variável latente mal definida, e provavelmente instável entre diferentes estudos (</w:t>
      </w:r>
      <w:r>
        <w:rPr>
          <w:color w:val="000000"/>
          <w:sz w:val="24"/>
          <w:szCs w:val="24"/>
        </w:rPr>
        <w:t>Hancock &amp; Mueller, 2000</w:t>
      </w:r>
      <w:r>
        <w:rPr>
          <w:sz w:val="24"/>
          <w:szCs w:val="24"/>
        </w:rPr>
        <w:t xml:space="preserve">). Foram computadas as medidas de dimensionalidade </w:t>
      </w:r>
      <w:r>
        <w:rPr>
          <w:i/>
          <w:sz w:val="24"/>
          <w:szCs w:val="24"/>
        </w:rPr>
        <w:t xml:space="preserve">Unidimensional </w:t>
      </w:r>
      <w:proofErr w:type="spellStart"/>
      <w:r>
        <w:rPr>
          <w:i/>
          <w:sz w:val="24"/>
          <w:szCs w:val="24"/>
        </w:rPr>
        <w:lastRenderedPageBreak/>
        <w:t>Congruence</w:t>
      </w:r>
      <w:proofErr w:type="spellEnd"/>
      <w:r>
        <w:rPr>
          <w:sz w:val="24"/>
          <w:szCs w:val="24"/>
        </w:rPr>
        <w:t xml:space="preserve"> (</w:t>
      </w:r>
      <w:proofErr w:type="spellStart"/>
      <w:r>
        <w:rPr>
          <w:sz w:val="24"/>
          <w:szCs w:val="24"/>
        </w:rPr>
        <w:t>UniCo</w:t>
      </w:r>
      <w:proofErr w:type="spellEnd"/>
      <w:r>
        <w:rPr>
          <w:sz w:val="24"/>
          <w:szCs w:val="24"/>
        </w:rPr>
        <w:t xml:space="preserve">), </w:t>
      </w:r>
      <w:proofErr w:type="spellStart"/>
      <w:r>
        <w:rPr>
          <w:i/>
          <w:sz w:val="24"/>
          <w:szCs w:val="24"/>
        </w:rPr>
        <w:t>Explained</w:t>
      </w:r>
      <w:proofErr w:type="spellEnd"/>
      <w:r>
        <w:rPr>
          <w:i/>
          <w:sz w:val="24"/>
          <w:szCs w:val="24"/>
        </w:rPr>
        <w:t xml:space="preserve"> Common </w:t>
      </w:r>
      <w:proofErr w:type="spellStart"/>
      <w:r>
        <w:rPr>
          <w:i/>
          <w:sz w:val="24"/>
          <w:szCs w:val="24"/>
        </w:rPr>
        <w:t>Variance</w:t>
      </w:r>
      <w:proofErr w:type="spellEnd"/>
      <w:r>
        <w:rPr>
          <w:sz w:val="24"/>
          <w:szCs w:val="24"/>
        </w:rPr>
        <w:t xml:space="preserve"> (EVC) e </w:t>
      </w:r>
      <w:proofErr w:type="spellStart"/>
      <w:r>
        <w:rPr>
          <w:i/>
          <w:sz w:val="24"/>
          <w:szCs w:val="24"/>
        </w:rPr>
        <w:t>Mean</w:t>
      </w:r>
      <w:proofErr w:type="spellEnd"/>
      <w:r>
        <w:rPr>
          <w:i/>
          <w:sz w:val="24"/>
          <w:szCs w:val="24"/>
        </w:rPr>
        <w:t xml:space="preserve"> </w:t>
      </w:r>
      <w:proofErr w:type="spellStart"/>
      <w:r>
        <w:rPr>
          <w:i/>
          <w:sz w:val="24"/>
          <w:szCs w:val="24"/>
        </w:rPr>
        <w:t>of</w:t>
      </w:r>
      <w:proofErr w:type="spellEnd"/>
      <w:r>
        <w:rPr>
          <w:i/>
          <w:sz w:val="24"/>
          <w:szCs w:val="24"/>
        </w:rPr>
        <w:t xml:space="preserve"> Item </w:t>
      </w:r>
      <w:proofErr w:type="spellStart"/>
      <w:r>
        <w:rPr>
          <w:i/>
          <w:sz w:val="24"/>
          <w:szCs w:val="24"/>
        </w:rPr>
        <w:t>REsidual</w:t>
      </w:r>
      <w:proofErr w:type="spellEnd"/>
      <w:r>
        <w:rPr>
          <w:i/>
          <w:sz w:val="24"/>
          <w:szCs w:val="24"/>
        </w:rPr>
        <w:t xml:space="preserve"> </w:t>
      </w:r>
      <w:proofErr w:type="spellStart"/>
      <w:r>
        <w:rPr>
          <w:i/>
          <w:sz w:val="24"/>
          <w:szCs w:val="24"/>
        </w:rPr>
        <w:t>Absolut</w:t>
      </w:r>
      <w:r>
        <w:rPr>
          <w:i/>
          <w:sz w:val="24"/>
          <w:szCs w:val="24"/>
        </w:rPr>
        <w:t>e</w:t>
      </w:r>
      <w:proofErr w:type="spellEnd"/>
      <w:r>
        <w:rPr>
          <w:i/>
          <w:sz w:val="24"/>
          <w:szCs w:val="24"/>
        </w:rPr>
        <w:t xml:space="preserve"> </w:t>
      </w:r>
      <w:proofErr w:type="spellStart"/>
      <w:r>
        <w:rPr>
          <w:i/>
          <w:sz w:val="24"/>
          <w:szCs w:val="24"/>
        </w:rPr>
        <w:t>Loadings</w:t>
      </w:r>
      <w:proofErr w:type="spellEnd"/>
      <w:r>
        <w:rPr>
          <w:sz w:val="24"/>
          <w:szCs w:val="24"/>
        </w:rPr>
        <w:t xml:space="preserve"> (MIREAL) (</w:t>
      </w:r>
      <w:r>
        <w:rPr>
          <w:color w:val="000000"/>
          <w:sz w:val="24"/>
          <w:szCs w:val="24"/>
        </w:rPr>
        <w:t>Ferrando &amp; Lorenzo-Seva, 2018</w:t>
      </w:r>
      <w:r>
        <w:rPr>
          <w:sz w:val="24"/>
          <w:szCs w:val="24"/>
        </w:rPr>
        <w:t xml:space="preserve">). Os pontos de corte que sugerem que os dados podem ser tratados como essencialmente unidimensional são valores acima de 0,95 para a </w:t>
      </w:r>
      <w:proofErr w:type="spellStart"/>
      <w:r>
        <w:rPr>
          <w:sz w:val="24"/>
          <w:szCs w:val="24"/>
        </w:rPr>
        <w:t>UniCo</w:t>
      </w:r>
      <w:proofErr w:type="spellEnd"/>
      <w:r>
        <w:rPr>
          <w:sz w:val="24"/>
          <w:szCs w:val="24"/>
        </w:rPr>
        <w:t>; maior que 0,85 para a ECV; e menores que 0,30 para o MIREAL.</w:t>
      </w:r>
    </w:p>
    <w:p w14:paraId="00000027" w14:textId="77777777" w:rsidR="00791ABD" w:rsidRDefault="00227A77" w:rsidP="00F003BF">
      <w:pPr>
        <w:spacing w:before="30" w:after="30" w:line="480" w:lineRule="auto"/>
        <w:ind w:firstLine="720"/>
        <w:rPr>
          <w:sz w:val="24"/>
          <w:szCs w:val="24"/>
        </w:rPr>
      </w:pPr>
      <w:r>
        <w:rPr>
          <w:sz w:val="24"/>
          <w:szCs w:val="24"/>
        </w:rPr>
        <w:t xml:space="preserve">Por </w:t>
      </w:r>
      <w:r>
        <w:rPr>
          <w:sz w:val="24"/>
          <w:szCs w:val="24"/>
        </w:rPr>
        <w:t>fim, para investigar evidências de validade de critério entre grupos, foram realizadas Análises de Variância (</w:t>
      </w:r>
      <w:proofErr w:type="spellStart"/>
      <w:r>
        <w:rPr>
          <w:sz w:val="24"/>
          <w:szCs w:val="24"/>
        </w:rPr>
        <w:t>ANOVAs</w:t>
      </w:r>
      <w:proofErr w:type="spellEnd"/>
      <w:r>
        <w:rPr>
          <w:sz w:val="24"/>
          <w:szCs w:val="24"/>
        </w:rPr>
        <w:t xml:space="preserve">) e teste post-hoc Games-Howell para comparar as médias nos escores da EPCDSG entre participantes com diferentes níveis de formação (Ensino </w:t>
      </w:r>
      <w:r>
        <w:rPr>
          <w:sz w:val="24"/>
          <w:szCs w:val="24"/>
        </w:rPr>
        <w:t>Básico, Bacharelato/Licenciatura; Mestrado/Doutoramento) e entre participantes com diferentes experiências de contato com pessoas gays ou lésbicas (tem contato, não tem contato, não sabe se tem contato). O post-hoc Games-Howell foi escolhido por ser uma es</w:t>
      </w:r>
      <w:r>
        <w:rPr>
          <w:sz w:val="24"/>
          <w:szCs w:val="24"/>
        </w:rPr>
        <w:t>tatística que pondera as diferenças de tamanho entre os grupos comparados, corrigindo possíveis distorções, como a igualdade de variância (</w:t>
      </w:r>
      <w:proofErr w:type="spellStart"/>
      <w:r>
        <w:rPr>
          <w:color w:val="000000"/>
          <w:sz w:val="24"/>
          <w:szCs w:val="24"/>
        </w:rPr>
        <w:t>Shingala</w:t>
      </w:r>
      <w:proofErr w:type="spellEnd"/>
      <w:r>
        <w:rPr>
          <w:color w:val="000000"/>
          <w:sz w:val="24"/>
          <w:szCs w:val="24"/>
        </w:rPr>
        <w:t xml:space="preserve"> &amp; </w:t>
      </w:r>
      <w:proofErr w:type="spellStart"/>
      <w:r>
        <w:rPr>
          <w:color w:val="000000"/>
          <w:sz w:val="24"/>
          <w:szCs w:val="24"/>
        </w:rPr>
        <w:t>Rajyaguru</w:t>
      </w:r>
      <w:proofErr w:type="spellEnd"/>
      <w:r>
        <w:rPr>
          <w:color w:val="000000"/>
          <w:sz w:val="24"/>
          <w:szCs w:val="24"/>
        </w:rPr>
        <w:t>, 2015</w:t>
      </w:r>
      <w:r>
        <w:rPr>
          <w:sz w:val="24"/>
          <w:szCs w:val="24"/>
        </w:rPr>
        <w:t>). Para investigação de evidências de validade de critério convergente, foram realizadas co</w:t>
      </w:r>
      <w:r>
        <w:rPr>
          <w:sz w:val="24"/>
          <w:szCs w:val="24"/>
        </w:rPr>
        <w:t xml:space="preserve">rrelações de Pearson entre os escores da EPCDSG e as questões sobre a importância do tema da diversidade sexual e de gênero (profissional, acadêmica, na educação básica, na educação secundária) e a relevância dos valores religiosos no </w:t>
      </w:r>
      <w:proofErr w:type="gramStart"/>
      <w:r>
        <w:rPr>
          <w:sz w:val="24"/>
          <w:szCs w:val="24"/>
        </w:rPr>
        <w:t>dia-a-dia</w:t>
      </w:r>
      <w:proofErr w:type="gramEnd"/>
      <w:r>
        <w:rPr>
          <w:sz w:val="24"/>
          <w:szCs w:val="24"/>
        </w:rPr>
        <w:t>. Essas anál</w:t>
      </w:r>
      <w:r>
        <w:rPr>
          <w:sz w:val="24"/>
          <w:szCs w:val="24"/>
        </w:rPr>
        <w:t>ises foram feitas no software SPSS versão 21.</w:t>
      </w:r>
    </w:p>
    <w:p w14:paraId="00000028" w14:textId="77777777" w:rsidR="00791ABD" w:rsidRDefault="00227A77" w:rsidP="00F003BF">
      <w:pPr>
        <w:spacing w:before="30" w:after="30" w:line="480" w:lineRule="auto"/>
        <w:ind w:firstLine="720"/>
        <w:rPr>
          <w:sz w:val="24"/>
          <w:szCs w:val="24"/>
        </w:rPr>
      </w:pPr>
      <w:r>
        <w:rPr>
          <w:sz w:val="24"/>
          <w:szCs w:val="24"/>
        </w:rPr>
        <w:t xml:space="preserve"> </w:t>
      </w:r>
    </w:p>
    <w:p w14:paraId="00000029" w14:textId="77777777" w:rsidR="00791ABD" w:rsidRDefault="00227A77" w:rsidP="001E3E3A">
      <w:pPr>
        <w:spacing w:before="30" w:after="30" w:line="480" w:lineRule="auto"/>
        <w:jc w:val="center"/>
        <w:rPr>
          <w:b/>
          <w:sz w:val="24"/>
          <w:szCs w:val="24"/>
        </w:rPr>
      </w:pPr>
      <w:r>
        <w:rPr>
          <w:b/>
          <w:sz w:val="24"/>
          <w:szCs w:val="24"/>
        </w:rPr>
        <w:t>Resultados</w:t>
      </w:r>
    </w:p>
    <w:p w14:paraId="0000002A" w14:textId="77777777" w:rsidR="00791ABD" w:rsidRDefault="00227A77" w:rsidP="00F003BF">
      <w:pPr>
        <w:spacing w:before="30" w:after="30" w:line="480" w:lineRule="auto"/>
        <w:rPr>
          <w:i/>
          <w:sz w:val="24"/>
          <w:szCs w:val="24"/>
        </w:rPr>
      </w:pPr>
      <w:r>
        <w:rPr>
          <w:i/>
          <w:sz w:val="24"/>
          <w:szCs w:val="24"/>
        </w:rPr>
        <w:t>Estrutura Fatorial</w:t>
      </w:r>
    </w:p>
    <w:p w14:paraId="0000002B" w14:textId="77777777" w:rsidR="00791ABD" w:rsidRDefault="00227A77" w:rsidP="00F003BF">
      <w:pPr>
        <w:spacing w:before="30" w:after="30" w:line="480" w:lineRule="auto"/>
        <w:ind w:firstLine="720"/>
        <w:rPr>
          <w:sz w:val="24"/>
          <w:szCs w:val="24"/>
        </w:rPr>
      </w:pPr>
      <w:r>
        <w:rPr>
          <w:sz w:val="24"/>
          <w:szCs w:val="24"/>
        </w:rPr>
        <w:t xml:space="preserve">Os testes de esfericidade de </w:t>
      </w:r>
      <w:proofErr w:type="spellStart"/>
      <w:r>
        <w:rPr>
          <w:sz w:val="24"/>
          <w:szCs w:val="24"/>
        </w:rPr>
        <w:t>Bartlett</w:t>
      </w:r>
      <w:proofErr w:type="spellEnd"/>
      <w:r>
        <w:rPr>
          <w:sz w:val="24"/>
          <w:szCs w:val="24"/>
        </w:rPr>
        <w:t xml:space="preserve"> (1160,9, </w:t>
      </w:r>
      <w:proofErr w:type="spellStart"/>
      <w:r>
        <w:rPr>
          <w:sz w:val="24"/>
          <w:szCs w:val="24"/>
        </w:rPr>
        <w:t>gl</w:t>
      </w:r>
      <w:proofErr w:type="spellEnd"/>
      <w:r>
        <w:rPr>
          <w:sz w:val="24"/>
          <w:szCs w:val="24"/>
        </w:rPr>
        <w:t xml:space="preserve"> = 231, p &lt; 0,001) e KMO (0,86 I.C. [0,87; 0,88]) indicaram a </w:t>
      </w:r>
      <w:proofErr w:type="spellStart"/>
      <w:r>
        <w:rPr>
          <w:sz w:val="24"/>
          <w:szCs w:val="24"/>
        </w:rPr>
        <w:t>interpretabilidade</w:t>
      </w:r>
      <w:proofErr w:type="spellEnd"/>
      <w:r>
        <w:rPr>
          <w:sz w:val="24"/>
          <w:szCs w:val="24"/>
        </w:rPr>
        <w:t xml:space="preserve"> da matriz de correlação dos itens. A análise par</w:t>
      </w:r>
      <w:r>
        <w:rPr>
          <w:sz w:val="24"/>
          <w:szCs w:val="24"/>
        </w:rPr>
        <w:t xml:space="preserve">alela sugeriu a solução </w:t>
      </w:r>
      <w:proofErr w:type="spellStart"/>
      <w:r>
        <w:rPr>
          <w:sz w:val="24"/>
          <w:szCs w:val="24"/>
        </w:rPr>
        <w:t>unifatorial</w:t>
      </w:r>
      <w:proofErr w:type="spellEnd"/>
      <w:r>
        <w:rPr>
          <w:sz w:val="24"/>
          <w:szCs w:val="24"/>
        </w:rPr>
        <w:t xml:space="preserve"> como a mais representativa para os dados, portanto, não foram computadas estruturas fatoriais rotacionadas. Quanto às cargas fatoriais e comunalidades dos itens, na tabela 1, pode-se observar que os itens 5 e 20 apresent</w:t>
      </w:r>
      <w:r>
        <w:rPr>
          <w:sz w:val="24"/>
          <w:szCs w:val="24"/>
        </w:rPr>
        <w:t xml:space="preserve">aram valores inferiores ao ponto de corte satisfatório. Em razão disso foi testado um modelo ajustado com 20 itens, retirando os </w:t>
      </w:r>
      <w:r>
        <w:rPr>
          <w:sz w:val="24"/>
          <w:szCs w:val="24"/>
        </w:rPr>
        <w:lastRenderedPageBreak/>
        <w:t>dois itens que não carregaram adequadamente no fator único. No modelo ajustado todos os itens apresentaram cargas fatoriais e c</w:t>
      </w:r>
      <w:r>
        <w:rPr>
          <w:sz w:val="24"/>
          <w:szCs w:val="24"/>
        </w:rPr>
        <w:t xml:space="preserve">omunalidades satisfatórias.  </w:t>
      </w:r>
    </w:p>
    <w:p w14:paraId="0000002C" w14:textId="77777777" w:rsidR="00791ABD" w:rsidRPr="001E3E3A" w:rsidRDefault="00227A77" w:rsidP="00F003BF">
      <w:pPr>
        <w:spacing w:before="30" w:after="30" w:line="480" w:lineRule="auto"/>
        <w:jc w:val="left"/>
        <w:rPr>
          <w:bCs/>
          <w:sz w:val="24"/>
          <w:szCs w:val="24"/>
        </w:rPr>
      </w:pPr>
      <w:r w:rsidRPr="001E3E3A">
        <w:rPr>
          <w:bCs/>
          <w:sz w:val="24"/>
          <w:szCs w:val="24"/>
        </w:rPr>
        <w:t xml:space="preserve">Tabela 1 </w:t>
      </w:r>
    </w:p>
    <w:p w14:paraId="0000002D" w14:textId="77777777" w:rsidR="00791ABD" w:rsidRDefault="00227A77" w:rsidP="00F003BF">
      <w:pPr>
        <w:spacing w:before="30" w:after="30" w:line="480" w:lineRule="auto"/>
        <w:rPr>
          <w:i/>
          <w:sz w:val="24"/>
          <w:szCs w:val="24"/>
        </w:rPr>
      </w:pPr>
      <w:r>
        <w:rPr>
          <w:i/>
          <w:sz w:val="24"/>
          <w:szCs w:val="24"/>
        </w:rPr>
        <w:t>Comparação das Cargas Fatoriais e Comunalidade (h²) do modelo inicial (EPDSG-22) e do modelo ajustado</w:t>
      </w:r>
      <w:r>
        <w:rPr>
          <w:sz w:val="24"/>
          <w:szCs w:val="24"/>
        </w:rPr>
        <w:t xml:space="preserve"> </w:t>
      </w:r>
      <w:r>
        <w:rPr>
          <w:i/>
          <w:sz w:val="24"/>
          <w:szCs w:val="24"/>
        </w:rPr>
        <w:t>(EPDSG-20)</w:t>
      </w:r>
    </w:p>
    <w:tbl>
      <w:tblPr>
        <w:tblStyle w:val="a5"/>
        <w:tblW w:w="8504"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160"/>
        <w:gridCol w:w="1106"/>
        <w:gridCol w:w="566"/>
        <w:gridCol w:w="1106"/>
        <w:gridCol w:w="566"/>
      </w:tblGrid>
      <w:tr w:rsidR="00791ABD" w:rsidRPr="001E3E3A" w14:paraId="11F818AD" w14:textId="77777777">
        <w:tc>
          <w:tcPr>
            <w:tcW w:w="5160" w:type="dxa"/>
            <w:vAlign w:val="center"/>
          </w:tcPr>
          <w:p w14:paraId="0000002E" w14:textId="77777777" w:rsidR="00791ABD" w:rsidRPr="001E3E3A" w:rsidRDefault="00791ABD" w:rsidP="00F003BF">
            <w:pPr>
              <w:spacing w:before="30" w:after="30"/>
              <w:jc w:val="both"/>
              <w:rPr>
                <w:rFonts w:ascii="Times New Roman" w:eastAsia="Times New Roman" w:hAnsi="Times New Roman" w:cs="Times New Roman"/>
                <w:sz w:val="20"/>
                <w:szCs w:val="20"/>
              </w:rPr>
            </w:pPr>
          </w:p>
        </w:tc>
        <w:tc>
          <w:tcPr>
            <w:tcW w:w="1672" w:type="dxa"/>
            <w:gridSpan w:val="2"/>
            <w:vAlign w:val="center"/>
          </w:tcPr>
          <w:p w14:paraId="0000002F"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Modelo Inicial</w:t>
            </w:r>
          </w:p>
        </w:tc>
        <w:tc>
          <w:tcPr>
            <w:tcW w:w="1672" w:type="dxa"/>
            <w:gridSpan w:val="2"/>
            <w:vAlign w:val="center"/>
          </w:tcPr>
          <w:p w14:paraId="00000031"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Modelo Ajustado</w:t>
            </w:r>
          </w:p>
        </w:tc>
      </w:tr>
      <w:tr w:rsidR="00791ABD" w:rsidRPr="001E3E3A" w14:paraId="75D76A61" w14:textId="77777777">
        <w:tc>
          <w:tcPr>
            <w:tcW w:w="5160" w:type="dxa"/>
            <w:vAlign w:val="center"/>
          </w:tcPr>
          <w:p w14:paraId="00000033"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Item</w:t>
            </w:r>
          </w:p>
        </w:tc>
        <w:tc>
          <w:tcPr>
            <w:tcW w:w="1106" w:type="dxa"/>
            <w:vAlign w:val="center"/>
          </w:tcPr>
          <w:p w14:paraId="00000034"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Carga Fatorial</w:t>
            </w:r>
          </w:p>
        </w:tc>
        <w:tc>
          <w:tcPr>
            <w:tcW w:w="566" w:type="dxa"/>
            <w:vAlign w:val="center"/>
          </w:tcPr>
          <w:p w14:paraId="00000035"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h²</w:t>
            </w:r>
          </w:p>
        </w:tc>
        <w:tc>
          <w:tcPr>
            <w:tcW w:w="1106" w:type="dxa"/>
            <w:vAlign w:val="center"/>
          </w:tcPr>
          <w:p w14:paraId="00000036"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Carga Fatorial</w:t>
            </w:r>
          </w:p>
        </w:tc>
        <w:tc>
          <w:tcPr>
            <w:tcW w:w="566" w:type="dxa"/>
            <w:vAlign w:val="center"/>
          </w:tcPr>
          <w:p w14:paraId="00000037"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h²</w:t>
            </w:r>
          </w:p>
        </w:tc>
      </w:tr>
      <w:tr w:rsidR="00791ABD" w:rsidRPr="001E3E3A" w14:paraId="6418FAA8" w14:textId="77777777">
        <w:tc>
          <w:tcPr>
            <w:tcW w:w="5160" w:type="dxa"/>
          </w:tcPr>
          <w:p w14:paraId="00000038"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Os Travestis dão-me nojo</w:t>
            </w:r>
          </w:p>
        </w:tc>
        <w:tc>
          <w:tcPr>
            <w:tcW w:w="1106" w:type="dxa"/>
            <w:vAlign w:val="center"/>
          </w:tcPr>
          <w:p w14:paraId="00000039"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-0,65</w:t>
            </w:r>
          </w:p>
        </w:tc>
        <w:tc>
          <w:tcPr>
            <w:tcW w:w="566" w:type="dxa"/>
            <w:vAlign w:val="center"/>
          </w:tcPr>
          <w:p w14:paraId="0000003A"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0,43</w:t>
            </w:r>
          </w:p>
        </w:tc>
        <w:tc>
          <w:tcPr>
            <w:tcW w:w="1106" w:type="dxa"/>
            <w:vAlign w:val="center"/>
          </w:tcPr>
          <w:p w14:paraId="0000003B"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-0,67</w:t>
            </w:r>
          </w:p>
        </w:tc>
        <w:tc>
          <w:tcPr>
            <w:tcW w:w="566" w:type="dxa"/>
            <w:vAlign w:val="center"/>
          </w:tcPr>
          <w:p w14:paraId="0000003C"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0,45</w:t>
            </w:r>
          </w:p>
        </w:tc>
      </w:tr>
      <w:tr w:rsidR="00791ABD" w:rsidRPr="001E3E3A" w14:paraId="2D54DCC5" w14:textId="77777777">
        <w:tc>
          <w:tcPr>
            <w:tcW w:w="5160" w:type="dxa"/>
          </w:tcPr>
          <w:p w14:paraId="0000003D"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Os homens que se comportam como mulheres deveriam envergonhar-se</w:t>
            </w:r>
          </w:p>
        </w:tc>
        <w:tc>
          <w:tcPr>
            <w:tcW w:w="1106" w:type="dxa"/>
            <w:vAlign w:val="center"/>
          </w:tcPr>
          <w:p w14:paraId="0000003E"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-0,79</w:t>
            </w:r>
          </w:p>
        </w:tc>
        <w:tc>
          <w:tcPr>
            <w:tcW w:w="566" w:type="dxa"/>
            <w:vAlign w:val="center"/>
          </w:tcPr>
          <w:p w14:paraId="0000003F"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0,63</w:t>
            </w:r>
          </w:p>
        </w:tc>
        <w:tc>
          <w:tcPr>
            <w:tcW w:w="1106" w:type="dxa"/>
            <w:vAlign w:val="center"/>
          </w:tcPr>
          <w:p w14:paraId="00000040"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-0,81</w:t>
            </w:r>
          </w:p>
        </w:tc>
        <w:tc>
          <w:tcPr>
            <w:tcW w:w="566" w:type="dxa"/>
            <w:vAlign w:val="center"/>
          </w:tcPr>
          <w:p w14:paraId="00000041"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0,66</w:t>
            </w:r>
          </w:p>
        </w:tc>
      </w:tr>
      <w:tr w:rsidR="00791ABD" w:rsidRPr="001E3E3A" w14:paraId="2BA62DF6" w14:textId="77777777">
        <w:tc>
          <w:tcPr>
            <w:tcW w:w="5160" w:type="dxa"/>
          </w:tcPr>
          <w:p w14:paraId="00000042"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Os homens que depilam as suas pernas são estranhos</w:t>
            </w:r>
          </w:p>
        </w:tc>
        <w:tc>
          <w:tcPr>
            <w:tcW w:w="1106" w:type="dxa"/>
            <w:vAlign w:val="center"/>
          </w:tcPr>
          <w:p w14:paraId="00000043"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-0,54</w:t>
            </w:r>
          </w:p>
        </w:tc>
        <w:tc>
          <w:tcPr>
            <w:tcW w:w="566" w:type="dxa"/>
            <w:vAlign w:val="center"/>
          </w:tcPr>
          <w:p w14:paraId="00000044"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0,30</w:t>
            </w:r>
          </w:p>
        </w:tc>
        <w:tc>
          <w:tcPr>
            <w:tcW w:w="1106" w:type="dxa"/>
            <w:vAlign w:val="center"/>
          </w:tcPr>
          <w:p w14:paraId="00000045"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-0,58</w:t>
            </w:r>
          </w:p>
        </w:tc>
        <w:tc>
          <w:tcPr>
            <w:tcW w:w="566" w:type="dxa"/>
            <w:vAlign w:val="center"/>
          </w:tcPr>
          <w:p w14:paraId="00000046"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0,33</w:t>
            </w:r>
          </w:p>
        </w:tc>
      </w:tr>
      <w:tr w:rsidR="00791ABD" w:rsidRPr="001E3E3A" w14:paraId="213DF948" w14:textId="77777777">
        <w:tc>
          <w:tcPr>
            <w:tcW w:w="5160" w:type="dxa"/>
          </w:tcPr>
          <w:p w14:paraId="00000047"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Eu não consigo entender por que é que uma mulher se comportaria como um homem</w:t>
            </w:r>
          </w:p>
        </w:tc>
        <w:tc>
          <w:tcPr>
            <w:tcW w:w="1106" w:type="dxa"/>
            <w:vAlign w:val="center"/>
          </w:tcPr>
          <w:p w14:paraId="00000048"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-0,65</w:t>
            </w:r>
          </w:p>
        </w:tc>
        <w:tc>
          <w:tcPr>
            <w:tcW w:w="566" w:type="dxa"/>
            <w:vAlign w:val="center"/>
          </w:tcPr>
          <w:p w14:paraId="00000049"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0,43</w:t>
            </w:r>
          </w:p>
        </w:tc>
        <w:tc>
          <w:tcPr>
            <w:tcW w:w="1106" w:type="dxa"/>
            <w:vAlign w:val="center"/>
          </w:tcPr>
          <w:p w14:paraId="0000004A"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-0,66</w:t>
            </w:r>
          </w:p>
        </w:tc>
        <w:tc>
          <w:tcPr>
            <w:tcW w:w="566" w:type="dxa"/>
            <w:vAlign w:val="center"/>
          </w:tcPr>
          <w:p w14:paraId="0000004B"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0,44</w:t>
            </w:r>
          </w:p>
        </w:tc>
      </w:tr>
      <w:tr w:rsidR="00791ABD" w:rsidRPr="001E3E3A" w14:paraId="6190FA7F" w14:textId="77777777">
        <w:tc>
          <w:tcPr>
            <w:tcW w:w="5160" w:type="dxa"/>
          </w:tcPr>
          <w:p w14:paraId="0000004C" w14:textId="77777777" w:rsidR="00791ABD" w:rsidRPr="001E3E3A" w:rsidRDefault="00227A77" w:rsidP="00F003BF">
            <w:pPr>
              <w:spacing w:before="30" w:after="30"/>
              <w:jc w:val="both"/>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 xml:space="preserve">As crianças deveriam brincar com brinquedos apropriados para o seu próprio </w:t>
            </w:r>
            <w:proofErr w:type="spellStart"/>
            <w:r w:rsidRPr="001E3E3A">
              <w:rPr>
                <w:rFonts w:ascii="Times New Roman" w:eastAsia="Times New Roman" w:hAnsi="Times New Roman" w:cs="Times New Roman"/>
                <w:sz w:val="20"/>
                <w:szCs w:val="20"/>
              </w:rPr>
              <w:t>sexo</w:t>
            </w:r>
            <w:r w:rsidRPr="001E3E3A">
              <w:rPr>
                <w:rFonts w:ascii="Times New Roman" w:eastAsia="Times New Roman" w:hAnsi="Times New Roman" w:cs="Times New Roman"/>
                <w:sz w:val="20"/>
                <w:szCs w:val="20"/>
                <w:vertAlign w:val="superscript"/>
              </w:rPr>
              <w:t>a</w:t>
            </w:r>
            <w:proofErr w:type="spellEnd"/>
          </w:p>
        </w:tc>
        <w:tc>
          <w:tcPr>
            <w:tcW w:w="1106" w:type="dxa"/>
            <w:vAlign w:val="center"/>
          </w:tcPr>
          <w:p w14:paraId="0000004D"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-0.39</w:t>
            </w:r>
          </w:p>
        </w:tc>
        <w:tc>
          <w:tcPr>
            <w:tcW w:w="566" w:type="dxa"/>
            <w:vAlign w:val="center"/>
          </w:tcPr>
          <w:p w14:paraId="0000004E"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0,15</w:t>
            </w:r>
          </w:p>
        </w:tc>
        <w:tc>
          <w:tcPr>
            <w:tcW w:w="1106" w:type="dxa"/>
            <w:vAlign w:val="center"/>
          </w:tcPr>
          <w:p w14:paraId="0000004F"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w:t>
            </w:r>
          </w:p>
        </w:tc>
        <w:tc>
          <w:tcPr>
            <w:tcW w:w="566" w:type="dxa"/>
            <w:vAlign w:val="center"/>
          </w:tcPr>
          <w:p w14:paraId="00000050"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w:t>
            </w:r>
          </w:p>
        </w:tc>
      </w:tr>
      <w:tr w:rsidR="00791ABD" w:rsidRPr="001E3E3A" w14:paraId="11E6D4F3" w14:textId="77777777">
        <w:tc>
          <w:tcPr>
            <w:tcW w:w="5160" w:type="dxa"/>
          </w:tcPr>
          <w:p w14:paraId="00000051"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As mulheres que se veem como homens são anormais</w:t>
            </w:r>
          </w:p>
        </w:tc>
        <w:tc>
          <w:tcPr>
            <w:tcW w:w="1106" w:type="dxa"/>
            <w:vAlign w:val="center"/>
          </w:tcPr>
          <w:p w14:paraId="00000052"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-0,84</w:t>
            </w:r>
          </w:p>
        </w:tc>
        <w:tc>
          <w:tcPr>
            <w:tcW w:w="566" w:type="dxa"/>
            <w:vAlign w:val="center"/>
          </w:tcPr>
          <w:p w14:paraId="00000053"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0,70</w:t>
            </w:r>
          </w:p>
        </w:tc>
        <w:tc>
          <w:tcPr>
            <w:tcW w:w="1106" w:type="dxa"/>
            <w:vAlign w:val="center"/>
          </w:tcPr>
          <w:p w14:paraId="00000054"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-0,85</w:t>
            </w:r>
          </w:p>
        </w:tc>
        <w:tc>
          <w:tcPr>
            <w:tcW w:w="566" w:type="dxa"/>
            <w:vAlign w:val="center"/>
          </w:tcPr>
          <w:p w14:paraId="00000055"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0,73</w:t>
            </w:r>
          </w:p>
        </w:tc>
      </w:tr>
      <w:tr w:rsidR="00791ABD" w:rsidRPr="001E3E3A" w14:paraId="5F841696" w14:textId="77777777">
        <w:tc>
          <w:tcPr>
            <w:tcW w:w="5160" w:type="dxa"/>
          </w:tcPr>
          <w:p w14:paraId="00000056"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Os meninos afeminados deveriam receber tratamento</w:t>
            </w:r>
          </w:p>
        </w:tc>
        <w:tc>
          <w:tcPr>
            <w:tcW w:w="1106" w:type="dxa"/>
            <w:vAlign w:val="center"/>
          </w:tcPr>
          <w:p w14:paraId="00000057"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-0,68</w:t>
            </w:r>
          </w:p>
        </w:tc>
        <w:tc>
          <w:tcPr>
            <w:tcW w:w="566" w:type="dxa"/>
            <w:vAlign w:val="center"/>
          </w:tcPr>
          <w:p w14:paraId="00000058"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0,46</w:t>
            </w:r>
          </w:p>
        </w:tc>
        <w:tc>
          <w:tcPr>
            <w:tcW w:w="1106" w:type="dxa"/>
            <w:vAlign w:val="center"/>
          </w:tcPr>
          <w:p w14:paraId="00000059"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-0,67</w:t>
            </w:r>
          </w:p>
        </w:tc>
        <w:tc>
          <w:tcPr>
            <w:tcW w:w="566" w:type="dxa"/>
            <w:vAlign w:val="center"/>
          </w:tcPr>
          <w:p w14:paraId="0000005A"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0,45</w:t>
            </w:r>
          </w:p>
        </w:tc>
      </w:tr>
      <w:tr w:rsidR="00791ABD" w:rsidRPr="001E3E3A" w14:paraId="69636E0D" w14:textId="77777777">
        <w:tc>
          <w:tcPr>
            <w:tcW w:w="5160" w:type="dxa"/>
          </w:tcPr>
          <w:p w14:paraId="0000005B"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Operações de mudança de sexo são moralmente erradas</w:t>
            </w:r>
          </w:p>
        </w:tc>
        <w:tc>
          <w:tcPr>
            <w:tcW w:w="1106" w:type="dxa"/>
            <w:vAlign w:val="center"/>
          </w:tcPr>
          <w:p w14:paraId="0000005C"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-0,80</w:t>
            </w:r>
          </w:p>
        </w:tc>
        <w:tc>
          <w:tcPr>
            <w:tcW w:w="566" w:type="dxa"/>
            <w:vAlign w:val="center"/>
          </w:tcPr>
          <w:p w14:paraId="0000005D"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0,64</w:t>
            </w:r>
          </w:p>
        </w:tc>
        <w:tc>
          <w:tcPr>
            <w:tcW w:w="1106" w:type="dxa"/>
            <w:vAlign w:val="center"/>
          </w:tcPr>
          <w:p w14:paraId="0000005E"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-0,79</w:t>
            </w:r>
          </w:p>
        </w:tc>
        <w:tc>
          <w:tcPr>
            <w:tcW w:w="566" w:type="dxa"/>
            <w:vAlign w:val="center"/>
          </w:tcPr>
          <w:p w14:paraId="0000005F"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0,62</w:t>
            </w:r>
          </w:p>
        </w:tc>
      </w:tr>
      <w:tr w:rsidR="00791ABD" w:rsidRPr="001E3E3A" w14:paraId="2681E8B4" w14:textId="77777777">
        <w:tc>
          <w:tcPr>
            <w:tcW w:w="5160" w:type="dxa"/>
          </w:tcPr>
          <w:p w14:paraId="00000060"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As meninas masculinas deveriam receber tratamento</w:t>
            </w:r>
          </w:p>
        </w:tc>
        <w:tc>
          <w:tcPr>
            <w:tcW w:w="1106" w:type="dxa"/>
            <w:vAlign w:val="center"/>
          </w:tcPr>
          <w:p w14:paraId="00000061"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-0,67</w:t>
            </w:r>
          </w:p>
        </w:tc>
        <w:tc>
          <w:tcPr>
            <w:tcW w:w="566" w:type="dxa"/>
            <w:vAlign w:val="center"/>
          </w:tcPr>
          <w:p w14:paraId="00000062"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0,45</w:t>
            </w:r>
          </w:p>
        </w:tc>
        <w:tc>
          <w:tcPr>
            <w:tcW w:w="1106" w:type="dxa"/>
            <w:vAlign w:val="center"/>
          </w:tcPr>
          <w:p w14:paraId="00000063"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-0,62</w:t>
            </w:r>
          </w:p>
        </w:tc>
        <w:tc>
          <w:tcPr>
            <w:tcW w:w="566" w:type="dxa"/>
            <w:vAlign w:val="center"/>
          </w:tcPr>
          <w:p w14:paraId="00000064"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0,38</w:t>
            </w:r>
          </w:p>
        </w:tc>
      </w:tr>
      <w:tr w:rsidR="00791ABD" w:rsidRPr="001E3E3A" w14:paraId="60C8FE28" w14:textId="77777777">
        <w:tc>
          <w:tcPr>
            <w:tcW w:w="5160" w:type="dxa"/>
          </w:tcPr>
          <w:p w14:paraId="00000065"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Os homens afeminados não me deixam à vontade</w:t>
            </w:r>
          </w:p>
        </w:tc>
        <w:tc>
          <w:tcPr>
            <w:tcW w:w="1106" w:type="dxa"/>
            <w:vAlign w:val="center"/>
          </w:tcPr>
          <w:p w14:paraId="00000066"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-0,67</w:t>
            </w:r>
          </w:p>
        </w:tc>
        <w:tc>
          <w:tcPr>
            <w:tcW w:w="566" w:type="dxa"/>
            <w:vAlign w:val="center"/>
          </w:tcPr>
          <w:p w14:paraId="00000067"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0,45</w:t>
            </w:r>
          </w:p>
        </w:tc>
        <w:tc>
          <w:tcPr>
            <w:tcW w:w="1106" w:type="dxa"/>
            <w:vAlign w:val="center"/>
          </w:tcPr>
          <w:p w14:paraId="00000068"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-0,68</w:t>
            </w:r>
          </w:p>
        </w:tc>
        <w:tc>
          <w:tcPr>
            <w:tcW w:w="566" w:type="dxa"/>
            <w:vAlign w:val="center"/>
          </w:tcPr>
          <w:p w14:paraId="00000069"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0,47</w:t>
            </w:r>
          </w:p>
        </w:tc>
      </w:tr>
      <w:tr w:rsidR="00791ABD" w:rsidRPr="001E3E3A" w14:paraId="19CB2A49" w14:textId="77777777">
        <w:tc>
          <w:tcPr>
            <w:tcW w:w="5160" w:type="dxa"/>
          </w:tcPr>
          <w:p w14:paraId="0000006A"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Eu iria a um bar frequentado por travestis</w:t>
            </w:r>
          </w:p>
        </w:tc>
        <w:tc>
          <w:tcPr>
            <w:tcW w:w="1106" w:type="dxa"/>
            <w:vAlign w:val="center"/>
          </w:tcPr>
          <w:p w14:paraId="0000006B"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0,45</w:t>
            </w:r>
          </w:p>
        </w:tc>
        <w:tc>
          <w:tcPr>
            <w:tcW w:w="566" w:type="dxa"/>
            <w:vAlign w:val="center"/>
          </w:tcPr>
          <w:p w14:paraId="0000006C"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0,20</w:t>
            </w:r>
          </w:p>
        </w:tc>
        <w:tc>
          <w:tcPr>
            <w:tcW w:w="1106" w:type="dxa"/>
            <w:vAlign w:val="center"/>
          </w:tcPr>
          <w:p w14:paraId="0000006D"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0,46</w:t>
            </w:r>
          </w:p>
        </w:tc>
        <w:tc>
          <w:tcPr>
            <w:tcW w:w="566" w:type="dxa"/>
            <w:vAlign w:val="center"/>
          </w:tcPr>
          <w:p w14:paraId="0000006E"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0,21</w:t>
            </w:r>
          </w:p>
        </w:tc>
      </w:tr>
      <w:tr w:rsidR="00791ABD" w:rsidRPr="001E3E3A" w14:paraId="2221FF9F" w14:textId="77777777">
        <w:tc>
          <w:tcPr>
            <w:tcW w:w="5160" w:type="dxa"/>
          </w:tcPr>
          <w:p w14:paraId="0000006F"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As mulheres masculinas não me deixam à vontade</w:t>
            </w:r>
          </w:p>
        </w:tc>
        <w:tc>
          <w:tcPr>
            <w:tcW w:w="1106" w:type="dxa"/>
            <w:vAlign w:val="center"/>
          </w:tcPr>
          <w:p w14:paraId="00000070"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-0,61</w:t>
            </w:r>
          </w:p>
        </w:tc>
        <w:tc>
          <w:tcPr>
            <w:tcW w:w="566" w:type="dxa"/>
            <w:vAlign w:val="center"/>
          </w:tcPr>
          <w:p w14:paraId="00000071"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0,37</w:t>
            </w:r>
          </w:p>
        </w:tc>
        <w:tc>
          <w:tcPr>
            <w:tcW w:w="1106" w:type="dxa"/>
            <w:vAlign w:val="center"/>
          </w:tcPr>
          <w:p w14:paraId="00000072"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-0,57</w:t>
            </w:r>
          </w:p>
        </w:tc>
        <w:tc>
          <w:tcPr>
            <w:tcW w:w="566" w:type="dxa"/>
            <w:vAlign w:val="center"/>
          </w:tcPr>
          <w:p w14:paraId="00000073"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0,32</w:t>
            </w:r>
          </w:p>
        </w:tc>
      </w:tr>
      <w:tr w:rsidR="00791ABD" w:rsidRPr="001E3E3A" w14:paraId="0D584D15" w14:textId="77777777">
        <w:tc>
          <w:tcPr>
            <w:tcW w:w="5160" w:type="dxa"/>
          </w:tcPr>
          <w:p w14:paraId="00000074"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Sexo entre dois homens é totalmente errado</w:t>
            </w:r>
          </w:p>
        </w:tc>
        <w:tc>
          <w:tcPr>
            <w:tcW w:w="1106" w:type="dxa"/>
            <w:vAlign w:val="center"/>
          </w:tcPr>
          <w:p w14:paraId="00000075"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-0,85</w:t>
            </w:r>
          </w:p>
        </w:tc>
        <w:tc>
          <w:tcPr>
            <w:tcW w:w="566" w:type="dxa"/>
            <w:vAlign w:val="center"/>
          </w:tcPr>
          <w:p w14:paraId="00000076"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0,72</w:t>
            </w:r>
          </w:p>
        </w:tc>
        <w:tc>
          <w:tcPr>
            <w:tcW w:w="1106" w:type="dxa"/>
            <w:vAlign w:val="center"/>
          </w:tcPr>
          <w:p w14:paraId="00000077"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-0,85</w:t>
            </w:r>
          </w:p>
        </w:tc>
        <w:tc>
          <w:tcPr>
            <w:tcW w:w="566" w:type="dxa"/>
            <w:vAlign w:val="center"/>
          </w:tcPr>
          <w:p w14:paraId="00000078"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0,72</w:t>
            </w:r>
          </w:p>
        </w:tc>
      </w:tr>
      <w:tr w:rsidR="00791ABD" w:rsidRPr="001E3E3A" w14:paraId="0F91DBB3" w14:textId="77777777">
        <w:tc>
          <w:tcPr>
            <w:tcW w:w="5160" w:type="dxa"/>
          </w:tcPr>
          <w:p w14:paraId="00000079"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Eu acho que os homens gays são nojentos</w:t>
            </w:r>
          </w:p>
        </w:tc>
        <w:tc>
          <w:tcPr>
            <w:tcW w:w="1106" w:type="dxa"/>
            <w:vAlign w:val="center"/>
          </w:tcPr>
          <w:p w14:paraId="0000007A"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-0,92</w:t>
            </w:r>
          </w:p>
        </w:tc>
        <w:tc>
          <w:tcPr>
            <w:tcW w:w="566" w:type="dxa"/>
            <w:vAlign w:val="center"/>
          </w:tcPr>
          <w:p w14:paraId="0000007B"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0,85</w:t>
            </w:r>
          </w:p>
        </w:tc>
        <w:tc>
          <w:tcPr>
            <w:tcW w:w="1106" w:type="dxa"/>
            <w:vAlign w:val="center"/>
          </w:tcPr>
          <w:p w14:paraId="0000007C"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0,91</w:t>
            </w:r>
          </w:p>
        </w:tc>
        <w:tc>
          <w:tcPr>
            <w:tcW w:w="566" w:type="dxa"/>
            <w:vAlign w:val="center"/>
          </w:tcPr>
          <w:p w14:paraId="0000007D"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0,84</w:t>
            </w:r>
          </w:p>
        </w:tc>
      </w:tr>
      <w:tr w:rsidR="00791ABD" w:rsidRPr="001E3E3A" w14:paraId="69A616ED" w14:textId="77777777">
        <w:tc>
          <w:tcPr>
            <w:tcW w:w="5160" w:type="dxa"/>
          </w:tcPr>
          <w:p w14:paraId="0000007E"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A homossexualidade masculina é natural</w:t>
            </w:r>
          </w:p>
        </w:tc>
        <w:tc>
          <w:tcPr>
            <w:tcW w:w="1106" w:type="dxa"/>
            <w:vAlign w:val="center"/>
          </w:tcPr>
          <w:p w14:paraId="0000007F"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0,45</w:t>
            </w:r>
          </w:p>
        </w:tc>
        <w:tc>
          <w:tcPr>
            <w:tcW w:w="566" w:type="dxa"/>
            <w:vAlign w:val="center"/>
          </w:tcPr>
          <w:p w14:paraId="00000080"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0,21</w:t>
            </w:r>
          </w:p>
        </w:tc>
        <w:tc>
          <w:tcPr>
            <w:tcW w:w="1106" w:type="dxa"/>
            <w:vAlign w:val="center"/>
          </w:tcPr>
          <w:p w14:paraId="00000081"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0,45</w:t>
            </w:r>
          </w:p>
        </w:tc>
        <w:tc>
          <w:tcPr>
            <w:tcW w:w="566" w:type="dxa"/>
            <w:vAlign w:val="center"/>
          </w:tcPr>
          <w:p w14:paraId="00000082"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0,20</w:t>
            </w:r>
          </w:p>
        </w:tc>
      </w:tr>
      <w:tr w:rsidR="00791ABD" w:rsidRPr="001E3E3A" w14:paraId="23CA6514" w14:textId="77777777">
        <w:tc>
          <w:tcPr>
            <w:tcW w:w="5160" w:type="dxa"/>
          </w:tcPr>
          <w:p w14:paraId="00000083"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A homossexualidade masculina é uma perversão</w:t>
            </w:r>
          </w:p>
        </w:tc>
        <w:tc>
          <w:tcPr>
            <w:tcW w:w="1106" w:type="dxa"/>
            <w:vAlign w:val="center"/>
          </w:tcPr>
          <w:p w14:paraId="00000084"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-0,81</w:t>
            </w:r>
          </w:p>
        </w:tc>
        <w:tc>
          <w:tcPr>
            <w:tcW w:w="566" w:type="dxa"/>
            <w:vAlign w:val="center"/>
          </w:tcPr>
          <w:p w14:paraId="00000085"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0,67</w:t>
            </w:r>
          </w:p>
        </w:tc>
        <w:tc>
          <w:tcPr>
            <w:tcW w:w="1106" w:type="dxa"/>
            <w:vAlign w:val="center"/>
          </w:tcPr>
          <w:p w14:paraId="00000086"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-0,81</w:t>
            </w:r>
          </w:p>
        </w:tc>
        <w:tc>
          <w:tcPr>
            <w:tcW w:w="566" w:type="dxa"/>
            <w:vAlign w:val="center"/>
          </w:tcPr>
          <w:p w14:paraId="00000087"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0,65</w:t>
            </w:r>
          </w:p>
        </w:tc>
      </w:tr>
      <w:tr w:rsidR="00791ABD" w:rsidRPr="001E3E3A" w14:paraId="26948815" w14:textId="77777777">
        <w:tc>
          <w:tcPr>
            <w:tcW w:w="5160" w:type="dxa"/>
          </w:tcPr>
          <w:p w14:paraId="00000088"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A homossexualidade masculina é apenas uma forma diferente de ser que não deve ser condenada</w:t>
            </w:r>
          </w:p>
        </w:tc>
        <w:tc>
          <w:tcPr>
            <w:tcW w:w="1106" w:type="dxa"/>
            <w:vAlign w:val="center"/>
          </w:tcPr>
          <w:p w14:paraId="00000089"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0,66</w:t>
            </w:r>
          </w:p>
        </w:tc>
        <w:tc>
          <w:tcPr>
            <w:tcW w:w="566" w:type="dxa"/>
            <w:vAlign w:val="center"/>
          </w:tcPr>
          <w:p w14:paraId="0000008A"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0,44</w:t>
            </w:r>
          </w:p>
        </w:tc>
        <w:tc>
          <w:tcPr>
            <w:tcW w:w="1106" w:type="dxa"/>
            <w:vAlign w:val="center"/>
          </w:tcPr>
          <w:p w14:paraId="0000008B"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0,66</w:t>
            </w:r>
          </w:p>
        </w:tc>
        <w:tc>
          <w:tcPr>
            <w:tcW w:w="566" w:type="dxa"/>
            <w:vAlign w:val="center"/>
          </w:tcPr>
          <w:p w14:paraId="0000008C"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0,43</w:t>
            </w:r>
          </w:p>
        </w:tc>
      </w:tr>
      <w:tr w:rsidR="00791ABD" w:rsidRPr="001E3E3A" w14:paraId="2B3562F9" w14:textId="77777777">
        <w:tc>
          <w:tcPr>
            <w:tcW w:w="5160" w:type="dxa"/>
          </w:tcPr>
          <w:p w14:paraId="0000008D"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Sexo entre duas mulheres é totalmente errado</w:t>
            </w:r>
          </w:p>
        </w:tc>
        <w:tc>
          <w:tcPr>
            <w:tcW w:w="1106" w:type="dxa"/>
            <w:vAlign w:val="center"/>
          </w:tcPr>
          <w:p w14:paraId="0000008E"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-0,73</w:t>
            </w:r>
          </w:p>
        </w:tc>
        <w:tc>
          <w:tcPr>
            <w:tcW w:w="566" w:type="dxa"/>
            <w:vAlign w:val="center"/>
          </w:tcPr>
          <w:p w14:paraId="0000008F"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0,53</w:t>
            </w:r>
          </w:p>
        </w:tc>
        <w:tc>
          <w:tcPr>
            <w:tcW w:w="1106" w:type="dxa"/>
            <w:vAlign w:val="center"/>
          </w:tcPr>
          <w:p w14:paraId="00000090"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-0,78</w:t>
            </w:r>
          </w:p>
        </w:tc>
        <w:tc>
          <w:tcPr>
            <w:tcW w:w="566" w:type="dxa"/>
            <w:vAlign w:val="center"/>
          </w:tcPr>
          <w:p w14:paraId="00000091"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0,60</w:t>
            </w:r>
          </w:p>
        </w:tc>
      </w:tr>
      <w:tr w:rsidR="00791ABD" w:rsidRPr="001E3E3A" w14:paraId="3A22C007" w14:textId="77777777">
        <w:tc>
          <w:tcPr>
            <w:tcW w:w="5160" w:type="dxa"/>
          </w:tcPr>
          <w:p w14:paraId="00000092"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lastRenderedPageBreak/>
              <w:t>Eu acho que as mulheres lésbicas são nojentas</w:t>
            </w:r>
          </w:p>
        </w:tc>
        <w:tc>
          <w:tcPr>
            <w:tcW w:w="1106" w:type="dxa"/>
            <w:vAlign w:val="center"/>
          </w:tcPr>
          <w:p w14:paraId="00000093"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-0,89</w:t>
            </w:r>
          </w:p>
        </w:tc>
        <w:tc>
          <w:tcPr>
            <w:tcW w:w="566" w:type="dxa"/>
            <w:vAlign w:val="center"/>
          </w:tcPr>
          <w:p w14:paraId="00000094"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0,79</w:t>
            </w:r>
          </w:p>
        </w:tc>
        <w:tc>
          <w:tcPr>
            <w:tcW w:w="1106" w:type="dxa"/>
            <w:vAlign w:val="center"/>
          </w:tcPr>
          <w:p w14:paraId="00000095"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0,90</w:t>
            </w:r>
          </w:p>
        </w:tc>
        <w:tc>
          <w:tcPr>
            <w:tcW w:w="566" w:type="dxa"/>
            <w:vAlign w:val="center"/>
          </w:tcPr>
          <w:p w14:paraId="00000096"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0,81</w:t>
            </w:r>
          </w:p>
        </w:tc>
      </w:tr>
      <w:tr w:rsidR="00791ABD" w:rsidRPr="001E3E3A" w14:paraId="622D90A7" w14:textId="77777777">
        <w:tc>
          <w:tcPr>
            <w:tcW w:w="5160" w:type="dxa"/>
          </w:tcPr>
          <w:p w14:paraId="00000097" w14:textId="77777777" w:rsidR="00791ABD" w:rsidRPr="001E3E3A" w:rsidRDefault="00227A77" w:rsidP="00F003BF">
            <w:pPr>
              <w:spacing w:before="30" w:after="30"/>
              <w:jc w:val="both"/>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 xml:space="preserve">A homossexualidade feminina é </w:t>
            </w:r>
            <w:proofErr w:type="spellStart"/>
            <w:r w:rsidRPr="001E3E3A">
              <w:rPr>
                <w:rFonts w:ascii="Times New Roman" w:eastAsia="Times New Roman" w:hAnsi="Times New Roman" w:cs="Times New Roman"/>
                <w:sz w:val="20"/>
                <w:szCs w:val="20"/>
              </w:rPr>
              <w:t>natural</w:t>
            </w:r>
            <w:r w:rsidRPr="001E3E3A">
              <w:rPr>
                <w:rFonts w:ascii="Times New Roman" w:eastAsia="Times New Roman" w:hAnsi="Times New Roman" w:cs="Times New Roman"/>
                <w:sz w:val="20"/>
                <w:szCs w:val="20"/>
                <w:vertAlign w:val="superscript"/>
              </w:rPr>
              <w:t>a</w:t>
            </w:r>
            <w:proofErr w:type="spellEnd"/>
          </w:p>
        </w:tc>
        <w:tc>
          <w:tcPr>
            <w:tcW w:w="1106" w:type="dxa"/>
            <w:vAlign w:val="center"/>
          </w:tcPr>
          <w:p w14:paraId="00000098"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0,39</w:t>
            </w:r>
          </w:p>
        </w:tc>
        <w:tc>
          <w:tcPr>
            <w:tcW w:w="566" w:type="dxa"/>
            <w:vAlign w:val="center"/>
          </w:tcPr>
          <w:p w14:paraId="00000099"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0,15</w:t>
            </w:r>
          </w:p>
        </w:tc>
        <w:tc>
          <w:tcPr>
            <w:tcW w:w="1106" w:type="dxa"/>
            <w:vAlign w:val="center"/>
          </w:tcPr>
          <w:p w14:paraId="0000009A"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w:t>
            </w:r>
          </w:p>
        </w:tc>
        <w:tc>
          <w:tcPr>
            <w:tcW w:w="566" w:type="dxa"/>
            <w:vAlign w:val="center"/>
          </w:tcPr>
          <w:p w14:paraId="0000009B"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w:t>
            </w:r>
          </w:p>
        </w:tc>
      </w:tr>
      <w:tr w:rsidR="00791ABD" w:rsidRPr="001E3E3A" w14:paraId="091334C8" w14:textId="77777777">
        <w:tc>
          <w:tcPr>
            <w:tcW w:w="5160" w:type="dxa"/>
          </w:tcPr>
          <w:p w14:paraId="0000009C"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A homossexualidade feminina é uma perversão</w:t>
            </w:r>
          </w:p>
        </w:tc>
        <w:tc>
          <w:tcPr>
            <w:tcW w:w="1106" w:type="dxa"/>
            <w:vAlign w:val="center"/>
          </w:tcPr>
          <w:p w14:paraId="0000009D"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-0,72</w:t>
            </w:r>
          </w:p>
        </w:tc>
        <w:tc>
          <w:tcPr>
            <w:tcW w:w="566" w:type="dxa"/>
            <w:vAlign w:val="center"/>
          </w:tcPr>
          <w:p w14:paraId="0000009E"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0,52</w:t>
            </w:r>
          </w:p>
        </w:tc>
        <w:tc>
          <w:tcPr>
            <w:tcW w:w="1106" w:type="dxa"/>
            <w:vAlign w:val="center"/>
          </w:tcPr>
          <w:p w14:paraId="0000009F"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-0,76</w:t>
            </w:r>
          </w:p>
        </w:tc>
        <w:tc>
          <w:tcPr>
            <w:tcW w:w="566" w:type="dxa"/>
            <w:vAlign w:val="center"/>
          </w:tcPr>
          <w:p w14:paraId="000000A0"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0,57</w:t>
            </w:r>
          </w:p>
        </w:tc>
      </w:tr>
      <w:tr w:rsidR="00791ABD" w:rsidRPr="001E3E3A" w14:paraId="40DC9587" w14:textId="77777777">
        <w:tc>
          <w:tcPr>
            <w:tcW w:w="5160" w:type="dxa"/>
            <w:tcBorders>
              <w:bottom w:val="single" w:sz="4" w:space="0" w:color="000000"/>
            </w:tcBorders>
          </w:tcPr>
          <w:p w14:paraId="000000A1" w14:textId="77777777" w:rsidR="00791ABD" w:rsidRPr="001E3E3A" w:rsidRDefault="00227A77" w:rsidP="00F003BF">
            <w:pPr>
              <w:spacing w:before="30" w:after="30"/>
              <w:jc w:val="both"/>
              <w:rPr>
                <w:rFonts w:ascii="Times New Roman" w:eastAsia="Times New Roman" w:hAnsi="Times New Roman" w:cs="Times New Roman"/>
                <w:b/>
                <w:sz w:val="20"/>
                <w:szCs w:val="20"/>
              </w:rPr>
            </w:pPr>
            <w:r w:rsidRPr="001E3E3A">
              <w:rPr>
                <w:rFonts w:ascii="Times New Roman" w:eastAsia="Times New Roman" w:hAnsi="Times New Roman" w:cs="Times New Roman"/>
                <w:b/>
                <w:sz w:val="20"/>
                <w:szCs w:val="20"/>
              </w:rPr>
              <w:t>A homossexualidade feminina é apenas uma forma diferente de ser que não deve ser condenada</w:t>
            </w:r>
          </w:p>
        </w:tc>
        <w:tc>
          <w:tcPr>
            <w:tcW w:w="1106" w:type="dxa"/>
            <w:tcBorders>
              <w:bottom w:val="single" w:sz="4" w:space="0" w:color="000000"/>
            </w:tcBorders>
            <w:vAlign w:val="center"/>
          </w:tcPr>
          <w:p w14:paraId="000000A2"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0,68</w:t>
            </w:r>
          </w:p>
        </w:tc>
        <w:tc>
          <w:tcPr>
            <w:tcW w:w="566" w:type="dxa"/>
            <w:tcBorders>
              <w:bottom w:val="single" w:sz="4" w:space="0" w:color="000000"/>
            </w:tcBorders>
            <w:vAlign w:val="center"/>
          </w:tcPr>
          <w:p w14:paraId="000000A3"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0,46</w:t>
            </w:r>
          </w:p>
        </w:tc>
        <w:tc>
          <w:tcPr>
            <w:tcW w:w="1106" w:type="dxa"/>
            <w:tcBorders>
              <w:bottom w:val="single" w:sz="4" w:space="0" w:color="000000"/>
            </w:tcBorders>
            <w:vAlign w:val="center"/>
          </w:tcPr>
          <w:p w14:paraId="000000A4"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0,67</w:t>
            </w:r>
          </w:p>
        </w:tc>
        <w:tc>
          <w:tcPr>
            <w:tcW w:w="566" w:type="dxa"/>
            <w:tcBorders>
              <w:bottom w:val="single" w:sz="4" w:space="0" w:color="000000"/>
            </w:tcBorders>
            <w:vAlign w:val="center"/>
          </w:tcPr>
          <w:p w14:paraId="000000A5"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0,45</w:t>
            </w:r>
          </w:p>
        </w:tc>
      </w:tr>
    </w:tbl>
    <w:p w14:paraId="000000A6" w14:textId="77777777" w:rsidR="00791ABD" w:rsidRDefault="00227A77" w:rsidP="00F003BF">
      <w:pPr>
        <w:keepNext/>
        <w:keepLines/>
        <w:widowControl w:val="0"/>
        <w:spacing w:before="30" w:after="30"/>
        <w:rPr>
          <w:sz w:val="20"/>
          <w:szCs w:val="20"/>
        </w:rPr>
      </w:pPr>
      <w:r>
        <w:rPr>
          <w:sz w:val="20"/>
          <w:szCs w:val="20"/>
        </w:rPr>
        <w:t>Nota: Itens em destaque apresentaram cargas fatoriais e comunalidades acima do ponto de corte definido.</w:t>
      </w:r>
    </w:p>
    <w:p w14:paraId="000000A7" w14:textId="77777777" w:rsidR="00791ABD" w:rsidRDefault="00227A77" w:rsidP="00F003BF">
      <w:pPr>
        <w:keepNext/>
        <w:keepLines/>
        <w:widowControl w:val="0"/>
        <w:spacing w:before="30" w:after="30"/>
        <w:rPr>
          <w:sz w:val="20"/>
          <w:szCs w:val="20"/>
        </w:rPr>
      </w:pPr>
      <w:proofErr w:type="spellStart"/>
      <w:r>
        <w:rPr>
          <w:sz w:val="20"/>
          <w:szCs w:val="20"/>
          <w:vertAlign w:val="superscript"/>
        </w:rPr>
        <w:t>a</w:t>
      </w:r>
      <w:r>
        <w:rPr>
          <w:sz w:val="20"/>
          <w:szCs w:val="20"/>
        </w:rPr>
        <w:t>Itens</w:t>
      </w:r>
      <w:proofErr w:type="spellEnd"/>
      <w:r>
        <w:rPr>
          <w:sz w:val="20"/>
          <w:szCs w:val="20"/>
        </w:rPr>
        <w:t xml:space="preserve"> retirados por possuírem cargas fatoriais abaixo do ponto de corte.</w:t>
      </w:r>
    </w:p>
    <w:p w14:paraId="000000A8" w14:textId="77777777" w:rsidR="00791ABD" w:rsidRDefault="00791ABD" w:rsidP="00F003BF">
      <w:pPr>
        <w:keepNext/>
        <w:keepLines/>
        <w:widowControl w:val="0"/>
        <w:spacing w:before="30" w:after="30"/>
        <w:rPr>
          <w:sz w:val="20"/>
          <w:szCs w:val="20"/>
        </w:rPr>
      </w:pPr>
    </w:p>
    <w:p w14:paraId="000000A9" w14:textId="77777777" w:rsidR="00791ABD" w:rsidRDefault="00791ABD" w:rsidP="00F003BF">
      <w:pPr>
        <w:keepNext/>
        <w:keepLines/>
        <w:widowControl w:val="0"/>
        <w:spacing w:before="30" w:after="30"/>
        <w:rPr>
          <w:sz w:val="20"/>
          <w:szCs w:val="20"/>
        </w:rPr>
      </w:pPr>
    </w:p>
    <w:p w14:paraId="000000AA" w14:textId="77777777" w:rsidR="00791ABD" w:rsidRDefault="00227A77" w:rsidP="00F003BF">
      <w:pPr>
        <w:spacing w:before="30" w:after="30" w:line="480" w:lineRule="auto"/>
        <w:ind w:firstLine="720"/>
        <w:rPr>
          <w:sz w:val="24"/>
          <w:szCs w:val="24"/>
        </w:rPr>
      </w:pPr>
      <w:r>
        <w:rPr>
          <w:sz w:val="24"/>
          <w:szCs w:val="24"/>
        </w:rPr>
        <w:t>A tabela 2 apresenta um resumo das características do modelo inicial e ajust</w:t>
      </w:r>
      <w:r>
        <w:rPr>
          <w:sz w:val="24"/>
          <w:szCs w:val="24"/>
        </w:rPr>
        <w:t xml:space="preserve">ado. Em ambos os modelos a confiabilidade do instrumento foi adequada, com valores de Alfa de </w:t>
      </w:r>
      <w:proofErr w:type="spellStart"/>
      <w:r>
        <w:rPr>
          <w:sz w:val="24"/>
          <w:szCs w:val="24"/>
        </w:rPr>
        <w:t>Cronbach</w:t>
      </w:r>
      <w:proofErr w:type="spellEnd"/>
      <w:r>
        <w:rPr>
          <w:sz w:val="24"/>
          <w:szCs w:val="24"/>
        </w:rPr>
        <w:t xml:space="preserve"> Padronizado e de Ômega de McDonald acima de 0,70. Além disso, a medida de replicabilidade da estrutura fatorial (</w:t>
      </w:r>
      <w:r>
        <w:rPr>
          <w:color w:val="000000"/>
          <w:sz w:val="24"/>
          <w:szCs w:val="24"/>
        </w:rPr>
        <w:t>Ferrando &amp; Lorenzo-Seva, 2018</w:t>
      </w:r>
      <w:r>
        <w:rPr>
          <w:sz w:val="24"/>
          <w:szCs w:val="24"/>
        </w:rPr>
        <w:t>) sugeriu que é provável que o fator geral de Preconceito Contra a Diversidade Sexual e de Gênero será replicável em estudos futuros (Índice H &gt; 0,80). A estrutura fatorial apresentou índices de ajuste excelentes tanto no modelo inicial (χ</w:t>
      </w:r>
      <w:r>
        <w:rPr>
          <w:sz w:val="24"/>
          <w:szCs w:val="24"/>
          <w:vertAlign w:val="superscript"/>
        </w:rPr>
        <w:t xml:space="preserve"> 2</w:t>
      </w:r>
      <w:r>
        <w:rPr>
          <w:sz w:val="24"/>
          <w:szCs w:val="24"/>
        </w:rPr>
        <w:t xml:space="preserve"> = 192,144, </w:t>
      </w:r>
      <w:proofErr w:type="spellStart"/>
      <w:r>
        <w:rPr>
          <w:i/>
          <w:sz w:val="24"/>
          <w:szCs w:val="24"/>
        </w:rPr>
        <w:t>gl</w:t>
      </w:r>
      <w:proofErr w:type="spellEnd"/>
      <w:r>
        <w:rPr>
          <w:sz w:val="24"/>
          <w:szCs w:val="24"/>
        </w:rPr>
        <w:t xml:space="preserve"> </w:t>
      </w:r>
      <w:r>
        <w:rPr>
          <w:sz w:val="24"/>
          <w:szCs w:val="24"/>
        </w:rPr>
        <w:t>= 209; p &lt; 0,001; RMSEA = 0,001; CFI = 0,99; TLI = 0,99) como no ajustado (χ</w:t>
      </w:r>
      <w:r>
        <w:rPr>
          <w:sz w:val="24"/>
          <w:szCs w:val="24"/>
          <w:vertAlign w:val="superscript"/>
        </w:rPr>
        <w:t>2</w:t>
      </w:r>
      <w:r>
        <w:rPr>
          <w:sz w:val="24"/>
          <w:szCs w:val="24"/>
        </w:rPr>
        <w:t xml:space="preserve"> = 137,389, </w:t>
      </w:r>
      <w:proofErr w:type="spellStart"/>
      <w:r>
        <w:rPr>
          <w:sz w:val="24"/>
          <w:szCs w:val="24"/>
        </w:rPr>
        <w:t>gl</w:t>
      </w:r>
      <w:proofErr w:type="spellEnd"/>
      <w:r>
        <w:rPr>
          <w:sz w:val="24"/>
          <w:szCs w:val="24"/>
        </w:rPr>
        <w:t xml:space="preserve"> = 170; p &lt; 0,001; RMSEA = 0,01; CFI = 0,99; TLI = 0,99). Adicionalmente, as medidas de dimensionalidade corroboram a solução </w:t>
      </w:r>
      <w:proofErr w:type="spellStart"/>
      <w:r>
        <w:rPr>
          <w:sz w:val="24"/>
          <w:szCs w:val="24"/>
        </w:rPr>
        <w:t>unifatorial</w:t>
      </w:r>
      <w:proofErr w:type="spellEnd"/>
      <w:r>
        <w:rPr>
          <w:sz w:val="24"/>
          <w:szCs w:val="24"/>
        </w:rPr>
        <w:t xml:space="preserve"> como a mais adequada.</w:t>
      </w:r>
    </w:p>
    <w:p w14:paraId="000000AB" w14:textId="77777777" w:rsidR="00791ABD" w:rsidRPr="001E3E3A" w:rsidRDefault="00227A77" w:rsidP="00F003BF">
      <w:pPr>
        <w:spacing w:before="30" w:after="30" w:line="480" w:lineRule="auto"/>
        <w:rPr>
          <w:bCs/>
          <w:sz w:val="24"/>
          <w:szCs w:val="24"/>
        </w:rPr>
      </w:pPr>
      <w:r w:rsidRPr="001E3E3A">
        <w:rPr>
          <w:bCs/>
          <w:sz w:val="24"/>
          <w:szCs w:val="24"/>
        </w:rPr>
        <w:t>Tabel</w:t>
      </w:r>
      <w:r w:rsidRPr="001E3E3A">
        <w:rPr>
          <w:bCs/>
          <w:sz w:val="24"/>
          <w:szCs w:val="24"/>
        </w:rPr>
        <w:t>a 2</w:t>
      </w:r>
    </w:p>
    <w:p w14:paraId="000000AC" w14:textId="77777777" w:rsidR="00791ABD" w:rsidRDefault="00227A77" w:rsidP="00F003BF">
      <w:pPr>
        <w:spacing w:before="30" w:after="30" w:line="480" w:lineRule="auto"/>
        <w:rPr>
          <w:i/>
          <w:sz w:val="24"/>
          <w:szCs w:val="24"/>
        </w:rPr>
      </w:pPr>
      <w:r>
        <w:rPr>
          <w:i/>
          <w:sz w:val="24"/>
          <w:szCs w:val="24"/>
        </w:rPr>
        <w:t>Resumo das características do modelo inicial e ajustado</w:t>
      </w:r>
    </w:p>
    <w:tbl>
      <w:tblPr>
        <w:tblStyle w:val="a6"/>
        <w:tblW w:w="85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672"/>
        <w:gridCol w:w="3732"/>
        <w:gridCol w:w="1550"/>
        <w:gridCol w:w="1550"/>
      </w:tblGrid>
      <w:tr w:rsidR="00791ABD" w:rsidRPr="001E3E3A" w14:paraId="696130B6" w14:textId="77777777">
        <w:tc>
          <w:tcPr>
            <w:tcW w:w="1672" w:type="dxa"/>
            <w:tcBorders>
              <w:top w:val="single" w:sz="4" w:space="0" w:color="000000"/>
              <w:bottom w:val="single" w:sz="4" w:space="0" w:color="000000"/>
            </w:tcBorders>
          </w:tcPr>
          <w:p w14:paraId="000000AD" w14:textId="77777777" w:rsidR="00791ABD" w:rsidRPr="001E3E3A" w:rsidRDefault="00791ABD" w:rsidP="00F003BF">
            <w:pPr>
              <w:spacing w:before="30" w:after="30" w:line="360" w:lineRule="auto"/>
              <w:rPr>
                <w:rFonts w:ascii="Times New Roman" w:eastAsia="Times New Roman" w:hAnsi="Times New Roman" w:cs="Times New Roman"/>
                <w:sz w:val="20"/>
                <w:szCs w:val="20"/>
              </w:rPr>
            </w:pPr>
          </w:p>
        </w:tc>
        <w:tc>
          <w:tcPr>
            <w:tcW w:w="3732" w:type="dxa"/>
            <w:tcBorders>
              <w:top w:val="single" w:sz="4" w:space="0" w:color="000000"/>
              <w:bottom w:val="single" w:sz="4" w:space="0" w:color="000000"/>
            </w:tcBorders>
            <w:vAlign w:val="center"/>
          </w:tcPr>
          <w:p w14:paraId="000000AE"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Índice</w:t>
            </w:r>
          </w:p>
        </w:tc>
        <w:tc>
          <w:tcPr>
            <w:tcW w:w="1550" w:type="dxa"/>
            <w:tcBorders>
              <w:top w:val="single" w:sz="4" w:space="0" w:color="000000"/>
              <w:bottom w:val="single" w:sz="4" w:space="0" w:color="000000"/>
            </w:tcBorders>
            <w:vAlign w:val="center"/>
          </w:tcPr>
          <w:p w14:paraId="000000AF"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Modelo Inicial</w:t>
            </w:r>
          </w:p>
        </w:tc>
        <w:tc>
          <w:tcPr>
            <w:tcW w:w="1550" w:type="dxa"/>
            <w:tcBorders>
              <w:top w:val="single" w:sz="4" w:space="0" w:color="000000"/>
              <w:bottom w:val="single" w:sz="4" w:space="0" w:color="000000"/>
            </w:tcBorders>
            <w:vAlign w:val="center"/>
          </w:tcPr>
          <w:p w14:paraId="000000B0"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Modelo ajustado</w:t>
            </w:r>
          </w:p>
        </w:tc>
      </w:tr>
      <w:tr w:rsidR="00791ABD" w:rsidRPr="001E3E3A" w14:paraId="509699B2" w14:textId="77777777">
        <w:tc>
          <w:tcPr>
            <w:tcW w:w="1672" w:type="dxa"/>
            <w:vMerge w:val="restart"/>
            <w:tcBorders>
              <w:top w:val="single" w:sz="4" w:space="0" w:color="000000"/>
            </w:tcBorders>
            <w:vAlign w:val="center"/>
          </w:tcPr>
          <w:p w14:paraId="000000B1" w14:textId="77777777" w:rsidR="00791ABD" w:rsidRPr="001E3E3A" w:rsidRDefault="00227A77" w:rsidP="00F003BF">
            <w:pPr>
              <w:spacing w:before="30" w:after="30" w:line="360" w:lineRule="auto"/>
              <w:jc w:val="center"/>
              <w:rPr>
                <w:rFonts w:ascii="Times New Roman" w:eastAsia="Times New Roman" w:hAnsi="Times New Roman" w:cs="Times New Roman"/>
                <w:b/>
                <w:sz w:val="20"/>
                <w:szCs w:val="20"/>
              </w:rPr>
            </w:pPr>
            <w:r w:rsidRPr="001E3E3A">
              <w:rPr>
                <w:rFonts w:ascii="Times New Roman" w:eastAsia="Times New Roman" w:hAnsi="Times New Roman" w:cs="Times New Roman"/>
                <w:sz w:val="20"/>
                <w:szCs w:val="20"/>
              </w:rPr>
              <w:t>Exploratória</w:t>
            </w:r>
          </w:p>
        </w:tc>
        <w:tc>
          <w:tcPr>
            <w:tcW w:w="3732" w:type="dxa"/>
            <w:tcBorders>
              <w:top w:val="single" w:sz="4" w:space="0" w:color="000000"/>
            </w:tcBorders>
            <w:vAlign w:val="center"/>
          </w:tcPr>
          <w:p w14:paraId="000000B2"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proofErr w:type="spellStart"/>
            <w:r w:rsidRPr="001E3E3A">
              <w:rPr>
                <w:rFonts w:ascii="Times New Roman" w:eastAsia="Times New Roman" w:hAnsi="Times New Roman" w:cs="Times New Roman"/>
                <w:sz w:val="20"/>
                <w:szCs w:val="20"/>
              </w:rPr>
              <w:t>Fatorabilidade</w:t>
            </w:r>
            <w:proofErr w:type="spellEnd"/>
            <w:r w:rsidRPr="001E3E3A">
              <w:rPr>
                <w:rFonts w:ascii="Times New Roman" w:eastAsia="Times New Roman" w:hAnsi="Times New Roman" w:cs="Times New Roman"/>
                <w:sz w:val="20"/>
                <w:szCs w:val="20"/>
              </w:rPr>
              <w:t xml:space="preserve"> da Matriz (Determinante da matriz)</w:t>
            </w:r>
          </w:p>
        </w:tc>
        <w:tc>
          <w:tcPr>
            <w:tcW w:w="1550" w:type="dxa"/>
            <w:tcBorders>
              <w:top w:val="single" w:sz="4" w:space="0" w:color="000000"/>
            </w:tcBorders>
            <w:vAlign w:val="center"/>
          </w:tcPr>
          <w:p w14:paraId="000000B3"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&lt; 0,001</w:t>
            </w:r>
          </w:p>
        </w:tc>
        <w:tc>
          <w:tcPr>
            <w:tcW w:w="1550" w:type="dxa"/>
            <w:tcBorders>
              <w:top w:val="single" w:sz="4" w:space="0" w:color="000000"/>
            </w:tcBorders>
            <w:vAlign w:val="center"/>
          </w:tcPr>
          <w:p w14:paraId="000000B4"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&lt; 0,001</w:t>
            </w:r>
          </w:p>
        </w:tc>
      </w:tr>
      <w:tr w:rsidR="00791ABD" w:rsidRPr="001E3E3A" w14:paraId="3C932ADD" w14:textId="77777777">
        <w:tc>
          <w:tcPr>
            <w:tcW w:w="1672" w:type="dxa"/>
            <w:vMerge/>
            <w:tcBorders>
              <w:top w:val="single" w:sz="4" w:space="0" w:color="000000"/>
            </w:tcBorders>
            <w:vAlign w:val="center"/>
          </w:tcPr>
          <w:p w14:paraId="000000B5" w14:textId="77777777" w:rsidR="00791ABD" w:rsidRPr="001E3E3A" w:rsidRDefault="00791ABD" w:rsidP="00F003BF">
            <w:pPr>
              <w:widowControl w:val="0"/>
              <w:pBdr>
                <w:top w:val="nil"/>
                <w:left w:val="nil"/>
                <w:bottom w:val="nil"/>
                <w:right w:val="nil"/>
                <w:between w:val="nil"/>
              </w:pBdr>
              <w:spacing w:before="30" w:after="30" w:line="276" w:lineRule="auto"/>
              <w:rPr>
                <w:rFonts w:ascii="Times New Roman" w:eastAsia="Times New Roman" w:hAnsi="Times New Roman" w:cs="Times New Roman"/>
                <w:sz w:val="20"/>
                <w:szCs w:val="20"/>
              </w:rPr>
            </w:pPr>
          </w:p>
        </w:tc>
        <w:tc>
          <w:tcPr>
            <w:tcW w:w="3732" w:type="dxa"/>
            <w:vAlign w:val="center"/>
          </w:tcPr>
          <w:p w14:paraId="000000B6"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proofErr w:type="spellStart"/>
            <w:r w:rsidRPr="001E3E3A">
              <w:rPr>
                <w:rFonts w:ascii="Times New Roman" w:eastAsia="Times New Roman" w:hAnsi="Times New Roman" w:cs="Times New Roman"/>
                <w:sz w:val="20"/>
                <w:szCs w:val="20"/>
              </w:rPr>
              <w:t>Fatorabilidade</w:t>
            </w:r>
            <w:proofErr w:type="spellEnd"/>
            <w:r w:rsidRPr="001E3E3A">
              <w:rPr>
                <w:rFonts w:ascii="Times New Roman" w:eastAsia="Times New Roman" w:hAnsi="Times New Roman" w:cs="Times New Roman"/>
                <w:sz w:val="20"/>
                <w:szCs w:val="20"/>
              </w:rPr>
              <w:t xml:space="preserve"> da Matriz (</w:t>
            </w:r>
            <w:proofErr w:type="spellStart"/>
            <w:r w:rsidRPr="001E3E3A">
              <w:rPr>
                <w:rFonts w:ascii="Times New Roman" w:eastAsia="Times New Roman" w:hAnsi="Times New Roman" w:cs="Times New Roman"/>
                <w:sz w:val="20"/>
                <w:szCs w:val="20"/>
              </w:rPr>
              <w:t>Bartlett</w:t>
            </w:r>
            <w:proofErr w:type="spellEnd"/>
            <w:r w:rsidRPr="001E3E3A">
              <w:rPr>
                <w:rFonts w:ascii="Times New Roman" w:eastAsia="Times New Roman" w:hAnsi="Times New Roman" w:cs="Times New Roman"/>
                <w:sz w:val="20"/>
                <w:szCs w:val="20"/>
              </w:rPr>
              <w:t>)</w:t>
            </w:r>
          </w:p>
        </w:tc>
        <w:tc>
          <w:tcPr>
            <w:tcW w:w="1550" w:type="dxa"/>
            <w:vAlign w:val="center"/>
          </w:tcPr>
          <w:p w14:paraId="000000B7"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1160,9</w:t>
            </w:r>
          </w:p>
          <w:p w14:paraId="000000B8"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w:t>
            </w:r>
            <w:proofErr w:type="spellStart"/>
            <w:r w:rsidRPr="001E3E3A">
              <w:rPr>
                <w:rFonts w:ascii="Times New Roman" w:eastAsia="Times New Roman" w:hAnsi="Times New Roman" w:cs="Times New Roman"/>
                <w:sz w:val="20"/>
                <w:szCs w:val="20"/>
              </w:rPr>
              <w:t>gl</w:t>
            </w:r>
            <w:proofErr w:type="spellEnd"/>
            <w:r w:rsidRPr="001E3E3A">
              <w:rPr>
                <w:rFonts w:ascii="Times New Roman" w:eastAsia="Times New Roman" w:hAnsi="Times New Roman" w:cs="Times New Roman"/>
                <w:sz w:val="20"/>
                <w:szCs w:val="20"/>
              </w:rPr>
              <w:t>=231; p&lt;0,001)</w:t>
            </w:r>
          </w:p>
        </w:tc>
        <w:tc>
          <w:tcPr>
            <w:tcW w:w="1550" w:type="dxa"/>
            <w:vAlign w:val="center"/>
          </w:tcPr>
          <w:p w14:paraId="000000B9" w14:textId="77777777" w:rsidR="00791ABD" w:rsidRPr="001E3E3A" w:rsidRDefault="00227A77" w:rsidP="00F003BF">
            <w:pPr>
              <w:spacing w:before="30" w:after="30"/>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1168,6</w:t>
            </w:r>
          </w:p>
          <w:p w14:paraId="000000BA"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w:t>
            </w:r>
            <w:proofErr w:type="spellStart"/>
            <w:r w:rsidRPr="001E3E3A">
              <w:rPr>
                <w:rFonts w:ascii="Times New Roman" w:eastAsia="Times New Roman" w:hAnsi="Times New Roman" w:cs="Times New Roman"/>
                <w:sz w:val="20"/>
                <w:szCs w:val="20"/>
              </w:rPr>
              <w:t>gl</w:t>
            </w:r>
            <w:proofErr w:type="spellEnd"/>
            <w:r w:rsidRPr="001E3E3A">
              <w:rPr>
                <w:rFonts w:ascii="Times New Roman" w:eastAsia="Times New Roman" w:hAnsi="Times New Roman" w:cs="Times New Roman"/>
                <w:sz w:val="20"/>
                <w:szCs w:val="20"/>
              </w:rPr>
              <w:t>=190; p&lt;0,001)</w:t>
            </w:r>
          </w:p>
        </w:tc>
      </w:tr>
      <w:tr w:rsidR="00791ABD" w:rsidRPr="001E3E3A" w14:paraId="74E03B05" w14:textId="77777777">
        <w:tc>
          <w:tcPr>
            <w:tcW w:w="1672" w:type="dxa"/>
            <w:vMerge/>
            <w:tcBorders>
              <w:top w:val="single" w:sz="4" w:space="0" w:color="000000"/>
            </w:tcBorders>
            <w:vAlign w:val="center"/>
          </w:tcPr>
          <w:p w14:paraId="000000BB" w14:textId="77777777" w:rsidR="00791ABD" w:rsidRPr="001E3E3A" w:rsidRDefault="00791ABD" w:rsidP="00F003BF">
            <w:pPr>
              <w:widowControl w:val="0"/>
              <w:pBdr>
                <w:top w:val="nil"/>
                <w:left w:val="nil"/>
                <w:bottom w:val="nil"/>
                <w:right w:val="nil"/>
                <w:between w:val="nil"/>
              </w:pBdr>
              <w:spacing w:before="30" w:after="30" w:line="276" w:lineRule="auto"/>
              <w:rPr>
                <w:rFonts w:ascii="Times New Roman" w:eastAsia="Times New Roman" w:hAnsi="Times New Roman" w:cs="Times New Roman"/>
                <w:sz w:val="20"/>
                <w:szCs w:val="20"/>
              </w:rPr>
            </w:pPr>
          </w:p>
        </w:tc>
        <w:tc>
          <w:tcPr>
            <w:tcW w:w="3732" w:type="dxa"/>
            <w:vAlign w:val="center"/>
          </w:tcPr>
          <w:p w14:paraId="000000BC"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proofErr w:type="spellStart"/>
            <w:r w:rsidRPr="001E3E3A">
              <w:rPr>
                <w:rFonts w:ascii="Times New Roman" w:eastAsia="Times New Roman" w:hAnsi="Times New Roman" w:cs="Times New Roman"/>
                <w:sz w:val="20"/>
                <w:szCs w:val="20"/>
              </w:rPr>
              <w:t>Fatorabilidade</w:t>
            </w:r>
            <w:proofErr w:type="spellEnd"/>
            <w:r w:rsidRPr="001E3E3A">
              <w:rPr>
                <w:rFonts w:ascii="Times New Roman" w:eastAsia="Times New Roman" w:hAnsi="Times New Roman" w:cs="Times New Roman"/>
                <w:sz w:val="20"/>
                <w:szCs w:val="20"/>
              </w:rPr>
              <w:t xml:space="preserve"> da Matriz (KMO)</w:t>
            </w:r>
          </w:p>
        </w:tc>
        <w:tc>
          <w:tcPr>
            <w:tcW w:w="1550" w:type="dxa"/>
            <w:vAlign w:val="center"/>
          </w:tcPr>
          <w:p w14:paraId="000000BD"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0,87 (0,87-0,88)</w:t>
            </w:r>
          </w:p>
        </w:tc>
        <w:tc>
          <w:tcPr>
            <w:tcW w:w="1550" w:type="dxa"/>
            <w:vAlign w:val="center"/>
          </w:tcPr>
          <w:p w14:paraId="000000BE"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0,88 (0,88-0,89)</w:t>
            </w:r>
          </w:p>
        </w:tc>
      </w:tr>
      <w:tr w:rsidR="00791ABD" w:rsidRPr="001E3E3A" w14:paraId="59452DBE" w14:textId="77777777">
        <w:tc>
          <w:tcPr>
            <w:tcW w:w="1672" w:type="dxa"/>
            <w:vMerge/>
            <w:tcBorders>
              <w:top w:val="single" w:sz="4" w:space="0" w:color="000000"/>
            </w:tcBorders>
            <w:vAlign w:val="center"/>
          </w:tcPr>
          <w:p w14:paraId="000000BF" w14:textId="77777777" w:rsidR="00791ABD" w:rsidRPr="001E3E3A" w:rsidRDefault="00791ABD" w:rsidP="00F003BF">
            <w:pPr>
              <w:widowControl w:val="0"/>
              <w:pBdr>
                <w:top w:val="nil"/>
                <w:left w:val="nil"/>
                <w:bottom w:val="nil"/>
                <w:right w:val="nil"/>
                <w:between w:val="nil"/>
              </w:pBdr>
              <w:spacing w:before="30" w:after="30" w:line="276" w:lineRule="auto"/>
              <w:rPr>
                <w:rFonts w:ascii="Times New Roman" w:eastAsia="Times New Roman" w:hAnsi="Times New Roman" w:cs="Times New Roman"/>
                <w:sz w:val="20"/>
                <w:szCs w:val="20"/>
              </w:rPr>
            </w:pPr>
          </w:p>
        </w:tc>
        <w:tc>
          <w:tcPr>
            <w:tcW w:w="3732" w:type="dxa"/>
            <w:vAlign w:val="center"/>
          </w:tcPr>
          <w:p w14:paraId="000000C0"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Dimensões (Análise Paralela)</w:t>
            </w:r>
          </w:p>
        </w:tc>
        <w:tc>
          <w:tcPr>
            <w:tcW w:w="1550" w:type="dxa"/>
            <w:vAlign w:val="center"/>
          </w:tcPr>
          <w:p w14:paraId="000000C1"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1</w:t>
            </w:r>
          </w:p>
        </w:tc>
        <w:tc>
          <w:tcPr>
            <w:tcW w:w="1550" w:type="dxa"/>
            <w:vAlign w:val="center"/>
          </w:tcPr>
          <w:p w14:paraId="000000C2"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1</w:t>
            </w:r>
          </w:p>
        </w:tc>
      </w:tr>
      <w:tr w:rsidR="00791ABD" w:rsidRPr="001E3E3A" w14:paraId="4DF8C6D6" w14:textId="77777777">
        <w:tc>
          <w:tcPr>
            <w:tcW w:w="1672" w:type="dxa"/>
            <w:vMerge/>
            <w:tcBorders>
              <w:top w:val="single" w:sz="4" w:space="0" w:color="000000"/>
            </w:tcBorders>
            <w:vAlign w:val="center"/>
          </w:tcPr>
          <w:p w14:paraId="000000C3" w14:textId="77777777" w:rsidR="00791ABD" w:rsidRPr="001E3E3A" w:rsidRDefault="00791ABD" w:rsidP="00F003BF">
            <w:pPr>
              <w:widowControl w:val="0"/>
              <w:pBdr>
                <w:top w:val="nil"/>
                <w:left w:val="nil"/>
                <w:bottom w:val="nil"/>
                <w:right w:val="nil"/>
                <w:between w:val="nil"/>
              </w:pBdr>
              <w:spacing w:before="30" w:after="30" w:line="276" w:lineRule="auto"/>
              <w:rPr>
                <w:rFonts w:ascii="Times New Roman" w:eastAsia="Times New Roman" w:hAnsi="Times New Roman" w:cs="Times New Roman"/>
                <w:sz w:val="20"/>
                <w:szCs w:val="20"/>
              </w:rPr>
            </w:pPr>
          </w:p>
        </w:tc>
        <w:tc>
          <w:tcPr>
            <w:tcW w:w="3732" w:type="dxa"/>
            <w:vAlign w:val="center"/>
          </w:tcPr>
          <w:p w14:paraId="000000C4"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Variância explicada</w:t>
            </w:r>
          </w:p>
        </w:tc>
        <w:tc>
          <w:tcPr>
            <w:tcW w:w="1550" w:type="dxa"/>
            <w:vAlign w:val="center"/>
          </w:tcPr>
          <w:p w14:paraId="000000C5"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51,65%</w:t>
            </w:r>
          </w:p>
        </w:tc>
        <w:tc>
          <w:tcPr>
            <w:tcW w:w="1550" w:type="dxa"/>
            <w:vAlign w:val="center"/>
          </w:tcPr>
          <w:p w14:paraId="000000C6"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56,20%</w:t>
            </w:r>
          </w:p>
        </w:tc>
      </w:tr>
      <w:tr w:rsidR="00791ABD" w:rsidRPr="001E3E3A" w14:paraId="5BF0E066" w14:textId="77777777">
        <w:tc>
          <w:tcPr>
            <w:tcW w:w="1672" w:type="dxa"/>
            <w:vMerge w:val="restart"/>
            <w:vAlign w:val="center"/>
          </w:tcPr>
          <w:p w14:paraId="000000C7" w14:textId="77777777" w:rsidR="00791ABD" w:rsidRPr="001E3E3A" w:rsidRDefault="00227A77" w:rsidP="00F003BF">
            <w:pPr>
              <w:spacing w:before="30" w:after="30" w:line="360" w:lineRule="auto"/>
              <w:jc w:val="center"/>
              <w:rPr>
                <w:rFonts w:ascii="Times New Roman" w:eastAsia="Times New Roman" w:hAnsi="Times New Roman" w:cs="Times New Roman"/>
                <w:b/>
                <w:sz w:val="20"/>
                <w:szCs w:val="20"/>
              </w:rPr>
            </w:pPr>
            <w:r w:rsidRPr="001E3E3A">
              <w:rPr>
                <w:rFonts w:ascii="Times New Roman" w:eastAsia="Times New Roman" w:hAnsi="Times New Roman" w:cs="Times New Roman"/>
                <w:sz w:val="20"/>
                <w:szCs w:val="20"/>
              </w:rPr>
              <w:t>Índices de Ajuste</w:t>
            </w:r>
          </w:p>
        </w:tc>
        <w:tc>
          <w:tcPr>
            <w:tcW w:w="3732" w:type="dxa"/>
            <w:vAlign w:val="center"/>
          </w:tcPr>
          <w:p w14:paraId="000000C8"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χ²/</w:t>
            </w:r>
            <w:proofErr w:type="spellStart"/>
            <w:r w:rsidRPr="001E3E3A">
              <w:rPr>
                <w:rFonts w:ascii="Times New Roman" w:eastAsia="Times New Roman" w:hAnsi="Times New Roman" w:cs="Times New Roman"/>
                <w:sz w:val="20"/>
                <w:szCs w:val="20"/>
              </w:rPr>
              <w:t>gl</w:t>
            </w:r>
            <w:proofErr w:type="spellEnd"/>
          </w:p>
        </w:tc>
        <w:tc>
          <w:tcPr>
            <w:tcW w:w="1550" w:type="dxa"/>
            <w:vAlign w:val="center"/>
          </w:tcPr>
          <w:p w14:paraId="000000C9"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0,92</w:t>
            </w:r>
          </w:p>
        </w:tc>
        <w:tc>
          <w:tcPr>
            <w:tcW w:w="1550" w:type="dxa"/>
            <w:vAlign w:val="center"/>
          </w:tcPr>
          <w:p w14:paraId="000000CA"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0,81</w:t>
            </w:r>
          </w:p>
        </w:tc>
      </w:tr>
      <w:tr w:rsidR="00791ABD" w:rsidRPr="001E3E3A" w14:paraId="42DD8F08" w14:textId="77777777">
        <w:tc>
          <w:tcPr>
            <w:tcW w:w="1672" w:type="dxa"/>
            <w:vMerge/>
            <w:vAlign w:val="center"/>
          </w:tcPr>
          <w:p w14:paraId="000000CB" w14:textId="77777777" w:rsidR="00791ABD" w:rsidRPr="001E3E3A" w:rsidRDefault="00791ABD" w:rsidP="00F003BF">
            <w:pPr>
              <w:widowControl w:val="0"/>
              <w:pBdr>
                <w:top w:val="nil"/>
                <w:left w:val="nil"/>
                <w:bottom w:val="nil"/>
                <w:right w:val="nil"/>
                <w:between w:val="nil"/>
              </w:pBdr>
              <w:spacing w:before="30" w:after="30" w:line="276" w:lineRule="auto"/>
              <w:rPr>
                <w:rFonts w:ascii="Times New Roman" w:eastAsia="Times New Roman" w:hAnsi="Times New Roman" w:cs="Times New Roman"/>
                <w:sz w:val="20"/>
                <w:szCs w:val="20"/>
              </w:rPr>
            </w:pPr>
          </w:p>
        </w:tc>
        <w:tc>
          <w:tcPr>
            <w:tcW w:w="3732" w:type="dxa"/>
            <w:vAlign w:val="center"/>
          </w:tcPr>
          <w:p w14:paraId="000000CC"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CFI</w:t>
            </w:r>
          </w:p>
        </w:tc>
        <w:tc>
          <w:tcPr>
            <w:tcW w:w="1550" w:type="dxa"/>
            <w:vAlign w:val="center"/>
          </w:tcPr>
          <w:p w14:paraId="000000CD"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0,99</w:t>
            </w:r>
          </w:p>
        </w:tc>
        <w:tc>
          <w:tcPr>
            <w:tcW w:w="1550" w:type="dxa"/>
            <w:vAlign w:val="center"/>
          </w:tcPr>
          <w:p w14:paraId="000000CE"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0,99</w:t>
            </w:r>
          </w:p>
        </w:tc>
      </w:tr>
      <w:tr w:rsidR="00791ABD" w:rsidRPr="001E3E3A" w14:paraId="48C507EA" w14:textId="77777777">
        <w:tc>
          <w:tcPr>
            <w:tcW w:w="1672" w:type="dxa"/>
            <w:vMerge/>
            <w:vAlign w:val="center"/>
          </w:tcPr>
          <w:p w14:paraId="000000CF" w14:textId="77777777" w:rsidR="00791ABD" w:rsidRPr="001E3E3A" w:rsidRDefault="00791ABD" w:rsidP="00F003BF">
            <w:pPr>
              <w:widowControl w:val="0"/>
              <w:pBdr>
                <w:top w:val="nil"/>
                <w:left w:val="nil"/>
                <w:bottom w:val="nil"/>
                <w:right w:val="nil"/>
                <w:between w:val="nil"/>
              </w:pBdr>
              <w:spacing w:before="30" w:after="30" w:line="276" w:lineRule="auto"/>
              <w:rPr>
                <w:rFonts w:ascii="Times New Roman" w:eastAsia="Times New Roman" w:hAnsi="Times New Roman" w:cs="Times New Roman"/>
                <w:sz w:val="20"/>
                <w:szCs w:val="20"/>
              </w:rPr>
            </w:pPr>
          </w:p>
        </w:tc>
        <w:tc>
          <w:tcPr>
            <w:tcW w:w="3732" w:type="dxa"/>
            <w:vAlign w:val="center"/>
          </w:tcPr>
          <w:p w14:paraId="000000D0"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TLI</w:t>
            </w:r>
          </w:p>
        </w:tc>
        <w:tc>
          <w:tcPr>
            <w:tcW w:w="1550" w:type="dxa"/>
            <w:vAlign w:val="center"/>
          </w:tcPr>
          <w:p w14:paraId="000000D1"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0,99</w:t>
            </w:r>
          </w:p>
        </w:tc>
        <w:tc>
          <w:tcPr>
            <w:tcW w:w="1550" w:type="dxa"/>
            <w:vAlign w:val="center"/>
          </w:tcPr>
          <w:p w14:paraId="000000D2"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0,99</w:t>
            </w:r>
          </w:p>
        </w:tc>
      </w:tr>
      <w:tr w:rsidR="00791ABD" w:rsidRPr="001E3E3A" w14:paraId="49CD65F6" w14:textId="77777777">
        <w:tc>
          <w:tcPr>
            <w:tcW w:w="1672" w:type="dxa"/>
            <w:vMerge/>
            <w:vAlign w:val="center"/>
          </w:tcPr>
          <w:p w14:paraId="000000D3" w14:textId="77777777" w:rsidR="00791ABD" w:rsidRPr="001E3E3A" w:rsidRDefault="00791ABD" w:rsidP="00F003BF">
            <w:pPr>
              <w:widowControl w:val="0"/>
              <w:pBdr>
                <w:top w:val="nil"/>
                <w:left w:val="nil"/>
                <w:bottom w:val="nil"/>
                <w:right w:val="nil"/>
                <w:between w:val="nil"/>
              </w:pBdr>
              <w:spacing w:before="30" w:after="30" w:line="276" w:lineRule="auto"/>
              <w:rPr>
                <w:rFonts w:ascii="Times New Roman" w:eastAsia="Times New Roman" w:hAnsi="Times New Roman" w:cs="Times New Roman"/>
                <w:sz w:val="20"/>
                <w:szCs w:val="20"/>
              </w:rPr>
            </w:pPr>
          </w:p>
        </w:tc>
        <w:tc>
          <w:tcPr>
            <w:tcW w:w="3732" w:type="dxa"/>
            <w:vAlign w:val="center"/>
          </w:tcPr>
          <w:p w14:paraId="000000D4"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RMSEA</w:t>
            </w:r>
          </w:p>
        </w:tc>
        <w:tc>
          <w:tcPr>
            <w:tcW w:w="1550" w:type="dxa"/>
            <w:vAlign w:val="center"/>
          </w:tcPr>
          <w:p w14:paraId="000000D5"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0,01</w:t>
            </w:r>
          </w:p>
        </w:tc>
        <w:tc>
          <w:tcPr>
            <w:tcW w:w="1550" w:type="dxa"/>
            <w:vAlign w:val="center"/>
          </w:tcPr>
          <w:p w14:paraId="000000D6"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0,01</w:t>
            </w:r>
          </w:p>
        </w:tc>
      </w:tr>
      <w:tr w:rsidR="00791ABD" w:rsidRPr="001E3E3A" w14:paraId="67CD72EB" w14:textId="77777777">
        <w:tc>
          <w:tcPr>
            <w:tcW w:w="1672" w:type="dxa"/>
            <w:vMerge w:val="restart"/>
            <w:vAlign w:val="center"/>
          </w:tcPr>
          <w:p w14:paraId="000000D7" w14:textId="77777777" w:rsidR="00791ABD" w:rsidRPr="001E3E3A" w:rsidRDefault="00227A77" w:rsidP="00F003BF">
            <w:pPr>
              <w:spacing w:before="30" w:after="30" w:line="360" w:lineRule="auto"/>
              <w:jc w:val="center"/>
              <w:rPr>
                <w:rFonts w:ascii="Times New Roman" w:eastAsia="Times New Roman" w:hAnsi="Times New Roman" w:cs="Times New Roman"/>
                <w:b/>
                <w:sz w:val="20"/>
                <w:szCs w:val="20"/>
              </w:rPr>
            </w:pPr>
            <w:r w:rsidRPr="001E3E3A">
              <w:rPr>
                <w:rFonts w:ascii="Times New Roman" w:eastAsia="Times New Roman" w:hAnsi="Times New Roman" w:cs="Times New Roman"/>
                <w:sz w:val="20"/>
                <w:szCs w:val="20"/>
              </w:rPr>
              <w:t>Dimensionalidade</w:t>
            </w:r>
          </w:p>
        </w:tc>
        <w:tc>
          <w:tcPr>
            <w:tcW w:w="3732" w:type="dxa"/>
            <w:vAlign w:val="center"/>
          </w:tcPr>
          <w:p w14:paraId="000000D8"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ÚNICO</w:t>
            </w:r>
          </w:p>
        </w:tc>
        <w:tc>
          <w:tcPr>
            <w:tcW w:w="1550" w:type="dxa"/>
            <w:vAlign w:val="center"/>
          </w:tcPr>
          <w:p w14:paraId="000000D9"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0,96</w:t>
            </w:r>
          </w:p>
        </w:tc>
        <w:tc>
          <w:tcPr>
            <w:tcW w:w="1550" w:type="dxa"/>
            <w:vAlign w:val="center"/>
          </w:tcPr>
          <w:p w14:paraId="000000DA"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0,98</w:t>
            </w:r>
          </w:p>
        </w:tc>
      </w:tr>
      <w:tr w:rsidR="00791ABD" w:rsidRPr="001E3E3A" w14:paraId="4FBE986E" w14:textId="77777777">
        <w:tc>
          <w:tcPr>
            <w:tcW w:w="1672" w:type="dxa"/>
            <w:vMerge/>
            <w:vAlign w:val="center"/>
          </w:tcPr>
          <w:p w14:paraId="000000DB" w14:textId="77777777" w:rsidR="00791ABD" w:rsidRPr="001E3E3A" w:rsidRDefault="00791ABD" w:rsidP="00F003BF">
            <w:pPr>
              <w:widowControl w:val="0"/>
              <w:pBdr>
                <w:top w:val="nil"/>
                <w:left w:val="nil"/>
                <w:bottom w:val="nil"/>
                <w:right w:val="nil"/>
                <w:between w:val="nil"/>
              </w:pBdr>
              <w:spacing w:before="30" w:after="30" w:line="276" w:lineRule="auto"/>
              <w:rPr>
                <w:rFonts w:ascii="Times New Roman" w:eastAsia="Times New Roman" w:hAnsi="Times New Roman" w:cs="Times New Roman"/>
                <w:sz w:val="20"/>
                <w:szCs w:val="20"/>
              </w:rPr>
            </w:pPr>
          </w:p>
        </w:tc>
        <w:tc>
          <w:tcPr>
            <w:tcW w:w="3732" w:type="dxa"/>
            <w:vAlign w:val="center"/>
          </w:tcPr>
          <w:p w14:paraId="000000DC"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ECV</w:t>
            </w:r>
          </w:p>
        </w:tc>
        <w:tc>
          <w:tcPr>
            <w:tcW w:w="1550" w:type="dxa"/>
            <w:vAlign w:val="center"/>
          </w:tcPr>
          <w:p w14:paraId="000000DD"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0,86</w:t>
            </w:r>
          </w:p>
        </w:tc>
        <w:tc>
          <w:tcPr>
            <w:tcW w:w="1550" w:type="dxa"/>
            <w:vAlign w:val="center"/>
          </w:tcPr>
          <w:p w14:paraId="000000DE"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0,87</w:t>
            </w:r>
          </w:p>
        </w:tc>
      </w:tr>
      <w:tr w:rsidR="00791ABD" w:rsidRPr="001E3E3A" w14:paraId="5DEAA5DA" w14:textId="77777777">
        <w:tc>
          <w:tcPr>
            <w:tcW w:w="1672" w:type="dxa"/>
            <w:vMerge/>
            <w:vAlign w:val="center"/>
          </w:tcPr>
          <w:p w14:paraId="000000DF" w14:textId="77777777" w:rsidR="00791ABD" w:rsidRPr="001E3E3A" w:rsidRDefault="00791ABD" w:rsidP="00F003BF">
            <w:pPr>
              <w:widowControl w:val="0"/>
              <w:pBdr>
                <w:top w:val="nil"/>
                <w:left w:val="nil"/>
                <w:bottom w:val="nil"/>
                <w:right w:val="nil"/>
                <w:between w:val="nil"/>
              </w:pBdr>
              <w:spacing w:before="30" w:after="30" w:line="276" w:lineRule="auto"/>
              <w:rPr>
                <w:rFonts w:ascii="Times New Roman" w:eastAsia="Times New Roman" w:hAnsi="Times New Roman" w:cs="Times New Roman"/>
                <w:sz w:val="20"/>
                <w:szCs w:val="20"/>
              </w:rPr>
            </w:pPr>
          </w:p>
        </w:tc>
        <w:tc>
          <w:tcPr>
            <w:tcW w:w="3732" w:type="dxa"/>
            <w:vAlign w:val="center"/>
          </w:tcPr>
          <w:p w14:paraId="000000E0"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MIREAL</w:t>
            </w:r>
          </w:p>
        </w:tc>
        <w:tc>
          <w:tcPr>
            <w:tcW w:w="1550" w:type="dxa"/>
            <w:vAlign w:val="center"/>
          </w:tcPr>
          <w:p w14:paraId="000000E1"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0,25</w:t>
            </w:r>
          </w:p>
        </w:tc>
        <w:tc>
          <w:tcPr>
            <w:tcW w:w="1550" w:type="dxa"/>
            <w:vAlign w:val="center"/>
          </w:tcPr>
          <w:p w14:paraId="000000E2"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0,25</w:t>
            </w:r>
          </w:p>
        </w:tc>
      </w:tr>
      <w:tr w:rsidR="00791ABD" w:rsidRPr="001E3E3A" w14:paraId="0DE979A2" w14:textId="77777777">
        <w:tc>
          <w:tcPr>
            <w:tcW w:w="1672" w:type="dxa"/>
            <w:vMerge w:val="restart"/>
            <w:vAlign w:val="center"/>
          </w:tcPr>
          <w:p w14:paraId="000000E3" w14:textId="77777777" w:rsidR="00791ABD" w:rsidRPr="001E3E3A" w:rsidRDefault="00227A77" w:rsidP="00F003BF">
            <w:pPr>
              <w:spacing w:before="30" w:after="30" w:line="360" w:lineRule="auto"/>
              <w:jc w:val="center"/>
              <w:rPr>
                <w:rFonts w:ascii="Times New Roman" w:eastAsia="Times New Roman" w:hAnsi="Times New Roman" w:cs="Times New Roman"/>
                <w:b/>
                <w:sz w:val="20"/>
                <w:szCs w:val="20"/>
              </w:rPr>
            </w:pPr>
            <w:r w:rsidRPr="001E3E3A">
              <w:rPr>
                <w:rFonts w:ascii="Times New Roman" w:eastAsia="Times New Roman" w:hAnsi="Times New Roman" w:cs="Times New Roman"/>
                <w:sz w:val="20"/>
                <w:szCs w:val="20"/>
              </w:rPr>
              <w:t>Confiabilidade</w:t>
            </w:r>
          </w:p>
        </w:tc>
        <w:tc>
          <w:tcPr>
            <w:tcW w:w="3732" w:type="dxa"/>
            <w:vAlign w:val="center"/>
          </w:tcPr>
          <w:p w14:paraId="000000E4"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 xml:space="preserve">Alfa de </w:t>
            </w:r>
            <w:proofErr w:type="spellStart"/>
            <w:r w:rsidRPr="001E3E3A">
              <w:rPr>
                <w:rFonts w:ascii="Times New Roman" w:eastAsia="Times New Roman" w:hAnsi="Times New Roman" w:cs="Times New Roman"/>
                <w:sz w:val="20"/>
                <w:szCs w:val="20"/>
              </w:rPr>
              <w:t>Cronbach</w:t>
            </w:r>
            <w:proofErr w:type="spellEnd"/>
            <w:r w:rsidRPr="001E3E3A">
              <w:rPr>
                <w:rFonts w:ascii="Times New Roman" w:eastAsia="Times New Roman" w:hAnsi="Times New Roman" w:cs="Times New Roman"/>
                <w:sz w:val="20"/>
                <w:szCs w:val="20"/>
              </w:rPr>
              <w:t xml:space="preserve"> Padronizado</w:t>
            </w:r>
          </w:p>
        </w:tc>
        <w:tc>
          <w:tcPr>
            <w:tcW w:w="1550" w:type="dxa"/>
            <w:vAlign w:val="center"/>
          </w:tcPr>
          <w:p w14:paraId="000000E5"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0,95</w:t>
            </w:r>
          </w:p>
        </w:tc>
        <w:tc>
          <w:tcPr>
            <w:tcW w:w="1550" w:type="dxa"/>
            <w:vAlign w:val="center"/>
          </w:tcPr>
          <w:p w14:paraId="000000E6"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0,95</w:t>
            </w:r>
          </w:p>
        </w:tc>
      </w:tr>
      <w:tr w:rsidR="00791ABD" w:rsidRPr="001E3E3A" w14:paraId="50EC02BC" w14:textId="77777777">
        <w:tc>
          <w:tcPr>
            <w:tcW w:w="1672" w:type="dxa"/>
            <w:vMerge/>
            <w:vAlign w:val="center"/>
          </w:tcPr>
          <w:p w14:paraId="000000E7" w14:textId="77777777" w:rsidR="00791ABD" w:rsidRPr="001E3E3A" w:rsidRDefault="00791ABD" w:rsidP="00F003BF">
            <w:pPr>
              <w:widowControl w:val="0"/>
              <w:pBdr>
                <w:top w:val="nil"/>
                <w:left w:val="nil"/>
                <w:bottom w:val="nil"/>
                <w:right w:val="nil"/>
                <w:between w:val="nil"/>
              </w:pBdr>
              <w:spacing w:before="30" w:after="30" w:line="276" w:lineRule="auto"/>
              <w:rPr>
                <w:rFonts w:ascii="Times New Roman" w:eastAsia="Times New Roman" w:hAnsi="Times New Roman" w:cs="Times New Roman"/>
                <w:sz w:val="20"/>
                <w:szCs w:val="20"/>
              </w:rPr>
            </w:pPr>
          </w:p>
        </w:tc>
        <w:tc>
          <w:tcPr>
            <w:tcW w:w="3732" w:type="dxa"/>
            <w:vAlign w:val="center"/>
          </w:tcPr>
          <w:p w14:paraId="000000E8"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Ômega de McDonald</w:t>
            </w:r>
          </w:p>
        </w:tc>
        <w:tc>
          <w:tcPr>
            <w:tcW w:w="1550" w:type="dxa"/>
            <w:vAlign w:val="center"/>
          </w:tcPr>
          <w:p w14:paraId="000000E9"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0,95</w:t>
            </w:r>
          </w:p>
        </w:tc>
        <w:tc>
          <w:tcPr>
            <w:tcW w:w="1550" w:type="dxa"/>
            <w:vAlign w:val="center"/>
          </w:tcPr>
          <w:p w14:paraId="000000EA"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0,96</w:t>
            </w:r>
          </w:p>
        </w:tc>
      </w:tr>
      <w:tr w:rsidR="00791ABD" w:rsidRPr="001E3E3A" w14:paraId="0931B9B2" w14:textId="77777777">
        <w:tc>
          <w:tcPr>
            <w:tcW w:w="1672" w:type="dxa"/>
            <w:vMerge/>
            <w:vAlign w:val="center"/>
          </w:tcPr>
          <w:p w14:paraId="000000EB" w14:textId="77777777" w:rsidR="00791ABD" w:rsidRPr="001E3E3A" w:rsidRDefault="00791ABD" w:rsidP="00F003BF">
            <w:pPr>
              <w:widowControl w:val="0"/>
              <w:pBdr>
                <w:top w:val="nil"/>
                <w:left w:val="nil"/>
                <w:bottom w:val="nil"/>
                <w:right w:val="nil"/>
                <w:between w:val="nil"/>
              </w:pBdr>
              <w:spacing w:before="30" w:after="30" w:line="276" w:lineRule="auto"/>
              <w:rPr>
                <w:rFonts w:ascii="Times New Roman" w:eastAsia="Times New Roman" w:hAnsi="Times New Roman" w:cs="Times New Roman"/>
                <w:sz w:val="20"/>
                <w:szCs w:val="20"/>
              </w:rPr>
            </w:pPr>
          </w:p>
        </w:tc>
        <w:tc>
          <w:tcPr>
            <w:tcW w:w="3732" w:type="dxa"/>
            <w:tcBorders>
              <w:bottom w:val="single" w:sz="4" w:space="0" w:color="000000"/>
            </w:tcBorders>
            <w:vAlign w:val="center"/>
          </w:tcPr>
          <w:p w14:paraId="000000EC"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Índice H latente</w:t>
            </w:r>
          </w:p>
        </w:tc>
        <w:tc>
          <w:tcPr>
            <w:tcW w:w="1550" w:type="dxa"/>
            <w:tcBorders>
              <w:bottom w:val="single" w:sz="4" w:space="0" w:color="000000"/>
            </w:tcBorders>
            <w:vAlign w:val="center"/>
          </w:tcPr>
          <w:p w14:paraId="000000ED"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0,97</w:t>
            </w:r>
          </w:p>
        </w:tc>
        <w:tc>
          <w:tcPr>
            <w:tcW w:w="1550" w:type="dxa"/>
            <w:tcBorders>
              <w:bottom w:val="single" w:sz="4" w:space="0" w:color="000000"/>
            </w:tcBorders>
            <w:vAlign w:val="center"/>
          </w:tcPr>
          <w:p w14:paraId="000000EE" w14:textId="77777777" w:rsidR="00791ABD" w:rsidRPr="001E3E3A" w:rsidRDefault="00227A77" w:rsidP="00F003BF">
            <w:pPr>
              <w:spacing w:before="30" w:after="30" w:line="360" w:lineRule="auto"/>
              <w:jc w:val="center"/>
              <w:rPr>
                <w:rFonts w:ascii="Times New Roman" w:eastAsia="Times New Roman" w:hAnsi="Times New Roman" w:cs="Times New Roman"/>
                <w:sz w:val="20"/>
                <w:szCs w:val="20"/>
              </w:rPr>
            </w:pPr>
            <w:r w:rsidRPr="001E3E3A">
              <w:rPr>
                <w:rFonts w:ascii="Times New Roman" w:eastAsia="Times New Roman" w:hAnsi="Times New Roman" w:cs="Times New Roman"/>
                <w:sz w:val="20"/>
                <w:szCs w:val="20"/>
              </w:rPr>
              <w:t>0,97</w:t>
            </w:r>
          </w:p>
        </w:tc>
      </w:tr>
    </w:tbl>
    <w:p w14:paraId="000000EF" w14:textId="77777777" w:rsidR="00791ABD" w:rsidRDefault="00791ABD" w:rsidP="00F003BF">
      <w:pPr>
        <w:spacing w:before="30" w:after="30" w:line="480" w:lineRule="auto"/>
        <w:ind w:firstLine="720"/>
        <w:rPr>
          <w:sz w:val="24"/>
          <w:szCs w:val="24"/>
        </w:rPr>
      </w:pPr>
    </w:p>
    <w:p w14:paraId="000000F0" w14:textId="77777777" w:rsidR="00791ABD" w:rsidRDefault="00227A77" w:rsidP="00F003BF">
      <w:pPr>
        <w:spacing w:before="30" w:after="30" w:line="480" w:lineRule="auto"/>
        <w:ind w:firstLine="720"/>
        <w:rPr>
          <w:sz w:val="24"/>
          <w:szCs w:val="24"/>
        </w:rPr>
      </w:pPr>
      <w:r>
        <w:rPr>
          <w:sz w:val="24"/>
          <w:szCs w:val="24"/>
        </w:rPr>
        <w:t xml:space="preserve">O modelo </w:t>
      </w:r>
      <w:proofErr w:type="spellStart"/>
      <w:r>
        <w:rPr>
          <w:sz w:val="24"/>
          <w:szCs w:val="24"/>
        </w:rPr>
        <w:t>unifatorial</w:t>
      </w:r>
      <w:proofErr w:type="spellEnd"/>
      <w:r>
        <w:rPr>
          <w:sz w:val="24"/>
          <w:szCs w:val="24"/>
        </w:rPr>
        <w:t xml:space="preserve"> mostrou-se excelente e foi corroborado pela Análise Paralela, pelos índices de dimensionalidade e pelos índices de ajuste do modelo. Especificamente, o modelo ajustado, com 20 itens, apresentou-se como o mais adequado, pois (1) todos o</w:t>
      </w:r>
      <w:r>
        <w:rPr>
          <w:sz w:val="24"/>
          <w:szCs w:val="24"/>
        </w:rPr>
        <w:t>s itens tiveram cargas fatoriais e comunalidades superiores aos pontos de corte estabelecidos na literatura; (2) a variância explicada foi superior ao modelo inicial mesmo com menor número de itens; (3) teve um melhor ajuste da razão χ²/</w:t>
      </w:r>
      <w:proofErr w:type="spellStart"/>
      <w:r>
        <w:rPr>
          <w:sz w:val="24"/>
          <w:szCs w:val="24"/>
        </w:rPr>
        <w:t>gl</w:t>
      </w:r>
      <w:proofErr w:type="spellEnd"/>
      <w:r>
        <w:rPr>
          <w:sz w:val="24"/>
          <w:szCs w:val="24"/>
        </w:rPr>
        <w:t>; e apresentou um</w:t>
      </w:r>
      <w:r>
        <w:rPr>
          <w:sz w:val="24"/>
          <w:szCs w:val="24"/>
        </w:rPr>
        <w:t>a (4) leve melhora nos índices de dimensionalidade (UNICO e ECV) e de confiabilidade (Ômega de McDonald). Dessa forma, a estrutura mais adequada da escala foi composta por 20 itens que medem o Preconceito Contra a Diversidade Sexual e de Gênero, com excele</w:t>
      </w:r>
      <w:r>
        <w:rPr>
          <w:sz w:val="24"/>
          <w:szCs w:val="24"/>
        </w:rPr>
        <w:t>nte estabilidade e confiabilidade, e que explicaram 56,20% da variância.</w:t>
      </w:r>
    </w:p>
    <w:p w14:paraId="000000F1" w14:textId="77777777" w:rsidR="00791ABD" w:rsidRPr="007E748D" w:rsidRDefault="00227A77" w:rsidP="00F003BF">
      <w:pPr>
        <w:spacing w:before="30" w:after="30" w:line="480" w:lineRule="auto"/>
        <w:rPr>
          <w:b/>
          <w:bCs/>
          <w:i/>
          <w:sz w:val="24"/>
          <w:szCs w:val="24"/>
        </w:rPr>
      </w:pPr>
      <w:r w:rsidRPr="007E748D">
        <w:rPr>
          <w:b/>
          <w:bCs/>
          <w:i/>
          <w:sz w:val="24"/>
          <w:szCs w:val="24"/>
        </w:rPr>
        <w:t>Evidências de Validade de Critério entre Grupos e Convergente</w:t>
      </w:r>
    </w:p>
    <w:p w14:paraId="000000F2" w14:textId="77777777" w:rsidR="00791ABD" w:rsidRDefault="00227A77" w:rsidP="00F003BF">
      <w:pPr>
        <w:spacing w:before="30" w:after="30" w:line="480" w:lineRule="auto"/>
        <w:ind w:firstLine="720"/>
        <w:rPr>
          <w:sz w:val="24"/>
          <w:szCs w:val="24"/>
        </w:rPr>
      </w:pPr>
      <w:r>
        <w:rPr>
          <w:sz w:val="24"/>
          <w:szCs w:val="24"/>
        </w:rPr>
        <w:lastRenderedPageBreak/>
        <w:t>Como evidência de validade de critério entre grupos, foram comparados os escores totais do Preconceito Contra a Diversida</w:t>
      </w:r>
      <w:r>
        <w:rPr>
          <w:sz w:val="24"/>
          <w:szCs w:val="24"/>
        </w:rPr>
        <w:t>de Sexual e de Gênero em relação (1) aos grupos com distintos níveis de formação (Ensino Básico e Secundário, Ensino Superior Bacharelato/Licenciatura, Ensino Superior Mestrado/Doutoramento) e (2) aos grupos de contato com pessoas lésbicas ou gays (sim, nã</w:t>
      </w:r>
      <w:r>
        <w:rPr>
          <w:sz w:val="24"/>
          <w:szCs w:val="24"/>
        </w:rPr>
        <w:t>o, não sei).</w:t>
      </w:r>
    </w:p>
    <w:p w14:paraId="000000F3" w14:textId="77777777" w:rsidR="00791ABD" w:rsidRDefault="00227A77" w:rsidP="00F003BF">
      <w:pPr>
        <w:spacing w:before="30" w:after="30" w:line="480" w:lineRule="auto"/>
        <w:ind w:firstLine="720"/>
        <w:rPr>
          <w:sz w:val="24"/>
          <w:szCs w:val="24"/>
        </w:rPr>
      </w:pPr>
      <w:r>
        <w:rPr>
          <w:sz w:val="24"/>
          <w:szCs w:val="24"/>
        </w:rPr>
        <w:t>A diferença de médias entre os grupos segundo a escolaridade para a pontuação na EPCDSG-20 foi significativa (F = 9,07; p &lt; 0,001). Contudo, essa diferença se deu apenas em relação às pontuações do grupo de funcionários, que não possuíam forma</w:t>
      </w:r>
      <w:r>
        <w:rPr>
          <w:sz w:val="24"/>
          <w:szCs w:val="24"/>
        </w:rPr>
        <w:t>ção superior (n = 30; M = 2,98; DP = 0,93), em comparação com os grupos de professores com Bacharelato/Licenciatura (n = 60; M = 2,21; DP = 0,79) ou com Mestrado/Doutoramento (n = 21; M = 2,21; DP = 0,82). O post-hoc Games-Howell indicou que essa diferença</w:t>
      </w:r>
      <w:r>
        <w:rPr>
          <w:sz w:val="24"/>
          <w:szCs w:val="24"/>
        </w:rPr>
        <w:t xml:space="preserve"> média foi significativa (p &lt; 0,001), tendo sido de -0,77 (I.C.95%, -1,25; -0,28) em relação ao grupo Bacharelato/Licenciatura e de -0,76 (I.C.95%, -1,36; -0,16) em relação ao grupo de mestrado/Doutoramento. Portanto, o nível de formação impactou as pontua</w:t>
      </w:r>
      <w:r>
        <w:rPr>
          <w:sz w:val="24"/>
          <w:szCs w:val="24"/>
        </w:rPr>
        <w:t>ções na Escala não de forma linear, mas somente em relação à diferenciação de ter ou não formação superior.</w:t>
      </w:r>
    </w:p>
    <w:p w14:paraId="000000F4" w14:textId="77777777" w:rsidR="00791ABD" w:rsidRDefault="00227A77" w:rsidP="00F003BF">
      <w:pPr>
        <w:spacing w:before="30" w:after="30" w:line="480" w:lineRule="auto"/>
        <w:ind w:firstLine="720"/>
        <w:rPr>
          <w:sz w:val="24"/>
          <w:szCs w:val="24"/>
        </w:rPr>
      </w:pPr>
      <w:r>
        <w:rPr>
          <w:sz w:val="24"/>
          <w:szCs w:val="24"/>
        </w:rPr>
        <w:t>Além disso, a ANOVA também foi significativa em relação aos grupos de contacto interpessoal com pessoas gays ou lésbicas (F = 3,81; p &lt; 0,05). O pos</w:t>
      </w:r>
      <w:r>
        <w:rPr>
          <w:sz w:val="24"/>
          <w:szCs w:val="24"/>
        </w:rPr>
        <w:t>t-hoc Games-Howell foi significativo para as diferenças de médias entre o grupo que indicou ter contacto e o que indicou não saber se tem ou não contacto (Diferença média = -0,45; p &lt; 0,05; I.C.95%, -0,85; -0,04). O grupo que indicou não ter contacto foi o</w:t>
      </w:r>
      <w:r>
        <w:rPr>
          <w:sz w:val="24"/>
          <w:szCs w:val="24"/>
        </w:rPr>
        <w:t xml:space="preserve"> que apresentou as maiores médias (n=25; M = 2,65; DP = 1,15), seguido dos que informaram não saber (n = 46; M = 2,54; DP = 0,82) e, por fim, os que afirmaram ter contato (n = 37; M = 2,09; DP 0,71). Pode-se perceber que aqueles que indicaram ter contado c</w:t>
      </w:r>
      <w:r>
        <w:rPr>
          <w:sz w:val="24"/>
          <w:szCs w:val="24"/>
        </w:rPr>
        <w:t xml:space="preserve">om pessoa gays ou lésbicas apresentaram menores pontuações na EPCDSG e que a resposta ambígua “não sei” foi a mais problemática em termos de impacto </w:t>
      </w:r>
      <w:r>
        <w:rPr>
          <w:sz w:val="24"/>
          <w:szCs w:val="24"/>
        </w:rPr>
        <w:lastRenderedPageBreak/>
        <w:t>sobre a pontuação, ainda que os que indicaram não ter contato tenham apresentado as maiores médias de Preco</w:t>
      </w:r>
      <w:r>
        <w:rPr>
          <w:sz w:val="24"/>
          <w:szCs w:val="24"/>
        </w:rPr>
        <w:t>nceito Contra a Diversidade Sexual e de Gênero.</w:t>
      </w:r>
    </w:p>
    <w:p w14:paraId="000000F5" w14:textId="77777777" w:rsidR="00791ABD" w:rsidRDefault="00227A77" w:rsidP="00F003BF">
      <w:pPr>
        <w:spacing w:before="30" w:after="30" w:line="480" w:lineRule="auto"/>
        <w:ind w:firstLine="720"/>
        <w:rPr>
          <w:sz w:val="24"/>
          <w:szCs w:val="24"/>
        </w:rPr>
      </w:pPr>
      <w:r>
        <w:rPr>
          <w:sz w:val="24"/>
          <w:szCs w:val="24"/>
        </w:rPr>
        <w:t>Por fim, como evidência de validade de critério convergente, a tabela 3 apresenta as correlações entre os escores da EPCDSG e as questões sobre a importância do tema da diversidade sexual e de gênero (profiss</w:t>
      </w:r>
      <w:r>
        <w:rPr>
          <w:sz w:val="24"/>
          <w:szCs w:val="24"/>
        </w:rPr>
        <w:t xml:space="preserve">ional, acadêmica, na educação básica, na educação secundária) e a relevância dos valores religiosos no </w:t>
      </w:r>
      <w:proofErr w:type="gramStart"/>
      <w:r>
        <w:rPr>
          <w:sz w:val="24"/>
          <w:szCs w:val="24"/>
        </w:rPr>
        <w:t>dia-a-dia</w:t>
      </w:r>
      <w:proofErr w:type="gramEnd"/>
      <w:r>
        <w:rPr>
          <w:sz w:val="24"/>
          <w:szCs w:val="24"/>
        </w:rPr>
        <w:t>.</w:t>
      </w:r>
    </w:p>
    <w:p w14:paraId="000000F6" w14:textId="77777777" w:rsidR="00791ABD" w:rsidRPr="001E3E3A" w:rsidRDefault="00227A77" w:rsidP="00F003BF">
      <w:pPr>
        <w:spacing w:before="30" w:after="30" w:line="480" w:lineRule="auto"/>
        <w:jc w:val="left"/>
        <w:rPr>
          <w:bCs/>
          <w:sz w:val="24"/>
          <w:szCs w:val="24"/>
        </w:rPr>
      </w:pPr>
      <w:r w:rsidRPr="001E3E3A">
        <w:rPr>
          <w:bCs/>
          <w:sz w:val="24"/>
          <w:szCs w:val="24"/>
        </w:rPr>
        <w:t xml:space="preserve">Tabela 3 </w:t>
      </w:r>
    </w:p>
    <w:p w14:paraId="000000F7" w14:textId="77777777" w:rsidR="00791ABD" w:rsidRDefault="00227A77" w:rsidP="00F003BF">
      <w:pPr>
        <w:spacing w:before="30" w:after="30" w:line="480" w:lineRule="auto"/>
        <w:jc w:val="left"/>
        <w:rPr>
          <w:i/>
          <w:sz w:val="24"/>
          <w:szCs w:val="24"/>
        </w:rPr>
      </w:pPr>
      <w:r>
        <w:rPr>
          <w:i/>
          <w:sz w:val="24"/>
          <w:szCs w:val="24"/>
        </w:rPr>
        <w:t>Correlações entre os escores da EPCDSG, a importância do tema da diversidade sexual e de gênero e a relevância dos valores religioso</w:t>
      </w:r>
      <w:r>
        <w:rPr>
          <w:i/>
          <w:sz w:val="24"/>
          <w:szCs w:val="24"/>
        </w:rPr>
        <w:t xml:space="preserve">s no </w:t>
      </w:r>
      <w:proofErr w:type="gramStart"/>
      <w:r>
        <w:rPr>
          <w:i/>
          <w:sz w:val="24"/>
          <w:szCs w:val="24"/>
        </w:rPr>
        <w:t>dia-a-dia</w:t>
      </w:r>
      <w:proofErr w:type="gramEnd"/>
    </w:p>
    <w:tbl>
      <w:tblPr>
        <w:tblStyle w:val="a7"/>
        <w:tblW w:w="8504"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744"/>
        <w:gridCol w:w="1216"/>
        <w:gridCol w:w="1216"/>
        <w:gridCol w:w="1216"/>
        <w:gridCol w:w="1216"/>
        <w:gridCol w:w="896"/>
      </w:tblGrid>
      <w:tr w:rsidR="00791ABD" w14:paraId="53AD9B82" w14:textId="77777777">
        <w:tc>
          <w:tcPr>
            <w:tcW w:w="2744" w:type="dxa"/>
            <w:tcBorders>
              <w:top w:val="single" w:sz="4" w:space="0" w:color="000000"/>
              <w:bottom w:val="single" w:sz="4" w:space="0" w:color="000000"/>
            </w:tcBorders>
          </w:tcPr>
          <w:p w14:paraId="000000F8" w14:textId="77777777" w:rsidR="00791ABD" w:rsidRDefault="00227A77" w:rsidP="00F003BF">
            <w:pPr>
              <w:spacing w:before="30" w:after="3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Variável</w:t>
            </w:r>
          </w:p>
        </w:tc>
        <w:tc>
          <w:tcPr>
            <w:tcW w:w="1216" w:type="dxa"/>
            <w:tcBorders>
              <w:top w:val="single" w:sz="4" w:space="0" w:color="000000"/>
              <w:bottom w:val="single" w:sz="4" w:space="0" w:color="000000"/>
            </w:tcBorders>
          </w:tcPr>
          <w:p w14:paraId="000000F9" w14:textId="77777777" w:rsidR="00791ABD" w:rsidRDefault="00227A77" w:rsidP="00F003BF">
            <w:pPr>
              <w:spacing w:before="30" w:after="3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216" w:type="dxa"/>
            <w:tcBorders>
              <w:top w:val="single" w:sz="4" w:space="0" w:color="000000"/>
              <w:bottom w:val="single" w:sz="4" w:space="0" w:color="000000"/>
            </w:tcBorders>
          </w:tcPr>
          <w:p w14:paraId="000000FA" w14:textId="77777777" w:rsidR="00791ABD" w:rsidRDefault="00227A77" w:rsidP="00F003BF">
            <w:pPr>
              <w:spacing w:before="30" w:after="3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1216" w:type="dxa"/>
            <w:tcBorders>
              <w:top w:val="single" w:sz="4" w:space="0" w:color="000000"/>
              <w:bottom w:val="single" w:sz="4" w:space="0" w:color="000000"/>
            </w:tcBorders>
          </w:tcPr>
          <w:p w14:paraId="000000FB" w14:textId="77777777" w:rsidR="00791ABD" w:rsidRDefault="00227A77" w:rsidP="00F003BF">
            <w:pPr>
              <w:spacing w:before="30" w:after="3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1216" w:type="dxa"/>
            <w:tcBorders>
              <w:top w:val="single" w:sz="4" w:space="0" w:color="000000"/>
              <w:bottom w:val="single" w:sz="4" w:space="0" w:color="000000"/>
            </w:tcBorders>
          </w:tcPr>
          <w:p w14:paraId="000000FC" w14:textId="77777777" w:rsidR="00791ABD" w:rsidRDefault="00227A77" w:rsidP="00F003BF">
            <w:pPr>
              <w:spacing w:before="30" w:after="3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6" w:type="dxa"/>
            <w:tcBorders>
              <w:top w:val="single" w:sz="4" w:space="0" w:color="000000"/>
              <w:bottom w:val="single" w:sz="4" w:space="0" w:color="000000"/>
            </w:tcBorders>
          </w:tcPr>
          <w:p w14:paraId="000000FD" w14:textId="77777777" w:rsidR="00791ABD" w:rsidRDefault="00227A77" w:rsidP="00F003BF">
            <w:pPr>
              <w:spacing w:before="30" w:after="3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791ABD" w14:paraId="4633ACC2" w14:textId="77777777">
        <w:tc>
          <w:tcPr>
            <w:tcW w:w="2744" w:type="dxa"/>
            <w:tcBorders>
              <w:top w:val="single" w:sz="4" w:space="0" w:color="000000"/>
            </w:tcBorders>
          </w:tcPr>
          <w:p w14:paraId="000000FE"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1.EPCDSG</w:t>
            </w:r>
          </w:p>
        </w:tc>
        <w:tc>
          <w:tcPr>
            <w:tcW w:w="1216" w:type="dxa"/>
            <w:tcBorders>
              <w:top w:val="single" w:sz="4" w:space="0" w:color="000000"/>
            </w:tcBorders>
          </w:tcPr>
          <w:p w14:paraId="000000FF"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16" w:type="dxa"/>
            <w:tcBorders>
              <w:top w:val="single" w:sz="4" w:space="0" w:color="000000"/>
            </w:tcBorders>
          </w:tcPr>
          <w:p w14:paraId="00000100" w14:textId="77777777" w:rsidR="00791ABD" w:rsidRDefault="00791ABD" w:rsidP="00F003BF">
            <w:pPr>
              <w:spacing w:before="30" w:after="30" w:line="360" w:lineRule="auto"/>
              <w:rPr>
                <w:rFonts w:ascii="Times New Roman" w:eastAsia="Times New Roman" w:hAnsi="Times New Roman" w:cs="Times New Roman"/>
                <w:sz w:val="20"/>
                <w:szCs w:val="20"/>
              </w:rPr>
            </w:pPr>
          </w:p>
        </w:tc>
        <w:tc>
          <w:tcPr>
            <w:tcW w:w="1216" w:type="dxa"/>
            <w:tcBorders>
              <w:top w:val="single" w:sz="4" w:space="0" w:color="000000"/>
            </w:tcBorders>
          </w:tcPr>
          <w:p w14:paraId="00000101" w14:textId="77777777" w:rsidR="00791ABD" w:rsidRDefault="00791ABD" w:rsidP="00F003BF">
            <w:pPr>
              <w:spacing w:before="30" w:after="30" w:line="360" w:lineRule="auto"/>
              <w:rPr>
                <w:rFonts w:ascii="Times New Roman" w:eastAsia="Times New Roman" w:hAnsi="Times New Roman" w:cs="Times New Roman"/>
                <w:sz w:val="20"/>
                <w:szCs w:val="20"/>
              </w:rPr>
            </w:pPr>
          </w:p>
        </w:tc>
        <w:tc>
          <w:tcPr>
            <w:tcW w:w="1216" w:type="dxa"/>
            <w:tcBorders>
              <w:top w:val="single" w:sz="4" w:space="0" w:color="000000"/>
            </w:tcBorders>
          </w:tcPr>
          <w:p w14:paraId="00000102" w14:textId="77777777" w:rsidR="00791ABD" w:rsidRDefault="00791ABD" w:rsidP="00F003BF">
            <w:pPr>
              <w:spacing w:before="30" w:after="30" w:line="360" w:lineRule="auto"/>
              <w:rPr>
                <w:rFonts w:ascii="Times New Roman" w:eastAsia="Times New Roman" w:hAnsi="Times New Roman" w:cs="Times New Roman"/>
                <w:sz w:val="20"/>
                <w:szCs w:val="20"/>
              </w:rPr>
            </w:pPr>
          </w:p>
        </w:tc>
        <w:tc>
          <w:tcPr>
            <w:tcW w:w="896" w:type="dxa"/>
            <w:tcBorders>
              <w:top w:val="single" w:sz="4" w:space="0" w:color="000000"/>
            </w:tcBorders>
          </w:tcPr>
          <w:p w14:paraId="00000103" w14:textId="77777777" w:rsidR="00791ABD" w:rsidRDefault="00791ABD" w:rsidP="00F003BF">
            <w:pPr>
              <w:spacing w:before="30" w:after="30" w:line="360" w:lineRule="auto"/>
              <w:rPr>
                <w:rFonts w:ascii="Times New Roman" w:eastAsia="Times New Roman" w:hAnsi="Times New Roman" w:cs="Times New Roman"/>
                <w:sz w:val="20"/>
                <w:szCs w:val="20"/>
              </w:rPr>
            </w:pPr>
          </w:p>
        </w:tc>
      </w:tr>
      <w:tr w:rsidR="00791ABD" w14:paraId="477762D8" w14:textId="77777777">
        <w:tc>
          <w:tcPr>
            <w:tcW w:w="2744" w:type="dxa"/>
          </w:tcPr>
          <w:p w14:paraId="00000104"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2.RTF acadêmica</w:t>
            </w:r>
          </w:p>
        </w:tc>
        <w:tc>
          <w:tcPr>
            <w:tcW w:w="1216" w:type="dxa"/>
          </w:tcPr>
          <w:p w14:paraId="00000105"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-0,16</w:t>
            </w:r>
          </w:p>
        </w:tc>
        <w:tc>
          <w:tcPr>
            <w:tcW w:w="1216" w:type="dxa"/>
          </w:tcPr>
          <w:p w14:paraId="00000106"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16" w:type="dxa"/>
          </w:tcPr>
          <w:p w14:paraId="00000107" w14:textId="77777777" w:rsidR="00791ABD" w:rsidRDefault="00791ABD" w:rsidP="00F003BF">
            <w:pPr>
              <w:spacing w:before="30" w:after="30" w:line="360" w:lineRule="auto"/>
              <w:rPr>
                <w:rFonts w:ascii="Times New Roman" w:eastAsia="Times New Roman" w:hAnsi="Times New Roman" w:cs="Times New Roman"/>
                <w:sz w:val="20"/>
                <w:szCs w:val="20"/>
              </w:rPr>
            </w:pPr>
          </w:p>
        </w:tc>
        <w:tc>
          <w:tcPr>
            <w:tcW w:w="1216" w:type="dxa"/>
          </w:tcPr>
          <w:p w14:paraId="00000108" w14:textId="77777777" w:rsidR="00791ABD" w:rsidRDefault="00791ABD" w:rsidP="00F003BF">
            <w:pPr>
              <w:spacing w:before="30" w:after="30" w:line="360" w:lineRule="auto"/>
              <w:rPr>
                <w:rFonts w:ascii="Times New Roman" w:eastAsia="Times New Roman" w:hAnsi="Times New Roman" w:cs="Times New Roman"/>
                <w:sz w:val="20"/>
                <w:szCs w:val="20"/>
              </w:rPr>
            </w:pPr>
          </w:p>
        </w:tc>
        <w:tc>
          <w:tcPr>
            <w:tcW w:w="896" w:type="dxa"/>
          </w:tcPr>
          <w:p w14:paraId="00000109" w14:textId="77777777" w:rsidR="00791ABD" w:rsidRDefault="00791ABD" w:rsidP="00F003BF">
            <w:pPr>
              <w:spacing w:before="30" w:after="30" w:line="360" w:lineRule="auto"/>
              <w:rPr>
                <w:rFonts w:ascii="Times New Roman" w:eastAsia="Times New Roman" w:hAnsi="Times New Roman" w:cs="Times New Roman"/>
                <w:sz w:val="20"/>
                <w:szCs w:val="20"/>
              </w:rPr>
            </w:pPr>
          </w:p>
        </w:tc>
      </w:tr>
      <w:tr w:rsidR="00791ABD" w14:paraId="4A17E68A" w14:textId="77777777">
        <w:tc>
          <w:tcPr>
            <w:tcW w:w="2744" w:type="dxa"/>
          </w:tcPr>
          <w:p w14:paraId="0000010A"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3.RTF profissional</w:t>
            </w:r>
          </w:p>
        </w:tc>
        <w:tc>
          <w:tcPr>
            <w:tcW w:w="1216" w:type="dxa"/>
          </w:tcPr>
          <w:p w14:paraId="0000010B"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-0,18</w:t>
            </w:r>
          </w:p>
        </w:tc>
        <w:tc>
          <w:tcPr>
            <w:tcW w:w="1216" w:type="dxa"/>
          </w:tcPr>
          <w:p w14:paraId="0000010C"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0,93**</w:t>
            </w:r>
          </w:p>
        </w:tc>
        <w:tc>
          <w:tcPr>
            <w:tcW w:w="1216" w:type="dxa"/>
          </w:tcPr>
          <w:p w14:paraId="0000010D"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16" w:type="dxa"/>
          </w:tcPr>
          <w:p w14:paraId="0000010E" w14:textId="77777777" w:rsidR="00791ABD" w:rsidRDefault="00791ABD" w:rsidP="00F003BF">
            <w:pPr>
              <w:spacing w:before="30" w:after="30" w:line="360" w:lineRule="auto"/>
              <w:rPr>
                <w:rFonts w:ascii="Times New Roman" w:eastAsia="Times New Roman" w:hAnsi="Times New Roman" w:cs="Times New Roman"/>
                <w:sz w:val="20"/>
                <w:szCs w:val="20"/>
              </w:rPr>
            </w:pPr>
          </w:p>
        </w:tc>
        <w:tc>
          <w:tcPr>
            <w:tcW w:w="896" w:type="dxa"/>
          </w:tcPr>
          <w:p w14:paraId="0000010F" w14:textId="77777777" w:rsidR="00791ABD" w:rsidRDefault="00791ABD" w:rsidP="00F003BF">
            <w:pPr>
              <w:spacing w:before="30" w:after="30" w:line="360" w:lineRule="auto"/>
              <w:rPr>
                <w:rFonts w:ascii="Times New Roman" w:eastAsia="Times New Roman" w:hAnsi="Times New Roman" w:cs="Times New Roman"/>
                <w:sz w:val="20"/>
                <w:szCs w:val="20"/>
              </w:rPr>
            </w:pPr>
          </w:p>
        </w:tc>
      </w:tr>
      <w:tr w:rsidR="00791ABD" w14:paraId="11F40F75" w14:textId="77777777">
        <w:tc>
          <w:tcPr>
            <w:tcW w:w="2744" w:type="dxa"/>
          </w:tcPr>
          <w:p w14:paraId="00000110"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4.RTE básico</w:t>
            </w:r>
          </w:p>
        </w:tc>
        <w:tc>
          <w:tcPr>
            <w:tcW w:w="1216" w:type="dxa"/>
          </w:tcPr>
          <w:p w14:paraId="00000111"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-0,20*</w:t>
            </w:r>
          </w:p>
        </w:tc>
        <w:tc>
          <w:tcPr>
            <w:tcW w:w="1216" w:type="dxa"/>
          </w:tcPr>
          <w:p w14:paraId="00000112"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0,73**</w:t>
            </w:r>
          </w:p>
        </w:tc>
        <w:tc>
          <w:tcPr>
            <w:tcW w:w="1216" w:type="dxa"/>
          </w:tcPr>
          <w:p w14:paraId="00000113"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0,76**</w:t>
            </w:r>
          </w:p>
        </w:tc>
        <w:tc>
          <w:tcPr>
            <w:tcW w:w="1216" w:type="dxa"/>
          </w:tcPr>
          <w:p w14:paraId="00000114"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96" w:type="dxa"/>
          </w:tcPr>
          <w:p w14:paraId="00000115" w14:textId="77777777" w:rsidR="00791ABD" w:rsidRDefault="00791ABD" w:rsidP="00F003BF">
            <w:pPr>
              <w:spacing w:before="30" w:after="30" w:line="360" w:lineRule="auto"/>
              <w:rPr>
                <w:rFonts w:ascii="Times New Roman" w:eastAsia="Times New Roman" w:hAnsi="Times New Roman" w:cs="Times New Roman"/>
                <w:sz w:val="20"/>
                <w:szCs w:val="20"/>
              </w:rPr>
            </w:pPr>
          </w:p>
        </w:tc>
      </w:tr>
      <w:tr w:rsidR="00791ABD" w14:paraId="5B01AE61" w14:textId="77777777">
        <w:tc>
          <w:tcPr>
            <w:tcW w:w="2744" w:type="dxa"/>
          </w:tcPr>
          <w:p w14:paraId="00000116"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5.RTE secundário</w:t>
            </w:r>
          </w:p>
        </w:tc>
        <w:tc>
          <w:tcPr>
            <w:tcW w:w="1216" w:type="dxa"/>
          </w:tcPr>
          <w:p w14:paraId="00000117"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p>
        </w:tc>
        <w:tc>
          <w:tcPr>
            <w:tcW w:w="1216" w:type="dxa"/>
          </w:tcPr>
          <w:p w14:paraId="00000118"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0,69**</w:t>
            </w:r>
          </w:p>
        </w:tc>
        <w:tc>
          <w:tcPr>
            <w:tcW w:w="1216" w:type="dxa"/>
          </w:tcPr>
          <w:p w14:paraId="00000119"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0,61**</w:t>
            </w:r>
          </w:p>
        </w:tc>
        <w:tc>
          <w:tcPr>
            <w:tcW w:w="1216" w:type="dxa"/>
          </w:tcPr>
          <w:p w14:paraId="0000011A"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0,80**</w:t>
            </w:r>
          </w:p>
        </w:tc>
        <w:tc>
          <w:tcPr>
            <w:tcW w:w="896" w:type="dxa"/>
          </w:tcPr>
          <w:p w14:paraId="0000011B"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91ABD" w14:paraId="6A8BA5E3" w14:textId="77777777">
        <w:tc>
          <w:tcPr>
            <w:tcW w:w="2744" w:type="dxa"/>
          </w:tcPr>
          <w:p w14:paraId="0000011C"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t xml:space="preserve"> </w:t>
            </w:r>
            <w:r>
              <w:rPr>
                <w:rFonts w:ascii="Times New Roman" w:eastAsia="Times New Roman" w:hAnsi="Times New Roman" w:cs="Times New Roman"/>
                <w:sz w:val="20"/>
                <w:szCs w:val="20"/>
              </w:rPr>
              <w:t xml:space="preserve">RVRD </w:t>
            </w:r>
          </w:p>
        </w:tc>
        <w:tc>
          <w:tcPr>
            <w:tcW w:w="1216" w:type="dxa"/>
          </w:tcPr>
          <w:p w14:paraId="0000011D"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0,33**</w:t>
            </w:r>
          </w:p>
        </w:tc>
        <w:tc>
          <w:tcPr>
            <w:tcW w:w="1216" w:type="dxa"/>
          </w:tcPr>
          <w:p w14:paraId="0000011E"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1216" w:type="dxa"/>
          </w:tcPr>
          <w:p w14:paraId="0000011F"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216" w:type="dxa"/>
          </w:tcPr>
          <w:p w14:paraId="00000120"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896" w:type="dxa"/>
          </w:tcPr>
          <w:p w14:paraId="00000121" w14:textId="77777777" w:rsidR="00791ABD" w:rsidRDefault="00227A77" w:rsidP="00F003BF">
            <w:pPr>
              <w:spacing w:before="30" w:after="3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tc>
      </w:tr>
    </w:tbl>
    <w:p w14:paraId="00000122" w14:textId="77777777" w:rsidR="00791ABD" w:rsidRDefault="00227A77" w:rsidP="00F003BF">
      <w:pPr>
        <w:spacing w:before="30" w:after="30"/>
        <w:rPr>
          <w:sz w:val="20"/>
          <w:szCs w:val="20"/>
          <w:vertAlign w:val="superscript"/>
        </w:rPr>
      </w:pPr>
      <w:r>
        <w:rPr>
          <w:sz w:val="20"/>
          <w:szCs w:val="20"/>
        </w:rPr>
        <w:t>* p &lt; 0,05; ** p &lt; 0,001.</w:t>
      </w:r>
    </w:p>
    <w:p w14:paraId="00000123" w14:textId="0C13A6A7" w:rsidR="00791ABD" w:rsidRDefault="00227A77" w:rsidP="00F003BF">
      <w:pPr>
        <w:spacing w:before="30" w:after="30"/>
        <w:rPr>
          <w:sz w:val="20"/>
          <w:szCs w:val="20"/>
        </w:rPr>
      </w:pPr>
      <w:r>
        <w:rPr>
          <w:sz w:val="20"/>
          <w:szCs w:val="20"/>
        </w:rPr>
        <w:t xml:space="preserve">Nota: EPCDSG = Escala de Preconceito Contra a Diversidade Sexual e de Gênero; RTF = Relevância da Temática na Formação; RTE = Relevância da Temática no Ensino; RVRD = Relevância dos valores religiosos no </w:t>
      </w:r>
      <w:proofErr w:type="gramStart"/>
      <w:r>
        <w:rPr>
          <w:sz w:val="20"/>
          <w:szCs w:val="20"/>
        </w:rPr>
        <w:t>dia-a-dia</w:t>
      </w:r>
      <w:proofErr w:type="gramEnd"/>
      <w:r>
        <w:rPr>
          <w:sz w:val="20"/>
          <w:szCs w:val="20"/>
        </w:rPr>
        <w:t>.</w:t>
      </w:r>
    </w:p>
    <w:p w14:paraId="68ECFBD1" w14:textId="77777777" w:rsidR="001E3E3A" w:rsidRDefault="001E3E3A" w:rsidP="00F003BF">
      <w:pPr>
        <w:spacing w:before="30" w:after="30"/>
        <w:rPr>
          <w:sz w:val="20"/>
          <w:szCs w:val="20"/>
        </w:rPr>
      </w:pPr>
    </w:p>
    <w:p w14:paraId="00000124" w14:textId="77777777" w:rsidR="00791ABD" w:rsidRDefault="00227A77" w:rsidP="00F003BF">
      <w:pPr>
        <w:spacing w:before="30" w:after="30" w:line="480" w:lineRule="auto"/>
        <w:ind w:firstLine="720"/>
        <w:rPr>
          <w:sz w:val="24"/>
          <w:szCs w:val="24"/>
        </w:rPr>
      </w:pPr>
      <w:r>
        <w:rPr>
          <w:sz w:val="24"/>
          <w:szCs w:val="24"/>
        </w:rPr>
        <w:t>Os escores na E</w:t>
      </w:r>
      <w:r>
        <w:rPr>
          <w:sz w:val="24"/>
          <w:szCs w:val="24"/>
        </w:rPr>
        <w:t>PCDSG se correlacionaram negativamente com todas as questões sobre a relevância temática dada ao tema</w:t>
      </w:r>
      <w:r>
        <w:t xml:space="preserve"> </w:t>
      </w:r>
      <w:r>
        <w:rPr>
          <w:sz w:val="24"/>
          <w:szCs w:val="24"/>
        </w:rPr>
        <w:t>da diversidade sexual e de gênero, mas significativamente apenas com a relevância na formação básica (r = -0,20; p &lt; 0,05) e na formação secundária (r = -</w:t>
      </w:r>
      <w:r>
        <w:rPr>
          <w:sz w:val="24"/>
          <w:szCs w:val="24"/>
        </w:rPr>
        <w:t xml:space="preserve">0,22; p &lt; 0,05). Além disso, se correlacionou positivamente com a relevância dos valores religiosos no </w:t>
      </w:r>
      <w:proofErr w:type="gramStart"/>
      <w:r>
        <w:rPr>
          <w:sz w:val="24"/>
          <w:szCs w:val="24"/>
        </w:rPr>
        <w:t>dia-a-dia</w:t>
      </w:r>
      <w:proofErr w:type="gramEnd"/>
      <w:r>
        <w:rPr>
          <w:sz w:val="24"/>
          <w:szCs w:val="24"/>
        </w:rPr>
        <w:t xml:space="preserve"> (r = 0,33; p &lt; 0,001).</w:t>
      </w:r>
    </w:p>
    <w:p w14:paraId="00000125" w14:textId="77777777" w:rsidR="00791ABD" w:rsidRDefault="00227A77" w:rsidP="001E3E3A">
      <w:pPr>
        <w:spacing w:before="30" w:after="30" w:line="480" w:lineRule="auto"/>
        <w:jc w:val="center"/>
        <w:rPr>
          <w:b/>
          <w:sz w:val="24"/>
          <w:szCs w:val="24"/>
        </w:rPr>
      </w:pPr>
      <w:r>
        <w:rPr>
          <w:b/>
          <w:sz w:val="24"/>
          <w:szCs w:val="24"/>
        </w:rPr>
        <w:t>Discussão</w:t>
      </w:r>
    </w:p>
    <w:p w14:paraId="00000126" w14:textId="569272B3" w:rsidR="00791ABD" w:rsidRDefault="00227A77" w:rsidP="00F003BF">
      <w:pPr>
        <w:spacing w:before="30" w:after="30" w:line="480" w:lineRule="auto"/>
        <w:ind w:firstLine="720"/>
        <w:rPr>
          <w:sz w:val="24"/>
          <w:szCs w:val="24"/>
        </w:rPr>
      </w:pPr>
      <w:r>
        <w:rPr>
          <w:sz w:val="24"/>
          <w:szCs w:val="24"/>
        </w:rPr>
        <w:lastRenderedPageBreak/>
        <w:t xml:space="preserve">Dentre os 22 itens originais da </w:t>
      </w:r>
      <w:r>
        <w:rPr>
          <w:i/>
          <w:sz w:val="24"/>
          <w:szCs w:val="24"/>
        </w:rPr>
        <w:t xml:space="preserve">Escala de Preconceito contra Diversidade Sexual e de Gênero </w:t>
      </w:r>
      <w:r>
        <w:rPr>
          <w:sz w:val="24"/>
          <w:szCs w:val="24"/>
        </w:rPr>
        <w:t>aplicada aos docen</w:t>
      </w:r>
      <w:r>
        <w:rPr>
          <w:sz w:val="24"/>
          <w:szCs w:val="24"/>
        </w:rPr>
        <w:t xml:space="preserve">tes e não docentes portugueses da cidade do Porto, dois itens apresentaram cargas fatoriais baixas, sugerindo indeterminação entre variáveis e fatores. O item “A homossexualidade feminina é natural” foi excluído na validação original da </w:t>
      </w:r>
      <w:r>
        <w:rPr>
          <w:sz w:val="24"/>
          <w:szCs w:val="24"/>
          <w:highlight w:val="white"/>
        </w:rPr>
        <w:t xml:space="preserve">EPDSG </w:t>
      </w:r>
      <w:r>
        <w:rPr>
          <w:sz w:val="24"/>
          <w:szCs w:val="24"/>
        </w:rPr>
        <w:t>(</w:t>
      </w:r>
      <w:r w:rsidRPr="00227A77">
        <w:rPr>
          <w:color w:val="000000"/>
          <w:sz w:val="24"/>
          <w:szCs w:val="24"/>
        </w:rPr>
        <w:t>Autor, 2015</w:t>
      </w:r>
      <w:r w:rsidR="007E748D" w:rsidRPr="00227A77">
        <w:rPr>
          <w:color w:val="000000"/>
          <w:sz w:val="24"/>
          <w:szCs w:val="24"/>
        </w:rPr>
        <w:t>e</w:t>
      </w:r>
      <w:r>
        <w:rPr>
          <w:sz w:val="24"/>
          <w:szCs w:val="24"/>
        </w:rPr>
        <w:t>), algo que também se repetiu no presente estudo. Reitera-se a hipótese inicial dos autores de que o preconceito independe das crenças sobre a origem da homossexualidade, isto é, se é algo natural e biológico ou é de origem sociocultural (</w:t>
      </w:r>
      <w:r w:rsidRPr="00227A77">
        <w:rPr>
          <w:color w:val="000000"/>
          <w:sz w:val="24"/>
          <w:szCs w:val="24"/>
        </w:rPr>
        <w:t>Autor, 2015</w:t>
      </w:r>
      <w:r w:rsidR="007E748D" w:rsidRPr="00227A77">
        <w:rPr>
          <w:color w:val="000000"/>
          <w:sz w:val="24"/>
          <w:szCs w:val="24"/>
        </w:rPr>
        <w:t>f</w:t>
      </w:r>
      <w:r>
        <w:rPr>
          <w:sz w:val="24"/>
          <w:szCs w:val="24"/>
        </w:rPr>
        <w:t>)</w:t>
      </w:r>
      <w:r>
        <w:rPr>
          <w:sz w:val="24"/>
          <w:szCs w:val="24"/>
          <w:highlight w:val="white"/>
        </w:rPr>
        <w:t>. To</w:t>
      </w:r>
      <w:r>
        <w:rPr>
          <w:sz w:val="24"/>
          <w:szCs w:val="24"/>
          <w:highlight w:val="white"/>
        </w:rPr>
        <w:t>davia, o item referente à “homossexualidade masculina como natural” permaneceu. Este facto pode ser explicado a partir da compreensão de que atitudes contra populações homossexuais femininas e masculinas diferem. Homens heterossexuais têm atitudes mais agr</w:t>
      </w:r>
      <w:r>
        <w:rPr>
          <w:sz w:val="24"/>
          <w:szCs w:val="24"/>
          <w:highlight w:val="white"/>
        </w:rPr>
        <w:t xml:space="preserve">essivas quando se trata de homens </w:t>
      </w:r>
      <w:r>
        <w:rPr>
          <w:i/>
          <w:sz w:val="24"/>
          <w:szCs w:val="24"/>
          <w:highlight w:val="white"/>
        </w:rPr>
        <w:t>gays</w:t>
      </w:r>
      <w:r>
        <w:rPr>
          <w:sz w:val="24"/>
          <w:szCs w:val="24"/>
          <w:highlight w:val="white"/>
        </w:rPr>
        <w:t xml:space="preserve"> do que com mulheres lésbicas, enquanto as mulheres heterossexuais fazem pouca distinção entre ambos os grupos (</w:t>
      </w:r>
      <w:proofErr w:type="spellStart"/>
      <w:r>
        <w:rPr>
          <w:sz w:val="24"/>
          <w:szCs w:val="24"/>
        </w:rPr>
        <w:t>Herek</w:t>
      </w:r>
      <w:proofErr w:type="spellEnd"/>
      <w:r>
        <w:rPr>
          <w:sz w:val="24"/>
          <w:szCs w:val="24"/>
        </w:rPr>
        <w:t>, 2000). Além disso, a literatura evidencia que as mulheres lésbicas que se adequam a padrões estereo</w:t>
      </w:r>
      <w:r>
        <w:rPr>
          <w:sz w:val="24"/>
          <w:szCs w:val="24"/>
        </w:rPr>
        <w:t>tipados de feminilidade são mais socialmente aceitas (Autor, 2011) e, por isso, podem estar de alguma forma mais protegidas de atitudes violentas e hostis que são dirigidas à comunidade LGBT+.</w:t>
      </w:r>
    </w:p>
    <w:p w14:paraId="00000127" w14:textId="773F81EB" w:rsidR="00791ABD" w:rsidRDefault="00227A77" w:rsidP="00F003BF">
      <w:pPr>
        <w:spacing w:before="30" w:after="30" w:line="480" w:lineRule="auto"/>
        <w:ind w:firstLine="720"/>
        <w:rPr>
          <w:sz w:val="24"/>
          <w:szCs w:val="24"/>
        </w:rPr>
      </w:pPr>
      <w:r>
        <w:rPr>
          <w:sz w:val="24"/>
          <w:szCs w:val="24"/>
        </w:rPr>
        <w:t>Ainda procurando compreender a exclusão e manutenção dos itens referidos anteriormente nesta amostra portuguesa, estudos também reforçam o facto de que os homens heterossexuais parecem ter diferentes atitudes e crenças sobre lésbicas dependendo do contexto</w:t>
      </w:r>
      <w:r>
        <w:rPr>
          <w:sz w:val="24"/>
          <w:szCs w:val="24"/>
        </w:rPr>
        <w:t xml:space="preserve"> (</w:t>
      </w:r>
      <w:proofErr w:type="spellStart"/>
      <w:r>
        <w:rPr>
          <w:color w:val="000000"/>
          <w:sz w:val="24"/>
          <w:szCs w:val="24"/>
        </w:rPr>
        <w:t>Herek</w:t>
      </w:r>
      <w:proofErr w:type="spellEnd"/>
      <w:r>
        <w:rPr>
          <w:color w:val="000000"/>
          <w:sz w:val="24"/>
          <w:szCs w:val="24"/>
        </w:rPr>
        <w:t>, 2000</w:t>
      </w:r>
      <w:r>
        <w:rPr>
          <w:sz w:val="24"/>
          <w:szCs w:val="24"/>
        </w:rPr>
        <w:t>),</w:t>
      </w:r>
      <w:r>
        <w:rPr>
          <w:sz w:val="24"/>
          <w:szCs w:val="24"/>
          <w:highlight w:val="white"/>
        </w:rPr>
        <w:t xml:space="preserve"> possivelmente em razão do sexismo moderno e de questões mais abrangentes vinculadas ao machismo estrutural e ao fetichismo, especialmente do homem heterossexual para com as mulheres lésbicas (</w:t>
      </w:r>
      <w:r>
        <w:rPr>
          <w:sz w:val="24"/>
          <w:szCs w:val="24"/>
        </w:rPr>
        <w:t>Rich, 2010</w:t>
      </w:r>
      <w:r>
        <w:rPr>
          <w:sz w:val="24"/>
          <w:szCs w:val="24"/>
          <w:highlight w:val="white"/>
        </w:rPr>
        <w:t>). Relativamente ao sexismo moderno im</w:t>
      </w:r>
      <w:r>
        <w:rPr>
          <w:sz w:val="24"/>
          <w:szCs w:val="24"/>
          <w:highlight w:val="white"/>
        </w:rPr>
        <w:t xml:space="preserve">porta salientar que este integra em si tanto atitudes </w:t>
      </w:r>
      <w:r>
        <w:rPr>
          <w:sz w:val="24"/>
          <w:szCs w:val="24"/>
        </w:rPr>
        <w:t>tradicionais de hostilidade como atitudes modernas disfarçadas de benevolência e cavalheirismo (</w:t>
      </w:r>
      <w:r w:rsidR="00E905AC" w:rsidRPr="00227A77">
        <w:rPr>
          <w:sz w:val="24"/>
          <w:szCs w:val="24"/>
        </w:rPr>
        <w:t>Autor</w:t>
      </w:r>
      <w:r w:rsidRPr="00227A77">
        <w:rPr>
          <w:sz w:val="24"/>
          <w:szCs w:val="24"/>
        </w:rPr>
        <w:t xml:space="preserve"> et.al.</w:t>
      </w:r>
      <w:r w:rsidRPr="00227A77">
        <w:rPr>
          <w:sz w:val="24"/>
          <w:szCs w:val="24"/>
        </w:rPr>
        <w:t>, 2015</w:t>
      </w:r>
      <w:r>
        <w:rPr>
          <w:sz w:val="24"/>
          <w:szCs w:val="24"/>
        </w:rPr>
        <w:t xml:space="preserve">). Por fim, cabe destacar as transformações nos papéis sociais sofridas pelas </w:t>
      </w:r>
      <w:r>
        <w:rPr>
          <w:sz w:val="24"/>
          <w:szCs w:val="24"/>
        </w:rPr>
        <w:t xml:space="preserve">mulheres ao longo dos séculos XX </w:t>
      </w:r>
      <w:r>
        <w:rPr>
          <w:sz w:val="24"/>
          <w:szCs w:val="24"/>
        </w:rPr>
        <w:lastRenderedPageBreak/>
        <w:t>e XXI, por exemplo, através do feminismo lésbico, que provavelmente amplia o efeito do entendimento da homossexualidade feminina e não a masculina como natural (Rich, 2010).</w:t>
      </w:r>
    </w:p>
    <w:p w14:paraId="00000128" w14:textId="75EEAE0A" w:rsidR="00791ABD" w:rsidRDefault="00227A77" w:rsidP="00F003BF">
      <w:pPr>
        <w:spacing w:before="30" w:after="30" w:line="480" w:lineRule="auto"/>
        <w:ind w:firstLine="720"/>
        <w:rPr>
          <w:sz w:val="24"/>
          <w:szCs w:val="24"/>
        </w:rPr>
      </w:pPr>
      <w:r>
        <w:rPr>
          <w:sz w:val="24"/>
          <w:szCs w:val="24"/>
          <w:highlight w:val="white"/>
        </w:rPr>
        <w:t>O segundo item excluído neste estudo foi “</w:t>
      </w:r>
      <w:r>
        <w:rPr>
          <w:sz w:val="24"/>
          <w:szCs w:val="24"/>
        </w:rPr>
        <w:t>As cria</w:t>
      </w:r>
      <w:r>
        <w:rPr>
          <w:sz w:val="24"/>
          <w:szCs w:val="24"/>
        </w:rPr>
        <w:t>nças deveriam brincar com brinquedos apropriados para seu próprio sexo</w:t>
      </w:r>
      <w:r>
        <w:rPr>
          <w:sz w:val="24"/>
          <w:szCs w:val="24"/>
          <w:highlight w:val="white"/>
        </w:rPr>
        <w:t xml:space="preserve">”. Este item foi mantido no estudo original </w:t>
      </w:r>
      <w:r>
        <w:rPr>
          <w:sz w:val="24"/>
          <w:szCs w:val="24"/>
        </w:rPr>
        <w:t>(Autor, 2015</w:t>
      </w:r>
      <w:r w:rsidR="00661628">
        <w:rPr>
          <w:sz w:val="24"/>
          <w:szCs w:val="24"/>
        </w:rPr>
        <w:t>h</w:t>
      </w:r>
      <w:r>
        <w:rPr>
          <w:sz w:val="24"/>
          <w:szCs w:val="24"/>
        </w:rPr>
        <w:t>), na versão revisada brasileira (Autor, 2016)</w:t>
      </w:r>
      <w:r>
        <w:rPr>
          <w:sz w:val="24"/>
          <w:szCs w:val="24"/>
          <w:highlight w:val="white"/>
        </w:rPr>
        <w:t xml:space="preserve"> e na versão revisada peruana </w:t>
      </w:r>
      <w:r>
        <w:rPr>
          <w:sz w:val="24"/>
          <w:szCs w:val="24"/>
        </w:rPr>
        <w:t>(</w:t>
      </w:r>
      <w:proofErr w:type="spellStart"/>
      <w:r>
        <w:rPr>
          <w:sz w:val="24"/>
          <w:szCs w:val="24"/>
        </w:rPr>
        <w:t>Portalino</w:t>
      </w:r>
      <w:proofErr w:type="spellEnd"/>
      <w:r>
        <w:rPr>
          <w:sz w:val="24"/>
          <w:szCs w:val="24"/>
        </w:rPr>
        <w:t xml:space="preserve"> et. al., 2017</w:t>
      </w:r>
      <w:r>
        <w:rPr>
          <w:sz w:val="24"/>
          <w:szCs w:val="24"/>
          <w:highlight w:val="white"/>
        </w:rPr>
        <w:t>). Os participantes são todos</w:t>
      </w:r>
      <w:r>
        <w:rPr>
          <w:sz w:val="24"/>
          <w:szCs w:val="24"/>
          <w:highlight w:val="white"/>
        </w:rPr>
        <w:t xml:space="preserve"> funcionários no ambiente escolar, em maioria professoras, podendo a sua </w:t>
      </w:r>
      <w:r>
        <w:rPr>
          <w:sz w:val="24"/>
          <w:szCs w:val="24"/>
        </w:rPr>
        <w:t xml:space="preserve">manutenção no contexto brasileiro ser explicada pelo facto destas </w:t>
      </w:r>
      <w:r>
        <w:rPr>
          <w:sz w:val="24"/>
          <w:szCs w:val="24"/>
          <w:highlight w:val="white"/>
        </w:rPr>
        <w:t xml:space="preserve">questões não serem abordadas na </w:t>
      </w:r>
      <w:r>
        <w:rPr>
          <w:sz w:val="24"/>
          <w:szCs w:val="24"/>
        </w:rPr>
        <w:t xml:space="preserve">Base Nacional Comum Curricular, contribuindo assim para a continuidade deste tipo de </w:t>
      </w:r>
      <w:r>
        <w:rPr>
          <w:sz w:val="24"/>
          <w:szCs w:val="24"/>
        </w:rPr>
        <w:t>pensamento (Gama &amp; Anastácio, 2019). Por outro lado, a eliminação deste item na versão portuguesa poderá ser analisada em função da educação sexual ser obrigatória nas escolas desde o 1º Ciclo do Ensino Básico e podermos, eventualmente, estar perante uma a</w:t>
      </w:r>
      <w:r>
        <w:rPr>
          <w:sz w:val="24"/>
          <w:szCs w:val="24"/>
        </w:rPr>
        <w:t>mostra de docentes com formação nestas temáticas e, por isso, com crenças mais funcionais e positivas em relação ao uso dos brinquedos por partes das crianças.</w:t>
      </w:r>
    </w:p>
    <w:p w14:paraId="00000129" w14:textId="77777777" w:rsidR="00791ABD" w:rsidRDefault="00227A77" w:rsidP="00F003BF">
      <w:pPr>
        <w:spacing w:before="30" w:after="30" w:line="480" w:lineRule="auto"/>
        <w:ind w:firstLine="720"/>
        <w:rPr>
          <w:sz w:val="24"/>
          <w:szCs w:val="24"/>
        </w:rPr>
      </w:pPr>
      <w:r>
        <w:rPr>
          <w:sz w:val="24"/>
          <w:szCs w:val="24"/>
        </w:rPr>
        <w:t>Observou-se, ao longo do processo, a necessidade de retirar os itens 5 (As crianças deveriam bri</w:t>
      </w:r>
      <w:r>
        <w:rPr>
          <w:sz w:val="24"/>
          <w:szCs w:val="24"/>
        </w:rPr>
        <w:t xml:space="preserve">ncar com brinquedos apropriados para seu próprio sexo) e 20 (A homossexualidade feminina é natural) do instrumento por possuírem valores inferiores em relação ao ponto de corte satisfatório. Após o ajuste, mantiveram-se 20 itens no instrumento, onde todos </w:t>
      </w:r>
      <w:r>
        <w:rPr>
          <w:sz w:val="24"/>
          <w:szCs w:val="24"/>
        </w:rPr>
        <w:t>obtiveram excelentes resultados, apontando para a confiabilidade do instrumento em medir o preconceito contra a diversidade sexual e de gênero em docentes e não docentes portugueses. Após a eliminação destes dois itens, todos os outros que permaneceram apr</w:t>
      </w:r>
      <w:r>
        <w:rPr>
          <w:sz w:val="24"/>
          <w:szCs w:val="24"/>
        </w:rPr>
        <w:t xml:space="preserve">esentaram cargas fatoriais e comunalidades satisfatórias. Os modelos de confiabilidade também mostraram valores adequados e a medida de replicabilidade da estrutura fatorial sugeriu que o fator de </w:t>
      </w:r>
      <w:r>
        <w:rPr>
          <w:i/>
          <w:sz w:val="24"/>
          <w:szCs w:val="24"/>
        </w:rPr>
        <w:t>Preconceito Contra a Diversidade Sexual e de Gênero</w:t>
      </w:r>
      <w:r>
        <w:rPr>
          <w:sz w:val="24"/>
          <w:szCs w:val="24"/>
        </w:rPr>
        <w:t xml:space="preserve"> seja re</w:t>
      </w:r>
      <w:r>
        <w:rPr>
          <w:sz w:val="24"/>
          <w:szCs w:val="24"/>
        </w:rPr>
        <w:t xml:space="preserve">plicável em novos estudos. A estrutura </w:t>
      </w:r>
      <w:proofErr w:type="spellStart"/>
      <w:r>
        <w:rPr>
          <w:sz w:val="24"/>
          <w:szCs w:val="24"/>
        </w:rPr>
        <w:t>unifatorial</w:t>
      </w:r>
      <w:proofErr w:type="spellEnd"/>
      <w:r>
        <w:rPr>
          <w:sz w:val="24"/>
          <w:szCs w:val="24"/>
        </w:rPr>
        <w:t xml:space="preserve"> apresentou índices de ajuste excelentes tanto no modelo inicial, quanto no ajustado.</w:t>
      </w:r>
    </w:p>
    <w:p w14:paraId="0000012A" w14:textId="77777777" w:rsidR="00791ABD" w:rsidRDefault="00227A77" w:rsidP="00F003BF">
      <w:pPr>
        <w:spacing w:before="30" w:after="30" w:line="480" w:lineRule="auto"/>
        <w:ind w:firstLine="720"/>
        <w:rPr>
          <w:sz w:val="24"/>
          <w:szCs w:val="24"/>
        </w:rPr>
      </w:pPr>
      <w:r>
        <w:rPr>
          <w:sz w:val="24"/>
          <w:szCs w:val="24"/>
        </w:rPr>
        <w:lastRenderedPageBreak/>
        <w:t xml:space="preserve">Em relação à escolaridade e formação académica dos/as docentes e não docentes foram encontradas diferenças que impactam </w:t>
      </w:r>
      <w:r>
        <w:rPr>
          <w:sz w:val="24"/>
          <w:szCs w:val="24"/>
        </w:rPr>
        <w:t>nas pontuações da Escala, entre as pessoas com Mestrado/ Doutoramento (que corresponde aos docentes com mais formação a atuarem nas escolas) e as pessoas que não têm formação superior (que corresponde ao pessoal não docente). Além disso, também foi percept</w:t>
      </w:r>
      <w:r>
        <w:rPr>
          <w:sz w:val="24"/>
          <w:szCs w:val="24"/>
        </w:rPr>
        <w:t xml:space="preserve">ível a existência de diferenças significativas entre pessoas com contacto interpessoal com </w:t>
      </w:r>
      <w:r>
        <w:rPr>
          <w:i/>
          <w:sz w:val="24"/>
          <w:szCs w:val="24"/>
        </w:rPr>
        <w:t>gays</w:t>
      </w:r>
      <w:r>
        <w:rPr>
          <w:sz w:val="24"/>
          <w:szCs w:val="24"/>
        </w:rPr>
        <w:t xml:space="preserve"> e lésbicas e com pouco ou nenhum contacto. Neste sentido, o grupo que indicou não ter contacto com essa população apresentou médias mais altas de preconceito, s</w:t>
      </w:r>
      <w:r>
        <w:rPr>
          <w:sz w:val="24"/>
          <w:szCs w:val="24"/>
        </w:rPr>
        <w:t xml:space="preserve">eguidos pelos/as participantes que informaram não saber se contactam com pessoas LGB, contrastando com as médias mais baixas de preconceito entre as pessoas que afirmaram ter contacto com outras pessoas </w:t>
      </w:r>
      <w:r>
        <w:rPr>
          <w:i/>
          <w:sz w:val="24"/>
          <w:szCs w:val="24"/>
        </w:rPr>
        <w:t>gays</w:t>
      </w:r>
      <w:r>
        <w:rPr>
          <w:sz w:val="24"/>
          <w:szCs w:val="24"/>
        </w:rPr>
        <w:t xml:space="preserve"> e lésbicas. Os critérios convergentes foram vali</w:t>
      </w:r>
      <w:r>
        <w:rPr>
          <w:sz w:val="24"/>
          <w:szCs w:val="24"/>
        </w:rPr>
        <w:t>dados a partir da correlação negativa de todas as questões em relação à temática dada, mas significativamente com a relevância na formação básica e secundária. Além disso, correlacionou-se de forma positiva, a presença de fatores religiosos cotidianos. Des</w:t>
      </w:r>
      <w:r>
        <w:rPr>
          <w:sz w:val="24"/>
          <w:szCs w:val="24"/>
        </w:rPr>
        <w:t>ta forma, constatou-se que o instrumento conseguiu diferenciar os níveis de preconceito entre o pessoal docente e não docentes das escolas, apontando ainda o facto dos fatores religiosos e do nível de escolaridade exercerem papéis importantes em relação ao</w:t>
      </w:r>
      <w:r>
        <w:rPr>
          <w:sz w:val="24"/>
          <w:szCs w:val="24"/>
        </w:rPr>
        <w:t xml:space="preserve"> nível de preconceito contra a diversidade sexual e de gênero dirigida à população LGBT+ em Portugal.</w:t>
      </w:r>
    </w:p>
    <w:p w14:paraId="0000012B" w14:textId="77777777" w:rsidR="00791ABD" w:rsidRDefault="00227A77" w:rsidP="00F003BF">
      <w:pPr>
        <w:spacing w:before="30" w:after="30" w:line="480" w:lineRule="auto"/>
        <w:ind w:firstLine="720"/>
        <w:rPr>
          <w:color w:val="000000"/>
          <w:sz w:val="24"/>
          <w:szCs w:val="24"/>
        </w:rPr>
      </w:pPr>
      <w:r>
        <w:rPr>
          <w:sz w:val="24"/>
          <w:szCs w:val="24"/>
        </w:rPr>
        <w:t>Considerando o último estudo sobre a situação dos jovens LGBT+ em meio escolar e atendendo aos relatos que reportam a existência de múltiplos preconceitos</w:t>
      </w:r>
      <w:r>
        <w:rPr>
          <w:sz w:val="24"/>
          <w:szCs w:val="24"/>
        </w:rPr>
        <w:t xml:space="preserve"> e falta de ações concretas por parte do pessoal docente e não docente para interromper as situações de violência que ocorrem nas escolas </w:t>
      </w:r>
      <w:r>
        <w:rPr>
          <w:color w:val="000000"/>
          <w:sz w:val="24"/>
          <w:szCs w:val="24"/>
        </w:rPr>
        <w:t>(Associação ILGA Portugal, 2018)</w:t>
      </w:r>
      <w:r>
        <w:rPr>
          <w:sz w:val="24"/>
          <w:szCs w:val="24"/>
        </w:rPr>
        <w:t xml:space="preserve">, podemos considerar que o desenvolvimento deste instrumento pode ser particularmente </w:t>
      </w:r>
      <w:r>
        <w:rPr>
          <w:sz w:val="24"/>
          <w:szCs w:val="24"/>
        </w:rPr>
        <w:t xml:space="preserve">útil à operacionalização do terceiro </w:t>
      </w:r>
      <w:r>
        <w:rPr>
          <w:i/>
          <w:sz w:val="24"/>
          <w:szCs w:val="24"/>
        </w:rPr>
        <w:t>Plano de Ação para o Combate à Discriminação em razão da Orientação Sexual, Identidade e Expressão de Género, e Características Sexuais</w:t>
      </w:r>
      <w:r>
        <w:rPr>
          <w:sz w:val="24"/>
          <w:szCs w:val="24"/>
        </w:rPr>
        <w:t xml:space="preserve"> da </w:t>
      </w:r>
      <w:r>
        <w:rPr>
          <w:i/>
          <w:sz w:val="24"/>
          <w:szCs w:val="24"/>
        </w:rPr>
        <w:t xml:space="preserve">Estratégia Nacional para a Igualdade e a Não Discriminação </w:t>
      </w:r>
      <w:r>
        <w:rPr>
          <w:sz w:val="24"/>
          <w:szCs w:val="24"/>
        </w:rPr>
        <w:t>(Presidência do Conse</w:t>
      </w:r>
      <w:r>
        <w:rPr>
          <w:sz w:val="24"/>
          <w:szCs w:val="24"/>
        </w:rPr>
        <w:t xml:space="preserve">lho de Ministros, 2018), </w:t>
      </w:r>
      <w:r>
        <w:rPr>
          <w:sz w:val="24"/>
          <w:szCs w:val="24"/>
        </w:rPr>
        <w:lastRenderedPageBreak/>
        <w:t>particularmente no que diz respeito à formação de professores/as e dos/as assistentes operacionais. Estes últimos desempenham um papel importante nas escolas e podem contribuir fortemente para combater parte da violência, discrimin</w:t>
      </w:r>
      <w:r>
        <w:rPr>
          <w:sz w:val="24"/>
          <w:szCs w:val="24"/>
        </w:rPr>
        <w:t xml:space="preserve">ação e exclusão que ocorre em espaços como balneários, corredores, pátios e cantinas. </w:t>
      </w:r>
    </w:p>
    <w:p w14:paraId="0000012D" w14:textId="77777777" w:rsidR="00791ABD" w:rsidRDefault="00227A77" w:rsidP="00F003BF">
      <w:pPr>
        <w:spacing w:before="30" w:after="30" w:line="480" w:lineRule="auto"/>
        <w:ind w:firstLine="720"/>
        <w:rPr>
          <w:sz w:val="24"/>
          <w:szCs w:val="24"/>
        </w:rPr>
      </w:pPr>
      <w:r>
        <w:rPr>
          <w:sz w:val="24"/>
          <w:szCs w:val="24"/>
        </w:rPr>
        <w:t xml:space="preserve">Pode-se concluir que a </w:t>
      </w:r>
      <w:r>
        <w:rPr>
          <w:i/>
          <w:sz w:val="24"/>
          <w:szCs w:val="24"/>
        </w:rPr>
        <w:t>Escala de Diversidade Sexual e de Gênero</w:t>
      </w:r>
      <w:r>
        <w:rPr>
          <w:sz w:val="24"/>
          <w:szCs w:val="24"/>
        </w:rPr>
        <w:t xml:space="preserve"> apresentou boas evidências de validade e fidedignidade, mostrando-se uma ferramenta </w:t>
      </w:r>
      <w:r>
        <w:rPr>
          <w:sz w:val="24"/>
          <w:szCs w:val="24"/>
        </w:rPr>
        <w:t>útil para medir o preconceito contra a diversidade sexual e de género em docentes e não docentes de escolas portuguesas do ensino básico e secundário. Desta maneira, o objetivo inicial deste estudo foi atingido, possibilitando a validação de uma ferramenta</w:t>
      </w:r>
      <w:r>
        <w:rPr>
          <w:sz w:val="24"/>
          <w:szCs w:val="24"/>
        </w:rPr>
        <w:t xml:space="preserve"> que pode dar fortes contribuições na dimensão do conhecimento sobre as necessidades de formação dos agentes educativos (docentes e não docentes) que atuam nas escolas.  Simultaneamente, observa-se que a escala pode contribuir para a avaliação de programas</w:t>
      </w:r>
      <w:r>
        <w:rPr>
          <w:sz w:val="24"/>
          <w:szCs w:val="24"/>
        </w:rPr>
        <w:t xml:space="preserve"> de capacitação que envolvam o bem-estar e a prevenção, frente a discriminação em razão da orientação sexual, identidade e expressão de género contra os jovens que frequentam as escolas, promovendo maior bem-estar e prevenindo novos casos de preconceito no</w:t>
      </w:r>
      <w:r>
        <w:rPr>
          <w:sz w:val="24"/>
          <w:szCs w:val="24"/>
        </w:rPr>
        <w:t xml:space="preserve"> espaço escolar.</w:t>
      </w:r>
    </w:p>
    <w:p w14:paraId="0000012E" w14:textId="77777777" w:rsidR="00791ABD" w:rsidRDefault="00227A77" w:rsidP="00F003BF">
      <w:pPr>
        <w:spacing w:before="30" w:after="30" w:line="480" w:lineRule="auto"/>
        <w:ind w:firstLine="720"/>
        <w:rPr>
          <w:sz w:val="24"/>
          <w:szCs w:val="24"/>
        </w:rPr>
      </w:pPr>
      <w:r>
        <w:rPr>
          <w:sz w:val="24"/>
          <w:szCs w:val="24"/>
        </w:rPr>
        <w:t>Dentre as maiores limitações quanto a essa pesquisa estão o baixo número de participantes e os dados, que podem ser considerados antiquados, quando comparados a época em que foram coletados e frente às mudanças legislativas que ocorreram e</w:t>
      </w:r>
      <w:r>
        <w:rPr>
          <w:sz w:val="24"/>
          <w:szCs w:val="24"/>
        </w:rPr>
        <w:t>m Portugal, na busca por diminuir o preconceito contra pessoas LGBTQIA+. Sobre estes pontos esclarece-se que, em relação ao baixo número de participantes, a amostra apresenta adequada representatividade considerando a região e a diversidade de escolas port</w:t>
      </w:r>
      <w:r>
        <w:rPr>
          <w:sz w:val="24"/>
          <w:szCs w:val="24"/>
        </w:rPr>
        <w:t>uguesas envolvidas (10) na coleta dos dados. Além disso, os dados de 2013 e 2014 apresentam sua relevância frente à possibilidade de comparação com informações mais recentes, podendo averiguar indiretamente a eficácia de planos de ação e de combate à discr</w:t>
      </w:r>
      <w:r>
        <w:rPr>
          <w:sz w:val="24"/>
          <w:szCs w:val="24"/>
        </w:rPr>
        <w:t>iminação e ao preconceito sexual e de gênero no contexto escolar português.</w:t>
      </w:r>
    </w:p>
    <w:p w14:paraId="0000012F" w14:textId="7D928047" w:rsidR="00791ABD" w:rsidRDefault="00227A77" w:rsidP="00F003BF">
      <w:pPr>
        <w:spacing w:before="30" w:after="30" w:line="480" w:lineRule="auto"/>
        <w:ind w:firstLine="720"/>
        <w:rPr>
          <w:sz w:val="24"/>
          <w:szCs w:val="24"/>
        </w:rPr>
      </w:pPr>
      <w:r>
        <w:rPr>
          <w:sz w:val="24"/>
          <w:szCs w:val="24"/>
        </w:rPr>
        <w:lastRenderedPageBreak/>
        <w:t>Por fim, esperamos que a disponibilização deste instrumento possa ser útil à comunidade acadêmica, auxiliando às organizações e associações responsáveis pela formação e capacitação</w:t>
      </w:r>
      <w:r>
        <w:rPr>
          <w:sz w:val="24"/>
          <w:szCs w:val="24"/>
        </w:rPr>
        <w:t xml:space="preserve"> dos agentes educativos na possibilidade de identificar necessidades concretas destes profissionais e jovens, abrindo precedentes para a inclusão de novas atividades e planos de formação inicial e continuada nos contextos escolares portugueses.  </w:t>
      </w:r>
    </w:p>
    <w:p w14:paraId="7850208C" w14:textId="34FD8555" w:rsidR="001E3E3A" w:rsidRDefault="001E3E3A" w:rsidP="00F003BF">
      <w:pPr>
        <w:spacing w:before="30" w:after="30" w:line="480" w:lineRule="auto"/>
        <w:ind w:firstLine="720"/>
        <w:rPr>
          <w:sz w:val="24"/>
          <w:szCs w:val="24"/>
        </w:rPr>
      </w:pPr>
    </w:p>
    <w:p w14:paraId="7CF0EC0F" w14:textId="419D0804" w:rsidR="001E3E3A" w:rsidRDefault="001E3E3A" w:rsidP="00F003BF">
      <w:pPr>
        <w:spacing w:before="30" w:after="30" w:line="480" w:lineRule="auto"/>
        <w:ind w:firstLine="720"/>
        <w:rPr>
          <w:sz w:val="24"/>
          <w:szCs w:val="24"/>
        </w:rPr>
      </w:pPr>
    </w:p>
    <w:p w14:paraId="40495200" w14:textId="57DBADF4" w:rsidR="001E3E3A" w:rsidRDefault="001E3E3A" w:rsidP="00F003BF">
      <w:pPr>
        <w:spacing w:before="30" w:after="30" w:line="480" w:lineRule="auto"/>
        <w:ind w:firstLine="720"/>
        <w:rPr>
          <w:sz w:val="24"/>
          <w:szCs w:val="24"/>
        </w:rPr>
      </w:pPr>
    </w:p>
    <w:p w14:paraId="21AD4F52" w14:textId="10C8C2ED" w:rsidR="001E3E3A" w:rsidRDefault="001E3E3A" w:rsidP="00F003BF">
      <w:pPr>
        <w:spacing w:before="30" w:after="30" w:line="480" w:lineRule="auto"/>
        <w:ind w:firstLine="720"/>
        <w:rPr>
          <w:sz w:val="24"/>
          <w:szCs w:val="24"/>
        </w:rPr>
      </w:pPr>
    </w:p>
    <w:p w14:paraId="00EAB22D" w14:textId="46C2250A" w:rsidR="001E3E3A" w:rsidRDefault="001E3E3A" w:rsidP="00F003BF">
      <w:pPr>
        <w:spacing w:before="30" w:after="30" w:line="480" w:lineRule="auto"/>
        <w:ind w:firstLine="720"/>
        <w:rPr>
          <w:sz w:val="24"/>
          <w:szCs w:val="24"/>
        </w:rPr>
      </w:pPr>
    </w:p>
    <w:p w14:paraId="2113CF6C" w14:textId="10091890" w:rsidR="001E3E3A" w:rsidRDefault="001E3E3A" w:rsidP="00F003BF">
      <w:pPr>
        <w:spacing w:before="30" w:after="30" w:line="480" w:lineRule="auto"/>
        <w:ind w:firstLine="720"/>
        <w:rPr>
          <w:sz w:val="24"/>
          <w:szCs w:val="24"/>
        </w:rPr>
      </w:pPr>
    </w:p>
    <w:p w14:paraId="47FFF3E0" w14:textId="413BAE9E" w:rsidR="001E3E3A" w:rsidRDefault="001E3E3A" w:rsidP="00F003BF">
      <w:pPr>
        <w:spacing w:before="30" w:after="30" w:line="480" w:lineRule="auto"/>
        <w:ind w:firstLine="720"/>
        <w:rPr>
          <w:sz w:val="24"/>
          <w:szCs w:val="24"/>
        </w:rPr>
      </w:pPr>
    </w:p>
    <w:p w14:paraId="29A6BFDD" w14:textId="7D1B3A4D" w:rsidR="001E3E3A" w:rsidRDefault="001E3E3A" w:rsidP="00F003BF">
      <w:pPr>
        <w:spacing w:before="30" w:after="30" w:line="480" w:lineRule="auto"/>
        <w:ind w:firstLine="720"/>
        <w:rPr>
          <w:sz w:val="24"/>
          <w:szCs w:val="24"/>
        </w:rPr>
      </w:pPr>
    </w:p>
    <w:p w14:paraId="1898A4F2" w14:textId="32FC8CE4" w:rsidR="001E3E3A" w:rsidRDefault="001E3E3A" w:rsidP="00F003BF">
      <w:pPr>
        <w:spacing w:before="30" w:after="30" w:line="480" w:lineRule="auto"/>
        <w:ind w:firstLine="720"/>
        <w:rPr>
          <w:sz w:val="24"/>
          <w:szCs w:val="24"/>
        </w:rPr>
      </w:pPr>
    </w:p>
    <w:p w14:paraId="1DB5CA6A" w14:textId="62231833" w:rsidR="001E3E3A" w:rsidRDefault="001E3E3A" w:rsidP="00F003BF">
      <w:pPr>
        <w:spacing w:before="30" w:after="30" w:line="480" w:lineRule="auto"/>
        <w:ind w:firstLine="720"/>
        <w:rPr>
          <w:sz w:val="24"/>
          <w:szCs w:val="24"/>
        </w:rPr>
      </w:pPr>
    </w:p>
    <w:p w14:paraId="7764589B" w14:textId="5FA82AB7" w:rsidR="001E3E3A" w:rsidRDefault="001E3E3A" w:rsidP="00F003BF">
      <w:pPr>
        <w:spacing w:before="30" w:after="30" w:line="480" w:lineRule="auto"/>
        <w:ind w:firstLine="720"/>
        <w:rPr>
          <w:sz w:val="24"/>
          <w:szCs w:val="24"/>
        </w:rPr>
      </w:pPr>
    </w:p>
    <w:p w14:paraId="517BAAC9" w14:textId="1053C7F9" w:rsidR="001E3E3A" w:rsidRDefault="001E3E3A" w:rsidP="00F003BF">
      <w:pPr>
        <w:spacing w:before="30" w:after="30" w:line="480" w:lineRule="auto"/>
        <w:ind w:firstLine="720"/>
        <w:rPr>
          <w:sz w:val="24"/>
          <w:szCs w:val="24"/>
        </w:rPr>
      </w:pPr>
    </w:p>
    <w:p w14:paraId="792B64F5" w14:textId="10CD127A" w:rsidR="001E3E3A" w:rsidRDefault="001E3E3A" w:rsidP="00F003BF">
      <w:pPr>
        <w:spacing w:before="30" w:after="30" w:line="480" w:lineRule="auto"/>
        <w:ind w:firstLine="720"/>
        <w:rPr>
          <w:sz w:val="24"/>
          <w:szCs w:val="24"/>
        </w:rPr>
      </w:pPr>
    </w:p>
    <w:p w14:paraId="264A9562" w14:textId="165199E2" w:rsidR="001E3E3A" w:rsidRDefault="001E3E3A" w:rsidP="00F003BF">
      <w:pPr>
        <w:spacing w:before="30" w:after="30" w:line="480" w:lineRule="auto"/>
        <w:ind w:firstLine="720"/>
        <w:rPr>
          <w:sz w:val="24"/>
          <w:szCs w:val="24"/>
        </w:rPr>
      </w:pPr>
    </w:p>
    <w:p w14:paraId="53893F4E" w14:textId="534E62C2" w:rsidR="001E3E3A" w:rsidRDefault="001E3E3A" w:rsidP="00F003BF">
      <w:pPr>
        <w:spacing w:before="30" w:after="30" w:line="480" w:lineRule="auto"/>
        <w:ind w:firstLine="720"/>
        <w:rPr>
          <w:sz w:val="24"/>
          <w:szCs w:val="24"/>
        </w:rPr>
      </w:pPr>
    </w:p>
    <w:p w14:paraId="012F9B00" w14:textId="1A59FF68" w:rsidR="001E3E3A" w:rsidRDefault="001E3E3A" w:rsidP="00F003BF">
      <w:pPr>
        <w:spacing w:before="30" w:after="30" w:line="480" w:lineRule="auto"/>
        <w:ind w:firstLine="720"/>
        <w:rPr>
          <w:sz w:val="24"/>
          <w:szCs w:val="24"/>
        </w:rPr>
      </w:pPr>
    </w:p>
    <w:p w14:paraId="09A7F94D" w14:textId="69BF5AC6" w:rsidR="001E3E3A" w:rsidRDefault="001E3E3A" w:rsidP="00F003BF">
      <w:pPr>
        <w:spacing w:before="30" w:after="30" w:line="480" w:lineRule="auto"/>
        <w:ind w:firstLine="720"/>
        <w:rPr>
          <w:sz w:val="24"/>
          <w:szCs w:val="24"/>
        </w:rPr>
      </w:pPr>
    </w:p>
    <w:p w14:paraId="6D0A4EC5" w14:textId="3F7CCA89" w:rsidR="00D05D59" w:rsidRDefault="00D05D59" w:rsidP="00F003BF">
      <w:pPr>
        <w:spacing w:before="30" w:after="30" w:line="480" w:lineRule="auto"/>
        <w:ind w:firstLine="720"/>
        <w:rPr>
          <w:sz w:val="24"/>
          <w:szCs w:val="24"/>
        </w:rPr>
      </w:pPr>
    </w:p>
    <w:p w14:paraId="3172C40F" w14:textId="77777777" w:rsidR="00D05D59" w:rsidRDefault="00D05D59" w:rsidP="00F003BF">
      <w:pPr>
        <w:spacing w:before="30" w:after="30" w:line="480" w:lineRule="auto"/>
        <w:ind w:firstLine="720"/>
        <w:rPr>
          <w:sz w:val="24"/>
          <w:szCs w:val="24"/>
        </w:rPr>
      </w:pPr>
    </w:p>
    <w:p w14:paraId="00000130" w14:textId="77777777" w:rsidR="00791ABD" w:rsidRDefault="00227A77" w:rsidP="001E3E3A">
      <w:pPr>
        <w:spacing w:before="30" w:after="30" w:line="480" w:lineRule="auto"/>
        <w:jc w:val="center"/>
        <w:rPr>
          <w:b/>
          <w:sz w:val="24"/>
          <w:szCs w:val="24"/>
        </w:rPr>
      </w:pPr>
      <w:r>
        <w:rPr>
          <w:b/>
          <w:sz w:val="24"/>
          <w:szCs w:val="24"/>
        </w:rPr>
        <w:lastRenderedPageBreak/>
        <w:t>Referênci</w:t>
      </w:r>
      <w:r>
        <w:rPr>
          <w:b/>
          <w:sz w:val="24"/>
          <w:szCs w:val="24"/>
        </w:rPr>
        <w:t>as</w:t>
      </w:r>
    </w:p>
    <w:p w14:paraId="00000131" w14:textId="77777777" w:rsidR="00791ABD" w:rsidRDefault="00227A77" w:rsidP="00F003BF">
      <w:pPr>
        <w:spacing w:before="30" w:after="30" w:line="480" w:lineRule="auto"/>
        <w:ind w:firstLine="720"/>
        <w:rPr>
          <w:color w:val="1155CC"/>
          <w:sz w:val="24"/>
          <w:szCs w:val="24"/>
          <w:u w:val="single"/>
        </w:rPr>
      </w:pPr>
      <w:r>
        <w:rPr>
          <w:sz w:val="24"/>
          <w:szCs w:val="24"/>
        </w:rPr>
        <w:t xml:space="preserve">Albuquerque, P., &amp; Williams, L. (2015). Homofobia na Escola: Relatos de Universitários sobre as Piores Experiências. </w:t>
      </w:r>
      <w:r>
        <w:rPr>
          <w:i/>
          <w:sz w:val="24"/>
          <w:szCs w:val="24"/>
        </w:rPr>
        <w:t>Temas em Psicologia</w:t>
      </w:r>
      <w:r>
        <w:rPr>
          <w:sz w:val="24"/>
          <w:szCs w:val="24"/>
        </w:rPr>
        <w:t>. 23(3), 663-676,</w:t>
      </w:r>
      <w:hyperlink r:id="rId5">
        <w:r>
          <w:rPr>
            <w:color w:val="1155CC"/>
            <w:sz w:val="24"/>
            <w:szCs w:val="24"/>
          </w:rPr>
          <w:t xml:space="preserve"> </w:t>
        </w:r>
      </w:hyperlink>
      <w:hyperlink r:id="rId6">
        <w:r>
          <w:rPr>
            <w:color w:val="1155CC"/>
            <w:sz w:val="24"/>
            <w:szCs w:val="24"/>
            <w:u w:val="single"/>
          </w:rPr>
          <w:t>http://dx.doi.org/10.9788/TP2015.3-11</w:t>
        </w:r>
      </w:hyperlink>
    </w:p>
    <w:p w14:paraId="00000132" w14:textId="77777777" w:rsidR="00791ABD" w:rsidRDefault="00227A77" w:rsidP="00F003BF">
      <w:pPr>
        <w:spacing w:before="30" w:after="30" w:line="480" w:lineRule="auto"/>
        <w:ind w:firstLine="720"/>
        <w:rPr>
          <w:sz w:val="24"/>
          <w:szCs w:val="24"/>
          <w:shd w:val="clear" w:color="auto" w:fill="EA9999"/>
        </w:rPr>
      </w:pPr>
      <w:r>
        <w:rPr>
          <w:sz w:val="24"/>
          <w:szCs w:val="24"/>
        </w:rPr>
        <w:t xml:space="preserve">António, R., Pinto, T., Pereira, C., </w:t>
      </w:r>
      <w:proofErr w:type="spellStart"/>
      <w:r>
        <w:rPr>
          <w:sz w:val="24"/>
          <w:szCs w:val="24"/>
        </w:rPr>
        <w:t>Farcas</w:t>
      </w:r>
      <w:proofErr w:type="spellEnd"/>
      <w:r>
        <w:rPr>
          <w:sz w:val="24"/>
          <w:szCs w:val="24"/>
        </w:rPr>
        <w:t xml:space="preserve">, D., &amp; Moleiro, C. (2012). Bullying homofóbico no contexto escolar em Portugal. </w:t>
      </w:r>
      <w:r>
        <w:rPr>
          <w:i/>
          <w:sz w:val="24"/>
          <w:szCs w:val="24"/>
        </w:rPr>
        <w:t>Psicologia</w:t>
      </w:r>
      <w:r>
        <w:rPr>
          <w:sz w:val="24"/>
          <w:szCs w:val="24"/>
        </w:rPr>
        <w:t xml:space="preserve">, </w:t>
      </w:r>
      <w:r>
        <w:rPr>
          <w:i/>
          <w:sz w:val="24"/>
          <w:szCs w:val="24"/>
        </w:rPr>
        <w:t>26</w:t>
      </w:r>
      <w:r>
        <w:rPr>
          <w:sz w:val="24"/>
          <w:szCs w:val="24"/>
        </w:rPr>
        <w:t xml:space="preserve">(1), 17–32. </w:t>
      </w:r>
      <w:hyperlink r:id="rId7">
        <w:r>
          <w:rPr>
            <w:color w:val="1155CC"/>
            <w:sz w:val="24"/>
            <w:szCs w:val="24"/>
            <w:u w:val="single"/>
          </w:rPr>
          <w:t>https://doi.org/10.17575/rpsicol.v26i1.260</w:t>
        </w:r>
      </w:hyperlink>
    </w:p>
    <w:p w14:paraId="00000133" w14:textId="77777777" w:rsidR="00791ABD" w:rsidRDefault="00227A77" w:rsidP="00F003BF">
      <w:pPr>
        <w:spacing w:before="30" w:after="30" w:line="480" w:lineRule="auto"/>
        <w:ind w:firstLine="720"/>
        <w:rPr>
          <w:color w:val="1155CC"/>
          <w:sz w:val="24"/>
          <w:szCs w:val="24"/>
          <w:u w:val="single"/>
        </w:rPr>
      </w:pPr>
      <w:r>
        <w:rPr>
          <w:sz w:val="24"/>
          <w:szCs w:val="24"/>
        </w:rPr>
        <w:t xml:space="preserve">Associação ILGA Portugal. (2018). </w:t>
      </w:r>
      <w:r>
        <w:rPr>
          <w:i/>
          <w:sz w:val="24"/>
          <w:szCs w:val="24"/>
        </w:rPr>
        <w:t>Estudo Nacional sobre o Ambiente Escolar: Jovens LGBTI+ 2016/2017</w:t>
      </w:r>
      <w:r>
        <w:rPr>
          <w:sz w:val="24"/>
          <w:szCs w:val="24"/>
        </w:rPr>
        <w:t>. ILGA Portugal.</w:t>
      </w:r>
      <w:hyperlink r:id="rId8">
        <w:r>
          <w:rPr>
            <w:color w:val="1155CC"/>
            <w:sz w:val="24"/>
            <w:szCs w:val="24"/>
          </w:rPr>
          <w:t xml:space="preserve"> </w:t>
        </w:r>
      </w:hyperlink>
      <w:hyperlink r:id="rId9">
        <w:r>
          <w:rPr>
            <w:color w:val="1155CC"/>
            <w:sz w:val="24"/>
            <w:szCs w:val="24"/>
            <w:u w:val="single"/>
          </w:rPr>
          <w:t>http://enae.ilga-portugal.pt/</w:t>
        </w:r>
      </w:hyperlink>
    </w:p>
    <w:p w14:paraId="00000134" w14:textId="77777777" w:rsidR="00791ABD" w:rsidRDefault="00227A77" w:rsidP="00F003BF">
      <w:pPr>
        <w:spacing w:before="30" w:after="30" w:line="480" w:lineRule="auto"/>
        <w:ind w:firstLine="720"/>
        <w:rPr>
          <w:sz w:val="24"/>
          <w:szCs w:val="24"/>
        </w:rPr>
      </w:pPr>
      <w:r>
        <w:rPr>
          <w:sz w:val="24"/>
          <w:szCs w:val="24"/>
        </w:rPr>
        <w:t>Autor (2011)</w:t>
      </w:r>
    </w:p>
    <w:p w14:paraId="00000135" w14:textId="77777777" w:rsidR="00791ABD" w:rsidRDefault="00227A77" w:rsidP="00F003BF">
      <w:pPr>
        <w:spacing w:before="30" w:after="30" w:line="480" w:lineRule="auto"/>
        <w:ind w:firstLine="720"/>
        <w:rPr>
          <w:sz w:val="24"/>
          <w:szCs w:val="24"/>
        </w:rPr>
      </w:pPr>
      <w:r>
        <w:rPr>
          <w:sz w:val="24"/>
          <w:szCs w:val="24"/>
        </w:rPr>
        <w:t>Autor (2013a)</w:t>
      </w:r>
    </w:p>
    <w:p w14:paraId="00000136" w14:textId="77777777" w:rsidR="00791ABD" w:rsidRDefault="00227A77" w:rsidP="00F003BF">
      <w:pPr>
        <w:spacing w:before="30" w:after="30" w:line="480" w:lineRule="auto"/>
        <w:ind w:firstLine="720"/>
        <w:rPr>
          <w:color w:val="1155CC"/>
          <w:sz w:val="24"/>
          <w:szCs w:val="24"/>
          <w:u w:val="single"/>
        </w:rPr>
      </w:pPr>
      <w:r>
        <w:rPr>
          <w:color w:val="222222"/>
          <w:sz w:val="24"/>
          <w:szCs w:val="24"/>
        </w:rPr>
        <w:t>Autor (2013b)</w:t>
      </w:r>
    </w:p>
    <w:p w14:paraId="00000137" w14:textId="77777777" w:rsidR="00791ABD" w:rsidRDefault="00227A77" w:rsidP="00F003BF">
      <w:pPr>
        <w:spacing w:before="30" w:after="30" w:line="480" w:lineRule="auto"/>
        <w:ind w:firstLine="720"/>
        <w:rPr>
          <w:sz w:val="24"/>
          <w:szCs w:val="24"/>
        </w:rPr>
      </w:pPr>
      <w:r>
        <w:rPr>
          <w:sz w:val="24"/>
          <w:szCs w:val="24"/>
        </w:rPr>
        <w:t>Autor (2015a)</w:t>
      </w:r>
    </w:p>
    <w:p w14:paraId="00000138" w14:textId="77777777" w:rsidR="00791ABD" w:rsidRDefault="00227A77" w:rsidP="00F003BF">
      <w:pPr>
        <w:spacing w:before="30" w:after="30" w:line="480" w:lineRule="auto"/>
        <w:ind w:firstLine="720"/>
        <w:rPr>
          <w:sz w:val="24"/>
          <w:szCs w:val="24"/>
        </w:rPr>
      </w:pPr>
      <w:r>
        <w:rPr>
          <w:sz w:val="24"/>
          <w:szCs w:val="24"/>
        </w:rPr>
        <w:t>Autor (2015b)</w:t>
      </w:r>
    </w:p>
    <w:p w14:paraId="00000139" w14:textId="77777777" w:rsidR="00791ABD" w:rsidRDefault="00227A77" w:rsidP="00F003BF">
      <w:pPr>
        <w:spacing w:before="30" w:after="30" w:line="480" w:lineRule="auto"/>
        <w:ind w:firstLine="720"/>
        <w:rPr>
          <w:sz w:val="24"/>
          <w:szCs w:val="24"/>
        </w:rPr>
      </w:pPr>
      <w:r>
        <w:rPr>
          <w:sz w:val="24"/>
          <w:szCs w:val="24"/>
        </w:rPr>
        <w:t>Autor (2016)</w:t>
      </w:r>
    </w:p>
    <w:p w14:paraId="0000013A" w14:textId="77777777" w:rsidR="00791ABD" w:rsidRDefault="00227A77" w:rsidP="00F003BF">
      <w:pPr>
        <w:pBdr>
          <w:top w:val="nil"/>
          <w:left w:val="nil"/>
          <w:bottom w:val="nil"/>
          <w:right w:val="nil"/>
          <w:between w:val="nil"/>
        </w:pBdr>
        <w:spacing w:before="30" w:after="30" w:line="480" w:lineRule="auto"/>
        <w:ind w:firstLine="720"/>
        <w:rPr>
          <w:color w:val="000000"/>
          <w:sz w:val="24"/>
          <w:szCs w:val="24"/>
        </w:rPr>
      </w:pPr>
      <w:r>
        <w:rPr>
          <w:color w:val="000000"/>
          <w:sz w:val="24"/>
          <w:szCs w:val="24"/>
        </w:rPr>
        <w:t>Autor (2020)</w:t>
      </w:r>
    </w:p>
    <w:p w14:paraId="0000013B" w14:textId="77777777" w:rsidR="00791ABD" w:rsidRDefault="00227A77" w:rsidP="00F003BF">
      <w:pPr>
        <w:spacing w:before="30" w:after="30" w:line="480" w:lineRule="auto"/>
        <w:ind w:firstLine="720"/>
        <w:rPr>
          <w:color w:val="1155CC"/>
          <w:sz w:val="24"/>
          <w:szCs w:val="24"/>
          <w:u w:val="single"/>
        </w:rPr>
      </w:pPr>
      <w:r>
        <w:rPr>
          <w:sz w:val="24"/>
          <w:szCs w:val="24"/>
        </w:rPr>
        <w:t xml:space="preserve">Bota, P. (2017). </w:t>
      </w:r>
      <w:r>
        <w:rPr>
          <w:i/>
          <w:sz w:val="24"/>
          <w:szCs w:val="24"/>
        </w:rPr>
        <w:t>Evolução e configuração atual do preconceito face a lésbicas e a gays: Um estudo comparativo</w:t>
      </w:r>
      <w:r>
        <w:rPr>
          <w:sz w:val="24"/>
          <w:szCs w:val="24"/>
        </w:rPr>
        <w:t xml:space="preserve"> (Dissertação de Mestrado).</w:t>
      </w:r>
      <w:hyperlink r:id="rId10">
        <w:r>
          <w:rPr>
            <w:sz w:val="24"/>
            <w:szCs w:val="24"/>
          </w:rPr>
          <w:t xml:space="preserve"> </w:t>
        </w:r>
      </w:hyperlink>
      <w:hyperlink r:id="rId11">
        <w:r>
          <w:rPr>
            <w:color w:val="1155CC"/>
            <w:sz w:val="24"/>
            <w:szCs w:val="24"/>
            <w:u w:val="single"/>
          </w:rPr>
          <w:t>http://hdl.handle.net/10174/21038</w:t>
        </w:r>
      </w:hyperlink>
    </w:p>
    <w:p w14:paraId="0000013C" w14:textId="77777777" w:rsidR="00791ABD" w:rsidRDefault="00227A77" w:rsidP="00F003BF">
      <w:pPr>
        <w:spacing w:before="30" w:after="30" w:line="480" w:lineRule="auto"/>
        <w:ind w:firstLine="720"/>
        <w:rPr>
          <w:sz w:val="24"/>
          <w:szCs w:val="24"/>
        </w:rPr>
      </w:pPr>
      <w:r w:rsidRPr="00675067">
        <w:rPr>
          <w:sz w:val="24"/>
          <w:szCs w:val="24"/>
          <w:lang w:val="en-US"/>
        </w:rPr>
        <w:t xml:space="preserve">Brown, T. A. (2015). </w:t>
      </w:r>
      <w:r w:rsidRPr="00675067">
        <w:rPr>
          <w:i/>
          <w:sz w:val="24"/>
          <w:szCs w:val="24"/>
          <w:lang w:val="en-US"/>
        </w:rPr>
        <w:t>Confirmatory factor analysis for applied research</w:t>
      </w:r>
      <w:r w:rsidRPr="00675067">
        <w:rPr>
          <w:sz w:val="24"/>
          <w:szCs w:val="24"/>
          <w:lang w:val="en-US"/>
        </w:rPr>
        <w:t xml:space="preserve">. </w:t>
      </w:r>
      <w:r>
        <w:rPr>
          <w:sz w:val="24"/>
          <w:szCs w:val="24"/>
        </w:rPr>
        <w:t xml:space="preserve">New York: The </w:t>
      </w:r>
      <w:proofErr w:type="spellStart"/>
      <w:r>
        <w:rPr>
          <w:sz w:val="24"/>
          <w:szCs w:val="24"/>
        </w:rPr>
        <w:t>Guilford</w:t>
      </w:r>
      <w:proofErr w:type="spellEnd"/>
      <w:r>
        <w:rPr>
          <w:sz w:val="24"/>
          <w:szCs w:val="24"/>
        </w:rPr>
        <w:t xml:space="preserve"> Press.</w:t>
      </w:r>
    </w:p>
    <w:p w14:paraId="0000013D" w14:textId="77777777" w:rsidR="00791ABD" w:rsidRDefault="00227A77" w:rsidP="00F003BF">
      <w:pPr>
        <w:spacing w:before="30" w:after="30" w:line="480" w:lineRule="auto"/>
        <w:ind w:firstLine="720"/>
        <w:rPr>
          <w:sz w:val="24"/>
          <w:szCs w:val="24"/>
        </w:rPr>
      </w:pPr>
      <w:r>
        <w:rPr>
          <w:sz w:val="24"/>
          <w:szCs w:val="24"/>
        </w:rPr>
        <w:t xml:space="preserve">Carvalho, C. P., Pinheiro, M., Martins, D., Simões, A., &amp; </w:t>
      </w:r>
      <w:proofErr w:type="spellStart"/>
      <w:r>
        <w:rPr>
          <w:sz w:val="24"/>
          <w:szCs w:val="24"/>
        </w:rPr>
        <w:t>Maceiras</w:t>
      </w:r>
      <w:proofErr w:type="spellEnd"/>
      <w:r>
        <w:rPr>
          <w:sz w:val="24"/>
          <w:szCs w:val="24"/>
        </w:rPr>
        <w:t>, M</w:t>
      </w:r>
      <w:r>
        <w:rPr>
          <w:sz w:val="24"/>
          <w:szCs w:val="24"/>
        </w:rPr>
        <w:t xml:space="preserve">. (2017). Atitudes face à homossexualidade: uma proposta de avaliação para a intervenção socioeducativa. </w:t>
      </w:r>
      <w:proofErr w:type="spellStart"/>
      <w:r>
        <w:rPr>
          <w:i/>
          <w:sz w:val="24"/>
          <w:szCs w:val="24"/>
        </w:rPr>
        <w:t>Itinerarius</w:t>
      </w:r>
      <w:proofErr w:type="spellEnd"/>
      <w:r>
        <w:rPr>
          <w:i/>
          <w:sz w:val="24"/>
          <w:szCs w:val="24"/>
        </w:rPr>
        <w:t xml:space="preserve"> </w:t>
      </w:r>
      <w:proofErr w:type="spellStart"/>
      <w:r>
        <w:rPr>
          <w:i/>
          <w:sz w:val="24"/>
          <w:szCs w:val="24"/>
        </w:rPr>
        <w:t>Reflectionis</w:t>
      </w:r>
      <w:proofErr w:type="spellEnd"/>
      <w:r>
        <w:rPr>
          <w:sz w:val="24"/>
          <w:szCs w:val="24"/>
        </w:rPr>
        <w:t xml:space="preserve">, </w:t>
      </w:r>
      <w:r>
        <w:rPr>
          <w:i/>
          <w:sz w:val="24"/>
          <w:szCs w:val="24"/>
        </w:rPr>
        <w:t>13</w:t>
      </w:r>
      <w:r>
        <w:rPr>
          <w:sz w:val="24"/>
          <w:szCs w:val="24"/>
        </w:rPr>
        <w:t>(2), 1-22.</w:t>
      </w:r>
    </w:p>
    <w:p w14:paraId="0000013E" w14:textId="77777777" w:rsidR="00791ABD" w:rsidRDefault="00227A77" w:rsidP="00F003BF">
      <w:pPr>
        <w:spacing w:before="30" w:after="30" w:line="480" w:lineRule="auto"/>
        <w:ind w:firstLine="720"/>
        <w:rPr>
          <w:color w:val="1155CC"/>
          <w:sz w:val="24"/>
          <w:szCs w:val="24"/>
          <w:u w:val="single"/>
        </w:rPr>
      </w:pPr>
      <w:r>
        <w:rPr>
          <w:sz w:val="24"/>
          <w:szCs w:val="24"/>
        </w:rPr>
        <w:lastRenderedPageBreak/>
        <w:t>Cerqueira-Santos, E., Azevedo, H. V. P., &amp; Ramos, M. D. M. (2020). Preconceito e Saúde Mental: Estresse de Minor</w:t>
      </w:r>
      <w:r>
        <w:rPr>
          <w:sz w:val="24"/>
          <w:szCs w:val="24"/>
        </w:rPr>
        <w:t xml:space="preserve">ia em Jovens Universitários. </w:t>
      </w:r>
      <w:r>
        <w:rPr>
          <w:i/>
          <w:sz w:val="24"/>
          <w:szCs w:val="24"/>
        </w:rPr>
        <w:t>Revista de Psicologia Da IMED</w:t>
      </w:r>
      <w:r>
        <w:rPr>
          <w:sz w:val="24"/>
          <w:szCs w:val="24"/>
        </w:rPr>
        <w:t xml:space="preserve">, </w:t>
      </w:r>
      <w:r>
        <w:rPr>
          <w:i/>
          <w:sz w:val="24"/>
          <w:szCs w:val="24"/>
        </w:rPr>
        <w:t>12</w:t>
      </w:r>
      <w:r>
        <w:rPr>
          <w:sz w:val="24"/>
          <w:szCs w:val="24"/>
        </w:rPr>
        <w:t>(2), 7–21.</w:t>
      </w:r>
      <w:hyperlink r:id="rId12">
        <w:r>
          <w:rPr>
            <w:color w:val="1155CC"/>
            <w:sz w:val="24"/>
            <w:szCs w:val="24"/>
          </w:rPr>
          <w:t xml:space="preserve"> </w:t>
        </w:r>
      </w:hyperlink>
      <w:hyperlink r:id="rId13">
        <w:r>
          <w:rPr>
            <w:color w:val="1155CC"/>
            <w:sz w:val="24"/>
            <w:szCs w:val="24"/>
            <w:u w:val="single"/>
          </w:rPr>
          <w:t>https://doi.org/10.18256/2175-5027.2020.v12</w:t>
        </w:r>
        <w:r>
          <w:rPr>
            <w:color w:val="1155CC"/>
            <w:sz w:val="24"/>
            <w:szCs w:val="24"/>
            <w:u w:val="single"/>
          </w:rPr>
          <w:t>i2.3523</w:t>
        </w:r>
      </w:hyperlink>
    </w:p>
    <w:p w14:paraId="0000013F" w14:textId="77777777" w:rsidR="00791ABD" w:rsidRPr="00675067" w:rsidRDefault="00227A77" w:rsidP="00F003BF">
      <w:pPr>
        <w:spacing w:before="30" w:after="30" w:line="480" w:lineRule="auto"/>
        <w:ind w:firstLine="720"/>
        <w:rPr>
          <w:sz w:val="24"/>
          <w:szCs w:val="24"/>
          <w:lang w:val="en-US"/>
        </w:rPr>
      </w:pPr>
      <w:r w:rsidRPr="00675067">
        <w:rPr>
          <w:sz w:val="24"/>
          <w:szCs w:val="24"/>
          <w:lang w:val="en-US"/>
        </w:rPr>
        <w:t xml:space="preserve">Child, D. (2006). </w:t>
      </w:r>
      <w:r w:rsidRPr="00675067">
        <w:rPr>
          <w:i/>
          <w:sz w:val="24"/>
          <w:szCs w:val="24"/>
          <w:lang w:val="en-US"/>
        </w:rPr>
        <w:t>The Essentials of Factor Analysis</w:t>
      </w:r>
      <w:r w:rsidRPr="00675067">
        <w:rPr>
          <w:sz w:val="24"/>
          <w:szCs w:val="24"/>
          <w:lang w:val="en-US"/>
        </w:rPr>
        <w:t>. 3rd ed. New York: Continuum.</w:t>
      </w:r>
    </w:p>
    <w:p w14:paraId="00000140" w14:textId="794CE5A7" w:rsidR="00791ABD" w:rsidRDefault="00E905AC" w:rsidP="00F003BF">
      <w:pPr>
        <w:spacing w:before="30" w:after="30" w:line="480" w:lineRule="auto"/>
        <w:ind w:firstLine="720"/>
        <w:rPr>
          <w:color w:val="1155CC"/>
          <w:sz w:val="24"/>
          <w:szCs w:val="24"/>
          <w:u w:val="single"/>
        </w:rPr>
      </w:pPr>
      <w:r>
        <w:rPr>
          <w:sz w:val="24"/>
          <w:szCs w:val="24"/>
        </w:rPr>
        <w:t>Autor</w:t>
      </w:r>
      <w:r w:rsidR="00227A77">
        <w:rPr>
          <w:sz w:val="24"/>
          <w:szCs w:val="24"/>
        </w:rPr>
        <w:t>. (2015</w:t>
      </w:r>
      <w:r w:rsidR="009A34FE">
        <w:rPr>
          <w:sz w:val="24"/>
          <w:szCs w:val="24"/>
        </w:rPr>
        <w:t>c</w:t>
      </w:r>
      <w:r w:rsidR="00227A77">
        <w:rPr>
          <w:sz w:val="24"/>
          <w:szCs w:val="24"/>
        </w:rPr>
        <w:t>)</w:t>
      </w:r>
    </w:p>
    <w:p w14:paraId="00000141" w14:textId="76A4622D" w:rsidR="00791ABD" w:rsidRDefault="00E905AC" w:rsidP="00F003BF">
      <w:pPr>
        <w:spacing w:before="30" w:after="30" w:line="480" w:lineRule="auto"/>
        <w:ind w:firstLine="720"/>
        <w:rPr>
          <w:color w:val="222222"/>
          <w:sz w:val="24"/>
          <w:szCs w:val="24"/>
          <w:highlight w:val="white"/>
          <w:lang w:val="en-US"/>
        </w:rPr>
      </w:pPr>
      <w:r>
        <w:rPr>
          <w:color w:val="222222"/>
          <w:sz w:val="24"/>
          <w:szCs w:val="24"/>
          <w:highlight w:val="white"/>
          <w:lang w:val="en-US"/>
        </w:rPr>
        <w:t>Autor</w:t>
      </w:r>
      <w:r w:rsidR="00227A77" w:rsidRPr="00675067">
        <w:rPr>
          <w:color w:val="222222"/>
          <w:sz w:val="24"/>
          <w:szCs w:val="24"/>
          <w:highlight w:val="white"/>
          <w:lang w:val="en-US"/>
        </w:rPr>
        <w:t xml:space="preserve"> (2015</w:t>
      </w:r>
      <w:r w:rsidR="009A34FE">
        <w:rPr>
          <w:color w:val="222222"/>
          <w:sz w:val="24"/>
          <w:szCs w:val="24"/>
          <w:highlight w:val="white"/>
          <w:lang w:val="en-US"/>
        </w:rPr>
        <w:t>d</w:t>
      </w:r>
      <w:r w:rsidR="00227A77" w:rsidRPr="00675067">
        <w:rPr>
          <w:color w:val="222222"/>
          <w:sz w:val="24"/>
          <w:szCs w:val="24"/>
          <w:highlight w:val="white"/>
          <w:lang w:val="en-US"/>
        </w:rPr>
        <w:t>)</w:t>
      </w:r>
    </w:p>
    <w:p w14:paraId="47C9825A" w14:textId="7D80327C" w:rsidR="00E905AC" w:rsidRPr="00675067" w:rsidRDefault="00E905AC" w:rsidP="00F003BF">
      <w:pPr>
        <w:spacing w:before="30" w:after="30" w:line="480" w:lineRule="auto"/>
        <w:ind w:firstLine="720"/>
        <w:rPr>
          <w:color w:val="1155CC"/>
          <w:sz w:val="24"/>
          <w:szCs w:val="24"/>
          <w:highlight w:val="white"/>
          <w:u w:val="single"/>
          <w:lang w:val="en-US"/>
        </w:rPr>
      </w:pPr>
      <w:r>
        <w:rPr>
          <w:color w:val="222222"/>
          <w:sz w:val="24"/>
          <w:szCs w:val="24"/>
          <w:highlight w:val="white"/>
          <w:lang w:val="en-US"/>
        </w:rPr>
        <w:t>Autor (2015</w:t>
      </w:r>
      <w:r w:rsidR="009A34FE">
        <w:rPr>
          <w:color w:val="222222"/>
          <w:sz w:val="24"/>
          <w:szCs w:val="24"/>
          <w:highlight w:val="white"/>
          <w:lang w:val="en-US"/>
        </w:rPr>
        <w:t>e</w:t>
      </w:r>
      <w:r>
        <w:rPr>
          <w:color w:val="222222"/>
          <w:sz w:val="24"/>
          <w:szCs w:val="24"/>
          <w:highlight w:val="white"/>
          <w:lang w:val="en-US"/>
        </w:rPr>
        <w:t>)</w:t>
      </w:r>
    </w:p>
    <w:p w14:paraId="00000142" w14:textId="770F4797" w:rsidR="00791ABD" w:rsidRPr="00675067" w:rsidRDefault="00227A77" w:rsidP="00F003BF">
      <w:pPr>
        <w:spacing w:before="30" w:after="30" w:line="480" w:lineRule="auto"/>
        <w:ind w:firstLine="720"/>
        <w:rPr>
          <w:color w:val="222222"/>
          <w:sz w:val="24"/>
          <w:szCs w:val="24"/>
          <w:highlight w:val="white"/>
          <w:lang w:val="en-US"/>
        </w:rPr>
      </w:pPr>
      <w:r w:rsidRPr="00675067">
        <w:rPr>
          <w:color w:val="222222"/>
          <w:sz w:val="24"/>
          <w:szCs w:val="24"/>
          <w:highlight w:val="white"/>
          <w:lang w:val="en-US"/>
        </w:rPr>
        <w:t>Autor (2015</w:t>
      </w:r>
      <w:r w:rsidR="009A34FE">
        <w:rPr>
          <w:color w:val="222222"/>
          <w:sz w:val="24"/>
          <w:szCs w:val="24"/>
          <w:highlight w:val="white"/>
          <w:lang w:val="en-US"/>
        </w:rPr>
        <w:t>f</w:t>
      </w:r>
      <w:r w:rsidRPr="00675067">
        <w:rPr>
          <w:color w:val="222222"/>
          <w:sz w:val="24"/>
          <w:szCs w:val="24"/>
          <w:highlight w:val="white"/>
          <w:lang w:val="en-US"/>
        </w:rPr>
        <w:t>)</w:t>
      </w:r>
    </w:p>
    <w:p w14:paraId="00000143" w14:textId="77777777" w:rsidR="00791ABD" w:rsidRDefault="00227A77" w:rsidP="00F003BF">
      <w:pPr>
        <w:spacing w:before="30" w:after="30" w:line="480" w:lineRule="auto"/>
        <w:ind w:firstLine="720"/>
        <w:rPr>
          <w:color w:val="1155CC"/>
          <w:sz w:val="24"/>
          <w:szCs w:val="24"/>
          <w:u w:val="single"/>
        </w:rPr>
      </w:pPr>
      <w:proofErr w:type="spellStart"/>
      <w:r w:rsidRPr="00675067">
        <w:rPr>
          <w:sz w:val="24"/>
          <w:szCs w:val="24"/>
          <w:lang w:val="en-US"/>
        </w:rPr>
        <w:t>Ferrando</w:t>
      </w:r>
      <w:proofErr w:type="spellEnd"/>
      <w:r w:rsidRPr="00675067">
        <w:rPr>
          <w:sz w:val="24"/>
          <w:szCs w:val="24"/>
          <w:lang w:val="en-US"/>
        </w:rPr>
        <w:t>, P. J., &amp; Lorenzo-Seva U. (2018). Assessing the quality and appropriateness of factor solutions and factor score estimates in exploratory item factor analysis.</w:t>
      </w:r>
      <w:r w:rsidRPr="00675067">
        <w:rPr>
          <w:i/>
          <w:sz w:val="24"/>
          <w:szCs w:val="24"/>
          <w:lang w:val="en-US"/>
        </w:rPr>
        <w:t xml:space="preserve"> </w:t>
      </w:r>
      <w:proofErr w:type="spellStart"/>
      <w:r>
        <w:rPr>
          <w:i/>
          <w:sz w:val="24"/>
          <w:szCs w:val="24"/>
        </w:rPr>
        <w:t>Educational</w:t>
      </w:r>
      <w:proofErr w:type="spellEnd"/>
      <w:r>
        <w:rPr>
          <w:i/>
          <w:sz w:val="24"/>
          <w:szCs w:val="24"/>
        </w:rPr>
        <w:t xml:space="preserve"> </w:t>
      </w:r>
      <w:proofErr w:type="spellStart"/>
      <w:r>
        <w:rPr>
          <w:i/>
          <w:sz w:val="24"/>
          <w:szCs w:val="24"/>
        </w:rPr>
        <w:t>and</w:t>
      </w:r>
      <w:proofErr w:type="spellEnd"/>
      <w:r>
        <w:rPr>
          <w:i/>
          <w:sz w:val="24"/>
          <w:szCs w:val="24"/>
        </w:rPr>
        <w:t xml:space="preserve"> </w:t>
      </w:r>
      <w:proofErr w:type="spellStart"/>
      <w:r>
        <w:rPr>
          <w:i/>
          <w:sz w:val="24"/>
          <w:szCs w:val="24"/>
        </w:rPr>
        <w:t>Psychological</w:t>
      </w:r>
      <w:proofErr w:type="spellEnd"/>
      <w:r>
        <w:rPr>
          <w:i/>
          <w:sz w:val="24"/>
          <w:szCs w:val="24"/>
        </w:rPr>
        <w:t xml:space="preserve"> </w:t>
      </w:r>
      <w:proofErr w:type="spellStart"/>
      <w:r>
        <w:rPr>
          <w:i/>
          <w:sz w:val="24"/>
          <w:szCs w:val="24"/>
        </w:rPr>
        <w:t>Measurement</w:t>
      </w:r>
      <w:proofErr w:type="spellEnd"/>
      <w:r>
        <w:rPr>
          <w:i/>
          <w:sz w:val="24"/>
          <w:szCs w:val="24"/>
        </w:rPr>
        <w:t>, 78</w:t>
      </w:r>
      <w:r>
        <w:rPr>
          <w:sz w:val="24"/>
          <w:szCs w:val="24"/>
        </w:rPr>
        <w:t>, 762-780.</w:t>
      </w:r>
      <w:hyperlink r:id="rId14">
        <w:r>
          <w:rPr>
            <w:sz w:val="24"/>
            <w:szCs w:val="24"/>
          </w:rPr>
          <w:t xml:space="preserve"> </w:t>
        </w:r>
      </w:hyperlink>
      <w:hyperlink r:id="rId15">
        <w:r>
          <w:rPr>
            <w:color w:val="1155CC"/>
            <w:sz w:val="24"/>
            <w:szCs w:val="24"/>
          </w:rPr>
          <w:t xml:space="preserve"> </w:t>
        </w:r>
      </w:hyperlink>
      <w:hyperlink r:id="rId16">
        <w:r>
          <w:rPr>
            <w:color w:val="1155CC"/>
            <w:sz w:val="24"/>
            <w:szCs w:val="24"/>
            <w:u w:val="single"/>
          </w:rPr>
          <w:t>https://doi.org/10.1177/0013164417719308</w:t>
        </w:r>
      </w:hyperlink>
    </w:p>
    <w:p w14:paraId="00000144" w14:textId="77777777" w:rsidR="00791ABD" w:rsidRDefault="00227A77" w:rsidP="00F003BF">
      <w:pPr>
        <w:spacing w:before="30" w:after="30" w:line="480" w:lineRule="auto"/>
        <w:ind w:firstLine="720"/>
        <w:rPr>
          <w:sz w:val="24"/>
          <w:szCs w:val="24"/>
        </w:rPr>
      </w:pPr>
      <w:r>
        <w:rPr>
          <w:sz w:val="24"/>
          <w:szCs w:val="24"/>
        </w:rPr>
        <w:t xml:space="preserve">Freire, P. (2006). </w:t>
      </w:r>
      <w:r>
        <w:rPr>
          <w:i/>
          <w:sz w:val="24"/>
          <w:szCs w:val="24"/>
        </w:rPr>
        <w:t>Pedagogia do Oprimido.</w:t>
      </w:r>
      <w:r>
        <w:rPr>
          <w:sz w:val="24"/>
          <w:szCs w:val="24"/>
        </w:rPr>
        <w:t xml:space="preserve"> 44ª edição. São Paulo: </w:t>
      </w:r>
      <w:r>
        <w:rPr>
          <w:sz w:val="24"/>
          <w:szCs w:val="24"/>
        </w:rPr>
        <w:t>Editora Paz e Terra.</w:t>
      </w:r>
    </w:p>
    <w:p w14:paraId="00000145" w14:textId="77777777" w:rsidR="00791ABD" w:rsidRDefault="00227A77" w:rsidP="00F003BF">
      <w:pPr>
        <w:spacing w:before="30" w:after="30" w:line="480" w:lineRule="auto"/>
        <w:ind w:firstLine="720"/>
        <w:rPr>
          <w:color w:val="1155CC"/>
          <w:sz w:val="24"/>
          <w:szCs w:val="24"/>
          <w:u w:val="single"/>
        </w:rPr>
      </w:pPr>
      <w:r>
        <w:rPr>
          <w:sz w:val="24"/>
          <w:szCs w:val="24"/>
        </w:rPr>
        <w:t xml:space="preserve">Gama, R. C., &amp; Anastácio, Z. C. (2019). Educação sexual e legitimidade do professor de ensino básico: um estudo comparativo entre Brasil e Portugal. </w:t>
      </w:r>
      <w:proofErr w:type="spellStart"/>
      <w:r w:rsidRPr="00675067">
        <w:rPr>
          <w:i/>
          <w:sz w:val="24"/>
          <w:szCs w:val="24"/>
          <w:lang w:val="en-US"/>
        </w:rPr>
        <w:t>Revista</w:t>
      </w:r>
      <w:proofErr w:type="spellEnd"/>
      <w:r w:rsidRPr="00675067">
        <w:rPr>
          <w:i/>
          <w:sz w:val="24"/>
          <w:szCs w:val="24"/>
          <w:lang w:val="en-US"/>
        </w:rPr>
        <w:t xml:space="preserve"> INFAD de </w:t>
      </w:r>
      <w:proofErr w:type="spellStart"/>
      <w:r w:rsidRPr="00675067">
        <w:rPr>
          <w:i/>
          <w:sz w:val="24"/>
          <w:szCs w:val="24"/>
          <w:lang w:val="en-US"/>
        </w:rPr>
        <w:t>Psicología</w:t>
      </w:r>
      <w:proofErr w:type="spellEnd"/>
      <w:r w:rsidRPr="00675067">
        <w:rPr>
          <w:i/>
          <w:sz w:val="24"/>
          <w:szCs w:val="24"/>
          <w:lang w:val="en-US"/>
        </w:rPr>
        <w:t>. International Journal of Developmental and Educational Ps</w:t>
      </w:r>
      <w:r w:rsidRPr="00675067">
        <w:rPr>
          <w:i/>
          <w:sz w:val="24"/>
          <w:szCs w:val="24"/>
          <w:lang w:val="en-US"/>
        </w:rPr>
        <w:t>ychology</w:t>
      </w:r>
      <w:r w:rsidRPr="00675067">
        <w:rPr>
          <w:sz w:val="24"/>
          <w:szCs w:val="24"/>
          <w:lang w:val="en-US"/>
        </w:rPr>
        <w:t xml:space="preserve">, </w:t>
      </w:r>
      <w:r w:rsidRPr="00675067">
        <w:rPr>
          <w:i/>
          <w:sz w:val="24"/>
          <w:szCs w:val="24"/>
          <w:lang w:val="en-US"/>
        </w:rPr>
        <w:t>2</w:t>
      </w:r>
      <w:r w:rsidRPr="00675067">
        <w:rPr>
          <w:sz w:val="24"/>
          <w:szCs w:val="24"/>
          <w:lang w:val="en-US"/>
        </w:rPr>
        <w:t>, 45–56.</w:t>
      </w:r>
      <w:hyperlink r:id="rId17">
        <w:r w:rsidRPr="00675067">
          <w:rPr>
            <w:color w:val="1155CC"/>
            <w:sz w:val="24"/>
            <w:szCs w:val="24"/>
            <w:lang w:val="en-US"/>
          </w:rPr>
          <w:t xml:space="preserve"> </w:t>
        </w:r>
      </w:hyperlink>
      <w:hyperlink r:id="rId18">
        <w:r>
          <w:rPr>
            <w:color w:val="1155CC"/>
            <w:sz w:val="24"/>
            <w:szCs w:val="24"/>
            <w:u w:val="single"/>
          </w:rPr>
          <w:t>https://doi.org/10.17060/ijodaep.2019.n2.v2.1737</w:t>
        </w:r>
      </w:hyperlink>
    </w:p>
    <w:p w14:paraId="00000146" w14:textId="77777777" w:rsidR="00791ABD" w:rsidRDefault="00227A77" w:rsidP="00F003BF">
      <w:pPr>
        <w:spacing w:before="30" w:after="30" w:line="480" w:lineRule="auto"/>
        <w:ind w:firstLine="720"/>
        <w:rPr>
          <w:color w:val="1155CC"/>
          <w:sz w:val="24"/>
          <w:szCs w:val="24"/>
          <w:u w:val="single"/>
        </w:rPr>
      </w:pPr>
      <w:proofErr w:type="spellStart"/>
      <w:r>
        <w:rPr>
          <w:sz w:val="24"/>
          <w:szCs w:val="24"/>
        </w:rPr>
        <w:t>Gaspodini</w:t>
      </w:r>
      <w:proofErr w:type="spellEnd"/>
      <w:r>
        <w:rPr>
          <w:sz w:val="24"/>
          <w:szCs w:val="24"/>
        </w:rPr>
        <w:t xml:space="preserve">, I. B., &amp; </w:t>
      </w:r>
      <w:proofErr w:type="spellStart"/>
      <w:r>
        <w:rPr>
          <w:sz w:val="24"/>
          <w:szCs w:val="24"/>
        </w:rPr>
        <w:t>Falcke</w:t>
      </w:r>
      <w:proofErr w:type="spellEnd"/>
      <w:r>
        <w:rPr>
          <w:sz w:val="24"/>
          <w:szCs w:val="24"/>
        </w:rPr>
        <w:t>, D. (2018). Relações ent</w:t>
      </w:r>
      <w:r>
        <w:rPr>
          <w:sz w:val="24"/>
          <w:szCs w:val="24"/>
        </w:rPr>
        <w:t xml:space="preserve">re Preconceito e Crenças sobre Diversidade Sexual e de Gênero em Psicólogos/as Brasileiros/as. </w:t>
      </w:r>
      <w:r>
        <w:rPr>
          <w:i/>
          <w:sz w:val="24"/>
          <w:szCs w:val="24"/>
        </w:rPr>
        <w:t>Psicologia: Ciência e Profissão</w:t>
      </w:r>
      <w:r>
        <w:rPr>
          <w:sz w:val="24"/>
          <w:szCs w:val="24"/>
        </w:rPr>
        <w:t xml:space="preserve">, </w:t>
      </w:r>
      <w:r>
        <w:rPr>
          <w:i/>
          <w:sz w:val="24"/>
          <w:szCs w:val="24"/>
        </w:rPr>
        <w:t>38</w:t>
      </w:r>
      <w:r>
        <w:rPr>
          <w:sz w:val="24"/>
          <w:szCs w:val="24"/>
        </w:rPr>
        <w:t>(4), 744–757.</w:t>
      </w:r>
      <w:hyperlink r:id="rId19">
        <w:r>
          <w:rPr>
            <w:color w:val="1155CC"/>
            <w:sz w:val="24"/>
            <w:szCs w:val="24"/>
          </w:rPr>
          <w:t xml:space="preserve"> </w:t>
        </w:r>
      </w:hyperlink>
      <w:hyperlink r:id="rId20">
        <w:r>
          <w:rPr>
            <w:color w:val="1155CC"/>
            <w:sz w:val="24"/>
            <w:szCs w:val="24"/>
            <w:u w:val="single"/>
          </w:rPr>
          <w:t>https://doi.org/10.1590/1982-3703001752017</w:t>
        </w:r>
      </w:hyperlink>
    </w:p>
    <w:p w14:paraId="00000147" w14:textId="230F4BD2" w:rsidR="00791ABD" w:rsidRPr="00675067" w:rsidRDefault="003520E7" w:rsidP="00F003BF">
      <w:pPr>
        <w:spacing w:before="30" w:after="30" w:line="480" w:lineRule="auto"/>
        <w:ind w:firstLine="720"/>
        <w:rPr>
          <w:color w:val="222222"/>
          <w:sz w:val="24"/>
          <w:szCs w:val="24"/>
          <w:lang w:val="en-US"/>
        </w:rPr>
      </w:pPr>
      <w:r>
        <w:rPr>
          <w:color w:val="222222"/>
          <w:sz w:val="24"/>
          <w:szCs w:val="24"/>
        </w:rPr>
        <w:t>Autor</w:t>
      </w:r>
      <w:r w:rsidR="00227A77">
        <w:rPr>
          <w:color w:val="222222"/>
          <w:sz w:val="24"/>
          <w:szCs w:val="24"/>
        </w:rPr>
        <w:t xml:space="preserve"> (2012)</w:t>
      </w:r>
    </w:p>
    <w:p w14:paraId="00000148" w14:textId="77777777" w:rsidR="00791ABD" w:rsidRPr="00675067" w:rsidRDefault="00227A77" w:rsidP="00F003BF">
      <w:pPr>
        <w:spacing w:before="30" w:after="30" w:line="480" w:lineRule="auto"/>
        <w:ind w:firstLine="720"/>
        <w:rPr>
          <w:sz w:val="24"/>
          <w:szCs w:val="24"/>
          <w:lang w:val="en-US"/>
        </w:rPr>
      </w:pPr>
      <w:r w:rsidRPr="00675067">
        <w:rPr>
          <w:sz w:val="24"/>
          <w:szCs w:val="24"/>
          <w:lang w:val="en-US"/>
        </w:rPr>
        <w:t>Hair,</w:t>
      </w:r>
      <w:r w:rsidRPr="00675067">
        <w:rPr>
          <w:sz w:val="24"/>
          <w:szCs w:val="24"/>
          <w:lang w:val="en-US"/>
        </w:rPr>
        <w:t xml:space="preserve"> J. F., Black, W.C., Anderson, R.E., &amp; </w:t>
      </w:r>
      <w:proofErr w:type="spellStart"/>
      <w:r w:rsidRPr="00675067">
        <w:rPr>
          <w:sz w:val="24"/>
          <w:szCs w:val="24"/>
          <w:lang w:val="en-US"/>
        </w:rPr>
        <w:t>Babin</w:t>
      </w:r>
      <w:proofErr w:type="spellEnd"/>
      <w:r w:rsidRPr="00675067">
        <w:rPr>
          <w:sz w:val="24"/>
          <w:szCs w:val="24"/>
          <w:lang w:val="en-US"/>
        </w:rPr>
        <w:t xml:space="preserve">, B.J. (2019). </w:t>
      </w:r>
      <w:r w:rsidRPr="00675067">
        <w:rPr>
          <w:i/>
          <w:sz w:val="24"/>
          <w:szCs w:val="24"/>
          <w:lang w:val="en-US"/>
        </w:rPr>
        <w:t>Multivariate data analysis</w:t>
      </w:r>
      <w:r w:rsidRPr="00675067">
        <w:rPr>
          <w:sz w:val="24"/>
          <w:szCs w:val="24"/>
          <w:lang w:val="en-US"/>
        </w:rPr>
        <w:t>. Cengage Learning, London.</w:t>
      </w:r>
    </w:p>
    <w:p w14:paraId="00000149" w14:textId="77777777" w:rsidR="00791ABD" w:rsidRPr="00675067" w:rsidRDefault="00227A77" w:rsidP="00F003BF">
      <w:pPr>
        <w:spacing w:before="30" w:after="30" w:line="480" w:lineRule="auto"/>
        <w:ind w:firstLine="720"/>
        <w:rPr>
          <w:sz w:val="24"/>
          <w:szCs w:val="24"/>
          <w:lang w:val="en-US"/>
        </w:rPr>
      </w:pPr>
      <w:r w:rsidRPr="00675067">
        <w:rPr>
          <w:sz w:val="24"/>
          <w:szCs w:val="24"/>
          <w:lang w:val="en-US"/>
        </w:rPr>
        <w:t xml:space="preserve">Hancock, G. R., &amp; Mueller, R. O. (2000). Rethinking construct reliability within latent variable systems. In </w:t>
      </w:r>
      <w:proofErr w:type="spellStart"/>
      <w:proofErr w:type="gramStart"/>
      <w:r w:rsidRPr="00675067">
        <w:rPr>
          <w:sz w:val="24"/>
          <w:szCs w:val="24"/>
          <w:lang w:val="en-US"/>
        </w:rPr>
        <w:t>Cudek,R</w:t>
      </w:r>
      <w:proofErr w:type="spellEnd"/>
      <w:r w:rsidRPr="00675067">
        <w:rPr>
          <w:sz w:val="24"/>
          <w:szCs w:val="24"/>
          <w:lang w:val="en-US"/>
        </w:rPr>
        <w:t>.</w:t>
      </w:r>
      <w:proofErr w:type="gramEnd"/>
      <w:r w:rsidRPr="00675067">
        <w:rPr>
          <w:sz w:val="24"/>
          <w:szCs w:val="24"/>
          <w:lang w:val="en-US"/>
        </w:rPr>
        <w:t xml:space="preserve">, </w:t>
      </w:r>
      <w:proofErr w:type="spellStart"/>
      <w:r w:rsidRPr="00675067">
        <w:rPr>
          <w:sz w:val="24"/>
          <w:szCs w:val="24"/>
          <w:lang w:val="en-US"/>
        </w:rPr>
        <w:t>duToit</w:t>
      </w:r>
      <w:proofErr w:type="spellEnd"/>
      <w:r w:rsidRPr="00675067">
        <w:rPr>
          <w:sz w:val="24"/>
          <w:szCs w:val="24"/>
          <w:lang w:val="en-US"/>
        </w:rPr>
        <w:t xml:space="preserve">, S.H.C., &amp; </w:t>
      </w:r>
      <w:proofErr w:type="spellStart"/>
      <w:r w:rsidRPr="00675067">
        <w:rPr>
          <w:sz w:val="24"/>
          <w:szCs w:val="24"/>
          <w:lang w:val="en-US"/>
        </w:rPr>
        <w:t>Sorbom</w:t>
      </w:r>
      <w:proofErr w:type="spellEnd"/>
      <w:r w:rsidRPr="00675067">
        <w:rPr>
          <w:sz w:val="24"/>
          <w:szCs w:val="24"/>
          <w:lang w:val="en-US"/>
        </w:rPr>
        <w:t xml:space="preserve">, D.F (Eds.), </w:t>
      </w:r>
      <w:r w:rsidRPr="00675067">
        <w:rPr>
          <w:i/>
          <w:sz w:val="24"/>
          <w:szCs w:val="24"/>
          <w:lang w:val="en-US"/>
        </w:rPr>
        <w:t>Structural equation modeling</w:t>
      </w:r>
      <w:r w:rsidRPr="00675067">
        <w:rPr>
          <w:sz w:val="24"/>
          <w:szCs w:val="24"/>
          <w:lang w:val="en-US"/>
        </w:rPr>
        <w:t>: Present and future (pp. 195 - 216). Lincolnwood, IL: Scientific Software.</w:t>
      </w:r>
    </w:p>
    <w:p w14:paraId="0000014A" w14:textId="77777777" w:rsidR="00791ABD" w:rsidRDefault="00227A77" w:rsidP="00F003BF">
      <w:pPr>
        <w:spacing w:before="30" w:after="30" w:line="480" w:lineRule="auto"/>
        <w:ind w:firstLine="720"/>
        <w:rPr>
          <w:color w:val="1155CC"/>
          <w:sz w:val="24"/>
          <w:szCs w:val="24"/>
          <w:u w:val="single"/>
        </w:rPr>
      </w:pPr>
      <w:proofErr w:type="spellStart"/>
      <w:r w:rsidRPr="00675067">
        <w:rPr>
          <w:sz w:val="24"/>
          <w:szCs w:val="24"/>
          <w:lang w:val="en-US"/>
        </w:rPr>
        <w:lastRenderedPageBreak/>
        <w:t>Herek</w:t>
      </w:r>
      <w:proofErr w:type="spellEnd"/>
      <w:r w:rsidRPr="00675067">
        <w:rPr>
          <w:sz w:val="24"/>
          <w:szCs w:val="24"/>
          <w:lang w:val="en-US"/>
        </w:rPr>
        <w:t xml:space="preserve">, G. M. (2000). Sexual Prejudice and Gender: Do Heterosexuals’ Attitudes Toward Lesbians and Gay Men Differ? </w:t>
      </w:r>
      <w:proofErr w:type="spellStart"/>
      <w:r>
        <w:rPr>
          <w:i/>
          <w:sz w:val="24"/>
          <w:szCs w:val="24"/>
        </w:rPr>
        <w:t>Journal</w:t>
      </w:r>
      <w:proofErr w:type="spellEnd"/>
      <w:r>
        <w:rPr>
          <w:i/>
          <w:sz w:val="24"/>
          <w:szCs w:val="24"/>
        </w:rPr>
        <w:t xml:space="preserve"> </w:t>
      </w:r>
      <w:proofErr w:type="spellStart"/>
      <w:r>
        <w:rPr>
          <w:i/>
          <w:sz w:val="24"/>
          <w:szCs w:val="24"/>
        </w:rPr>
        <w:t>of</w:t>
      </w:r>
      <w:proofErr w:type="spellEnd"/>
      <w:r>
        <w:rPr>
          <w:i/>
          <w:sz w:val="24"/>
          <w:szCs w:val="24"/>
        </w:rPr>
        <w:t xml:space="preserve"> Social </w:t>
      </w:r>
      <w:proofErr w:type="spellStart"/>
      <w:r>
        <w:rPr>
          <w:i/>
          <w:sz w:val="24"/>
          <w:szCs w:val="24"/>
        </w:rPr>
        <w:t>Issues</w:t>
      </w:r>
      <w:proofErr w:type="spellEnd"/>
      <w:r>
        <w:rPr>
          <w:sz w:val="24"/>
          <w:szCs w:val="24"/>
        </w:rPr>
        <w:t xml:space="preserve">, </w:t>
      </w:r>
      <w:r>
        <w:rPr>
          <w:i/>
          <w:sz w:val="24"/>
          <w:szCs w:val="24"/>
        </w:rPr>
        <w:t>56</w:t>
      </w:r>
      <w:r>
        <w:rPr>
          <w:sz w:val="24"/>
          <w:szCs w:val="24"/>
        </w:rPr>
        <w:t>(2), 251–266.</w:t>
      </w:r>
      <w:hyperlink r:id="rId21">
        <w:r>
          <w:rPr>
            <w:color w:val="1155CC"/>
            <w:sz w:val="24"/>
            <w:szCs w:val="24"/>
          </w:rPr>
          <w:t xml:space="preserve"> </w:t>
        </w:r>
      </w:hyperlink>
      <w:hyperlink r:id="rId22">
        <w:r>
          <w:rPr>
            <w:color w:val="1155CC"/>
            <w:sz w:val="24"/>
            <w:szCs w:val="24"/>
            <w:u w:val="single"/>
          </w:rPr>
          <w:t>https://doi.org/10.1111/0022-4537.00164</w:t>
        </w:r>
      </w:hyperlink>
    </w:p>
    <w:p w14:paraId="0000014B" w14:textId="77777777" w:rsidR="00791ABD" w:rsidRPr="00675067" w:rsidRDefault="00227A77" w:rsidP="00F003BF">
      <w:pPr>
        <w:spacing w:before="30" w:after="30" w:line="480" w:lineRule="auto"/>
        <w:ind w:firstLine="720"/>
        <w:rPr>
          <w:sz w:val="24"/>
          <w:szCs w:val="24"/>
          <w:lang w:val="en-US"/>
        </w:rPr>
      </w:pPr>
      <w:proofErr w:type="spellStart"/>
      <w:r w:rsidRPr="00675067">
        <w:rPr>
          <w:sz w:val="24"/>
          <w:szCs w:val="24"/>
          <w:lang w:val="en-US"/>
        </w:rPr>
        <w:t>Herek</w:t>
      </w:r>
      <w:proofErr w:type="spellEnd"/>
      <w:r w:rsidRPr="00675067">
        <w:rPr>
          <w:sz w:val="24"/>
          <w:szCs w:val="24"/>
          <w:lang w:val="en-US"/>
        </w:rPr>
        <w:t>, G. M., &amp; McLemore, K. A. (2011). The Attitudes Toward Lesbians and Gay Me</w:t>
      </w:r>
      <w:r w:rsidRPr="00675067">
        <w:rPr>
          <w:sz w:val="24"/>
          <w:szCs w:val="24"/>
          <w:lang w:val="en-US"/>
        </w:rPr>
        <w:t xml:space="preserve">n (ATLG) scale. In T. D. Fisher, C. M. Davis, W. L. </w:t>
      </w:r>
      <w:proofErr w:type="spellStart"/>
      <w:r w:rsidRPr="00675067">
        <w:rPr>
          <w:sz w:val="24"/>
          <w:szCs w:val="24"/>
          <w:lang w:val="en-US"/>
        </w:rPr>
        <w:t>Yarber</w:t>
      </w:r>
      <w:proofErr w:type="spellEnd"/>
      <w:r w:rsidRPr="00675067">
        <w:rPr>
          <w:sz w:val="24"/>
          <w:szCs w:val="24"/>
          <w:lang w:val="en-US"/>
        </w:rPr>
        <w:t xml:space="preserve">, &amp; S. L. Davis (Eds.), </w:t>
      </w:r>
      <w:r w:rsidRPr="00675067">
        <w:rPr>
          <w:i/>
          <w:sz w:val="24"/>
          <w:szCs w:val="24"/>
          <w:lang w:val="en-US"/>
        </w:rPr>
        <w:t>Handbook of sexuality-related measures</w:t>
      </w:r>
      <w:r w:rsidRPr="00675067">
        <w:rPr>
          <w:sz w:val="24"/>
          <w:szCs w:val="24"/>
          <w:lang w:val="en-US"/>
        </w:rPr>
        <w:t xml:space="preserve"> (pp. 415–417). Taylor &amp; Francis.</w:t>
      </w:r>
    </w:p>
    <w:p w14:paraId="0000014C" w14:textId="77777777" w:rsidR="00791ABD" w:rsidRDefault="00227A77" w:rsidP="00F003BF">
      <w:pPr>
        <w:spacing w:before="30" w:after="30" w:line="480" w:lineRule="auto"/>
        <w:ind w:firstLine="720"/>
        <w:rPr>
          <w:color w:val="1155CC"/>
          <w:sz w:val="24"/>
          <w:szCs w:val="24"/>
          <w:u w:val="single"/>
        </w:rPr>
      </w:pPr>
      <w:r w:rsidRPr="00675067">
        <w:rPr>
          <w:sz w:val="24"/>
          <w:szCs w:val="24"/>
          <w:lang w:val="en-US"/>
        </w:rPr>
        <w:t>Hill, D. B., &amp; Willoughby, B. L. B. (2005). The development and validation of the genderism and transp</w:t>
      </w:r>
      <w:r w:rsidRPr="00675067">
        <w:rPr>
          <w:sz w:val="24"/>
          <w:szCs w:val="24"/>
          <w:lang w:val="en-US"/>
        </w:rPr>
        <w:t xml:space="preserve">hobia scale. </w:t>
      </w:r>
      <w:r>
        <w:rPr>
          <w:i/>
          <w:sz w:val="24"/>
          <w:szCs w:val="24"/>
        </w:rPr>
        <w:t>Sex Roles</w:t>
      </w:r>
      <w:r>
        <w:rPr>
          <w:sz w:val="24"/>
          <w:szCs w:val="24"/>
        </w:rPr>
        <w:t xml:space="preserve">, </w:t>
      </w:r>
      <w:r>
        <w:rPr>
          <w:i/>
          <w:sz w:val="24"/>
          <w:szCs w:val="24"/>
        </w:rPr>
        <w:t>53</w:t>
      </w:r>
      <w:r>
        <w:rPr>
          <w:sz w:val="24"/>
          <w:szCs w:val="24"/>
        </w:rPr>
        <w:t>(7/8), 531–544.</w:t>
      </w:r>
      <w:hyperlink r:id="rId23">
        <w:r>
          <w:rPr>
            <w:color w:val="1155CC"/>
            <w:sz w:val="24"/>
            <w:szCs w:val="24"/>
          </w:rPr>
          <w:t xml:space="preserve"> </w:t>
        </w:r>
      </w:hyperlink>
      <w:hyperlink r:id="rId24">
        <w:r>
          <w:rPr>
            <w:color w:val="1155CC"/>
            <w:sz w:val="24"/>
            <w:szCs w:val="24"/>
            <w:u w:val="single"/>
          </w:rPr>
          <w:t>https://doi.org/10.1007/s11199-005-7140-x</w:t>
        </w:r>
      </w:hyperlink>
    </w:p>
    <w:p w14:paraId="0000014D" w14:textId="77777777" w:rsidR="00791ABD" w:rsidRDefault="00227A77" w:rsidP="00F003BF">
      <w:pPr>
        <w:spacing w:before="30" w:after="30" w:line="480" w:lineRule="auto"/>
        <w:ind w:firstLine="720"/>
        <w:rPr>
          <w:sz w:val="24"/>
          <w:szCs w:val="24"/>
        </w:rPr>
      </w:pPr>
      <w:r>
        <w:rPr>
          <w:sz w:val="24"/>
          <w:szCs w:val="24"/>
        </w:rPr>
        <w:t>Junqueira, R. D. (2009). Homofobia nas Escolas: um</w:t>
      </w:r>
      <w:r>
        <w:rPr>
          <w:sz w:val="24"/>
          <w:szCs w:val="24"/>
        </w:rPr>
        <w:t xml:space="preserve"> problema de todos. In </w:t>
      </w:r>
      <w:r>
        <w:rPr>
          <w:i/>
          <w:sz w:val="24"/>
          <w:szCs w:val="24"/>
        </w:rPr>
        <w:t>Diversidade Sexual na Educação: problematizações sobre a homofobia nas escolas</w:t>
      </w:r>
      <w:r>
        <w:rPr>
          <w:sz w:val="24"/>
          <w:szCs w:val="24"/>
        </w:rPr>
        <w:t xml:space="preserve"> (pp. 13–52). MEC/UNESCO.</w:t>
      </w:r>
    </w:p>
    <w:p w14:paraId="0000014E" w14:textId="77777777" w:rsidR="00791ABD" w:rsidRPr="00675067" w:rsidRDefault="00227A77" w:rsidP="00F003BF">
      <w:pPr>
        <w:spacing w:before="30" w:after="30" w:line="480" w:lineRule="auto"/>
        <w:ind w:firstLine="720"/>
        <w:rPr>
          <w:sz w:val="24"/>
          <w:szCs w:val="24"/>
          <w:lang w:val="en-US"/>
        </w:rPr>
      </w:pPr>
      <w:r>
        <w:rPr>
          <w:sz w:val="24"/>
          <w:szCs w:val="24"/>
        </w:rPr>
        <w:t xml:space="preserve">Lei n° 38/2018. </w:t>
      </w:r>
      <w:r>
        <w:rPr>
          <w:color w:val="000000"/>
        </w:rPr>
        <w:t>n.1 do artigo 12.º da lei n.º 38/2018.</w:t>
      </w:r>
      <w:r>
        <w:rPr>
          <w:sz w:val="24"/>
          <w:szCs w:val="24"/>
        </w:rPr>
        <w:t xml:space="preserve"> </w:t>
      </w:r>
      <w:r>
        <w:rPr>
          <w:i/>
          <w:sz w:val="24"/>
          <w:szCs w:val="24"/>
        </w:rPr>
        <w:t xml:space="preserve">Estratégia Nacional para a Igualdade e Não Discriminação (2018-2030). </w:t>
      </w:r>
      <w:proofErr w:type="spellStart"/>
      <w:r w:rsidRPr="00675067">
        <w:rPr>
          <w:sz w:val="24"/>
          <w:szCs w:val="24"/>
          <w:lang w:val="en-US"/>
        </w:rPr>
        <w:t>Prog</w:t>
      </w:r>
      <w:r w:rsidRPr="00675067">
        <w:rPr>
          <w:sz w:val="24"/>
          <w:szCs w:val="24"/>
          <w:lang w:val="en-US"/>
        </w:rPr>
        <w:t>rama</w:t>
      </w:r>
      <w:proofErr w:type="spellEnd"/>
      <w:r w:rsidRPr="00675067">
        <w:rPr>
          <w:sz w:val="24"/>
          <w:szCs w:val="24"/>
          <w:lang w:val="en-US"/>
        </w:rPr>
        <w:t xml:space="preserve"> Portugal + </w:t>
      </w:r>
      <w:proofErr w:type="spellStart"/>
      <w:r w:rsidRPr="00675067">
        <w:rPr>
          <w:sz w:val="24"/>
          <w:szCs w:val="24"/>
          <w:lang w:val="en-US"/>
        </w:rPr>
        <w:t>Igual</w:t>
      </w:r>
      <w:proofErr w:type="spellEnd"/>
      <w:r w:rsidRPr="00675067">
        <w:rPr>
          <w:sz w:val="24"/>
          <w:szCs w:val="24"/>
          <w:lang w:val="en-US"/>
        </w:rPr>
        <w:t>.</w:t>
      </w:r>
    </w:p>
    <w:p w14:paraId="0000014F" w14:textId="77777777" w:rsidR="00791ABD" w:rsidRPr="00675067" w:rsidRDefault="00227A77" w:rsidP="00F003BF">
      <w:pPr>
        <w:spacing w:before="30" w:after="30" w:line="480" w:lineRule="auto"/>
        <w:ind w:firstLine="720"/>
        <w:rPr>
          <w:color w:val="1155CC"/>
          <w:sz w:val="24"/>
          <w:szCs w:val="24"/>
          <w:u w:val="single"/>
          <w:lang w:val="en-US"/>
        </w:rPr>
      </w:pPr>
      <w:r w:rsidRPr="00675067">
        <w:rPr>
          <w:sz w:val="24"/>
          <w:szCs w:val="24"/>
          <w:lang w:val="en-US"/>
        </w:rPr>
        <w:t xml:space="preserve">Lorenzo-Seva, U., &amp; </w:t>
      </w:r>
      <w:proofErr w:type="spellStart"/>
      <w:r w:rsidRPr="00675067">
        <w:rPr>
          <w:sz w:val="24"/>
          <w:szCs w:val="24"/>
          <w:lang w:val="en-US"/>
        </w:rPr>
        <w:t>Ferrando</w:t>
      </w:r>
      <w:proofErr w:type="spellEnd"/>
      <w:r w:rsidRPr="00675067">
        <w:rPr>
          <w:sz w:val="24"/>
          <w:szCs w:val="24"/>
          <w:lang w:val="en-US"/>
        </w:rPr>
        <w:t xml:space="preserve">, P. J. (2019). </w:t>
      </w:r>
      <w:r w:rsidRPr="00675067">
        <w:rPr>
          <w:i/>
          <w:sz w:val="24"/>
          <w:szCs w:val="24"/>
          <w:lang w:val="en-US"/>
        </w:rPr>
        <w:t>Robust Promin</w:t>
      </w:r>
      <w:r w:rsidRPr="00675067">
        <w:rPr>
          <w:sz w:val="24"/>
          <w:szCs w:val="24"/>
          <w:lang w:val="en-US"/>
        </w:rPr>
        <w:t xml:space="preserve">: </w:t>
      </w:r>
      <w:r w:rsidRPr="00675067">
        <w:rPr>
          <w:i/>
          <w:sz w:val="24"/>
          <w:szCs w:val="24"/>
          <w:lang w:val="en-US"/>
        </w:rPr>
        <w:t>a method for diagonally weighted factor rotation</w:t>
      </w:r>
      <w:r w:rsidRPr="00675067">
        <w:rPr>
          <w:sz w:val="24"/>
          <w:szCs w:val="24"/>
          <w:lang w:val="en-US"/>
        </w:rPr>
        <w:t>. Technical report, URV. Tarragona, Spain.</w:t>
      </w:r>
      <w:hyperlink r:id="rId25">
        <w:r w:rsidRPr="00675067">
          <w:rPr>
            <w:color w:val="1155CC"/>
            <w:sz w:val="24"/>
            <w:szCs w:val="24"/>
            <w:lang w:val="en-US"/>
          </w:rPr>
          <w:t xml:space="preserve"> </w:t>
        </w:r>
      </w:hyperlink>
      <w:hyperlink r:id="rId26">
        <w:r w:rsidRPr="00675067">
          <w:rPr>
            <w:color w:val="1155CC"/>
            <w:sz w:val="24"/>
            <w:szCs w:val="24"/>
            <w:u w:val="single"/>
            <w:lang w:val="en-US"/>
          </w:rPr>
          <w:t>https://doi.org/https://doi.org/10.24265/liberabit.2019.v25n1.08</w:t>
        </w:r>
      </w:hyperlink>
    </w:p>
    <w:p w14:paraId="00000150" w14:textId="77777777" w:rsidR="00791ABD" w:rsidRDefault="00227A77" w:rsidP="00F003BF">
      <w:pPr>
        <w:spacing w:before="30" w:after="30" w:line="480" w:lineRule="auto"/>
        <w:ind w:firstLine="720"/>
        <w:rPr>
          <w:color w:val="1155CC"/>
          <w:sz w:val="24"/>
          <w:szCs w:val="24"/>
          <w:u w:val="single"/>
        </w:rPr>
      </w:pPr>
      <w:r w:rsidRPr="00675067">
        <w:rPr>
          <w:sz w:val="24"/>
          <w:szCs w:val="24"/>
          <w:lang w:val="es-ES_tradnl"/>
        </w:rPr>
        <w:t xml:space="preserve">Miranda, G. F., &amp; Villarroel, M. A. C. U. (2020). </w:t>
      </w:r>
      <w:r>
        <w:rPr>
          <w:sz w:val="24"/>
          <w:szCs w:val="24"/>
        </w:rPr>
        <w:t xml:space="preserve">As representações sociais das </w:t>
      </w:r>
      <w:proofErr w:type="spellStart"/>
      <w:r>
        <w:rPr>
          <w:sz w:val="24"/>
          <w:szCs w:val="24"/>
        </w:rPr>
        <w:t>homolesbotransfobias</w:t>
      </w:r>
      <w:proofErr w:type="spellEnd"/>
      <w:r>
        <w:rPr>
          <w:sz w:val="24"/>
          <w:szCs w:val="24"/>
        </w:rPr>
        <w:t xml:space="preserve"> sob a perspectiva das juventudes: o contexto escolar em ação. </w:t>
      </w:r>
      <w:r>
        <w:rPr>
          <w:i/>
          <w:sz w:val="24"/>
          <w:szCs w:val="24"/>
        </w:rPr>
        <w:t>Pesquisa e Ensino</w:t>
      </w:r>
      <w:r>
        <w:rPr>
          <w:sz w:val="24"/>
          <w:szCs w:val="24"/>
        </w:rPr>
        <w:t xml:space="preserve">, </w:t>
      </w:r>
      <w:r>
        <w:rPr>
          <w:i/>
          <w:sz w:val="24"/>
          <w:szCs w:val="24"/>
        </w:rPr>
        <w:t>1</w:t>
      </w:r>
      <w:r>
        <w:rPr>
          <w:sz w:val="24"/>
          <w:szCs w:val="24"/>
        </w:rPr>
        <w:t>(e202013), 1–26.</w:t>
      </w:r>
      <w:hyperlink r:id="rId27">
        <w:r>
          <w:rPr>
            <w:color w:val="1155CC"/>
            <w:sz w:val="24"/>
            <w:szCs w:val="24"/>
          </w:rPr>
          <w:t xml:space="preserve"> </w:t>
        </w:r>
      </w:hyperlink>
      <w:hyperlink r:id="rId28">
        <w:r>
          <w:rPr>
            <w:color w:val="1155CC"/>
            <w:sz w:val="24"/>
            <w:szCs w:val="24"/>
            <w:u w:val="single"/>
          </w:rPr>
          <w:t>https://doi.org/10.37853/pqe.e202013</w:t>
        </w:r>
      </w:hyperlink>
    </w:p>
    <w:p w14:paraId="00000151" w14:textId="77777777" w:rsidR="00791ABD" w:rsidRDefault="00227A77" w:rsidP="00F003BF">
      <w:pPr>
        <w:spacing w:before="30" w:after="30" w:line="480" w:lineRule="auto"/>
        <w:ind w:firstLine="720"/>
        <w:rPr>
          <w:color w:val="1155CC"/>
          <w:sz w:val="24"/>
          <w:szCs w:val="24"/>
          <w:u w:val="single"/>
        </w:rPr>
      </w:pPr>
      <w:r>
        <w:rPr>
          <w:sz w:val="24"/>
          <w:szCs w:val="24"/>
        </w:rPr>
        <w:t xml:space="preserve">Moretti-Pires, R. O., </w:t>
      </w:r>
      <w:proofErr w:type="spellStart"/>
      <w:r>
        <w:rPr>
          <w:sz w:val="24"/>
          <w:szCs w:val="24"/>
        </w:rPr>
        <w:t>Guadagnin</w:t>
      </w:r>
      <w:proofErr w:type="spellEnd"/>
      <w:r>
        <w:rPr>
          <w:sz w:val="24"/>
          <w:szCs w:val="24"/>
        </w:rPr>
        <w:t xml:space="preserve">, L. I., </w:t>
      </w:r>
      <w:proofErr w:type="spellStart"/>
      <w:r>
        <w:rPr>
          <w:sz w:val="24"/>
          <w:szCs w:val="24"/>
        </w:rPr>
        <w:t>Tesser</w:t>
      </w:r>
      <w:proofErr w:type="spellEnd"/>
      <w:r>
        <w:rPr>
          <w:sz w:val="24"/>
          <w:szCs w:val="24"/>
        </w:rPr>
        <w:t xml:space="preserve">-Júnior, Z. C., Campos, D. A. de, &amp; </w:t>
      </w:r>
      <w:proofErr w:type="spellStart"/>
      <w:r>
        <w:rPr>
          <w:sz w:val="24"/>
          <w:szCs w:val="24"/>
        </w:rPr>
        <w:t>Turatti</w:t>
      </w:r>
      <w:proofErr w:type="spellEnd"/>
      <w:r>
        <w:rPr>
          <w:sz w:val="24"/>
          <w:szCs w:val="24"/>
        </w:rPr>
        <w:t>, B. O. (2019). Preconceito contra Diversidade Sexual e de Gênero entre Es</w:t>
      </w:r>
      <w:r>
        <w:rPr>
          <w:sz w:val="24"/>
          <w:szCs w:val="24"/>
        </w:rPr>
        <w:t xml:space="preserve">tudantes de Medicina de 1 ao 8 Semestre de um Curso da Região Sul do Brasil. </w:t>
      </w:r>
      <w:r>
        <w:rPr>
          <w:i/>
          <w:sz w:val="24"/>
          <w:szCs w:val="24"/>
        </w:rPr>
        <w:t>Revista Brasileira de Educação Médica</w:t>
      </w:r>
      <w:r>
        <w:rPr>
          <w:sz w:val="24"/>
          <w:szCs w:val="24"/>
        </w:rPr>
        <w:t xml:space="preserve">, </w:t>
      </w:r>
      <w:r>
        <w:rPr>
          <w:i/>
          <w:sz w:val="24"/>
          <w:szCs w:val="24"/>
        </w:rPr>
        <w:t>43</w:t>
      </w:r>
      <w:r>
        <w:rPr>
          <w:sz w:val="24"/>
          <w:szCs w:val="24"/>
        </w:rPr>
        <w:t>(1), 568–578.</w:t>
      </w:r>
      <w:hyperlink r:id="rId29">
        <w:r>
          <w:rPr>
            <w:color w:val="1155CC"/>
            <w:sz w:val="24"/>
            <w:szCs w:val="24"/>
          </w:rPr>
          <w:t xml:space="preserve"> </w:t>
        </w:r>
      </w:hyperlink>
      <w:hyperlink r:id="rId30">
        <w:r>
          <w:rPr>
            <w:color w:val="1155CC"/>
            <w:sz w:val="24"/>
            <w:szCs w:val="24"/>
            <w:u w:val="single"/>
          </w:rPr>
          <w:t>https://doi.org/10.1590/1981-5271v43suplemento1-20190076</w:t>
        </w:r>
      </w:hyperlink>
    </w:p>
    <w:p w14:paraId="00000152" w14:textId="77777777" w:rsidR="00791ABD" w:rsidRPr="00675067" w:rsidRDefault="00227A77" w:rsidP="00F003BF">
      <w:pPr>
        <w:spacing w:before="30" w:after="30" w:line="480" w:lineRule="auto"/>
        <w:ind w:firstLine="720"/>
        <w:rPr>
          <w:color w:val="222222"/>
          <w:sz w:val="24"/>
          <w:szCs w:val="24"/>
          <w:lang w:val="en-US"/>
        </w:rPr>
      </w:pPr>
      <w:r w:rsidRPr="00675067">
        <w:rPr>
          <w:color w:val="222222"/>
          <w:sz w:val="24"/>
          <w:szCs w:val="24"/>
          <w:lang w:val="en-US"/>
        </w:rPr>
        <w:lastRenderedPageBreak/>
        <w:t>Morrison, M. A., &amp; Morrison, T. G. (2002). Development and validation of a scale measuring modern prejudice toward gay men and lesbian women. Journal of Homosexuality, 43(</w:t>
      </w:r>
      <w:r w:rsidRPr="00675067">
        <w:rPr>
          <w:color w:val="222222"/>
          <w:sz w:val="24"/>
          <w:szCs w:val="24"/>
          <w:lang w:val="en-US"/>
        </w:rPr>
        <w:t xml:space="preserve">2), 15-37. </w:t>
      </w:r>
      <w:hyperlink r:id="rId31">
        <w:proofErr w:type="spellStart"/>
        <w:r w:rsidRPr="00675067">
          <w:rPr>
            <w:color w:val="1155CC"/>
            <w:sz w:val="24"/>
            <w:szCs w:val="24"/>
            <w:highlight w:val="white"/>
            <w:u w:val="single"/>
            <w:lang w:val="en-US"/>
          </w:rPr>
          <w:t>doi</w:t>
        </w:r>
        <w:proofErr w:type="spellEnd"/>
        <w:r w:rsidRPr="00675067">
          <w:rPr>
            <w:color w:val="1155CC"/>
            <w:sz w:val="24"/>
            <w:szCs w:val="24"/>
            <w:highlight w:val="white"/>
            <w:u w:val="single"/>
            <w:lang w:val="en-US"/>
          </w:rPr>
          <w:t>: 10.1300/j082v43n02_02.</w:t>
        </w:r>
      </w:hyperlink>
    </w:p>
    <w:p w14:paraId="00000153" w14:textId="77777777" w:rsidR="00791ABD" w:rsidRDefault="00227A77" w:rsidP="00F003BF">
      <w:pPr>
        <w:spacing w:before="30" w:after="30" w:line="480" w:lineRule="auto"/>
        <w:ind w:firstLine="720"/>
        <w:rPr>
          <w:color w:val="1155CC"/>
          <w:sz w:val="24"/>
          <w:szCs w:val="24"/>
          <w:u w:val="single"/>
        </w:rPr>
      </w:pPr>
      <w:proofErr w:type="spellStart"/>
      <w:r w:rsidRPr="00675067">
        <w:rPr>
          <w:sz w:val="24"/>
          <w:szCs w:val="24"/>
          <w:lang w:val="en-US"/>
        </w:rPr>
        <w:t>Organisation</w:t>
      </w:r>
      <w:proofErr w:type="spellEnd"/>
      <w:r w:rsidRPr="00675067">
        <w:rPr>
          <w:sz w:val="24"/>
          <w:szCs w:val="24"/>
          <w:lang w:val="en-US"/>
        </w:rPr>
        <w:t xml:space="preserve"> for Economic Co-operation and Development (OECD). (2019). The LGBT challenge: How to better include sexual and gender minorities? In </w:t>
      </w:r>
      <w:r w:rsidRPr="00675067">
        <w:rPr>
          <w:i/>
          <w:sz w:val="24"/>
          <w:szCs w:val="24"/>
          <w:lang w:val="en-US"/>
        </w:rPr>
        <w:t xml:space="preserve">Society </w:t>
      </w:r>
      <w:proofErr w:type="gramStart"/>
      <w:r w:rsidRPr="00675067">
        <w:rPr>
          <w:i/>
          <w:sz w:val="24"/>
          <w:szCs w:val="24"/>
          <w:lang w:val="en-US"/>
        </w:rPr>
        <w:t>at</w:t>
      </w:r>
      <w:r w:rsidRPr="00675067">
        <w:rPr>
          <w:i/>
          <w:sz w:val="24"/>
          <w:szCs w:val="24"/>
          <w:lang w:val="en-US"/>
        </w:rPr>
        <w:t xml:space="preserve"> a Glance</w:t>
      </w:r>
      <w:proofErr w:type="gramEnd"/>
      <w:r w:rsidRPr="00675067">
        <w:rPr>
          <w:i/>
          <w:sz w:val="24"/>
          <w:szCs w:val="24"/>
          <w:lang w:val="en-US"/>
        </w:rPr>
        <w:t xml:space="preserve"> 2019: OECD Social Indicators</w:t>
      </w:r>
      <w:r w:rsidRPr="00675067">
        <w:rPr>
          <w:sz w:val="24"/>
          <w:szCs w:val="24"/>
          <w:lang w:val="en-US"/>
        </w:rPr>
        <w:t>. OECD Publishing.</w:t>
      </w:r>
      <w:hyperlink r:id="rId32">
        <w:r w:rsidRPr="00675067">
          <w:rPr>
            <w:color w:val="1155CC"/>
            <w:sz w:val="24"/>
            <w:szCs w:val="24"/>
            <w:lang w:val="en-US"/>
          </w:rPr>
          <w:t xml:space="preserve"> </w:t>
        </w:r>
      </w:hyperlink>
      <w:hyperlink r:id="rId33">
        <w:r>
          <w:rPr>
            <w:color w:val="0563C1"/>
            <w:sz w:val="24"/>
            <w:szCs w:val="24"/>
            <w:u w:val="single"/>
          </w:rPr>
          <w:t>https://doi.org/10.1787/c64c3d3f-en</w:t>
        </w:r>
      </w:hyperlink>
    </w:p>
    <w:p w14:paraId="00000154" w14:textId="77777777" w:rsidR="00791ABD" w:rsidRPr="00675067" w:rsidRDefault="00227A77" w:rsidP="00F003BF">
      <w:pPr>
        <w:spacing w:before="30" w:after="30" w:line="480" w:lineRule="auto"/>
        <w:ind w:firstLine="720"/>
        <w:rPr>
          <w:color w:val="1155CC"/>
          <w:sz w:val="24"/>
          <w:szCs w:val="24"/>
          <w:u w:val="single"/>
          <w:lang w:val="en-US"/>
        </w:rPr>
      </w:pPr>
      <w:proofErr w:type="spellStart"/>
      <w:r>
        <w:rPr>
          <w:sz w:val="24"/>
          <w:szCs w:val="24"/>
        </w:rPr>
        <w:t>Portalino</w:t>
      </w:r>
      <w:proofErr w:type="spellEnd"/>
      <w:r>
        <w:rPr>
          <w:sz w:val="24"/>
          <w:szCs w:val="24"/>
        </w:rPr>
        <w:t xml:space="preserve">, E. A. (2017). </w:t>
      </w:r>
      <w:proofErr w:type="spellStart"/>
      <w:r>
        <w:rPr>
          <w:i/>
          <w:sz w:val="24"/>
          <w:szCs w:val="24"/>
        </w:rPr>
        <w:t>Prejuicio</w:t>
      </w:r>
      <w:proofErr w:type="spellEnd"/>
      <w:r>
        <w:rPr>
          <w:i/>
          <w:sz w:val="24"/>
          <w:szCs w:val="24"/>
        </w:rPr>
        <w:t xml:space="preserve"> con</w:t>
      </w:r>
      <w:r>
        <w:rPr>
          <w:i/>
          <w:sz w:val="24"/>
          <w:szCs w:val="24"/>
        </w:rPr>
        <w:t xml:space="preserve">tra </w:t>
      </w:r>
      <w:proofErr w:type="spellStart"/>
      <w:r>
        <w:rPr>
          <w:i/>
          <w:sz w:val="24"/>
          <w:szCs w:val="24"/>
        </w:rPr>
        <w:t>diversidad</w:t>
      </w:r>
      <w:proofErr w:type="spellEnd"/>
      <w:r>
        <w:rPr>
          <w:i/>
          <w:sz w:val="24"/>
          <w:szCs w:val="24"/>
        </w:rPr>
        <w:t xml:space="preserve"> sexual y de gênero em </w:t>
      </w:r>
      <w:proofErr w:type="spellStart"/>
      <w:r>
        <w:rPr>
          <w:i/>
          <w:sz w:val="24"/>
          <w:szCs w:val="24"/>
        </w:rPr>
        <w:t>estudiantes</w:t>
      </w:r>
      <w:proofErr w:type="spellEnd"/>
      <w:r>
        <w:rPr>
          <w:i/>
          <w:sz w:val="24"/>
          <w:szCs w:val="24"/>
        </w:rPr>
        <w:t xml:space="preserve"> </w:t>
      </w:r>
      <w:proofErr w:type="spellStart"/>
      <w:r>
        <w:rPr>
          <w:i/>
          <w:sz w:val="24"/>
          <w:szCs w:val="24"/>
        </w:rPr>
        <w:t>universitarios</w:t>
      </w:r>
      <w:proofErr w:type="spellEnd"/>
      <w:r>
        <w:rPr>
          <w:i/>
          <w:sz w:val="24"/>
          <w:szCs w:val="24"/>
        </w:rPr>
        <w:t xml:space="preserve"> de Lima</w:t>
      </w:r>
      <w:r>
        <w:rPr>
          <w:sz w:val="24"/>
          <w:szCs w:val="24"/>
        </w:rPr>
        <w:t xml:space="preserve">. Universidade Federal do Rio Grande do Sul. </w:t>
      </w:r>
      <w:r w:rsidRPr="00675067">
        <w:rPr>
          <w:sz w:val="24"/>
          <w:szCs w:val="24"/>
          <w:lang w:val="en-US"/>
        </w:rPr>
        <w:t xml:space="preserve">Retrieved from </w:t>
      </w:r>
      <w:hyperlink r:id="rId34">
        <w:r w:rsidRPr="00675067">
          <w:rPr>
            <w:color w:val="1155CC"/>
            <w:sz w:val="24"/>
            <w:szCs w:val="24"/>
            <w:u w:val="single"/>
            <w:lang w:val="en-US"/>
          </w:rPr>
          <w:t>https://www.lume.ufrgs.br/bitstream/handle/10183/183274/001078143.pdf?sequence=1&amp;isAllowed=y</w:t>
        </w:r>
      </w:hyperlink>
    </w:p>
    <w:p w14:paraId="00000155" w14:textId="77777777" w:rsidR="00791ABD" w:rsidRDefault="00227A77" w:rsidP="00F003BF">
      <w:pPr>
        <w:spacing w:before="30" w:after="30" w:line="480" w:lineRule="auto"/>
        <w:ind w:firstLine="720"/>
        <w:rPr>
          <w:sz w:val="24"/>
          <w:szCs w:val="24"/>
        </w:rPr>
      </w:pPr>
      <w:r>
        <w:rPr>
          <w:sz w:val="24"/>
          <w:szCs w:val="24"/>
        </w:rPr>
        <w:t xml:space="preserve">Presidência do Conselho de Ministros. (2018). </w:t>
      </w:r>
      <w:r>
        <w:rPr>
          <w:i/>
          <w:sz w:val="24"/>
          <w:szCs w:val="24"/>
        </w:rPr>
        <w:t>Resolução do Conselho de Ministros n.º 61/2018</w:t>
      </w:r>
      <w:r>
        <w:rPr>
          <w:sz w:val="24"/>
          <w:szCs w:val="24"/>
        </w:rPr>
        <w:t>. Diário da República, 1.ª série - n.º 97 - 21 de maio de 2018.</w:t>
      </w:r>
    </w:p>
    <w:p w14:paraId="00000156" w14:textId="77777777" w:rsidR="00791ABD" w:rsidRPr="00675067" w:rsidRDefault="00227A77" w:rsidP="00F003BF">
      <w:pPr>
        <w:spacing w:before="30" w:after="30" w:line="480" w:lineRule="auto"/>
        <w:ind w:firstLine="720"/>
        <w:rPr>
          <w:color w:val="1155CC"/>
          <w:sz w:val="24"/>
          <w:szCs w:val="24"/>
          <w:lang w:val="en-US"/>
        </w:rPr>
      </w:pPr>
      <w:r>
        <w:rPr>
          <w:sz w:val="24"/>
          <w:szCs w:val="24"/>
        </w:rPr>
        <w:t>Presidê</w:t>
      </w:r>
      <w:r>
        <w:rPr>
          <w:sz w:val="24"/>
          <w:szCs w:val="24"/>
        </w:rPr>
        <w:t xml:space="preserve">ncia do Conselho de Ministros. (2019). </w:t>
      </w:r>
      <w:r>
        <w:rPr>
          <w:i/>
          <w:sz w:val="24"/>
          <w:szCs w:val="24"/>
        </w:rPr>
        <w:t>Despacho n.º</w:t>
      </w:r>
      <w:r>
        <w:rPr>
          <w:sz w:val="24"/>
          <w:szCs w:val="24"/>
        </w:rPr>
        <w:t xml:space="preserve"> </w:t>
      </w:r>
      <w:r>
        <w:rPr>
          <w:i/>
          <w:sz w:val="24"/>
          <w:szCs w:val="24"/>
        </w:rPr>
        <w:t>7247/2019</w:t>
      </w:r>
      <w:r>
        <w:rPr>
          <w:sz w:val="24"/>
          <w:szCs w:val="24"/>
        </w:rPr>
        <w:t xml:space="preserve">. Diário da República, 2ª série - n.º 156/2019 – de 16 de agosto de 2019. </w:t>
      </w:r>
      <w:r w:rsidRPr="00675067">
        <w:rPr>
          <w:sz w:val="24"/>
          <w:szCs w:val="24"/>
          <w:lang w:val="en-US"/>
        </w:rPr>
        <w:t xml:space="preserve">Retrieved from </w:t>
      </w:r>
      <w:hyperlink r:id="rId35">
        <w:r w:rsidRPr="00675067">
          <w:rPr>
            <w:color w:val="1155CC"/>
            <w:sz w:val="24"/>
            <w:szCs w:val="24"/>
            <w:u w:val="single"/>
            <w:lang w:val="en-US"/>
          </w:rPr>
          <w:t>https://dre.pt/home/-/dre/1239621</w:t>
        </w:r>
        <w:r w:rsidRPr="00675067">
          <w:rPr>
            <w:color w:val="1155CC"/>
            <w:sz w:val="24"/>
            <w:szCs w:val="24"/>
            <w:u w:val="single"/>
            <w:lang w:val="en-US"/>
          </w:rPr>
          <w:t>65/details/maximized</w:t>
        </w:r>
      </w:hyperlink>
    </w:p>
    <w:p w14:paraId="00000157" w14:textId="77777777" w:rsidR="00791ABD" w:rsidRDefault="00227A77" w:rsidP="00F003BF">
      <w:pPr>
        <w:spacing w:before="30" w:after="30" w:line="480" w:lineRule="auto"/>
        <w:ind w:firstLine="720"/>
        <w:rPr>
          <w:color w:val="1155CC"/>
          <w:sz w:val="24"/>
          <w:szCs w:val="24"/>
          <w:u w:val="single"/>
        </w:rPr>
      </w:pPr>
      <w:r w:rsidRPr="00675067">
        <w:rPr>
          <w:color w:val="222222"/>
          <w:sz w:val="24"/>
          <w:szCs w:val="24"/>
          <w:lang w:val="en-US"/>
        </w:rPr>
        <w:t xml:space="preserve">Rich, A. (2010). </w:t>
      </w:r>
      <w:r>
        <w:rPr>
          <w:color w:val="222222"/>
          <w:sz w:val="24"/>
          <w:szCs w:val="24"/>
        </w:rPr>
        <w:t xml:space="preserve">Heterossexualidade compulsória e existência lésbica. </w:t>
      </w:r>
      <w:proofErr w:type="spellStart"/>
      <w:r>
        <w:rPr>
          <w:i/>
          <w:color w:val="222222"/>
          <w:sz w:val="24"/>
          <w:szCs w:val="24"/>
        </w:rPr>
        <w:t>Bagoas</w:t>
      </w:r>
      <w:proofErr w:type="spellEnd"/>
      <w:r>
        <w:rPr>
          <w:i/>
          <w:color w:val="222222"/>
          <w:sz w:val="24"/>
          <w:szCs w:val="24"/>
        </w:rPr>
        <w:t>-Estudos gays: gêneros e sexualidades</w:t>
      </w:r>
      <w:r>
        <w:rPr>
          <w:color w:val="222222"/>
          <w:sz w:val="24"/>
          <w:szCs w:val="24"/>
        </w:rPr>
        <w:t xml:space="preserve">, </w:t>
      </w:r>
      <w:r>
        <w:rPr>
          <w:i/>
          <w:color w:val="222222"/>
          <w:sz w:val="24"/>
          <w:szCs w:val="24"/>
        </w:rPr>
        <w:t>4</w:t>
      </w:r>
      <w:r>
        <w:rPr>
          <w:color w:val="222222"/>
          <w:sz w:val="24"/>
          <w:szCs w:val="24"/>
        </w:rPr>
        <w:t xml:space="preserve">(05). </w:t>
      </w:r>
      <w:proofErr w:type="spellStart"/>
      <w:r>
        <w:rPr>
          <w:sz w:val="24"/>
          <w:szCs w:val="24"/>
        </w:rPr>
        <w:t>Retrieved</w:t>
      </w:r>
      <w:proofErr w:type="spellEnd"/>
      <w:r>
        <w:rPr>
          <w:sz w:val="24"/>
          <w:szCs w:val="24"/>
        </w:rPr>
        <w:t xml:space="preserve"> </w:t>
      </w:r>
      <w:proofErr w:type="spellStart"/>
      <w:r>
        <w:rPr>
          <w:sz w:val="24"/>
          <w:szCs w:val="24"/>
        </w:rPr>
        <w:t>from</w:t>
      </w:r>
      <w:proofErr w:type="spellEnd"/>
      <w:r>
        <w:fldChar w:fldCharType="begin"/>
      </w:r>
      <w:r>
        <w:instrText xml:space="preserve"> HYPERLINK "about:blank" \h </w:instrText>
      </w:r>
      <w:r>
        <w:fldChar w:fldCharType="separate"/>
      </w:r>
      <w:r>
        <w:rPr>
          <w:color w:val="0563C1"/>
          <w:sz w:val="24"/>
          <w:szCs w:val="24"/>
          <w:u w:val="single"/>
        </w:rPr>
        <w:t xml:space="preserve"> </w:t>
      </w:r>
      <w:r>
        <w:rPr>
          <w:color w:val="0563C1"/>
          <w:sz w:val="24"/>
          <w:szCs w:val="24"/>
          <w:u w:val="single"/>
        </w:rPr>
        <w:fldChar w:fldCharType="end"/>
      </w:r>
      <w:hyperlink r:id="rId36">
        <w:r>
          <w:rPr>
            <w:color w:val="222222"/>
            <w:sz w:val="24"/>
            <w:szCs w:val="24"/>
          </w:rPr>
          <w:t xml:space="preserve"> </w:t>
        </w:r>
      </w:hyperlink>
      <w:hyperlink r:id="rId37">
        <w:r>
          <w:rPr>
            <w:color w:val="1155CC"/>
            <w:sz w:val="24"/>
            <w:szCs w:val="24"/>
            <w:u w:val="single"/>
          </w:rPr>
          <w:t>https://periodicos.ufrn.br/bagoas/article/view/2309</w:t>
        </w:r>
      </w:hyperlink>
    </w:p>
    <w:p w14:paraId="00000158" w14:textId="77777777" w:rsidR="00791ABD" w:rsidRDefault="00227A77" w:rsidP="00F003BF">
      <w:pPr>
        <w:pBdr>
          <w:top w:val="nil"/>
          <w:left w:val="nil"/>
          <w:bottom w:val="nil"/>
          <w:right w:val="nil"/>
          <w:between w:val="nil"/>
        </w:pBdr>
        <w:spacing w:before="30" w:after="30" w:line="480" w:lineRule="auto"/>
        <w:ind w:firstLine="720"/>
        <w:rPr>
          <w:color w:val="000000"/>
          <w:sz w:val="24"/>
          <w:szCs w:val="24"/>
        </w:rPr>
      </w:pPr>
      <w:r>
        <w:rPr>
          <w:color w:val="000000"/>
          <w:sz w:val="24"/>
          <w:szCs w:val="24"/>
        </w:rPr>
        <w:t xml:space="preserve">Rodrigues, L., Grave, R., de Oliveira, J. M., &amp; Nogueira, C. (2016). </w:t>
      </w:r>
      <w:r w:rsidRPr="00675067">
        <w:rPr>
          <w:color w:val="000000"/>
          <w:sz w:val="24"/>
          <w:szCs w:val="24"/>
          <w:lang w:val="en-US"/>
        </w:rPr>
        <w:t>Study on homophobic bullying in Portugal using Multiple Cor</w:t>
      </w:r>
      <w:r w:rsidRPr="00675067">
        <w:rPr>
          <w:color w:val="000000"/>
          <w:sz w:val="24"/>
          <w:szCs w:val="24"/>
          <w:lang w:val="en-US"/>
        </w:rPr>
        <w:t xml:space="preserve">respondence Analysis (MCA). </w:t>
      </w:r>
      <w:r>
        <w:rPr>
          <w:i/>
          <w:color w:val="000000"/>
          <w:sz w:val="24"/>
          <w:szCs w:val="24"/>
        </w:rPr>
        <w:t xml:space="preserve">Revista </w:t>
      </w:r>
      <w:proofErr w:type="spellStart"/>
      <w:r>
        <w:rPr>
          <w:i/>
          <w:color w:val="000000"/>
          <w:sz w:val="24"/>
          <w:szCs w:val="24"/>
        </w:rPr>
        <w:t>Latinoamericana</w:t>
      </w:r>
      <w:proofErr w:type="spellEnd"/>
      <w:r>
        <w:rPr>
          <w:i/>
          <w:color w:val="000000"/>
          <w:sz w:val="24"/>
          <w:szCs w:val="24"/>
        </w:rPr>
        <w:t xml:space="preserve"> de </w:t>
      </w:r>
      <w:proofErr w:type="spellStart"/>
      <w:r>
        <w:rPr>
          <w:i/>
          <w:color w:val="000000"/>
          <w:sz w:val="24"/>
          <w:szCs w:val="24"/>
        </w:rPr>
        <w:t>Psicología</w:t>
      </w:r>
      <w:proofErr w:type="spellEnd"/>
      <w:r>
        <w:rPr>
          <w:i/>
          <w:color w:val="000000"/>
          <w:sz w:val="24"/>
          <w:szCs w:val="24"/>
        </w:rPr>
        <w:t>, 48</w:t>
      </w:r>
      <w:r>
        <w:rPr>
          <w:color w:val="000000"/>
          <w:sz w:val="24"/>
          <w:szCs w:val="24"/>
        </w:rPr>
        <w:t>(3), 191-200.</w:t>
      </w:r>
      <w:hyperlink r:id="rId38">
        <w:r>
          <w:rPr>
            <w:color w:val="000000"/>
            <w:sz w:val="24"/>
            <w:szCs w:val="24"/>
            <w:u w:val="single"/>
          </w:rPr>
          <w:t xml:space="preserve"> </w:t>
        </w:r>
      </w:hyperlink>
      <w:hyperlink r:id="rId39">
        <w:r>
          <w:rPr>
            <w:color w:val="1155CC"/>
            <w:sz w:val="24"/>
            <w:szCs w:val="24"/>
            <w:u w:val="single"/>
          </w:rPr>
          <w:t>https://doi.org/10.1016/j.rlp.2016.04.001</w:t>
        </w:r>
      </w:hyperlink>
    </w:p>
    <w:p w14:paraId="00000159" w14:textId="77777777" w:rsidR="00791ABD" w:rsidRDefault="00227A77" w:rsidP="00F003BF">
      <w:pPr>
        <w:spacing w:before="30" w:after="30" w:line="480" w:lineRule="auto"/>
        <w:ind w:firstLine="720"/>
        <w:rPr>
          <w:sz w:val="24"/>
          <w:szCs w:val="24"/>
        </w:rPr>
      </w:pPr>
      <w:r>
        <w:rPr>
          <w:sz w:val="24"/>
          <w:szCs w:val="24"/>
        </w:rPr>
        <w:t xml:space="preserve">Santos, L. (2017). Diversidade Sexual e Homofobia na Escola: Posicionamentos de professoras e professores do ensino básico. </w:t>
      </w:r>
      <w:proofErr w:type="spellStart"/>
      <w:r>
        <w:rPr>
          <w:i/>
          <w:sz w:val="24"/>
          <w:szCs w:val="24"/>
        </w:rPr>
        <w:t>Itinerariuns</w:t>
      </w:r>
      <w:proofErr w:type="spellEnd"/>
      <w:r>
        <w:rPr>
          <w:i/>
          <w:sz w:val="24"/>
          <w:szCs w:val="24"/>
        </w:rPr>
        <w:t xml:space="preserve"> </w:t>
      </w:r>
      <w:proofErr w:type="spellStart"/>
      <w:r>
        <w:rPr>
          <w:i/>
          <w:sz w:val="24"/>
          <w:szCs w:val="24"/>
        </w:rPr>
        <w:t>Reflectionis</w:t>
      </w:r>
      <w:proofErr w:type="spellEnd"/>
      <w:r>
        <w:rPr>
          <w:sz w:val="24"/>
          <w:szCs w:val="24"/>
        </w:rPr>
        <w:t xml:space="preserve">. </w:t>
      </w:r>
      <w:r>
        <w:rPr>
          <w:i/>
          <w:sz w:val="24"/>
          <w:szCs w:val="24"/>
        </w:rPr>
        <w:t>13</w:t>
      </w:r>
      <w:r>
        <w:rPr>
          <w:sz w:val="24"/>
          <w:szCs w:val="24"/>
        </w:rPr>
        <w:t>(2</w:t>
      </w:r>
      <w:r>
        <w:rPr>
          <w:sz w:val="24"/>
          <w:szCs w:val="24"/>
        </w:rPr>
        <w:t>), 1-22.</w:t>
      </w:r>
    </w:p>
    <w:p w14:paraId="0000015A" w14:textId="77777777" w:rsidR="00791ABD" w:rsidRDefault="00227A77" w:rsidP="00F003BF">
      <w:pPr>
        <w:spacing w:before="30" w:after="30" w:line="480" w:lineRule="auto"/>
        <w:rPr>
          <w:color w:val="1155CC"/>
          <w:sz w:val="24"/>
          <w:szCs w:val="24"/>
          <w:u w:val="single"/>
        </w:rPr>
      </w:pPr>
      <w:r>
        <w:rPr>
          <w:sz w:val="24"/>
          <w:szCs w:val="24"/>
        </w:rPr>
        <w:t xml:space="preserve"> </w:t>
      </w:r>
      <w:hyperlink r:id="rId40">
        <w:r>
          <w:rPr>
            <w:color w:val="1155CC"/>
            <w:sz w:val="24"/>
            <w:szCs w:val="24"/>
            <w:u w:val="single"/>
          </w:rPr>
          <w:t>https://doi.org/10.5216/rir.v13i2.46785</w:t>
        </w:r>
      </w:hyperlink>
    </w:p>
    <w:p w14:paraId="0000015B" w14:textId="77777777" w:rsidR="00791ABD" w:rsidRPr="00675067" w:rsidRDefault="00227A77" w:rsidP="00F003BF">
      <w:pPr>
        <w:spacing w:before="30" w:after="30" w:line="480" w:lineRule="auto"/>
        <w:ind w:firstLine="720"/>
        <w:rPr>
          <w:color w:val="1155CC"/>
          <w:sz w:val="24"/>
          <w:szCs w:val="24"/>
          <w:u w:val="single"/>
          <w:lang w:val="en-US"/>
        </w:rPr>
      </w:pPr>
      <w:proofErr w:type="spellStart"/>
      <w:r>
        <w:rPr>
          <w:sz w:val="24"/>
          <w:szCs w:val="24"/>
        </w:rPr>
        <w:lastRenderedPageBreak/>
        <w:t>Shingala</w:t>
      </w:r>
      <w:proofErr w:type="spellEnd"/>
      <w:r>
        <w:rPr>
          <w:sz w:val="24"/>
          <w:szCs w:val="24"/>
        </w:rPr>
        <w:t xml:space="preserve">, M. C., &amp; </w:t>
      </w:r>
      <w:proofErr w:type="spellStart"/>
      <w:r>
        <w:rPr>
          <w:sz w:val="24"/>
          <w:szCs w:val="24"/>
        </w:rPr>
        <w:t>Rajyaguru</w:t>
      </w:r>
      <w:proofErr w:type="spellEnd"/>
      <w:r>
        <w:rPr>
          <w:sz w:val="24"/>
          <w:szCs w:val="24"/>
        </w:rPr>
        <w:t xml:space="preserve">, A. (2015). </w:t>
      </w:r>
      <w:r w:rsidRPr="00675067">
        <w:rPr>
          <w:sz w:val="24"/>
          <w:szCs w:val="24"/>
          <w:lang w:val="en-US"/>
        </w:rPr>
        <w:t xml:space="preserve">Comparison of post hoc tests for unequal variance. </w:t>
      </w:r>
      <w:r w:rsidRPr="00675067">
        <w:rPr>
          <w:i/>
          <w:sz w:val="24"/>
          <w:szCs w:val="24"/>
          <w:lang w:val="en-US"/>
        </w:rPr>
        <w:t>International Journal of New Technologies in Science an</w:t>
      </w:r>
      <w:r w:rsidRPr="00675067">
        <w:rPr>
          <w:i/>
          <w:sz w:val="24"/>
          <w:szCs w:val="24"/>
          <w:lang w:val="en-US"/>
        </w:rPr>
        <w:t>d Engineering, 2</w:t>
      </w:r>
      <w:r w:rsidRPr="00675067">
        <w:rPr>
          <w:sz w:val="24"/>
          <w:szCs w:val="24"/>
          <w:lang w:val="en-US"/>
        </w:rPr>
        <w:t>(5), 22-33. Retrieved from</w:t>
      </w:r>
      <w:hyperlink r:id="rId41">
        <w:r w:rsidRPr="00675067">
          <w:rPr>
            <w:color w:val="1155CC"/>
            <w:sz w:val="24"/>
            <w:szCs w:val="24"/>
            <w:lang w:val="en-US"/>
          </w:rPr>
          <w:t xml:space="preserve"> </w:t>
        </w:r>
      </w:hyperlink>
      <w:hyperlink r:id="rId42">
        <w:r w:rsidRPr="00675067">
          <w:rPr>
            <w:color w:val="1155CC"/>
            <w:sz w:val="24"/>
            <w:szCs w:val="24"/>
            <w:u w:val="single"/>
            <w:lang w:val="en-US"/>
          </w:rPr>
          <w:t>http://www.ijntse.com/upload/1447070311130.pdf</w:t>
        </w:r>
      </w:hyperlink>
    </w:p>
    <w:p w14:paraId="0000015C" w14:textId="77777777" w:rsidR="00791ABD" w:rsidRDefault="00227A77" w:rsidP="00F003BF">
      <w:pPr>
        <w:spacing w:before="30" w:after="30" w:line="480" w:lineRule="auto"/>
        <w:ind w:firstLine="720"/>
        <w:rPr>
          <w:color w:val="4472C4"/>
          <w:sz w:val="24"/>
          <w:szCs w:val="24"/>
          <w:u w:val="single"/>
        </w:rPr>
      </w:pPr>
      <w:r>
        <w:rPr>
          <w:sz w:val="24"/>
          <w:szCs w:val="24"/>
        </w:rPr>
        <w:t xml:space="preserve">Sousa, R., Castilho, P., Vieira, C., Vagos, P., &amp; Rijo, D. (2017). </w:t>
      </w:r>
      <w:r w:rsidRPr="00675067">
        <w:rPr>
          <w:sz w:val="24"/>
          <w:szCs w:val="24"/>
          <w:lang w:val="en-US"/>
        </w:rPr>
        <w:t xml:space="preserve">Dimensionality and gender-based measurement invariance of the Compassion Scale in a community sample. </w:t>
      </w:r>
      <w:proofErr w:type="spellStart"/>
      <w:r>
        <w:rPr>
          <w:i/>
          <w:sz w:val="24"/>
          <w:szCs w:val="24"/>
        </w:rPr>
        <w:t>Personality</w:t>
      </w:r>
      <w:proofErr w:type="spellEnd"/>
      <w:r>
        <w:rPr>
          <w:i/>
          <w:sz w:val="24"/>
          <w:szCs w:val="24"/>
        </w:rPr>
        <w:t xml:space="preserve"> </w:t>
      </w:r>
      <w:proofErr w:type="spellStart"/>
      <w:r>
        <w:rPr>
          <w:i/>
          <w:sz w:val="24"/>
          <w:szCs w:val="24"/>
        </w:rPr>
        <w:t>and</w:t>
      </w:r>
      <w:proofErr w:type="spellEnd"/>
      <w:r>
        <w:rPr>
          <w:i/>
          <w:sz w:val="24"/>
          <w:szCs w:val="24"/>
        </w:rPr>
        <w:t xml:space="preserve"> Individual </w:t>
      </w:r>
      <w:proofErr w:type="spellStart"/>
      <w:r>
        <w:rPr>
          <w:i/>
          <w:sz w:val="24"/>
          <w:szCs w:val="24"/>
        </w:rPr>
        <w:t>Differences</w:t>
      </w:r>
      <w:proofErr w:type="spellEnd"/>
      <w:r>
        <w:rPr>
          <w:sz w:val="24"/>
          <w:szCs w:val="24"/>
        </w:rPr>
        <w:t xml:space="preserve">, </w:t>
      </w:r>
      <w:r>
        <w:rPr>
          <w:sz w:val="24"/>
          <w:szCs w:val="24"/>
        </w:rPr>
        <w:t>117, 182-187.</w:t>
      </w:r>
      <w:hyperlink r:id="rId43">
        <w:r>
          <w:rPr>
            <w:color w:val="1155CC"/>
            <w:sz w:val="24"/>
            <w:szCs w:val="24"/>
          </w:rPr>
          <w:t xml:space="preserve"> </w:t>
        </w:r>
      </w:hyperlink>
      <w:hyperlink r:id="rId44">
        <w:r>
          <w:rPr>
            <w:color w:val="4472C4"/>
            <w:sz w:val="24"/>
            <w:szCs w:val="24"/>
            <w:u w:val="single"/>
          </w:rPr>
          <w:t>https://doi.org/10.1016/j.paid.2017.06.003</w:t>
        </w:r>
      </w:hyperlink>
    </w:p>
    <w:p w14:paraId="0000015D" w14:textId="77777777" w:rsidR="00791ABD" w:rsidRDefault="00227A77" w:rsidP="00F003BF">
      <w:pPr>
        <w:spacing w:before="30" w:after="30" w:line="480" w:lineRule="auto"/>
        <w:ind w:firstLine="720"/>
        <w:rPr>
          <w:sz w:val="24"/>
          <w:szCs w:val="24"/>
        </w:rPr>
      </w:pPr>
      <w:r>
        <w:rPr>
          <w:sz w:val="24"/>
          <w:szCs w:val="24"/>
        </w:rPr>
        <w:t xml:space="preserve">Sousa, K. O. (2017). </w:t>
      </w:r>
      <w:r>
        <w:rPr>
          <w:i/>
          <w:sz w:val="24"/>
          <w:szCs w:val="24"/>
        </w:rPr>
        <w:t>Programa de habilidades sociais na escola: Uma forma d</w:t>
      </w:r>
      <w:r>
        <w:rPr>
          <w:i/>
          <w:sz w:val="24"/>
          <w:szCs w:val="24"/>
        </w:rPr>
        <w:t>e combate ao preconceito contra a diversidade sexual</w:t>
      </w:r>
      <w:r>
        <w:rPr>
          <w:sz w:val="24"/>
          <w:szCs w:val="24"/>
        </w:rPr>
        <w:t>. Dissertação (Mestrado em Psicologia). Universidade Federal do Sergipe.</w:t>
      </w:r>
    </w:p>
    <w:p w14:paraId="0000015E" w14:textId="77777777" w:rsidR="00791ABD" w:rsidRDefault="00227A77" w:rsidP="00F003BF">
      <w:pPr>
        <w:spacing w:before="30" w:after="30" w:line="480" w:lineRule="auto"/>
        <w:ind w:firstLine="720"/>
        <w:rPr>
          <w:sz w:val="24"/>
          <w:szCs w:val="24"/>
        </w:rPr>
      </w:pPr>
      <w:r>
        <w:rPr>
          <w:sz w:val="24"/>
          <w:szCs w:val="24"/>
        </w:rPr>
        <w:t>Souza, E., &amp; Silva, J. (2016). Diversidade sexual e homofobia na escola: (</w:t>
      </w:r>
      <w:proofErr w:type="spellStart"/>
      <w:r>
        <w:rPr>
          <w:sz w:val="24"/>
          <w:szCs w:val="24"/>
        </w:rPr>
        <w:t>des</w:t>
      </w:r>
      <w:proofErr w:type="spellEnd"/>
      <w:r>
        <w:rPr>
          <w:sz w:val="24"/>
          <w:szCs w:val="24"/>
        </w:rPr>
        <w:t xml:space="preserve">)conhecimento e vivências de docentes. </w:t>
      </w:r>
      <w:r>
        <w:rPr>
          <w:i/>
          <w:sz w:val="24"/>
          <w:szCs w:val="24"/>
        </w:rPr>
        <w:t>Revista Educaçã</w:t>
      </w:r>
      <w:r>
        <w:rPr>
          <w:i/>
          <w:sz w:val="24"/>
          <w:szCs w:val="24"/>
        </w:rPr>
        <w:t>o em Questão</w:t>
      </w:r>
      <w:r>
        <w:rPr>
          <w:sz w:val="24"/>
          <w:szCs w:val="24"/>
        </w:rPr>
        <w:t xml:space="preserve">, </w:t>
      </w:r>
      <w:r>
        <w:rPr>
          <w:i/>
          <w:sz w:val="24"/>
          <w:szCs w:val="24"/>
        </w:rPr>
        <w:t>54</w:t>
      </w:r>
      <w:r>
        <w:rPr>
          <w:sz w:val="24"/>
          <w:szCs w:val="24"/>
        </w:rPr>
        <w:t xml:space="preserve"> (41), p. 111-138.</w:t>
      </w:r>
    </w:p>
    <w:p w14:paraId="0000015F" w14:textId="77777777" w:rsidR="00791ABD" w:rsidRDefault="00227A77" w:rsidP="00F003BF">
      <w:pPr>
        <w:spacing w:before="30" w:after="30" w:line="480" w:lineRule="auto"/>
        <w:ind w:firstLine="720"/>
        <w:rPr>
          <w:sz w:val="24"/>
          <w:szCs w:val="24"/>
        </w:rPr>
      </w:pPr>
      <w:r>
        <w:rPr>
          <w:sz w:val="24"/>
          <w:szCs w:val="24"/>
        </w:rPr>
        <w:t xml:space="preserve">Souza, A., et al. (2016). </w:t>
      </w:r>
      <w:r>
        <w:rPr>
          <w:i/>
          <w:sz w:val="24"/>
          <w:szCs w:val="24"/>
        </w:rPr>
        <w:t>A Ideologia do Movimento Escola Sem Partido: 20 autores desmontam o discurso</w:t>
      </w:r>
      <w:r>
        <w:rPr>
          <w:sz w:val="24"/>
          <w:szCs w:val="24"/>
        </w:rPr>
        <w:t>. São Paulo: Editora Ação Educativa.</w:t>
      </w:r>
    </w:p>
    <w:p w14:paraId="00000160" w14:textId="77777777" w:rsidR="00791ABD" w:rsidRPr="00675067" w:rsidRDefault="00227A77" w:rsidP="00F003BF">
      <w:pPr>
        <w:spacing w:before="30" w:after="30" w:line="480" w:lineRule="auto"/>
        <w:ind w:firstLine="720"/>
        <w:rPr>
          <w:color w:val="1155CC"/>
          <w:sz w:val="24"/>
          <w:szCs w:val="24"/>
          <w:u w:val="single"/>
          <w:lang w:val="en-US"/>
        </w:rPr>
      </w:pPr>
      <w:r>
        <w:rPr>
          <w:sz w:val="24"/>
          <w:szCs w:val="24"/>
        </w:rPr>
        <w:t xml:space="preserve">Souza, E., Silva, J., &amp; Santos, C. (2015). Homofobia na Escola: As Representações </w:t>
      </w:r>
      <w:r>
        <w:rPr>
          <w:sz w:val="24"/>
          <w:szCs w:val="24"/>
        </w:rPr>
        <w:t xml:space="preserve">de Educadores/as. </w:t>
      </w:r>
      <w:r>
        <w:rPr>
          <w:i/>
          <w:sz w:val="24"/>
          <w:szCs w:val="24"/>
        </w:rPr>
        <w:t>Temas em Psicologia</w:t>
      </w:r>
      <w:r>
        <w:rPr>
          <w:sz w:val="24"/>
          <w:szCs w:val="24"/>
        </w:rPr>
        <w:t xml:space="preserve">, </w:t>
      </w:r>
      <w:r>
        <w:rPr>
          <w:i/>
          <w:sz w:val="24"/>
          <w:szCs w:val="24"/>
        </w:rPr>
        <w:t>23</w:t>
      </w:r>
      <w:r>
        <w:rPr>
          <w:sz w:val="24"/>
          <w:szCs w:val="24"/>
        </w:rPr>
        <w:t xml:space="preserve">(3), 635-647. </w:t>
      </w:r>
      <w:hyperlink r:id="rId45">
        <w:r>
          <w:rPr>
            <w:sz w:val="24"/>
            <w:szCs w:val="24"/>
          </w:rPr>
          <w:t xml:space="preserve"> </w:t>
        </w:r>
      </w:hyperlink>
      <w:hyperlink r:id="rId46">
        <w:r w:rsidRPr="00675067">
          <w:rPr>
            <w:color w:val="1155CC"/>
            <w:sz w:val="24"/>
            <w:szCs w:val="24"/>
            <w:u w:val="single"/>
            <w:lang w:val="en-US"/>
          </w:rPr>
          <w:t>http://dx.doi.org/10.9788/TP2015.3-09</w:t>
        </w:r>
      </w:hyperlink>
    </w:p>
    <w:p w14:paraId="00000161" w14:textId="77777777" w:rsidR="00791ABD" w:rsidRPr="00675067" w:rsidRDefault="00227A77" w:rsidP="00F003BF">
      <w:pPr>
        <w:spacing w:before="30" w:after="30" w:line="480" w:lineRule="auto"/>
        <w:ind w:firstLine="720"/>
        <w:rPr>
          <w:sz w:val="24"/>
          <w:szCs w:val="24"/>
          <w:lang w:val="en-US"/>
        </w:rPr>
      </w:pPr>
      <w:r w:rsidRPr="00675067">
        <w:rPr>
          <w:sz w:val="24"/>
          <w:szCs w:val="24"/>
          <w:lang w:val="en-US"/>
        </w:rPr>
        <w:t xml:space="preserve">Stewart-Brown, S. L. (2006). </w:t>
      </w:r>
      <w:r w:rsidRPr="00675067">
        <w:rPr>
          <w:i/>
          <w:sz w:val="24"/>
          <w:szCs w:val="24"/>
          <w:lang w:val="en-US"/>
        </w:rPr>
        <w:t>What is the evidenc</w:t>
      </w:r>
      <w:r w:rsidRPr="00675067">
        <w:rPr>
          <w:i/>
          <w:sz w:val="24"/>
          <w:szCs w:val="24"/>
          <w:lang w:val="en-US"/>
        </w:rPr>
        <w:t xml:space="preserve">e on school health promotion in improving health or preventing disease and, specifically what is the effectiveness of the health promoting schools </w:t>
      </w:r>
      <w:proofErr w:type="gramStart"/>
      <w:r w:rsidRPr="00675067">
        <w:rPr>
          <w:i/>
          <w:sz w:val="24"/>
          <w:szCs w:val="24"/>
          <w:lang w:val="en-US"/>
        </w:rPr>
        <w:t>approach.</w:t>
      </w:r>
      <w:proofErr w:type="gramEnd"/>
      <w:r w:rsidRPr="00675067">
        <w:rPr>
          <w:i/>
          <w:sz w:val="24"/>
          <w:szCs w:val="24"/>
          <w:lang w:val="en-US"/>
        </w:rPr>
        <w:t xml:space="preserve"> </w:t>
      </w:r>
      <w:r w:rsidRPr="00675067">
        <w:rPr>
          <w:sz w:val="24"/>
          <w:szCs w:val="24"/>
          <w:lang w:val="en-US"/>
        </w:rPr>
        <w:t>Copenhagen: WHO Regional Office for Europe’s Health Evidence Network.</w:t>
      </w:r>
    </w:p>
    <w:p w14:paraId="00000162" w14:textId="77777777" w:rsidR="00791ABD" w:rsidRDefault="00227A77" w:rsidP="00F003BF">
      <w:pPr>
        <w:spacing w:before="30" w:after="30" w:line="480" w:lineRule="auto"/>
        <w:ind w:firstLine="720"/>
        <w:rPr>
          <w:color w:val="1155CC"/>
          <w:sz w:val="24"/>
          <w:szCs w:val="24"/>
          <w:u w:val="single"/>
        </w:rPr>
      </w:pPr>
      <w:r w:rsidRPr="00675067">
        <w:rPr>
          <w:sz w:val="24"/>
          <w:szCs w:val="24"/>
          <w:lang w:val="en-US"/>
        </w:rPr>
        <w:t xml:space="preserve">Stucky, J. L., </w:t>
      </w:r>
      <w:proofErr w:type="spellStart"/>
      <w:r w:rsidRPr="00675067">
        <w:rPr>
          <w:sz w:val="24"/>
          <w:szCs w:val="24"/>
          <w:lang w:val="en-US"/>
        </w:rPr>
        <w:t>Dantas</w:t>
      </w:r>
      <w:proofErr w:type="spellEnd"/>
      <w:r w:rsidRPr="00675067">
        <w:rPr>
          <w:sz w:val="24"/>
          <w:szCs w:val="24"/>
          <w:lang w:val="en-US"/>
        </w:rPr>
        <w:t>, B. M.,</w:t>
      </w:r>
      <w:r w:rsidRPr="00675067">
        <w:rPr>
          <w:sz w:val="24"/>
          <w:szCs w:val="24"/>
          <w:lang w:val="en-US"/>
        </w:rPr>
        <w:t xml:space="preserve"> </w:t>
      </w:r>
      <w:proofErr w:type="spellStart"/>
      <w:r w:rsidRPr="00675067">
        <w:rPr>
          <w:sz w:val="24"/>
          <w:szCs w:val="24"/>
          <w:lang w:val="en-US"/>
        </w:rPr>
        <w:t>Pocahy</w:t>
      </w:r>
      <w:proofErr w:type="spellEnd"/>
      <w:r w:rsidRPr="00675067">
        <w:rPr>
          <w:sz w:val="24"/>
          <w:szCs w:val="24"/>
          <w:lang w:val="en-US"/>
        </w:rPr>
        <w:t xml:space="preserve">, F. A., de Queiroz Nogueira, P. H., </w:t>
      </w:r>
      <w:proofErr w:type="spellStart"/>
      <w:r w:rsidRPr="00675067">
        <w:rPr>
          <w:sz w:val="24"/>
          <w:szCs w:val="24"/>
          <w:lang w:val="en-US"/>
        </w:rPr>
        <w:t>Nardi</w:t>
      </w:r>
      <w:proofErr w:type="spellEnd"/>
      <w:r w:rsidRPr="00675067">
        <w:rPr>
          <w:sz w:val="24"/>
          <w:szCs w:val="24"/>
          <w:lang w:val="en-US"/>
        </w:rPr>
        <w:t xml:space="preserve">, H. C., &amp; Costa, A. B. (2020). Prejudice Against Gender and Sexual Diversity in Brazilian Public High Schools. </w:t>
      </w:r>
      <w:proofErr w:type="spellStart"/>
      <w:r>
        <w:rPr>
          <w:i/>
          <w:sz w:val="24"/>
          <w:szCs w:val="24"/>
        </w:rPr>
        <w:t>Sexuality</w:t>
      </w:r>
      <w:proofErr w:type="spellEnd"/>
      <w:r>
        <w:rPr>
          <w:i/>
          <w:sz w:val="24"/>
          <w:szCs w:val="24"/>
        </w:rPr>
        <w:t xml:space="preserve"> </w:t>
      </w:r>
      <w:proofErr w:type="spellStart"/>
      <w:r>
        <w:rPr>
          <w:i/>
          <w:sz w:val="24"/>
          <w:szCs w:val="24"/>
        </w:rPr>
        <w:t>Research</w:t>
      </w:r>
      <w:proofErr w:type="spellEnd"/>
      <w:r>
        <w:rPr>
          <w:i/>
          <w:sz w:val="24"/>
          <w:szCs w:val="24"/>
        </w:rPr>
        <w:t xml:space="preserve"> </w:t>
      </w:r>
      <w:proofErr w:type="spellStart"/>
      <w:r>
        <w:rPr>
          <w:i/>
          <w:sz w:val="24"/>
          <w:szCs w:val="24"/>
        </w:rPr>
        <w:t>and</w:t>
      </w:r>
      <w:proofErr w:type="spellEnd"/>
      <w:r>
        <w:rPr>
          <w:i/>
          <w:sz w:val="24"/>
          <w:szCs w:val="24"/>
        </w:rPr>
        <w:t xml:space="preserve"> Social </w:t>
      </w:r>
      <w:proofErr w:type="spellStart"/>
      <w:r>
        <w:rPr>
          <w:i/>
          <w:sz w:val="24"/>
          <w:szCs w:val="24"/>
        </w:rPr>
        <w:t>Policy</w:t>
      </w:r>
      <w:proofErr w:type="spellEnd"/>
      <w:r>
        <w:rPr>
          <w:sz w:val="24"/>
          <w:szCs w:val="24"/>
        </w:rPr>
        <w:t xml:space="preserve">, </w:t>
      </w:r>
      <w:r>
        <w:rPr>
          <w:i/>
          <w:sz w:val="24"/>
          <w:szCs w:val="24"/>
        </w:rPr>
        <w:t>17</w:t>
      </w:r>
      <w:r>
        <w:rPr>
          <w:sz w:val="24"/>
          <w:szCs w:val="24"/>
        </w:rPr>
        <w:t>, 429–441.</w:t>
      </w:r>
      <w:hyperlink r:id="rId47">
        <w:r>
          <w:rPr>
            <w:color w:val="1155CC"/>
            <w:sz w:val="24"/>
            <w:szCs w:val="24"/>
          </w:rPr>
          <w:t xml:space="preserve"> </w:t>
        </w:r>
      </w:hyperlink>
      <w:hyperlink r:id="rId48">
        <w:r>
          <w:rPr>
            <w:color w:val="1155CC"/>
            <w:sz w:val="24"/>
            <w:szCs w:val="24"/>
            <w:u w:val="single"/>
          </w:rPr>
          <w:t>https://doi.org/10.1007/s13178-019-00406-z</w:t>
        </w:r>
      </w:hyperlink>
    </w:p>
    <w:p w14:paraId="00000163" w14:textId="77777777" w:rsidR="00791ABD" w:rsidRPr="00675067" w:rsidRDefault="00227A77" w:rsidP="00F003BF">
      <w:pPr>
        <w:spacing w:before="30" w:after="30" w:line="480" w:lineRule="auto"/>
        <w:ind w:firstLine="720"/>
        <w:rPr>
          <w:sz w:val="24"/>
          <w:szCs w:val="24"/>
          <w:lang w:val="en-US"/>
        </w:rPr>
      </w:pPr>
      <w:r>
        <w:rPr>
          <w:sz w:val="24"/>
          <w:szCs w:val="24"/>
        </w:rPr>
        <w:lastRenderedPageBreak/>
        <w:t xml:space="preserve">Taylor, C., Peter, T., &amp; </w:t>
      </w:r>
      <w:proofErr w:type="spellStart"/>
      <w:r>
        <w:rPr>
          <w:sz w:val="24"/>
          <w:szCs w:val="24"/>
        </w:rPr>
        <w:t>Paquin</w:t>
      </w:r>
      <w:proofErr w:type="spellEnd"/>
      <w:r>
        <w:rPr>
          <w:sz w:val="24"/>
          <w:szCs w:val="24"/>
        </w:rPr>
        <w:t xml:space="preserve">, S. (2011). </w:t>
      </w:r>
      <w:r w:rsidRPr="00675067">
        <w:rPr>
          <w:sz w:val="24"/>
          <w:szCs w:val="24"/>
          <w:lang w:val="en-US"/>
        </w:rPr>
        <w:t xml:space="preserve">“School is not a safe place for anyone like me”: The first National Climate Survey on Homophobia in Canadian Schools. In D. </w:t>
      </w:r>
      <w:proofErr w:type="spellStart"/>
      <w:r w:rsidRPr="00675067">
        <w:rPr>
          <w:sz w:val="24"/>
          <w:szCs w:val="24"/>
          <w:lang w:val="en-US"/>
        </w:rPr>
        <w:t>Pepler</w:t>
      </w:r>
      <w:proofErr w:type="spellEnd"/>
      <w:r w:rsidRPr="00675067">
        <w:rPr>
          <w:sz w:val="24"/>
          <w:szCs w:val="24"/>
          <w:lang w:val="en-US"/>
        </w:rPr>
        <w:t xml:space="preserve">, J. Cummings, &amp; W. Craig (Eds.), </w:t>
      </w:r>
      <w:r w:rsidRPr="00675067">
        <w:rPr>
          <w:i/>
          <w:sz w:val="24"/>
          <w:szCs w:val="24"/>
          <w:lang w:val="en-US"/>
        </w:rPr>
        <w:t>Creating a world without bullying: Vol. 3</w:t>
      </w:r>
      <w:r w:rsidRPr="00675067">
        <w:rPr>
          <w:sz w:val="24"/>
          <w:szCs w:val="24"/>
          <w:lang w:val="en-US"/>
        </w:rPr>
        <w:t xml:space="preserve">. </w:t>
      </w:r>
      <w:proofErr w:type="spellStart"/>
      <w:r w:rsidRPr="00675067">
        <w:rPr>
          <w:sz w:val="24"/>
          <w:szCs w:val="24"/>
          <w:lang w:val="en-US"/>
        </w:rPr>
        <w:t>PREVN</w:t>
      </w:r>
      <w:r w:rsidRPr="00675067">
        <w:rPr>
          <w:sz w:val="24"/>
          <w:szCs w:val="24"/>
          <w:lang w:val="en-US"/>
        </w:rPr>
        <w:t>et</w:t>
      </w:r>
      <w:proofErr w:type="spellEnd"/>
      <w:r w:rsidRPr="00675067">
        <w:rPr>
          <w:sz w:val="24"/>
          <w:szCs w:val="24"/>
          <w:lang w:val="en-US"/>
        </w:rPr>
        <w:t xml:space="preserve"> Series. </w:t>
      </w:r>
      <w:proofErr w:type="spellStart"/>
      <w:r w:rsidRPr="00675067">
        <w:rPr>
          <w:sz w:val="24"/>
          <w:szCs w:val="24"/>
          <w:lang w:val="en-US"/>
        </w:rPr>
        <w:t>Otawa</w:t>
      </w:r>
      <w:proofErr w:type="spellEnd"/>
      <w:r w:rsidRPr="00675067">
        <w:rPr>
          <w:sz w:val="24"/>
          <w:szCs w:val="24"/>
          <w:lang w:val="en-US"/>
        </w:rPr>
        <w:t>, Canada: Canada National Printers.</w:t>
      </w:r>
    </w:p>
    <w:p w14:paraId="00000164" w14:textId="77777777" w:rsidR="00791ABD" w:rsidRDefault="00227A77" w:rsidP="00F003BF">
      <w:pPr>
        <w:spacing w:before="30" w:after="30" w:line="480" w:lineRule="auto"/>
        <w:ind w:firstLine="720"/>
        <w:rPr>
          <w:color w:val="1155CC"/>
          <w:sz w:val="24"/>
          <w:szCs w:val="24"/>
          <w:u w:val="single"/>
        </w:rPr>
      </w:pPr>
      <w:r w:rsidRPr="00675067">
        <w:rPr>
          <w:sz w:val="24"/>
          <w:szCs w:val="24"/>
          <w:lang w:val="en-US"/>
        </w:rPr>
        <w:t xml:space="preserve">Timmerman, M. E., &amp; Lorenzo-Seva, U. (2011). Dimensionality Assessment of Ordered Polytomous Items with Parallel Analysis. </w:t>
      </w:r>
      <w:proofErr w:type="spellStart"/>
      <w:r>
        <w:rPr>
          <w:i/>
          <w:sz w:val="24"/>
          <w:szCs w:val="24"/>
        </w:rPr>
        <w:t>Psychological</w:t>
      </w:r>
      <w:proofErr w:type="spellEnd"/>
      <w:r>
        <w:rPr>
          <w:i/>
          <w:sz w:val="24"/>
          <w:szCs w:val="24"/>
        </w:rPr>
        <w:t xml:space="preserve"> </w:t>
      </w:r>
      <w:proofErr w:type="spellStart"/>
      <w:r>
        <w:rPr>
          <w:i/>
          <w:sz w:val="24"/>
          <w:szCs w:val="24"/>
        </w:rPr>
        <w:t>Methods</w:t>
      </w:r>
      <w:proofErr w:type="spellEnd"/>
      <w:r>
        <w:rPr>
          <w:i/>
          <w:sz w:val="24"/>
          <w:szCs w:val="24"/>
        </w:rPr>
        <w:t>, 16</w:t>
      </w:r>
      <w:r>
        <w:rPr>
          <w:sz w:val="24"/>
          <w:szCs w:val="24"/>
        </w:rPr>
        <w:t>, 209-220.</w:t>
      </w:r>
      <w:hyperlink r:id="rId49">
        <w:r>
          <w:rPr>
            <w:color w:val="1155CC"/>
            <w:sz w:val="24"/>
            <w:szCs w:val="24"/>
          </w:rPr>
          <w:t xml:space="preserve"> </w:t>
        </w:r>
      </w:hyperlink>
      <w:hyperlink r:id="rId50">
        <w:r>
          <w:rPr>
            <w:color w:val="1155CC"/>
            <w:sz w:val="24"/>
            <w:szCs w:val="24"/>
            <w:u w:val="single"/>
          </w:rPr>
          <w:t>https://doi.org/10.1037/a0023353</w:t>
        </w:r>
      </w:hyperlink>
    </w:p>
    <w:p w14:paraId="00000165" w14:textId="77777777" w:rsidR="00791ABD" w:rsidRDefault="00227A77" w:rsidP="00F003BF">
      <w:pPr>
        <w:spacing w:before="30" w:after="30" w:line="480" w:lineRule="auto"/>
        <w:ind w:firstLine="720"/>
        <w:rPr>
          <w:sz w:val="24"/>
          <w:szCs w:val="24"/>
        </w:rPr>
      </w:pPr>
      <w:proofErr w:type="spellStart"/>
      <w:r w:rsidRPr="00675067">
        <w:rPr>
          <w:sz w:val="24"/>
          <w:szCs w:val="24"/>
          <w:lang w:val="en-US"/>
        </w:rPr>
        <w:t>Unesco</w:t>
      </w:r>
      <w:proofErr w:type="spellEnd"/>
      <w:r w:rsidRPr="00675067">
        <w:rPr>
          <w:sz w:val="24"/>
          <w:szCs w:val="24"/>
          <w:lang w:val="en-US"/>
        </w:rPr>
        <w:t xml:space="preserve">. (2016). </w:t>
      </w:r>
      <w:r w:rsidRPr="00675067">
        <w:rPr>
          <w:i/>
          <w:sz w:val="24"/>
          <w:szCs w:val="24"/>
          <w:lang w:val="en-US"/>
        </w:rPr>
        <w:t>Out in the open: Education sector responses violence based on sexual orientation and gender identity/expression</w:t>
      </w:r>
      <w:r w:rsidRPr="00675067">
        <w:rPr>
          <w:sz w:val="24"/>
          <w:szCs w:val="24"/>
          <w:lang w:val="en-US"/>
        </w:rPr>
        <w:t xml:space="preserve">. </w:t>
      </w:r>
      <w:r>
        <w:rPr>
          <w:sz w:val="24"/>
          <w:szCs w:val="24"/>
        </w:rPr>
        <w:t>Paris: Unesco.</w:t>
      </w:r>
    </w:p>
    <w:p w14:paraId="00000166" w14:textId="77777777" w:rsidR="00791ABD" w:rsidRDefault="00227A77" w:rsidP="00F003BF">
      <w:pPr>
        <w:spacing w:before="30" w:after="30" w:line="480" w:lineRule="auto"/>
        <w:ind w:firstLine="720"/>
        <w:rPr>
          <w:sz w:val="24"/>
          <w:szCs w:val="24"/>
        </w:rPr>
      </w:pPr>
      <w:r>
        <w:rPr>
          <w:sz w:val="24"/>
          <w:szCs w:val="24"/>
        </w:rPr>
        <w:t xml:space="preserve">Unesco. (2017). </w:t>
      </w:r>
      <w:r>
        <w:rPr>
          <w:i/>
          <w:sz w:val="24"/>
          <w:szCs w:val="24"/>
        </w:rPr>
        <w:t>Seminário Educação em Sexualidade e Relações de Gênero na Formação Inicial Docente no Ensino Superior</w:t>
      </w:r>
      <w:r>
        <w:rPr>
          <w:sz w:val="24"/>
          <w:szCs w:val="24"/>
        </w:rPr>
        <w:t>. São Paulo</w:t>
      </w:r>
      <w:r>
        <w:rPr>
          <w:sz w:val="24"/>
          <w:szCs w:val="24"/>
        </w:rPr>
        <w:t xml:space="preserve">: Unesco. </w:t>
      </w:r>
    </w:p>
    <w:p w14:paraId="00000167" w14:textId="77777777" w:rsidR="00791ABD" w:rsidRDefault="00227A77" w:rsidP="00F003BF">
      <w:pPr>
        <w:spacing w:before="30" w:after="30" w:line="480" w:lineRule="auto"/>
        <w:ind w:firstLine="720"/>
        <w:rPr>
          <w:color w:val="1155CC"/>
          <w:sz w:val="24"/>
          <w:szCs w:val="24"/>
          <w:u w:val="single"/>
        </w:rPr>
      </w:pPr>
      <w:r>
        <w:rPr>
          <w:sz w:val="24"/>
          <w:szCs w:val="24"/>
        </w:rPr>
        <w:t xml:space="preserve">Vieira, R., </w:t>
      </w:r>
      <w:proofErr w:type="spellStart"/>
      <w:r>
        <w:rPr>
          <w:sz w:val="24"/>
          <w:szCs w:val="24"/>
        </w:rPr>
        <w:t>Gherardi</w:t>
      </w:r>
      <w:proofErr w:type="spellEnd"/>
      <w:r>
        <w:rPr>
          <w:sz w:val="24"/>
          <w:szCs w:val="24"/>
        </w:rPr>
        <w:t xml:space="preserve">, S., &amp; Severo, M. (2018). Causas e consequências da homofobia na escola: uma revisão bibliográfica. </w:t>
      </w:r>
      <w:proofErr w:type="spellStart"/>
      <w:r>
        <w:rPr>
          <w:i/>
          <w:sz w:val="24"/>
          <w:szCs w:val="24"/>
        </w:rPr>
        <w:t>Multi-Science</w:t>
      </w:r>
      <w:proofErr w:type="spellEnd"/>
      <w:r>
        <w:rPr>
          <w:i/>
          <w:sz w:val="24"/>
          <w:szCs w:val="24"/>
        </w:rPr>
        <w:t xml:space="preserve"> </w:t>
      </w:r>
      <w:proofErr w:type="spellStart"/>
      <w:r>
        <w:rPr>
          <w:i/>
          <w:sz w:val="24"/>
          <w:szCs w:val="24"/>
        </w:rPr>
        <w:t>Journal</w:t>
      </w:r>
      <w:proofErr w:type="spellEnd"/>
      <w:r>
        <w:rPr>
          <w:sz w:val="24"/>
          <w:szCs w:val="24"/>
        </w:rPr>
        <w:t xml:space="preserve">, </w:t>
      </w:r>
      <w:r>
        <w:rPr>
          <w:i/>
          <w:sz w:val="24"/>
          <w:szCs w:val="24"/>
        </w:rPr>
        <w:t>1</w:t>
      </w:r>
      <w:r>
        <w:rPr>
          <w:sz w:val="24"/>
          <w:szCs w:val="24"/>
        </w:rPr>
        <w:t xml:space="preserve">(10), 69-77. </w:t>
      </w:r>
      <w:hyperlink r:id="rId51">
        <w:r>
          <w:rPr>
            <w:sz w:val="24"/>
            <w:szCs w:val="24"/>
          </w:rPr>
          <w:t xml:space="preserve"> </w:t>
        </w:r>
      </w:hyperlink>
      <w:hyperlink r:id="rId52">
        <w:r>
          <w:rPr>
            <w:color w:val="1155CC"/>
            <w:sz w:val="24"/>
            <w:szCs w:val="24"/>
            <w:u w:val="single"/>
          </w:rPr>
          <w:t>https://doi.org/10.33837/msj.v1i10.381</w:t>
        </w:r>
      </w:hyperlink>
    </w:p>
    <w:p w14:paraId="00000168" w14:textId="77777777" w:rsidR="00791ABD" w:rsidRDefault="00227A77" w:rsidP="00F003BF">
      <w:pPr>
        <w:spacing w:before="30" w:after="30" w:line="480" w:lineRule="auto"/>
        <w:ind w:firstLine="720"/>
        <w:rPr>
          <w:sz w:val="24"/>
          <w:szCs w:val="24"/>
        </w:rPr>
      </w:pPr>
      <w:r>
        <w:rPr>
          <w:sz w:val="24"/>
          <w:szCs w:val="24"/>
        </w:rPr>
        <w:t xml:space="preserve"> </w:t>
      </w:r>
    </w:p>
    <w:p w14:paraId="00000169" w14:textId="77777777" w:rsidR="00791ABD" w:rsidRDefault="00791ABD" w:rsidP="00F003BF">
      <w:pPr>
        <w:spacing w:before="30" w:after="30" w:line="480" w:lineRule="auto"/>
        <w:rPr>
          <w:sz w:val="24"/>
          <w:szCs w:val="24"/>
        </w:rPr>
      </w:pPr>
    </w:p>
    <w:sectPr w:rsidR="00791ABD" w:rsidSect="00E418B4">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ABD"/>
    <w:rsid w:val="000E3A1A"/>
    <w:rsid w:val="001D668A"/>
    <w:rsid w:val="001E3E3A"/>
    <w:rsid w:val="00227A77"/>
    <w:rsid w:val="003520E7"/>
    <w:rsid w:val="003C0CBF"/>
    <w:rsid w:val="00661628"/>
    <w:rsid w:val="00675067"/>
    <w:rsid w:val="00791ABD"/>
    <w:rsid w:val="007E748D"/>
    <w:rsid w:val="00845939"/>
    <w:rsid w:val="008B236D"/>
    <w:rsid w:val="009A34FE"/>
    <w:rsid w:val="009C28C3"/>
    <w:rsid w:val="009D2D49"/>
    <w:rsid w:val="00A03701"/>
    <w:rsid w:val="00D05D59"/>
    <w:rsid w:val="00E418B4"/>
    <w:rsid w:val="00E905AC"/>
    <w:rsid w:val="00F003BF"/>
    <w:rsid w:val="00F26F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5795"/>
  <w15:docId w15:val="{1D75CE83-6A78-4B5F-B28D-28B28A96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pPr>
        <w:spacing w:before="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top w:w="100" w:type="dxa"/>
        <w:left w:w="100" w:type="dxa"/>
        <w:bottom w:w="100" w:type="dxa"/>
        <w:right w:w="100" w:type="dxa"/>
      </w:tblCellMar>
    </w:tblPr>
  </w:style>
  <w:style w:type="table" w:customStyle="1" w:styleId="a0">
    <w:basedOn w:val="Tabelanormal"/>
    <w:tblPr>
      <w:tblStyleRowBandSize w:val="1"/>
      <w:tblStyleColBandSize w:val="1"/>
      <w:tblCellMar>
        <w:top w:w="100" w:type="dxa"/>
        <w:left w:w="100" w:type="dxa"/>
        <w:bottom w:w="100" w:type="dxa"/>
        <w:right w:w="100" w:type="dxa"/>
      </w:tblCellMar>
    </w:tblPr>
  </w:style>
  <w:style w:type="table" w:customStyle="1" w:styleId="a1">
    <w:basedOn w:val="Tabela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EF1641"/>
    <w:pPr>
      <w:spacing w:before="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F1641"/>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AC0BC5"/>
    <w:rPr>
      <w:b/>
      <w:bCs/>
    </w:rPr>
  </w:style>
  <w:style w:type="character" w:customStyle="1" w:styleId="AssuntodocomentrioChar">
    <w:name w:val="Assunto do comentário Char"/>
    <w:basedOn w:val="TextodecomentrioChar"/>
    <w:link w:val="Assuntodocomentrio"/>
    <w:uiPriority w:val="99"/>
    <w:semiHidden/>
    <w:rsid w:val="00AC0BC5"/>
    <w:rPr>
      <w:b/>
      <w:bCs/>
      <w:sz w:val="20"/>
      <w:szCs w:val="20"/>
    </w:rPr>
  </w:style>
  <w:style w:type="character" w:styleId="Hyperlink">
    <w:name w:val="Hyperlink"/>
    <w:basedOn w:val="Fontepargpadro"/>
    <w:uiPriority w:val="99"/>
    <w:unhideWhenUsed/>
    <w:rsid w:val="00AB6965"/>
    <w:rPr>
      <w:color w:val="0563C1" w:themeColor="hyperlink"/>
      <w:u w:val="single"/>
    </w:rPr>
  </w:style>
  <w:style w:type="character" w:styleId="MenoPendente">
    <w:name w:val="Unresolved Mention"/>
    <w:basedOn w:val="Fontepargpadro"/>
    <w:uiPriority w:val="99"/>
    <w:semiHidden/>
    <w:unhideWhenUsed/>
    <w:rsid w:val="00AB6965"/>
    <w:rPr>
      <w:color w:val="605E5C"/>
      <w:shd w:val="clear" w:color="auto" w:fill="E1DFDD"/>
    </w:r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1D7C2B"/>
    <w:pPr>
      <w:spacing w:before="100" w:beforeAutospacing="1" w:after="100" w:afterAutospacing="1"/>
      <w:jc w:val="left"/>
    </w:pPr>
    <w:rPr>
      <w:sz w:val="24"/>
      <w:szCs w:val="24"/>
    </w:rPr>
  </w:style>
  <w:style w:type="paragraph" w:styleId="Cabealho">
    <w:name w:val="header"/>
    <w:basedOn w:val="Normal"/>
    <w:link w:val="CabealhoChar"/>
    <w:uiPriority w:val="99"/>
    <w:unhideWhenUsed/>
    <w:rsid w:val="006D2DCD"/>
    <w:pPr>
      <w:tabs>
        <w:tab w:val="center" w:pos="4252"/>
        <w:tab w:val="right" w:pos="8504"/>
      </w:tabs>
      <w:spacing w:before="0"/>
    </w:pPr>
  </w:style>
  <w:style w:type="character" w:customStyle="1" w:styleId="CabealhoChar">
    <w:name w:val="Cabeçalho Char"/>
    <w:basedOn w:val="Fontepargpadro"/>
    <w:link w:val="Cabealho"/>
    <w:uiPriority w:val="99"/>
    <w:rsid w:val="006D2DCD"/>
  </w:style>
  <w:style w:type="paragraph" w:styleId="Rodap">
    <w:name w:val="footer"/>
    <w:basedOn w:val="Normal"/>
    <w:link w:val="RodapChar"/>
    <w:uiPriority w:val="99"/>
    <w:unhideWhenUsed/>
    <w:rsid w:val="006D2DCD"/>
    <w:pPr>
      <w:tabs>
        <w:tab w:val="center" w:pos="4252"/>
        <w:tab w:val="right" w:pos="8504"/>
      </w:tabs>
      <w:spacing w:before="0"/>
    </w:pPr>
  </w:style>
  <w:style w:type="character" w:customStyle="1" w:styleId="RodapChar">
    <w:name w:val="Rodapé Char"/>
    <w:basedOn w:val="Fontepargpadro"/>
    <w:link w:val="Rodap"/>
    <w:uiPriority w:val="99"/>
    <w:rsid w:val="006D2DCD"/>
  </w:style>
  <w:style w:type="table" w:styleId="Tabelacomgrade">
    <w:name w:val="Table Grid"/>
    <w:basedOn w:val="Tabelanormal"/>
    <w:uiPriority w:val="39"/>
    <w:rsid w:val="00C77421"/>
    <w:pPr>
      <w:spacing w:before="0"/>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5">
    <w:basedOn w:val="TableNormal0"/>
    <w:pPr>
      <w:spacing w:before="0"/>
      <w:jc w:val="left"/>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6">
    <w:basedOn w:val="TableNormal0"/>
    <w:pPr>
      <w:spacing w:before="0"/>
      <w:jc w:val="left"/>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7">
    <w:basedOn w:val="TableNormal0"/>
    <w:pPr>
      <w:spacing w:before="0"/>
      <w:jc w:val="left"/>
    </w:pPr>
    <w:rPr>
      <w:rFonts w:ascii="Calibri" w:eastAsia="Calibri" w:hAnsi="Calibri" w:cs="Calibri"/>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8256/2175-5027.2020.v12i2.3523" TargetMode="External"/><Relationship Id="rId18" Type="http://schemas.openxmlformats.org/officeDocument/2006/relationships/hyperlink" Target="https://doi.org/10.17060/ijodaep.2019.n2.v2.1737" TargetMode="External"/><Relationship Id="rId26" Type="http://schemas.openxmlformats.org/officeDocument/2006/relationships/hyperlink" Target="https://doi.org/https:/doi.org/10.24265/liberabit.2019.v25n1.08" TargetMode="External"/><Relationship Id="rId39" Type="http://schemas.openxmlformats.org/officeDocument/2006/relationships/hyperlink" Target="https://doi.org/10.1016/j.rlp.2016.04.001" TargetMode="External"/><Relationship Id="rId3" Type="http://schemas.openxmlformats.org/officeDocument/2006/relationships/settings" Target="settings.xml"/><Relationship Id="rId21" Type="http://schemas.openxmlformats.org/officeDocument/2006/relationships/hyperlink" Target="https://doi.org/10.1111/0022-4537.00164" TargetMode="External"/><Relationship Id="rId34" Type="http://schemas.openxmlformats.org/officeDocument/2006/relationships/hyperlink" Target="https://www.lume.ufrgs.br/bitstream/handle/10183/183274/001078143.pdf?sequence=1&amp;isAllowed=y" TargetMode="External"/><Relationship Id="rId42" Type="http://schemas.openxmlformats.org/officeDocument/2006/relationships/hyperlink" Target="http://www.ijntse.com/upload/1447070311130.pdf" TargetMode="External"/><Relationship Id="rId47" Type="http://schemas.openxmlformats.org/officeDocument/2006/relationships/hyperlink" Target="https://doi.org/10.1007/s13178-019-00406-z" TargetMode="External"/><Relationship Id="rId50" Type="http://schemas.openxmlformats.org/officeDocument/2006/relationships/hyperlink" Target="https://doi.org/10.1037/a0023353" TargetMode="External"/><Relationship Id="rId7" Type="http://schemas.openxmlformats.org/officeDocument/2006/relationships/hyperlink" Target="https://doi.org/10.17575/rpsicol.v26i1.260" TargetMode="External"/><Relationship Id="rId12" Type="http://schemas.openxmlformats.org/officeDocument/2006/relationships/hyperlink" Target="https://doi.org/10.18256/2175-5027.2020.v12i2.3523" TargetMode="External"/><Relationship Id="rId17" Type="http://schemas.openxmlformats.org/officeDocument/2006/relationships/hyperlink" Target="https://doi.org/10.17060/ijodaep.2019.n2.v2.1737" TargetMode="External"/><Relationship Id="rId25" Type="http://schemas.openxmlformats.org/officeDocument/2006/relationships/hyperlink" Target="https://doi.org/https:/doi.org/10.24265/liberabit.2019.v25n1.08" TargetMode="External"/><Relationship Id="rId33" Type="http://schemas.openxmlformats.org/officeDocument/2006/relationships/hyperlink" Target="https://doi.org/10.1787/c64c3d3f-en" TargetMode="External"/><Relationship Id="rId38" Type="http://schemas.openxmlformats.org/officeDocument/2006/relationships/hyperlink" Target="https://doi.org/10.1016/j.rlp.2016.04.001" TargetMode="External"/><Relationship Id="rId46" Type="http://schemas.openxmlformats.org/officeDocument/2006/relationships/hyperlink" Target="http://dx.doi.org/10.9788/TP2015.3-09" TargetMode="External"/><Relationship Id="rId2" Type="http://schemas.openxmlformats.org/officeDocument/2006/relationships/styles" Target="styles.xml"/><Relationship Id="rId16" Type="http://schemas.openxmlformats.org/officeDocument/2006/relationships/hyperlink" Target="https://doi.org/10.1177/0013164417719308" TargetMode="External"/><Relationship Id="rId20" Type="http://schemas.openxmlformats.org/officeDocument/2006/relationships/hyperlink" Target="https://doi.org/10.1590/1982-3703001752017" TargetMode="External"/><Relationship Id="rId29" Type="http://schemas.openxmlformats.org/officeDocument/2006/relationships/hyperlink" Target="https://doi.org/10.1590/1981-5271v43suplemento1-20190076" TargetMode="External"/><Relationship Id="rId41" Type="http://schemas.openxmlformats.org/officeDocument/2006/relationships/hyperlink" Target="http://www.ijntse.com/upload/1447070311130.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x.doi.org/10.9788/TP2015.3-11" TargetMode="External"/><Relationship Id="rId11" Type="http://schemas.openxmlformats.org/officeDocument/2006/relationships/hyperlink" Target="http://hdl.handle.net/10174/21038" TargetMode="External"/><Relationship Id="rId24" Type="http://schemas.openxmlformats.org/officeDocument/2006/relationships/hyperlink" Target="https://doi.org/10.1007/s11199-005-7140-x" TargetMode="External"/><Relationship Id="rId32" Type="http://schemas.openxmlformats.org/officeDocument/2006/relationships/hyperlink" Target="https://doi.org/https:/doi.org/10.1787/c64c3d3f-en" TargetMode="External"/><Relationship Id="rId37" Type="http://schemas.openxmlformats.org/officeDocument/2006/relationships/hyperlink" Target="https://periodicos.ufrn.br/bagoas/article/view/2309" TargetMode="External"/><Relationship Id="rId40" Type="http://schemas.openxmlformats.org/officeDocument/2006/relationships/hyperlink" Target="https://doi.org/10.5216/rir.v13i2.46785" TargetMode="External"/><Relationship Id="rId45" Type="http://schemas.openxmlformats.org/officeDocument/2006/relationships/hyperlink" Target="http://dx.doi.org/10.9788/TP2015.3-09" TargetMode="External"/><Relationship Id="rId53" Type="http://schemas.openxmlformats.org/officeDocument/2006/relationships/fontTable" Target="fontTable.xml"/><Relationship Id="rId5" Type="http://schemas.openxmlformats.org/officeDocument/2006/relationships/hyperlink" Target="http://dx.doi.org/10.9788/TP2015.3-11" TargetMode="External"/><Relationship Id="rId15" Type="http://schemas.openxmlformats.org/officeDocument/2006/relationships/hyperlink" Target="https://doi.org/10.1177/0013164417719308" TargetMode="External"/><Relationship Id="rId23" Type="http://schemas.openxmlformats.org/officeDocument/2006/relationships/hyperlink" Target="https://doi.org/10.1007/s11199-005-7140-x" TargetMode="External"/><Relationship Id="rId28" Type="http://schemas.openxmlformats.org/officeDocument/2006/relationships/hyperlink" Target="https://doi.org/10.37853/pqe.e202013" TargetMode="External"/><Relationship Id="rId36" Type="http://schemas.openxmlformats.org/officeDocument/2006/relationships/hyperlink" Target="https://periodicos.ufrn.br/bagoas/article/view/2309" TargetMode="External"/><Relationship Id="rId49" Type="http://schemas.openxmlformats.org/officeDocument/2006/relationships/hyperlink" Target="https://doi.org/10.1037/a0023353" TargetMode="External"/><Relationship Id="rId10" Type="http://schemas.openxmlformats.org/officeDocument/2006/relationships/hyperlink" Target="http://hdl.handle.net/10174/21038" TargetMode="External"/><Relationship Id="rId19" Type="http://schemas.openxmlformats.org/officeDocument/2006/relationships/hyperlink" Target="https://doi.org/10.1590/1982-3703001752017" TargetMode="External"/><Relationship Id="rId31" Type="http://schemas.openxmlformats.org/officeDocument/2006/relationships/hyperlink" Target="https://pubmed.ncbi.nlm.nih.gov/12739696/" TargetMode="External"/><Relationship Id="rId44" Type="http://schemas.openxmlformats.org/officeDocument/2006/relationships/hyperlink" Target="https://doi.org/10.1016/j.paid.2017.06.003" TargetMode="External"/><Relationship Id="rId52" Type="http://schemas.openxmlformats.org/officeDocument/2006/relationships/hyperlink" Target="https://doi.org/10.33837/msj.v1i10.381" TargetMode="External"/><Relationship Id="rId4" Type="http://schemas.openxmlformats.org/officeDocument/2006/relationships/webSettings" Target="webSettings.xml"/><Relationship Id="rId9" Type="http://schemas.openxmlformats.org/officeDocument/2006/relationships/hyperlink" Target="http://enae.ilga-portugal.pt/" TargetMode="External"/><Relationship Id="rId14" Type="http://schemas.openxmlformats.org/officeDocument/2006/relationships/hyperlink" Target="https://doi.org/10.1177/0013164417719308" TargetMode="External"/><Relationship Id="rId22" Type="http://schemas.openxmlformats.org/officeDocument/2006/relationships/hyperlink" Target="https://doi.org/10.1111/0022-4537.00164" TargetMode="External"/><Relationship Id="rId27" Type="http://schemas.openxmlformats.org/officeDocument/2006/relationships/hyperlink" Target="https://doi.org/10.37853/pqe.e202013" TargetMode="External"/><Relationship Id="rId30" Type="http://schemas.openxmlformats.org/officeDocument/2006/relationships/hyperlink" Target="https://doi.org/10.1590/1981-5271v43suplemento1-20190076" TargetMode="External"/><Relationship Id="rId35" Type="http://schemas.openxmlformats.org/officeDocument/2006/relationships/hyperlink" Target="https://dre.pt/home/-/dre/123962165/details/maximized" TargetMode="External"/><Relationship Id="rId43" Type="http://schemas.openxmlformats.org/officeDocument/2006/relationships/hyperlink" Target="https://doi.org/10.1016/j.paid.2017.06.003" TargetMode="External"/><Relationship Id="rId48" Type="http://schemas.openxmlformats.org/officeDocument/2006/relationships/hyperlink" Target="https://doi.org/10.1007/s13178-019-00406-z" TargetMode="External"/><Relationship Id="rId8" Type="http://schemas.openxmlformats.org/officeDocument/2006/relationships/hyperlink" Target="http://enae.ilga-portugal.pt/" TargetMode="External"/><Relationship Id="rId51" Type="http://schemas.openxmlformats.org/officeDocument/2006/relationships/hyperlink" Target="https://doi.org/10.33837/msj.v1i10.38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ePXhDMJPzd/v0yjxbyXMgkbwzg==">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27</Pages>
  <Words>7908</Words>
  <Characters>42708</Characters>
  <Application>Microsoft Office Word</Application>
  <DocSecurity>0</DocSecurity>
  <Lines>355</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Guimarães</dc:creator>
  <cp:lastModifiedBy>Stephanie Da Selva Guimaraes</cp:lastModifiedBy>
  <cp:revision>14</cp:revision>
  <dcterms:created xsi:type="dcterms:W3CDTF">2022-04-07T05:11:00Z</dcterms:created>
  <dcterms:modified xsi:type="dcterms:W3CDTF">2022-04-07T06:14:00Z</dcterms:modified>
</cp:coreProperties>
</file>