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5255" w14:textId="6CB57AB4" w:rsidR="00C413D4" w:rsidRPr="00406361" w:rsidRDefault="00630D50" w:rsidP="00630D50">
      <w:pPr>
        <w:jc w:val="center"/>
        <w:rPr>
          <w:b/>
          <w:color w:val="000000" w:themeColor="text1"/>
          <w:lang w:val="en-US"/>
        </w:rPr>
      </w:pPr>
      <w:r w:rsidRPr="00406361">
        <w:rPr>
          <w:b/>
          <w:noProof/>
          <w:color w:val="000000" w:themeColor="text1"/>
          <w:sz w:val="36"/>
          <w:szCs w:val="36"/>
          <w:lang w:val="en-US"/>
        </w:rPr>
        <w:t>Relationships between social skills and family relations in high school adolescents</w:t>
      </w:r>
    </w:p>
    <w:p w14:paraId="6C942DCA" w14:textId="77777777" w:rsidR="00B845A1" w:rsidRPr="00406361" w:rsidRDefault="00B845A1" w:rsidP="00C413D4">
      <w:pPr>
        <w:rPr>
          <w:i/>
          <w:color w:val="000000" w:themeColor="text1"/>
          <w:sz w:val="28"/>
          <w:szCs w:val="28"/>
          <w:lang w:val="en-US"/>
        </w:rPr>
      </w:pPr>
    </w:p>
    <w:p w14:paraId="0BAD9FA3" w14:textId="098C1666" w:rsidR="00C413D4" w:rsidRPr="00406361" w:rsidRDefault="00C413D4" w:rsidP="00C413D4">
      <w:pPr>
        <w:rPr>
          <w:rFonts w:ascii="Times" w:hAnsi="Times"/>
          <w:i/>
          <w:color w:val="000000" w:themeColor="text1"/>
          <w:sz w:val="28"/>
          <w:szCs w:val="28"/>
          <w:lang w:val="en-US"/>
        </w:rPr>
      </w:pPr>
      <w:r w:rsidRPr="00406361">
        <w:rPr>
          <w:noProof/>
          <w:color w:val="000000" w:themeColor="text1"/>
          <w:lang w:val="en-U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406361" w:rsidRDefault="00C413D4" w:rsidP="00C413D4">
      <w:pPr>
        <w:rPr>
          <w:b/>
          <w:color w:val="000000" w:themeColor="text1"/>
          <w:sz w:val="20"/>
          <w:szCs w:val="20"/>
          <w:lang w:val="en-US"/>
        </w:rPr>
      </w:pPr>
    </w:p>
    <w:p w14:paraId="61F0B918" w14:textId="7AB7DCB9" w:rsidR="00C43335" w:rsidRPr="00406361" w:rsidRDefault="00C413D4" w:rsidP="00C43335">
      <w:pPr>
        <w:pStyle w:val="TtuloResumen"/>
        <w:rPr>
          <w:color w:val="000000" w:themeColor="text1"/>
          <w:lang w:val="en-US"/>
        </w:rPr>
      </w:pPr>
      <w:r w:rsidRPr="00406361">
        <w:rPr>
          <w:color w:val="000000" w:themeColor="text1"/>
          <w:lang w:val="en-US"/>
        </w:rPr>
        <w:t>Abstract</w:t>
      </w:r>
    </w:p>
    <w:p w14:paraId="5E3536EF" w14:textId="652EC70F" w:rsidR="00D46FFD" w:rsidRPr="00406361" w:rsidRDefault="00630D50" w:rsidP="00C413D4">
      <w:pPr>
        <w:rPr>
          <w:color w:val="000000" w:themeColor="text1"/>
          <w:sz w:val="20"/>
          <w:szCs w:val="20"/>
          <w:lang w:val="en-US"/>
        </w:rPr>
      </w:pPr>
      <w:r w:rsidRPr="00406361">
        <w:rPr>
          <w:color w:val="000000" w:themeColor="text1"/>
          <w:sz w:val="20"/>
          <w:szCs w:val="20"/>
          <w:lang w:val="en-US"/>
        </w:rPr>
        <w:t>In the adolescent developmental stage, many biopsychosocial changes occur. Interpersonal relationships and social skills, which are in development, become fundamental for this stage and life. Moreover, the importance of good relationships between parents and children is essential for the healthy development of adolescents and their social skills. This study aimed to verify possible associations between adolescents' social skills and the types of family relationships, being them more conflictive and/or affective. Participated in the study 424 adolescents aged 14 to 18 years (M=16.06 years; SD=.79), high school students from private schools in southern Brazil. The results indicated a high repertoire of social skills in Civility, a good repertoire of Social Deportment, and deficits in Empathy, Self-Control, Assertiveness, and Affective Approach. High conflict and high affectivity were also found in family relationships. Finally, it was identified that the associations between social skills and family relationships may be contributing to these socially skilled deficits and greater family conflict, as a vicious cycle. Concluding that more healthy, affective, and skillful relationships need to be promoted to aid in the quality of life, well-being, and healthy development of adolescents.</w:t>
      </w:r>
    </w:p>
    <w:p w14:paraId="571C35EB" w14:textId="77777777" w:rsidR="00630D50" w:rsidRPr="00406361" w:rsidRDefault="00630D50" w:rsidP="00C413D4">
      <w:pPr>
        <w:rPr>
          <w:color w:val="000000" w:themeColor="text1"/>
          <w:sz w:val="20"/>
          <w:szCs w:val="20"/>
          <w:lang w:val="en-US"/>
        </w:rPr>
      </w:pPr>
    </w:p>
    <w:p w14:paraId="0EB33005" w14:textId="77777777" w:rsidR="00C413D4" w:rsidRPr="00406361" w:rsidRDefault="00C413D4" w:rsidP="00C413D4">
      <w:pPr>
        <w:rPr>
          <w:b/>
          <w:color w:val="000000" w:themeColor="text1"/>
          <w:sz w:val="20"/>
          <w:szCs w:val="20"/>
          <w:lang w:val="en-US"/>
        </w:rPr>
      </w:pPr>
      <w:r w:rsidRPr="00406361">
        <w:rPr>
          <w:b/>
          <w:color w:val="000000" w:themeColor="text1"/>
          <w:sz w:val="20"/>
          <w:szCs w:val="20"/>
          <w:lang w:val="en-US"/>
        </w:rPr>
        <w:t>Keywords</w:t>
      </w:r>
    </w:p>
    <w:p w14:paraId="004E7E11" w14:textId="0CEBE97B" w:rsidR="00630D50" w:rsidRPr="00406361" w:rsidRDefault="00630D50" w:rsidP="007A7C7C">
      <w:pPr>
        <w:jc w:val="both"/>
        <w:rPr>
          <w:bCs/>
          <w:color w:val="000000" w:themeColor="text1"/>
          <w:sz w:val="20"/>
          <w:szCs w:val="20"/>
          <w:lang w:val="en-US"/>
        </w:rPr>
      </w:pPr>
      <w:r w:rsidRPr="00406361">
        <w:rPr>
          <w:bCs/>
          <w:color w:val="000000" w:themeColor="text1"/>
          <w:sz w:val="20"/>
          <w:szCs w:val="20"/>
          <w:lang w:val="en-US"/>
        </w:rPr>
        <w:t>Social Skills; Affectivity; Conflict; Adolescents; Parents</w:t>
      </w:r>
    </w:p>
    <w:p w14:paraId="5168C61C" w14:textId="77777777" w:rsidR="00630D50" w:rsidRPr="00406361" w:rsidRDefault="00630D50" w:rsidP="007A7C7C">
      <w:pPr>
        <w:jc w:val="both"/>
        <w:rPr>
          <w:bCs/>
          <w:color w:val="000000" w:themeColor="text1"/>
          <w:sz w:val="20"/>
          <w:szCs w:val="20"/>
          <w:lang w:val="pt-BR"/>
        </w:rPr>
      </w:pPr>
    </w:p>
    <w:p w14:paraId="1D18B459" w14:textId="33E7185C" w:rsidR="009E37BF" w:rsidRPr="00406361" w:rsidRDefault="009E37BF" w:rsidP="009E37BF">
      <w:pPr>
        <w:pBdr>
          <w:top w:val="nil"/>
          <w:left w:val="nil"/>
          <w:bottom w:val="nil"/>
          <w:right w:val="nil"/>
          <w:between w:val="nil"/>
        </w:pBdr>
        <w:spacing w:after="120"/>
        <w:jc w:val="center"/>
        <w:rPr>
          <w:b/>
          <w:smallCaps/>
          <w:color w:val="000000" w:themeColor="text1"/>
          <w:sz w:val="20"/>
          <w:szCs w:val="20"/>
          <w:lang w:val="pt-BR"/>
        </w:rPr>
      </w:pPr>
      <w:r w:rsidRPr="00406361">
        <w:rPr>
          <w:b/>
          <w:smallCaps/>
          <w:color w:val="000000" w:themeColor="text1"/>
          <w:sz w:val="20"/>
          <w:szCs w:val="20"/>
          <w:lang w:val="pt-BR"/>
        </w:rPr>
        <w:t>Resumo</w:t>
      </w:r>
    </w:p>
    <w:p w14:paraId="4295F325" w14:textId="77777777" w:rsidR="00630D50" w:rsidRPr="00406361" w:rsidRDefault="00630D50" w:rsidP="00630D50">
      <w:pPr>
        <w:rPr>
          <w:color w:val="000000" w:themeColor="text1"/>
          <w:sz w:val="20"/>
          <w:szCs w:val="20"/>
          <w:lang w:val="pt-BR"/>
        </w:rPr>
      </w:pPr>
      <w:r w:rsidRPr="00406361">
        <w:rPr>
          <w:color w:val="000000" w:themeColor="text1"/>
          <w:sz w:val="20"/>
          <w:szCs w:val="20"/>
          <w:lang w:val="pt-BR"/>
        </w:rPr>
        <w:t>Na fase do desenvolvimento adolescente ocorrem muitas mudanças biopsicossociais. Os relacionamentos interpessoais e as habilidades sociais, que estão em desenvolvimento, se tornam fundamentais para essa etapa e para toda vida. Além disso, a importância de bons relacionamentos entre pais e filhos se mostra essencial para o desenvolvimento saudável do adolescente e das suas habilidades sociais. Este estudo objetivou verificar possíveis associações entre as habilidades sociais dos adolescentes e os tipos de relacionamentos familiares, sendo eles mais conflituosos e/ou afetivos. Participaram do estudo 424 adolescentes com idades entre 14 e 18 anos (M=16.06 anos; SD=.79), estudantes do ensino médio de escolas privadas da região sul do Brasil. Os resultados indicaram repertório alto de habilidades sociais de Civilidade, bom repertório de Desenvoltura social e déficits nos de Empatia, Autocontrole, Assertividade e Abordagem Afetiva. Também foram encontradas presença de alto conflito e alta afetividade nos relacionamentos familiares. Por fim, foram identificadas que as associações entre as habilidades sociais e os relacionamentos familiares podem estar a contribuir para esses déficits socialmente habilidosos e para maior conflito familiar, como um ciclo vicioso. Concluindo que é preciso promover mais relações saudáveis, afetivas e habilidosas para auxiliar na qualidade de vida, bem-estar e desenvolvimento saudável dos adolescentes.</w:t>
      </w:r>
    </w:p>
    <w:p w14:paraId="32A22B7A" w14:textId="77777777" w:rsidR="009E37BF" w:rsidRPr="00406361" w:rsidRDefault="009E37BF" w:rsidP="009E37BF">
      <w:pPr>
        <w:rPr>
          <w:color w:val="000000" w:themeColor="text1"/>
          <w:sz w:val="20"/>
          <w:szCs w:val="20"/>
          <w:lang w:val="pt-BR"/>
        </w:rPr>
      </w:pPr>
    </w:p>
    <w:p w14:paraId="126AA7B0" w14:textId="6E612552" w:rsidR="009E37BF" w:rsidRPr="00406361" w:rsidRDefault="009E37BF" w:rsidP="009E37BF">
      <w:pPr>
        <w:jc w:val="both"/>
        <w:rPr>
          <w:b/>
          <w:color w:val="000000" w:themeColor="text1"/>
          <w:sz w:val="20"/>
          <w:szCs w:val="20"/>
          <w:lang w:val="pt-BR"/>
        </w:rPr>
      </w:pPr>
      <w:r w:rsidRPr="00406361">
        <w:rPr>
          <w:b/>
          <w:color w:val="000000" w:themeColor="text1"/>
          <w:sz w:val="20"/>
          <w:szCs w:val="20"/>
          <w:lang w:val="pt-BR"/>
        </w:rPr>
        <w:t>Palavras-chave</w:t>
      </w:r>
    </w:p>
    <w:p w14:paraId="7371C360" w14:textId="77777777" w:rsidR="00630D50" w:rsidRPr="00406361" w:rsidRDefault="00630D50" w:rsidP="00630D50">
      <w:pPr>
        <w:jc w:val="both"/>
        <w:rPr>
          <w:bCs/>
          <w:color w:val="000000" w:themeColor="text1"/>
          <w:sz w:val="20"/>
          <w:szCs w:val="20"/>
          <w:lang w:val="pt-BR"/>
        </w:rPr>
      </w:pPr>
      <w:r w:rsidRPr="00406361">
        <w:rPr>
          <w:bCs/>
          <w:color w:val="000000" w:themeColor="text1"/>
          <w:sz w:val="20"/>
          <w:szCs w:val="20"/>
          <w:lang w:val="pt-BR"/>
        </w:rPr>
        <w:t>Habilidades Sociais; Afetividade; Conflito; Adolescentes; Pais</w:t>
      </w:r>
    </w:p>
    <w:p w14:paraId="3B35E00C" w14:textId="77777777" w:rsidR="00483D6B" w:rsidRPr="00406361" w:rsidRDefault="00483D6B" w:rsidP="00B6522A">
      <w:pPr>
        <w:rPr>
          <w:b/>
          <w:color w:val="000000" w:themeColor="text1"/>
          <w:lang w:val="pt-BR"/>
        </w:rPr>
      </w:pPr>
    </w:p>
    <w:p w14:paraId="3F538DA7" w14:textId="52ED10A2" w:rsidR="00153DC5" w:rsidRPr="00406361" w:rsidRDefault="0059034C" w:rsidP="007A7CDC">
      <w:pPr>
        <w:pStyle w:val="Ttuloprincipiodeartculo"/>
        <w:rPr>
          <w:color w:val="000000" w:themeColor="text1"/>
        </w:rPr>
      </w:pPr>
      <w:r w:rsidRPr="00406361">
        <w:rPr>
          <w:color w:val="000000" w:themeColor="text1"/>
        </w:rPr>
        <w:br w:type="page"/>
      </w:r>
      <w:r w:rsidR="00D46FFD" w:rsidRPr="00406361">
        <w:rPr>
          <w:color w:val="000000" w:themeColor="text1"/>
        </w:rPr>
        <w:lastRenderedPageBreak/>
        <w:t>Relações entre habilidades sociais e relacionamentos familiares em adolescentes do ensino médio</w:t>
      </w:r>
    </w:p>
    <w:p w14:paraId="4FA726CB" w14:textId="3C0E3D6E" w:rsidR="006A1BA2" w:rsidRPr="00406361" w:rsidRDefault="00153DC5" w:rsidP="00CE7D65">
      <w:pPr>
        <w:pStyle w:val="Ttulosinternos"/>
        <w:rPr>
          <w:bCs/>
          <w:color w:val="000000" w:themeColor="text1"/>
          <w:lang w:val="pt-BR"/>
        </w:rPr>
      </w:pPr>
      <w:r w:rsidRPr="00406361">
        <w:rPr>
          <w:color w:val="000000" w:themeColor="text1"/>
          <w:lang w:val="pt-BR"/>
        </w:rPr>
        <w:t>Introdu</w:t>
      </w:r>
      <w:r w:rsidR="00630D50" w:rsidRPr="00406361">
        <w:rPr>
          <w:color w:val="000000" w:themeColor="text1"/>
          <w:lang w:val="pt-BR"/>
        </w:rPr>
        <w:t>ção</w:t>
      </w:r>
    </w:p>
    <w:p w14:paraId="6882F5D5" w14:textId="7B401802" w:rsidR="000A610E" w:rsidRPr="00406361" w:rsidRDefault="000A610E" w:rsidP="003C1711">
      <w:pPr>
        <w:spacing w:line="360" w:lineRule="auto"/>
        <w:ind w:firstLine="700"/>
        <w:jc w:val="both"/>
        <w:rPr>
          <w:color w:val="000000" w:themeColor="text1"/>
          <w:lang w:val="pt-BR"/>
        </w:rPr>
      </w:pPr>
      <w:r w:rsidRPr="00406361">
        <w:rPr>
          <w:color w:val="000000" w:themeColor="text1"/>
          <w:lang w:val="pt-BR"/>
        </w:rPr>
        <w:t xml:space="preserve">A adolescência, enquanto fase do ciclo vital, compreende mudanças biopsicossociais. Além de alterações físicas e hormonais, ocorrem readaptações nas relações familiares e com </w:t>
      </w:r>
      <w:r w:rsidR="00A508E2" w:rsidRPr="00406361">
        <w:rPr>
          <w:color w:val="000000" w:themeColor="text1"/>
          <w:lang w:val="pt-BR"/>
        </w:rPr>
        <w:t xml:space="preserve">os </w:t>
      </w:r>
      <w:r w:rsidRPr="00406361">
        <w:rPr>
          <w:color w:val="000000" w:themeColor="text1"/>
          <w:lang w:val="pt-BR"/>
        </w:rPr>
        <w:t>pares. Nesse período também se experiencia maior pressão acadêmica, iniciação à vida romântica, exposição à violência e ao uso de álcool e drogas, fatores considerados de risco para desenvolvimento saudável (Parikh et al., 2019). Assim, indica-se a importância de reforçar o repertório de habilidades sociais adaptativas saudáveis (Andretta</w:t>
      </w:r>
      <w:r w:rsidR="00B35F03" w:rsidRPr="00406361">
        <w:rPr>
          <w:color w:val="000000" w:themeColor="text1"/>
          <w:lang w:val="pt-BR"/>
        </w:rPr>
        <w:t xml:space="preserve"> et al.</w:t>
      </w:r>
      <w:r w:rsidRPr="00406361">
        <w:rPr>
          <w:color w:val="000000" w:themeColor="text1"/>
          <w:lang w:val="pt-BR"/>
        </w:rPr>
        <w:t xml:space="preserve">, 2021). </w:t>
      </w:r>
    </w:p>
    <w:p w14:paraId="031DE252" w14:textId="25826C28" w:rsidR="000A610E" w:rsidRPr="00406361" w:rsidRDefault="000A610E" w:rsidP="003C1711">
      <w:pPr>
        <w:spacing w:line="360" w:lineRule="auto"/>
        <w:ind w:firstLine="700"/>
        <w:jc w:val="both"/>
        <w:rPr>
          <w:color w:val="000000" w:themeColor="text1"/>
          <w:lang w:val="pt-BR"/>
        </w:rPr>
      </w:pPr>
      <w:r w:rsidRPr="00406361">
        <w:rPr>
          <w:color w:val="000000" w:themeColor="text1"/>
          <w:lang w:val="pt-BR"/>
        </w:rPr>
        <w:t xml:space="preserve">Um repertório adequado de comportamentos socialmente habilidosos, que maximizem ganhos e reduzam perdas, inclui habilidades de empatia (e.g., compreender os sentimentos dos outros), autocontrole (e.g., manter a calma), civilidade (e.g., agradecer), assertividade (e.g., recusar pedidos), abordagem afetiva (e.g., expressar sentimentos) e desenvoltura social (e.g., pedir informações) (Del Prette &amp; Del Prette, </w:t>
      </w:r>
      <w:r w:rsidR="00B35F03" w:rsidRPr="00406361">
        <w:rPr>
          <w:color w:val="000000" w:themeColor="text1"/>
          <w:lang w:val="pt-BR"/>
        </w:rPr>
        <w:t>1998</w:t>
      </w:r>
      <w:r w:rsidRPr="00406361">
        <w:rPr>
          <w:color w:val="000000" w:themeColor="text1"/>
          <w:lang w:val="pt-BR"/>
        </w:rPr>
        <w:t xml:space="preserve">; Del Prette &amp; Del Prette, </w:t>
      </w:r>
      <w:r w:rsidR="00B35F03" w:rsidRPr="00406361">
        <w:rPr>
          <w:color w:val="000000" w:themeColor="text1"/>
          <w:lang w:val="pt-BR"/>
        </w:rPr>
        <w:t>2001</w:t>
      </w:r>
      <w:r w:rsidRPr="00406361">
        <w:rPr>
          <w:color w:val="000000" w:themeColor="text1"/>
          <w:lang w:val="pt-BR"/>
        </w:rPr>
        <w:t xml:space="preserve">). Tais fatores de habilidades sociais compõem de forma complexa a maneira com que o adolescente se comunicaria adequadamente em diversas situações. Pode-se citar alguns exemplos, como colocar-se no lugar dos outros (empatia), controlar os impulsos e desejos (autocontrole), expressar-se de forma adequada, clara e segura (assertividade) e demonstrar afetos e sentimentos (abordagem afetiva) potencializa o respeito às necessidades dos relacionamentos interpessoais. Estes exemplos são alguns dos quais podem auxiliar a relação entre pares e a compreensão dos filhos para com os pais e vice-versa </w:t>
      </w:r>
      <w:r w:rsidRPr="00406361">
        <w:rPr>
          <w:color w:val="000000" w:themeColor="text1"/>
          <w:highlight w:val="white"/>
          <w:lang w:val="pt-BR"/>
        </w:rPr>
        <w:t xml:space="preserve">(Del Prette &amp; Del Prette, 2009; </w:t>
      </w:r>
      <w:r w:rsidRPr="00406361">
        <w:rPr>
          <w:color w:val="000000" w:themeColor="text1"/>
          <w:lang w:val="pt-BR"/>
        </w:rPr>
        <w:t xml:space="preserve">Leme et al., 2015). </w:t>
      </w:r>
    </w:p>
    <w:p w14:paraId="2C801385" w14:textId="75AE0445" w:rsidR="000A610E" w:rsidRPr="00406361" w:rsidRDefault="000A610E" w:rsidP="003C1711">
      <w:pPr>
        <w:spacing w:line="360" w:lineRule="auto"/>
        <w:ind w:firstLine="700"/>
        <w:jc w:val="both"/>
        <w:rPr>
          <w:color w:val="000000" w:themeColor="text1"/>
          <w:lang w:val="pt-BR"/>
        </w:rPr>
      </w:pPr>
      <w:r w:rsidRPr="00406361">
        <w:rPr>
          <w:color w:val="000000" w:themeColor="text1"/>
          <w:lang w:val="pt-BR"/>
        </w:rPr>
        <w:t xml:space="preserve">Além disso, a civilidade estaria relacionada com respeito, boas maneiras, e comportamentos socialmente aceitos e esperados de determinada cultura enquanto a desenvoltura social referir-se-ia a comportamentos apropriados e esperados pela cultura </w:t>
      </w:r>
      <w:r w:rsidR="00A508E2" w:rsidRPr="00406361">
        <w:rPr>
          <w:color w:val="000000" w:themeColor="text1"/>
          <w:lang w:val="pt-BR"/>
        </w:rPr>
        <w:t>–</w:t>
      </w:r>
      <w:r w:rsidRPr="00406361">
        <w:rPr>
          <w:color w:val="000000" w:themeColor="text1"/>
          <w:lang w:val="pt-BR"/>
        </w:rPr>
        <w:t xml:space="preserve"> relativa à exposição social adequada para os contextos </w:t>
      </w:r>
      <w:r w:rsidRPr="00406361">
        <w:rPr>
          <w:color w:val="000000" w:themeColor="text1"/>
          <w:highlight w:val="white"/>
          <w:lang w:val="pt-BR"/>
        </w:rPr>
        <w:t>(Del Prette &amp; Del Prette, 2009)</w:t>
      </w:r>
      <w:r w:rsidRPr="00406361">
        <w:rPr>
          <w:color w:val="000000" w:themeColor="text1"/>
          <w:lang w:val="pt-BR"/>
        </w:rPr>
        <w:t xml:space="preserve">. De fato, civilidade e desenvoltura social são preditores do bem-estar psicológico e fatores protetivos para o desenvolvimento dos adolescentes </w:t>
      </w:r>
      <w:r w:rsidRPr="00406361">
        <w:rPr>
          <w:color w:val="000000" w:themeColor="text1"/>
          <w:highlight w:val="white"/>
          <w:lang w:val="pt-BR"/>
        </w:rPr>
        <w:t xml:space="preserve">(Leme et al., 2015), considerando que tais habilidades expressam tanto o respeito pelo outro quanto a sua própria integridade, potencializando relações adultas mais saudáveis </w:t>
      </w:r>
      <w:r w:rsidRPr="00406361">
        <w:rPr>
          <w:color w:val="000000" w:themeColor="text1"/>
          <w:lang w:val="pt-BR"/>
        </w:rPr>
        <w:t>(</w:t>
      </w:r>
      <w:r w:rsidR="00797647" w:rsidRPr="00406361">
        <w:rPr>
          <w:color w:val="000000" w:themeColor="text1"/>
          <w:lang w:val="pt-BR"/>
        </w:rPr>
        <w:t xml:space="preserve">Allemand et al., 2015; Caballo, 2014; </w:t>
      </w:r>
      <w:r w:rsidRPr="00406361">
        <w:rPr>
          <w:color w:val="000000" w:themeColor="text1"/>
          <w:lang w:val="pt-BR"/>
        </w:rPr>
        <w:t xml:space="preserve">Portillo et al., 2019). Ou seja, quanto mais expressão de comportamentos socialmente habilidosos, menos problemas nos relacionamentos e mais saudáveis estes são. </w:t>
      </w:r>
    </w:p>
    <w:p w14:paraId="4879A3D8" w14:textId="6E97DFA2" w:rsidR="000A610E" w:rsidRPr="00406361" w:rsidRDefault="000A610E" w:rsidP="003C1711">
      <w:pPr>
        <w:spacing w:line="360" w:lineRule="auto"/>
        <w:ind w:firstLine="700"/>
        <w:jc w:val="both"/>
        <w:rPr>
          <w:color w:val="000000" w:themeColor="text1"/>
          <w:lang w:val="pt-BR"/>
        </w:rPr>
      </w:pPr>
      <w:r w:rsidRPr="00406361">
        <w:rPr>
          <w:color w:val="000000" w:themeColor="text1"/>
          <w:lang w:val="pt-BR"/>
        </w:rPr>
        <w:t>As habilidades sociais, de maneira geral, auxiliam no amadurecimento e enfrentamento das situações da vida, através de ferramentas para resolução de problemas intrapessoais e interpessoais. Buscam facilitar o estabelecimento de relações saudáveis e manutenção da integridade pessoal com a expressão de opiniões, sentimentos, desejos e direitos (</w:t>
      </w:r>
      <w:r w:rsidR="00797647" w:rsidRPr="00406361">
        <w:rPr>
          <w:color w:val="000000" w:themeColor="text1"/>
          <w:lang w:val="pt-BR"/>
        </w:rPr>
        <w:t xml:space="preserve">Caballo, 2014; </w:t>
      </w:r>
      <w:r w:rsidRPr="00406361">
        <w:rPr>
          <w:color w:val="000000" w:themeColor="text1"/>
          <w:lang w:val="pt-BR"/>
        </w:rPr>
        <w:t>Portillo</w:t>
      </w:r>
      <w:r w:rsidR="00B35F03" w:rsidRPr="00406361">
        <w:rPr>
          <w:color w:val="000000" w:themeColor="text1"/>
          <w:lang w:val="pt-BR"/>
        </w:rPr>
        <w:t xml:space="preserve"> et al.</w:t>
      </w:r>
      <w:r w:rsidRPr="00406361">
        <w:rPr>
          <w:color w:val="000000" w:themeColor="text1"/>
          <w:lang w:val="pt-BR"/>
        </w:rPr>
        <w:t xml:space="preserve">, 2019). Dessa forma, estudos vêm demonstrando que maiores habilidades sociais </w:t>
      </w:r>
      <w:r w:rsidR="00797647" w:rsidRPr="00406361">
        <w:rPr>
          <w:color w:val="000000" w:themeColor="text1"/>
          <w:lang w:val="pt-BR"/>
        </w:rPr>
        <w:t>se apresentam</w:t>
      </w:r>
      <w:r w:rsidRPr="00406361">
        <w:rPr>
          <w:color w:val="000000" w:themeColor="text1"/>
          <w:lang w:val="pt-BR"/>
        </w:rPr>
        <w:t xml:space="preserve"> como fator de proteção para sintomas emocionais, como ansiedade, estresse, depressão, solidão e suicídio </w:t>
      </w:r>
      <w:hyperlink r:id="rId8">
        <w:r w:rsidRPr="00406361">
          <w:rPr>
            <w:color w:val="000000" w:themeColor="text1"/>
            <w:lang w:val="pt-BR"/>
          </w:rPr>
          <w:t>(</w:t>
        </w:r>
      </w:hyperlink>
      <w:r w:rsidR="00797647" w:rsidRPr="00406361">
        <w:rPr>
          <w:color w:val="000000" w:themeColor="text1"/>
          <w:lang w:val="pt-BR"/>
        </w:rPr>
        <w:t xml:space="preserve">Bolsoni-Silva &amp; Loureiro, 2016; </w:t>
      </w:r>
      <w:r w:rsidRPr="00406361">
        <w:rPr>
          <w:color w:val="000000" w:themeColor="text1"/>
          <w:lang w:val="pt-BR"/>
        </w:rPr>
        <w:t>Moeller &amp; Seehuus, 2019; Portillo et al., 2019</w:t>
      </w:r>
      <w:r w:rsidR="00797647" w:rsidRPr="00406361">
        <w:rPr>
          <w:color w:val="000000" w:themeColor="text1"/>
          <w:lang w:val="pt-BR"/>
        </w:rPr>
        <w:t>; Segrin, 2017</w:t>
      </w:r>
      <w:r w:rsidRPr="00406361">
        <w:rPr>
          <w:color w:val="000000" w:themeColor="text1"/>
          <w:lang w:val="pt-BR"/>
        </w:rPr>
        <w:t xml:space="preserve">). Também potencializam o bem-estar psicológico e emocional </w:t>
      </w:r>
      <w:r w:rsidRPr="00406361">
        <w:rPr>
          <w:color w:val="000000" w:themeColor="text1"/>
          <w:highlight w:val="white"/>
          <w:lang w:val="pt-BR"/>
        </w:rPr>
        <w:t>(Leme</w:t>
      </w:r>
      <w:r w:rsidR="00B35F03" w:rsidRPr="00406361">
        <w:rPr>
          <w:color w:val="000000" w:themeColor="text1"/>
          <w:highlight w:val="white"/>
          <w:lang w:val="pt-BR"/>
        </w:rPr>
        <w:t xml:space="preserve"> et al.</w:t>
      </w:r>
      <w:r w:rsidRPr="00406361">
        <w:rPr>
          <w:color w:val="000000" w:themeColor="text1"/>
          <w:highlight w:val="white"/>
          <w:lang w:val="pt-BR"/>
        </w:rPr>
        <w:t>, 2015)</w:t>
      </w:r>
      <w:r w:rsidRPr="00406361">
        <w:rPr>
          <w:color w:val="000000" w:themeColor="text1"/>
          <w:lang w:val="pt-BR"/>
        </w:rPr>
        <w:t>, influenciam no bom desempenho escolar (Bartholomeu</w:t>
      </w:r>
      <w:r w:rsidR="00B35F03" w:rsidRPr="00406361">
        <w:rPr>
          <w:color w:val="000000" w:themeColor="text1"/>
          <w:lang w:val="pt-BR"/>
        </w:rPr>
        <w:t xml:space="preserve"> et al.</w:t>
      </w:r>
      <w:r w:rsidRPr="00406361">
        <w:rPr>
          <w:color w:val="000000" w:themeColor="text1"/>
          <w:lang w:val="pt-BR"/>
        </w:rPr>
        <w:t xml:space="preserve">, 2016) e autoeficácia para escolha profissional e perspectiva positiva de futuro (Morais et al., 2021). </w:t>
      </w:r>
    </w:p>
    <w:p w14:paraId="7D8F6DBB" w14:textId="0938F8CD" w:rsidR="000A610E" w:rsidRPr="00406361" w:rsidRDefault="000A610E" w:rsidP="003C1711">
      <w:pPr>
        <w:spacing w:line="360" w:lineRule="auto"/>
        <w:ind w:firstLine="700"/>
        <w:jc w:val="both"/>
        <w:rPr>
          <w:color w:val="000000" w:themeColor="text1"/>
          <w:lang w:val="pt-BR"/>
        </w:rPr>
      </w:pPr>
      <w:r w:rsidRPr="00406361">
        <w:rPr>
          <w:color w:val="000000" w:themeColor="text1"/>
          <w:lang w:val="pt-BR"/>
        </w:rPr>
        <w:t xml:space="preserve">A falta de um repertório satisfatório de habilidades sociais, ou alto custo para emissão de comportamentos socialmente habilidosos, podem impactar na </w:t>
      </w:r>
      <w:r w:rsidR="00B35F03" w:rsidRPr="00406361">
        <w:rPr>
          <w:color w:val="000000" w:themeColor="text1"/>
          <w:lang w:val="pt-BR"/>
        </w:rPr>
        <w:t>expressão</w:t>
      </w:r>
      <w:r w:rsidRPr="00406361">
        <w:rPr>
          <w:color w:val="000000" w:themeColor="text1"/>
          <w:lang w:val="pt-BR"/>
        </w:rPr>
        <w:t xml:space="preserve"> dos mesmos na vida adulta (Allemand</w:t>
      </w:r>
      <w:r w:rsidR="00B35F03" w:rsidRPr="00406361">
        <w:rPr>
          <w:color w:val="000000" w:themeColor="text1"/>
          <w:lang w:val="pt-BR"/>
        </w:rPr>
        <w:t xml:space="preserve"> et al.</w:t>
      </w:r>
      <w:r w:rsidRPr="00406361">
        <w:rPr>
          <w:color w:val="000000" w:themeColor="text1"/>
          <w:lang w:val="pt-BR"/>
        </w:rPr>
        <w:t xml:space="preserve">, 2015). Na verdade, a expressão das habilidades sociais não está somente vinculada a </w:t>
      </w:r>
      <w:r w:rsidR="00797647" w:rsidRPr="00406361">
        <w:rPr>
          <w:color w:val="000000" w:themeColor="text1"/>
          <w:lang w:val="pt-BR"/>
        </w:rPr>
        <w:t>frequência</w:t>
      </w:r>
      <w:r w:rsidRPr="00406361">
        <w:rPr>
          <w:color w:val="000000" w:themeColor="text1"/>
          <w:lang w:val="pt-BR"/>
        </w:rPr>
        <w:t xml:space="preserve"> do comportamento, mas com a dificuldade e custo da expressão. A pessoa ao emitir um comportamento socialmente habilidoso pode passar por um desconforto ou ansiedade diante da situação desagradável, o que </w:t>
      </w:r>
      <w:r w:rsidR="00797647" w:rsidRPr="00406361">
        <w:rPr>
          <w:color w:val="000000" w:themeColor="text1"/>
          <w:lang w:val="pt-BR"/>
        </w:rPr>
        <w:t>se chama</w:t>
      </w:r>
      <w:r w:rsidRPr="00406361">
        <w:rPr>
          <w:color w:val="000000" w:themeColor="text1"/>
          <w:lang w:val="pt-BR"/>
        </w:rPr>
        <w:t xml:space="preserve"> de custo de resposta, já que pode não ter o costume de expressar a habilidade e a evitação ou fuga poderiam ser os primeiros comportamentos. Entretanto, com a dessensibilzação e habituação da expressão do </w:t>
      </w:r>
      <w:r w:rsidR="00797647" w:rsidRPr="00406361">
        <w:rPr>
          <w:color w:val="000000" w:themeColor="text1"/>
          <w:lang w:val="pt-BR"/>
        </w:rPr>
        <w:t>comportamento</w:t>
      </w:r>
      <w:r w:rsidRPr="00406361">
        <w:rPr>
          <w:color w:val="000000" w:themeColor="text1"/>
          <w:lang w:val="pt-BR"/>
        </w:rPr>
        <w:t xml:space="preserve">, pode-se ter uma resposta mais habilidosa sem tanto custo (Del Prette &amp; Del Prette, 2002). Ou seja, quanto mais cedo a pessoa estiver em ambientes habilidosos e expressar comportamentos habilidosos maior a chance da </w:t>
      </w:r>
      <w:r w:rsidR="00B35F03" w:rsidRPr="00406361">
        <w:rPr>
          <w:color w:val="000000" w:themeColor="text1"/>
          <w:lang w:val="pt-BR"/>
        </w:rPr>
        <w:t>frequência</w:t>
      </w:r>
      <w:r w:rsidRPr="00406361">
        <w:rPr>
          <w:color w:val="000000" w:themeColor="text1"/>
          <w:lang w:val="pt-BR"/>
        </w:rPr>
        <w:t xml:space="preserve"> e menor o custo da resposta.</w:t>
      </w:r>
    </w:p>
    <w:p w14:paraId="02719E17" w14:textId="4C7CA1AB" w:rsidR="000A610E" w:rsidRPr="00406361" w:rsidRDefault="000A610E" w:rsidP="003C1711">
      <w:pPr>
        <w:spacing w:line="360" w:lineRule="auto"/>
        <w:ind w:firstLine="700"/>
        <w:jc w:val="both"/>
        <w:rPr>
          <w:color w:val="000000" w:themeColor="text1"/>
          <w:lang w:val="pt-BR"/>
        </w:rPr>
      </w:pPr>
      <w:r w:rsidRPr="00406361">
        <w:rPr>
          <w:color w:val="000000" w:themeColor="text1"/>
          <w:lang w:val="pt-BR"/>
        </w:rPr>
        <w:t>Dessa forma, compreende-se que os pais sejam também responsáveis pelos comportamentos habilidosos dos filhos, já que as habilidades sociais são aprendidas por modelagem e experiências (Del Prette &amp; Del Prette, 2010). Diversos estudos afirmam que o suporte oferecido para lidar com as mudanças da vida do adolescente também pode ser fundamental para a construção e manutenção das habilidades sociais (</w:t>
      </w:r>
      <w:r w:rsidR="00797647" w:rsidRPr="00406361">
        <w:rPr>
          <w:color w:val="000000" w:themeColor="text1"/>
          <w:lang w:val="pt-BR"/>
        </w:rPr>
        <w:t xml:space="preserve">Fernández-Henriquez et al., 2018; Leme et al., 2015; </w:t>
      </w:r>
      <w:r w:rsidRPr="00406361">
        <w:rPr>
          <w:color w:val="000000" w:themeColor="text1"/>
          <w:lang w:val="pt-BR"/>
        </w:rPr>
        <w:t>Mombelli</w:t>
      </w:r>
      <w:r w:rsidR="00B35F03" w:rsidRPr="00406361">
        <w:rPr>
          <w:color w:val="000000" w:themeColor="text1"/>
          <w:lang w:val="pt-BR"/>
        </w:rPr>
        <w:t xml:space="preserve"> et al.</w:t>
      </w:r>
      <w:r w:rsidRPr="00406361">
        <w:rPr>
          <w:color w:val="000000" w:themeColor="text1"/>
          <w:lang w:val="pt-BR"/>
        </w:rPr>
        <w:t>, 2011), assim como para diminuição do custo de resposta (Del Prette &amp; Del Prette, 2002). Assim,</w:t>
      </w:r>
      <w:r w:rsidRPr="00406361">
        <w:rPr>
          <w:color w:val="000000" w:themeColor="text1"/>
          <w:highlight w:val="white"/>
          <w:lang w:val="pt-BR"/>
        </w:rPr>
        <w:t xml:space="preserve"> as relações e interações entre pais e filhos têm forte impacto na adolescência, considerando que é através dessas que se potencializa o desenvolvimento comportamental dos adolescentes e, dessa forma, a qualidade da interação pode ser fator de risco ou proteção </w:t>
      </w:r>
      <w:r w:rsidRPr="00406361">
        <w:rPr>
          <w:color w:val="000000" w:themeColor="text1"/>
          <w:lang w:val="pt-BR"/>
        </w:rPr>
        <w:t xml:space="preserve">(Loos &amp; Casemiro, 2010). Por isso, vê-se a importância do tipo de relações estabelecidas entre pais e filhos, sendo necessário olhar para a presença de conflitos e afetividade nos relacionamentos. </w:t>
      </w:r>
    </w:p>
    <w:p w14:paraId="5BCA9545" w14:textId="62058B3E" w:rsidR="000A610E" w:rsidRPr="00406361" w:rsidRDefault="000A610E" w:rsidP="003C1711">
      <w:pPr>
        <w:spacing w:line="360" w:lineRule="auto"/>
        <w:ind w:firstLine="700"/>
        <w:jc w:val="both"/>
        <w:rPr>
          <w:color w:val="000000" w:themeColor="text1"/>
          <w:lang w:val="pt-BR"/>
        </w:rPr>
      </w:pPr>
      <w:r w:rsidRPr="00406361">
        <w:rPr>
          <w:color w:val="000000" w:themeColor="text1"/>
          <w:lang w:val="pt-BR"/>
        </w:rPr>
        <w:t>O conflito refere-se a emoções negativas e desagradáveis, bem como comportamentos desadaptativos, incluindo agressividade, má compreensão e falta de afeto positivo e suporte; isso geraria estresse e agressividade dentro e fora do contexto familiar (Teodoro, 2006), além de falha no suporte emocional (</w:t>
      </w:r>
      <w:hyperlink r:id="rId9">
        <w:r w:rsidRPr="00406361">
          <w:rPr>
            <w:color w:val="000000" w:themeColor="text1"/>
            <w:lang w:val="pt-BR"/>
          </w:rPr>
          <w:t>Kase</w:t>
        </w:r>
        <w:r w:rsidR="00B35F03" w:rsidRPr="00406361">
          <w:rPr>
            <w:color w:val="000000" w:themeColor="text1"/>
            <w:lang w:val="pt-BR"/>
          </w:rPr>
          <w:t xml:space="preserve"> et al.</w:t>
        </w:r>
      </w:hyperlink>
      <w:hyperlink r:id="rId10">
        <w:r w:rsidRPr="00406361">
          <w:rPr>
            <w:color w:val="000000" w:themeColor="text1"/>
            <w:lang w:val="pt-BR"/>
          </w:rPr>
          <w:t>, 2016)</w:t>
        </w:r>
      </w:hyperlink>
      <w:r w:rsidRPr="00406361">
        <w:rPr>
          <w:color w:val="000000" w:themeColor="text1"/>
          <w:lang w:val="pt-BR"/>
        </w:rPr>
        <w:t xml:space="preserve"> e sofrimento psicológico (Correia &amp; Mota, 2017). Por outro lado, a afetividade diz respeito a emoções positivas, acolhedoras e amigáveis, como a tolerância, carinho e atenção. Dessa forma, os relacionamentos afetuosos, que também são identificados como suporte social, trabalham como fator de proteção para problemas emocionais (Xu</w:t>
      </w:r>
      <w:r w:rsidR="00B35F03" w:rsidRPr="00406361">
        <w:rPr>
          <w:color w:val="000000" w:themeColor="text1"/>
          <w:lang w:val="pt-BR"/>
        </w:rPr>
        <w:t xml:space="preserve"> et al.</w:t>
      </w:r>
      <w:r w:rsidRPr="00406361">
        <w:rPr>
          <w:color w:val="000000" w:themeColor="text1"/>
          <w:lang w:val="pt-BR"/>
        </w:rPr>
        <w:t xml:space="preserve">, 2019). </w:t>
      </w:r>
    </w:p>
    <w:p w14:paraId="05CD6BC3" w14:textId="32E4992D" w:rsidR="000A610E" w:rsidRPr="00406361" w:rsidRDefault="000A610E" w:rsidP="003C1711">
      <w:pPr>
        <w:spacing w:line="360" w:lineRule="auto"/>
        <w:ind w:firstLine="700"/>
        <w:jc w:val="both"/>
        <w:rPr>
          <w:color w:val="000000" w:themeColor="text1"/>
          <w:lang w:val="pt-BR"/>
        </w:rPr>
      </w:pPr>
      <w:r w:rsidRPr="00406361">
        <w:rPr>
          <w:color w:val="000000" w:themeColor="text1"/>
          <w:lang w:val="pt-BR"/>
        </w:rPr>
        <w:t>Considerando que os adolescentes aprendem por observação e imitação, as relações interpessoais no ambiente familiar podem ser fator de risco e/ou proteção para sintomas emocionais, como depressão (Babore et al., 2016), ansiedade, dificuldades sociais (Davies</w:t>
      </w:r>
      <w:r w:rsidR="00B35F03" w:rsidRPr="00406361">
        <w:rPr>
          <w:color w:val="000000" w:themeColor="text1"/>
          <w:lang w:val="pt-BR"/>
        </w:rPr>
        <w:t xml:space="preserve"> et al.</w:t>
      </w:r>
      <w:r w:rsidRPr="00406361">
        <w:rPr>
          <w:color w:val="000000" w:themeColor="text1"/>
          <w:lang w:val="pt-BR"/>
        </w:rPr>
        <w:t xml:space="preserve">, 2018), solidão e dependência de internet (Ledur, 2019; Terres-Trintin &amp; Mossmann, 2016). Um estudo longitudinal acompanhou e analisou 235 famílias durante cinco anos, concluindo que os conflitos familiares nos anos iniciais predizem aumento de insegurança e problemas sociais na adolescência. Já as amizades e relacionamentos positivos foram fatores protetivos para desenvolvimento seguro de habilidades sociais (Davies et al., 2018). Outro estudo longitudinal com 404 famílias acompanhou e analisou crianças durante 10 anos (com cinco anos e novamente com 15 anos), mostrando que o suporte, afeto e acolhimento de mães na primeira infância tiveram resultados na regulação emocional dos filhos quando adolescentes (Perry et al., 2020). </w:t>
      </w:r>
    </w:p>
    <w:p w14:paraId="34ABCD57" w14:textId="45E10A08" w:rsidR="000A610E" w:rsidRPr="00406361" w:rsidRDefault="000A610E" w:rsidP="003C1711">
      <w:pPr>
        <w:spacing w:line="360" w:lineRule="auto"/>
        <w:ind w:firstLine="700"/>
        <w:jc w:val="both"/>
        <w:rPr>
          <w:color w:val="000000" w:themeColor="text1"/>
          <w:lang w:val="pt-BR"/>
        </w:rPr>
      </w:pPr>
      <w:r w:rsidRPr="00406361">
        <w:rPr>
          <w:color w:val="000000" w:themeColor="text1"/>
          <w:lang w:val="pt-BR"/>
        </w:rPr>
        <w:t>Portanto, relacionamentos conflituosos entre pais e filhos podem potencializar relacionamentos conflituosos e habilidades sociais deficientes, assim como problemas nos comportamentos. Já a baixa frequência de conflitos familiares, de abuso físico e de negligência materna, e alta afetividade e compreensão familiar podem ser considerados fatores de proteção para problemas de comportamento em adolescentes, mostrando-se como potencializadores para maiores repertórios de habilidades sociais (Campos</w:t>
      </w:r>
      <w:r w:rsidR="00B35F03" w:rsidRPr="00406361">
        <w:rPr>
          <w:color w:val="000000" w:themeColor="text1"/>
          <w:lang w:val="pt-BR"/>
        </w:rPr>
        <w:t xml:space="preserve"> et al.</w:t>
      </w:r>
      <w:r w:rsidRPr="00406361">
        <w:rPr>
          <w:color w:val="000000" w:themeColor="text1"/>
          <w:lang w:val="pt-BR"/>
        </w:rPr>
        <w:t>, 2019).</w:t>
      </w:r>
    </w:p>
    <w:p w14:paraId="48B96131" w14:textId="201B207F" w:rsidR="00575541" w:rsidRPr="00406361" w:rsidRDefault="000A610E" w:rsidP="003C1711">
      <w:pPr>
        <w:spacing w:line="360" w:lineRule="auto"/>
        <w:ind w:firstLine="720"/>
        <w:jc w:val="both"/>
        <w:rPr>
          <w:color w:val="000000" w:themeColor="text1"/>
          <w:lang w:val="pt-BR"/>
        </w:rPr>
      </w:pPr>
      <w:r w:rsidRPr="00406361">
        <w:rPr>
          <w:color w:val="000000" w:themeColor="text1"/>
          <w:lang w:val="pt-BR"/>
        </w:rPr>
        <w:t>Compreende-se então a importância das relações entre pais e filhos, ainda mais a relação permeada de afeto positivo (Gomide, 2011), considerando que a família tem papel fundamental na aquisição e manutenção das habilidades sociais, baixas habilidades podem prejudicar o progresso social (Fernández-Henriquez et al., 2018) e a saúde mental dos adolescentes (Bolsoni-Silva &amp; Loureiro, 2016). Visto isto, este estudo tem como objetivo verificar associações entre habilidades sociais de adolescentes e os seus relacionamentos familiares com mais ou menos conflitos e afetividade.</w:t>
      </w:r>
    </w:p>
    <w:p w14:paraId="2254AC27" w14:textId="6686267E" w:rsidR="006F7E7E" w:rsidRPr="00406361" w:rsidRDefault="001516ED" w:rsidP="001516ED">
      <w:pPr>
        <w:pStyle w:val="Ttulosinternos"/>
        <w:rPr>
          <w:color w:val="000000" w:themeColor="text1"/>
          <w:lang w:val="pt-BR"/>
        </w:rPr>
      </w:pPr>
      <w:r w:rsidRPr="00406361">
        <w:rPr>
          <w:color w:val="000000" w:themeColor="text1"/>
          <w:lang w:val="pt-BR"/>
        </w:rPr>
        <w:t>M</w:t>
      </w:r>
      <w:r w:rsidR="000A610E" w:rsidRPr="00406361">
        <w:rPr>
          <w:color w:val="000000" w:themeColor="text1"/>
          <w:lang w:val="pt-BR"/>
        </w:rPr>
        <w:t>étodo</w:t>
      </w:r>
    </w:p>
    <w:p w14:paraId="2F19162A" w14:textId="6F448A2F" w:rsidR="006F7E7E" w:rsidRPr="00406361" w:rsidRDefault="005B5614" w:rsidP="007E3B8D">
      <w:pPr>
        <w:pStyle w:val="SubtituloInterno"/>
        <w:rPr>
          <w:rFonts w:eastAsia="Calibri"/>
          <w:color w:val="000000" w:themeColor="text1"/>
          <w:lang w:val="pt-BR"/>
        </w:rPr>
      </w:pPr>
      <w:r w:rsidRPr="00406361">
        <w:rPr>
          <w:rFonts w:eastAsia="Calibri"/>
          <w:color w:val="000000" w:themeColor="text1"/>
          <w:lang w:val="pt-BR"/>
        </w:rPr>
        <w:t>Participant</w:t>
      </w:r>
      <w:r w:rsidR="000A610E" w:rsidRPr="00406361">
        <w:rPr>
          <w:rFonts w:eastAsia="Calibri"/>
          <w:color w:val="000000" w:themeColor="text1"/>
          <w:lang w:val="pt-BR"/>
        </w:rPr>
        <w:t>e</w:t>
      </w:r>
      <w:r w:rsidRPr="00406361">
        <w:rPr>
          <w:rFonts w:eastAsia="Calibri"/>
          <w:color w:val="000000" w:themeColor="text1"/>
          <w:lang w:val="pt-BR"/>
        </w:rPr>
        <w:t>s</w:t>
      </w:r>
    </w:p>
    <w:p w14:paraId="2ECD28CA" w14:textId="654AAFCB" w:rsidR="006F7E7E" w:rsidRPr="00406361" w:rsidRDefault="000A610E" w:rsidP="00CE7D65">
      <w:pPr>
        <w:pStyle w:val="Prrafocomn"/>
        <w:rPr>
          <w:rFonts w:eastAsia="Calibri"/>
          <w:color w:val="000000" w:themeColor="text1"/>
          <w:lang w:val="pt-BR" w:eastAsia="en-US"/>
        </w:rPr>
      </w:pPr>
      <w:r w:rsidRPr="00406361">
        <w:rPr>
          <w:color w:val="000000" w:themeColor="text1"/>
          <w:lang w:val="pt-BR"/>
        </w:rPr>
        <w:t>A amostra deste estudo foi constituída por 424 adolescentes com idades entre 14 e 18 anos (</w:t>
      </w:r>
      <w:r w:rsidRPr="00406361">
        <w:rPr>
          <w:i/>
          <w:color w:val="000000" w:themeColor="text1"/>
          <w:lang w:val="pt-BR"/>
        </w:rPr>
        <w:t xml:space="preserve">M </w:t>
      </w:r>
      <w:r w:rsidRPr="00406361">
        <w:rPr>
          <w:color w:val="000000" w:themeColor="text1"/>
          <w:lang w:val="pt-BR"/>
        </w:rPr>
        <w:t xml:space="preserve">= 16.06 anos; </w:t>
      </w:r>
      <w:r w:rsidRPr="00406361">
        <w:rPr>
          <w:i/>
          <w:color w:val="000000" w:themeColor="text1"/>
          <w:lang w:val="pt-BR"/>
        </w:rPr>
        <w:t xml:space="preserve">DP </w:t>
      </w:r>
      <w:r w:rsidRPr="00406361">
        <w:rPr>
          <w:color w:val="000000" w:themeColor="text1"/>
          <w:lang w:val="pt-BR"/>
        </w:rPr>
        <w:t>= .79), matriculados em três colégios da rede privada da região metropolitana de Porto Alegre/RS. Destes, 55.2% (</w:t>
      </w:r>
      <w:r w:rsidRPr="00406361">
        <w:rPr>
          <w:i/>
          <w:color w:val="000000" w:themeColor="text1"/>
          <w:lang w:val="pt-BR"/>
        </w:rPr>
        <w:t xml:space="preserve">n </w:t>
      </w:r>
      <w:r w:rsidRPr="00406361">
        <w:rPr>
          <w:color w:val="000000" w:themeColor="text1"/>
          <w:lang w:val="pt-BR"/>
        </w:rPr>
        <w:t>= 234) eram do sexo feminino e 44.8% (</w:t>
      </w:r>
      <w:r w:rsidRPr="00406361">
        <w:rPr>
          <w:i/>
          <w:color w:val="000000" w:themeColor="text1"/>
          <w:lang w:val="pt-BR"/>
        </w:rPr>
        <w:t xml:space="preserve">n </w:t>
      </w:r>
      <w:r w:rsidRPr="00406361">
        <w:rPr>
          <w:color w:val="000000" w:themeColor="text1"/>
          <w:lang w:val="pt-BR"/>
        </w:rPr>
        <w:t>= 190) do sexo masculino, e a maioria dos alunos frequentava o 1º ano do Ensino Médio (</w:t>
      </w:r>
      <w:r w:rsidRPr="00406361">
        <w:rPr>
          <w:i/>
          <w:color w:val="000000" w:themeColor="text1"/>
          <w:lang w:val="pt-BR"/>
        </w:rPr>
        <w:t xml:space="preserve">n </w:t>
      </w:r>
      <w:r w:rsidRPr="00406361">
        <w:rPr>
          <w:color w:val="000000" w:themeColor="text1"/>
          <w:lang w:val="pt-BR"/>
        </w:rPr>
        <w:t>= 251, 59.2%). Como critério de inclusão os participantes teriam que utilizar alguma TIC durante a semana. Como critério de exclusão, utilizou-se apenas os participantes que responderam com totalidade às escalas</w:t>
      </w:r>
      <w:r w:rsidR="00507B29" w:rsidRPr="00406361">
        <w:rPr>
          <w:color w:val="000000" w:themeColor="text1"/>
          <w:lang w:val="pt-BR" w:eastAsia="en-US"/>
        </w:rPr>
        <w:t>.</w:t>
      </w:r>
    </w:p>
    <w:p w14:paraId="0FA29A56" w14:textId="1959BD87" w:rsidR="006F7E7E" w:rsidRPr="00406361" w:rsidRDefault="00507B29" w:rsidP="007E3B8D">
      <w:pPr>
        <w:pStyle w:val="SubtituloInterno"/>
        <w:rPr>
          <w:color w:val="000000" w:themeColor="text1"/>
          <w:lang w:val="pt-BR"/>
        </w:rPr>
      </w:pPr>
      <w:r w:rsidRPr="00406361">
        <w:rPr>
          <w:color w:val="000000" w:themeColor="text1"/>
          <w:lang w:val="pt-BR"/>
        </w:rPr>
        <w:t>De</w:t>
      </w:r>
      <w:r w:rsidR="000A610E" w:rsidRPr="00406361">
        <w:rPr>
          <w:color w:val="000000" w:themeColor="text1"/>
          <w:lang w:val="pt-BR"/>
        </w:rPr>
        <w:t>lineamento</w:t>
      </w:r>
    </w:p>
    <w:p w14:paraId="2F0DA6D4" w14:textId="74B13913" w:rsidR="000A610E" w:rsidRPr="00406361" w:rsidRDefault="000A610E" w:rsidP="000A610E">
      <w:pPr>
        <w:ind w:firstLine="720"/>
        <w:jc w:val="both"/>
        <w:rPr>
          <w:color w:val="000000" w:themeColor="text1"/>
          <w:lang w:val="pt-BR"/>
        </w:rPr>
      </w:pPr>
      <w:r w:rsidRPr="00406361">
        <w:rPr>
          <w:color w:val="000000" w:themeColor="text1"/>
          <w:lang w:val="pt-BR"/>
        </w:rPr>
        <w:t>Trata-se de uma pesquisa quantitativa, correlacional e transversal (Sampieri</w:t>
      </w:r>
      <w:r w:rsidR="00B35F03" w:rsidRPr="00406361">
        <w:rPr>
          <w:color w:val="000000" w:themeColor="text1"/>
          <w:lang w:val="pt-BR"/>
        </w:rPr>
        <w:t xml:space="preserve"> et al.</w:t>
      </w:r>
      <w:r w:rsidRPr="00406361">
        <w:rPr>
          <w:color w:val="000000" w:themeColor="text1"/>
          <w:lang w:val="pt-BR"/>
        </w:rPr>
        <w:t>, 2013).</w:t>
      </w:r>
    </w:p>
    <w:p w14:paraId="526EC9AE" w14:textId="64E5A5B0" w:rsidR="00507B29" w:rsidRPr="00406361" w:rsidRDefault="000A610E" w:rsidP="00507B29">
      <w:pPr>
        <w:pStyle w:val="SubtituloInterno"/>
        <w:rPr>
          <w:color w:val="000000" w:themeColor="text1"/>
          <w:lang w:val="pt-BR"/>
        </w:rPr>
      </w:pPr>
      <w:r w:rsidRPr="00406361">
        <w:rPr>
          <w:color w:val="000000" w:themeColor="text1"/>
          <w:lang w:val="pt-BR"/>
        </w:rPr>
        <w:t>Instrumentos</w:t>
      </w:r>
    </w:p>
    <w:p w14:paraId="1F497A95" w14:textId="77777777" w:rsidR="000A610E" w:rsidRPr="00406361" w:rsidRDefault="000A610E" w:rsidP="000A610E">
      <w:pPr>
        <w:pStyle w:val="SubtituloInterno1"/>
        <w:rPr>
          <w:color w:val="000000" w:themeColor="text1"/>
          <w:lang w:val="pt-BR"/>
        </w:rPr>
      </w:pPr>
      <w:r w:rsidRPr="00406361">
        <w:rPr>
          <w:color w:val="000000" w:themeColor="text1"/>
          <w:lang w:val="pt-BR"/>
        </w:rPr>
        <w:t xml:space="preserve">Questionário sociodemográfico </w:t>
      </w:r>
    </w:p>
    <w:p w14:paraId="029B7F1A" w14:textId="2FC2DFAE" w:rsidR="000A610E" w:rsidRPr="00406361" w:rsidRDefault="000A610E" w:rsidP="003C1711">
      <w:pPr>
        <w:spacing w:line="360" w:lineRule="auto"/>
        <w:ind w:firstLine="720"/>
        <w:jc w:val="both"/>
        <w:rPr>
          <w:color w:val="000000" w:themeColor="text1"/>
          <w:lang w:val="pt-BR"/>
        </w:rPr>
      </w:pPr>
      <w:r w:rsidRPr="00406361">
        <w:rPr>
          <w:color w:val="000000" w:themeColor="text1"/>
          <w:lang w:val="pt-BR"/>
        </w:rPr>
        <w:t>O Questionário sociodemográfico foi desenvolvido pelo grupo de pesquisa “Intervenções Cognitivo-Comportamentais: Estudo e Pesquisa (ICCep)”. Tem o objetivo de caracterizar a amostra, através de dados como: idade, sexo, constituição familiar, escolaridade do adolescente e dos pais e/ou responsáveis, trabalho, esportes e hobbies.</w:t>
      </w:r>
    </w:p>
    <w:p w14:paraId="2267B5EE" w14:textId="77777777" w:rsidR="000A610E" w:rsidRPr="00406361" w:rsidRDefault="000A610E" w:rsidP="000A610E">
      <w:pPr>
        <w:pStyle w:val="SubtituloInterno1"/>
        <w:rPr>
          <w:color w:val="000000" w:themeColor="text1"/>
          <w:lang w:val="pt-BR"/>
        </w:rPr>
      </w:pPr>
      <w:r w:rsidRPr="00406361">
        <w:rPr>
          <w:color w:val="000000" w:themeColor="text1"/>
          <w:lang w:val="pt-BR"/>
        </w:rPr>
        <w:t>Inventário de Habilidades Sociais para Adolescentes (IHSA-Del-Prette)</w:t>
      </w:r>
    </w:p>
    <w:p w14:paraId="4A1754EC" w14:textId="5984EC3D" w:rsidR="000A610E" w:rsidRPr="00406361" w:rsidRDefault="000A610E" w:rsidP="003C1711">
      <w:pPr>
        <w:spacing w:line="360" w:lineRule="auto"/>
        <w:ind w:firstLine="720"/>
        <w:jc w:val="both"/>
        <w:rPr>
          <w:color w:val="000000" w:themeColor="text1"/>
          <w:lang w:val="pt-BR"/>
        </w:rPr>
      </w:pPr>
      <w:r w:rsidRPr="00406361">
        <w:rPr>
          <w:color w:val="000000" w:themeColor="text1"/>
          <w:lang w:val="pt-BR"/>
        </w:rPr>
        <w:t xml:space="preserve">O IHSA foi desenvolvido por Del Prette e Del Prette (2015) com objetivo de identificar e mensurar a frequência e dificuldade do repertório de habilidades sociais de adolescentes, através de uma escala com 38 itens sobre as interações sociais. O instrumento IHSA-Del-Prette também nos possibilita saber qual a dificuldade apresentada pelo adolescente referente a cada fator. O resultado se refere ao custo de resposta que o adolescente possui ao se comportar diante de determinada situação. Diante de uma escala Likert de cinco pontos, a escala avalia a frequência e a dificuldade na emissão do comportamento. Em relação à frequência, varia entre “me comporto assim no máximo 2 vezes (pouca frequência)” e “me comporto assim de 9 a 10 vezes (muita frequência)”; em relação à dificuldade, “0 </w:t>
      </w:r>
      <w:r w:rsidR="001827D3" w:rsidRPr="00406361">
        <w:rPr>
          <w:color w:val="000000" w:themeColor="text1"/>
          <w:lang w:val="pt-BR"/>
        </w:rPr>
        <w:t>–</w:t>
      </w:r>
      <w:r w:rsidRPr="00406361">
        <w:rPr>
          <w:color w:val="000000" w:themeColor="text1"/>
          <w:lang w:val="pt-BR"/>
        </w:rPr>
        <w:t xml:space="preserve"> sem nenhuma dificuldade” até “4 </w:t>
      </w:r>
      <w:r w:rsidR="001827D3" w:rsidRPr="00406361">
        <w:rPr>
          <w:color w:val="000000" w:themeColor="text1"/>
          <w:lang w:val="pt-BR"/>
        </w:rPr>
        <w:t>–</w:t>
      </w:r>
      <w:r w:rsidRPr="00406361">
        <w:rPr>
          <w:color w:val="000000" w:themeColor="text1"/>
          <w:lang w:val="pt-BR"/>
        </w:rPr>
        <w:t xml:space="preserve"> com total dificuldade”. Os resultados são analisados por meio de percentis de escore total e das subescalas: F1 </w:t>
      </w:r>
      <w:r w:rsidR="00797647" w:rsidRPr="00406361">
        <w:rPr>
          <w:color w:val="000000" w:themeColor="text1"/>
          <w:lang w:val="pt-BR"/>
        </w:rPr>
        <w:t>–</w:t>
      </w:r>
      <w:r w:rsidRPr="00406361">
        <w:rPr>
          <w:color w:val="000000" w:themeColor="text1"/>
          <w:lang w:val="pt-BR"/>
        </w:rPr>
        <w:t xml:space="preserve"> Empatia; F2 </w:t>
      </w:r>
      <w:r w:rsidR="00797647" w:rsidRPr="00406361">
        <w:rPr>
          <w:color w:val="000000" w:themeColor="text1"/>
          <w:lang w:val="pt-BR"/>
        </w:rPr>
        <w:t>–</w:t>
      </w:r>
      <w:r w:rsidRPr="00406361">
        <w:rPr>
          <w:color w:val="000000" w:themeColor="text1"/>
          <w:lang w:val="pt-BR"/>
        </w:rPr>
        <w:t xml:space="preserve"> Autocontrole; F3 </w:t>
      </w:r>
      <w:r w:rsidR="00797647" w:rsidRPr="00406361">
        <w:rPr>
          <w:color w:val="000000" w:themeColor="text1"/>
          <w:lang w:val="pt-BR"/>
        </w:rPr>
        <w:t>–</w:t>
      </w:r>
      <w:r w:rsidRPr="00406361">
        <w:rPr>
          <w:color w:val="000000" w:themeColor="text1"/>
          <w:lang w:val="pt-BR"/>
        </w:rPr>
        <w:t xml:space="preserve"> Civilidade; F4 </w:t>
      </w:r>
      <w:r w:rsidR="00797647" w:rsidRPr="00406361">
        <w:rPr>
          <w:color w:val="000000" w:themeColor="text1"/>
          <w:lang w:val="pt-BR"/>
        </w:rPr>
        <w:t>–</w:t>
      </w:r>
      <w:r w:rsidRPr="00406361">
        <w:rPr>
          <w:color w:val="000000" w:themeColor="text1"/>
          <w:lang w:val="pt-BR"/>
        </w:rPr>
        <w:t xml:space="preserve"> Assertividade; F5 </w:t>
      </w:r>
      <w:r w:rsidR="00797647" w:rsidRPr="00406361">
        <w:rPr>
          <w:color w:val="000000" w:themeColor="text1"/>
          <w:lang w:val="pt-BR"/>
        </w:rPr>
        <w:t>–</w:t>
      </w:r>
      <w:r w:rsidRPr="00406361">
        <w:rPr>
          <w:color w:val="000000" w:themeColor="text1"/>
          <w:lang w:val="pt-BR"/>
        </w:rPr>
        <w:t xml:space="preserve"> Abordagem Afetiva e F6 </w:t>
      </w:r>
      <w:r w:rsidR="00797647" w:rsidRPr="00406361">
        <w:rPr>
          <w:color w:val="000000" w:themeColor="text1"/>
          <w:lang w:val="pt-BR"/>
        </w:rPr>
        <w:t>–</w:t>
      </w:r>
      <w:r w:rsidRPr="00406361">
        <w:rPr>
          <w:color w:val="000000" w:themeColor="text1"/>
          <w:lang w:val="pt-BR"/>
        </w:rPr>
        <w:t xml:space="preserve"> Desenvoltura Social (Del Prette &amp; Del Prette, 2015). O presente estudo apresentou alpha de Cronbach de </w:t>
      </w:r>
      <w:r w:rsidR="00B35F03" w:rsidRPr="00406361">
        <w:rPr>
          <w:color w:val="000000" w:themeColor="text1"/>
          <w:lang w:val="pt-BR"/>
        </w:rPr>
        <w:t>.</w:t>
      </w:r>
      <w:r w:rsidRPr="00406361">
        <w:rPr>
          <w:color w:val="000000" w:themeColor="text1"/>
          <w:lang w:val="pt-BR"/>
        </w:rPr>
        <w:t xml:space="preserve">92 para a frequência e </w:t>
      </w:r>
      <w:r w:rsidR="00B35F03" w:rsidRPr="00406361">
        <w:rPr>
          <w:color w:val="000000" w:themeColor="text1"/>
          <w:lang w:val="pt-BR"/>
        </w:rPr>
        <w:t>.</w:t>
      </w:r>
      <w:r w:rsidRPr="00406361">
        <w:rPr>
          <w:color w:val="000000" w:themeColor="text1"/>
          <w:lang w:val="pt-BR"/>
        </w:rPr>
        <w:t>93 para a dificuldade. O instrumento IHSA-Del-Prette também nos possibilita saber qual a dificuldade apresentada pelo adolescente referente a cada fator. O resultado se refere ao custo de resposta que o adolescente possui ao se comportar diante de determinada situação.</w:t>
      </w:r>
    </w:p>
    <w:p w14:paraId="7C21AF48" w14:textId="77777777" w:rsidR="000A610E" w:rsidRPr="00406361" w:rsidRDefault="000A610E" w:rsidP="000A610E">
      <w:pPr>
        <w:pStyle w:val="SubtituloInterno1"/>
        <w:rPr>
          <w:color w:val="000000" w:themeColor="text1"/>
          <w:lang w:val="pt-BR"/>
        </w:rPr>
      </w:pPr>
      <w:r w:rsidRPr="00406361">
        <w:rPr>
          <w:color w:val="000000" w:themeColor="text1"/>
          <w:lang w:val="pt-BR"/>
        </w:rPr>
        <w:t>Familiograma</w:t>
      </w:r>
    </w:p>
    <w:p w14:paraId="7E1C10E4" w14:textId="120A1928" w:rsidR="00507B29" w:rsidRPr="00406361" w:rsidRDefault="000A610E" w:rsidP="003C1711">
      <w:pPr>
        <w:spacing w:line="360" w:lineRule="auto"/>
        <w:jc w:val="both"/>
        <w:rPr>
          <w:color w:val="000000" w:themeColor="text1"/>
          <w:lang w:val="pt-BR"/>
        </w:rPr>
      </w:pPr>
      <w:r w:rsidRPr="00406361">
        <w:rPr>
          <w:color w:val="000000" w:themeColor="text1"/>
          <w:lang w:val="pt-BR"/>
        </w:rPr>
        <w:tab/>
        <w:t>O Familiograma foi desenvolvido por Teodoro e Käppler (2003) e adaptado por Teodoro (2006), com objetivo de avaliar a percepção do participante sobre a afetividade e conflito nas suas relações familiares entre as díades pai/mãe e filho</w:t>
      </w:r>
      <w:r w:rsidR="00B35F03" w:rsidRPr="00406361">
        <w:rPr>
          <w:color w:val="000000" w:themeColor="text1"/>
          <w:lang w:val="pt-BR"/>
        </w:rPr>
        <w:t xml:space="preserve"> </w:t>
      </w:r>
      <w:r w:rsidRPr="00406361">
        <w:rPr>
          <w:color w:val="000000" w:themeColor="text1"/>
          <w:lang w:val="pt-BR"/>
        </w:rPr>
        <w:t xml:space="preserve">(participante). Diante de uma escala Likert de cinco pontos, “1 </w:t>
      </w:r>
      <w:r w:rsidR="00797647" w:rsidRPr="00406361">
        <w:rPr>
          <w:color w:val="000000" w:themeColor="text1"/>
          <w:lang w:val="pt-BR"/>
        </w:rPr>
        <w:t>–</w:t>
      </w:r>
      <w:r w:rsidRPr="00406361">
        <w:rPr>
          <w:color w:val="000000" w:themeColor="text1"/>
          <w:lang w:val="pt-BR"/>
        </w:rPr>
        <w:t xml:space="preserve"> De jeito nenhum” até “5 </w:t>
      </w:r>
      <w:r w:rsidR="00797647" w:rsidRPr="00406361">
        <w:rPr>
          <w:color w:val="000000" w:themeColor="text1"/>
          <w:lang w:val="pt-BR"/>
        </w:rPr>
        <w:t>–</w:t>
      </w:r>
      <w:r w:rsidRPr="00406361">
        <w:rPr>
          <w:color w:val="000000" w:themeColor="text1"/>
          <w:lang w:val="pt-BR"/>
        </w:rPr>
        <w:t xml:space="preserve"> Completamente”, eles respondem 22 afirmativas, 11 para cada dimensão afetividade e conflito. Os resultados foram analisados através de médias, considerando a maior e menor média de cada dimensão, não apresentando ponto de corte. No presente estudo apresentou alpha de .94 para afetividade e .92 para conflito.</w:t>
      </w:r>
    </w:p>
    <w:p w14:paraId="788EC80D" w14:textId="40841474" w:rsidR="004C1FD8" w:rsidRPr="00406361" w:rsidRDefault="007C3C14" w:rsidP="007E3B8D">
      <w:pPr>
        <w:pStyle w:val="SubtituloInterno"/>
        <w:rPr>
          <w:color w:val="000000" w:themeColor="text1"/>
          <w:lang w:val="pt-BR"/>
        </w:rPr>
      </w:pPr>
      <w:r w:rsidRPr="00406361">
        <w:rPr>
          <w:color w:val="000000" w:themeColor="text1"/>
          <w:lang w:val="pt-BR"/>
        </w:rPr>
        <w:t>Proced</w:t>
      </w:r>
      <w:r w:rsidR="000A610E" w:rsidRPr="00406361">
        <w:rPr>
          <w:color w:val="000000" w:themeColor="text1"/>
          <w:lang w:val="pt-BR"/>
        </w:rPr>
        <w:t>imentos</w:t>
      </w:r>
    </w:p>
    <w:p w14:paraId="2D23E3C8" w14:textId="51698BAA" w:rsidR="004C1FD8" w:rsidRPr="00406361" w:rsidRDefault="000A610E" w:rsidP="004C1FD8">
      <w:pPr>
        <w:pStyle w:val="Prrafocomn"/>
        <w:rPr>
          <w:color w:val="000000" w:themeColor="text1"/>
          <w:lang w:val="pt-BR"/>
        </w:rPr>
      </w:pPr>
      <w:r w:rsidRPr="00406361">
        <w:rPr>
          <w:color w:val="000000" w:themeColor="text1"/>
          <w:lang w:val="pt-BR"/>
        </w:rPr>
        <w:t>Foram agendadas duas datas com as instituições professores responsáveis, uma em que se realizou o convite à participação, de forma livre e espontânea dos adolescentes, e outra para preenchimento dos instrumentos em sala de aula. Os adolescentes que aceitaram participar levaram para casa o Termo de Consentimento Livre e Esclarecido (TCLE) para ser assinado pelos pais e/ou responsáveis, eles também receberam o Termo de Assentimento para eles mesmo assinarem. Somente com a entrega dos termos assinada foi possível continuar a realização a pesquisa, que já ocorreu na semana seguinte, de forma coletiva e de duração média de uma hora.</w:t>
      </w:r>
    </w:p>
    <w:p w14:paraId="0F4ED851" w14:textId="2D17256A" w:rsidR="007C3C14" w:rsidRPr="00406361" w:rsidRDefault="007C3C14" w:rsidP="007C3C14">
      <w:pPr>
        <w:pStyle w:val="SubtituloInterno"/>
        <w:rPr>
          <w:color w:val="000000" w:themeColor="text1"/>
          <w:lang w:val="pt-BR"/>
        </w:rPr>
      </w:pPr>
      <w:r w:rsidRPr="00406361">
        <w:rPr>
          <w:color w:val="000000" w:themeColor="text1"/>
          <w:lang w:val="pt-BR"/>
        </w:rPr>
        <w:t>Data analysis</w:t>
      </w:r>
    </w:p>
    <w:p w14:paraId="6442F045" w14:textId="77777777" w:rsidR="003C1711" w:rsidRPr="00406361" w:rsidRDefault="003C1711" w:rsidP="003C1711">
      <w:pPr>
        <w:spacing w:line="360" w:lineRule="auto"/>
        <w:ind w:firstLine="720"/>
        <w:jc w:val="both"/>
        <w:rPr>
          <w:color w:val="000000" w:themeColor="text1"/>
          <w:lang w:val="pt-BR"/>
        </w:rPr>
      </w:pPr>
      <w:r w:rsidRPr="00406361">
        <w:rPr>
          <w:color w:val="000000" w:themeColor="text1"/>
          <w:lang w:val="pt-BR"/>
        </w:rPr>
        <w:t xml:space="preserve">Os dados foram analisados por meio do </w:t>
      </w:r>
      <w:r w:rsidRPr="00406361">
        <w:rPr>
          <w:i/>
          <w:color w:val="000000" w:themeColor="text1"/>
          <w:lang w:val="pt-BR"/>
        </w:rPr>
        <w:t>Statistical Package for the Social Sciences</w:t>
      </w:r>
      <w:r w:rsidRPr="00406361">
        <w:rPr>
          <w:color w:val="000000" w:themeColor="text1"/>
          <w:lang w:val="pt-BR"/>
        </w:rPr>
        <w:t xml:space="preserve"> (SPSS), versão 25.0, utilizando um nível de significância de 5% (p ≤ .05). Inicialmente foram realizadas as análises descritivas contemplando frequências, porcentagens, média e desvio padrão da amostra. Posteriormente foram verificadas a distribuição dos dados pelo teste de Shapiro-Wilk verificando amostra não paramétrica.</w:t>
      </w:r>
    </w:p>
    <w:p w14:paraId="77086626" w14:textId="60DB1E53" w:rsidR="003C1711" w:rsidRPr="00406361" w:rsidRDefault="003C1711" w:rsidP="003C1711">
      <w:pPr>
        <w:spacing w:line="360" w:lineRule="auto"/>
        <w:ind w:firstLine="720"/>
        <w:jc w:val="both"/>
        <w:rPr>
          <w:color w:val="000000" w:themeColor="text1"/>
          <w:lang w:val="pt-BR"/>
        </w:rPr>
      </w:pPr>
      <w:r w:rsidRPr="00406361">
        <w:rPr>
          <w:color w:val="000000" w:themeColor="text1"/>
          <w:lang w:val="pt-BR"/>
        </w:rPr>
        <w:t>A partir disso definiu-se a utilização de testes não paramétricos. Para análise de correlações entre as variáveis utilizou-se o teste de Spearman. Para a interpretação das correlações, foi utilizada a mensuração sugerida por Dancey e Reidy (2011) em que de .10 a .39 a correlação é fraca, entre .40 a .69 moderada e entre .70 a .99, forte.</w:t>
      </w:r>
    </w:p>
    <w:p w14:paraId="6C032FBE" w14:textId="51275202" w:rsidR="007C3C14" w:rsidRPr="00406361" w:rsidRDefault="003C1711" w:rsidP="003C1711">
      <w:pPr>
        <w:spacing w:line="360" w:lineRule="auto"/>
        <w:ind w:firstLine="720"/>
        <w:jc w:val="both"/>
        <w:rPr>
          <w:color w:val="000000" w:themeColor="text1"/>
          <w:highlight w:val="yellow"/>
          <w:lang w:val="pt-BR"/>
        </w:rPr>
      </w:pPr>
      <w:r w:rsidRPr="00406361">
        <w:rPr>
          <w:color w:val="000000" w:themeColor="text1"/>
          <w:lang w:val="pt-BR"/>
        </w:rPr>
        <w:t>Os dados do IHSA-Del-Prette foram analisados por meio dos resultados brutos (escores totais e de cada escala), convertidos em posição percentil. Os percentis foram pontuados com base no manual considerando a amostra normativa do mesmo sexo e da mesma idade (Del Prette &amp; Del Prette, 2015).</w:t>
      </w:r>
    </w:p>
    <w:p w14:paraId="681BC02D" w14:textId="7A3FFA2F" w:rsidR="004C1FD8" w:rsidRPr="00406361" w:rsidRDefault="003C1711" w:rsidP="004C1FD8">
      <w:pPr>
        <w:pStyle w:val="SubtituloInterno"/>
        <w:rPr>
          <w:color w:val="000000" w:themeColor="text1"/>
          <w:lang w:val="pt-BR"/>
        </w:rPr>
      </w:pPr>
      <w:r w:rsidRPr="00406361">
        <w:rPr>
          <w:color w:val="000000" w:themeColor="text1"/>
          <w:lang w:val="pt-BR"/>
        </w:rPr>
        <w:t>Considerações éticas</w:t>
      </w:r>
    </w:p>
    <w:p w14:paraId="336975B6" w14:textId="3CA890C0" w:rsidR="00076F0A" w:rsidRPr="00406361" w:rsidRDefault="003C1711" w:rsidP="004C1FD8">
      <w:pPr>
        <w:pStyle w:val="Prrafocomn"/>
        <w:rPr>
          <w:color w:val="000000" w:themeColor="text1"/>
          <w:lang w:val="pt-BR"/>
        </w:rPr>
      </w:pPr>
      <w:r w:rsidRPr="00406361">
        <w:rPr>
          <w:color w:val="000000" w:themeColor="text1"/>
          <w:lang w:val="pt-BR"/>
        </w:rPr>
        <w:t>O presente estudo atendeu às exigências éticas previstas nas resoluções 510/2016 do Conselho Nacional de Saúde (</w:t>
      </w:r>
      <w:r w:rsidR="00B35F03" w:rsidRPr="00406361">
        <w:rPr>
          <w:color w:val="000000" w:themeColor="text1"/>
          <w:lang w:val="pt-BR"/>
        </w:rPr>
        <w:t xml:space="preserve">CNS, </w:t>
      </w:r>
      <w:r w:rsidRPr="00406361">
        <w:rPr>
          <w:color w:val="000000" w:themeColor="text1"/>
          <w:lang w:val="pt-BR"/>
        </w:rPr>
        <w:t xml:space="preserve">2016). As instituições de Ensino Médio privadas foram selecionadas por conveniência, e após o seu consentimento e assinatura da carta de anuência para a realização da pesquisa, foi recebido a aprovação do Comitê de Ética em Pesquisa (CEP) da </w:t>
      </w:r>
      <w:r w:rsidR="00EB70A8" w:rsidRPr="00406361">
        <w:rPr>
          <w:color w:val="000000" w:themeColor="text1"/>
          <w:lang w:val="pt-BR"/>
        </w:rPr>
        <w:t>XXX</w:t>
      </w:r>
      <w:r w:rsidRPr="00406361">
        <w:rPr>
          <w:color w:val="000000" w:themeColor="text1"/>
          <w:lang w:val="pt-BR"/>
        </w:rPr>
        <w:t xml:space="preserve"> através do parecer nº 2.043.419.</w:t>
      </w:r>
    </w:p>
    <w:p w14:paraId="61754C2A" w14:textId="35EA10D9" w:rsidR="006F7E7E" w:rsidRPr="00406361" w:rsidRDefault="005B5614" w:rsidP="00CE7D65">
      <w:pPr>
        <w:pStyle w:val="Ttulosinternos"/>
        <w:rPr>
          <w:color w:val="000000" w:themeColor="text1"/>
          <w:lang w:val="pt-BR"/>
        </w:rPr>
      </w:pPr>
      <w:r w:rsidRPr="00406361">
        <w:rPr>
          <w:color w:val="000000" w:themeColor="text1"/>
          <w:lang w:val="pt-BR"/>
        </w:rPr>
        <w:t>Result</w:t>
      </w:r>
      <w:r w:rsidR="00B35F03" w:rsidRPr="00406361">
        <w:rPr>
          <w:color w:val="000000" w:themeColor="text1"/>
          <w:lang w:val="pt-BR"/>
        </w:rPr>
        <w:t>ado</w:t>
      </w:r>
      <w:r w:rsidRPr="00406361">
        <w:rPr>
          <w:color w:val="000000" w:themeColor="text1"/>
          <w:lang w:val="pt-BR"/>
        </w:rPr>
        <w:t>s</w:t>
      </w:r>
    </w:p>
    <w:p w14:paraId="0839B6F5" w14:textId="6C17F097" w:rsidR="003C1711" w:rsidRPr="00406361" w:rsidRDefault="003C1711" w:rsidP="003C1711">
      <w:pPr>
        <w:spacing w:before="240" w:after="240" w:line="360" w:lineRule="auto"/>
        <w:ind w:firstLine="720"/>
        <w:jc w:val="both"/>
        <w:rPr>
          <w:color w:val="000000" w:themeColor="text1"/>
          <w:lang w:val="pt-BR"/>
        </w:rPr>
      </w:pPr>
      <w:r w:rsidRPr="00406361">
        <w:rPr>
          <w:color w:val="000000" w:themeColor="text1"/>
          <w:lang w:val="pt-BR"/>
        </w:rPr>
        <w:t xml:space="preserve">O IHSA-Del-Prette apresenta os repertórios de habilidades sociais reportados como mais frequentes pela amostra e classificados de acordo com as normativas do manual. O F3 </w:t>
      </w:r>
      <w:r w:rsidR="00B35F03" w:rsidRPr="00406361">
        <w:rPr>
          <w:color w:val="000000" w:themeColor="text1"/>
          <w:lang w:val="pt-BR"/>
        </w:rPr>
        <w:t>–</w:t>
      </w:r>
      <w:r w:rsidRPr="00406361">
        <w:rPr>
          <w:color w:val="000000" w:themeColor="text1"/>
          <w:lang w:val="pt-BR"/>
        </w:rPr>
        <w:t xml:space="preserve"> Civilidade (</w:t>
      </w:r>
      <w:r w:rsidRPr="00406361">
        <w:rPr>
          <w:i/>
          <w:color w:val="000000" w:themeColor="text1"/>
          <w:lang w:val="pt-BR"/>
        </w:rPr>
        <w:t xml:space="preserve">n </w:t>
      </w:r>
      <w:r w:rsidRPr="00406361">
        <w:rPr>
          <w:color w:val="000000" w:themeColor="text1"/>
          <w:lang w:val="pt-BR"/>
        </w:rPr>
        <w:t xml:space="preserve">= 138; 32.5%) foi o único fator com o repertório altamente elaborado com resultados acima da média, indicativo de recursos interpessoais altamente satisfatórios. Os adolescentes também apresentaram um bom repertório no F6 </w:t>
      </w:r>
      <w:r w:rsidR="00B35F03" w:rsidRPr="00406361">
        <w:rPr>
          <w:color w:val="000000" w:themeColor="text1"/>
          <w:lang w:val="pt-BR"/>
        </w:rPr>
        <w:t>–</w:t>
      </w:r>
      <w:r w:rsidRPr="00406361">
        <w:rPr>
          <w:color w:val="000000" w:themeColor="text1"/>
          <w:lang w:val="pt-BR"/>
        </w:rPr>
        <w:t xml:space="preserve"> Desenvoltura social (</w:t>
      </w:r>
      <w:r w:rsidRPr="00406361">
        <w:rPr>
          <w:i/>
          <w:color w:val="000000" w:themeColor="text1"/>
          <w:lang w:val="pt-BR"/>
        </w:rPr>
        <w:t xml:space="preserve">n </w:t>
      </w:r>
      <w:r w:rsidRPr="00406361">
        <w:rPr>
          <w:color w:val="000000" w:themeColor="text1"/>
          <w:lang w:val="pt-BR"/>
        </w:rPr>
        <w:t>= 137; 32</w:t>
      </w:r>
      <w:r w:rsidR="00B35F03" w:rsidRPr="00406361">
        <w:rPr>
          <w:color w:val="000000" w:themeColor="text1"/>
          <w:lang w:val="pt-BR"/>
        </w:rPr>
        <w:t>.</w:t>
      </w:r>
      <w:r w:rsidRPr="00406361">
        <w:rPr>
          <w:color w:val="000000" w:themeColor="text1"/>
          <w:lang w:val="pt-BR"/>
        </w:rPr>
        <w:t>3%), pois possuíram resultados dentro da média para a maior parte dos itens ou equilíbrio entre recursos e déficits. Os fatores F1 – Empatia (</w:t>
      </w:r>
      <w:r w:rsidRPr="00406361">
        <w:rPr>
          <w:i/>
          <w:color w:val="000000" w:themeColor="text1"/>
          <w:lang w:val="pt-BR"/>
        </w:rPr>
        <w:t xml:space="preserve">n </w:t>
      </w:r>
      <w:r w:rsidRPr="00406361">
        <w:rPr>
          <w:color w:val="000000" w:themeColor="text1"/>
          <w:lang w:val="pt-BR"/>
        </w:rPr>
        <w:t>= 141; 33</w:t>
      </w:r>
      <w:r w:rsidR="00B35F03" w:rsidRPr="00406361">
        <w:rPr>
          <w:color w:val="000000" w:themeColor="text1"/>
          <w:lang w:val="pt-BR"/>
        </w:rPr>
        <w:t>.</w:t>
      </w:r>
      <w:r w:rsidRPr="00406361">
        <w:rPr>
          <w:color w:val="000000" w:themeColor="text1"/>
          <w:lang w:val="pt-BR"/>
        </w:rPr>
        <w:t xml:space="preserve">3%), F2 </w:t>
      </w:r>
      <w:r w:rsidR="00B35F03" w:rsidRPr="00406361">
        <w:rPr>
          <w:color w:val="000000" w:themeColor="text1"/>
          <w:lang w:val="pt-BR"/>
        </w:rPr>
        <w:t>–</w:t>
      </w:r>
      <w:r w:rsidRPr="00406361">
        <w:rPr>
          <w:color w:val="000000" w:themeColor="text1"/>
          <w:lang w:val="pt-BR"/>
        </w:rPr>
        <w:t xml:space="preserve"> Autocontrole (</w:t>
      </w:r>
      <w:r w:rsidRPr="00406361">
        <w:rPr>
          <w:i/>
          <w:color w:val="000000" w:themeColor="text1"/>
          <w:lang w:val="pt-BR"/>
        </w:rPr>
        <w:t xml:space="preserve">n </w:t>
      </w:r>
      <w:r w:rsidRPr="00406361">
        <w:rPr>
          <w:color w:val="000000" w:themeColor="text1"/>
          <w:lang w:val="pt-BR"/>
        </w:rPr>
        <w:t>= 137; 32</w:t>
      </w:r>
      <w:r w:rsidR="00B35F03" w:rsidRPr="00406361">
        <w:rPr>
          <w:color w:val="000000" w:themeColor="text1"/>
          <w:lang w:val="pt-BR"/>
        </w:rPr>
        <w:t>.</w:t>
      </w:r>
      <w:r w:rsidRPr="00406361">
        <w:rPr>
          <w:color w:val="000000" w:themeColor="text1"/>
          <w:lang w:val="pt-BR"/>
        </w:rPr>
        <w:t xml:space="preserve">3%), F4 </w:t>
      </w:r>
      <w:r w:rsidR="00B35F03" w:rsidRPr="00406361">
        <w:rPr>
          <w:color w:val="000000" w:themeColor="text1"/>
          <w:lang w:val="pt-BR"/>
        </w:rPr>
        <w:t>–</w:t>
      </w:r>
      <w:r w:rsidRPr="00406361">
        <w:rPr>
          <w:color w:val="000000" w:themeColor="text1"/>
          <w:lang w:val="pt-BR"/>
        </w:rPr>
        <w:t xml:space="preserve"> Assertividade (</w:t>
      </w:r>
      <w:r w:rsidRPr="00406361">
        <w:rPr>
          <w:i/>
          <w:color w:val="000000" w:themeColor="text1"/>
          <w:lang w:val="pt-BR"/>
        </w:rPr>
        <w:t>n</w:t>
      </w:r>
      <w:r w:rsidRPr="00406361">
        <w:rPr>
          <w:color w:val="000000" w:themeColor="text1"/>
          <w:lang w:val="pt-BR"/>
        </w:rPr>
        <w:t xml:space="preserve"> = 143; 33</w:t>
      </w:r>
      <w:r w:rsidR="00B35F03" w:rsidRPr="00406361">
        <w:rPr>
          <w:color w:val="000000" w:themeColor="text1"/>
          <w:lang w:val="pt-BR"/>
        </w:rPr>
        <w:t>.</w:t>
      </w:r>
      <w:r w:rsidRPr="00406361">
        <w:rPr>
          <w:color w:val="000000" w:themeColor="text1"/>
          <w:lang w:val="pt-BR"/>
        </w:rPr>
        <w:t>7%), F5 – Abordagem Afetiva (</w:t>
      </w:r>
      <w:r w:rsidRPr="00406361">
        <w:rPr>
          <w:i/>
          <w:color w:val="000000" w:themeColor="text1"/>
          <w:lang w:val="pt-BR"/>
        </w:rPr>
        <w:t xml:space="preserve">n </w:t>
      </w:r>
      <w:r w:rsidRPr="00406361">
        <w:rPr>
          <w:color w:val="000000" w:themeColor="text1"/>
          <w:lang w:val="pt-BR"/>
        </w:rPr>
        <w:t>= 185; 43</w:t>
      </w:r>
      <w:r w:rsidR="00B35F03" w:rsidRPr="00406361">
        <w:rPr>
          <w:color w:val="000000" w:themeColor="text1"/>
          <w:lang w:val="pt-BR"/>
        </w:rPr>
        <w:t>.</w:t>
      </w:r>
      <w:r w:rsidRPr="00406361">
        <w:rPr>
          <w:color w:val="000000" w:themeColor="text1"/>
          <w:lang w:val="pt-BR"/>
        </w:rPr>
        <w:t>6%) e o Escore Total (</w:t>
      </w:r>
      <w:r w:rsidRPr="00406361">
        <w:rPr>
          <w:i/>
          <w:color w:val="000000" w:themeColor="text1"/>
          <w:lang w:val="pt-BR"/>
        </w:rPr>
        <w:t>n</w:t>
      </w:r>
      <w:r w:rsidRPr="00406361">
        <w:rPr>
          <w:color w:val="000000" w:themeColor="text1"/>
          <w:lang w:val="pt-BR"/>
        </w:rPr>
        <w:t xml:space="preserve"> = 125; 39</w:t>
      </w:r>
      <w:r w:rsidR="00B35F03" w:rsidRPr="00406361">
        <w:rPr>
          <w:color w:val="000000" w:themeColor="text1"/>
          <w:lang w:val="pt-BR"/>
        </w:rPr>
        <w:t>.</w:t>
      </w:r>
      <w:r w:rsidRPr="00406361">
        <w:rPr>
          <w:color w:val="000000" w:themeColor="text1"/>
          <w:lang w:val="pt-BR"/>
        </w:rPr>
        <w:t>5%) apresentaram uma classificação abaixo da média inferior. Todas as frequências juntamente com o alfa de Cronbach referente a cada fator encontram-se na Tabela 1.</w:t>
      </w:r>
    </w:p>
    <w:p w14:paraId="08CAB0EA" w14:textId="2B1A934B" w:rsidR="003C1711" w:rsidRPr="00406361" w:rsidRDefault="003C1711" w:rsidP="003C1711">
      <w:pPr>
        <w:rPr>
          <w:color w:val="000000" w:themeColor="text1"/>
          <w:sz w:val="20"/>
          <w:szCs w:val="20"/>
          <w:lang w:val="pt-BR"/>
        </w:rPr>
      </w:pPr>
      <w:r w:rsidRPr="00406361">
        <w:rPr>
          <w:color w:val="000000" w:themeColor="text1"/>
          <w:sz w:val="20"/>
          <w:szCs w:val="20"/>
          <w:lang w:val="pt-BR"/>
        </w:rPr>
        <w:t xml:space="preserve">Tabela </w:t>
      </w:r>
      <w:r w:rsidR="00EB70A8" w:rsidRPr="00406361">
        <w:rPr>
          <w:color w:val="000000" w:themeColor="text1"/>
          <w:sz w:val="20"/>
          <w:szCs w:val="20"/>
          <w:lang w:val="pt-BR"/>
        </w:rPr>
        <w:t>1</w:t>
      </w:r>
    </w:p>
    <w:p w14:paraId="62F1C2F1" w14:textId="2750A15A" w:rsidR="003C1711" w:rsidRPr="00406361" w:rsidRDefault="003C1711" w:rsidP="003C1711">
      <w:pPr>
        <w:rPr>
          <w:i/>
          <w:color w:val="000000" w:themeColor="text1"/>
          <w:sz w:val="20"/>
          <w:szCs w:val="20"/>
          <w:lang w:val="pt-BR"/>
        </w:rPr>
      </w:pPr>
      <w:r w:rsidRPr="00406361">
        <w:rPr>
          <w:i/>
          <w:color w:val="000000" w:themeColor="text1"/>
          <w:sz w:val="20"/>
          <w:szCs w:val="20"/>
          <w:lang w:val="pt-BR"/>
        </w:rPr>
        <w:t>Indicador de frequências do IHSA-Del-Prette</w:t>
      </w:r>
    </w:p>
    <w:tbl>
      <w:tblPr>
        <w:tblW w:w="9555" w:type="dxa"/>
        <w:tblBorders>
          <w:top w:val="nil"/>
          <w:left w:val="nil"/>
          <w:bottom w:val="nil"/>
          <w:right w:val="nil"/>
          <w:insideH w:val="nil"/>
          <w:insideV w:val="nil"/>
        </w:tblBorders>
        <w:tblLayout w:type="fixed"/>
        <w:tblLook w:val="0600" w:firstRow="0" w:lastRow="0" w:firstColumn="0" w:lastColumn="0" w:noHBand="1" w:noVBand="1"/>
      </w:tblPr>
      <w:tblGrid>
        <w:gridCol w:w="2552"/>
        <w:gridCol w:w="1417"/>
        <w:gridCol w:w="1134"/>
        <w:gridCol w:w="1134"/>
        <w:gridCol w:w="1134"/>
        <w:gridCol w:w="1134"/>
        <w:gridCol w:w="1050"/>
      </w:tblGrid>
      <w:tr w:rsidR="00406361" w:rsidRPr="00406361" w14:paraId="140EA9E5" w14:textId="77777777" w:rsidTr="00797647">
        <w:trPr>
          <w:trHeight w:val="96"/>
        </w:trPr>
        <w:tc>
          <w:tcPr>
            <w:tcW w:w="2552" w:type="dxa"/>
            <w:tcBorders>
              <w:top w:val="single" w:sz="8" w:space="0" w:color="000000"/>
              <w:left w:val="nil"/>
              <w:bottom w:val="nil"/>
              <w:right w:val="nil"/>
            </w:tcBorders>
            <w:tcMar>
              <w:top w:w="100" w:type="dxa"/>
              <w:left w:w="100" w:type="dxa"/>
              <w:bottom w:w="100" w:type="dxa"/>
              <w:right w:w="100" w:type="dxa"/>
            </w:tcMar>
          </w:tcPr>
          <w:p w14:paraId="6FD091C2" w14:textId="77777777" w:rsidR="003C1711" w:rsidRPr="00406361" w:rsidRDefault="003C1711" w:rsidP="003C1711">
            <w:pPr>
              <w:rPr>
                <w:color w:val="000000" w:themeColor="text1"/>
                <w:sz w:val="20"/>
                <w:szCs w:val="20"/>
                <w:lang w:val="pt-BR"/>
              </w:rPr>
            </w:pPr>
            <w:r w:rsidRPr="00406361">
              <w:rPr>
                <w:color w:val="000000" w:themeColor="text1"/>
                <w:sz w:val="20"/>
                <w:szCs w:val="20"/>
                <w:lang w:val="pt-BR"/>
              </w:rPr>
              <w:t xml:space="preserve"> </w:t>
            </w:r>
          </w:p>
        </w:tc>
        <w:tc>
          <w:tcPr>
            <w:tcW w:w="5953" w:type="dxa"/>
            <w:gridSpan w:val="5"/>
            <w:tcBorders>
              <w:top w:val="single" w:sz="8" w:space="0" w:color="000000"/>
              <w:left w:val="nil"/>
              <w:bottom w:val="single" w:sz="8" w:space="0" w:color="000000"/>
              <w:right w:val="nil"/>
            </w:tcBorders>
            <w:tcMar>
              <w:top w:w="100" w:type="dxa"/>
              <w:left w:w="100" w:type="dxa"/>
              <w:bottom w:w="100" w:type="dxa"/>
              <w:right w:w="100" w:type="dxa"/>
            </w:tcMar>
          </w:tcPr>
          <w:p w14:paraId="2F74A322"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 xml:space="preserve">Indicador de frequência do IHSA-Del-Prette </w:t>
            </w:r>
            <w:r w:rsidRPr="00406361">
              <w:rPr>
                <w:i/>
                <w:color w:val="000000" w:themeColor="text1"/>
                <w:sz w:val="20"/>
                <w:szCs w:val="20"/>
                <w:lang w:val="pt-BR"/>
              </w:rPr>
              <w:t xml:space="preserve">n </w:t>
            </w:r>
            <w:r w:rsidRPr="00406361">
              <w:rPr>
                <w:color w:val="000000" w:themeColor="text1"/>
                <w:sz w:val="20"/>
                <w:szCs w:val="20"/>
                <w:lang w:val="pt-BR"/>
              </w:rPr>
              <w:t>(%)</w:t>
            </w:r>
          </w:p>
        </w:tc>
        <w:tc>
          <w:tcPr>
            <w:tcW w:w="1050" w:type="dxa"/>
            <w:tcBorders>
              <w:top w:val="single" w:sz="8" w:space="0" w:color="000000"/>
              <w:left w:val="nil"/>
              <w:bottom w:val="nil"/>
              <w:right w:val="nil"/>
            </w:tcBorders>
            <w:shd w:val="clear" w:color="auto" w:fill="auto"/>
            <w:tcMar>
              <w:top w:w="100" w:type="dxa"/>
              <w:left w:w="100" w:type="dxa"/>
              <w:bottom w:w="100" w:type="dxa"/>
              <w:right w:w="100" w:type="dxa"/>
            </w:tcMar>
          </w:tcPr>
          <w:p w14:paraId="28A3194F"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 xml:space="preserve"> </w:t>
            </w:r>
          </w:p>
        </w:tc>
      </w:tr>
      <w:tr w:rsidR="00406361" w:rsidRPr="00406361" w14:paraId="471434D1" w14:textId="77777777" w:rsidTr="00797647">
        <w:trPr>
          <w:trHeight w:val="389"/>
        </w:trPr>
        <w:tc>
          <w:tcPr>
            <w:tcW w:w="2552" w:type="dxa"/>
            <w:tcBorders>
              <w:top w:val="nil"/>
              <w:left w:val="nil"/>
              <w:bottom w:val="single" w:sz="8" w:space="0" w:color="000000"/>
              <w:right w:val="nil"/>
            </w:tcBorders>
            <w:shd w:val="clear" w:color="auto" w:fill="auto"/>
            <w:tcMar>
              <w:top w:w="100" w:type="dxa"/>
              <w:left w:w="100" w:type="dxa"/>
              <w:bottom w:w="100" w:type="dxa"/>
              <w:right w:w="100" w:type="dxa"/>
            </w:tcMar>
          </w:tcPr>
          <w:p w14:paraId="11986087" w14:textId="77777777" w:rsidR="003C1711" w:rsidRPr="00406361" w:rsidRDefault="003C1711" w:rsidP="003C1711">
            <w:pPr>
              <w:rPr>
                <w:color w:val="000000" w:themeColor="text1"/>
                <w:sz w:val="20"/>
                <w:szCs w:val="20"/>
                <w:lang w:val="pt-BR"/>
              </w:rPr>
            </w:pPr>
            <w:r w:rsidRPr="00406361">
              <w:rPr>
                <w:color w:val="000000" w:themeColor="text1"/>
                <w:sz w:val="20"/>
                <w:szCs w:val="20"/>
                <w:lang w:val="pt-BR"/>
              </w:rPr>
              <w:t xml:space="preserve"> </w:t>
            </w:r>
          </w:p>
        </w:tc>
        <w:tc>
          <w:tcPr>
            <w:tcW w:w="1417"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1DBBE693" w14:textId="77777777" w:rsidR="003C1711" w:rsidRPr="00406361" w:rsidRDefault="003C1711" w:rsidP="00797647">
            <w:pPr>
              <w:jc w:val="center"/>
              <w:rPr>
                <w:color w:val="000000" w:themeColor="text1"/>
                <w:sz w:val="20"/>
                <w:szCs w:val="20"/>
                <w:lang w:val="pt-BR"/>
              </w:rPr>
            </w:pPr>
            <w:r w:rsidRPr="00406361">
              <w:rPr>
                <w:color w:val="000000" w:themeColor="text1"/>
                <w:sz w:val="20"/>
                <w:szCs w:val="20"/>
                <w:lang w:val="pt-BR"/>
              </w:rPr>
              <w:t>Abaixo da média inferior</w:t>
            </w:r>
          </w:p>
        </w:tc>
        <w:tc>
          <w:tcPr>
            <w:tcW w:w="1134"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vAlign w:val="center"/>
          </w:tcPr>
          <w:p w14:paraId="4C894C79" w14:textId="77777777" w:rsidR="003C1711" w:rsidRPr="00406361" w:rsidRDefault="003C1711" w:rsidP="00797647">
            <w:pPr>
              <w:jc w:val="center"/>
              <w:rPr>
                <w:color w:val="000000" w:themeColor="text1"/>
                <w:sz w:val="20"/>
                <w:szCs w:val="20"/>
                <w:lang w:val="pt-BR"/>
              </w:rPr>
            </w:pPr>
            <w:r w:rsidRPr="00406361">
              <w:rPr>
                <w:color w:val="000000" w:themeColor="text1"/>
                <w:sz w:val="20"/>
                <w:szCs w:val="20"/>
                <w:lang w:val="pt-BR"/>
              </w:rPr>
              <w:t>Médio inferior</w:t>
            </w:r>
          </w:p>
        </w:tc>
        <w:tc>
          <w:tcPr>
            <w:tcW w:w="1134"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vAlign w:val="center"/>
          </w:tcPr>
          <w:p w14:paraId="4A47AB34" w14:textId="77777777" w:rsidR="003C1711" w:rsidRPr="00406361" w:rsidRDefault="003C1711" w:rsidP="00797647">
            <w:pPr>
              <w:jc w:val="center"/>
              <w:rPr>
                <w:color w:val="000000" w:themeColor="text1"/>
                <w:sz w:val="20"/>
                <w:szCs w:val="20"/>
                <w:lang w:val="pt-BR"/>
              </w:rPr>
            </w:pPr>
            <w:r w:rsidRPr="00406361">
              <w:rPr>
                <w:color w:val="000000" w:themeColor="text1"/>
                <w:sz w:val="20"/>
                <w:szCs w:val="20"/>
                <w:lang w:val="pt-BR"/>
              </w:rPr>
              <w:t>Bom repertório</w:t>
            </w:r>
          </w:p>
        </w:tc>
        <w:tc>
          <w:tcPr>
            <w:tcW w:w="1134"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vAlign w:val="center"/>
          </w:tcPr>
          <w:p w14:paraId="3A7FBD49" w14:textId="77777777" w:rsidR="003C1711" w:rsidRPr="00406361" w:rsidRDefault="003C1711" w:rsidP="00797647">
            <w:pPr>
              <w:jc w:val="center"/>
              <w:rPr>
                <w:color w:val="000000" w:themeColor="text1"/>
                <w:sz w:val="20"/>
                <w:szCs w:val="20"/>
                <w:lang w:val="pt-BR"/>
              </w:rPr>
            </w:pPr>
            <w:r w:rsidRPr="00406361">
              <w:rPr>
                <w:color w:val="000000" w:themeColor="text1"/>
                <w:sz w:val="20"/>
                <w:szCs w:val="20"/>
                <w:lang w:val="pt-BR"/>
              </w:rPr>
              <w:t>Repertório elaborado</w:t>
            </w:r>
          </w:p>
        </w:tc>
        <w:tc>
          <w:tcPr>
            <w:tcW w:w="1134" w:type="dxa"/>
            <w:tcBorders>
              <w:top w:val="single" w:sz="8" w:space="0" w:color="000000"/>
              <w:left w:val="nil"/>
              <w:bottom w:val="single" w:sz="8" w:space="0" w:color="000000"/>
              <w:right w:val="nil"/>
            </w:tcBorders>
            <w:shd w:val="clear" w:color="auto" w:fill="auto"/>
            <w:tcMar>
              <w:top w:w="100" w:type="dxa"/>
              <w:left w:w="100" w:type="dxa"/>
              <w:bottom w:w="100" w:type="dxa"/>
              <w:right w:w="100" w:type="dxa"/>
            </w:tcMar>
            <w:vAlign w:val="center"/>
          </w:tcPr>
          <w:p w14:paraId="518D79BA" w14:textId="77777777" w:rsidR="003C1711" w:rsidRPr="00406361" w:rsidRDefault="003C1711" w:rsidP="00797647">
            <w:pPr>
              <w:jc w:val="center"/>
              <w:rPr>
                <w:color w:val="000000" w:themeColor="text1"/>
                <w:sz w:val="20"/>
                <w:szCs w:val="20"/>
                <w:lang w:val="pt-BR"/>
              </w:rPr>
            </w:pPr>
            <w:r w:rsidRPr="00406361">
              <w:rPr>
                <w:color w:val="000000" w:themeColor="text1"/>
                <w:sz w:val="20"/>
                <w:szCs w:val="20"/>
                <w:lang w:val="pt-BR"/>
              </w:rPr>
              <w:t>Repertório altamente elaborado</w:t>
            </w:r>
          </w:p>
        </w:tc>
        <w:tc>
          <w:tcPr>
            <w:tcW w:w="1050" w:type="dxa"/>
            <w:tcBorders>
              <w:top w:val="nil"/>
              <w:left w:val="nil"/>
              <w:bottom w:val="single" w:sz="8" w:space="0" w:color="000000"/>
              <w:right w:val="nil"/>
            </w:tcBorders>
            <w:shd w:val="clear" w:color="auto" w:fill="auto"/>
            <w:tcMar>
              <w:top w:w="100" w:type="dxa"/>
              <w:left w:w="100" w:type="dxa"/>
              <w:bottom w:w="100" w:type="dxa"/>
              <w:right w:w="100" w:type="dxa"/>
            </w:tcMar>
            <w:vAlign w:val="center"/>
          </w:tcPr>
          <w:p w14:paraId="3B83B71A" w14:textId="77777777" w:rsidR="003C1711" w:rsidRPr="00406361" w:rsidRDefault="003C1711" w:rsidP="00797647">
            <w:pPr>
              <w:jc w:val="center"/>
              <w:rPr>
                <w:color w:val="000000" w:themeColor="text1"/>
                <w:sz w:val="20"/>
                <w:szCs w:val="20"/>
                <w:lang w:val="pt-BR"/>
              </w:rPr>
            </w:pPr>
            <w:r w:rsidRPr="00406361">
              <w:rPr>
                <w:color w:val="000000" w:themeColor="text1"/>
                <w:sz w:val="20"/>
                <w:szCs w:val="20"/>
                <w:lang w:val="pt-BR"/>
              </w:rPr>
              <w:t>α de Cronbach</w:t>
            </w:r>
          </w:p>
        </w:tc>
      </w:tr>
      <w:tr w:rsidR="00406361" w:rsidRPr="00406361" w14:paraId="5AD47D17" w14:textId="77777777" w:rsidTr="00797647">
        <w:trPr>
          <w:trHeight w:val="18"/>
        </w:trPr>
        <w:tc>
          <w:tcPr>
            <w:tcW w:w="2552" w:type="dxa"/>
            <w:tcBorders>
              <w:top w:val="nil"/>
              <w:left w:val="nil"/>
              <w:bottom w:val="nil"/>
              <w:right w:val="nil"/>
            </w:tcBorders>
            <w:shd w:val="clear" w:color="auto" w:fill="auto"/>
            <w:tcMar>
              <w:top w:w="100" w:type="dxa"/>
              <w:left w:w="100" w:type="dxa"/>
              <w:bottom w:w="100" w:type="dxa"/>
              <w:right w:w="100" w:type="dxa"/>
            </w:tcMar>
          </w:tcPr>
          <w:p w14:paraId="6D3AFDA1" w14:textId="77777777" w:rsidR="003C1711" w:rsidRPr="00406361" w:rsidRDefault="003C1711" w:rsidP="00797647">
            <w:pPr>
              <w:ind w:right="40" w:hanging="6"/>
              <w:rPr>
                <w:color w:val="000000" w:themeColor="text1"/>
                <w:sz w:val="20"/>
                <w:szCs w:val="20"/>
                <w:lang w:val="pt-BR"/>
              </w:rPr>
            </w:pPr>
            <w:r w:rsidRPr="00406361">
              <w:rPr>
                <w:color w:val="000000" w:themeColor="text1"/>
                <w:sz w:val="20"/>
                <w:szCs w:val="20"/>
                <w:lang w:val="pt-BR"/>
              </w:rPr>
              <w:t>F1 – Empatia</w:t>
            </w:r>
          </w:p>
        </w:tc>
        <w:tc>
          <w:tcPr>
            <w:tcW w:w="1417" w:type="dxa"/>
            <w:tcBorders>
              <w:top w:val="nil"/>
              <w:left w:val="nil"/>
              <w:bottom w:val="nil"/>
              <w:right w:val="nil"/>
            </w:tcBorders>
            <w:shd w:val="clear" w:color="auto" w:fill="auto"/>
            <w:tcMar>
              <w:top w:w="100" w:type="dxa"/>
              <w:left w:w="100" w:type="dxa"/>
              <w:bottom w:w="100" w:type="dxa"/>
              <w:right w:w="100" w:type="dxa"/>
            </w:tcMar>
          </w:tcPr>
          <w:p w14:paraId="0B21032D"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141 (33.3)*</w:t>
            </w:r>
          </w:p>
        </w:tc>
        <w:tc>
          <w:tcPr>
            <w:tcW w:w="1134" w:type="dxa"/>
            <w:tcBorders>
              <w:top w:val="nil"/>
              <w:left w:val="nil"/>
              <w:bottom w:val="nil"/>
              <w:right w:val="nil"/>
            </w:tcBorders>
            <w:shd w:val="clear" w:color="auto" w:fill="auto"/>
            <w:tcMar>
              <w:top w:w="100" w:type="dxa"/>
              <w:left w:w="100" w:type="dxa"/>
              <w:bottom w:w="100" w:type="dxa"/>
              <w:right w:w="100" w:type="dxa"/>
            </w:tcMar>
          </w:tcPr>
          <w:p w14:paraId="0C83883A"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49 (11.6)</w:t>
            </w:r>
          </w:p>
        </w:tc>
        <w:tc>
          <w:tcPr>
            <w:tcW w:w="1134" w:type="dxa"/>
            <w:tcBorders>
              <w:top w:val="nil"/>
              <w:left w:val="nil"/>
              <w:bottom w:val="nil"/>
              <w:right w:val="nil"/>
            </w:tcBorders>
            <w:shd w:val="clear" w:color="auto" w:fill="auto"/>
            <w:tcMar>
              <w:top w:w="100" w:type="dxa"/>
              <w:left w:w="100" w:type="dxa"/>
              <w:bottom w:w="100" w:type="dxa"/>
              <w:right w:w="100" w:type="dxa"/>
            </w:tcMar>
          </w:tcPr>
          <w:p w14:paraId="2D0DD95C"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113 (26.7)</w:t>
            </w:r>
          </w:p>
        </w:tc>
        <w:tc>
          <w:tcPr>
            <w:tcW w:w="1134" w:type="dxa"/>
            <w:tcBorders>
              <w:top w:val="nil"/>
              <w:left w:val="nil"/>
              <w:bottom w:val="nil"/>
              <w:right w:val="nil"/>
            </w:tcBorders>
            <w:shd w:val="clear" w:color="auto" w:fill="auto"/>
            <w:tcMar>
              <w:top w:w="100" w:type="dxa"/>
              <w:left w:w="100" w:type="dxa"/>
              <w:bottom w:w="100" w:type="dxa"/>
              <w:right w:w="100" w:type="dxa"/>
            </w:tcMar>
          </w:tcPr>
          <w:p w14:paraId="0758726C"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33 (7.8)</w:t>
            </w:r>
          </w:p>
        </w:tc>
        <w:tc>
          <w:tcPr>
            <w:tcW w:w="1134" w:type="dxa"/>
            <w:tcBorders>
              <w:top w:val="nil"/>
              <w:left w:val="nil"/>
              <w:bottom w:val="nil"/>
              <w:right w:val="nil"/>
            </w:tcBorders>
            <w:shd w:val="clear" w:color="auto" w:fill="auto"/>
            <w:tcMar>
              <w:top w:w="100" w:type="dxa"/>
              <w:left w:w="100" w:type="dxa"/>
              <w:bottom w:w="100" w:type="dxa"/>
              <w:right w:w="100" w:type="dxa"/>
            </w:tcMar>
          </w:tcPr>
          <w:p w14:paraId="672A3E19"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88 (20.8)</w:t>
            </w:r>
          </w:p>
        </w:tc>
        <w:tc>
          <w:tcPr>
            <w:tcW w:w="1050" w:type="dxa"/>
            <w:tcBorders>
              <w:top w:val="nil"/>
              <w:left w:val="nil"/>
              <w:bottom w:val="nil"/>
              <w:right w:val="nil"/>
            </w:tcBorders>
            <w:shd w:val="clear" w:color="auto" w:fill="auto"/>
            <w:tcMar>
              <w:top w:w="100" w:type="dxa"/>
              <w:left w:w="100" w:type="dxa"/>
              <w:bottom w:w="100" w:type="dxa"/>
              <w:right w:w="100" w:type="dxa"/>
            </w:tcMar>
          </w:tcPr>
          <w:p w14:paraId="5A9D2D02"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.80</w:t>
            </w:r>
          </w:p>
        </w:tc>
      </w:tr>
      <w:tr w:rsidR="00406361" w:rsidRPr="00406361" w14:paraId="1DC0B74A" w14:textId="77777777" w:rsidTr="00797647">
        <w:trPr>
          <w:trHeight w:val="347"/>
        </w:trPr>
        <w:tc>
          <w:tcPr>
            <w:tcW w:w="2552" w:type="dxa"/>
            <w:tcBorders>
              <w:top w:val="nil"/>
              <w:left w:val="nil"/>
              <w:bottom w:val="nil"/>
              <w:right w:val="nil"/>
            </w:tcBorders>
            <w:shd w:val="clear" w:color="auto" w:fill="auto"/>
            <w:tcMar>
              <w:top w:w="100" w:type="dxa"/>
              <w:left w:w="100" w:type="dxa"/>
              <w:bottom w:w="100" w:type="dxa"/>
              <w:right w:w="100" w:type="dxa"/>
            </w:tcMar>
          </w:tcPr>
          <w:p w14:paraId="24CFD39E" w14:textId="575012C1" w:rsidR="003C1711" w:rsidRPr="00406361" w:rsidRDefault="003C1711" w:rsidP="00797647">
            <w:pPr>
              <w:ind w:right="40" w:hanging="6"/>
              <w:rPr>
                <w:color w:val="000000" w:themeColor="text1"/>
                <w:sz w:val="20"/>
                <w:szCs w:val="20"/>
                <w:lang w:val="pt-BR"/>
              </w:rPr>
            </w:pPr>
            <w:r w:rsidRPr="00406361">
              <w:rPr>
                <w:color w:val="000000" w:themeColor="text1"/>
                <w:sz w:val="20"/>
                <w:szCs w:val="20"/>
                <w:lang w:val="pt-BR"/>
              </w:rPr>
              <w:t xml:space="preserve">F2 </w:t>
            </w:r>
            <w:r w:rsidR="00B35F03" w:rsidRPr="00406361">
              <w:rPr>
                <w:color w:val="000000" w:themeColor="text1"/>
                <w:sz w:val="20"/>
                <w:szCs w:val="20"/>
                <w:lang w:val="pt-BR"/>
              </w:rPr>
              <w:t>–</w:t>
            </w:r>
            <w:r w:rsidRPr="00406361">
              <w:rPr>
                <w:color w:val="000000" w:themeColor="text1"/>
                <w:sz w:val="20"/>
                <w:szCs w:val="20"/>
                <w:lang w:val="pt-BR"/>
              </w:rPr>
              <w:t xml:space="preserve"> Autocontrole</w:t>
            </w:r>
          </w:p>
        </w:tc>
        <w:tc>
          <w:tcPr>
            <w:tcW w:w="1417" w:type="dxa"/>
            <w:tcBorders>
              <w:top w:val="nil"/>
              <w:left w:val="nil"/>
              <w:bottom w:val="nil"/>
              <w:right w:val="nil"/>
            </w:tcBorders>
            <w:shd w:val="clear" w:color="auto" w:fill="auto"/>
            <w:tcMar>
              <w:top w:w="100" w:type="dxa"/>
              <w:left w:w="100" w:type="dxa"/>
              <w:bottom w:w="100" w:type="dxa"/>
              <w:right w:w="100" w:type="dxa"/>
            </w:tcMar>
          </w:tcPr>
          <w:p w14:paraId="53F61C54"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137 (32.3)*</w:t>
            </w:r>
          </w:p>
        </w:tc>
        <w:tc>
          <w:tcPr>
            <w:tcW w:w="1134" w:type="dxa"/>
            <w:tcBorders>
              <w:top w:val="nil"/>
              <w:left w:val="nil"/>
              <w:bottom w:val="nil"/>
              <w:right w:val="nil"/>
            </w:tcBorders>
            <w:shd w:val="clear" w:color="auto" w:fill="auto"/>
            <w:tcMar>
              <w:top w:w="100" w:type="dxa"/>
              <w:left w:w="100" w:type="dxa"/>
              <w:bottom w:w="100" w:type="dxa"/>
              <w:right w:w="100" w:type="dxa"/>
            </w:tcMar>
          </w:tcPr>
          <w:p w14:paraId="23A9AABE"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32 (7.5)</w:t>
            </w:r>
          </w:p>
        </w:tc>
        <w:tc>
          <w:tcPr>
            <w:tcW w:w="1134" w:type="dxa"/>
            <w:tcBorders>
              <w:top w:val="nil"/>
              <w:left w:val="nil"/>
              <w:bottom w:val="nil"/>
              <w:right w:val="nil"/>
            </w:tcBorders>
            <w:shd w:val="clear" w:color="auto" w:fill="auto"/>
            <w:tcMar>
              <w:top w:w="100" w:type="dxa"/>
              <w:left w:w="100" w:type="dxa"/>
              <w:bottom w:w="100" w:type="dxa"/>
              <w:right w:w="100" w:type="dxa"/>
            </w:tcMar>
          </w:tcPr>
          <w:p w14:paraId="3F0807E6"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108 (25.5)</w:t>
            </w:r>
          </w:p>
        </w:tc>
        <w:tc>
          <w:tcPr>
            <w:tcW w:w="1134" w:type="dxa"/>
            <w:tcBorders>
              <w:top w:val="nil"/>
              <w:left w:val="nil"/>
              <w:bottom w:val="nil"/>
              <w:right w:val="nil"/>
            </w:tcBorders>
            <w:shd w:val="clear" w:color="auto" w:fill="auto"/>
            <w:tcMar>
              <w:top w:w="100" w:type="dxa"/>
              <w:left w:w="100" w:type="dxa"/>
              <w:bottom w:w="100" w:type="dxa"/>
              <w:right w:w="100" w:type="dxa"/>
            </w:tcMar>
          </w:tcPr>
          <w:p w14:paraId="3223EA55"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45 (10.6)</w:t>
            </w:r>
          </w:p>
        </w:tc>
        <w:tc>
          <w:tcPr>
            <w:tcW w:w="1134" w:type="dxa"/>
            <w:tcBorders>
              <w:top w:val="nil"/>
              <w:left w:val="nil"/>
              <w:bottom w:val="nil"/>
              <w:right w:val="nil"/>
            </w:tcBorders>
            <w:shd w:val="clear" w:color="auto" w:fill="auto"/>
            <w:tcMar>
              <w:top w:w="100" w:type="dxa"/>
              <w:left w:w="100" w:type="dxa"/>
              <w:bottom w:w="100" w:type="dxa"/>
              <w:right w:w="100" w:type="dxa"/>
            </w:tcMar>
          </w:tcPr>
          <w:p w14:paraId="26E1884F"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102 (24.1)</w:t>
            </w:r>
          </w:p>
        </w:tc>
        <w:tc>
          <w:tcPr>
            <w:tcW w:w="1050" w:type="dxa"/>
            <w:tcBorders>
              <w:top w:val="nil"/>
              <w:left w:val="nil"/>
              <w:bottom w:val="nil"/>
              <w:right w:val="nil"/>
            </w:tcBorders>
            <w:shd w:val="clear" w:color="auto" w:fill="auto"/>
            <w:tcMar>
              <w:top w:w="100" w:type="dxa"/>
              <w:left w:w="100" w:type="dxa"/>
              <w:bottom w:w="100" w:type="dxa"/>
              <w:right w:w="100" w:type="dxa"/>
            </w:tcMar>
          </w:tcPr>
          <w:p w14:paraId="353718D7"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.83</w:t>
            </w:r>
          </w:p>
        </w:tc>
      </w:tr>
      <w:tr w:rsidR="00406361" w:rsidRPr="00406361" w14:paraId="0DBADBDB" w14:textId="77777777" w:rsidTr="00797647">
        <w:trPr>
          <w:trHeight w:val="24"/>
        </w:trPr>
        <w:tc>
          <w:tcPr>
            <w:tcW w:w="2552" w:type="dxa"/>
            <w:tcBorders>
              <w:top w:val="nil"/>
              <w:left w:val="nil"/>
              <w:bottom w:val="nil"/>
              <w:right w:val="nil"/>
            </w:tcBorders>
            <w:shd w:val="clear" w:color="auto" w:fill="auto"/>
            <w:tcMar>
              <w:top w:w="100" w:type="dxa"/>
              <w:left w:w="100" w:type="dxa"/>
              <w:bottom w:w="100" w:type="dxa"/>
              <w:right w:w="100" w:type="dxa"/>
            </w:tcMar>
          </w:tcPr>
          <w:p w14:paraId="05445ACB" w14:textId="49DA663D" w:rsidR="003C1711" w:rsidRPr="00406361" w:rsidRDefault="003C1711" w:rsidP="00797647">
            <w:pPr>
              <w:ind w:right="40" w:hanging="6"/>
              <w:rPr>
                <w:color w:val="000000" w:themeColor="text1"/>
                <w:sz w:val="20"/>
                <w:szCs w:val="20"/>
                <w:lang w:val="pt-BR"/>
              </w:rPr>
            </w:pPr>
            <w:r w:rsidRPr="00406361">
              <w:rPr>
                <w:color w:val="000000" w:themeColor="text1"/>
                <w:sz w:val="20"/>
                <w:szCs w:val="20"/>
                <w:lang w:val="pt-BR"/>
              </w:rPr>
              <w:t xml:space="preserve">F3 </w:t>
            </w:r>
            <w:r w:rsidR="00B35F03" w:rsidRPr="00406361">
              <w:rPr>
                <w:color w:val="000000" w:themeColor="text1"/>
                <w:sz w:val="20"/>
                <w:szCs w:val="20"/>
                <w:lang w:val="pt-BR"/>
              </w:rPr>
              <w:t>–</w:t>
            </w:r>
            <w:r w:rsidRPr="00406361">
              <w:rPr>
                <w:color w:val="000000" w:themeColor="text1"/>
                <w:sz w:val="20"/>
                <w:szCs w:val="20"/>
                <w:lang w:val="pt-BR"/>
              </w:rPr>
              <w:t xml:space="preserve"> Civilidade</w:t>
            </w:r>
          </w:p>
        </w:tc>
        <w:tc>
          <w:tcPr>
            <w:tcW w:w="1417" w:type="dxa"/>
            <w:tcBorders>
              <w:top w:val="nil"/>
              <w:left w:val="nil"/>
              <w:bottom w:val="nil"/>
              <w:right w:val="nil"/>
            </w:tcBorders>
            <w:shd w:val="clear" w:color="auto" w:fill="auto"/>
            <w:tcMar>
              <w:top w:w="100" w:type="dxa"/>
              <w:left w:w="100" w:type="dxa"/>
              <w:bottom w:w="100" w:type="dxa"/>
              <w:right w:w="100" w:type="dxa"/>
            </w:tcMar>
          </w:tcPr>
          <w:p w14:paraId="2A5BC71C"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110 (25.9)</w:t>
            </w:r>
          </w:p>
        </w:tc>
        <w:tc>
          <w:tcPr>
            <w:tcW w:w="1134" w:type="dxa"/>
            <w:tcBorders>
              <w:top w:val="nil"/>
              <w:left w:val="nil"/>
              <w:bottom w:val="nil"/>
              <w:right w:val="nil"/>
            </w:tcBorders>
            <w:shd w:val="clear" w:color="auto" w:fill="auto"/>
            <w:tcMar>
              <w:top w:w="100" w:type="dxa"/>
              <w:left w:w="100" w:type="dxa"/>
              <w:bottom w:w="100" w:type="dxa"/>
              <w:right w:w="100" w:type="dxa"/>
            </w:tcMar>
          </w:tcPr>
          <w:p w14:paraId="1DF23AD7"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35 (8.3)</w:t>
            </w:r>
          </w:p>
        </w:tc>
        <w:tc>
          <w:tcPr>
            <w:tcW w:w="1134" w:type="dxa"/>
            <w:tcBorders>
              <w:top w:val="nil"/>
              <w:left w:val="nil"/>
              <w:bottom w:val="nil"/>
              <w:right w:val="nil"/>
            </w:tcBorders>
            <w:shd w:val="clear" w:color="auto" w:fill="auto"/>
            <w:tcMar>
              <w:top w:w="100" w:type="dxa"/>
              <w:left w:w="100" w:type="dxa"/>
              <w:bottom w:w="100" w:type="dxa"/>
              <w:right w:w="100" w:type="dxa"/>
            </w:tcMar>
          </w:tcPr>
          <w:p w14:paraId="70C81063"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121 (28.5)</w:t>
            </w:r>
          </w:p>
        </w:tc>
        <w:tc>
          <w:tcPr>
            <w:tcW w:w="1134" w:type="dxa"/>
            <w:tcBorders>
              <w:top w:val="nil"/>
              <w:left w:val="nil"/>
              <w:bottom w:val="nil"/>
              <w:right w:val="nil"/>
            </w:tcBorders>
            <w:shd w:val="clear" w:color="auto" w:fill="auto"/>
            <w:tcMar>
              <w:top w:w="100" w:type="dxa"/>
              <w:left w:w="100" w:type="dxa"/>
              <w:bottom w:w="100" w:type="dxa"/>
              <w:right w:w="100" w:type="dxa"/>
            </w:tcMar>
          </w:tcPr>
          <w:p w14:paraId="46298E57"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20 (4.7)</w:t>
            </w:r>
          </w:p>
        </w:tc>
        <w:tc>
          <w:tcPr>
            <w:tcW w:w="1134" w:type="dxa"/>
            <w:tcBorders>
              <w:top w:val="nil"/>
              <w:left w:val="nil"/>
              <w:bottom w:val="nil"/>
              <w:right w:val="nil"/>
            </w:tcBorders>
            <w:shd w:val="clear" w:color="auto" w:fill="auto"/>
            <w:tcMar>
              <w:top w:w="100" w:type="dxa"/>
              <w:left w:w="100" w:type="dxa"/>
              <w:bottom w:w="100" w:type="dxa"/>
              <w:right w:w="100" w:type="dxa"/>
            </w:tcMar>
          </w:tcPr>
          <w:p w14:paraId="43467A7E"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138 (32.5)*</w:t>
            </w:r>
          </w:p>
        </w:tc>
        <w:tc>
          <w:tcPr>
            <w:tcW w:w="1050" w:type="dxa"/>
            <w:tcBorders>
              <w:top w:val="nil"/>
              <w:left w:val="nil"/>
              <w:bottom w:val="nil"/>
              <w:right w:val="nil"/>
            </w:tcBorders>
            <w:shd w:val="clear" w:color="auto" w:fill="auto"/>
            <w:tcMar>
              <w:top w:w="100" w:type="dxa"/>
              <w:left w:w="100" w:type="dxa"/>
              <w:bottom w:w="100" w:type="dxa"/>
              <w:right w:w="100" w:type="dxa"/>
            </w:tcMar>
          </w:tcPr>
          <w:p w14:paraId="01D61A48"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.82</w:t>
            </w:r>
          </w:p>
        </w:tc>
      </w:tr>
      <w:tr w:rsidR="00406361" w:rsidRPr="00406361" w14:paraId="32339E1A" w14:textId="77777777" w:rsidTr="00797647">
        <w:trPr>
          <w:trHeight w:val="24"/>
        </w:trPr>
        <w:tc>
          <w:tcPr>
            <w:tcW w:w="2552" w:type="dxa"/>
            <w:tcBorders>
              <w:top w:val="nil"/>
              <w:left w:val="nil"/>
              <w:bottom w:val="nil"/>
              <w:right w:val="nil"/>
            </w:tcBorders>
            <w:shd w:val="clear" w:color="auto" w:fill="auto"/>
            <w:tcMar>
              <w:top w:w="100" w:type="dxa"/>
              <w:left w:w="100" w:type="dxa"/>
              <w:bottom w:w="100" w:type="dxa"/>
              <w:right w:w="100" w:type="dxa"/>
            </w:tcMar>
          </w:tcPr>
          <w:p w14:paraId="54910DAB" w14:textId="08DF752D" w:rsidR="003C1711" w:rsidRPr="00406361" w:rsidRDefault="003C1711" w:rsidP="00797647">
            <w:pPr>
              <w:ind w:right="40" w:hanging="6"/>
              <w:rPr>
                <w:color w:val="000000" w:themeColor="text1"/>
                <w:sz w:val="20"/>
                <w:szCs w:val="20"/>
                <w:lang w:val="pt-BR"/>
              </w:rPr>
            </w:pPr>
            <w:r w:rsidRPr="00406361">
              <w:rPr>
                <w:color w:val="000000" w:themeColor="text1"/>
                <w:sz w:val="20"/>
                <w:szCs w:val="20"/>
                <w:lang w:val="pt-BR"/>
              </w:rPr>
              <w:t xml:space="preserve">F4 </w:t>
            </w:r>
            <w:r w:rsidR="00B35F03" w:rsidRPr="00406361">
              <w:rPr>
                <w:color w:val="000000" w:themeColor="text1"/>
                <w:sz w:val="20"/>
                <w:szCs w:val="20"/>
                <w:lang w:val="pt-BR"/>
              </w:rPr>
              <w:t>–</w:t>
            </w:r>
            <w:r w:rsidRPr="00406361">
              <w:rPr>
                <w:color w:val="000000" w:themeColor="text1"/>
                <w:sz w:val="20"/>
                <w:szCs w:val="20"/>
                <w:lang w:val="pt-BR"/>
              </w:rPr>
              <w:t xml:space="preserve"> Assertividade</w:t>
            </w:r>
          </w:p>
        </w:tc>
        <w:tc>
          <w:tcPr>
            <w:tcW w:w="1417" w:type="dxa"/>
            <w:tcBorders>
              <w:top w:val="nil"/>
              <w:left w:val="nil"/>
              <w:bottom w:val="nil"/>
              <w:right w:val="nil"/>
            </w:tcBorders>
            <w:shd w:val="clear" w:color="auto" w:fill="auto"/>
            <w:tcMar>
              <w:top w:w="100" w:type="dxa"/>
              <w:left w:w="100" w:type="dxa"/>
              <w:bottom w:w="100" w:type="dxa"/>
              <w:right w:w="100" w:type="dxa"/>
            </w:tcMar>
          </w:tcPr>
          <w:p w14:paraId="5BC630F0"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143 (33.7)*</w:t>
            </w:r>
          </w:p>
        </w:tc>
        <w:tc>
          <w:tcPr>
            <w:tcW w:w="1134" w:type="dxa"/>
            <w:tcBorders>
              <w:top w:val="nil"/>
              <w:left w:val="nil"/>
              <w:bottom w:val="nil"/>
              <w:right w:val="nil"/>
            </w:tcBorders>
            <w:shd w:val="clear" w:color="auto" w:fill="auto"/>
            <w:tcMar>
              <w:top w:w="100" w:type="dxa"/>
              <w:left w:w="100" w:type="dxa"/>
              <w:bottom w:w="100" w:type="dxa"/>
              <w:right w:w="100" w:type="dxa"/>
            </w:tcMar>
          </w:tcPr>
          <w:p w14:paraId="5D503C88"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37 (8.7)</w:t>
            </w:r>
          </w:p>
        </w:tc>
        <w:tc>
          <w:tcPr>
            <w:tcW w:w="1134" w:type="dxa"/>
            <w:tcBorders>
              <w:top w:val="nil"/>
              <w:left w:val="nil"/>
              <w:bottom w:val="nil"/>
              <w:right w:val="nil"/>
            </w:tcBorders>
            <w:shd w:val="clear" w:color="auto" w:fill="auto"/>
            <w:tcMar>
              <w:top w:w="100" w:type="dxa"/>
              <w:left w:w="100" w:type="dxa"/>
              <w:bottom w:w="100" w:type="dxa"/>
              <w:right w:w="100" w:type="dxa"/>
            </w:tcMar>
          </w:tcPr>
          <w:p w14:paraId="6A2F02F9"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104 (24.5)</w:t>
            </w:r>
          </w:p>
        </w:tc>
        <w:tc>
          <w:tcPr>
            <w:tcW w:w="1134" w:type="dxa"/>
            <w:tcBorders>
              <w:top w:val="nil"/>
              <w:left w:val="nil"/>
              <w:bottom w:val="nil"/>
              <w:right w:val="nil"/>
            </w:tcBorders>
            <w:shd w:val="clear" w:color="auto" w:fill="auto"/>
            <w:tcMar>
              <w:top w:w="100" w:type="dxa"/>
              <w:left w:w="100" w:type="dxa"/>
              <w:bottom w:w="100" w:type="dxa"/>
              <w:right w:w="100" w:type="dxa"/>
            </w:tcMar>
          </w:tcPr>
          <w:p w14:paraId="2891F4EF"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30 (7.1)</w:t>
            </w:r>
          </w:p>
        </w:tc>
        <w:tc>
          <w:tcPr>
            <w:tcW w:w="1134" w:type="dxa"/>
            <w:tcBorders>
              <w:top w:val="nil"/>
              <w:left w:val="nil"/>
              <w:bottom w:val="nil"/>
              <w:right w:val="nil"/>
            </w:tcBorders>
            <w:shd w:val="clear" w:color="auto" w:fill="auto"/>
            <w:tcMar>
              <w:top w:w="100" w:type="dxa"/>
              <w:left w:w="100" w:type="dxa"/>
              <w:bottom w:w="100" w:type="dxa"/>
              <w:right w:w="100" w:type="dxa"/>
            </w:tcMar>
          </w:tcPr>
          <w:p w14:paraId="026E2C93"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110 (25.9)</w:t>
            </w:r>
          </w:p>
        </w:tc>
        <w:tc>
          <w:tcPr>
            <w:tcW w:w="1050" w:type="dxa"/>
            <w:tcBorders>
              <w:top w:val="nil"/>
              <w:left w:val="nil"/>
              <w:bottom w:val="nil"/>
              <w:right w:val="nil"/>
            </w:tcBorders>
            <w:shd w:val="clear" w:color="auto" w:fill="auto"/>
            <w:tcMar>
              <w:top w:w="100" w:type="dxa"/>
              <w:left w:w="100" w:type="dxa"/>
              <w:bottom w:w="100" w:type="dxa"/>
              <w:right w:w="100" w:type="dxa"/>
            </w:tcMar>
          </w:tcPr>
          <w:p w14:paraId="57B0BC46"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.75</w:t>
            </w:r>
          </w:p>
        </w:tc>
      </w:tr>
      <w:tr w:rsidR="00406361" w:rsidRPr="00406361" w14:paraId="1926D19F" w14:textId="77777777" w:rsidTr="00797647">
        <w:trPr>
          <w:trHeight w:val="89"/>
        </w:trPr>
        <w:tc>
          <w:tcPr>
            <w:tcW w:w="2552" w:type="dxa"/>
            <w:tcBorders>
              <w:top w:val="nil"/>
              <w:left w:val="nil"/>
              <w:bottom w:val="nil"/>
              <w:right w:val="nil"/>
            </w:tcBorders>
            <w:shd w:val="clear" w:color="auto" w:fill="auto"/>
            <w:tcMar>
              <w:top w:w="100" w:type="dxa"/>
              <w:left w:w="100" w:type="dxa"/>
              <w:bottom w:w="100" w:type="dxa"/>
              <w:right w:w="100" w:type="dxa"/>
            </w:tcMar>
          </w:tcPr>
          <w:p w14:paraId="01451FAB" w14:textId="11184BD8" w:rsidR="003C1711" w:rsidRPr="00406361" w:rsidRDefault="003C1711" w:rsidP="00797647">
            <w:pPr>
              <w:ind w:right="40" w:hanging="6"/>
              <w:rPr>
                <w:color w:val="000000" w:themeColor="text1"/>
                <w:sz w:val="20"/>
                <w:szCs w:val="20"/>
                <w:lang w:val="pt-BR"/>
              </w:rPr>
            </w:pPr>
            <w:r w:rsidRPr="00406361">
              <w:rPr>
                <w:color w:val="000000" w:themeColor="text1"/>
                <w:sz w:val="20"/>
                <w:szCs w:val="20"/>
                <w:lang w:val="pt-BR"/>
              </w:rPr>
              <w:t xml:space="preserve">F5 </w:t>
            </w:r>
            <w:r w:rsidR="00B35F03" w:rsidRPr="00406361">
              <w:rPr>
                <w:color w:val="000000" w:themeColor="text1"/>
                <w:sz w:val="20"/>
                <w:szCs w:val="20"/>
                <w:lang w:val="pt-BR"/>
              </w:rPr>
              <w:t>–</w:t>
            </w:r>
            <w:r w:rsidRPr="00406361">
              <w:rPr>
                <w:color w:val="000000" w:themeColor="text1"/>
                <w:sz w:val="20"/>
                <w:szCs w:val="20"/>
                <w:lang w:val="pt-BR"/>
              </w:rPr>
              <w:t xml:space="preserve"> Abordagem afetiva</w:t>
            </w:r>
          </w:p>
        </w:tc>
        <w:tc>
          <w:tcPr>
            <w:tcW w:w="1417" w:type="dxa"/>
            <w:tcBorders>
              <w:top w:val="nil"/>
              <w:left w:val="nil"/>
              <w:bottom w:val="nil"/>
              <w:right w:val="nil"/>
            </w:tcBorders>
            <w:shd w:val="clear" w:color="auto" w:fill="auto"/>
            <w:tcMar>
              <w:top w:w="100" w:type="dxa"/>
              <w:left w:w="100" w:type="dxa"/>
              <w:bottom w:w="100" w:type="dxa"/>
              <w:right w:w="100" w:type="dxa"/>
            </w:tcMar>
          </w:tcPr>
          <w:p w14:paraId="53DC9CE4"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185 (43.6)*</w:t>
            </w:r>
          </w:p>
        </w:tc>
        <w:tc>
          <w:tcPr>
            <w:tcW w:w="1134" w:type="dxa"/>
            <w:tcBorders>
              <w:top w:val="nil"/>
              <w:left w:val="nil"/>
              <w:bottom w:val="nil"/>
              <w:right w:val="nil"/>
            </w:tcBorders>
            <w:shd w:val="clear" w:color="auto" w:fill="auto"/>
            <w:tcMar>
              <w:top w:w="100" w:type="dxa"/>
              <w:left w:w="100" w:type="dxa"/>
              <w:bottom w:w="100" w:type="dxa"/>
              <w:right w:w="100" w:type="dxa"/>
            </w:tcMar>
          </w:tcPr>
          <w:p w14:paraId="517BB264"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22 (5.2)</w:t>
            </w:r>
          </w:p>
        </w:tc>
        <w:tc>
          <w:tcPr>
            <w:tcW w:w="1134" w:type="dxa"/>
            <w:tcBorders>
              <w:top w:val="nil"/>
              <w:left w:val="nil"/>
              <w:bottom w:val="nil"/>
              <w:right w:val="nil"/>
            </w:tcBorders>
            <w:shd w:val="clear" w:color="auto" w:fill="auto"/>
            <w:tcMar>
              <w:top w:w="100" w:type="dxa"/>
              <w:left w:w="100" w:type="dxa"/>
              <w:bottom w:w="100" w:type="dxa"/>
              <w:right w:w="100" w:type="dxa"/>
            </w:tcMar>
          </w:tcPr>
          <w:p w14:paraId="11778A49"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117 (27.6)</w:t>
            </w:r>
          </w:p>
        </w:tc>
        <w:tc>
          <w:tcPr>
            <w:tcW w:w="1134" w:type="dxa"/>
            <w:tcBorders>
              <w:top w:val="nil"/>
              <w:left w:val="nil"/>
              <w:bottom w:val="nil"/>
              <w:right w:val="nil"/>
            </w:tcBorders>
            <w:shd w:val="clear" w:color="auto" w:fill="auto"/>
            <w:tcMar>
              <w:top w:w="100" w:type="dxa"/>
              <w:left w:w="100" w:type="dxa"/>
              <w:bottom w:w="100" w:type="dxa"/>
              <w:right w:w="100" w:type="dxa"/>
            </w:tcMar>
          </w:tcPr>
          <w:p w14:paraId="3200D1D6"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36 (8.5)</w:t>
            </w:r>
          </w:p>
        </w:tc>
        <w:tc>
          <w:tcPr>
            <w:tcW w:w="1134" w:type="dxa"/>
            <w:tcBorders>
              <w:top w:val="nil"/>
              <w:left w:val="nil"/>
              <w:bottom w:val="nil"/>
              <w:right w:val="nil"/>
            </w:tcBorders>
            <w:shd w:val="clear" w:color="auto" w:fill="auto"/>
            <w:tcMar>
              <w:top w:w="100" w:type="dxa"/>
              <w:left w:w="100" w:type="dxa"/>
              <w:bottom w:w="100" w:type="dxa"/>
              <w:right w:w="100" w:type="dxa"/>
            </w:tcMar>
          </w:tcPr>
          <w:p w14:paraId="647EC4E0"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64 (15.1)</w:t>
            </w:r>
          </w:p>
        </w:tc>
        <w:tc>
          <w:tcPr>
            <w:tcW w:w="1050" w:type="dxa"/>
            <w:tcBorders>
              <w:top w:val="nil"/>
              <w:left w:val="nil"/>
              <w:bottom w:val="nil"/>
              <w:right w:val="nil"/>
            </w:tcBorders>
            <w:shd w:val="clear" w:color="auto" w:fill="auto"/>
            <w:tcMar>
              <w:top w:w="100" w:type="dxa"/>
              <w:left w:w="100" w:type="dxa"/>
              <w:bottom w:w="100" w:type="dxa"/>
              <w:right w:w="100" w:type="dxa"/>
            </w:tcMar>
          </w:tcPr>
          <w:p w14:paraId="6E539FD0"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.76</w:t>
            </w:r>
          </w:p>
        </w:tc>
      </w:tr>
      <w:tr w:rsidR="00406361" w:rsidRPr="00406361" w14:paraId="5E372FC9" w14:textId="77777777" w:rsidTr="00797647">
        <w:trPr>
          <w:trHeight w:val="24"/>
        </w:trPr>
        <w:tc>
          <w:tcPr>
            <w:tcW w:w="2552" w:type="dxa"/>
            <w:tcBorders>
              <w:top w:val="nil"/>
              <w:left w:val="nil"/>
              <w:bottom w:val="nil"/>
              <w:right w:val="nil"/>
            </w:tcBorders>
            <w:shd w:val="clear" w:color="auto" w:fill="auto"/>
            <w:tcMar>
              <w:top w:w="100" w:type="dxa"/>
              <w:left w:w="100" w:type="dxa"/>
              <w:bottom w:w="100" w:type="dxa"/>
              <w:right w:w="100" w:type="dxa"/>
            </w:tcMar>
          </w:tcPr>
          <w:p w14:paraId="01447956" w14:textId="7B4EA82B" w:rsidR="003C1711" w:rsidRPr="00406361" w:rsidRDefault="003C1711" w:rsidP="00797647">
            <w:pPr>
              <w:ind w:right="40" w:hanging="6"/>
              <w:rPr>
                <w:color w:val="000000" w:themeColor="text1"/>
                <w:sz w:val="20"/>
                <w:szCs w:val="20"/>
                <w:lang w:val="pt-BR"/>
              </w:rPr>
            </w:pPr>
            <w:r w:rsidRPr="00406361">
              <w:rPr>
                <w:color w:val="000000" w:themeColor="text1"/>
                <w:sz w:val="20"/>
                <w:szCs w:val="20"/>
                <w:lang w:val="pt-BR"/>
              </w:rPr>
              <w:t xml:space="preserve">F6 </w:t>
            </w:r>
            <w:r w:rsidR="00B35F03" w:rsidRPr="00406361">
              <w:rPr>
                <w:color w:val="000000" w:themeColor="text1"/>
                <w:sz w:val="20"/>
                <w:szCs w:val="20"/>
                <w:lang w:val="pt-BR"/>
              </w:rPr>
              <w:t>–</w:t>
            </w:r>
            <w:r w:rsidRPr="00406361">
              <w:rPr>
                <w:color w:val="000000" w:themeColor="text1"/>
                <w:sz w:val="20"/>
                <w:szCs w:val="20"/>
                <w:lang w:val="pt-BR"/>
              </w:rPr>
              <w:t xml:space="preserve"> Desenvoltura social</w:t>
            </w:r>
          </w:p>
        </w:tc>
        <w:tc>
          <w:tcPr>
            <w:tcW w:w="1417" w:type="dxa"/>
            <w:tcBorders>
              <w:top w:val="nil"/>
              <w:left w:val="nil"/>
              <w:bottom w:val="nil"/>
              <w:right w:val="nil"/>
            </w:tcBorders>
            <w:shd w:val="clear" w:color="auto" w:fill="auto"/>
            <w:tcMar>
              <w:top w:w="100" w:type="dxa"/>
              <w:left w:w="100" w:type="dxa"/>
              <w:bottom w:w="100" w:type="dxa"/>
              <w:right w:w="100" w:type="dxa"/>
            </w:tcMar>
          </w:tcPr>
          <w:p w14:paraId="3AEF910A"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87 (20.5)</w:t>
            </w:r>
          </w:p>
        </w:tc>
        <w:tc>
          <w:tcPr>
            <w:tcW w:w="1134" w:type="dxa"/>
            <w:tcBorders>
              <w:top w:val="nil"/>
              <w:left w:val="nil"/>
              <w:bottom w:val="nil"/>
              <w:right w:val="nil"/>
            </w:tcBorders>
            <w:shd w:val="clear" w:color="auto" w:fill="auto"/>
            <w:tcMar>
              <w:top w:w="100" w:type="dxa"/>
              <w:left w:w="100" w:type="dxa"/>
              <w:bottom w:w="100" w:type="dxa"/>
              <w:right w:w="100" w:type="dxa"/>
            </w:tcMar>
          </w:tcPr>
          <w:p w14:paraId="139BFA56"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30 (7.1)</w:t>
            </w:r>
          </w:p>
        </w:tc>
        <w:tc>
          <w:tcPr>
            <w:tcW w:w="1134" w:type="dxa"/>
            <w:tcBorders>
              <w:top w:val="nil"/>
              <w:left w:val="nil"/>
              <w:bottom w:val="nil"/>
              <w:right w:val="nil"/>
            </w:tcBorders>
            <w:shd w:val="clear" w:color="auto" w:fill="auto"/>
            <w:tcMar>
              <w:top w:w="100" w:type="dxa"/>
              <w:left w:w="100" w:type="dxa"/>
              <w:bottom w:w="100" w:type="dxa"/>
              <w:right w:w="100" w:type="dxa"/>
            </w:tcMar>
          </w:tcPr>
          <w:p w14:paraId="61DF820B"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137 (32.3)*</w:t>
            </w:r>
          </w:p>
        </w:tc>
        <w:tc>
          <w:tcPr>
            <w:tcW w:w="1134" w:type="dxa"/>
            <w:tcBorders>
              <w:top w:val="nil"/>
              <w:left w:val="nil"/>
              <w:bottom w:val="nil"/>
              <w:right w:val="nil"/>
            </w:tcBorders>
            <w:shd w:val="clear" w:color="auto" w:fill="auto"/>
            <w:tcMar>
              <w:top w:w="100" w:type="dxa"/>
              <w:left w:w="100" w:type="dxa"/>
              <w:bottom w:w="100" w:type="dxa"/>
              <w:right w:w="100" w:type="dxa"/>
            </w:tcMar>
          </w:tcPr>
          <w:p w14:paraId="568CC0CD"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40 (9.4)</w:t>
            </w:r>
          </w:p>
        </w:tc>
        <w:tc>
          <w:tcPr>
            <w:tcW w:w="1134" w:type="dxa"/>
            <w:tcBorders>
              <w:top w:val="nil"/>
              <w:left w:val="nil"/>
              <w:bottom w:val="nil"/>
              <w:right w:val="nil"/>
            </w:tcBorders>
            <w:shd w:val="clear" w:color="auto" w:fill="auto"/>
            <w:tcMar>
              <w:top w:w="100" w:type="dxa"/>
              <w:left w:w="100" w:type="dxa"/>
              <w:bottom w:w="100" w:type="dxa"/>
              <w:right w:w="100" w:type="dxa"/>
            </w:tcMar>
          </w:tcPr>
          <w:p w14:paraId="70CD6C62"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130 (30.7)</w:t>
            </w:r>
          </w:p>
        </w:tc>
        <w:tc>
          <w:tcPr>
            <w:tcW w:w="1050" w:type="dxa"/>
            <w:tcBorders>
              <w:top w:val="nil"/>
              <w:left w:val="nil"/>
              <w:bottom w:val="nil"/>
              <w:right w:val="nil"/>
            </w:tcBorders>
            <w:shd w:val="clear" w:color="auto" w:fill="auto"/>
            <w:tcMar>
              <w:top w:w="100" w:type="dxa"/>
              <w:left w:w="100" w:type="dxa"/>
              <w:bottom w:w="100" w:type="dxa"/>
              <w:right w:w="100" w:type="dxa"/>
            </w:tcMar>
          </w:tcPr>
          <w:p w14:paraId="13C3EBBB"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.67</w:t>
            </w:r>
          </w:p>
        </w:tc>
      </w:tr>
      <w:tr w:rsidR="00406361" w:rsidRPr="00406361" w14:paraId="1002C763" w14:textId="77777777" w:rsidTr="00797647">
        <w:trPr>
          <w:trHeight w:val="24"/>
        </w:trPr>
        <w:tc>
          <w:tcPr>
            <w:tcW w:w="2552" w:type="dxa"/>
            <w:tcBorders>
              <w:top w:val="nil"/>
              <w:left w:val="nil"/>
              <w:bottom w:val="single" w:sz="8" w:space="0" w:color="000000"/>
              <w:right w:val="nil"/>
            </w:tcBorders>
            <w:shd w:val="clear" w:color="auto" w:fill="auto"/>
            <w:tcMar>
              <w:top w:w="100" w:type="dxa"/>
              <w:left w:w="100" w:type="dxa"/>
              <w:bottom w:w="100" w:type="dxa"/>
              <w:right w:w="100" w:type="dxa"/>
            </w:tcMar>
          </w:tcPr>
          <w:p w14:paraId="06311D78" w14:textId="77777777" w:rsidR="003C1711" w:rsidRPr="00406361" w:rsidRDefault="003C1711" w:rsidP="00797647">
            <w:pPr>
              <w:ind w:right="40" w:hanging="6"/>
              <w:rPr>
                <w:color w:val="000000" w:themeColor="text1"/>
                <w:sz w:val="20"/>
                <w:szCs w:val="20"/>
                <w:lang w:val="pt-BR"/>
              </w:rPr>
            </w:pPr>
            <w:r w:rsidRPr="00406361">
              <w:rPr>
                <w:color w:val="000000" w:themeColor="text1"/>
                <w:sz w:val="20"/>
                <w:szCs w:val="20"/>
                <w:lang w:val="pt-BR"/>
              </w:rPr>
              <w:t>Escore Total</w:t>
            </w:r>
          </w:p>
        </w:tc>
        <w:tc>
          <w:tcPr>
            <w:tcW w:w="1417" w:type="dxa"/>
            <w:tcBorders>
              <w:top w:val="nil"/>
              <w:left w:val="nil"/>
              <w:bottom w:val="single" w:sz="8" w:space="0" w:color="000000"/>
              <w:right w:val="nil"/>
            </w:tcBorders>
            <w:shd w:val="clear" w:color="auto" w:fill="auto"/>
            <w:tcMar>
              <w:top w:w="100" w:type="dxa"/>
              <w:left w:w="100" w:type="dxa"/>
              <w:bottom w:w="100" w:type="dxa"/>
              <w:right w:w="100" w:type="dxa"/>
            </w:tcMar>
          </w:tcPr>
          <w:p w14:paraId="25444A34"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125 (29.5)*</w:t>
            </w:r>
          </w:p>
        </w:tc>
        <w:tc>
          <w:tcPr>
            <w:tcW w:w="1134" w:type="dxa"/>
            <w:tcBorders>
              <w:top w:val="nil"/>
              <w:left w:val="nil"/>
              <w:bottom w:val="single" w:sz="8" w:space="0" w:color="000000"/>
              <w:right w:val="nil"/>
            </w:tcBorders>
            <w:shd w:val="clear" w:color="auto" w:fill="auto"/>
            <w:tcMar>
              <w:top w:w="100" w:type="dxa"/>
              <w:left w:w="100" w:type="dxa"/>
              <w:bottom w:w="100" w:type="dxa"/>
              <w:right w:w="100" w:type="dxa"/>
            </w:tcMar>
          </w:tcPr>
          <w:p w14:paraId="47DF7CEA"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39 (9.2)</w:t>
            </w:r>
          </w:p>
        </w:tc>
        <w:tc>
          <w:tcPr>
            <w:tcW w:w="1134" w:type="dxa"/>
            <w:tcBorders>
              <w:top w:val="nil"/>
              <w:left w:val="nil"/>
              <w:bottom w:val="single" w:sz="8" w:space="0" w:color="000000"/>
              <w:right w:val="nil"/>
            </w:tcBorders>
            <w:shd w:val="clear" w:color="auto" w:fill="auto"/>
            <w:tcMar>
              <w:top w:w="100" w:type="dxa"/>
              <w:left w:w="100" w:type="dxa"/>
              <w:bottom w:w="100" w:type="dxa"/>
              <w:right w:w="100" w:type="dxa"/>
            </w:tcMar>
          </w:tcPr>
          <w:p w14:paraId="63C7F68C"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115 (27.1)</w:t>
            </w:r>
          </w:p>
        </w:tc>
        <w:tc>
          <w:tcPr>
            <w:tcW w:w="1134" w:type="dxa"/>
            <w:tcBorders>
              <w:top w:val="nil"/>
              <w:left w:val="nil"/>
              <w:bottom w:val="single" w:sz="8" w:space="0" w:color="000000"/>
              <w:right w:val="nil"/>
            </w:tcBorders>
            <w:shd w:val="clear" w:color="auto" w:fill="auto"/>
            <w:tcMar>
              <w:top w:w="100" w:type="dxa"/>
              <w:left w:w="100" w:type="dxa"/>
              <w:bottom w:w="100" w:type="dxa"/>
              <w:right w:w="100" w:type="dxa"/>
            </w:tcMar>
          </w:tcPr>
          <w:p w14:paraId="094A3506"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34 (8.0)</w:t>
            </w:r>
          </w:p>
        </w:tc>
        <w:tc>
          <w:tcPr>
            <w:tcW w:w="1134" w:type="dxa"/>
            <w:tcBorders>
              <w:top w:val="nil"/>
              <w:left w:val="nil"/>
              <w:bottom w:val="single" w:sz="8" w:space="0" w:color="000000"/>
              <w:right w:val="nil"/>
            </w:tcBorders>
            <w:shd w:val="clear" w:color="auto" w:fill="auto"/>
            <w:tcMar>
              <w:top w:w="100" w:type="dxa"/>
              <w:left w:w="100" w:type="dxa"/>
              <w:bottom w:w="100" w:type="dxa"/>
              <w:right w:w="100" w:type="dxa"/>
            </w:tcMar>
          </w:tcPr>
          <w:p w14:paraId="7EE0EAB0"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111 (26.2)</w:t>
            </w:r>
          </w:p>
        </w:tc>
        <w:tc>
          <w:tcPr>
            <w:tcW w:w="1050" w:type="dxa"/>
            <w:tcBorders>
              <w:top w:val="nil"/>
              <w:left w:val="nil"/>
              <w:bottom w:val="single" w:sz="8" w:space="0" w:color="000000"/>
              <w:right w:val="nil"/>
            </w:tcBorders>
            <w:shd w:val="clear" w:color="auto" w:fill="auto"/>
            <w:tcMar>
              <w:top w:w="100" w:type="dxa"/>
              <w:left w:w="100" w:type="dxa"/>
              <w:bottom w:w="100" w:type="dxa"/>
              <w:right w:w="100" w:type="dxa"/>
            </w:tcMar>
          </w:tcPr>
          <w:p w14:paraId="15985508" w14:textId="77777777" w:rsidR="003C1711" w:rsidRPr="00406361" w:rsidRDefault="003C1711" w:rsidP="003C1711">
            <w:pPr>
              <w:jc w:val="center"/>
              <w:rPr>
                <w:color w:val="000000" w:themeColor="text1"/>
                <w:sz w:val="20"/>
                <w:szCs w:val="20"/>
                <w:lang w:val="pt-BR"/>
              </w:rPr>
            </w:pPr>
            <w:r w:rsidRPr="00406361">
              <w:rPr>
                <w:color w:val="000000" w:themeColor="text1"/>
                <w:sz w:val="20"/>
                <w:szCs w:val="20"/>
                <w:lang w:val="pt-BR"/>
              </w:rPr>
              <w:t>.92</w:t>
            </w:r>
          </w:p>
        </w:tc>
      </w:tr>
    </w:tbl>
    <w:p w14:paraId="55A7CC46" w14:textId="0F9B5C17" w:rsidR="003C1711" w:rsidRPr="00406361" w:rsidRDefault="003C1711" w:rsidP="003C1711">
      <w:pPr>
        <w:rPr>
          <w:color w:val="000000" w:themeColor="text1"/>
          <w:sz w:val="20"/>
          <w:szCs w:val="20"/>
          <w:lang w:val="pt-BR"/>
        </w:rPr>
      </w:pPr>
      <w:r w:rsidRPr="00406361">
        <w:rPr>
          <w:i/>
          <w:iCs/>
          <w:color w:val="000000" w:themeColor="text1"/>
          <w:sz w:val="20"/>
          <w:szCs w:val="20"/>
          <w:lang w:val="pt-BR"/>
        </w:rPr>
        <w:t>Nota</w:t>
      </w:r>
      <w:r w:rsidR="00B35F03" w:rsidRPr="00406361">
        <w:rPr>
          <w:color w:val="000000" w:themeColor="text1"/>
          <w:sz w:val="20"/>
          <w:szCs w:val="20"/>
          <w:lang w:val="pt-BR"/>
        </w:rPr>
        <w:t>.</w:t>
      </w:r>
      <w:r w:rsidRPr="00406361">
        <w:rPr>
          <w:color w:val="000000" w:themeColor="text1"/>
          <w:sz w:val="20"/>
          <w:szCs w:val="20"/>
          <w:lang w:val="pt-BR"/>
        </w:rPr>
        <w:t xml:space="preserve"> * Maiores frequências de cada fator.</w:t>
      </w:r>
    </w:p>
    <w:p w14:paraId="7C9664F0" w14:textId="5DB8D0EF" w:rsidR="00A4227E" w:rsidRPr="00406361" w:rsidRDefault="00A4227E" w:rsidP="00A4227E">
      <w:pPr>
        <w:spacing w:before="240" w:after="240" w:line="360" w:lineRule="auto"/>
        <w:ind w:firstLine="720"/>
        <w:jc w:val="both"/>
        <w:rPr>
          <w:color w:val="000000" w:themeColor="text1"/>
          <w:lang w:val="pt-BR"/>
        </w:rPr>
      </w:pPr>
      <w:r w:rsidRPr="00406361">
        <w:rPr>
          <w:color w:val="000000" w:themeColor="text1"/>
          <w:lang w:val="pt-BR"/>
        </w:rPr>
        <w:t>O alto custo de resposta foi aferido no F1 – Empatia (</w:t>
      </w:r>
      <w:r w:rsidRPr="00406361">
        <w:rPr>
          <w:i/>
          <w:color w:val="000000" w:themeColor="text1"/>
          <w:lang w:val="pt-BR"/>
        </w:rPr>
        <w:t xml:space="preserve">n </w:t>
      </w:r>
      <w:r w:rsidRPr="00406361">
        <w:rPr>
          <w:color w:val="000000" w:themeColor="text1"/>
          <w:lang w:val="pt-BR"/>
        </w:rPr>
        <w:t>= 178, 42</w:t>
      </w:r>
      <w:r w:rsidR="00B35F03" w:rsidRPr="00406361">
        <w:rPr>
          <w:color w:val="000000" w:themeColor="text1"/>
          <w:lang w:val="pt-BR"/>
        </w:rPr>
        <w:t>.0</w:t>
      </w:r>
      <w:r w:rsidRPr="00406361">
        <w:rPr>
          <w:color w:val="000000" w:themeColor="text1"/>
          <w:lang w:val="pt-BR"/>
        </w:rPr>
        <w:t>%), F2 – Autocontrole (</w:t>
      </w:r>
      <w:r w:rsidRPr="00406361">
        <w:rPr>
          <w:i/>
          <w:color w:val="000000" w:themeColor="text1"/>
          <w:lang w:val="pt-BR"/>
        </w:rPr>
        <w:t xml:space="preserve">n </w:t>
      </w:r>
      <w:r w:rsidRPr="00406361">
        <w:rPr>
          <w:color w:val="000000" w:themeColor="text1"/>
          <w:lang w:val="pt-BR"/>
        </w:rPr>
        <w:t xml:space="preserve">= 158, 37.3%) e F4 </w:t>
      </w:r>
      <w:r w:rsidR="00B35F03" w:rsidRPr="00406361">
        <w:rPr>
          <w:color w:val="000000" w:themeColor="text1"/>
          <w:lang w:val="pt-BR"/>
        </w:rPr>
        <w:t>–</w:t>
      </w:r>
      <w:r w:rsidRPr="00406361">
        <w:rPr>
          <w:color w:val="000000" w:themeColor="text1"/>
          <w:lang w:val="pt-BR"/>
        </w:rPr>
        <w:t xml:space="preserve"> Assertividade (</w:t>
      </w:r>
      <w:r w:rsidRPr="00406361">
        <w:rPr>
          <w:i/>
          <w:color w:val="000000" w:themeColor="text1"/>
          <w:lang w:val="pt-BR"/>
        </w:rPr>
        <w:t xml:space="preserve">n </w:t>
      </w:r>
      <w:r w:rsidRPr="00406361">
        <w:rPr>
          <w:color w:val="000000" w:themeColor="text1"/>
          <w:lang w:val="pt-BR"/>
        </w:rPr>
        <w:t>= 160, 37.7%), seguido do baixo custo de resposta no F3 – Civilidade (</w:t>
      </w:r>
      <w:r w:rsidRPr="00406361">
        <w:rPr>
          <w:i/>
          <w:color w:val="000000" w:themeColor="text1"/>
          <w:lang w:val="pt-BR"/>
        </w:rPr>
        <w:t xml:space="preserve">n </w:t>
      </w:r>
      <w:r w:rsidRPr="00406361">
        <w:rPr>
          <w:color w:val="000000" w:themeColor="text1"/>
          <w:lang w:val="pt-BR"/>
        </w:rPr>
        <w:t xml:space="preserve">= 182, 42.9%), F5 </w:t>
      </w:r>
      <w:r w:rsidR="00B35F03" w:rsidRPr="00406361">
        <w:rPr>
          <w:color w:val="000000" w:themeColor="text1"/>
          <w:lang w:val="pt-BR"/>
        </w:rPr>
        <w:t>–</w:t>
      </w:r>
      <w:r w:rsidRPr="00406361">
        <w:rPr>
          <w:color w:val="000000" w:themeColor="text1"/>
          <w:lang w:val="pt-BR"/>
        </w:rPr>
        <w:t xml:space="preserve"> Abordagem afetiva (</w:t>
      </w:r>
      <w:r w:rsidRPr="00406361">
        <w:rPr>
          <w:i/>
          <w:color w:val="000000" w:themeColor="text1"/>
          <w:lang w:val="pt-BR"/>
        </w:rPr>
        <w:t xml:space="preserve">n </w:t>
      </w:r>
      <w:r w:rsidRPr="00406361">
        <w:rPr>
          <w:color w:val="000000" w:themeColor="text1"/>
          <w:lang w:val="pt-BR"/>
        </w:rPr>
        <w:t>= 151, 35.7%), F6 – Desenvoltura Social (</w:t>
      </w:r>
      <w:r w:rsidRPr="00406361">
        <w:rPr>
          <w:i/>
          <w:color w:val="000000" w:themeColor="text1"/>
          <w:lang w:val="pt-BR"/>
        </w:rPr>
        <w:t xml:space="preserve">n </w:t>
      </w:r>
      <w:r w:rsidRPr="00406361">
        <w:rPr>
          <w:color w:val="000000" w:themeColor="text1"/>
          <w:lang w:val="pt-BR"/>
        </w:rPr>
        <w:t>= 192, 45.4%) e Escore Total (</w:t>
      </w:r>
      <w:r w:rsidRPr="00406361">
        <w:rPr>
          <w:i/>
          <w:color w:val="000000" w:themeColor="text1"/>
          <w:lang w:val="pt-BR"/>
        </w:rPr>
        <w:t xml:space="preserve">n </w:t>
      </w:r>
      <w:r w:rsidRPr="00406361">
        <w:rPr>
          <w:color w:val="000000" w:themeColor="text1"/>
          <w:lang w:val="pt-BR"/>
        </w:rPr>
        <w:t>= 163, 38</w:t>
      </w:r>
      <w:r w:rsidR="00B35F03" w:rsidRPr="00406361">
        <w:rPr>
          <w:color w:val="000000" w:themeColor="text1"/>
          <w:lang w:val="pt-BR"/>
        </w:rPr>
        <w:t>.</w:t>
      </w:r>
      <w:r w:rsidRPr="00406361">
        <w:rPr>
          <w:color w:val="000000" w:themeColor="text1"/>
          <w:lang w:val="pt-BR"/>
        </w:rPr>
        <w:t>7%). As frequências, porcentagens e alfa de Cronbach de cada fator encontram-se na Tabela 2.</w:t>
      </w:r>
    </w:p>
    <w:p w14:paraId="25159E9E" w14:textId="3EB415BA" w:rsidR="00A4227E" w:rsidRPr="00406361" w:rsidRDefault="00A4227E" w:rsidP="00EB70A8">
      <w:pPr>
        <w:rPr>
          <w:color w:val="000000" w:themeColor="text1"/>
          <w:sz w:val="20"/>
          <w:szCs w:val="20"/>
          <w:lang w:val="pt-BR"/>
        </w:rPr>
      </w:pPr>
      <w:r w:rsidRPr="00406361">
        <w:rPr>
          <w:color w:val="000000" w:themeColor="text1"/>
          <w:sz w:val="20"/>
          <w:szCs w:val="20"/>
          <w:lang w:val="pt-BR"/>
        </w:rPr>
        <w:t>Tabela 2</w:t>
      </w:r>
    </w:p>
    <w:p w14:paraId="4972DBEE" w14:textId="3ECEC3EE" w:rsidR="00A4227E" w:rsidRPr="00406361" w:rsidRDefault="00A4227E" w:rsidP="00EB70A8">
      <w:pPr>
        <w:rPr>
          <w:i/>
          <w:color w:val="000000" w:themeColor="text1"/>
          <w:sz w:val="20"/>
          <w:szCs w:val="20"/>
          <w:lang w:val="pt-BR"/>
        </w:rPr>
      </w:pPr>
      <w:r w:rsidRPr="00406361">
        <w:rPr>
          <w:i/>
          <w:color w:val="000000" w:themeColor="text1"/>
          <w:sz w:val="20"/>
          <w:szCs w:val="20"/>
          <w:lang w:val="pt-BR"/>
        </w:rPr>
        <w:t>Indicador de dificuldades do IHSA-Del-Prette</w:t>
      </w:r>
    </w:p>
    <w:tbl>
      <w:tblPr>
        <w:tblW w:w="0" w:type="auto"/>
        <w:jc w:val="center"/>
        <w:tblBorders>
          <w:top w:val="nil"/>
          <w:left w:val="nil"/>
          <w:bottom w:val="nil"/>
          <w:right w:val="nil"/>
          <w:insideH w:val="nil"/>
          <w:insideV w:val="nil"/>
        </w:tblBorders>
        <w:tblLook w:val="0600" w:firstRow="0" w:lastRow="0" w:firstColumn="0" w:lastColumn="0" w:noHBand="1" w:noVBand="1"/>
      </w:tblPr>
      <w:tblGrid>
        <w:gridCol w:w="2410"/>
        <w:gridCol w:w="1815"/>
        <w:gridCol w:w="1979"/>
        <w:gridCol w:w="1833"/>
        <w:gridCol w:w="1323"/>
      </w:tblGrid>
      <w:tr w:rsidR="00406361" w:rsidRPr="00406361" w14:paraId="57993242" w14:textId="77777777" w:rsidTr="00EB70A8">
        <w:trPr>
          <w:trHeight w:val="20"/>
          <w:jc w:val="center"/>
        </w:trPr>
        <w:tc>
          <w:tcPr>
            <w:tcW w:w="2410" w:type="dxa"/>
            <w:tcBorders>
              <w:top w:val="single" w:sz="8" w:space="0" w:color="000000"/>
              <w:left w:val="nil"/>
              <w:bottom w:val="nil"/>
              <w:right w:val="nil"/>
            </w:tcBorders>
            <w:tcMar>
              <w:top w:w="100" w:type="dxa"/>
              <w:left w:w="100" w:type="dxa"/>
              <w:bottom w:w="100" w:type="dxa"/>
              <w:right w:w="100" w:type="dxa"/>
            </w:tcMar>
          </w:tcPr>
          <w:p w14:paraId="566C0CB5" w14:textId="77777777" w:rsidR="00A4227E" w:rsidRPr="00406361" w:rsidRDefault="00A4227E" w:rsidP="00100E1C">
            <w:pPr>
              <w:rPr>
                <w:color w:val="000000" w:themeColor="text1"/>
                <w:sz w:val="20"/>
                <w:szCs w:val="20"/>
                <w:lang w:val="pt-BR"/>
              </w:rPr>
            </w:pPr>
            <w:r w:rsidRPr="00406361">
              <w:rPr>
                <w:color w:val="000000" w:themeColor="text1"/>
                <w:sz w:val="20"/>
                <w:szCs w:val="20"/>
                <w:lang w:val="pt-BR"/>
              </w:rPr>
              <w:t xml:space="preserve"> </w:t>
            </w:r>
          </w:p>
        </w:tc>
        <w:tc>
          <w:tcPr>
            <w:tcW w:w="6950" w:type="dxa"/>
            <w:gridSpan w:val="4"/>
            <w:tcBorders>
              <w:top w:val="single" w:sz="8" w:space="0" w:color="000000"/>
              <w:left w:val="nil"/>
              <w:bottom w:val="single" w:sz="8" w:space="0" w:color="000000"/>
              <w:right w:val="nil"/>
            </w:tcBorders>
            <w:tcMar>
              <w:top w:w="100" w:type="dxa"/>
              <w:left w:w="100" w:type="dxa"/>
              <w:bottom w:w="100" w:type="dxa"/>
              <w:right w:w="100" w:type="dxa"/>
            </w:tcMar>
          </w:tcPr>
          <w:p w14:paraId="0A304E07"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Indicador de dificuldade do IHSA-Del-Prette</w:t>
            </w:r>
          </w:p>
          <w:p w14:paraId="7A2E26F3" w14:textId="77777777" w:rsidR="00A4227E" w:rsidRPr="00406361" w:rsidRDefault="00A4227E" w:rsidP="00100E1C">
            <w:pPr>
              <w:jc w:val="center"/>
              <w:rPr>
                <w:color w:val="000000" w:themeColor="text1"/>
                <w:sz w:val="20"/>
                <w:szCs w:val="20"/>
                <w:lang w:val="pt-BR"/>
              </w:rPr>
            </w:pPr>
            <w:r w:rsidRPr="00406361">
              <w:rPr>
                <w:i/>
                <w:color w:val="000000" w:themeColor="text1"/>
                <w:sz w:val="20"/>
                <w:szCs w:val="20"/>
                <w:lang w:val="pt-BR"/>
              </w:rPr>
              <w:t>n</w:t>
            </w:r>
            <w:r w:rsidRPr="00406361">
              <w:rPr>
                <w:color w:val="000000" w:themeColor="text1"/>
                <w:sz w:val="20"/>
                <w:szCs w:val="20"/>
                <w:lang w:val="pt-BR"/>
              </w:rPr>
              <w:t xml:space="preserve"> (%)</w:t>
            </w:r>
          </w:p>
        </w:tc>
      </w:tr>
      <w:tr w:rsidR="00406361" w:rsidRPr="00406361" w14:paraId="2BDA2F84" w14:textId="77777777" w:rsidTr="00EB70A8">
        <w:trPr>
          <w:trHeight w:val="306"/>
          <w:jc w:val="center"/>
        </w:trPr>
        <w:tc>
          <w:tcPr>
            <w:tcW w:w="2410" w:type="dxa"/>
            <w:tcBorders>
              <w:top w:val="nil"/>
              <w:left w:val="nil"/>
              <w:bottom w:val="single" w:sz="8" w:space="0" w:color="000000"/>
              <w:right w:val="nil"/>
            </w:tcBorders>
            <w:shd w:val="clear" w:color="auto" w:fill="auto"/>
            <w:tcMar>
              <w:top w:w="100" w:type="dxa"/>
              <w:left w:w="100" w:type="dxa"/>
              <w:bottom w:w="100" w:type="dxa"/>
              <w:right w:w="100" w:type="dxa"/>
            </w:tcMar>
          </w:tcPr>
          <w:p w14:paraId="2B2A0317" w14:textId="77777777" w:rsidR="00A4227E" w:rsidRPr="00406361" w:rsidRDefault="00A4227E" w:rsidP="00100E1C">
            <w:pPr>
              <w:rPr>
                <w:color w:val="000000" w:themeColor="text1"/>
                <w:sz w:val="20"/>
                <w:szCs w:val="20"/>
                <w:lang w:val="pt-BR"/>
              </w:rPr>
            </w:pPr>
            <w:r w:rsidRPr="00406361">
              <w:rPr>
                <w:color w:val="000000" w:themeColor="text1"/>
                <w:sz w:val="20"/>
                <w:szCs w:val="20"/>
                <w:lang w:val="pt-BR"/>
              </w:rPr>
              <w:t xml:space="preserve"> </w:t>
            </w:r>
          </w:p>
        </w:tc>
        <w:tc>
          <w:tcPr>
            <w:tcW w:w="1815" w:type="dxa"/>
            <w:tcBorders>
              <w:top w:val="nil"/>
              <w:left w:val="nil"/>
              <w:bottom w:val="single" w:sz="8" w:space="0" w:color="000000"/>
              <w:right w:val="nil"/>
            </w:tcBorders>
            <w:shd w:val="clear" w:color="auto" w:fill="auto"/>
            <w:tcMar>
              <w:top w:w="100" w:type="dxa"/>
              <w:left w:w="100" w:type="dxa"/>
              <w:bottom w:w="100" w:type="dxa"/>
              <w:right w:w="100" w:type="dxa"/>
            </w:tcMar>
          </w:tcPr>
          <w:p w14:paraId="05C55F87"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Baixo custo de resposta</w:t>
            </w:r>
          </w:p>
        </w:tc>
        <w:tc>
          <w:tcPr>
            <w:tcW w:w="0" w:type="auto"/>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7FEE6D2B"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Médio custo de resposta</w:t>
            </w:r>
          </w:p>
        </w:tc>
        <w:tc>
          <w:tcPr>
            <w:tcW w:w="0" w:type="auto"/>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78DF147C"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Alto custo de resposta</w:t>
            </w:r>
          </w:p>
        </w:tc>
        <w:tc>
          <w:tcPr>
            <w:tcW w:w="0" w:type="auto"/>
            <w:tcBorders>
              <w:top w:val="single" w:sz="8" w:space="0" w:color="000000"/>
              <w:left w:val="nil"/>
              <w:bottom w:val="single" w:sz="8" w:space="0" w:color="000000"/>
              <w:right w:val="nil"/>
            </w:tcBorders>
            <w:shd w:val="clear" w:color="auto" w:fill="auto"/>
            <w:tcMar>
              <w:top w:w="100" w:type="dxa"/>
              <w:left w:w="100" w:type="dxa"/>
              <w:bottom w:w="100" w:type="dxa"/>
              <w:right w:w="100" w:type="dxa"/>
            </w:tcMar>
          </w:tcPr>
          <w:p w14:paraId="2121E1A5"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α de Cronbach</w:t>
            </w:r>
          </w:p>
        </w:tc>
      </w:tr>
      <w:tr w:rsidR="00406361" w:rsidRPr="00406361" w14:paraId="38FE7767" w14:textId="77777777" w:rsidTr="00EB70A8">
        <w:trPr>
          <w:trHeight w:val="24"/>
          <w:jc w:val="center"/>
        </w:trPr>
        <w:tc>
          <w:tcPr>
            <w:tcW w:w="2410" w:type="dxa"/>
            <w:tcBorders>
              <w:top w:val="nil"/>
              <w:left w:val="nil"/>
              <w:bottom w:val="nil"/>
              <w:right w:val="nil"/>
            </w:tcBorders>
            <w:shd w:val="clear" w:color="auto" w:fill="auto"/>
            <w:tcMar>
              <w:top w:w="100" w:type="dxa"/>
              <w:left w:w="100" w:type="dxa"/>
              <w:bottom w:w="100" w:type="dxa"/>
              <w:right w:w="100" w:type="dxa"/>
            </w:tcMar>
          </w:tcPr>
          <w:p w14:paraId="6C5D93BF" w14:textId="77777777" w:rsidR="00A4227E" w:rsidRPr="00406361" w:rsidRDefault="00A4227E" w:rsidP="00100E1C">
            <w:pPr>
              <w:ind w:left="360" w:hanging="180"/>
              <w:rPr>
                <w:color w:val="000000" w:themeColor="text1"/>
                <w:sz w:val="20"/>
                <w:szCs w:val="20"/>
                <w:lang w:val="pt-BR"/>
              </w:rPr>
            </w:pPr>
            <w:r w:rsidRPr="00406361">
              <w:rPr>
                <w:color w:val="000000" w:themeColor="text1"/>
                <w:sz w:val="20"/>
                <w:szCs w:val="20"/>
                <w:lang w:val="pt-BR"/>
              </w:rPr>
              <w:t>F1 – Empatia</w:t>
            </w:r>
          </w:p>
        </w:tc>
        <w:tc>
          <w:tcPr>
            <w:tcW w:w="1815" w:type="dxa"/>
            <w:tcBorders>
              <w:top w:val="nil"/>
              <w:left w:val="nil"/>
              <w:bottom w:val="nil"/>
              <w:right w:val="nil"/>
            </w:tcBorders>
            <w:shd w:val="clear" w:color="auto" w:fill="auto"/>
            <w:tcMar>
              <w:top w:w="100" w:type="dxa"/>
              <w:left w:w="100" w:type="dxa"/>
              <w:bottom w:w="100" w:type="dxa"/>
              <w:right w:w="100" w:type="dxa"/>
            </w:tcMar>
          </w:tcPr>
          <w:p w14:paraId="5CF9FA73" w14:textId="77777777" w:rsidR="00A4227E" w:rsidRPr="00406361" w:rsidRDefault="00A4227E" w:rsidP="00A4227E">
            <w:pPr>
              <w:jc w:val="center"/>
              <w:rPr>
                <w:color w:val="000000" w:themeColor="text1"/>
                <w:sz w:val="20"/>
                <w:szCs w:val="20"/>
                <w:lang w:val="pt-BR"/>
              </w:rPr>
            </w:pPr>
            <w:r w:rsidRPr="00406361">
              <w:rPr>
                <w:color w:val="000000" w:themeColor="text1"/>
                <w:sz w:val="20"/>
                <w:szCs w:val="20"/>
                <w:lang w:val="pt-BR"/>
              </w:rPr>
              <w:t>136 (32.1)</w:t>
            </w:r>
          </w:p>
        </w:tc>
        <w:tc>
          <w:tcPr>
            <w:tcW w:w="0" w:type="auto"/>
            <w:tcBorders>
              <w:top w:val="nil"/>
              <w:left w:val="nil"/>
              <w:bottom w:val="nil"/>
              <w:right w:val="nil"/>
            </w:tcBorders>
            <w:shd w:val="clear" w:color="auto" w:fill="auto"/>
            <w:tcMar>
              <w:top w:w="100" w:type="dxa"/>
              <w:left w:w="100" w:type="dxa"/>
              <w:bottom w:w="100" w:type="dxa"/>
              <w:right w:w="100" w:type="dxa"/>
            </w:tcMar>
          </w:tcPr>
          <w:p w14:paraId="7D09F58D"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110 (25.9)</w:t>
            </w:r>
          </w:p>
        </w:tc>
        <w:tc>
          <w:tcPr>
            <w:tcW w:w="0" w:type="auto"/>
            <w:tcBorders>
              <w:top w:val="nil"/>
              <w:left w:val="nil"/>
              <w:bottom w:val="nil"/>
              <w:right w:val="nil"/>
            </w:tcBorders>
            <w:shd w:val="clear" w:color="auto" w:fill="auto"/>
            <w:tcMar>
              <w:top w:w="100" w:type="dxa"/>
              <w:left w:w="100" w:type="dxa"/>
              <w:bottom w:w="100" w:type="dxa"/>
              <w:right w:w="100" w:type="dxa"/>
            </w:tcMar>
          </w:tcPr>
          <w:p w14:paraId="021E1205"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178 (42)*</w:t>
            </w:r>
          </w:p>
        </w:tc>
        <w:tc>
          <w:tcPr>
            <w:tcW w:w="0" w:type="auto"/>
            <w:tcBorders>
              <w:top w:val="nil"/>
              <w:left w:val="nil"/>
              <w:bottom w:val="nil"/>
              <w:right w:val="nil"/>
            </w:tcBorders>
            <w:shd w:val="clear" w:color="auto" w:fill="auto"/>
            <w:tcMar>
              <w:top w:w="100" w:type="dxa"/>
              <w:left w:w="100" w:type="dxa"/>
              <w:bottom w:w="100" w:type="dxa"/>
              <w:right w:w="100" w:type="dxa"/>
            </w:tcMar>
          </w:tcPr>
          <w:p w14:paraId="56A5FD97"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.85</w:t>
            </w:r>
          </w:p>
        </w:tc>
      </w:tr>
      <w:tr w:rsidR="00406361" w:rsidRPr="00406361" w14:paraId="56190987" w14:textId="77777777" w:rsidTr="00EB70A8">
        <w:trPr>
          <w:trHeight w:val="24"/>
          <w:jc w:val="center"/>
        </w:trPr>
        <w:tc>
          <w:tcPr>
            <w:tcW w:w="2410" w:type="dxa"/>
            <w:tcBorders>
              <w:top w:val="nil"/>
              <w:left w:val="nil"/>
              <w:bottom w:val="nil"/>
              <w:right w:val="nil"/>
            </w:tcBorders>
            <w:shd w:val="clear" w:color="auto" w:fill="auto"/>
            <w:tcMar>
              <w:top w:w="100" w:type="dxa"/>
              <w:left w:w="100" w:type="dxa"/>
              <w:bottom w:w="100" w:type="dxa"/>
              <w:right w:w="100" w:type="dxa"/>
            </w:tcMar>
          </w:tcPr>
          <w:p w14:paraId="15378A54" w14:textId="77777777" w:rsidR="00A4227E" w:rsidRPr="00406361" w:rsidRDefault="00A4227E" w:rsidP="00100E1C">
            <w:pPr>
              <w:ind w:left="360" w:hanging="180"/>
              <w:rPr>
                <w:color w:val="000000" w:themeColor="text1"/>
                <w:sz w:val="20"/>
                <w:szCs w:val="20"/>
                <w:lang w:val="pt-BR"/>
              </w:rPr>
            </w:pPr>
            <w:r w:rsidRPr="00406361">
              <w:rPr>
                <w:color w:val="000000" w:themeColor="text1"/>
                <w:sz w:val="20"/>
                <w:szCs w:val="20"/>
                <w:lang w:val="pt-BR"/>
              </w:rPr>
              <w:t>F2 – Autocontrole</w:t>
            </w:r>
          </w:p>
        </w:tc>
        <w:tc>
          <w:tcPr>
            <w:tcW w:w="1815" w:type="dxa"/>
            <w:tcBorders>
              <w:top w:val="nil"/>
              <w:left w:val="nil"/>
              <w:bottom w:val="nil"/>
              <w:right w:val="nil"/>
            </w:tcBorders>
            <w:shd w:val="clear" w:color="auto" w:fill="auto"/>
            <w:tcMar>
              <w:top w:w="100" w:type="dxa"/>
              <w:left w:w="100" w:type="dxa"/>
              <w:bottom w:w="100" w:type="dxa"/>
              <w:right w:w="100" w:type="dxa"/>
            </w:tcMar>
          </w:tcPr>
          <w:p w14:paraId="0EC27F2D" w14:textId="77777777" w:rsidR="00A4227E" w:rsidRPr="00406361" w:rsidRDefault="00A4227E" w:rsidP="00A4227E">
            <w:pPr>
              <w:jc w:val="center"/>
              <w:rPr>
                <w:color w:val="000000" w:themeColor="text1"/>
                <w:sz w:val="20"/>
                <w:szCs w:val="20"/>
                <w:lang w:val="pt-BR"/>
              </w:rPr>
            </w:pPr>
            <w:r w:rsidRPr="00406361">
              <w:rPr>
                <w:color w:val="000000" w:themeColor="text1"/>
                <w:sz w:val="20"/>
                <w:szCs w:val="20"/>
                <w:lang w:val="pt-BR"/>
              </w:rPr>
              <w:t>153 (36.1)</w:t>
            </w:r>
          </w:p>
        </w:tc>
        <w:tc>
          <w:tcPr>
            <w:tcW w:w="0" w:type="auto"/>
            <w:tcBorders>
              <w:top w:val="nil"/>
              <w:left w:val="nil"/>
              <w:bottom w:val="nil"/>
              <w:right w:val="nil"/>
            </w:tcBorders>
            <w:shd w:val="clear" w:color="auto" w:fill="auto"/>
            <w:tcMar>
              <w:top w:w="100" w:type="dxa"/>
              <w:left w:w="100" w:type="dxa"/>
              <w:bottom w:w="100" w:type="dxa"/>
              <w:right w:w="100" w:type="dxa"/>
            </w:tcMar>
          </w:tcPr>
          <w:p w14:paraId="56959FD6"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113 (26.7)</w:t>
            </w:r>
          </w:p>
        </w:tc>
        <w:tc>
          <w:tcPr>
            <w:tcW w:w="0" w:type="auto"/>
            <w:tcBorders>
              <w:top w:val="nil"/>
              <w:left w:val="nil"/>
              <w:bottom w:val="nil"/>
              <w:right w:val="nil"/>
            </w:tcBorders>
            <w:shd w:val="clear" w:color="auto" w:fill="auto"/>
            <w:tcMar>
              <w:top w:w="100" w:type="dxa"/>
              <w:left w:w="100" w:type="dxa"/>
              <w:bottom w:w="100" w:type="dxa"/>
              <w:right w:w="100" w:type="dxa"/>
            </w:tcMar>
          </w:tcPr>
          <w:p w14:paraId="4521C150"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158 (37.3)*</w:t>
            </w:r>
          </w:p>
        </w:tc>
        <w:tc>
          <w:tcPr>
            <w:tcW w:w="0" w:type="auto"/>
            <w:tcBorders>
              <w:top w:val="nil"/>
              <w:left w:val="nil"/>
              <w:bottom w:val="nil"/>
              <w:right w:val="nil"/>
            </w:tcBorders>
            <w:shd w:val="clear" w:color="auto" w:fill="auto"/>
            <w:tcMar>
              <w:top w:w="100" w:type="dxa"/>
              <w:left w:w="100" w:type="dxa"/>
              <w:bottom w:w="100" w:type="dxa"/>
              <w:right w:w="100" w:type="dxa"/>
            </w:tcMar>
          </w:tcPr>
          <w:p w14:paraId="3B01FB78"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.80</w:t>
            </w:r>
          </w:p>
        </w:tc>
      </w:tr>
      <w:tr w:rsidR="00406361" w:rsidRPr="00406361" w14:paraId="5B0CB1BD" w14:textId="77777777" w:rsidTr="00EB70A8">
        <w:trPr>
          <w:trHeight w:val="24"/>
          <w:jc w:val="center"/>
        </w:trPr>
        <w:tc>
          <w:tcPr>
            <w:tcW w:w="2410" w:type="dxa"/>
            <w:tcBorders>
              <w:top w:val="nil"/>
              <w:left w:val="nil"/>
              <w:bottom w:val="nil"/>
              <w:right w:val="nil"/>
            </w:tcBorders>
            <w:shd w:val="clear" w:color="auto" w:fill="auto"/>
            <w:tcMar>
              <w:top w:w="100" w:type="dxa"/>
              <w:left w:w="100" w:type="dxa"/>
              <w:bottom w:w="100" w:type="dxa"/>
              <w:right w:w="100" w:type="dxa"/>
            </w:tcMar>
          </w:tcPr>
          <w:p w14:paraId="198F5F34" w14:textId="77777777" w:rsidR="00A4227E" w:rsidRPr="00406361" w:rsidRDefault="00A4227E" w:rsidP="00100E1C">
            <w:pPr>
              <w:ind w:left="360" w:hanging="180"/>
              <w:rPr>
                <w:color w:val="000000" w:themeColor="text1"/>
                <w:sz w:val="20"/>
                <w:szCs w:val="20"/>
                <w:lang w:val="pt-BR"/>
              </w:rPr>
            </w:pPr>
            <w:r w:rsidRPr="00406361">
              <w:rPr>
                <w:color w:val="000000" w:themeColor="text1"/>
                <w:sz w:val="20"/>
                <w:szCs w:val="20"/>
                <w:lang w:val="pt-BR"/>
              </w:rPr>
              <w:t>F3 – Civilidade</w:t>
            </w:r>
          </w:p>
        </w:tc>
        <w:tc>
          <w:tcPr>
            <w:tcW w:w="1815" w:type="dxa"/>
            <w:tcBorders>
              <w:top w:val="nil"/>
              <w:left w:val="nil"/>
              <w:bottom w:val="nil"/>
              <w:right w:val="nil"/>
            </w:tcBorders>
            <w:shd w:val="clear" w:color="auto" w:fill="auto"/>
            <w:tcMar>
              <w:top w:w="100" w:type="dxa"/>
              <w:left w:w="100" w:type="dxa"/>
              <w:bottom w:w="100" w:type="dxa"/>
              <w:right w:w="100" w:type="dxa"/>
            </w:tcMar>
          </w:tcPr>
          <w:p w14:paraId="2C441B98" w14:textId="77777777" w:rsidR="00A4227E" w:rsidRPr="00406361" w:rsidRDefault="00A4227E" w:rsidP="00A4227E">
            <w:pPr>
              <w:jc w:val="center"/>
              <w:rPr>
                <w:color w:val="000000" w:themeColor="text1"/>
                <w:sz w:val="20"/>
                <w:szCs w:val="20"/>
                <w:lang w:val="pt-BR"/>
              </w:rPr>
            </w:pPr>
            <w:r w:rsidRPr="00406361">
              <w:rPr>
                <w:color w:val="000000" w:themeColor="text1"/>
                <w:sz w:val="20"/>
                <w:szCs w:val="20"/>
                <w:lang w:val="pt-BR"/>
              </w:rPr>
              <w:t>182 (42.9)*</w:t>
            </w:r>
          </w:p>
        </w:tc>
        <w:tc>
          <w:tcPr>
            <w:tcW w:w="0" w:type="auto"/>
            <w:tcBorders>
              <w:top w:val="nil"/>
              <w:left w:val="nil"/>
              <w:bottom w:val="nil"/>
              <w:right w:val="nil"/>
            </w:tcBorders>
            <w:shd w:val="clear" w:color="auto" w:fill="auto"/>
            <w:tcMar>
              <w:top w:w="100" w:type="dxa"/>
              <w:left w:w="100" w:type="dxa"/>
              <w:bottom w:w="100" w:type="dxa"/>
              <w:right w:w="100" w:type="dxa"/>
            </w:tcMar>
          </w:tcPr>
          <w:p w14:paraId="4BE3578E"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124 (29.2)</w:t>
            </w:r>
          </w:p>
        </w:tc>
        <w:tc>
          <w:tcPr>
            <w:tcW w:w="0" w:type="auto"/>
            <w:tcBorders>
              <w:top w:val="nil"/>
              <w:left w:val="nil"/>
              <w:bottom w:val="nil"/>
              <w:right w:val="nil"/>
            </w:tcBorders>
            <w:shd w:val="clear" w:color="auto" w:fill="auto"/>
            <w:tcMar>
              <w:top w:w="100" w:type="dxa"/>
              <w:left w:w="100" w:type="dxa"/>
              <w:bottom w:w="100" w:type="dxa"/>
              <w:right w:w="100" w:type="dxa"/>
            </w:tcMar>
          </w:tcPr>
          <w:p w14:paraId="6BA2CB69"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118 (27.8)</w:t>
            </w:r>
          </w:p>
        </w:tc>
        <w:tc>
          <w:tcPr>
            <w:tcW w:w="0" w:type="auto"/>
            <w:tcBorders>
              <w:top w:val="nil"/>
              <w:left w:val="nil"/>
              <w:bottom w:val="nil"/>
              <w:right w:val="nil"/>
            </w:tcBorders>
            <w:shd w:val="clear" w:color="auto" w:fill="auto"/>
            <w:tcMar>
              <w:top w:w="100" w:type="dxa"/>
              <w:left w:w="100" w:type="dxa"/>
              <w:bottom w:w="100" w:type="dxa"/>
              <w:right w:w="100" w:type="dxa"/>
            </w:tcMar>
          </w:tcPr>
          <w:p w14:paraId="5F625967"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.88</w:t>
            </w:r>
          </w:p>
        </w:tc>
      </w:tr>
      <w:tr w:rsidR="00406361" w:rsidRPr="00406361" w14:paraId="24292C05" w14:textId="77777777" w:rsidTr="00EB70A8">
        <w:trPr>
          <w:trHeight w:val="24"/>
          <w:jc w:val="center"/>
        </w:trPr>
        <w:tc>
          <w:tcPr>
            <w:tcW w:w="2410" w:type="dxa"/>
            <w:tcBorders>
              <w:top w:val="nil"/>
              <w:left w:val="nil"/>
              <w:bottom w:val="nil"/>
              <w:right w:val="nil"/>
            </w:tcBorders>
            <w:shd w:val="clear" w:color="auto" w:fill="auto"/>
            <w:tcMar>
              <w:top w:w="100" w:type="dxa"/>
              <w:left w:w="100" w:type="dxa"/>
              <w:bottom w:w="100" w:type="dxa"/>
              <w:right w:w="100" w:type="dxa"/>
            </w:tcMar>
          </w:tcPr>
          <w:p w14:paraId="110B7A07" w14:textId="77777777" w:rsidR="00A4227E" w:rsidRPr="00406361" w:rsidRDefault="00A4227E" w:rsidP="00100E1C">
            <w:pPr>
              <w:ind w:left="360" w:hanging="180"/>
              <w:rPr>
                <w:color w:val="000000" w:themeColor="text1"/>
                <w:sz w:val="20"/>
                <w:szCs w:val="20"/>
                <w:lang w:val="pt-BR"/>
              </w:rPr>
            </w:pPr>
            <w:r w:rsidRPr="00406361">
              <w:rPr>
                <w:color w:val="000000" w:themeColor="text1"/>
                <w:sz w:val="20"/>
                <w:szCs w:val="20"/>
                <w:lang w:val="pt-BR"/>
              </w:rPr>
              <w:t>F4 – Assertividade</w:t>
            </w:r>
          </w:p>
        </w:tc>
        <w:tc>
          <w:tcPr>
            <w:tcW w:w="1815" w:type="dxa"/>
            <w:tcBorders>
              <w:top w:val="nil"/>
              <w:left w:val="nil"/>
              <w:bottom w:val="nil"/>
              <w:right w:val="nil"/>
            </w:tcBorders>
            <w:shd w:val="clear" w:color="auto" w:fill="auto"/>
            <w:tcMar>
              <w:top w:w="100" w:type="dxa"/>
              <w:left w:w="100" w:type="dxa"/>
              <w:bottom w:w="100" w:type="dxa"/>
              <w:right w:w="100" w:type="dxa"/>
            </w:tcMar>
          </w:tcPr>
          <w:p w14:paraId="00551445" w14:textId="77777777" w:rsidR="00A4227E" w:rsidRPr="00406361" w:rsidRDefault="00A4227E" w:rsidP="00A4227E">
            <w:pPr>
              <w:jc w:val="center"/>
              <w:rPr>
                <w:color w:val="000000" w:themeColor="text1"/>
                <w:sz w:val="20"/>
                <w:szCs w:val="20"/>
                <w:lang w:val="pt-BR"/>
              </w:rPr>
            </w:pPr>
            <w:r w:rsidRPr="00406361">
              <w:rPr>
                <w:color w:val="000000" w:themeColor="text1"/>
                <w:sz w:val="20"/>
                <w:szCs w:val="20"/>
                <w:lang w:val="pt-BR"/>
              </w:rPr>
              <w:t>128 (30.2)</w:t>
            </w:r>
          </w:p>
        </w:tc>
        <w:tc>
          <w:tcPr>
            <w:tcW w:w="0" w:type="auto"/>
            <w:tcBorders>
              <w:top w:val="nil"/>
              <w:left w:val="nil"/>
              <w:bottom w:val="nil"/>
              <w:right w:val="nil"/>
            </w:tcBorders>
            <w:shd w:val="clear" w:color="auto" w:fill="auto"/>
            <w:tcMar>
              <w:top w:w="100" w:type="dxa"/>
              <w:left w:w="100" w:type="dxa"/>
              <w:bottom w:w="100" w:type="dxa"/>
              <w:right w:w="100" w:type="dxa"/>
            </w:tcMar>
          </w:tcPr>
          <w:p w14:paraId="5AF7579B"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136 (32.1)</w:t>
            </w:r>
          </w:p>
        </w:tc>
        <w:tc>
          <w:tcPr>
            <w:tcW w:w="0" w:type="auto"/>
            <w:tcBorders>
              <w:top w:val="nil"/>
              <w:left w:val="nil"/>
              <w:bottom w:val="nil"/>
              <w:right w:val="nil"/>
            </w:tcBorders>
            <w:shd w:val="clear" w:color="auto" w:fill="auto"/>
            <w:tcMar>
              <w:top w:w="100" w:type="dxa"/>
              <w:left w:w="100" w:type="dxa"/>
              <w:bottom w:w="100" w:type="dxa"/>
              <w:right w:w="100" w:type="dxa"/>
            </w:tcMar>
          </w:tcPr>
          <w:p w14:paraId="5DE8CC85"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160 (37.7)*</w:t>
            </w:r>
          </w:p>
        </w:tc>
        <w:tc>
          <w:tcPr>
            <w:tcW w:w="0" w:type="auto"/>
            <w:tcBorders>
              <w:top w:val="nil"/>
              <w:left w:val="nil"/>
              <w:bottom w:val="nil"/>
              <w:right w:val="nil"/>
            </w:tcBorders>
            <w:shd w:val="clear" w:color="auto" w:fill="auto"/>
            <w:tcMar>
              <w:top w:w="100" w:type="dxa"/>
              <w:left w:w="100" w:type="dxa"/>
              <w:bottom w:w="100" w:type="dxa"/>
              <w:right w:w="100" w:type="dxa"/>
            </w:tcMar>
          </w:tcPr>
          <w:p w14:paraId="46FAF22B"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.75</w:t>
            </w:r>
          </w:p>
        </w:tc>
      </w:tr>
      <w:tr w:rsidR="00406361" w:rsidRPr="00406361" w14:paraId="69608D4E" w14:textId="77777777" w:rsidTr="00EB70A8">
        <w:trPr>
          <w:trHeight w:val="65"/>
          <w:jc w:val="center"/>
        </w:trPr>
        <w:tc>
          <w:tcPr>
            <w:tcW w:w="2410" w:type="dxa"/>
            <w:tcBorders>
              <w:top w:val="nil"/>
              <w:left w:val="nil"/>
              <w:bottom w:val="nil"/>
              <w:right w:val="nil"/>
            </w:tcBorders>
            <w:shd w:val="clear" w:color="auto" w:fill="auto"/>
            <w:tcMar>
              <w:top w:w="100" w:type="dxa"/>
              <w:left w:w="100" w:type="dxa"/>
              <w:bottom w:w="100" w:type="dxa"/>
              <w:right w:w="100" w:type="dxa"/>
            </w:tcMar>
          </w:tcPr>
          <w:p w14:paraId="5A8A91D5" w14:textId="77777777" w:rsidR="00A4227E" w:rsidRPr="00406361" w:rsidRDefault="00A4227E" w:rsidP="00100E1C">
            <w:pPr>
              <w:ind w:left="360" w:hanging="180"/>
              <w:rPr>
                <w:color w:val="000000" w:themeColor="text1"/>
                <w:sz w:val="20"/>
                <w:szCs w:val="20"/>
                <w:lang w:val="pt-BR"/>
              </w:rPr>
            </w:pPr>
            <w:r w:rsidRPr="00406361">
              <w:rPr>
                <w:color w:val="000000" w:themeColor="text1"/>
                <w:sz w:val="20"/>
                <w:szCs w:val="20"/>
                <w:lang w:val="pt-BR"/>
              </w:rPr>
              <w:t>F5 – Abordagem afetiva</w:t>
            </w:r>
          </w:p>
        </w:tc>
        <w:tc>
          <w:tcPr>
            <w:tcW w:w="1815" w:type="dxa"/>
            <w:tcBorders>
              <w:top w:val="nil"/>
              <w:left w:val="nil"/>
              <w:bottom w:val="nil"/>
              <w:right w:val="nil"/>
            </w:tcBorders>
            <w:shd w:val="clear" w:color="auto" w:fill="auto"/>
            <w:tcMar>
              <w:top w:w="100" w:type="dxa"/>
              <w:left w:w="100" w:type="dxa"/>
              <w:bottom w:w="100" w:type="dxa"/>
              <w:right w:w="100" w:type="dxa"/>
            </w:tcMar>
          </w:tcPr>
          <w:p w14:paraId="1109864D" w14:textId="77777777" w:rsidR="00A4227E" w:rsidRPr="00406361" w:rsidRDefault="00A4227E" w:rsidP="00A4227E">
            <w:pPr>
              <w:jc w:val="center"/>
              <w:rPr>
                <w:color w:val="000000" w:themeColor="text1"/>
                <w:sz w:val="20"/>
                <w:szCs w:val="20"/>
                <w:lang w:val="pt-BR"/>
              </w:rPr>
            </w:pPr>
            <w:r w:rsidRPr="00406361">
              <w:rPr>
                <w:color w:val="000000" w:themeColor="text1"/>
                <w:sz w:val="20"/>
                <w:szCs w:val="20"/>
                <w:lang w:val="pt-BR"/>
              </w:rPr>
              <w:t>151 (35.7)*</w:t>
            </w:r>
          </w:p>
        </w:tc>
        <w:tc>
          <w:tcPr>
            <w:tcW w:w="0" w:type="auto"/>
            <w:tcBorders>
              <w:top w:val="nil"/>
              <w:left w:val="nil"/>
              <w:bottom w:val="nil"/>
              <w:right w:val="nil"/>
            </w:tcBorders>
            <w:shd w:val="clear" w:color="auto" w:fill="auto"/>
            <w:tcMar>
              <w:top w:w="100" w:type="dxa"/>
              <w:left w:w="100" w:type="dxa"/>
              <w:bottom w:w="100" w:type="dxa"/>
              <w:right w:w="100" w:type="dxa"/>
            </w:tcMar>
          </w:tcPr>
          <w:p w14:paraId="3571FD5B"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139 (32.9)</w:t>
            </w:r>
          </w:p>
        </w:tc>
        <w:tc>
          <w:tcPr>
            <w:tcW w:w="0" w:type="auto"/>
            <w:tcBorders>
              <w:top w:val="nil"/>
              <w:left w:val="nil"/>
              <w:bottom w:val="nil"/>
              <w:right w:val="nil"/>
            </w:tcBorders>
            <w:shd w:val="clear" w:color="auto" w:fill="auto"/>
            <w:tcMar>
              <w:top w:w="100" w:type="dxa"/>
              <w:left w:w="100" w:type="dxa"/>
              <w:bottom w:w="100" w:type="dxa"/>
              <w:right w:w="100" w:type="dxa"/>
            </w:tcMar>
          </w:tcPr>
          <w:p w14:paraId="71116D8A"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133 (31.4)</w:t>
            </w:r>
          </w:p>
        </w:tc>
        <w:tc>
          <w:tcPr>
            <w:tcW w:w="0" w:type="auto"/>
            <w:tcBorders>
              <w:top w:val="nil"/>
              <w:left w:val="nil"/>
              <w:bottom w:val="nil"/>
              <w:right w:val="nil"/>
            </w:tcBorders>
            <w:shd w:val="clear" w:color="auto" w:fill="auto"/>
            <w:tcMar>
              <w:top w:w="100" w:type="dxa"/>
              <w:left w:w="100" w:type="dxa"/>
              <w:bottom w:w="100" w:type="dxa"/>
              <w:right w:w="100" w:type="dxa"/>
            </w:tcMar>
          </w:tcPr>
          <w:p w14:paraId="44A42D09"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.75</w:t>
            </w:r>
          </w:p>
        </w:tc>
      </w:tr>
      <w:tr w:rsidR="00406361" w:rsidRPr="00406361" w14:paraId="33EF7974" w14:textId="77777777" w:rsidTr="00EB70A8">
        <w:trPr>
          <w:trHeight w:val="24"/>
          <w:jc w:val="center"/>
        </w:trPr>
        <w:tc>
          <w:tcPr>
            <w:tcW w:w="2410" w:type="dxa"/>
            <w:tcBorders>
              <w:top w:val="nil"/>
              <w:left w:val="nil"/>
              <w:bottom w:val="nil"/>
              <w:right w:val="nil"/>
            </w:tcBorders>
            <w:shd w:val="clear" w:color="auto" w:fill="auto"/>
            <w:tcMar>
              <w:top w:w="100" w:type="dxa"/>
              <w:left w:w="100" w:type="dxa"/>
              <w:bottom w:w="100" w:type="dxa"/>
              <w:right w:w="100" w:type="dxa"/>
            </w:tcMar>
          </w:tcPr>
          <w:p w14:paraId="3819DDC6" w14:textId="77777777" w:rsidR="00A4227E" w:rsidRPr="00406361" w:rsidRDefault="00A4227E" w:rsidP="00100E1C">
            <w:pPr>
              <w:ind w:left="360" w:hanging="180"/>
              <w:rPr>
                <w:color w:val="000000" w:themeColor="text1"/>
                <w:sz w:val="20"/>
                <w:szCs w:val="20"/>
                <w:lang w:val="pt-BR"/>
              </w:rPr>
            </w:pPr>
            <w:r w:rsidRPr="00406361">
              <w:rPr>
                <w:color w:val="000000" w:themeColor="text1"/>
                <w:sz w:val="20"/>
                <w:szCs w:val="20"/>
                <w:lang w:val="pt-BR"/>
              </w:rPr>
              <w:t>F6 – Desenvoltura social</w:t>
            </w:r>
          </w:p>
        </w:tc>
        <w:tc>
          <w:tcPr>
            <w:tcW w:w="1815" w:type="dxa"/>
            <w:tcBorders>
              <w:top w:val="nil"/>
              <w:left w:val="nil"/>
              <w:bottom w:val="nil"/>
              <w:right w:val="nil"/>
            </w:tcBorders>
            <w:shd w:val="clear" w:color="auto" w:fill="auto"/>
            <w:tcMar>
              <w:top w:w="100" w:type="dxa"/>
              <w:left w:w="100" w:type="dxa"/>
              <w:bottom w:w="100" w:type="dxa"/>
              <w:right w:w="100" w:type="dxa"/>
            </w:tcMar>
          </w:tcPr>
          <w:p w14:paraId="535DD91C" w14:textId="77777777" w:rsidR="00A4227E" w:rsidRPr="00406361" w:rsidRDefault="00A4227E" w:rsidP="00A4227E">
            <w:pPr>
              <w:jc w:val="center"/>
              <w:rPr>
                <w:color w:val="000000" w:themeColor="text1"/>
                <w:sz w:val="20"/>
                <w:szCs w:val="20"/>
                <w:lang w:val="pt-BR"/>
              </w:rPr>
            </w:pPr>
            <w:r w:rsidRPr="00406361">
              <w:rPr>
                <w:color w:val="000000" w:themeColor="text1"/>
                <w:sz w:val="20"/>
                <w:szCs w:val="20"/>
                <w:lang w:val="pt-BR"/>
              </w:rPr>
              <w:t>192 (45.4)*</w:t>
            </w:r>
          </w:p>
        </w:tc>
        <w:tc>
          <w:tcPr>
            <w:tcW w:w="0" w:type="auto"/>
            <w:tcBorders>
              <w:top w:val="nil"/>
              <w:left w:val="nil"/>
              <w:bottom w:val="nil"/>
              <w:right w:val="nil"/>
            </w:tcBorders>
            <w:shd w:val="clear" w:color="auto" w:fill="auto"/>
            <w:tcMar>
              <w:top w:w="100" w:type="dxa"/>
              <w:left w:w="100" w:type="dxa"/>
              <w:bottom w:w="100" w:type="dxa"/>
              <w:right w:w="100" w:type="dxa"/>
            </w:tcMar>
          </w:tcPr>
          <w:p w14:paraId="525EDB64"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106 (25.1)</w:t>
            </w:r>
          </w:p>
        </w:tc>
        <w:tc>
          <w:tcPr>
            <w:tcW w:w="0" w:type="auto"/>
            <w:tcBorders>
              <w:top w:val="nil"/>
              <w:left w:val="nil"/>
              <w:bottom w:val="nil"/>
              <w:right w:val="nil"/>
            </w:tcBorders>
            <w:shd w:val="clear" w:color="auto" w:fill="auto"/>
            <w:tcMar>
              <w:top w:w="100" w:type="dxa"/>
              <w:left w:w="100" w:type="dxa"/>
              <w:bottom w:w="100" w:type="dxa"/>
              <w:right w:w="100" w:type="dxa"/>
            </w:tcMar>
          </w:tcPr>
          <w:p w14:paraId="1C136B77"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125 (29.6)</w:t>
            </w:r>
          </w:p>
        </w:tc>
        <w:tc>
          <w:tcPr>
            <w:tcW w:w="0" w:type="auto"/>
            <w:tcBorders>
              <w:top w:val="nil"/>
              <w:left w:val="nil"/>
              <w:bottom w:val="nil"/>
              <w:right w:val="nil"/>
            </w:tcBorders>
            <w:shd w:val="clear" w:color="auto" w:fill="auto"/>
            <w:tcMar>
              <w:top w:w="100" w:type="dxa"/>
              <w:left w:w="100" w:type="dxa"/>
              <w:bottom w:w="100" w:type="dxa"/>
              <w:right w:w="100" w:type="dxa"/>
            </w:tcMar>
          </w:tcPr>
          <w:p w14:paraId="300E696E"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.65</w:t>
            </w:r>
          </w:p>
        </w:tc>
      </w:tr>
      <w:tr w:rsidR="00406361" w:rsidRPr="00406361" w14:paraId="5308137C" w14:textId="77777777" w:rsidTr="00EB70A8">
        <w:trPr>
          <w:trHeight w:val="24"/>
          <w:jc w:val="center"/>
        </w:trPr>
        <w:tc>
          <w:tcPr>
            <w:tcW w:w="2410" w:type="dxa"/>
            <w:tcBorders>
              <w:top w:val="nil"/>
              <w:left w:val="nil"/>
              <w:bottom w:val="single" w:sz="4" w:space="0" w:color="auto"/>
              <w:right w:val="nil"/>
            </w:tcBorders>
            <w:shd w:val="clear" w:color="auto" w:fill="auto"/>
            <w:tcMar>
              <w:top w:w="100" w:type="dxa"/>
              <w:left w:w="100" w:type="dxa"/>
              <w:bottom w:w="100" w:type="dxa"/>
              <w:right w:w="100" w:type="dxa"/>
            </w:tcMar>
          </w:tcPr>
          <w:p w14:paraId="05131E7A" w14:textId="77777777" w:rsidR="00A4227E" w:rsidRPr="00406361" w:rsidRDefault="00A4227E" w:rsidP="00100E1C">
            <w:pPr>
              <w:ind w:left="360" w:hanging="180"/>
              <w:rPr>
                <w:color w:val="000000" w:themeColor="text1"/>
                <w:sz w:val="20"/>
                <w:szCs w:val="20"/>
                <w:lang w:val="pt-BR"/>
              </w:rPr>
            </w:pPr>
            <w:r w:rsidRPr="00406361">
              <w:rPr>
                <w:color w:val="000000" w:themeColor="text1"/>
                <w:sz w:val="20"/>
                <w:szCs w:val="20"/>
                <w:lang w:val="pt-BR"/>
              </w:rPr>
              <w:t>Total</w:t>
            </w:r>
          </w:p>
        </w:tc>
        <w:tc>
          <w:tcPr>
            <w:tcW w:w="1815" w:type="dxa"/>
            <w:tcBorders>
              <w:top w:val="nil"/>
              <w:left w:val="nil"/>
              <w:bottom w:val="single" w:sz="4" w:space="0" w:color="auto"/>
              <w:right w:val="nil"/>
            </w:tcBorders>
            <w:shd w:val="clear" w:color="auto" w:fill="auto"/>
            <w:tcMar>
              <w:top w:w="100" w:type="dxa"/>
              <w:left w:w="100" w:type="dxa"/>
              <w:bottom w:w="100" w:type="dxa"/>
              <w:right w:w="100" w:type="dxa"/>
            </w:tcMar>
          </w:tcPr>
          <w:p w14:paraId="4984DECC" w14:textId="77777777" w:rsidR="00A4227E" w:rsidRPr="00406361" w:rsidRDefault="00A4227E" w:rsidP="00A4227E">
            <w:pPr>
              <w:jc w:val="center"/>
              <w:rPr>
                <w:color w:val="000000" w:themeColor="text1"/>
                <w:sz w:val="20"/>
                <w:szCs w:val="20"/>
                <w:lang w:val="pt-BR"/>
              </w:rPr>
            </w:pPr>
            <w:r w:rsidRPr="00406361">
              <w:rPr>
                <w:color w:val="000000" w:themeColor="text1"/>
                <w:sz w:val="20"/>
                <w:szCs w:val="20"/>
                <w:lang w:val="pt-BR"/>
              </w:rPr>
              <w:t>163 (38.7)*</w:t>
            </w:r>
          </w:p>
        </w:tc>
        <w:tc>
          <w:tcPr>
            <w:tcW w:w="0" w:type="auto"/>
            <w:tcBorders>
              <w:top w:val="nil"/>
              <w:left w:val="nil"/>
              <w:bottom w:val="single" w:sz="4" w:space="0" w:color="auto"/>
              <w:right w:val="nil"/>
            </w:tcBorders>
            <w:shd w:val="clear" w:color="auto" w:fill="auto"/>
            <w:tcMar>
              <w:top w:w="100" w:type="dxa"/>
              <w:left w:w="100" w:type="dxa"/>
              <w:bottom w:w="100" w:type="dxa"/>
              <w:right w:w="100" w:type="dxa"/>
            </w:tcMar>
          </w:tcPr>
          <w:p w14:paraId="096425F5"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106 (25.2)</w:t>
            </w:r>
          </w:p>
        </w:tc>
        <w:tc>
          <w:tcPr>
            <w:tcW w:w="0" w:type="auto"/>
            <w:tcBorders>
              <w:top w:val="nil"/>
              <w:left w:val="nil"/>
              <w:bottom w:val="single" w:sz="4" w:space="0" w:color="auto"/>
              <w:right w:val="nil"/>
            </w:tcBorders>
            <w:shd w:val="clear" w:color="auto" w:fill="auto"/>
            <w:tcMar>
              <w:top w:w="100" w:type="dxa"/>
              <w:left w:w="100" w:type="dxa"/>
              <w:bottom w:w="100" w:type="dxa"/>
              <w:right w:w="100" w:type="dxa"/>
            </w:tcMar>
          </w:tcPr>
          <w:p w14:paraId="6210E66B"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152 (36.1)</w:t>
            </w:r>
          </w:p>
        </w:tc>
        <w:tc>
          <w:tcPr>
            <w:tcW w:w="0" w:type="auto"/>
            <w:tcBorders>
              <w:top w:val="nil"/>
              <w:left w:val="nil"/>
              <w:bottom w:val="single" w:sz="4" w:space="0" w:color="auto"/>
              <w:right w:val="nil"/>
            </w:tcBorders>
            <w:shd w:val="clear" w:color="auto" w:fill="auto"/>
            <w:tcMar>
              <w:top w:w="100" w:type="dxa"/>
              <w:left w:w="100" w:type="dxa"/>
              <w:bottom w:w="100" w:type="dxa"/>
              <w:right w:w="100" w:type="dxa"/>
            </w:tcMar>
          </w:tcPr>
          <w:p w14:paraId="3D647C79" w14:textId="77777777" w:rsidR="00A4227E" w:rsidRPr="00406361" w:rsidRDefault="00A4227E" w:rsidP="00100E1C">
            <w:pPr>
              <w:jc w:val="center"/>
              <w:rPr>
                <w:color w:val="000000" w:themeColor="text1"/>
                <w:sz w:val="20"/>
                <w:szCs w:val="20"/>
                <w:lang w:val="pt-BR"/>
              </w:rPr>
            </w:pPr>
            <w:r w:rsidRPr="00406361">
              <w:rPr>
                <w:color w:val="000000" w:themeColor="text1"/>
                <w:sz w:val="20"/>
                <w:szCs w:val="20"/>
                <w:lang w:val="pt-BR"/>
              </w:rPr>
              <w:t>.93</w:t>
            </w:r>
          </w:p>
        </w:tc>
      </w:tr>
    </w:tbl>
    <w:p w14:paraId="77E05A9A" w14:textId="6C48629A" w:rsidR="00A4227E" w:rsidRPr="00406361" w:rsidRDefault="00A4227E" w:rsidP="00797647">
      <w:pPr>
        <w:ind w:left="426"/>
        <w:rPr>
          <w:color w:val="000000" w:themeColor="text1"/>
          <w:sz w:val="20"/>
          <w:szCs w:val="20"/>
          <w:lang w:val="pt-BR"/>
        </w:rPr>
      </w:pPr>
      <w:r w:rsidRPr="00406361">
        <w:rPr>
          <w:i/>
          <w:iCs/>
          <w:color w:val="000000" w:themeColor="text1"/>
          <w:sz w:val="20"/>
          <w:szCs w:val="20"/>
          <w:lang w:val="pt-BR"/>
        </w:rPr>
        <w:t>Nota</w:t>
      </w:r>
      <w:r w:rsidR="00B35F03" w:rsidRPr="00406361">
        <w:rPr>
          <w:color w:val="000000" w:themeColor="text1"/>
          <w:sz w:val="20"/>
          <w:szCs w:val="20"/>
          <w:lang w:val="pt-BR"/>
        </w:rPr>
        <w:t>.</w:t>
      </w:r>
      <w:r w:rsidRPr="00406361">
        <w:rPr>
          <w:color w:val="000000" w:themeColor="text1"/>
          <w:sz w:val="20"/>
          <w:szCs w:val="20"/>
          <w:lang w:val="pt-BR"/>
        </w:rPr>
        <w:t xml:space="preserve"> * Maiores frequências de cada fator.</w:t>
      </w:r>
    </w:p>
    <w:p w14:paraId="7500CEFC" w14:textId="20D27F57" w:rsidR="00A4227E" w:rsidRPr="00406361" w:rsidRDefault="00A4227E" w:rsidP="00A4227E">
      <w:pPr>
        <w:spacing w:line="480" w:lineRule="auto"/>
        <w:rPr>
          <w:color w:val="000000" w:themeColor="text1"/>
          <w:sz w:val="20"/>
          <w:szCs w:val="20"/>
          <w:lang w:val="pt-BR"/>
        </w:rPr>
      </w:pPr>
    </w:p>
    <w:p w14:paraId="40A00DE1" w14:textId="77777777" w:rsidR="00A4227E" w:rsidRPr="00406361" w:rsidRDefault="00A4227E" w:rsidP="00A4227E">
      <w:pPr>
        <w:spacing w:line="360" w:lineRule="auto"/>
        <w:ind w:firstLine="720"/>
        <w:jc w:val="both"/>
        <w:rPr>
          <w:color w:val="000000" w:themeColor="text1"/>
          <w:lang w:val="pt-BR"/>
        </w:rPr>
      </w:pPr>
      <w:r w:rsidRPr="00406361">
        <w:rPr>
          <w:color w:val="000000" w:themeColor="text1"/>
          <w:lang w:val="pt-BR"/>
        </w:rPr>
        <w:t xml:space="preserve">A afetividade e o conflito familiar mostraram, em sua maioria, presença alta de ambos nos relacionamentos, ainda que a afetividade teve média mais alta no geral (ver Tabela 3). </w:t>
      </w:r>
    </w:p>
    <w:p w14:paraId="5F857298" w14:textId="6CB67248" w:rsidR="00A4227E" w:rsidRPr="00406361" w:rsidRDefault="00A4227E" w:rsidP="00797647">
      <w:pPr>
        <w:ind w:left="1843"/>
        <w:rPr>
          <w:color w:val="000000" w:themeColor="text1"/>
          <w:sz w:val="20"/>
          <w:szCs w:val="20"/>
          <w:lang w:val="pt-BR"/>
        </w:rPr>
      </w:pPr>
      <w:r w:rsidRPr="00406361">
        <w:rPr>
          <w:color w:val="000000" w:themeColor="text1"/>
          <w:sz w:val="20"/>
          <w:szCs w:val="20"/>
          <w:lang w:val="pt-BR"/>
        </w:rPr>
        <w:t>Tabela 3</w:t>
      </w:r>
    </w:p>
    <w:p w14:paraId="1D8A1D7E" w14:textId="77777777" w:rsidR="00A4227E" w:rsidRPr="00406361" w:rsidRDefault="00A4227E" w:rsidP="00797647">
      <w:pPr>
        <w:ind w:left="1843"/>
        <w:rPr>
          <w:i/>
          <w:color w:val="000000" w:themeColor="text1"/>
          <w:sz w:val="20"/>
          <w:szCs w:val="20"/>
          <w:lang w:val="pt-BR"/>
        </w:rPr>
      </w:pPr>
      <w:r w:rsidRPr="00406361">
        <w:rPr>
          <w:i/>
          <w:color w:val="000000" w:themeColor="text1"/>
          <w:sz w:val="20"/>
          <w:szCs w:val="20"/>
          <w:lang w:val="pt-BR"/>
        </w:rPr>
        <w:t xml:space="preserve">Indicador de afetividade e conflito </w:t>
      </w:r>
    </w:p>
    <w:tbl>
      <w:tblPr>
        <w:tblW w:w="0" w:type="auto"/>
        <w:jc w:val="center"/>
        <w:tblBorders>
          <w:top w:val="nil"/>
          <w:left w:val="nil"/>
          <w:bottom w:val="nil"/>
          <w:right w:val="nil"/>
          <w:insideH w:val="nil"/>
          <w:insideV w:val="nil"/>
        </w:tblBorders>
        <w:tblLook w:val="0600" w:firstRow="0" w:lastRow="0" w:firstColumn="0" w:lastColumn="0" w:noHBand="1" w:noVBand="1"/>
      </w:tblPr>
      <w:tblGrid>
        <w:gridCol w:w="1145"/>
        <w:gridCol w:w="934"/>
        <w:gridCol w:w="1034"/>
        <w:gridCol w:w="1184"/>
        <w:gridCol w:w="1372"/>
      </w:tblGrid>
      <w:tr w:rsidR="00406361" w:rsidRPr="00406361" w14:paraId="777D9583" w14:textId="77777777" w:rsidTr="00797647">
        <w:trPr>
          <w:trHeight w:val="20"/>
          <w:jc w:val="center"/>
        </w:trPr>
        <w:tc>
          <w:tcPr>
            <w:tcW w:w="0" w:type="auto"/>
            <w:tcBorders>
              <w:top w:val="single" w:sz="4" w:space="0" w:color="auto"/>
              <w:left w:val="nil"/>
              <w:bottom w:val="nil"/>
              <w:right w:val="nil"/>
            </w:tcBorders>
            <w:tcMar>
              <w:top w:w="100" w:type="dxa"/>
              <w:left w:w="100" w:type="dxa"/>
              <w:bottom w:w="100" w:type="dxa"/>
              <w:right w:w="100" w:type="dxa"/>
            </w:tcMar>
          </w:tcPr>
          <w:p w14:paraId="569A304E" w14:textId="77777777" w:rsidR="00A4227E" w:rsidRPr="00406361" w:rsidRDefault="00A4227E" w:rsidP="00B35F03">
            <w:pPr>
              <w:widowControl w:val="0"/>
              <w:rPr>
                <w:color w:val="000000" w:themeColor="text1"/>
                <w:sz w:val="20"/>
                <w:szCs w:val="20"/>
                <w:lang w:val="pt-BR"/>
              </w:rPr>
            </w:pPr>
          </w:p>
        </w:tc>
        <w:tc>
          <w:tcPr>
            <w:tcW w:w="0" w:type="auto"/>
            <w:tcBorders>
              <w:top w:val="single" w:sz="4" w:space="0" w:color="auto"/>
              <w:left w:val="nil"/>
              <w:bottom w:val="single" w:sz="4" w:space="0" w:color="auto"/>
              <w:right w:val="nil"/>
            </w:tcBorders>
            <w:tcMar>
              <w:top w:w="100" w:type="dxa"/>
              <w:left w:w="100" w:type="dxa"/>
              <w:bottom w:w="100" w:type="dxa"/>
              <w:right w:w="100" w:type="dxa"/>
            </w:tcMar>
          </w:tcPr>
          <w:p w14:paraId="743C0FC0" w14:textId="77777777" w:rsidR="00A4227E" w:rsidRPr="00406361" w:rsidRDefault="00A4227E" w:rsidP="00B35F03">
            <w:pPr>
              <w:jc w:val="center"/>
              <w:rPr>
                <w:color w:val="000000" w:themeColor="text1"/>
                <w:sz w:val="20"/>
                <w:szCs w:val="20"/>
                <w:lang w:val="pt-BR"/>
              </w:rPr>
            </w:pPr>
            <w:r w:rsidRPr="00406361">
              <w:rPr>
                <w:color w:val="000000" w:themeColor="text1"/>
                <w:sz w:val="20"/>
                <w:szCs w:val="20"/>
                <w:lang w:val="pt-BR"/>
              </w:rPr>
              <w:t>Baixo</w:t>
            </w:r>
          </w:p>
        </w:tc>
        <w:tc>
          <w:tcPr>
            <w:tcW w:w="0" w:type="auto"/>
            <w:tcBorders>
              <w:top w:val="single" w:sz="4" w:space="0" w:color="auto"/>
              <w:left w:val="nil"/>
              <w:bottom w:val="single" w:sz="4" w:space="0" w:color="auto"/>
              <w:right w:val="nil"/>
            </w:tcBorders>
            <w:tcMar>
              <w:top w:w="100" w:type="dxa"/>
              <w:left w:w="100" w:type="dxa"/>
              <w:bottom w:w="100" w:type="dxa"/>
              <w:right w:w="100" w:type="dxa"/>
            </w:tcMar>
          </w:tcPr>
          <w:p w14:paraId="3F353CC6" w14:textId="77777777" w:rsidR="00A4227E" w:rsidRPr="00406361" w:rsidRDefault="00A4227E" w:rsidP="00B35F03">
            <w:pPr>
              <w:jc w:val="center"/>
              <w:rPr>
                <w:color w:val="000000" w:themeColor="text1"/>
                <w:sz w:val="20"/>
                <w:szCs w:val="20"/>
                <w:lang w:val="pt-BR"/>
              </w:rPr>
            </w:pPr>
            <w:r w:rsidRPr="00406361">
              <w:rPr>
                <w:color w:val="000000" w:themeColor="text1"/>
                <w:sz w:val="20"/>
                <w:szCs w:val="20"/>
                <w:lang w:val="pt-BR"/>
              </w:rPr>
              <w:t>Alto</w:t>
            </w:r>
          </w:p>
        </w:tc>
        <w:tc>
          <w:tcPr>
            <w:tcW w:w="0" w:type="auto"/>
            <w:vMerge w:val="restart"/>
            <w:tcBorders>
              <w:top w:val="single" w:sz="4" w:space="0" w:color="auto"/>
              <w:left w:val="nil"/>
              <w:bottom w:val="single" w:sz="4" w:space="0" w:color="auto"/>
              <w:right w:val="nil"/>
            </w:tcBorders>
            <w:tcMar>
              <w:top w:w="100" w:type="dxa"/>
              <w:left w:w="100" w:type="dxa"/>
              <w:bottom w:w="100" w:type="dxa"/>
              <w:right w:w="100" w:type="dxa"/>
            </w:tcMar>
          </w:tcPr>
          <w:p w14:paraId="786953DD" w14:textId="77777777" w:rsidR="00A4227E" w:rsidRPr="00406361" w:rsidRDefault="00A4227E" w:rsidP="00B35F03">
            <w:pPr>
              <w:jc w:val="center"/>
              <w:rPr>
                <w:color w:val="000000" w:themeColor="text1"/>
                <w:sz w:val="20"/>
                <w:szCs w:val="20"/>
                <w:lang w:val="pt-BR"/>
              </w:rPr>
            </w:pPr>
          </w:p>
          <w:p w14:paraId="7BC3409D" w14:textId="77777777" w:rsidR="00A4227E" w:rsidRPr="00406361" w:rsidRDefault="00A4227E" w:rsidP="00B35F03">
            <w:pPr>
              <w:jc w:val="center"/>
              <w:rPr>
                <w:color w:val="000000" w:themeColor="text1"/>
                <w:sz w:val="20"/>
                <w:szCs w:val="20"/>
                <w:lang w:val="pt-BR"/>
              </w:rPr>
            </w:pPr>
            <w:r w:rsidRPr="00406361">
              <w:rPr>
                <w:i/>
                <w:color w:val="000000" w:themeColor="text1"/>
                <w:sz w:val="20"/>
                <w:szCs w:val="20"/>
                <w:lang w:val="pt-BR"/>
              </w:rPr>
              <w:t xml:space="preserve">M </w:t>
            </w:r>
            <w:r w:rsidRPr="00406361">
              <w:rPr>
                <w:color w:val="000000" w:themeColor="text1"/>
                <w:sz w:val="20"/>
                <w:szCs w:val="20"/>
                <w:lang w:val="pt-BR"/>
              </w:rPr>
              <w:t>(</w:t>
            </w:r>
            <w:r w:rsidRPr="00406361">
              <w:rPr>
                <w:i/>
                <w:color w:val="000000" w:themeColor="text1"/>
                <w:sz w:val="20"/>
                <w:szCs w:val="20"/>
                <w:lang w:val="pt-BR"/>
              </w:rPr>
              <w:t>DP</w:t>
            </w:r>
            <w:r w:rsidRPr="00406361">
              <w:rPr>
                <w:color w:val="000000" w:themeColor="text1"/>
                <w:sz w:val="20"/>
                <w:szCs w:val="20"/>
                <w:lang w:val="pt-BR"/>
              </w:rPr>
              <w:t>)</w:t>
            </w:r>
          </w:p>
        </w:tc>
        <w:tc>
          <w:tcPr>
            <w:tcW w:w="0" w:type="auto"/>
            <w:vMerge w:val="restart"/>
            <w:tcBorders>
              <w:top w:val="single" w:sz="4" w:space="0" w:color="auto"/>
              <w:left w:val="nil"/>
              <w:bottom w:val="single" w:sz="4" w:space="0" w:color="auto"/>
              <w:right w:val="nil"/>
            </w:tcBorders>
            <w:tcMar>
              <w:top w:w="100" w:type="dxa"/>
              <w:left w:w="100" w:type="dxa"/>
              <w:bottom w:w="100" w:type="dxa"/>
              <w:right w:w="100" w:type="dxa"/>
            </w:tcMar>
          </w:tcPr>
          <w:p w14:paraId="0C92C6A4" w14:textId="77777777" w:rsidR="00A4227E" w:rsidRPr="00406361" w:rsidRDefault="00A4227E" w:rsidP="00B35F03">
            <w:pPr>
              <w:jc w:val="center"/>
              <w:rPr>
                <w:color w:val="000000" w:themeColor="text1"/>
                <w:sz w:val="20"/>
                <w:szCs w:val="20"/>
                <w:lang w:val="pt-BR"/>
              </w:rPr>
            </w:pPr>
          </w:p>
          <w:p w14:paraId="75DB41F0" w14:textId="77777777" w:rsidR="00A4227E" w:rsidRPr="00406361" w:rsidRDefault="00A4227E" w:rsidP="00B35F03">
            <w:pPr>
              <w:jc w:val="center"/>
              <w:rPr>
                <w:color w:val="000000" w:themeColor="text1"/>
                <w:sz w:val="20"/>
                <w:szCs w:val="20"/>
                <w:lang w:val="pt-BR"/>
              </w:rPr>
            </w:pPr>
            <w:r w:rsidRPr="00406361">
              <w:rPr>
                <w:color w:val="000000" w:themeColor="text1"/>
                <w:sz w:val="20"/>
                <w:szCs w:val="20"/>
                <w:lang w:val="pt-BR"/>
              </w:rPr>
              <w:t>α de Cronbach</w:t>
            </w:r>
          </w:p>
        </w:tc>
      </w:tr>
      <w:tr w:rsidR="00406361" w:rsidRPr="00406361" w14:paraId="44216FDD" w14:textId="77777777" w:rsidTr="00797647">
        <w:trPr>
          <w:trHeight w:val="20"/>
          <w:jc w:val="center"/>
        </w:trPr>
        <w:tc>
          <w:tcPr>
            <w:tcW w:w="0" w:type="auto"/>
            <w:tcBorders>
              <w:top w:val="nil"/>
              <w:left w:val="nil"/>
              <w:bottom w:val="single" w:sz="4" w:space="0" w:color="auto"/>
              <w:right w:val="nil"/>
            </w:tcBorders>
            <w:tcMar>
              <w:top w:w="100" w:type="dxa"/>
              <w:left w:w="100" w:type="dxa"/>
              <w:bottom w:w="100" w:type="dxa"/>
              <w:right w:w="100" w:type="dxa"/>
            </w:tcMar>
          </w:tcPr>
          <w:p w14:paraId="27DDB036" w14:textId="77777777" w:rsidR="00A4227E" w:rsidRPr="00406361" w:rsidRDefault="00A4227E" w:rsidP="00B35F03">
            <w:pPr>
              <w:rPr>
                <w:color w:val="000000" w:themeColor="text1"/>
                <w:sz w:val="20"/>
                <w:szCs w:val="20"/>
                <w:lang w:val="pt-BR"/>
              </w:rPr>
            </w:pPr>
          </w:p>
        </w:tc>
        <w:tc>
          <w:tcPr>
            <w:tcW w:w="0" w:type="auto"/>
            <w:gridSpan w:val="2"/>
            <w:tcBorders>
              <w:top w:val="single" w:sz="4" w:space="0" w:color="auto"/>
              <w:left w:val="nil"/>
              <w:bottom w:val="single" w:sz="4" w:space="0" w:color="auto"/>
              <w:right w:val="nil"/>
            </w:tcBorders>
            <w:tcMar>
              <w:top w:w="100" w:type="dxa"/>
              <w:left w:w="100" w:type="dxa"/>
              <w:bottom w:w="100" w:type="dxa"/>
              <w:right w:w="100" w:type="dxa"/>
            </w:tcMar>
          </w:tcPr>
          <w:p w14:paraId="7EBDD790" w14:textId="77777777" w:rsidR="00A4227E" w:rsidRPr="00406361" w:rsidRDefault="00A4227E" w:rsidP="00B35F03">
            <w:pPr>
              <w:jc w:val="center"/>
              <w:rPr>
                <w:color w:val="000000" w:themeColor="text1"/>
                <w:sz w:val="20"/>
                <w:szCs w:val="20"/>
                <w:lang w:val="pt-BR"/>
              </w:rPr>
            </w:pPr>
            <w:r w:rsidRPr="00406361">
              <w:rPr>
                <w:i/>
                <w:color w:val="000000" w:themeColor="text1"/>
                <w:sz w:val="20"/>
                <w:szCs w:val="20"/>
                <w:lang w:val="pt-BR"/>
              </w:rPr>
              <w:t xml:space="preserve">n </w:t>
            </w:r>
            <w:r w:rsidRPr="00406361">
              <w:rPr>
                <w:color w:val="000000" w:themeColor="text1"/>
                <w:sz w:val="20"/>
                <w:szCs w:val="20"/>
                <w:lang w:val="pt-BR"/>
              </w:rPr>
              <w:t>(%)</w:t>
            </w:r>
          </w:p>
        </w:tc>
        <w:tc>
          <w:tcPr>
            <w:tcW w:w="0" w:type="auto"/>
            <w:vMerge/>
            <w:tcBorders>
              <w:top w:val="nil"/>
              <w:left w:val="nil"/>
              <w:bottom w:val="single" w:sz="4" w:space="0" w:color="auto"/>
              <w:right w:val="nil"/>
            </w:tcBorders>
            <w:tcMar>
              <w:top w:w="100" w:type="dxa"/>
              <w:left w:w="100" w:type="dxa"/>
              <w:bottom w:w="100" w:type="dxa"/>
              <w:right w:w="100" w:type="dxa"/>
            </w:tcMar>
          </w:tcPr>
          <w:p w14:paraId="5403A83F" w14:textId="77777777" w:rsidR="00A4227E" w:rsidRPr="00406361" w:rsidRDefault="00A4227E" w:rsidP="00B35F03">
            <w:pPr>
              <w:widowControl w:val="0"/>
              <w:pBdr>
                <w:top w:val="nil"/>
                <w:left w:val="nil"/>
                <w:bottom w:val="nil"/>
                <w:right w:val="nil"/>
                <w:between w:val="nil"/>
              </w:pBdr>
              <w:rPr>
                <w:color w:val="000000" w:themeColor="text1"/>
                <w:sz w:val="20"/>
                <w:szCs w:val="20"/>
                <w:lang w:val="pt-BR"/>
              </w:rPr>
            </w:pPr>
          </w:p>
        </w:tc>
        <w:tc>
          <w:tcPr>
            <w:tcW w:w="0" w:type="auto"/>
            <w:vMerge/>
            <w:tcBorders>
              <w:top w:val="nil"/>
              <w:left w:val="nil"/>
              <w:bottom w:val="single" w:sz="4" w:space="0" w:color="auto"/>
              <w:right w:val="nil"/>
            </w:tcBorders>
            <w:tcMar>
              <w:top w:w="100" w:type="dxa"/>
              <w:left w:w="100" w:type="dxa"/>
              <w:bottom w:w="100" w:type="dxa"/>
              <w:right w:w="100" w:type="dxa"/>
            </w:tcMar>
          </w:tcPr>
          <w:p w14:paraId="2B5A5952" w14:textId="77777777" w:rsidR="00A4227E" w:rsidRPr="00406361" w:rsidRDefault="00A4227E" w:rsidP="00B35F03">
            <w:pPr>
              <w:widowControl w:val="0"/>
              <w:pBdr>
                <w:top w:val="nil"/>
                <w:left w:val="nil"/>
                <w:bottom w:val="nil"/>
                <w:right w:val="nil"/>
                <w:between w:val="nil"/>
              </w:pBdr>
              <w:rPr>
                <w:color w:val="000000" w:themeColor="text1"/>
                <w:sz w:val="20"/>
                <w:szCs w:val="20"/>
                <w:lang w:val="pt-BR"/>
              </w:rPr>
            </w:pPr>
          </w:p>
        </w:tc>
      </w:tr>
      <w:tr w:rsidR="00406361" w:rsidRPr="00406361" w14:paraId="3C43CDE6" w14:textId="77777777" w:rsidTr="00797647">
        <w:trPr>
          <w:trHeight w:val="22"/>
          <w:jc w:val="center"/>
        </w:trPr>
        <w:tc>
          <w:tcPr>
            <w:tcW w:w="0" w:type="auto"/>
            <w:tcBorders>
              <w:top w:val="single" w:sz="4" w:space="0" w:color="auto"/>
              <w:left w:val="nil"/>
              <w:bottom w:val="nil"/>
              <w:right w:val="nil"/>
            </w:tcBorders>
            <w:tcMar>
              <w:top w:w="100" w:type="dxa"/>
              <w:left w:w="100" w:type="dxa"/>
              <w:bottom w:w="100" w:type="dxa"/>
              <w:right w:w="100" w:type="dxa"/>
            </w:tcMar>
          </w:tcPr>
          <w:p w14:paraId="51CD394A" w14:textId="77777777" w:rsidR="00A4227E" w:rsidRPr="00406361" w:rsidRDefault="00A4227E" w:rsidP="00B35F03">
            <w:pPr>
              <w:rPr>
                <w:color w:val="000000" w:themeColor="text1"/>
                <w:sz w:val="20"/>
                <w:szCs w:val="20"/>
                <w:lang w:val="pt-BR"/>
              </w:rPr>
            </w:pPr>
            <w:r w:rsidRPr="00406361">
              <w:rPr>
                <w:color w:val="000000" w:themeColor="text1"/>
                <w:sz w:val="20"/>
                <w:szCs w:val="20"/>
                <w:lang w:val="pt-BR"/>
              </w:rPr>
              <w:t>Afetividade</w:t>
            </w:r>
          </w:p>
        </w:tc>
        <w:tc>
          <w:tcPr>
            <w:tcW w:w="0" w:type="auto"/>
            <w:tcBorders>
              <w:top w:val="single" w:sz="4" w:space="0" w:color="auto"/>
              <w:left w:val="nil"/>
              <w:bottom w:val="nil"/>
              <w:right w:val="nil"/>
            </w:tcBorders>
            <w:tcMar>
              <w:top w:w="100" w:type="dxa"/>
              <w:left w:w="100" w:type="dxa"/>
              <w:bottom w:w="100" w:type="dxa"/>
              <w:right w:w="100" w:type="dxa"/>
            </w:tcMar>
          </w:tcPr>
          <w:p w14:paraId="491BBB13" w14:textId="77777777" w:rsidR="00A4227E" w:rsidRPr="00406361" w:rsidRDefault="00A4227E" w:rsidP="00B35F03">
            <w:pPr>
              <w:jc w:val="center"/>
              <w:rPr>
                <w:color w:val="000000" w:themeColor="text1"/>
                <w:sz w:val="20"/>
                <w:szCs w:val="20"/>
                <w:lang w:val="pt-BR"/>
              </w:rPr>
            </w:pPr>
            <w:r w:rsidRPr="00406361">
              <w:rPr>
                <w:color w:val="000000" w:themeColor="text1"/>
                <w:sz w:val="20"/>
                <w:szCs w:val="20"/>
                <w:lang w:val="pt-BR"/>
              </w:rPr>
              <w:t>39 (9.23)</w:t>
            </w:r>
          </w:p>
        </w:tc>
        <w:tc>
          <w:tcPr>
            <w:tcW w:w="0" w:type="auto"/>
            <w:tcBorders>
              <w:top w:val="single" w:sz="4" w:space="0" w:color="auto"/>
              <w:left w:val="nil"/>
              <w:bottom w:val="nil"/>
              <w:right w:val="nil"/>
            </w:tcBorders>
            <w:tcMar>
              <w:top w:w="100" w:type="dxa"/>
              <w:left w:w="100" w:type="dxa"/>
              <w:bottom w:w="100" w:type="dxa"/>
              <w:right w:w="100" w:type="dxa"/>
            </w:tcMar>
          </w:tcPr>
          <w:p w14:paraId="47E4B705" w14:textId="77777777" w:rsidR="00A4227E" w:rsidRPr="00406361" w:rsidRDefault="00A4227E" w:rsidP="00B35F03">
            <w:pPr>
              <w:jc w:val="center"/>
              <w:rPr>
                <w:color w:val="000000" w:themeColor="text1"/>
                <w:sz w:val="20"/>
                <w:szCs w:val="20"/>
                <w:lang w:val="pt-BR"/>
              </w:rPr>
            </w:pPr>
            <w:r w:rsidRPr="00406361">
              <w:rPr>
                <w:color w:val="000000" w:themeColor="text1"/>
                <w:sz w:val="20"/>
                <w:szCs w:val="20"/>
                <w:lang w:val="pt-BR"/>
              </w:rPr>
              <w:t>385 (90.8)</w:t>
            </w:r>
          </w:p>
        </w:tc>
        <w:tc>
          <w:tcPr>
            <w:tcW w:w="0" w:type="auto"/>
            <w:tcBorders>
              <w:top w:val="single" w:sz="4" w:space="0" w:color="auto"/>
              <w:left w:val="nil"/>
              <w:bottom w:val="nil"/>
              <w:right w:val="nil"/>
            </w:tcBorders>
            <w:tcMar>
              <w:top w:w="100" w:type="dxa"/>
              <w:left w:w="100" w:type="dxa"/>
              <w:bottom w:w="100" w:type="dxa"/>
              <w:right w:w="100" w:type="dxa"/>
            </w:tcMar>
          </w:tcPr>
          <w:p w14:paraId="2C4E22F8" w14:textId="77777777" w:rsidR="00A4227E" w:rsidRPr="00406361" w:rsidRDefault="00A4227E" w:rsidP="00B35F03">
            <w:pPr>
              <w:jc w:val="center"/>
              <w:rPr>
                <w:color w:val="000000" w:themeColor="text1"/>
                <w:sz w:val="20"/>
                <w:szCs w:val="20"/>
                <w:lang w:val="pt-BR"/>
              </w:rPr>
            </w:pPr>
            <w:r w:rsidRPr="00406361">
              <w:rPr>
                <w:color w:val="000000" w:themeColor="text1"/>
                <w:sz w:val="20"/>
                <w:szCs w:val="20"/>
                <w:lang w:val="pt-BR"/>
              </w:rPr>
              <w:t>43.96 (8.22)</w:t>
            </w:r>
          </w:p>
        </w:tc>
        <w:tc>
          <w:tcPr>
            <w:tcW w:w="0" w:type="auto"/>
            <w:tcBorders>
              <w:top w:val="single" w:sz="4" w:space="0" w:color="auto"/>
              <w:left w:val="nil"/>
              <w:bottom w:val="nil"/>
              <w:right w:val="nil"/>
            </w:tcBorders>
            <w:tcMar>
              <w:top w:w="100" w:type="dxa"/>
              <w:left w:w="100" w:type="dxa"/>
              <w:bottom w:w="100" w:type="dxa"/>
              <w:right w:w="100" w:type="dxa"/>
            </w:tcMar>
          </w:tcPr>
          <w:p w14:paraId="4CA04A00" w14:textId="77777777" w:rsidR="00A4227E" w:rsidRPr="00406361" w:rsidRDefault="00A4227E" w:rsidP="00B35F03">
            <w:pPr>
              <w:jc w:val="center"/>
              <w:rPr>
                <w:color w:val="000000" w:themeColor="text1"/>
                <w:sz w:val="20"/>
                <w:szCs w:val="20"/>
                <w:lang w:val="pt-BR"/>
              </w:rPr>
            </w:pPr>
            <w:r w:rsidRPr="00406361">
              <w:rPr>
                <w:color w:val="000000" w:themeColor="text1"/>
                <w:sz w:val="20"/>
                <w:szCs w:val="20"/>
                <w:lang w:val="pt-BR"/>
              </w:rPr>
              <w:t>.94</w:t>
            </w:r>
          </w:p>
        </w:tc>
      </w:tr>
      <w:tr w:rsidR="00406361" w:rsidRPr="00406361" w14:paraId="604AF577" w14:textId="77777777" w:rsidTr="00797647">
        <w:trPr>
          <w:trHeight w:val="24"/>
          <w:jc w:val="center"/>
        </w:trPr>
        <w:tc>
          <w:tcPr>
            <w:tcW w:w="0" w:type="auto"/>
            <w:tcBorders>
              <w:top w:val="nil"/>
              <w:left w:val="nil"/>
              <w:bottom w:val="single" w:sz="4" w:space="0" w:color="auto"/>
              <w:right w:val="nil"/>
            </w:tcBorders>
            <w:tcMar>
              <w:top w:w="100" w:type="dxa"/>
              <w:left w:w="100" w:type="dxa"/>
              <w:bottom w:w="100" w:type="dxa"/>
              <w:right w:w="100" w:type="dxa"/>
            </w:tcMar>
          </w:tcPr>
          <w:p w14:paraId="103EB99D" w14:textId="77777777" w:rsidR="00A4227E" w:rsidRPr="00406361" w:rsidRDefault="00A4227E" w:rsidP="00B35F03">
            <w:pPr>
              <w:rPr>
                <w:color w:val="000000" w:themeColor="text1"/>
                <w:sz w:val="20"/>
                <w:szCs w:val="20"/>
                <w:lang w:val="pt-BR"/>
              </w:rPr>
            </w:pPr>
            <w:r w:rsidRPr="00406361">
              <w:rPr>
                <w:color w:val="000000" w:themeColor="text1"/>
                <w:sz w:val="20"/>
                <w:szCs w:val="20"/>
                <w:lang w:val="pt-BR"/>
              </w:rPr>
              <w:t>Conflito</w:t>
            </w:r>
          </w:p>
        </w:tc>
        <w:tc>
          <w:tcPr>
            <w:tcW w:w="0" w:type="auto"/>
            <w:tcBorders>
              <w:top w:val="nil"/>
              <w:left w:val="nil"/>
              <w:bottom w:val="single" w:sz="4" w:space="0" w:color="auto"/>
              <w:right w:val="nil"/>
            </w:tcBorders>
            <w:tcMar>
              <w:top w:w="100" w:type="dxa"/>
              <w:left w:w="100" w:type="dxa"/>
              <w:bottom w:w="100" w:type="dxa"/>
              <w:right w:w="100" w:type="dxa"/>
            </w:tcMar>
          </w:tcPr>
          <w:p w14:paraId="51637355" w14:textId="77777777" w:rsidR="00A4227E" w:rsidRPr="00406361" w:rsidRDefault="00A4227E" w:rsidP="00B35F03">
            <w:pPr>
              <w:jc w:val="center"/>
              <w:rPr>
                <w:color w:val="000000" w:themeColor="text1"/>
                <w:sz w:val="20"/>
                <w:szCs w:val="20"/>
                <w:lang w:val="pt-BR"/>
              </w:rPr>
            </w:pPr>
            <w:r w:rsidRPr="00406361">
              <w:rPr>
                <w:color w:val="000000" w:themeColor="text1"/>
                <w:sz w:val="20"/>
                <w:szCs w:val="20"/>
                <w:lang w:val="pt-BR"/>
              </w:rPr>
              <w:t>35 (8.3)</w:t>
            </w:r>
          </w:p>
        </w:tc>
        <w:tc>
          <w:tcPr>
            <w:tcW w:w="0" w:type="auto"/>
            <w:tcBorders>
              <w:top w:val="nil"/>
              <w:left w:val="nil"/>
              <w:bottom w:val="single" w:sz="4" w:space="0" w:color="auto"/>
              <w:right w:val="nil"/>
            </w:tcBorders>
            <w:tcMar>
              <w:top w:w="100" w:type="dxa"/>
              <w:left w:w="100" w:type="dxa"/>
              <w:bottom w:w="100" w:type="dxa"/>
              <w:right w:w="100" w:type="dxa"/>
            </w:tcMar>
          </w:tcPr>
          <w:p w14:paraId="6F4C5FAA" w14:textId="77777777" w:rsidR="00A4227E" w:rsidRPr="00406361" w:rsidRDefault="00A4227E" w:rsidP="00B35F03">
            <w:pPr>
              <w:jc w:val="center"/>
              <w:rPr>
                <w:color w:val="000000" w:themeColor="text1"/>
                <w:sz w:val="20"/>
                <w:szCs w:val="20"/>
                <w:lang w:val="pt-BR"/>
              </w:rPr>
            </w:pPr>
            <w:r w:rsidRPr="00406361">
              <w:rPr>
                <w:color w:val="000000" w:themeColor="text1"/>
                <w:sz w:val="20"/>
                <w:szCs w:val="20"/>
                <w:lang w:val="pt-BR"/>
              </w:rPr>
              <w:t>389 (91.7)</w:t>
            </w:r>
          </w:p>
        </w:tc>
        <w:tc>
          <w:tcPr>
            <w:tcW w:w="0" w:type="auto"/>
            <w:tcBorders>
              <w:top w:val="nil"/>
              <w:left w:val="nil"/>
              <w:bottom w:val="single" w:sz="4" w:space="0" w:color="auto"/>
              <w:right w:val="nil"/>
            </w:tcBorders>
            <w:tcMar>
              <w:top w:w="100" w:type="dxa"/>
              <w:left w:w="100" w:type="dxa"/>
              <w:bottom w:w="100" w:type="dxa"/>
              <w:right w:w="100" w:type="dxa"/>
            </w:tcMar>
          </w:tcPr>
          <w:p w14:paraId="5FFEEA27" w14:textId="77777777" w:rsidR="00A4227E" w:rsidRPr="00406361" w:rsidRDefault="00A4227E" w:rsidP="00B35F03">
            <w:pPr>
              <w:jc w:val="center"/>
              <w:rPr>
                <w:color w:val="000000" w:themeColor="text1"/>
                <w:sz w:val="20"/>
                <w:szCs w:val="20"/>
                <w:lang w:val="pt-BR"/>
              </w:rPr>
            </w:pPr>
            <w:r w:rsidRPr="00406361">
              <w:rPr>
                <w:color w:val="000000" w:themeColor="text1"/>
                <w:sz w:val="20"/>
                <w:szCs w:val="20"/>
                <w:lang w:val="pt-BR"/>
              </w:rPr>
              <w:t>20.38 (7.94)</w:t>
            </w:r>
          </w:p>
        </w:tc>
        <w:tc>
          <w:tcPr>
            <w:tcW w:w="0" w:type="auto"/>
            <w:tcBorders>
              <w:top w:val="nil"/>
              <w:left w:val="nil"/>
              <w:bottom w:val="single" w:sz="4" w:space="0" w:color="auto"/>
              <w:right w:val="nil"/>
            </w:tcBorders>
            <w:tcMar>
              <w:top w:w="100" w:type="dxa"/>
              <w:left w:w="100" w:type="dxa"/>
              <w:bottom w:w="100" w:type="dxa"/>
              <w:right w:w="100" w:type="dxa"/>
            </w:tcMar>
          </w:tcPr>
          <w:p w14:paraId="5169BB80" w14:textId="77777777" w:rsidR="00A4227E" w:rsidRPr="00406361" w:rsidRDefault="00A4227E" w:rsidP="00B35F03">
            <w:pPr>
              <w:jc w:val="center"/>
              <w:rPr>
                <w:color w:val="000000" w:themeColor="text1"/>
                <w:sz w:val="20"/>
                <w:szCs w:val="20"/>
                <w:lang w:val="pt-BR"/>
              </w:rPr>
            </w:pPr>
            <w:r w:rsidRPr="00406361">
              <w:rPr>
                <w:color w:val="000000" w:themeColor="text1"/>
                <w:sz w:val="20"/>
                <w:szCs w:val="20"/>
                <w:lang w:val="pt-BR"/>
              </w:rPr>
              <w:t>.92</w:t>
            </w:r>
          </w:p>
        </w:tc>
      </w:tr>
    </w:tbl>
    <w:p w14:paraId="7FB9F738" w14:textId="77777777" w:rsidR="00A4227E" w:rsidRPr="00406361" w:rsidRDefault="00A4227E" w:rsidP="00A4227E">
      <w:pPr>
        <w:spacing w:line="360" w:lineRule="auto"/>
        <w:ind w:firstLine="720"/>
        <w:jc w:val="both"/>
        <w:rPr>
          <w:color w:val="000000" w:themeColor="text1"/>
          <w:lang w:val="pt-BR"/>
        </w:rPr>
      </w:pPr>
    </w:p>
    <w:p w14:paraId="34830BAA" w14:textId="6B1D6E7D" w:rsidR="00A4227E" w:rsidRPr="00406361" w:rsidRDefault="00A4227E" w:rsidP="00A4227E">
      <w:pPr>
        <w:spacing w:line="360" w:lineRule="auto"/>
        <w:ind w:firstLine="720"/>
        <w:jc w:val="both"/>
        <w:rPr>
          <w:color w:val="000000" w:themeColor="text1"/>
          <w:lang w:val="pt-BR"/>
        </w:rPr>
      </w:pPr>
      <w:r w:rsidRPr="00406361">
        <w:rPr>
          <w:color w:val="000000" w:themeColor="text1"/>
          <w:lang w:val="pt-BR"/>
        </w:rPr>
        <w:t xml:space="preserve">A relação entre o conflito e afetividade (avaliado pelo Familiograma) e as dificuldades e frequências na emissão de habilidades sociais em adolescentes (medidos pelo IHSA-Del-Prette) foram investigadas utilizando o coeficiente de correlação de </w:t>
      </w:r>
      <w:r w:rsidRPr="00406361">
        <w:rPr>
          <w:i/>
          <w:iCs/>
          <w:color w:val="000000" w:themeColor="text1"/>
          <w:lang w:val="pt-BR"/>
        </w:rPr>
        <w:t>Spearman</w:t>
      </w:r>
      <w:r w:rsidRPr="00406361">
        <w:rPr>
          <w:color w:val="000000" w:themeColor="text1"/>
          <w:lang w:val="pt-BR"/>
        </w:rPr>
        <w:t>. Todas as correlações encontradas foram fracas (ver Tabela 4).</w:t>
      </w:r>
    </w:p>
    <w:p w14:paraId="5A13BC9E" w14:textId="77777777" w:rsidR="00A4227E" w:rsidRPr="00406361" w:rsidRDefault="00A4227E" w:rsidP="00FA5721">
      <w:pPr>
        <w:ind w:left="851"/>
        <w:rPr>
          <w:color w:val="000000" w:themeColor="text1"/>
          <w:sz w:val="20"/>
          <w:szCs w:val="20"/>
          <w:lang w:val="pt-BR"/>
        </w:rPr>
      </w:pPr>
      <w:r w:rsidRPr="00406361">
        <w:rPr>
          <w:color w:val="000000" w:themeColor="text1"/>
          <w:sz w:val="20"/>
          <w:szCs w:val="20"/>
          <w:lang w:val="pt-BR"/>
        </w:rPr>
        <w:t>Tabela 4</w:t>
      </w:r>
    </w:p>
    <w:p w14:paraId="72EED9FC" w14:textId="3195DB63" w:rsidR="00A4227E" w:rsidRPr="00406361" w:rsidRDefault="00A4227E" w:rsidP="00EB70A8">
      <w:pPr>
        <w:ind w:left="851"/>
        <w:rPr>
          <w:i/>
          <w:color w:val="000000" w:themeColor="text1"/>
          <w:sz w:val="20"/>
          <w:szCs w:val="20"/>
          <w:lang w:val="pt-BR"/>
        </w:rPr>
      </w:pPr>
      <w:r w:rsidRPr="00406361">
        <w:rPr>
          <w:i/>
          <w:color w:val="000000" w:themeColor="text1"/>
          <w:sz w:val="20"/>
          <w:szCs w:val="20"/>
          <w:lang w:val="pt-BR"/>
        </w:rPr>
        <w:t>Relação entre conflito e afetividade e habilidades sociais dos adolescentes</w:t>
      </w:r>
    </w:p>
    <w:tbl>
      <w:tblPr>
        <w:tblW w:w="4165" w:type="pct"/>
        <w:jc w:val="center"/>
        <w:tblLook w:val="0600" w:firstRow="0" w:lastRow="0" w:firstColumn="0" w:lastColumn="0" w:noHBand="1" w:noVBand="1"/>
      </w:tblPr>
      <w:tblGrid>
        <w:gridCol w:w="1730"/>
        <w:gridCol w:w="1531"/>
        <w:gridCol w:w="2269"/>
        <w:gridCol w:w="2267"/>
      </w:tblGrid>
      <w:tr w:rsidR="00406361" w:rsidRPr="00406361" w14:paraId="75DAB07C" w14:textId="77777777" w:rsidTr="00115921">
        <w:trPr>
          <w:trHeight w:val="371"/>
          <w:jc w:val="center"/>
        </w:trPr>
        <w:tc>
          <w:tcPr>
            <w:tcW w:w="2091" w:type="pct"/>
            <w:gridSpan w:val="2"/>
            <w:vMerge w:val="restart"/>
            <w:tcBorders>
              <w:top w:val="single" w:sz="4" w:space="0" w:color="auto"/>
              <w:bottom w:val="single" w:sz="4" w:space="0" w:color="auto"/>
            </w:tcBorders>
            <w:tcMar>
              <w:top w:w="-70" w:type="dxa"/>
              <w:left w:w="-70" w:type="dxa"/>
              <w:bottom w:w="-70" w:type="dxa"/>
              <w:right w:w="-70" w:type="dxa"/>
            </w:tcMar>
            <w:vAlign w:val="center"/>
          </w:tcPr>
          <w:p w14:paraId="502D8A5D"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IHSA-Del-Prette</w:t>
            </w:r>
          </w:p>
        </w:tc>
        <w:tc>
          <w:tcPr>
            <w:tcW w:w="2909" w:type="pct"/>
            <w:gridSpan w:val="2"/>
            <w:tcBorders>
              <w:top w:val="single" w:sz="4" w:space="0" w:color="auto"/>
              <w:bottom w:val="single" w:sz="4" w:space="0" w:color="auto"/>
            </w:tcBorders>
            <w:tcMar>
              <w:top w:w="-70" w:type="dxa"/>
              <w:left w:w="-70" w:type="dxa"/>
              <w:bottom w:w="-70" w:type="dxa"/>
              <w:right w:w="-70" w:type="dxa"/>
            </w:tcMar>
            <w:vAlign w:val="center"/>
          </w:tcPr>
          <w:p w14:paraId="7E21E853"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Familiograma</w:t>
            </w:r>
          </w:p>
        </w:tc>
      </w:tr>
      <w:tr w:rsidR="00406361" w:rsidRPr="00406361" w14:paraId="55D822B1" w14:textId="77777777" w:rsidTr="00115921">
        <w:trPr>
          <w:trHeight w:val="437"/>
          <w:jc w:val="center"/>
        </w:trPr>
        <w:tc>
          <w:tcPr>
            <w:tcW w:w="2091" w:type="pct"/>
            <w:gridSpan w:val="2"/>
            <w:vMerge/>
            <w:tcBorders>
              <w:top w:val="single" w:sz="4" w:space="0" w:color="auto"/>
              <w:bottom w:val="single" w:sz="4" w:space="0" w:color="auto"/>
            </w:tcBorders>
            <w:shd w:val="clear" w:color="auto" w:fill="auto"/>
            <w:tcMar>
              <w:top w:w="-70" w:type="dxa"/>
              <w:left w:w="-70" w:type="dxa"/>
              <w:bottom w:w="-70" w:type="dxa"/>
              <w:right w:w="-70" w:type="dxa"/>
            </w:tcMar>
            <w:vAlign w:val="center"/>
          </w:tcPr>
          <w:p w14:paraId="61B17A75" w14:textId="77777777" w:rsidR="00A4227E" w:rsidRPr="00406361" w:rsidRDefault="00A4227E" w:rsidP="00100E1C">
            <w:pPr>
              <w:widowControl w:val="0"/>
              <w:pBdr>
                <w:top w:val="nil"/>
                <w:left w:val="nil"/>
                <w:bottom w:val="nil"/>
                <w:right w:val="nil"/>
                <w:between w:val="nil"/>
              </w:pBdr>
              <w:rPr>
                <w:rFonts w:ascii="Gungsuh" w:eastAsia="Gungsuh" w:hAnsi="Gungsuh" w:cs="Gungsuh"/>
                <w:color w:val="000000" w:themeColor="text1"/>
                <w:sz w:val="20"/>
                <w:szCs w:val="20"/>
                <w:lang w:val="pt-BR"/>
              </w:rPr>
            </w:pPr>
          </w:p>
        </w:tc>
        <w:tc>
          <w:tcPr>
            <w:tcW w:w="1455" w:type="pct"/>
            <w:tcBorders>
              <w:top w:val="single" w:sz="4" w:space="0" w:color="auto"/>
              <w:bottom w:val="single" w:sz="4" w:space="0" w:color="auto"/>
            </w:tcBorders>
            <w:shd w:val="clear" w:color="auto" w:fill="auto"/>
            <w:tcMar>
              <w:top w:w="-70" w:type="dxa"/>
              <w:left w:w="-70" w:type="dxa"/>
              <w:bottom w:w="-70" w:type="dxa"/>
              <w:right w:w="-70" w:type="dxa"/>
            </w:tcMar>
            <w:vAlign w:val="center"/>
          </w:tcPr>
          <w:p w14:paraId="70B3CC9E"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Conflito</w:t>
            </w:r>
          </w:p>
        </w:tc>
        <w:tc>
          <w:tcPr>
            <w:tcW w:w="1454" w:type="pct"/>
            <w:tcBorders>
              <w:top w:val="single" w:sz="4" w:space="0" w:color="auto"/>
              <w:bottom w:val="single" w:sz="4" w:space="0" w:color="auto"/>
            </w:tcBorders>
            <w:shd w:val="clear" w:color="auto" w:fill="auto"/>
            <w:tcMar>
              <w:top w:w="-70" w:type="dxa"/>
              <w:left w:w="-70" w:type="dxa"/>
              <w:bottom w:w="-70" w:type="dxa"/>
              <w:right w:w="-70" w:type="dxa"/>
            </w:tcMar>
            <w:vAlign w:val="center"/>
          </w:tcPr>
          <w:p w14:paraId="3CBDBBBD"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Afetividade</w:t>
            </w:r>
          </w:p>
        </w:tc>
      </w:tr>
      <w:tr w:rsidR="00406361" w:rsidRPr="00406361" w14:paraId="7B07C785" w14:textId="77777777" w:rsidTr="00FA5721">
        <w:trPr>
          <w:trHeight w:val="32"/>
          <w:jc w:val="center"/>
        </w:trPr>
        <w:tc>
          <w:tcPr>
            <w:tcW w:w="1109" w:type="pct"/>
            <w:vMerge w:val="restart"/>
            <w:tcBorders>
              <w:top w:val="single" w:sz="4" w:space="0" w:color="auto"/>
            </w:tcBorders>
            <w:shd w:val="clear" w:color="auto" w:fill="auto"/>
            <w:tcMar>
              <w:top w:w="-70" w:type="dxa"/>
              <w:left w:w="-70" w:type="dxa"/>
              <w:bottom w:w="-70" w:type="dxa"/>
              <w:right w:w="-70" w:type="dxa"/>
            </w:tcMar>
            <w:vAlign w:val="center"/>
          </w:tcPr>
          <w:p w14:paraId="5FB7C2C1" w14:textId="77777777" w:rsidR="00A4227E" w:rsidRPr="00406361" w:rsidRDefault="00A4227E" w:rsidP="00FA5721">
            <w:pPr>
              <w:keepLines/>
              <w:widowControl w:val="0"/>
              <w:rPr>
                <w:color w:val="000000" w:themeColor="text1"/>
                <w:sz w:val="20"/>
                <w:szCs w:val="20"/>
                <w:lang w:val="pt-BR"/>
              </w:rPr>
            </w:pPr>
            <w:r w:rsidRPr="00406361">
              <w:rPr>
                <w:color w:val="000000" w:themeColor="text1"/>
                <w:sz w:val="20"/>
                <w:szCs w:val="20"/>
                <w:lang w:val="pt-BR"/>
              </w:rPr>
              <w:t>Empatia</w:t>
            </w:r>
          </w:p>
        </w:tc>
        <w:tc>
          <w:tcPr>
            <w:tcW w:w="982" w:type="pct"/>
            <w:tcBorders>
              <w:top w:val="single" w:sz="4" w:space="0" w:color="auto"/>
            </w:tcBorders>
            <w:shd w:val="clear" w:color="auto" w:fill="auto"/>
            <w:tcMar>
              <w:top w:w="-70" w:type="dxa"/>
              <w:left w:w="-70" w:type="dxa"/>
              <w:bottom w:w="-70" w:type="dxa"/>
              <w:right w:w="-70" w:type="dxa"/>
            </w:tcMar>
            <w:vAlign w:val="center"/>
          </w:tcPr>
          <w:p w14:paraId="27B759E1"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Dificuldade</w:t>
            </w:r>
          </w:p>
        </w:tc>
        <w:tc>
          <w:tcPr>
            <w:tcW w:w="1455" w:type="pct"/>
            <w:tcBorders>
              <w:top w:val="single" w:sz="4" w:space="0" w:color="auto"/>
            </w:tcBorders>
            <w:shd w:val="clear" w:color="auto" w:fill="auto"/>
            <w:tcMar>
              <w:top w:w="-70" w:type="dxa"/>
              <w:left w:w="-70" w:type="dxa"/>
              <w:bottom w:w="-70" w:type="dxa"/>
              <w:right w:w="-70" w:type="dxa"/>
            </w:tcMar>
            <w:vAlign w:val="center"/>
          </w:tcPr>
          <w:p w14:paraId="5524059F" w14:textId="05E17572"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.206** [.083, .323]</w:t>
            </w:r>
          </w:p>
        </w:tc>
        <w:tc>
          <w:tcPr>
            <w:tcW w:w="1454" w:type="pct"/>
            <w:tcBorders>
              <w:top w:val="single" w:sz="4" w:space="0" w:color="auto"/>
            </w:tcBorders>
            <w:shd w:val="clear" w:color="auto" w:fill="auto"/>
            <w:tcMar>
              <w:top w:w="-70" w:type="dxa"/>
              <w:left w:w="-70" w:type="dxa"/>
              <w:bottom w:w="-70" w:type="dxa"/>
              <w:right w:w="-70" w:type="dxa"/>
            </w:tcMar>
            <w:vAlign w:val="center"/>
          </w:tcPr>
          <w:p w14:paraId="158DC694" w14:textId="3C084DA8"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-.151** [-.242, -.057]</w:t>
            </w:r>
          </w:p>
        </w:tc>
      </w:tr>
      <w:tr w:rsidR="00406361" w:rsidRPr="00406361" w14:paraId="0340D6B1" w14:textId="77777777" w:rsidTr="00797647">
        <w:trPr>
          <w:trHeight w:val="411"/>
          <w:jc w:val="center"/>
        </w:trPr>
        <w:tc>
          <w:tcPr>
            <w:tcW w:w="1109" w:type="pct"/>
            <w:vMerge/>
            <w:shd w:val="clear" w:color="auto" w:fill="auto"/>
            <w:tcMar>
              <w:top w:w="-70" w:type="dxa"/>
              <w:left w:w="-70" w:type="dxa"/>
              <w:bottom w:w="-70" w:type="dxa"/>
              <w:right w:w="-70" w:type="dxa"/>
            </w:tcMar>
            <w:vAlign w:val="center"/>
          </w:tcPr>
          <w:p w14:paraId="747E3C83" w14:textId="77777777" w:rsidR="00A4227E" w:rsidRPr="00406361" w:rsidRDefault="00A4227E" w:rsidP="00FA5721">
            <w:pPr>
              <w:keepLines/>
              <w:widowControl w:val="0"/>
              <w:rPr>
                <w:color w:val="000000" w:themeColor="text1"/>
                <w:sz w:val="20"/>
                <w:szCs w:val="20"/>
                <w:lang w:val="pt-BR"/>
              </w:rPr>
            </w:pPr>
          </w:p>
        </w:tc>
        <w:tc>
          <w:tcPr>
            <w:tcW w:w="982" w:type="pct"/>
            <w:shd w:val="clear" w:color="auto" w:fill="auto"/>
            <w:tcMar>
              <w:top w:w="-70" w:type="dxa"/>
              <w:left w:w="-70" w:type="dxa"/>
              <w:bottom w:w="-70" w:type="dxa"/>
              <w:right w:w="-70" w:type="dxa"/>
            </w:tcMar>
            <w:vAlign w:val="center"/>
          </w:tcPr>
          <w:p w14:paraId="29E46FE4"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Frequência</w:t>
            </w:r>
          </w:p>
        </w:tc>
        <w:tc>
          <w:tcPr>
            <w:tcW w:w="1455" w:type="pct"/>
            <w:shd w:val="clear" w:color="auto" w:fill="auto"/>
            <w:tcMar>
              <w:top w:w="-70" w:type="dxa"/>
              <w:left w:w="-70" w:type="dxa"/>
              <w:bottom w:w="-70" w:type="dxa"/>
              <w:right w:w="-70" w:type="dxa"/>
            </w:tcMar>
            <w:vAlign w:val="center"/>
          </w:tcPr>
          <w:p w14:paraId="50691512" w14:textId="53BE59FE"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-,124 [-.216, -.03]</w:t>
            </w:r>
          </w:p>
        </w:tc>
        <w:tc>
          <w:tcPr>
            <w:tcW w:w="1454" w:type="pct"/>
            <w:shd w:val="clear" w:color="auto" w:fill="auto"/>
            <w:tcMar>
              <w:top w:w="-70" w:type="dxa"/>
              <w:left w:w="-70" w:type="dxa"/>
              <w:bottom w:w="-70" w:type="dxa"/>
              <w:right w:w="-70" w:type="dxa"/>
            </w:tcMar>
            <w:vAlign w:val="center"/>
          </w:tcPr>
          <w:p w14:paraId="1FC27CF7" w14:textId="3BF63BE1"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.196** [.103, .285]</w:t>
            </w:r>
          </w:p>
        </w:tc>
      </w:tr>
      <w:tr w:rsidR="00406361" w:rsidRPr="00406361" w14:paraId="60CB720A" w14:textId="77777777" w:rsidTr="00FA5721">
        <w:trPr>
          <w:trHeight w:val="59"/>
          <w:jc w:val="center"/>
        </w:trPr>
        <w:tc>
          <w:tcPr>
            <w:tcW w:w="1109" w:type="pct"/>
            <w:vMerge w:val="restart"/>
            <w:shd w:val="clear" w:color="auto" w:fill="auto"/>
            <w:tcMar>
              <w:top w:w="-70" w:type="dxa"/>
              <w:left w:w="-70" w:type="dxa"/>
              <w:bottom w:w="-70" w:type="dxa"/>
              <w:right w:w="-70" w:type="dxa"/>
            </w:tcMar>
            <w:vAlign w:val="center"/>
          </w:tcPr>
          <w:p w14:paraId="6978F84C" w14:textId="77777777" w:rsidR="00A4227E" w:rsidRPr="00406361" w:rsidRDefault="00A4227E" w:rsidP="00FA5721">
            <w:pPr>
              <w:keepLines/>
              <w:widowControl w:val="0"/>
              <w:rPr>
                <w:color w:val="000000" w:themeColor="text1"/>
                <w:sz w:val="20"/>
                <w:szCs w:val="20"/>
                <w:lang w:val="pt-BR"/>
              </w:rPr>
            </w:pPr>
            <w:r w:rsidRPr="00406361">
              <w:rPr>
                <w:color w:val="000000" w:themeColor="text1"/>
                <w:sz w:val="20"/>
                <w:szCs w:val="20"/>
                <w:lang w:val="pt-BR"/>
              </w:rPr>
              <w:t>Autocontrole</w:t>
            </w:r>
          </w:p>
        </w:tc>
        <w:tc>
          <w:tcPr>
            <w:tcW w:w="982" w:type="pct"/>
            <w:shd w:val="clear" w:color="auto" w:fill="auto"/>
            <w:tcMar>
              <w:top w:w="-70" w:type="dxa"/>
              <w:left w:w="-70" w:type="dxa"/>
              <w:bottom w:w="-70" w:type="dxa"/>
              <w:right w:w="-70" w:type="dxa"/>
            </w:tcMar>
            <w:vAlign w:val="center"/>
          </w:tcPr>
          <w:p w14:paraId="60DA7E0F"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Dificuldade</w:t>
            </w:r>
          </w:p>
        </w:tc>
        <w:tc>
          <w:tcPr>
            <w:tcW w:w="1455" w:type="pct"/>
            <w:shd w:val="clear" w:color="auto" w:fill="auto"/>
            <w:tcMar>
              <w:top w:w="-70" w:type="dxa"/>
              <w:left w:w="-70" w:type="dxa"/>
              <w:bottom w:w="-70" w:type="dxa"/>
              <w:right w:w="-70" w:type="dxa"/>
            </w:tcMar>
            <w:vAlign w:val="center"/>
          </w:tcPr>
          <w:p w14:paraId="0EAB3435" w14:textId="6495740E"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.206** [.083, .323]</w:t>
            </w:r>
          </w:p>
        </w:tc>
        <w:tc>
          <w:tcPr>
            <w:tcW w:w="1454" w:type="pct"/>
            <w:shd w:val="clear" w:color="auto" w:fill="auto"/>
            <w:tcMar>
              <w:top w:w="-70" w:type="dxa"/>
              <w:left w:w="-70" w:type="dxa"/>
              <w:bottom w:w="-70" w:type="dxa"/>
              <w:right w:w="-70" w:type="dxa"/>
            </w:tcMar>
            <w:vAlign w:val="center"/>
          </w:tcPr>
          <w:p w14:paraId="37E17ED5" w14:textId="45211A56"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-.095 [-.188, 0]</w:t>
            </w:r>
          </w:p>
        </w:tc>
      </w:tr>
      <w:tr w:rsidR="00406361" w:rsidRPr="00406361" w14:paraId="30A6C235" w14:textId="77777777" w:rsidTr="00797647">
        <w:trPr>
          <w:trHeight w:val="477"/>
          <w:jc w:val="center"/>
        </w:trPr>
        <w:tc>
          <w:tcPr>
            <w:tcW w:w="1109" w:type="pct"/>
            <w:vMerge/>
            <w:shd w:val="clear" w:color="auto" w:fill="auto"/>
            <w:tcMar>
              <w:top w:w="-70" w:type="dxa"/>
              <w:left w:w="-70" w:type="dxa"/>
              <w:bottom w:w="-70" w:type="dxa"/>
              <w:right w:w="-70" w:type="dxa"/>
            </w:tcMar>
            <w:vAlign w:val="center"/>
          </w:tcPr>
          <w:p w14:paraId="77E2E077" w14:textId="77777777" w:rsidR="00A4227E" w:rsidRPr="00406361" w:rsidRDefault="00A4227E" w:rsidP="00FA5721">
            <w:pPr>
              <w:keepLines/>
              <w:widowControl w:val="0"/>
              <w:rPr>
                <w:color w:val="000000" w:themeColor="text1"/>
                <w:sz w:val="20"/>
                <w:szCs w:val="20"/>
                <w:lang w:val="pt-BR"/>
              </w:rPr>
            </w:pPr>
          </w:p>
        </w:tc>
        <w:tc>
          <w:tcPr>
            <w:tcW w:w="982" w:type="pct"/>
            <w:shd w:val="clear" w:color="auto" w:fill="auto"/>
            <w:tcMar>
              <w:top w:w="-70" w:type="dxa"/>
              <w:left w:w="-70" w:type="dxa"/>
              <w:bottom w:w="-70" w:type="dxa"/>
              <w:right w:w="-70" w:type="dxa"/>
            </w:tcMar>
            <w:vAlign w:val="center"/>
          </w:tcPr>
          <w:p w14:paraId="55CA3894"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Frequência</w:t>
            </w:r>
          </w:p>
        </w:tc>
        <w:tc>
          <w:tcPr>
            <w:tcW w:w="1455" w:type="pct"/>
            <w:shd w:val="clear" w:color="auto" w:fill="auto"/>
            <w:tcMar>
              <w:top w:w="-70" w:type="dxa"/>
              <w:left w:w="-70" w:type="dxa"/>
              <w:bottom w:w="-70" w:type="dxa"/>
              <w:right w:w="-70" w:type="dxa"/>
            </w:tcMar>
            <w:vAlign w:val="center"/>
          </w:tcPr>
          <w:p w14:paraId="1B6CB34F" w14:textId="067771E4"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-,154** [-.245, -.06]</w:t>
            </w:r>
          </w:p>
        </w:tc>
        <w:tc>
          <w:tcPr>
            <w:tcW w:w="1454" w:type="pct"/>
            <w:shd w:val="clear" w:color="auto" w:fill="auto"/>
            <w:tcMar>
              <w:top w:w="-70" w:type="dxa"/>
              <w:left w:w="-70" w:type="dxa"/>
              <w:bottom w:w="-70" w:type="dxa"/>
              <w:right w:w="-70" w:type="dxa"/>
            </w:tcMar>
            <w:vAlign w:val="center"/>
          </w:tcPr>
          <w:p w14:paraId="6CF93D04" w14:textId="4C2FB3E7"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.141** [.047, .233]</w:t>
            </w:r>
          </w:p>
        </w:tc>
      </w:tr>
      <w:tr w:rsidR="00406361" w:rsidRPr="00406361" w14:paraId="4266AFCE" w14:textId="77777777" w:rsidTr="00FA5721">
        <w:trPr>
          <w:trHeight w:val="59"/>
          <w:jc w:val="center"/>
        </w:trPr>
        <w:tc>
          <w:tcPr>
            <w:tcW w:w="1109" w:type="pct"/>
            <w:vMerge w:val="restart"/>
            <w:shd w:val="clear" w:color="auto" w:fill="auto"/>
            <w:tcMar>
              <w:top w:w="-70" w:type="dxa"/>
              <w:left w:w="-70" w:type="dxa"/>
              <w:bottom w:w="-70" w:type="dxa"/>
              <w:right w:w="-70" w:type="dxa"/>
            </w:tcMar>
            <w:vAlign w:val="center"/>
          </w:tcPr>
          <w:p w14:paraId="0875398F" w14:textId="77777777" w:rsidR="00A4227E" w:rsidRPr="00406361" w:rsidRDefault="00A4227E" w:rsidP="00FA5721">
            <w:pPr>
              <w:keepLines/>
              <w:widowControl w:val="0"/>
              <w:rPr>
                <w:color w:val="000000" w:themeColor="text1"/>
                <w:sz w:val="20"/>
                <w:szCs w:val="20"/>
                <w:lang w:val="pt-BR"/>
              </w:rPr>
            </w:pPr>
            <w:r w:rsidRPr="00406361">
              <w:rPr>
                <w:color w:val="000000" w:themeColor="text1"/>
                <w:sz w:val="20"/>
                <w:szCs w:val="20"/>
                <w:lang w:val="pt-BR"/>
              </w:rPr>
              <w:t>Civilidade</w:t>
            </w:r>
          </w:p>
        </w:tc>
        <w:tc>
          <w:tcPr>
            <w:tcW w:w="982" w:type="pct"/>
            <w:shd w:val="clear" w:color="auto" w:fill="auto"/>
            <w:tcMar>
              <w:top w:w="-70" w:type="dxa"/>
              <w:left w:w="-70" w:type="dxa"/>
              <w:bottom w:w="-70" w:type="dxa"/>
              <w:right w:w="-70" w:type="dxa"/>
            </w:tcMar>
            <w:vAlign w:val="center"/>
          </w:tcPr>
          <w:p w14:paraId="142DCF4F"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Dificuldade</w:t>
            </w:r>
          </w:p>
        </w:tc>
        <w:tc>
          <w:tcPr>
            <w:tcW w:w="1455" w:type="pct"/>
            <w:shd w:val="clear" w:color="auto" w:fill="auto"/>
            <w:tcMar>
              <w:top w:w="-70" w:type="dxa"/>
              <w:left w:w="-70" w:type="dxa"/>
              <w:bottom w:w="-70" w:type="dxa"/>
              <w:right w:w="-70" w:type="dxa"/>
            </w:tcMar>
            <w:vAlign w:val="center"/>
          </w:tcPr>
          <w:p w14:paraId="355215D8" w14:textId="51422EFA"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.144** [.019, .265]</w:t>
            </w:r>
          </w:p>
        </w:tc>
        <w:tc>
          <w:tcPr>
            <w:tcW w:w="1454" w:type="pct"/>
            <w:shd w:val="clear" w:color="auto" w:fill="auto"/>
            <w:tcMar>
              <w:top w:w="-70" w:type="dxa"/>
              <w:left w:w="-70" w:type="dxa"/>
              <w:bottom w:w="-70" w:type="dxa"/>
              <w:right w:w="-70" w:type="dxa"/>
            </w:tcMar>
            <w:vAlign w:val="center"/>
          </w:tcPr>
          <w:p w14:paraId="51764CA1" w14:textId="1EB212DF"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-.172** [-.262, -0.79]</w:t>
            </w:r>
          </w:p>
        </w:tc>
      </w:tr>
      <w:tr w:rsidR="00406361" w:rsidRPr="00406361" w14:paraId="4FA526E4" w14:textId="77777777" w:rsidTr="00797647">
        <w:trPr>
          <w:trHeight w:val="473"/>
          <w:jc w:val="center"/>
        </w:trPr>
        <w:tc>
          <w:tcPr>
            <w:tcW w:w="1109" w:type="pct"/>
            <w:vMerge/>
            <w:shd w:val="clear" w:color="auto" w:fill="auto"/>
            <w:tcMar>
              <w:top w:w="-70" w:type="dxa"/>
              <w:left w:w="-70" w:type="dxa"/>
              <w:bottom w:w="-70" w:type="dxa"/>
              <w:right w:w="-70" w:type="dxa"/>
            </w:tcMar>
            <w:vAlign w:val="center"/>
          </w:tcPr>
          <w:p w14:paraId="78733A37" w14:textId="77777777" w:rsidR="00A4227E" w:rsidRPr="00406361" w:rsidRDefault="00A4227E" w:rsidP="00FA5721">
            <w:pPr>
              <w:keepLines/>
              <w:widowControl w:val="0"/>
              <w:rPr>
                <w:color w:val="000000" w:themeColor="text1"/>
                <w:sz w:val="20"/>
                <w:szCs w:val="20"/>
                <w:lang w:val="pt-BR"/>
              </w:rPr>
            </w:pPr>
          </w:p>
        </w:tc>
        <w:tc>
          <w:tcPr>
            <w:tcW w:w="982" w:type="pct"/>
            <w:shd w:val="clear" w:color="auto" w:fill="auto"/>
            <w:tcMar>
              <w:top w:w="-70" w:type="dxa"/>
              <w:left w:w="-70" w:type="dxa"/>
              <w:bottom w:w="-70" w:type="dxa"/>
              <w:right w:w="-70" w:type="dxa"/>
            </w:tcMar>
            <w:vAlign w:val="center"/>
          </w:tcPr>
          <w:p w14:paraId="778D3BA6"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Frequência</w:t>
            </w:r>
          </w:p>
        </w:tc>
        <w:tc>
          <w:tcPr>
            <w:tcW w:w="1455" w:type="pct"/>
            <w:shd w:val="clear" w:color="auto" w:fill="auto"/>
            <w:tcMar>
              <w:top w:w="-70" w:type="dxa"/>
              <w:left w:w="-70" w:type="dxa"/>
              <w:bottom w:w="-70" w:type="dxa"/>
              <w:right w:w="-70" w:type="dxa"/>
            </w:tcMar>
            <w:vAlign w:val="center"/>
          </w:tcPr>
          <w:p w14:paraId="3EB1BEAE" w14:textId="417C3C76"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-.074 [-.168, .021]</w:t>
            </w:r>
          </w:p>
        </w:tc>
        <w:tc>
          <w:tcPr>
            <w:tcW w:w="1454" w:type="pct"/>
            <w:shd w:val="clear" w:color="auto" w:fill="auto"/>
            <w:tcMar>
              <w:top w:w="-70" w:type="dxa"/>
              <w:left w:w="-70" w:type="dxa"/>
              <w:bottom w:w="-70" w:type="dxa"/>
              <w:right w:w="-70" w:type="dxa"/>
            </w:tcMar>
            <w:vAlign w:val="center"/>
          </w:tcPr>
          <w:p w14:paraId="74C1F371" w14:textId="6EC0987F"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.240** [.149, .327]</w:t>
            </w:r>
          </w:p>
        </w:tc>
      </w:tr>
      <w:tr w:rsidR="00406361" w:rsidRPr="00406361" w14:paraId="4257B6D0" w14:textId="77777777" w:rsidTr="00FA5721">
        <w:trPr>
          <w:trHeight w:val="59"/>
          <w:jc w:val="center"/>
        </w:trPr>
        <w:tc>
          <w:tcPr>
            <w:tcW w:w="1109" w:type="pct"/>
            <w:vMerge w:val="restart"/>
            <w:shd w:val="clear" w:color="auto" w:fill="auto"/>
            <w:tcMar>
              <w:top w:w="-70" w:type="dxa"/>
              <w:left w:w="-70" w:type="dxa"/>
              <w:bottom w:w="-70" w:type="dxa"/>
              <w:right w:w="-70" w:type="dxa"/>
            </w:tcMar>
            <w:vAlign w:val="center"/>
          </w:tcPr>
          <w:p w14:paraId="0DD1E7F3" w14:textId="77777777" w:rsidR="00A4227E" w:rsidRPr="00406361" w:rsidRDefault="00A4227E" w:rsidP="00FA5721">
            <w:pPr>
              <w:keepLines/>
              <w:widowControl w:val="0"/>
              <w:rPr>
                <w:color w:val="000000" w:themeColor="text1"/>
                <w:sz w:val="20"/>
                <w:szCs w:val="20"/>
                <w:lang w:val="pt-BR"/>
              </w:rPr>
            </w:pPr>
            <w:r w:rsidRPr="00406361">
              <w:rPr>
                <w:color w:val="000000" w:themeColor="text1"/>
                <w:sz w:val="20"/>
                <w:szCs w:val="20"/>
                <w:lang w:val="pt-BR"/>
              </w:rPr>
              <w:t>Assertividade</w:t>
            </w:r>
          </w:p>
        </w:tc>
        <w:tc>
          <w:tcPr>
            <w:tcW w:w="982" w:type="pct"/>
            <w:shd w:val="clear" w:color="auto" w:fill="auto"/>
            <w:tcMar>
              <w:top w:w="-70" w:type="dxa"/>
              <w:left w:w="-70" w:type="dxa"/>
              <w:bottom w:w="-70" w:type="dxa"/>
              <w:right w:w="-70" w:type="dxa"/>
            </w:tcMar>
            <w:vAlign w:val="center"/>
          </w:tcPr>
          <w:p w14:paraId="48BC1710"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Dificuldade</w:t>
            </w:r>
          </w:p>
        </w:tc>
        <w:tc>
          <w:tcPr>
            <w:tcW w:w="1455" w:type="pct"/>
            <w:shd w:val="clear" w:color="auto" w:fill="auto"/>
            <w:tcMar>
              <w:top w:w="-70" w:type="dxa"/>
              <w:left w:w="-70" w:type="dxa"/>
              <w:bottom w:w="-70" w:type="dxa"/>
              <w:right w:w="-70" w:type="dxa"/>
            </w:tcMar>
            <w:vAlign w:val="center"/>
          </w:tcPr>
          <w:p w14:paraId="5775EA86" w14:textId="62638B27"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.164** [.039, .284]</w:t>
            </w:r>
          </w:p>
        </w:tc>
        <w:tc>
          <w:tcPr>
            <w:tcW w:w="1454" w:type="pct"/>
            <w:shd w:val="clear" w:color="auto" w:fill="auto"/>
            <w:tcMar>
              <w:top w:w="-70" w:type="dxa"/>
              <w:left w:w="-70" w:type="dxa"/>
              <w:bottom w:w="-70" w:type="dxa"/>
              <w:right w:w="-70" w:type="dxa"/>
            </w:tcMar>
            <w:vAlign w:val="center"/>
          </w:tcPr>
          <w:p w14:paraId="2BFDCABE" w14:textId="2263F943"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-.085 [-.178, .01]</w:t>
            </w:r>
          </w:p>
        </w:tc>
      </w:tr>
      <w:tr w:rsidR="00406361" w:rsidRPr="00406361" w14:paraId="3D50476E" w14:textId="77777777" w:rsidTr="00797647">
        <w:trPr>
          <w:trHeight w:val="482"/>
          <w:jc w:val="center"/>
        </w:trPr>
        <w:tc>
          <w:tcPr>
            <w:tcW w:w="1109" w:type="pct"/>
            <w:vMerge/>
            <w:shd w:val="clear" w:color="auto" w:fill="auto"/>
            <w:tcMar>
              <w:top w:w="-70" w:type="dxa"/>
              <w:left w:w="-70" w:type="dxa"/>
              <w:bottom w:w="-70" w:type="dxa"/>
              <w:right w:w="-70" w:type="dxa"/>
            </w:tcMar>
            <w:vAlign w:val="center"/>
          </w:tcPr>
          <w:p w14:paraId="3A0D1098" w14:textId="77777777" w:rsidR="00A4227E" w:rsidRPr="00406361" w:rsidRDefault="00A4227E" w:rsidP="00FA5721">
            <w:pPr>
              <w:keepLines/>
              <w:widowControl w:val="0"/>
              <w:rPr>
                <w:color w:val="000000" w:themeColor="text1"/>
                <w:sz w:val="20"/>
                <w:szCs w:val="20"/>
                <w:lang w:val="pt-BR"/>
              </w:rPr>
            </w:pPr>
          </w:p>
        </w:tc>
        <w:tc>
          <w:tcPr>
            <w:tcW w:w="982" w:type="pct"/>
            <w:shd w:val="clear" w:color="auto" w:fill="auto"/>
            <w:tcMar>
              <w:top w:w="-70" w:type="dxa"/>
              <w:left w:w="-70" w:type="dxa"/>
              <w:bottom w:w="-70" w:type="dxa"/>
              <w:right w:w="-70" w:type="dxa"/>
            </w:tcMar>
            <w:vAlign w:val="center"/>
          </w:tcPr>
          <w:p w14:paraId="2242788E"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Frequência</w:t>
            </w:r>
          </w:p>
        </w:tc>
        <w:tc>
          <w:tcPr>
            <w:tcW w:w="1455" w:type="pct"/>
            <w:shd w:val="clear" w:color="auto" w:fill="auto"/>
            <w:tcMar>
              <w:top w:w="-70" w:type="dxa"/>
              <w:left w:w="-70" w:type="dxa"/>
              <w:bottom w:w="-70" w:type="dxa"/>
              <w:right w:w="-70" w:type="dxa"/>
            </w:tcMar>
            <w:vAlign w:val="center"/>
          </w:tcPr>
          <w:p w14:paraId="0229C1B9" w14:textId="43D1644A"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-.111* [-.204, -.016]</w:t>
            </w:r>
          </w:p>
        </w:tc>
        <w:tc>
          <w:tcPr>
            <w:tcW w:w="1454" w:type="pct"/>
            <w:shd w:val="clear" w:color="auto" w:fill="auto"/>
            <w:tcMar>
              <w:top w:w="-70" w:type="dxa"/>
              <w:left w:w="-70" w:type="dxa"/>
              <w:bottom w:w="-70" w:type="dxa"/>
              <w:right w:w="-70" w:type="dxa"/>
            </w:tcMar>
            <w:vAlign w:val="center"/>
          </w:tcPr>
          <w:p w14:paraId="7C46A5B7" w14:textId="7299802B"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.087 [-.008, .18]</w:t>
            </w:r>
          </w:p>
        </w:tc>
      </w:tr>
      <w:tr w:rsidR="00406361" w:rsidRPr="00406361" w14:paraId="6DEABFE8" w14:textId="77777777" w:rsidTr="00FA5721">
        <w:trPr>
          <w:trHeight w:val="59"/>
          <w:jc w:val="center"/>
        </w:trPr>
        <w:tc>
          <w:tcPr>
            <w:tcW w:w="1109" w:type="pct"/>
            <w:vMerge w:val="restart"/>
            <w:shd w:val="clear" w:color="auto" w:fill="auto"/>
            <w:tcMar>
              <w:top w:w="-70" w:type="dxa"/>
              <w:left w:w="-70" w:type="dxa"/>
              <w:bottom w:w="-70" w:type="dxa"/>
              <w:right w:w="-70" w:type="dxa"/>
            </w:tcMar>
            <w:vAlign w:val="center"/>
          </w:tcPr>
          <w:p w14:paraId="4BD11ACE" w14:textId="77777777" w:rsidR="00A4227E" w:rsidRPr="00406361" w:rsidRDefault="00A4227E" w:rsidP="00FA5721">
            <w:pPr>
              <w:keepLines/>
              <w:widowControl w:val="0"/>
              <w:rPr>
                <w:color w:val="000000" w:themeColor="text1"/>
                <w:sz w:val="20"/>
                <w:szCs w:val="20"/>
                <w:lang w:val="pt-BR"/>
              </w:rPr>
            </w:pPr>
            <w:r w:rsidRPr="00406361">
              <w:rPr>
                <w:color w:val="000000" w:themeColor="text1"/>
                <w:sz w:val="20"/>
                <w:szCs w:val="20"/>
                <w:lang w:val="pt-BR"/>
              </w:rPr>
              <w:t>Abordagem Afetiva</w:t>
            </w:r>
          </w:p>
        </w:tc>
        <w:tc>
          <w:tcPr>
            <w:tcW w:w="982" w:type="pct"/>
            <w:shd w:val="clear" w:color="auto" w:fill="auto"/>
            <w:tcMar>
              <w:top w:w="-70" w:type="dxa"/>
              <w:left w:w="-70" w:type="dxa"/>
              <w:bottom w:w="-70" w:type="dxa"/>
              <w:right w:w="-70" w:type="dxa"/>
            </w:tcMar>
            <w:vAlign w:val="center"/>
          </w:tcPr>
          <w:p w14:paraId="2FFE347E"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Dificuldade</w:t>
            </w:r>
          </w:p>
        </w:tc>
        <w:tc>
          <w:tcPr>
            <w:tcW w:w="1455" w:type="pct"/>
            <w:shd w:val="clear" w:color="auto" w:fill="auto"/>
            <w:tcMar>
              <w:top w:w="-70" w:type="dxa"/>
              <w:left w:w="-70" w:type="dxa"/>
              <w:bottom w:w="-70" w:type="dxa"/>
              <w:right w:w="-70" w:type="dxa"/>
            </w:tcMar>
            <w:vAlign w:val="center"/>
          </w:tcPr>
          <w:p w14:paraId="5000F762" w14:textId="22C6DDAB"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.183** [.059, .302]</w:t>
            </w:r>
          </w:p>
        </w:tc>
        <w:tc>
          <w:tcPr>
            <w:tcW w:w="1454" w:type="pct"/>
            <w:shd w:val="clear" w:color="auto" w:fill="auto"/>
            <w:tcMar>
              <w:top w:w="-70" w:type="dxa"/>
              <w:left w:w="-70" w:type="dxa"/>
              <w:bottom w:w="-70" w:type="dxa"/>
              <w:right w:w="-70" w:type="dxa"/>
            </w:tcMar>
            <w:vAlign w:val="center"/>
          </w:tcPr>
          <w:p w14:paraId="5A6EF646" w14:textId="6D063D19"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-.059 [-.153, .036]</w:t>
            </w:r>
          </w:p>
        </w:tc>
      </w:tr>
      <w:tr w:rsidR="00406361" w:rsidRPr="00406361" w14:paraId="1E534226" w14:textId="77777777" w:rsidTr="00797647">
        <w:trPr>
          <w:trHeight w:val="479"/>
          <w:jc w:val="center"/>
        </w:trPr>
        <w:tc>
          <w:tcPr>
            <w:tcW w:w="1109" w:type="pct"/>
            <w:vMerge/>
            <w:shd w:val="clear" w:color="auto" w:fill="auto"/>
            <w:tcMar>
              <w:top w:w="-70" w:type="dxa"/>
              <w:left w:w="-70" w:type="dxa"/>
              <w:bottom w:w="-70" w:type="dxa"/>
              <w:right w:w="-70" w:type="dxa"/>
            </w:tcMar>
            <w:vAlign w:val="center"/>
          </w:tcPr>
          <w:p w14:paraId="61D1175F" w14:textId="77777777" w:rsidR="00A4227E" w:rsidRPr="00406361" w:rsidRDefault="00A4227E" w:rsidP="00FA5721">
            <w:pPr>
              <w:keepLines/>
              <w:widowControl w:val="0"/>
              <w:rPr>
                <w:color w:val="000000" w:themeColor="text1"/>
                <w:sz w:val="20"/>
                <w:szCs w:val="20"/>
                <w:lang w:val="pt-BR"/>
              </w:rPr>
            </w:pPr>
          </w:p>
        </w:tc>
        <w:tc>
          <w:tcPr>
            <w:tcW w:w="982" w:type="pct"/>
            <w:shd w:val="clear" w:color="auto" w:fill="auto"/>
            <w:tcMar>
              <w:top w:w="-70" w:type="dxa"/>
              <w:left w:w="-70" w:type="dxa"/>
              <w:bottom w:w="-70" w:type="dxa"/>
              <w:right w:w="-70" w:type="dxa"/>
            </w:tcMar>
            <w:vAlign w:val="center"/>
          </w:tcPr>
          <w:p w14:paraId="2D7A8D86"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Frequência</w:t>
            </w:r>
          </w:p>
        </w:tc>
        <w:tc>
          <w:tcPr>
            <w:tcW w:w="1455" w:type="pct"/>
            <w:shd w:val="clear" w:color="auto" w:fill="auto"/>
            <w:tcMar>
              <w:top w:w="-70" w:type="dxa"/>
              <w:left w:w="-70" w:type="dxa"/>
              <w:bottom w:w="-70" w:type="dxa"/>
              <w:right w:w="-70" w:type="dxa"/>
            </w:tcMar>
            <w:vAlign w:val="center"/>
          </w:tcPr>
          <w:p w14:paraId="3C38856E" w14:textId="2C4F3881"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-.132** [-.224, -.038]</w:t>
            </w:r>
          </w:p>
        </w:tc>
        <w:tc>
          <w:tcPr>
            <w:tcW w:w="1454" w:type="pct"/>
            <w:shd w:val="clear" w:color="auto" w:fill="auto"/>
            <w:tcMar>
              <w:top w:w="-70" w:type="dxa"/>
              <w:left w:w="-70" w:type="dxa"/>
              <w:bottom w:w="-70" w:type="dxa"/>
              <w:right w:w="-70" w:type="dxa"/>
            </w:tcMar>
            <w:vAlign w:val="center"/>
          </w:tcPr>
          <w:p w14:paraId="096261EC" w14:textId="47D63FFD"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.140** [.046, .232]</w:t>
            </w:r>
          </w:p>
        </w:tc>
      </w:tr>
      <w:tr w:rsidR="00406361" w:rsidRPr="00406361" w14:paraId="74995525" w14:textId="77777777" w:rsidTr="00FA5721">
        <w:trPr>
          <w:trHeight w:val="59"/>
          <w:jc w:val="center"/>
        </w:trPr>
        <w:tc>
          <w:tcPr>
            <w:tcW w:w="1109" w:type="pct"/>
            <w:vMerge w:val="restart"/>
            <w:shd w:val="clear" w:color="auto" w:fill="auto"/>
            <w:tcMar>
              <w:top w:w="-70" w:type="dxa"/>
              <w:left w:w="-70" w:type="dxa"/>
              <w:bottom w:w="-70" w:type="dxa"/>
              <w:right w:w="-70" w:type="dxa"/>
            </w:tcMar>
            <w:vAlign w:val="center"/>
          </w:tcPr>
          <w:p w14:paraId="7B1D741B" w14:textId="77777777" w:rsidR="00A4227E" w:rsidRPr="00406361" w:rsidRDefault="00A4227E" w:rsidP="00FA5721">
            <w:pPr>
              <w:keepLines/>
              <w:widowControl w:val="0"/>
              <w:rPr>
                <w:color w:val="000000" w:themeColor="text1"/>
                <w:sz w:val="20"/>
                <w:szCs w:val="20"/>
                <w:lang w:val="pt-BR"/>
              </w:rPr>
            </w:pPr>
            <w:r w:rsidRPr="00406361">
              <w:rPr>
                <w:color w:val="000000" w:themeColor="text1"/>
                <w:sz w:val="20"/>
                <w:szCs w:val="20"/>
                <w:lang w:val="pt-BR"/>
              </w:rPr>
              <w:t>Desenvoltura Social</w:t>
            </w:r>
          </w:p>
        </w:tc>
        <w:tc>
          <w:tcPr>
            <w:tcW w:w="982" w:type="pct"/>
            <w:shd w:val="clear" w:color="auto" w:fill="auto"/>
            <w:tcMar>
              <w:top w:w="-70" w:type="dxa"/>
              <w:left w:w="-70" w:type="dxa"/>
              <w:bottom w:w="-70" w:type="dxa"/>
              <w:right w:w="-70" w:type="dxa"/>
            </w:tcMar>
            <w:vAlign w:val="center"/>
          </w:tcPr>
          <w:p w14:paraId="33FC3AE0"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Dificuldade</w:t>
            </w:r>
          </w:p>
        </w:tc>
        <w:tc>
          <w:tcPr>
            <w:tcW w:w="1455" w:type="pct"/>
            <w:shd w:val="clear" w:color="auto" w:fill="auto"/>
            <w:tcMar>
              <w:top w:w="-70" w:type="dxa"/>
              <w:left w:w="-70" w:type="dxa"/>
              <w:bottom w:w="-70" w:type="dxa"/>
              <w:right w:w="-70" w:type="dxa"/>
            </w:tcMar>
            <w:vAlign w:val="center"/>
          </w:tcPr>
          <w:p w14:paraId="2D677060" w14:textId="64497308"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.143** [.049, .235]</w:t>
            </w:r>
          </w:p>
        </w:tc>
        <w:tc>
          <w:tcPr>
            <w:tcW w:w="1454" w:type="pct"/>
            <w:shd w:val="clear" w:color="auto" w:fill="auto"/>
            <w:tcMar>
              <w:top w:w="-70" w:type="dxa"/>
              <w:left w:w="-70" w:type="dxa"/>
              <w:bottom w:w="-70" w:type="dxa"/>
              <w:right w:w="-70" w:type="dxa"/>
            </w:tcMar>
            <w:vAlign w:val="center"/>
          </w:tcPr>
          <w:p w14:paraId="13887265" w14:textId="4E7AC00F"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-.072 [-.166, .023]</w:t>
            </w:r>
          </w:p>
        </w:tc>
      </w:tr>
      <w:tr w:rsidR="00406361" w:rsidRPr="00406361" w14:paraId="57C15E37" w14:textId="77777777" w:rsidTr="00797647">
        <w:trPr>
          <w:trHeight w:val="475"/>
          <w:jc w:val="center"/>
        </w:trPr>
        <w:tc>
          <w:tcPr>
            <w:tcW w:w="1109" w:type="pct"/>
            <w:vMerge/>
            <w:shd w:val="clear" w:color="auto" w:fill="auto"/>
            <w:tcMar>
              <w:top w:w="-70" w:type="dxa"/>
              <w:left w:w="-70" w:type="dxa"/>
              <w:bottom w:w="-70" w:type="dxa"/>
              <w:right w:w="-70" w:type="dxa"/>
            </w:tcMar>
            <w:vAlign w:val="center"/>
          </w:tcPr>
          <w:p w14:paraId="39645F15" w14:textId="77777777" w:rsidR="00A4227E" w:rsidRPr="00406361" w:rsidRDefault="00A4227E" w:rsidP="00FA5721">
            <w:pPr>
              <w:keepLines/>
              <w:widowControl w:val="0"/>
              <w:rPr>
                <w:color w:val="000000" w:themeColor="text1"/>
                <w:sz w:val="20"/>
                <w:szCs w:val="20"/>
                <w:lang w:val="pt-BR"/>
              </w:rPr>
            </w:pPr>
          </w:p>
        </w:tc>
        <w:tc>
          <w:tcPr>
            <w:tcW w:w="982" w:type="pct"/>
            <w:shd w:val="clear" w:color="auto" w:fill="auto"/>
            <w:tcMar>
              <w:top w:w="-70" w:type="dxa"/>
              <w:left w:w="-70" w:type="dxa"/>
              <w:bottom w:w="-70" w:type="dxa"/>
              <w:right w:w="-70" w:type="dxa"/>
            </w:tcMar>
            <w:vAlign w:val="center"/>
          </w:tcPr>
          <w:p w14:paraId="5AA07F2B"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Frequência</w:t>
            </w:r>
          </w:p>
        </w:tc>
        <w:tc>
          <w:tcPr>
            <w:tcW w:w="1455" w:type="pct"/>
            <w:shd w:val="clear" w:color="auto" w:fill="auto"/>
            <w:tcMar>
              <w:top w:w="-70" w:type="dxa"/>
              <w:left w:w="-70" w:type="dxa"/>
              <w:bottom w:w="-70" w:type="dxa"/>
              <w:right w:w="-70" w:type="dxa"/>
            </w:tcMar>
            <w:vAlign w:val="center"/>
          </w:tcPr>
          <w:p w14:paraId="399B61E7" w14:textId="1626947B"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-.131** [-.223, -.037]</w:t>
            </w:r>
          </w:p>
        </w:tc>
        <w:tc>
          <w:tcPr>
            <w:tcW w:w="1454" w:type="pct"/>
            <w:shd w:val="clear" w:color="auto" w:fill="auto"/>
            <w:tcMar>
              <w:top w:w="-70" w:type="dxa"/>
              <w:left w:w="-70" w:type="dxa"/>
              <w:bottom w:w="-70" w:type="dxa"/>
              <w:right w:w="-70" w:type="dxa"/>
            </w:tcMar>
            <w:vAlign w:val="center"/>
          </w:tcPr>
          <w:p w14:paraId="5938166E" w14:textId="2E281E00"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.157** [.063, .248]</w:t>
            </w:r>
          </w:p>
        </w:tc>
      </w:tr>
      <w:tr w:rsidR="00406361" w:rsidRPr="00406361" w14:paraId="32AB3489" w14:textId="77777777" w:rsidTr="00FA5721">
        <w:trPr>
          <w:trHeight w:val="59"/>
          <w:jc w:val="center"/>
        </w:trPr>
        <w:tc>
          <w:tcPr>
            <w:tcW w:w="1109" w:type="pct"/>
            <w:vMerge w:val="restart"/>
            <w:shd w:val="clear" w:color="auto" w:fill="auto"/>
            <w:tcMar>
              <w:top w:w="-70" w:type="dxa"/>
              <w:left w:w="-70" w:type="dxa"/>
              <w:bottom w:w="-70" w:type="dxa"/>
              <w:right w:w="-70" w:type="dxa"/>
            </w:tcMar>
            <w:vAlign w:val="center"/>
          </w:tcPr>
          <w:p w14:paraId="30483F2B" w14:textId="77777777" w:rsidR="00A4227E" w:rsidRPr="00406361" w:rsidRDefault="00A4227E" w:rsidP="00FA5721">
            <w:pPr>
              <w:keepLines/>
              <w:widowControl w:val="0"/>
              <w:rPr>
                <w:color w:val="000000" w:themeColor="text1"/>
                <w:sz w:val="20"/>
                <w:szCs w:val="20"/>
                <w:lang w:val="pt-BR"/>
              </w:rPr>
            </w:pPr>
            <w:r w:rsidRPr="00406361">
              <w:rPr>
                <w:color w:val="000000" w:themeColor="text1"/>
                <w:sz w:val="20"/>
                <w:szCs w:val="20"/>
                <w:lang w:val="pt-BR"/>
              </w:rPr>
              <w:t>Escore Total</w:t>
            </w:r>
          </w:p>
        </w:tc>
        <w:tc>
          <w:tcPr>
            <w:tcW w:w="982" w:type="pct"/>
            <w:shd w:val="clear" w:color="auto" w:fill="auto"/>
            <w:tcMar>
              <w:top w:w="-70" w:type="dxa"/>
              <w:left w:w="-70" w:type="dxa"/>
              <w:bottom w:w="-70" w:type="dxa"/>
              <w:right w:w="-70" w:type="dxa"/>
            </w:tcMar>
            <w:vAlign w:val="center"/>
          </w:tcPr>
          <w:p w14:paraId="5EAC30A2"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Dificuldade</w:t>
            </w:r>
          </w:p>
        </w:tc>
        <w:tc>
          <w:tcPr>
            <w:tcW w:w="1455" w:type="pct"/>
            <w:shd w:val="clear" w:color="auto" w:fill="auto"/>
            <w:tcMar>
              <w:top w:w="-70" w:type="dxa"/>
              <w:left w:w="-70" w:type="dxa"/>
              <w:bottom w:w="-70" w:type="dxa"/>
              <w:right w:w="-70" w:type="dxa"/>
            </w:tcMar>
            <w:vAlign w:val="center"/>
          </w:tcPr>
          <w:p w14:paraId="3F56245A" w14:textId="0340357B"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.213** [.121, .302]</w:t>
            </w:r>
          </w:p>
        </w:tc>
        <w:tc>
          <w:tcPr>
            <w:tcW w:w="1454" w:type="pct"/>
            <w:shd w:val="clear" w:color="auto" w:fill="auto"/>
            <w:tcMar>
              <w:top w:w="-70" w:type="dxa"/>
              <w:left w:w="-70" w:type="dxa"/>
              <w:bottom w:w="-70" w:type="dxa"/>
              <w:right w:w="-70" w:type="dxa"/>
            </w:tcMar>
            <w:vAlign w:val="center"/>
          </w:tcPr>
          <w:p w14:paraId="0B901CBD" w14:textId="136BBB86"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-.123** [-.215, -.029]</w:t>
            </w:r>
          </w:p>
        </w:tc>
      </w:tr>
      <w:tr w:rsidR="00406361" w:rsidRPr="00406361" w14:paraId="6B8A8C55" w14:textId="77777777" w:rsidTr="00797647">
        <w:trPr>
          <w:trHeight w:val="343"/>
          <w:jc w:val="center"/>
        </w:trPr>
        <w:tc>
          <w:tcPr>
            <w:tcW w:w="1109" w:type="pct"/>
            <w:vMerge/>
            <w:tcBorders>
              <w:bottom w:val="single" w:sz="4" w:space="0" w:color="auto"/>
            </w:tcBorders>
            <w:shd w:val="clear" w:color="auto" w:fill="auto"/>
            <w:tcMar>
              <w:top w:w="-70" w:type="dxa"/>
              <w:left w:w="-70" w:type="dxa"/>
              <w:bottom w:w="-70" w:type="dxa"/>
              <w:right w:w="-70" w:type="dxa"/>
            </w:tcMar>
            <w:vAlign w:val="center"/>
          </w:tcPr>
          <w:p w14:paraId="6D0B363F" w14:textId="77777777" w:rsidR="00A4227E" w:rsidRPr="00406361" w:rsidRDefault="00A4227E" w:rsidP="00100E1C">
            <w:pPr>
              <w:keepLines/>
              <w:widowControl w:val="0"/>
              <w:jc w:val="center"/>
              <w:rPr>
                <w:color w:val="000000" w:themeColor="text1"/>
                <w:sz w:val="20"/>
                <w:szCs w:val="20"/>
                <w:lang w:val="pt-BR"/>
              </w:rPr>
            </w:pPr>
          </w:p>
        </w:tc>
        <w:tc>
          <w:tcPr>
            <w:tcW w:w="982" w:type="pct"/>
            <w:tcBorders>
              <w:bottom w:val="single" w:sz="4" w:space="0" w:color="auto"/>
            </w:tcBorders>
            <w:shd w:val="clear" w:color="auto" w:fill="auto"/>
            <w:tcMar>
              <w:top w:w="-70" w:type="dxa"/>
              <w:left w:w="-70" w:type="dxa"/>
              <w:bottom w:w="-70" w:type="dxa"/>
              <w:right w:w="-70" w:type="dxa"/>
            </w:tcMar>
            <w:vAlign w:val="center"/>
          </w:tcPr>
          <w:p w14:paraId="622CFDDB" w14:textId="77777777" w:rsidR="00A4227E" w:rsidRPr="00406361" w:rsidRDefault="00A4227E" w:rsidP="00100E1C">
            <w:pPr>
              <w:keepLines/>
              <w:widowControl w:val="0"/>
              <w:jc w:val="center"/>
              <w:rPr>
                <w:color w:val="000000" w:themeColor="text1"/>
                <w:sz w:val="20"/>
                <w:szCs w:val="20"/>
                <w:lang w:val="pt-BR"/>
              </w:rPr>
            </w:pPr>
            <w:r w:rsidRPr="00406361">
              <w:rPr>
                <w:color w:val="000000" w:themeColor="text1"/>
                <w:sz w:val="20"/>
                <w:szCs w:val="20"/>
                <w:lang w:val="pt-BR"/>
              </w:rPr>
              <w:t>Frequência</w:t>
            </w:r>
          </w:p>
        </w:tc>
        <w:tc>
          <w:tcPr>
            <w:tcW w:w="1455" w:type="pct"/>
            <w:tcBorders>
              <w:bottom w:val="single" w:sz="4" w:space="0" w:color="auto"/>
            </w:tcBorders>
            <w:shd w:val="clear" w:color="auto" w:fill="auto"/>
            <w:tcMar>
              <w:top w:w="-70" w:type="dxa"/>
              <w:left w:w="-70" w:type="dxa"/>
              <w:bottom w:w="-70" w:type="dxa"/>
              <w:right w:w="-70" w:type="dxa"/>
            </w:tcMar>
            <w:vAlign w:val="center"/>
          </w:tcPr>
          <w:p w14:paraId="51421DF3" w14:textId="3B178A83"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-.145** [-.236, -.051]</w:t>
            </w:r>
          </w:p>
        </w:tc>
        <w:tc>
          <w:tcPr>
            <w:tcW w:w="1454" w:type="pct"/>
            <w:tcBorders>
              <w:bottom w:val="single" w:sz="4" w:space="0" w:color="auto"/>
            </w:tcBorders>
            <w:shd w:val="clear" w:color="auto" w:fill="auto"/>
            <w:tcMar>
              <w:top w:w="-70" w:type="dxa"/>
              <w:left w:w="-70" w:type="dxa"/>
              <w:bottom w:w="-70" w:type="dxa"/>
              <w:right w:w="-70" w:type="dxa"/>
            </w:tcMar>
            <w:vAlign w:val="center"/>
          </w:tcPr>
          <w:p w14:paraId="0D5AB2D0" w14:textId="1C240FF5" w:rsidR="00A4227E" w:rsidRPr="00406361" w:rsidRDefault="00A4227E" w:rsidP="00A4227E">
            <w:pPr>
              <w:keepLines/>
              <w:widowControl w:val="0"/>
              <w:jc w:val="center"/>
              <w:rPr>
                <w:color w:val="000000" w:themeColor="text1"/>
                <w:sz w:val="20"/>
                <w:szCs w:val="20"/>
                <w:lang w:val="pt-BR"/>
              </w:rPr>
            </w:pPr>
            <w:r w:rsidRPr="00406361">
              <w:rPr>
                <w:color w:val="000000" w:themeColor="text1"/>
                <w:sz w:val="20"/>
                <w:szCs w:val="20"/>
                <w:lang w:val="pt-BR"/>
              </w:rPr>
              <w:t>.179** [.086, .269]</w:t>
            </w:r>
          </w:p>
        </w:tc>
      </w:tr>
    </w:tbl>
    <w:p w14:paraId="3D36909D" w14:textId="77777777" w:rsidR="00A4227E" w:rsidRPr="00406361" w:rsidRDefault="00A4227E" w:rsidP="00FA5721">
      <w:pPr>
        <w:ind w:left="851" w:right="855"/>
        <w:rPr>
          <w:rFonts w:ascii="Gungsuh" w:eastAsia="Gungsuh" w:hAnsi="Gungsuh" w:cs="Gungsuh"/>
          <w:color w:val="000000" w:themeColor="text1"/>
          <w:sz w:val="20"/>
          <w:szCs w:val="20"/>
          <w:lang w:val="pt-BR"/>
        </w:rPr>
      </w:pPr>
      <w:r w:rsidRPr="00406361">
        <w:rPr>
          <w:i/>
          <w:color w:val="000000" w:themeColor="text1"/>
          <w:sz w:val="20"/>
          <w:szCs w:val="20"/>
          <w:lang w:val="pt-BR"/>
        </w:rPr>
        <w:t>Nota</w:t>
      </w:r>
      <w:r w:rsidRPr="00406361">
        <w:rPr>
          <w:color w:val="000000" w:themeColor="text1"/>
          <w:sz w:val="20"/>
          <w:szCs w:val="20"/>
          <w:lang w:val="pt-BR"/>
        </w:rPr>
        <w:t>. * p ≤ .05; ** p ≤ .01; Valência das correlações: .10 a .39 fraca, .40 a .69 moderada e .70 a .99 forte. Os valores entre colchetes indicam o intervalo de confiança de 95% (limites inferior e superior) para cada correlação.</w:t>
      </w:r>
    </w:p>
    <w:p w14:paraId="2799714D" w14:textId="77777777" w:rsidR="00FA5721" w:rsidRPr="00406361" w:rsidRDefault="00FA5721" w:rsidP="00FA5721">
      <w:pPr>
        <w:spacing w:line="480" w:lineRule="auto"/>
        <w:ind w:firstLine="720"/>
        <w:jc w:val="both"/>
        <w:rPr>
          <w:color w:val="000000" w:themeColor="text1"/>
          <w:lang w:val="pt-BR"/>
        </w:rPr>
      </w:pPr>
    </w:p>
    <w:p w14:paraId="3F9C5F0A" w14:textId="57BD3B00" w:rsidR="00FA5721" w:rsidRPr="00406361" w:rsidRDefault="00FA5721" w:rsidP="00FA5721">
      <w:pPr>
        <w:spacing w:line="360" w:lineRule="auto"/>
        <w:ind w:firstLine="720"/>
        <w:jc w:val="both"/>
        <w:rPr>
          <w:color w:val="000000" w:themeColor="text1"/>
          <w:lang w:val="pt-BR"/>
        </w:rPr>
      </w:pPr>
      <w:r w:rsidRPr="00406361">
        <w:rPr>
          <w:color w:val="000000" w:themeColor="text1"/>
          <w:lang w:val="pt-BR"/>
        </w:rPr>
        <w:t>Verificou-se então que, quanto maior a dificuldade nas habilidades de empatia, autocontrole, civilidade, assertividade, abordagem afetiva, desenvoltura social e escore total, maior o nível de conflito familiar. Além disso, quanto maior a frequência nas habilidades de autocontrol</w:t>
      </w:r>
      <w:r w:rsidR="00B35F03" w:rsidRPr="00406361">
        <w:rPr>
          <w:color w:val="000000" w:themeColor="text1"/>
          <w:lang w:val="pt-BR"/>
        </w:rPr>
        <w:t>e</w:t>
      </w:r>
      <w:r w:rsidRPr="00406361">
        <w:rPr>
          <w:color w:val="000000" w:themeColor="text1"/>
          <w:lang w:val="pt-BR"/>
        </w:rPr>
        <w:t>, assertividade, abordagem afetiva, desenvoltura social e escore total, menor o nível de conflito.</w:t>
      </w:r>
    </w:p>
    <w:p w14:paraId="022C283A" w14:textId="65C60713" w:rsidR="00575541" w:rsidRPr="00406361" w:rsidRDefault="00FA5721" w:rsidP="00FA5721">
      <w:pPr>
        <w:spacing w:line="360" w:lineRule="auto"/>
        <w:ind w:firstLine="720"/>
        <w:jc w:val="both"/>
        <w:rPr>
          <w:color w:val="000000" w:themeColor="text1"/>
          <w:lang w:val="pt-BR"/>
        </w:rPr>
      </w:pPr>
      <w:r w:rsidRPr="00406361">
        <w:rPr>
          <w:color w:val="000000" w:themeColor="text1"/>
          <w:lang w:val="pt-BR"/>
        </w:rPr>
        <w:t>Paralelo a isso, quanto maior a dificuldade nas habilidades de empatia, civilidade e escore total, menor o nível de afetividade. Também, quanto maior a frequência nas habilidades de empatia, autocontrole, civilidade, abordagem afetiva, desenvoltura social e escore total, maior o nível de afetividade.</w:t>
      </w:r>
    </w:p>
    <w:p w14:paraId="220C813D" w14:textId="79C96587" w:rsidR="00CE7D65" w:rsidRPr="00406361" w:rsidRDefault="00CE7D65" w:rsidP="00CE7D65">
      <w:pPr>
        <w:pStyle w:val="Ttulosinternos"/>
        <w:rPr>
          <w:color w:val="000000" w:themeColor="text1"/>
          <w:lang w:val="pt-BR"/>
        </w:rPr>
      </w:pPr>
      <w:r w:rsidRPr="00406361">
        <w:rPr>
          <w:color w:val="000000" w:themeColor="text1"/>
          <w:lang w:val="pt-BR"/>
        </w:rPr>
        <w:t>Discuss</w:t>
      </w:r>
      <w:r w:rsidR="00FA5721" w:rsidRPr="00406361">
        <w:rPr>
          <w:color w:val="000000" w:themeColor="text1"/>
          <w:lang w:val="pt-BR"/>
        </w:rPr>
        <w:t>ã</w:t>
      </w:r>
      <w:r w:rsidRPr="00406361">
        <w:rPr>
          <w:color w:val="000000" w:themeColor="text1"/>
          <w:lang w:val="pt-BR"/>
        </w:rPr>
        <w:t>o</w:t>
      </w:r>
    </w:p>
    <w:p w14:paraId="7A1CD892" w14:textId="77777777" w:rsidR="00FA5721" w:rsidRPr="00406361" w:rsidRDefault="00FA5721" w:rsidP="00FA5721">
      <w:pPr>
        <w:spacing w:line="360" w:lineRule="auto"/>
        <w:ind w:firstLine="720"/>
        <w:jc w:val="both"/>
        <w:rPr>
          <w:color w:val="000000" w:themeColor="text1"/>
          <w:lang w:val="pt-BR"/>
        </w:rPr>
      </w:pPr>
      <w:r w:rsidRPr="00406361">
        <w:rPr>
          <w:color w:val="000000" w:themeColor="text1"/>
          <w:lang w:val="pt-BR"/>
        </w:rPr>
        <w:t xml:space="preserve">As habilidades sociais são um conjunto de comportamentos essenciais para uma boa comunicação, principalmente na adolescência, período em que ocorrem muitas mudanças biopsicossociais. Por isso, nesta pesquisa, objetivou-se verificar os repertórios de habilidades sociais, relações familiares conflituosas e/ou afetuosas, e possíveis associações entre elas. </w:t>
      </w:r>
    </w:p>
    <w:p w14:paraId="3FAD5798" w14:textId="4E87D051" w:rsidR="00FA5721" w:rsidRPr="00406361" w:rsidRDefault="00FA5721" w:rsidP="00FA5721">
      <w:pPr>
        <w:spacing w:line="360" w:lineRule="auto"/>
        <w:ind w:firstLine="720"/>
        <w:jc w:val="both"/>
        <w:rPr>
          <w:color w:val="000000" w:themeColor="text1"/>
          <w:highlight w:val="yellow"/>
          <w:lang w:val="pt-BR"/>
        </w:rPr>
      </w:pPr>
      <w:r w:rsidRPr="00406361">
        <w:rPr>
          <w:color w:val="000000" w:themeColor="text1"/>
          <w:lang w:val="pt-BR"/>
        </w:rPr>
        <w:t>Os resultados do estudo apontam que adolescentes alunos de escolas privadas de ensino médio apresentariam alto repertório de habilidades de civilidade e bom repertório de desenvoltura social. Além disso, os dois fatores também apresentaram baixo custo de resposta, o que proporciona uma facilidade e possivelmente maior frequência de expressão dessas habilidades, lidando com situações de forma mais assertiva. Desta forma, compreende-se que os adolescentes deste estudo podem ter maior facilidade de se encaixar nas situações, além de menor ansiedade para emitir o comportamento, podendo estar acostumados com as regras escolares em relação a civilidade, por exemplo. A desenvoltura social está relacionada a exposição social, podendo-se pensar que também é impulsionada também pelo uso das redes sociais, já que o uso de mídias sociais de mostra diariamente presente na vida dos adolescentes (</w:t>
      </w:r>
      <w:r w:rsidR="00115921" w:rsidRPr="00406361">
        <w:rPr>
          <w:color w:val="000000" w:themeColor="text1"/>
          <w:lang w:val="pt-BR"/>
        </w:rPr>
        <w:t>Núcleo de Informação e Coordenação do Ponto BR</w:t>
      </w:r>
      <w:r w:rsidR="00115921" w:rsidRPr="00406361">
        <w:rPr>
          <w:color w:val="000000" w:themeColor="text1"/>
          <w:highlight w:val="white"/>
          <w:lang w:val="pt-BR"/>
        </w:rPr>
        <w:t xml:space="preserve"> [</w:t>
      </w:r>
      <w:r w:rsidRPr="00406361">
        <w:rPr>
          <w:color w:val="000000" w:themeColor="text1"/>
          <w:highlight w:val="white"/>
          <w:lang w:val="pt-BR"/>
        </w:rPr>
        <w:t>NIC.br</w:t>
      </w:r>
      <w:r w:rsidR="00115921" w:rsidRPr="00406361">
        <w:rPr>
          <w:color w:val="000000" w:themeColor="text1"/>
          <w:highlight w:val="white"/>
          <w:lang w:val="pt-BR"/>
        </w:rPr>
        <w:t>]</w:t>
      </w:r>
      <w:r w:rsidRPr="00406361">
        <w:rPr>
          <w:color w:val="000000" w:themeColor="text1"/>
          <w:highlight w:val="white"/>
          <w:lang w:val="pt-BR"/>
        </w:rPr>
        <w:t>, 2020</w:t>
      </w:r>
      <w:r w:rsidR="00B35F03" w:rsidRPr="00406361">
        <w:rPr>
          <w:color w:val="000000" w:themeColor="text1"/>
          <w:highlight w:val="white"/>
          <w:lang w:val="pt-BR"/>
        </w:rPr>
        <w:t>;</w:t>
      </w:r>
      <w:r w:rsidRPr="00406361">
        <w:rPr>
          <w:color w:val="000000" w:themeColor="text1"/>
          <w:highlight w:val="white"/>
          <w:lang w:val="pt-BR"/>
        </w:rPr>
        <w:t xml:space="preserve"> Andretta et al., 2021)</w:t>
      </w:r>
      <w:r w:rsidRPr="00406361">
        <w:rPr>
          <w:color w:val="000000" w:themeColor="text1"/>
          <w:lang w:val="pt-BR"/>
        </w:rPr>
        <w:t>.</w:t>
      </w:r>
    </w:p>
    <w:p w14:paraId="7806341D" w14:textId="77777777" w:rsidR="00FA5721" w:rsidRPr="00406361" w:rsidRDefault="00FA5721" w:rsidP="00FA5721">
      <w:pPr>
        <w:spacing w:line="360" w:lineRule="auto"/>
        <w:ind w:firstLine="700"/>
        <w:jc w:val="both"/>
        <w:rPr>
          <w:color w:val="000000" w:themeColor="text1"/>
          <w:lang w:val="pt-BR"/>
        </w:rPr>
      </w:pPr>
      <w:r w:rsidRPr="00406361">
        <w:rPr>
          <w:color w:val="000000" w:themeColor="text1"/>
          <w:lang w:val="pt-BR"/>
        </w:rPr>
        <w:t>Em contraponto, o repertório das habilidades sociais de empatia, autocontrole, assertividade e abordagem afetiva apresentaram um repertório abaixo da média inferior e com alto custo de resposta, o que sugere que a expressão dessas habilidades pode ser ainda menos frequente. O déficit nas habilidades apontadas pode resultar na dificuldade de expressão de sentimentos de forma adequada e potencializar fatores de risco para o desempenho escolar (Bartholomeu et al., 2016), crenças de autoeficácia para escolha profissional (Morais et al., 2021), bem como para adições, como internet (Chen et al., 2021) e uso de drogas (Wang et al., 2021). Ainda, tais déficits podem acabar agravando a dificuldade de expressão adequada das habilidades sociais na vida adulta (Allemand et al., 2015).</w:t>
      </w:r>
    </w:p>
    <w:p w14:paraId="210A2AD5" w14:textId="5B85027B" w:rsidR="00FA5721" w:rsidRPr="00406361" w:rsidRDefault="00FA5721" w:rsidP="00FA5721">
      <w:pPr>
        <w:spacing w:line="360" w:lineRule="auto"/>
        <w:ind w:firstLine="700"/>
        <w:jc w:val="both"/>
        <w:rPr>
          <w:color w:val="000000" w:themeColor="text1"/>
          <w:lang w:val="pt-BR"/>
        </w:rPr>
      </w:pPr>
      <w:r w:rsidRPr="00406361">
        <w:rPr>
          <w:color w:val="000000" w:themeColor="text1"/>
          <w:lang w:val="pt-BR"/>
        </w:rPr>
        <w:t>O alto custo de resposta e baixo repertório de habilidades pode estar relacionado a não experiência e presença dessas habilidades nos ambientes em que vive o adolescente, principalmente em casa, já que são habilidades aprendidas por modelação e observação (Del Prette &amp; Del Prette, 2010). Sendo assim, as presentes evidências de que adolescentes apresentam déficits na frequência de empatia, autocontrole, assertividade, abordagem afetiva e em habilidades sociais no total indicam que seus cuidadores (i.e</w:t>
      </w:r>
      <w:r w:rsidR="00B35F03" w:rsidRPr="00406361">
        <w:rPr>
          <w:color w:val="000000" w:themeColor="text1"/>
          <w:lang w:val="pt-BR"/>
        </w:rPr>
        <w:t>.,</w:t>
      </w:r>
      <w:r w:rsidRPr="00406361">
        <w:rPr>
          <w:color w:val="000000" w:themeColor="text1"/>
          <w:lang w:val="pt-BR"/>
        </w:rPr>
        <w:t xml:space="preserve"> pais e/ou mães) também contariam com dificuldades na expressão dessas habilidades. Tal constatação seria corroborada pelos resultados que indicam que quanto maiores os níveis de conflito familiar maior seria a dificuldade em praticar as habilidades em que os participantes apresentariam frequência abaixo da média. Afinal, é indicado que os déficits dos pais podem estar associados ao contexto familiar, que é mediador da regulação emocional em seus filhos (Herd</w:t>
      </w:r>
      <w:r w:rsidR="00B35F03" w:rsidRPr="00406361">
        <w:rPr>
          <w:color w:val="000000" w:themeColor="text1"/>
          <w:lang w:val="pt-BR"/>
        </w:rPr>
        <w:t xml:space="preserve"> et al.</w:t>
      </w:r>
      <w:r w:rsidRPr="00406361">
        <w:rPr>
          <w:color w:val="000000" w:themeColor="text1"/>
          <w:lang w:val="pt-BR"/>
        </w:rPr>
        <w:t xml:space="preserve">, 2020). </w:t>
      </w:r>
    </w:p>
    <w:p w14:paraId="1E19EF3E" w14:textId="4B4F8BB1" w:rsidR="00FA5721" w:rsidRPr="00406361" w:rsidRDefault="00FA5721" w:rsidP="00FA5721">
      <w:pPr>
        <w:spacing w:line="360" w:lineRule="auto"/>
        <w:ind w:firstLine="700"/>
        <w:jc w:val="both"/>
        <w:rPr>
          <w:color w:val="000000" w:themeColor="text1"/>
          <w:lang w:val="pt-BR"/>
        </w:rPr>
      </w:pPr>
      <w:r w:rsidRPr="00406361">
        <w:rPr>
          <w:color w:val="000000" w:themeColor="text1"/>
          <w:lang w:val="pt-BR"/>
        </w:rPr>
        <w:t>Dessa forma, a alta frequência de conflito familiar encontrada entre os participantes do presente estudo indicaria, portanto, que os déficits em habilidades sociais dos pais estariam, através de modelagem, sendo ensinados aos seus filhos. É necessário atentar-se a essa evidência, uma vez que se compreende conflito familiar como fator de risco para o desenvolvimento de transtornos mentais, como os relacionados a depressão, ansiedade, insegurança e problemas de conduta (Freitas et al., 2020; Roblyer et al</w:t>
      </w:r>
      <w:r w:rsidR="00B35F03" w:rsidRPr="00406361">
        <w:rPr>
          <w:color w:val="000000" w:themeColor="text1"/>
          <w:lang w:val="pt-BR"/>
        </w:rPr>
        <w:t>.</w:t>
      </w:r>
      <w:r w:rsidRPr="00406361">
        <w:rPr>
          <w:color w:val="000000" w:themeColor="text1"/>
          <w:lang w:val="pt-BR"/>
        </w:rPr>
        <w:t>, 2015; Cummings</w:t>
      </w:r>
      <w:r w:rsidR="00B35F03" w:rsidRPr="00406361">
        <w:rPr>
          <w:color w:val="000000" w:themeColor="text1"/>
          <w:lang w:val="pt-BR"/>
        </w:rPr>
        <w:t xml:space="preserve"> et al.</w:t>
      </w:r>
      <w:r w:rsidRPr="00406361">
        <w:rPr>
          <w:color w:val="000000" w:themeColor="text1"/>
          <w:lang w:val="pt-BR"/>
        </w:rPr>
        <w:t>, 2015). Além disso, sabendo que as habilidades sociais são fator de proteção para adições e problemas de conduta na adolescência, a existência de déficit naquelas associadas com menor presença de conflito nos relacionamentos torna-se fator de risco para exposição precoce e uso de substâncias (Wang et al</w:t>
      </w:r>
      <w:r w:rsidR="00115921" w:rsidRPr="00406361">
        <w:rPr>
          <w:color w:val="000000" w:themeColor="text1"/>
          <w:lang w:val="pt-BR"/>
        </w:rPr>
        <w:t>.</w:t>
      </w:r>
      <w:r w:rsidRPr="00406361">
        <w:rPr>
          <w:color w:val="000000" w:themeColor="text1"/>
          <w:lang w:val="pt-BR"/>
        </w:rPr>
        <w:t>, 2021; Peuker</w:t>
      </w:r>
      <w:r w:rsidR="00B35F03" w:rsidRPr="00406361">
        <w:rPr>
          <w:color w:val="000000" w:themeColor="text1"/>
          <w:lang w:val="pt-BR"/>
        </w:rPr>
        <w:t xml:space="preserve"> et al.</w:t>
      </w:r>
      <w:r w:rsidRPr="00406361">
        <w:rPr>
          <w:color w:val="000000" w:themeColor="text1"/>
          <w:lang w:val="pt-BR"/>
        </w:rPr>
        <w:t>, 2020). Entretanto, indica-se que também foi evidenciado alta frequência de afetividade familiar neste estudo, o que, por sua vez, seria fator de proteção, para o adolescente, quanto ao desenvolvimento de transtornos mentais (Freitas et al., 2020; Roblyer et al</w:t>
      </w:r>
      <w:r w:rsidR="00B35F03" w:rsidRPr="00406361">
        <w:rPr>
          <w:color w:val="000000" w:themeColor="text1"/>
          <w:lang w:val="pt-BR"/>
        </w:rPr>
        <w:t>.</w:t>
      </w:r>
      <w:r w:rsidRPr="00406361">
        <w:rPr>
          <w:color w:val="000000" w:themeColor="text1"/>
          <w:lang w:val="pt-BR"/>
        </w:rPr>
        <w:t>, 2015; Cummings</w:t>
      </w:r>
      <w:r w:rsidR="00B35F03" w:rsidRPr="00406361">
        <w:rPr>
          <w:color w:val="000000" w:themeColor="text1"/>
          <w:lang w:val="pt-BR"/>
        </w:rPr>
        <w:t xml:space="preserve"> et al.</w:t>
      </w:r>
      <w:r w:rsidRPr="00406361">
        <w:rPr>
          <w:color w:val="000000" w:themeColor="text1"/>
          <w:lang w:val="pt-BR"/>
        </w:rPr>
        <w:t xml:space="preserve">, 2015). </w:t>
      </w:r>
    </w:p>
    <w:p w14:paraId="63FBEA66" w14:textId="3C41C91C" w:rsidR="00FA5721" w:rsidRPr="00406361" w:rsidRDefault="00FA5721" w:rsidP="00FA5721">
      <w:pPr>
        <w:spacing w:line="360" w:lineRule="auto"/>
        <w:ind w:firstLine="720"/>
        <w:jc w:val="both"/>
        <w:rPr>
          <w:color w:val="000000" w:themeColor="text1"/>
          <w:lang w:val="pt-BR"/>
        </w:rPr>
      </w:pPr>
      <w:r w:rsidRPr="00406361">
        <w:rPr>
          <w:color w:val="000000" w:themeColor="text1"/>
          <w:lang w:val="pt-BR"/>
        </w:rPr>
        <w:t xml:space="preserve">Quanto às habilidades sociais em </w:t>
      </w:r>
      <w:r w:rsidR="001C4D71" w:rsidRPr="00406361">
        <w:rPr>
          <w:color w:val="000000" w:themeColor="text1"/>
          <w:lang w:val="pt-BR"/>
        </w:rPr>
        <w:t>sua totalidade</w:t>
      </w:r>
      <w:r w:rsidRPr="00406361">
        <w:rPr>
          <w:color w:val="000000" w:themeColor="text1"/>
          <w:lang w:val="pt-BR"/>
        </w:rPr>
        <w:t xml:space="preserve">, foi indicado nesta pesquisa que, quanto maior a dificuldade nas habilidades do adolescente, maior seria o nível de conflito familiar e menor seria a afetividade familiar. Por outro lado, quanto maior a frequência de tais habilidades, o contrário seria verdadeiro: menos conflito e mais afetividade na família. Estes resultados podem sugerir a existência de um ciclo vicioso: a presença de conflito prejudicaria a comunicação de si e a expressão de sentimentos e direitos, não promovendo uma aprendizagem de comunicação social. Essa dificuldade nas habilidades sociais, por sua vez, aumentaria a presença de conflito familiar </w:t>
      </w:r>
      <w:r w:rsidR="001C4D71" w:rsidRPr="00406361">
        <w:rPr>
          <w:color w:val="000000" w:themeColor="text1"/>
          <w:lang w:val="pt-BR"/>
        </w:rPr>
        <w:t>–</w:t>
      </w:r>
      <w:r w:rsidRPr="00406361">
        <w:rPr>
          <w:color w:val="000000" w:themeColor="text1"/>
          <w:lang w:val="pt-BR"/>
        </w:rPr>
        <w:t xml:space="preserve"> bem como prejudicaria a comunicação do adolescente em outras áreas da sua vida, potencializando piora em sua saúde mental, </w:t>
      </w:r>
      <w:r w:rsidR="001C4D71" w:rsidRPr="00406361">
        <w:rPr>
          <w:color w:val="000000" w:themeColor="text1"/>
          <w:lang w:val="pt-BR"/>
        </w:rPr>
        <w:t>e.g.,</w:t>
      </w:r>
      <w:r w:rsidRPr="00406361">
        <w:rPr>
          <w:color w:val="000000" w:themeColor="text1"/>
          <w:lang w:val="pt-BR"/>
        </w:rPr>
        <w:t xml:space="preserve"> aumentando depressão, ansiedade, estresse, solidão, risco de suicídio </w:t>
      </w:r>
      <w:hyperlink r:id="rId11">
        <w:r w:rsidRPr="00406361">
          <w:rPr>
            <w:color w:val="000000" w:themeColor="text1"/>
            <w:lang w:val="pt-BR"/>
          </w:rPr>
          <w:t>(</w:t>
        </w:r>
      </w:hyperlink>
      <w:r w:rsidRPr="00406361">
        <w:rPr>
          <w:color w:val="000000" w:themeColor="text1"/>
          <w:lang w:val="pt-BR"/>
        </w:rPr>
        <w:t>Moeller &amp; Seehuus, 2019; Bolsoni-Silva &amp; Loureiro, 2016; Segrin, 2017; Portillo et al., 2019), risco de adições como internet e drogas (Chen et al., 2021; Wang et al</w:t>
      </w:r>
      <w:r w:rsidR="00115921" w:rsidRPr="00406361">
        <w:rPr>
          <w:color w:val="000000" w:themeColor="text1"/>
          <w:lang w:val="pt-BR"/>
        </w:rPr>
        <w:t>.</w:t>
      </w:r>
      <w:r w:rsidRPr="00406361">
        <w:rPr>
          <w:color w:val="000000" w:themeColor="text1"/>
          <w:lang w:val="pt-BR"/>
        </w:rPr>
        <w:t>, 2021; Peuker et al., 2020), problemas de conduta e dificuldades no desempenho escolar (Bartholomeu</w:t>
      </w:r>
      <w:r w:rsidR="00B35F03" w:rsidRPr="00406361">
        <w:rPr>
          <w:color w:val="000000" w:themeColor="text1"/>
          <w:lang w:val="pt-BR"/>
        </w:rPr>
        <w:t xml:space="preserve"> et al.</w:t>
      </w:r>
      <w:r w:rsidRPr="00406361">
        <w:rPr>
          <w:color w:val="000000" w:themeColor="text1"/>
          <w:lang w:val="pt-BR"/>
        </w:rPr>
        <w:t>, 2016; Cummings et al., 2015).</w:t>
      </w:r>
    </w:p>
    <w:p w14:paraId="525C32D4" w14:textId="43A7BCE6" w:rsidR="00FA5721" w:rsidRPr="00406361" w:rsidRDefault="00FA5721" w:rsidP="00FA5721">
      <w:pPr>
        <w:spacing w:line="360" w:lineRule="auto"/>
        <w:ind w:firstLine="720"/>
        <w:jc w:val="both"/>
        <w:rPr>
          <w:color w:val="000000" w:themeColor="text1"/>
          <w:lang w:val="pt-BR"/>
        </w:rPr>
      </w:pPr>
      <w:r w:rsidRPr="00406361">
        <w:rPr>
          <w:color w:val="000000" w:themeColor="text1"/>
          <w:lang w:val="pt-BR"/>
        </w:rPr>
        <w:t xml:space="preserve">Já a presença de maior afetividade pode proporcionar um ciclo inverso, em que a afetividade promoveria relações mais saudáveis, com valorização e importância dos sentimentos, auxiliando na expressão das necessidades e comunicação em geral do adolescente (Perry et al., 2020; Davies et al., 2018). </w:t>
      </w:r>
      <w:r w:rsidR="001C4D71" w:rsidRPr="00406361">
        <w:rPr>
          <w:color w:val="000000" w:themeColor="text1"/>
          <w:lang w:val="pt-BR"/>
        </w:rPr>
        <w:t>A c</w:t>
      </w:r>
      <w:r w:rsidRPr="00406361">
        <w:rPr>
          <w:color w:val="000000" w:themeColor="text1"/>
          <w:lang w:val="pt-BR"/>
        </w:rPr>
        <w:t xml:space="preserve">omunicação adequada favoreceria trocas proveitosas entre pares, possibilitando experiências benéficas e pertinentes à faixa etária, o que pode aumentar a qualidade, bem-estar e afetividade na vida dos adolescentes. Isso, então, poderia propiciar o desenvolvimento de maior frequência e menor dificuldade nas habilidades sociais do sujeito </w:t>
      </w:r>
      <w:r w:rsidR="00B35F03" w:rsidRPr="00406361">
        <w:rPr>
          <w:color w:val="000000" w:themeColor="text1"/>
          <w:lang w:val="pt-BR"/>
        </w:rPr>
        <w:t>–</w:t>
      </w:r>
      <w:r w:rsidRPr="00406361">
        <w:rPr>
          <w:color w:val="000000" w:themeColor="text1"/>
          <w:lang w:val="pt-BR"/>
        </w:rPr>
        <w:t xml:space="preserve"> o que, por sua vez, amplificaria afetividade familiar e assim por diante.</w:t>
      </w:r>
    </w:p>
    <w:p w14:paraId="3616DECF" w14:textId="1E8DF285" w:rsidR="00FA5721" w:rsidRPr="00406361" w:rsidRDefault="00FA5721" w:rsidP="00FA5721">
      <w:pPr>
        <w:spacing w:line="360" w:lineRule="auto"/>
        <w:ind w:firstLine="720"/>
        <w:jc w:val="both"/>
        <w:rPr>
          <w:color w:val="000000" w:themeColor="text1"/>
          <w:lang w:val="pt-BR"/>
        </w:rPr>
      </w:pPr>
      <w:r w:rsidRPr="00406361">
        <w:rPr>
          <w:color w:val="000000" w:themeColor="text1"/>
          <w:lang w:val="pt-BR"/>
        </w:rPr>
        <w:t xml:space="preserve">Cabe apontar que o presente estudo também obteve resultados inesperados. Por exemplo, dificuldade de praticar desenvoltura social não se associou a afetividade familiar e foi correlacionada positivamente com conflito na família </w:t>
      </w:r>
      <w:r w:rsidR="001C4D71" w:rsidRPr="00406361">
        <w:rPr>
          <w:color w:val="000000" w:themeColor="text1"/>
          <w:lang w:val="pt-BR"/>
        </w:rPr>
        <w:t>–</w:t>
      </w:r>
      <w:r w:rsidRPr="00406361">
        <w:rPr>
          <w:color w:val="000000" w:themeColor="text1"/>
          <w:lang w:val="pt-BR"/>
        </w:rPr>
        <w:t xml:space="preserve"> conflito este que foi averiguado em alta frequência entre os participantes (</w:t>
      </w:r>
      <w:r w:rsidRPr="00406361">
        <w:rPr>
          <w:i/>
          <w:iCs/>
          <w:color w:val="000000" w:themeColor="text1"/>
          <w:lang w:val="pt-BR"/>
        </w:rPr>
        <w:t>n</w:t>
      </w:r>
      <w:r w:rsidR="00B35F03" w:rsidRPr="00406361">
        <w:rPr>
          <w:color w:val="000000" w:themeColor="text1"/>
          <w:lang w:val="pt-BR"/>
        </w:rPr>
        <w:t xml:space="preserve"> </w:t>
      </w:r>
      <w:r w:rsidRPr="00406361">
        <w:rPr>
          <w:color w:val="000000" w:themeColor="text1"/>
          <w:lang w:val="pt-BR"/>
        </w:rPr>
        <w:t>=</w:t>
      </w:r>
      <w:r w:rsidR="00B35F03" w:rsidRPr="00406361">
        <w:rPr>
          <w:color w:val="000000" w:themeColor="text1"/>
          <w:lang w:val="pt-BR"/>
        </w:rPr>
        <w:t xml:space="preserve"> </w:t>
      </w:r>
      <w:r w:rsidRPr="00406361">
        <w:rPr>
          <w:color w:val="000000" w:themeColor="text1"/>
          <w:lang w:val="pt-BR"/>
        </w:rPr>
        <w:t>389, 91</w:t>
      </w:r>
      <w:r w:rsidR="00B35F03" w:rsidRPr="00406361">
        <w:rPr>
          <w:color w:val="000000" w:themeColor="text1"/>
          <w:lang w:val="pt-BR"/>
        </w:rPr>
        <w:t>.</w:t>
      </w:r>
      <w:r w:rsidRPr="00406361">
        <w:rPr>
          <w:color w:val="000000" w:themeColor="text1"/>
          <w:lang w:val="pt-BR"/>
        </w:rPr>
        <w:t>7%). A partir disso, seria possível concluir que haveria alta dificuldade em colocar desenvoltura social em prática, mas os resultados apontaram para o oposto: a maioria dos participantes (</w:t>
      </w:r>
      <w:r w:rsidRPr="00406361">
        <w:rPr>
          <w:i/>
          <w:iCs/>
          <w:color w:val="000000" w:themeColor="text1"/>
          <w:lang w:val="pt-BR"/>
        </w:rPr>
        <w:t>n</w:t>
      </w:r>
      <w:r w:rsidR="00B35F03" w:rsidRPr="00406361">
        <w:rPr>
          <w:color w:val="000000" w:themeColor="text1"/>
          <w:lang w:val="pt-BR"/>
        </w:rPr>
        <w:t xml:space="preserve"> </w:t>
      </w:r>
      <w:r w:rsidRPr="00406361">
        <w:rPr>
          <w:color w:val="000000" w:themeColor="text1"/>
          <w:lang w:val="pt-BR"/>
        </w:rPr>
        <w:t>=</w:t>
      </w:r>
      <w:r w:rsidR="00B35F03" w:rsidRPr="00406361">
        <w:rPr>
          <w:color w:val="000000" w:themeColor="text1"/>
          <w:lang w:val="pt-BR"/>
        </w:rPr>
        <w:t xml:space="preserve"> </w:t>
      </w:r>
      <w:r w:rsidRPr="00406361">
        <w:rPr>
          <w:color w:val="000000" w:themeColor="text1"/>
          <w:lang w:val="pt-BR"/>
        </w:rPr>
        <w:t>192, 45</w:t>
      </w:r>
      <w:r w:rsidR="00B35F03" w:rsidRPr="00406361">
        <w:rPr>
          <w:color w:val="000000" w:themeColor="text1"/>
          <w:lang w:val="pt-BR"/>
        </w:rPr>
        <w:t>.</w:t>
      </w:r>
      <w:r w:rsidRPr="00406361">
        <w:rPr>
          <w:color w:val="000000" w:themeColor="text1"/>
          <w:lang w:val="pt-BR"/>
        </w:rPr>
        <w:t>4%) apresentou baixa dificuldade em tal fator de habilidade social. Além disso, considerando o argumento de que os pais seriam os agentes mais importantes para o desenvolvimento de habilidades sociais em seus filhos (Loos &amp; Casemiro, 2010; Herd</w:t>
      </w:r>
      <w:r w:rsidR="00B35F03" w:rsidRPr="00406361">
        <w:rPr>
          <w:color w:val="000000" w:themeColor="text1"/>
          <w:lang w:val="pt-BR"/>
        </w:rPr>
        <w:t xml:space="preserve"> et al.</w:t>
      </w:r>
      <w:r w:rsidRPr="00406361">
        <w:rPr>
          <w:color w:val="000000" w:themeColor="text1"/>
          <w:lang w:val="pt-BR"/>
        </w:rPr>
        <w:t>, 2020), esperar-se-ia que todos os fatores de tais habilidades estariam relacionados à qualidade das relações familiares. Contudo, não foi o caso. A</w:t>
      </w:r>
      <w:r w:rsidR="001C4D71" w:rsidRPr="00406361">
        <w:rPr>
          <w:color w:val="000000" w:themeColor="text1"/>
          <w:lang w:val="pt-BR"/>
        </w:rPr>
        <w:t xml:space="preserve"> a</w:t>
      </w:r>
      <w:r w:rsidRPr="00406361">
        <w:rPr>
          <w:color w:val="000000" w:themeColor="text1"/>
          <w:lang w:val="pt-BR"/>
        </w:rPr>
        <w:t>fetividade familiar não apresentou associação com dificuldade em autocontrole, assertividade e abordagem afetiva, bem como com frequência de assertividade; semelhantemente, conflito familiar não pareceu estar relacionado com frequência de empatia e civilidade.</w:t>
      </w:r>
    </w:p>
    <w:p w14:paraId="266E8557" w14:textId="14F8657C" w:rsidR="00FA5721" w:rsidRPr="00406361" w:rsidRDefault="00FA5721" w:rsidP="00FA5721">
      <w:pPr>
        <w:spacing w:line="360" w:lineRule="auto"/>
        <w:ind w:firstLine="720"/>
        <w:jc w:val="both"/>
        <w:rPr>
          <w:color w:val="000000" w:themeColor="text1"/>
          <w:lang w:val="pt-BR"/>
        </w:rPr>
      </w:pPr>
      <w:r w:rsidRPr="00406361">
        <w:rPr>
          <w:color w:val="000000" w:themeColor="text1"/>
          <w:lang w:val="pt-BR"/>
        </w:rPr>
        <w:t>Argumenta-se, a partir disso, que as habilidades sociais dos participantes não seriam resumidas à qualidade de suas relações familiares, apesar da importância destas no tema. Os presentes resultados, juntamente com as valências fracas apresentadas pelas correlações estatisticamente significativas entre as variáveis (Dancey &amp; Reidy, 2011</w:t>
      </w:r>
      <w:r w:rsidR="00B35F03" w:rsidRPr="00406361">
        <w:rPr>
          <w:color w:val="000000" w:themeColor="text1"/>
          <w:lang w:val="pt-BR"/>
        </w:rPr>
        <w:t>)</w:t>
      </w:r>
      <w:r w:rsidRPr="00406361">
        <w:rPr>
          <w:color w:val="000000" w:themeColor="text1"/>
          <w:lang w:val="pt-BR"/>
        </w:rPr>
        <w:t>, demonstram que adolescentes estudantes de ensino médio em escolas privadas teriam outros fatores que influenciariam no desenvolvimento de suas habilidades sociais. É compreendido que maior apoio social do professor seja preditor de maior repertório de tais habilidades (Fernandes et al., 2018), bem como que o gênero do adolescente influenciaria em seu repertório, com as meninas apresentando maiores níveis de habilidades sociais (Machado</w:t>
      </w:r>
      <w:r w:rsidR="00B35F03" w:rsidRPr="00406361">
        <w:rPr>
          <w:color w:val="000000" w:themeColor="text1"/>
          <w:lang w:val="pt-BR"/>
        </w:rPr>
        <w:t xml:space="preserve"> et al.</w:t>
      </w:r>
      <w:r w:rsidRPr="00406361">
        <w:rPr>
          <w:color w:val="000000" w:themeColor="text1"/>
          <w:lang w:val="pt-BR"/>
        </w:rPr>
        <w:t>, 2020). Além disso, as mídias sociais, principalmente interação entre pares, tem papel influente na vida dos adolescentes (Andretta et al., 2021</w:t>
      </w:r>
      <w:r w:rsidR="001C4D71" w:rsidRPr="00406361">
        <w:rPr>
          <w:color w:val="000000" w:themeColor="text1"/>
          <w:lang w:val="pt-BR"/>
        </w:rPr>
        <w:t>; Mello et al., 2019</w:t>
      </w:r>
      <w:r w:rsidRPr="00406361">
        <w:rPr>
          <w:color w:val="000000" w:themeColor="text1"/>
          <w:lang w:val="pt-BR"/>
        </w:rPr>
        <w:t>)</w:t>
      </w:r>
      <w:r w:rsidR="00EB70A8" w:rsidRPr="00406361">
        <w:rPr>
          <w:color w:val="000000" w:themeColor="text1"/>
          <w:lang w:val="pt-BR"/>
        </w:rPr>
        <w:t>.</w:t>
      </w:r>
    </w:p>
    <w:p w14:paraId="78FE21C9" w14:textId="160929F4" w:rsidR="00FA5721" w:rsidRPr="00406361" w:rsidRDefault="00FA5721" w:rsidP="00FA5721">
      <w:pPr>
        <w:spacing w:line="360" w:lineRule="auto"/>
        <w:ind w:firstLine="720"/>
        <w:jc w:val="both"/>
        <w:rPr>
          <w:color w:val="000000" w:themeColor="text1"/>
          <w:lang w:val="pt-BR"/>
        </w:rPr>
      </w:pPr>
      <w:r w:rsidRPr="00406361">
        <w:rPr>
          <w:color w:val="000000" w:themeColor="text1"/>
          <w:lang w:val="pt-BR"/>
        </w:rPr>
        <w:t xml:space="preserve">Dessa maneira, propõe-se que estudos futuros considerem, além das relações familiares, as demais variáveis que se associariam com as dificuldades e frequências de habilidades sociais em adolescentes. Aponta-se para a importância de que se compreenda a forma como tais fatores interagem entre si e seus efeitos nas habilidades em questão para que se possa auxiliar os estudantes a passar pela sua adolescência com maior facilidade e melhor saúde mental </w:t>
      </w:r>
      <w:r w:rsidR="00B35F03" w:rsidRPr="00406361">
        <w:rPr>
          <w:color w:val="000000" w:themeColor="text1"/>
          <w:lang w:val="pt-BR"/>
        </w:rPr>
        <w:t>–</w:t>
      </w:r>
      <w:r w:rsidRPr="00406361">
        <w:rPr>
          <w:color w:val="000000" w:themeColor="text1"/>
          <w:lang w:val="pt-BR"/>
        </w:rPr>
        <w:t xml:space="preserve"> amparados, por exemplo, por melhores habilidades sociais que poderiam ser otimizadas através de treinamentos desenvolvidos para as demandas desse ciclo vital.</w:t>
      </w:r>
    </w:p>
    <w:p w14:paraId="48630B4A" w14:textId="532B6C56" w:rsidR="00FA5721" w:rsidRPr="00406361" w:rsidRDefault="00FA5721" w:rsidP="00FA5721">
      <w:pPr>
        <w:spacing w:line="360" w:lineRule="auto"/>
        <w:ind w:firstLine="720"/>
        <w:jc w:val="both"/>
        <w:rPr>
          <w:color w:val="000000" w:themeColor="text1"/>
          <w:highlight w:val="white"/>
          <w:lang w:val="pt-BR"/>
        </w:rPr>
      </w:pPr>
      <w:r w:rsidRPr="00406361">
        <w:rPr>
          <w:color w:val="000000" w:themeColor="text1"/>
          <w:highlight w:val="white"/>
          <w:lang w:val="pt-BR"/>
        </w:rPr>
        <w:t>Indica-se que este estudo fora realizado num contexto pré-pandemia. Dessa forma, compreende-se que o advento do C</w:t>
      </w:r>
      <w:r w:rsidR="00B35F03" w:rsidRPr="00406361">
        <w:rPr>
          <w:color w:val="000000" w:themeColor="text1"/>
          <w:highlight w:val="white"/>
          <w:lang w:val="pt-BR"/>
        </w:rPr>
        <w:t>OVID</w:t>
      </w:r>
      <w:r w:rsidRPr="00406361">
        <w:rPr>
          <w:color w:val="000000" w:themeColor="text1"/>
          <w:highlight w:val="white"/>
          <w:lang w:val="pt-BR"/>
        </w:rPr>
        <w:t xml:space="preserve">-19 trouxe consigo alterações diretas </w:t>
      </w:r>
      <w:r w:rsidR="00B35F03" w:rsidRPr="00406361">
        <w:rPr>
          <w:color w:val="000000" w:themeColor="text1"/>
          <w:highlight w:val="white"/>
          <w:lang w:val="pt-BR"/>
        </w:rPr>
        <w:t>–</w:t>
      </w:r>
      <w:r w:rsidRPr="00406361">
        <w:rPr>
          <w:color w:val="000000" w:themeColor="text1"/>
          <w:highlight w:val="white"/>
          <w:lang w:val="pt-BR"/>
        </w:rPr>
        <w:t xml:space="preserve"> i.e</w:t>
      </w:r>
      <w:r w:rsidR="00B35F03" w:rsidRPr="00406361">
        <w:rPr>
          <w:color w:val="000000" w:themeColor="text1"/>
          <w:highlight w:val="white"/>
          <w:lang w:val="pt-BR"/>
        </w:rPr>
        <w:t>.,</w:t>
      </w:r>
      <w:r w:rsidRPr="00406361">
        <w:rPr>
          <w:color w:val="000000" w:themeColor="text1"/>
          <w:highlight w:val="white"/>
          <w:lang w:val="pt-BR"/>
        </w:rPr>
        <w:t xml:space="preserve"> medo do vírus (Husky et al., 2020) </w:t>
      </w:r>
      <w:r w:rsidR="00B35F03" w:rsidRPr="00406361">
        <w:rPr>
          <w:color w:val="000000" w:themeColor="text1"/>
          <w:highlight w:val="white"/>
          <w:lang w:val="pt-BR"/>
        </w:rPr>
        <w:t>–</w:t>
      </w:r>
      <w:r w:rsidRPr="00406361">
        <w:rPr>
          <w:color w:val="000000" w:themeColor="text1"/>
          <w:highlight w:val="white"/>
          <w:lang w:val="pt-BR"/>
        </w:rPr>
        <w:t xml:space="preserve"> e indiretas </w:t>
      </w:r>
      <w:r w:rsidR="00B35F03" w:rsidRPr="00406361">
        <w:rPr>
          <w:color w:val="000000" w:themeColor="text1"/>
          <w:highlight w:val="white"/>
          <w:lang w:val="pt-BR"/>
        </w:rPr>
        <w:t>–</w:t>
      </w:r>
      <w:r w:rsidRPr="00406361">
        <w:rPr>
          <w:color w:val="000000" w:themeColor="text1"/>
          <w:highlight w:val="white"/>
          <w:lang w:val="pt-BR"/>
        </w:rPr>
        <w:t xml:space="preserve"> i.e</w:t>
      </w:r>
      <w:r w:rsidR="00B35F03" w:rsidRPr="00406361">
        <w:rPr>
          <w:color w:val="000000" w:themeColor="text1"/>
          <w:highlight w:val="white"/>
          <w:lang w:val="pt-BR"/>
        </w:rPr>
        <w:t>.,</w:t>
      </w:r>
      <w:r w:rsidRPr="00406361">
        <w:rPr>
          <w:color w:val="000000" w:themeColor="text1"/>
          <w:highlight w:val="white"/>
          <w:lang w:val="pt-BR"/>
        </w:rPr>
        <w:t xml:space="preserve"> aulas </w:t>
      </w:r>
      <w:r w:rsidRPr="00406361">
        <w:rPr>
          <w:i/>
          <w:iCs/>
          <w:color w:val="000000" w:themeColor="text1"/>
          <w:highlight w:val="white"/>
          <w:lang w:val="pt-BR"/>
        </w:rPr>
        <w:t>online</w:t>
      </w:r>
      <w:r w:rsidRPr="00406361">
        <w:rPr>
          <w:color w:val="000000" w:themeColor="text1"/>
          <w:highlight w:val="white"/>
          <w:lang w:val="pt-BR"/>
        </w:rPr>
        <w:t xml:space="preserve"> e quarentena (Arruda, 2020) </w:t>
      </w:r>
      <w:r w:rsidR="00B35F03" w:rsidRPr="00406361">
        <w:rPr>
          <w:color w:val="000000" w:themeColor="text1"/>
          <w:highlight w:val="white"/>
          <w:lang w:val="pt-BR"/>
        </w:rPr>
        <w:t>–</w:t>
      </w:r>
      <w:r w:rsidRPr="00406361">
        <w:rPr>
          <w:color w:val="000000" w:themeColor="text1"/>
          <w:highlight w:val="white"/>
          <w:lang w:val="pt-BR"/>
        </w:rPr>
        <w:t xml:space="preserve"> à vida dos adolescentes. Ainda não se sabe a proporção dos prejuízos e benefícios dessas mudanças, mas </w:t>
      </w:r>
      <w:r w:rsidR="00B35F03" w:rsidRPr="00406361">
        <w:rPr>
          <w:color w:val="000000" w:themeColor="text1"/>
          <w:highlight w:val="white"/>
          <w:lang w:val="pt-BR"/>
        </w:rPr>
        <w:t>alguns estudos</w:t>
      </w:r>
      <w:r w:rsidRPr="00406361">
        <w:rPr>
          <w:color w:val="000000" w:themeColor="text1"/>
          <w:highlight w:val="white"/>
          <w:lang w:val="pt-BR"/>
        </w:rPr>
        <w:t xml:space="preserve"> já mostram que a nova realidade acadêmica e social, o fechamento de escolas e impossibilidade de encontros sociais presenciais, potencializou o isolamento, solidão e estresse (Waselewski et al., 2021; Shepherd et al., 2021), bem como ansiedade e depressão (Abir et al., 2021; Wang et al., 2021) dos adolescentes. Assim, o discutido no presente estudo deve ser levado em consideração para pesquisas futuras realizadas durante ou após a pandemia para que se compreenda a temática de relações familiares e habilidades sociais de adolescentes dentro do novo contexto.</w:t>
      </w:r>
    </w:p>
    <w:p w14:paraId="1B00504B" w14:textId="5D0E234E" w:rsidR="00FA5721" w:rsidRPr="00406361" w:rsidRDefault="00FA5721" w:rsidP="00FA5721">
      <w:pPr>
        <w:spacing w:line="360" w:lineRule="auto"/>
        <w:ind w:firstLine="720"/>
        <w:jc w:val="both"/>
        <w:rPr>
          <w:color w:val="000000" w:themeColor="text1"/>
          <w:lang w:val="pt-BR"/>
        </w:rPr>
      </w:pPr>
      <w:r w:rsidRPr="00406361">
        <w:rPr>
          <w:color w:val="000000" w:themeColor="text1"/>
          <w:lang w:val="pt-BR"/>
        </w:rPr>
        <w:t xml:space="preserve">Considera-se, assim, a importância de relacionamentos familiares mais saudáveis, com maior expressão de habilidades sociais e afetividade, para auxiliar nas mudanças pertinentes à adolescência. Afinal, isso promoveria melhor qualidade de vida e </w:t>
      </w:r>
      <w:r w:rsidR="00B35F03" w:rsidRPr="00406361">
        <w:rPr>
          <w:color w:val="000000" w:themeColor="text1"/>
          <w:lang w:val="pt-BR"/>
        </w:rPr>
        <w:t>bem-estar</w:t>
      </w:r>
      <w:r w:rsidRPr="00406361">
        <w:rPr>
          <w:color w:val="000000" w:themeColor="text1"/>
          <w:lang w:val="pt-BR"/>
        </w:rPr>
        <w:t>, reduzindo o conflito familiar (Leme et al., 2015) e auxiliando na regulação emocional ao longo da vida (Herd et al</w:t>
      </w:r>
      <w:r w:rsidR="00EB70A8" w:rsidRPr="00406361">
        <w:rPr>
          <w:color w:val="000000" w:themeColor="text1"/>
          <w:lang w:val="pt-BR"/>
        </w:rPr>
        <w:t>.</w:t>
      </w:r>
      <w:r w:rsidRPr="00406361">
        <w:rPr>
          <w:color w:val="000000" w:themeColor="text1"/>
          <w:lang w:val="pt-BR"/>
        </w:rPr>
        <w:t>, 2020). Para isso, além de compreender os adolescentes e suas habilidades sociais, é necessário que se entenda os déficits dos cuidadores (i.e</w:t>
      </w:r>
      <w:r w:rsidR="00B35F03" w:rsidRPr="00406361">
        <w:rPr>
          <w:color w:val="000000" w:themeColor="text1"/>
          <w:lang w:val="pt-BR"/>
        </w:rPr>
        <w:t>.,</w:t>
      </w:r>
      <w:r w:rsidRPr="00406361">
        <w:rPr>
          <w:color w:val="000000" w:themeColor="text1"/>
          <w:lang w:val="pt-BR"/>
        </w:rPr>
        <w:t xml:space="preserve"> pais e/ou mães) para que estes possam aprimorar sua relação com seus filhos e beneficiá-los.</w:t>
      </w:r>
    </w:p>
    <w:p w14:paraId="5CCA0782" w14:textId="2C5FE4DD" w:rsidR="00FA5721" w:rsidRPr="00406361" w:rsidRDefault="00FA5721" w:rsidP="00FA5721">
      <w:pPr>
        <w:pStyle w:val="Ttulosinternos"/>
        <w:rPr>
          <w:color w:val="000000" w:themeColor="text1"/>
          <w:lang w:val="pt-BR"/>
        </w:rPr>
      </w:pPr>
      <w:r w:rsidRPr="00406361">
        <w:rPr>
          <w:color w:val="000000" w:themeColor="text1"/>
          <w:lang w:val="pt-BR"/>
        </w:rPr>
        <w:t>Conclusão</w:t>
      </w:r>
    </w:p>
    <w:p w14:paraId="4D8EE383" w14:textId="271DF57E" w:rsidR="00FA5721" w:rsidRPr="00406361" w:rsidRDefault="00FA5721" w:rsidP="00FA5721">
      <w:pPr>
        <w:spacing w:line="360" w:lineRule="auto"/>
        <w:ind w:firstLine="720"/>
        <w:jc w:val="both"/>
        <w:rPr>
          <w:color w:val="000000" w:themeColor="text1"/>
          <w:lang w:val="pt-BR"/>
        </w:rPr>
      </w:pPr>
      <w:r w:rsidRPr="00406361">
        <w:rPr>
          <w:color w:val="000000" w:themeColor="text1"/>
          <w:lang w:val="pt-BR"/>
        </w:rPr>
        <w:t xml:space="preserve">Objetivou-se neste estudo identificar repertório de habilidades sociais e presença de conflito e afetividade nos relacionamentos familiares e analisar possíveis associações entre eles. Conclui-se que além de alguns déficits </w:t>
      </w:r>
      <w:r w:rsidR="00B35F03" w:rsidRPr="00406361">
        <w:rPr>
          <w:color w:val="000000" w:themeColor="text1"/>
          <w:lang w:val="pt-BR"/>
        </w:rPr>
        <w:t>nas habilidades</w:t>
      </w:r>
      <w:r w:rsidRPr="00406361">
        <w:rPr>
          <w:color w:val="000000" w:themeColor="text1"/>
          <w:lang w:val="pt-BR"/>
        </w:rPr>
        <w:t xml:space="preserve"> sociais e presença de conflito e afetividade nos relacionamentos familiares, há interações entre essas variáveis, apontando que quanto mais baixas habilidades sociais mais conflito familiar e vice-versa, assim como quanto mais habilidades sociais mais afetividade familiar e vice-versa. Sendo assim, o ambiente familiar pode beneficiar ou prejudicar o adolescente e sua vida adulta, indicando que o desenvolvimento de habilidades sociais por parte dos pais também seria importante para a melhor qualidade de vida dos filhos. </w:t>
      </w:r>
      <w:r w:rsidRPr="00406361">
        <w:rPr>
          <w:color w:val="000000" w:themeColor="text1"/>
          <w:highlight w:val="white"/>
          <w:lang w:val="pt-BR"/>
        </w:rPr>
        <w:t xml:space="preserve">Considera-se uma limitação o estudo ser feito com uma população exclusivamente de escolas privadas, uma vez que os tipos de relações e suporte emocional podem ser diferentes em outros contextos escolares. </w:t>
      </w:r>
    </w:p>
    <w:p w14:paraId="1FB26068" w14:textId="608AFB8F" w:rsidR="00FA5721" w:rsidRPr="00406361" w:rsidRDefault="00FA5721" w:rsidP="00DA5156">
      <w:pPr>
        <w:spacing w:line="360" w:lineRule="auto"/>
        <w:ind w:firstLine="720"/>
        <w:jc w:val="both"/>
        <w:rPr>
          <w:color w:val="000000" w:themeColor="text1"/>
          <w:highlight w:val="white"/>
          <w:lang w:val="pt-BR"/>
        </w:rPr>
      </w:pPr>
      <w:r w:rsidRPr="00406361">
        <w:rPr>
          <w:color w:val="000000" w:themeColor="text1"/>
          <w:lang w:val="pt-BR"/>
        </w:rPr>
        <w:t>Por fim, cabe ressaltar que neste estudo foram averiguadas as relações entre pais e filhos de forma geral. Pesquisas futuras podem analisar de forma separada cada um dos pais nas díades, considerando as possíveis diferenças entre os genitores (Peuker et al., 2020; Freitas et al</w:t>
      </w:r>
      <w:r w:rsidR="00115921" w:rsidRPr="00406361">
        <w:rPr>
          <w:color w:val="000000" w:themeColor="text1"/>
          <w:lang w:val="pt-BR"/>
        </w:rPr>
        <w:t>.</w:t>
      </w:r>
      <w:r w:rsidRPr="00406361">
        <w:rPr>
          <w:color w:val="000000" w:themeColor="text1"/>
          <w:lang w:val="pt-BR"/>
        </w:rPr>
        <w:t>, 2020). Entretanto, não se pode resumir as dificuldades e frequências relativas a habilidades sociais em adolescentes apenas às suas relações familiares, sendo necessário considerar outros possíveis fatores que influenciariam nesse tema. Aponta-se que a adolescência é um período de novas interações sociais, e as habilidades em questão podem estar sendo aprendidas através de outros grupos sociais, como a escola, trabalho, atividades de lazer e esporte, e não apenas limitada aos pais.</w:t>
      </w:r>
      <w:r w:rsidRPr="00406361">
        <w:rPr>
          <w:color w:val="000000" w:themeColor="text1"/>
          <w:highlight w:val="white"/>
          <w:lang w:val="pt-BR"/>
        </w:rPr>
        <w:t xml:space="preserve"> </w:t>
      </w:r>
    </w:p>
    <w:p w14:paraId="6CD8B4A8" w14:textId="34F0BCF8" w:rsidR="006F7E7E" w:rsidRPr="00406361" w:rsidRDefault="00CE7D65" w:rsidP="007A7CDC">
      <w:pPr>
        <w:pStyle w:val="Ttulosinternos"/>
        <w:rPr>
          <w:color w:val="000000" w:themeColor="text1"/>
          <w:lang w:val="pt-BR"/>
        </w:rPr>
      </w:pPr>
      <w:r w:rsidRPr="00406361">
        <w:rPr>
          <w:color w:val="000000" w:themeColor="text1"/>
          <w:lang w:val="pt-BR"/>
        </w:rPr>
        <w:t>References</w:t>
      </w:r>
    </w:p>
    <w:p w14:paraId="1820D4CD" w14:textId="5737F97B" w:rsidR="00FA5721" w:rsidRPr="00406361" w:rsidRDefault="00FA5721" w:rsidP="00DA5156">
      <w:pPr>
        <w:ind w:left="709" w:hanging="709"/>
        <w:jc w:val="both"/>
        <w:rPr>
          <w:color w:val="000000" w:themeColor="text1"/>
          <w:lang w:val="pt-BR"/>
        </w:rPr>
      </w:pPr>
      <w:r w:rsidRPr="00406361">
        <w:rPr>
          <w:color w:val="000000" w:themeColor="text1"/>
          <w:highlight w:val="white"/>
          <w:lang w:val="pt-BR"/>
        </w:rPr>
        <w:t xml:space="preserve">Abir, T., Kalimullah, N. A., Osuagwu, U. L., Nur-A Yazdani, D. M., Husain, T., Goson, P. C. Basak, P., Rahman M. A., Mamun, A. A., Permarupan, P. Y., Khan, M. Y. H., Milton, A. H., &amp; Agho, K. E. (2021). Prevalence and Factors Associated with Mental Health Impact of COVID-19 Pandemic in Bangladesh: A Survey-Based Cross-Sectional Study. </w:t>
      </w:r>
      <w:r w:rsidRPr="00406361">
        <w:rPr>
          <w:i/>
          <w:color w:val="000000" w:themeColor="text1"/>
          <w:highlight w:val="white"/>
          <w:lang w:val="pt-BR"/>
        </w:rPr>
        <w:t>Annals of Global Health</w:t>
      </w:r>
      <w:r w:rsidRPr="00406361">
        <w:rPr>
          <w:color w:val="000000" w:themeColor="text1"/>
          <w:highlight w:val="white"/>
          <w:lang w:val="pt-BR"/>
        </w:rPr>
        <w:t>, 87(1), 1-23.</w:t>
      </w:r>
      <w:r w:rsidR="003A51CC" w:rsidRPr="00406361">
        <w:rPr>
          <w:color w:val="000000" w:themeColor="text1"/>
        </w:rPr>
        <w:t xml:space="preserve"> </w:t>
      </w:r>
      <w:hyperlink r:id="rId12" w:history="1">
        <w:r w:rsidR="003A51CC" w:rsidRPr="00406361">
          <w:rPr>
            <w:rStyle w:val="Hyperlink"/>
            <w:color w:val="000000" w:themeColor="text1"/>
            <w:lang w:val="pt-BR"/>
          </w:rPr>
          <w:t>http://doi.org/10.5334/aogh.3269</w:t>
        </w:r>
      </w:hyperlink>
      <w:r w:rsidR="003A51CC" w:rsidRPr="00406361">
        <w:rPr>
          <w:color w:val="000000" w:themeColor="text1"/>
          <w:lang w:val="pt-BR"/>
        </w:rPr>
        <w:t xml:space="preserve"> </w:t>
      </w:r>
    </w:p>
    <w:p w14:paraId="4A50DED7" w14:textId="56E792C6" w:rsidR="00FA5721" w:rsidRPr="00406361" w:rsidRDefault="00FA5721" w:rsidP="003A51CC">
      <w:pPr>
        <w:ind w:left="709" w:hanging="709"/>
        <w:rPr>
          <w:color w:val="000000" w:themeColor="text1"/>
          <w:lang w:val="pt-BR"/>
        </w:rPr>
      </w:pPr>
      <w:r w:rsidRPr="00406361">
        <w:rPr>
          <w:color w:val="000000" w:themeColor="text1"/>
          <w:lang w:val="pt-BR"/>
        </w:rPr>
        <w:t xml:space="preserve">Allemand, M., Steiger, A. &amp; Fend, H. (2015). Empathy development in adolescence predicts social competencies in adulthood. </w:t>
      </w:r>
      <w:r w:rsidRPr="00406361">
        <w:rPr>
          <w:i/>
          <w:color w:val="000000" w:themeColor="text1"/>
          <w:lang w:val="pt-BR"/>
        </w:rPr>
        <w:t>Journal of Personality</w:t>
      </w:r>
      <w:r w:rsidRPr="00406361">
        <w:rPr>
          <w:color w:val="000000" w:themeColor="text1"/>
          <w:lang w:val="pt-BR"/>
        </w:rPr>
        <w:t xml:space="preserve">, v. 83 (2). </w:t>
      </w:r>
      <w:hyperlink r:id="rId13" w:history="1">
        <w:r w:rsidRPr="00406361">
          <w:rPr>
            <w:rStyle w:val="Hyperlink"/>
            <w:color w:val="000000" w:themeColor="text1"/>
            <w:lang w:val="pt-BR"/>
          </w:rPr>
          <w:t>http://doi.org/10.1111/jopy.12098</w:t>
        </w:r>
      </w:hyperlink>
      <w:r w:rsidRPr="00406361">
        <w:rPr>
          <w:color w:val="000000" w:themeColor="text1"/>
          <w:lang w:val="pt-BR"/>
        </w:rPr>
        <w:t xml:space="preserve"> </w:t>
      </w:r>
    </w:p>
    <w:p w14:paraId="5AA2CEC6" w14:textId="0CF6A520" w:rsidR="00FA5721" w:rsidRPr="00406361" w:rsidRDefault="00FA5721" w:rsidP="003A51CC">
      <w:pPr>
        <w:ind w:left="709" w:hanging="709"/>
        <w:rPr>
          <w:color w:val="000000" w:themeColor="text1"/>
          <w:lang w:val="pt-BR"/>
        </w:rPr>
      </w:pPr>
      <w:r w:rsidRPr="00406361">
        <w:rPr>
          <w:color w:val="000000" w:themeColor="text1"/>
          <w:lang w:val="pt-BR"/>
        </w:rPr>
        <w:t xml:space="preserve">Andretta, I., Mello, L. T. N., Ledur, B., Silva, M. D., &amp; Trintin-Rodrigues, V. (2021). Habilidades sociais e uso de mídias sociais por adolescentes no ensino médio. </w:t>
      </w:r>
      <w:r w:rsidRPr="00406361">
        <w:rPr>
          <w:i/>
          <w:color w:val="000000" w:themeColor="text1"/>
          <w:lang w:val="pt-BR"/>
        </w:rPr>
        <w:t>Aletheia, 54</w:t>
      </w:r>
      <w:r w:rsidRPr="00406361">
        <w:rPr>
          <w:color w:val="000000" w:themeColor="text1"/>
          <w:lang w:val="pt-BR"/>
        </w:rPr>
        <w:t xml:space="preserve">(2), 44-54. </w:t>
      </w:r>
      <w:hyperlink r:id="rId14" w:history="1">
        <w:r w:rsidR="003A51CC" w:rsidRPr="00406361">
          <w:rPr>
            <w:rStyle w:val="Hyperlink"/>
            <w:color w:val="000000" w:themeColor="text1"/>
            <w:lang w:val="pt-BR"/>
          </w:rPr>
          <w:t>https://doi.org/10.29327/226091.54.2-5</w:t>
        </w:r>
      </w:hyperlink>
      <w:r w:rsidRPr="00406361">
        <w:rPr>
          <w:color w:val="000000" w:themeColor="text1"/>
          <w:lang w:val="pt-BR"/>
        </w:rPr>
        <w:t xml:space="preserve"> </w:t>
      </w:r>
    </w:p>
    <w:p w14:paraId="5A0D462A" w14:textId="1F7758D7" w:rsidR="00FA5721" w:rsidRPr="00406361" w:rsidRDefault="00FA5721" w:rsidP="003A51CC">
      <w:pPr>
        <w:ind w:left="709" w:hanging="709"/>
        <w:rPr>
          <w:color w:val="000000" w:themeColor="text1"/>
          <w:lang w:val="pt-BR"/>
        </w:rPr>
      </w:pPr>
      <w:r w:rsidRPr="00406361">
        <w:rPr>
          <w:color w:val="000000" w:themeColor="text1"/>
          <w:lang w:val="pt-BR"/>
        </w:rPr>
        <w:t xml:space="preserve">Arruda, E. P. (2020). Educação remota emergencial: elementos para políticas públicas na educação brasileira em tempos de Covid-19. </w:t>
      </w:r>
      <w:r w:rsidRPr="00406361">
        <w:rPr>
          <w:i/>
          <w:iCs/>
          <w:color w:val="000000" w:themeColor="text1"/>
          <w:lang w:val="pt-BR"/>
        </w:rPr>
        <w:t>Revista de Educação a Distância, 7</w:t>
      </w:r>
      <w:r w:rsidRPr="00406361">
        <w:rPr>
          <w:color w:val="000000" w:themeColor="text1"/>
          <w:lang w:val="pt-BR"/>
        </w:rPr>
        <w:t xml:space="preserve">(1), 257–275. </w:t>
      </w:r>
      <w:hyperlink r:id="rId15" w:history="1">
        <w:r w:rsidR="003A51CC" w:rsidRPr="00406361">
          <w:rPr>
            <w:rStyle w:val="Hyperlink"/>
            <w:color w:val="000000" w:themeColor="text1"/>
            <w:lang w:val="pt-BR"/>
          </w:rPr>
          <w:t>https://doi.org/10.53628/emrede.v7.1.621</w:t>
        </w:r>
      </w:hyperlink>
      <w:r w:rsidR="003A51CC" w:rsidRPr="00406361">
        <w:rPr>
          <w:color w:val="000000" w:themeColor="text1"/>
          <w:lang w:val="pt-BR"/>
        </w:rPr>
        <w:t xml:space="preserve"> </w:t>
      </w:r>
    </w:p>
    <w:p w14:paraId="059CA0BD" w14:textId="4097F69D" w:rsidR="00FA5721" w:rsidRPr="00406361" w:rsidRDefault="00FA5721" w:rsidP="003A51CC">
      <w:pPr>
        <w:ind w:left="709" w:hanging="709"/>
        <w:rPr>
          <w:color w:val="000000" w:themeColor="text1"/>
          <w:lang w:val="pt-BR"/>
        </w:rPr>
      </w:pPr>
      <w:r w:rsidRPr="00406361">
        <w:rPr>
          <w:color w:val="000000" w:themeColor="text1"/>
          <w:lang w:val="pt-BR"/>
        </w:rPr>
        <w:t xml:space="preserve">Babore, A., Trumello, C., Candelori, C., Paciello, M. &amp; Cerniglia, L. (2016). Depressive Symptoms, Self-Esteem and Perceived Parent–Child Relationship in Early Adolescence. </w:t>
      </w:r>
      <w:r w:rsidRPr="00406361">
        <w:rPr>
          <w:i/>
          <w:color w:val="000000" w:themeColor="text1"/>
          <w:lang w:val="pt-BR"/>
        </w:rPr>
        <w:t>Frontiers in Psychology.</w:t>
      </w:r>
      <w:r w:rsidRPr="00406361">
        <w:rPr>
          <w:color w:val="000000" w:themeColor="text1"/>
          <w:lang w:val="pt-BR"/>
        </w:rPr>
        <w:t xml:space="preserve"> </w:t>
      </w:r>
      <w:hyperlink r:id="rId16">
        <w:r w:rsidRPr="00406361">
          <w:rPr>
            <w:color w:val="000000" w:themeColor="text1"/>
            <w:u w:val="single"/>
            <w:lang w:val="pt-BR"/>
          </w:rPr>
          <w:t>https://doi.org/10.3389/fpsyg.2016.00982</w:t>
        </w:r>
      </w:hyperlink>
    </w:p>
    <w:p w14:paraId="440A34CA" w14:textId="1C301BD3" w:rsidR="00FA5721" w:rsidRPr="00406361" w:rsidRDefault="00FA5721" w:rsidP="003A51CC">
      <w:pPr>
        <w:ind w:left="709" w:hanging="709"/>
        <w:rPr>
          <w:color w:val="000000" w:themeColor="text1"/>
          <w:lang w:val="pt-BR"/>
        </w:rPr>
      </w:pPr>
      <w:r w:rsidRPr="00406361">
        <w:rPr>
          <w:color w:val="000000" w:themeColor="text1"/>
          <w:lang w:val="pt-BR"/>
        </w:rPr>
        <w:t xml:space="preserve">Bartholomeu, D., Montiel, J., Néia, S. &amp; Rocha, M. (2016). Habilidades sociais e desempenho escolar em português e matemática em estudantes do ensino fundamental. </w:t>
      </w:r>
      <w:r w:rsidRPr="00406361">
        <w:rPr>
          <w:i/>
          <w:color w:val="000000" w:themeColor="text1"/>
          <w:lang w:val="pt-BR"/>
        </w:rPr>
        <w:t>Temas em Psicologia</w:t>
      </w:r>
      <w:r w:rsidRPr="00406361">
        <w:rPr>
          <w:color w:val="000000" w:themeColor="text1"/>
          <w:lang w:val="pt-BR"/>
        </w:rPr>
        <w:t xml:space="preserve">, </w:t>
      </w:r>
      <w:r w:rsidRPr="00406361">
        <w:rPr>
          <w:i/>
          <w:iCs/>
          <w:color w:val="000000" w:themeColor="text1"/>
          <w:lang w:val="pt-BR"/>
        </w:rPr>
        <w:t>24</w:t>
      </w:r>
      <w:r w:rsidR="003A51CC" w:rsidRPr="00406361">
        <w:rPr>
          <w:color w:val="000000" w:themeColor="text1"/>
          <w:lang w:val="pt-BR"/>
        </w:rPr>
        <w:t>(</w:t>
      </w:r>
      <w:r w:rsidRPr="00406361">
        <w:rPr>
          <w:color w:val="000000" w:themeColor="text1"/>
          <w:lang w:val="pt-BR"/>
        </w:rPr>
        <w:t>4</w:t>
      </w:r>
      <w:r w:rsidR="003A51CC" w:rsidRPr="00406361">
        <w:rPr>
          <w:color w:val="000000" w:themeColor="text1"/>
          <w:lang w:val="pt-BR"/>
        </w:rPr>
        <w:t>)</w:t>
      </w:r>
      <w:r w:rsidR="009763E5" w:rsidRPr="00406361">
        <w:rPr>
          <w:color w:val="000000" w:themeColor="text1"/>
          <w:lang w:val="pt-BR"/>
        </w:rPr>
        <w:t>, 1343–1358</w:t>
      </w:r>
      <w:r w:rsidRPr="00406361">
        <w:rPr>
          <w:color w:val="000000" w:themeColor="text1"/>
          <w:lang w:val="pt-BR"/>
        </w:rPr>
        <w:t xml:space="preserve">. </w:t>
      </w:r>
      <w:hyperlink r:id="rId17" w:history="1">
        <w:r w:rsidRPr="00406361">
          <w:rPr>
            <w:rStyle w:val="Hyperlink"/>
            <w:color w:val="000000" w:themeColor="text1"/>
            <w:lang w:val="pt-BR"/>
          </w:rPr>
          <w:t>http://doi.org/10.9788/TP2016.4-09Pt</w:t>
        </w:r>
      </w:hyperlink>
      <w:r w:rsidRPr="00406361">
        <w:rPr>
          <w:color w:val="000000" w:themeColor="text1"/>
          <w:lang w:val="pt-BR"/>
        </w:rPr>
        <w:t xml:space="preserve"> </w:t>
      </w:r>
    </w:p>
    <w:p w14:paraId="20F4310E" w14:textId="536B3513" w:rsidR="00FA5721" w:rsidRPr="00406361" w:rsidRDefault="00FA5721" w:rsidP="003A51CC">
      <w:pPr>
        <w:ind w:left="709" w:hanging="709"/>
        <w:rPr>
          <w:color w:val="000000" w:themeColor="text1"/>
          <w:lang w:val="pt-BR"/>
        </w:rPr>
      </w:pPr>
      <w:r w:rsidRPr="00406361">
        <w:rPr>
          <w:color w:val="000000" w:themeColor="text1"/>
          <w:lang w:val="pt-BR"/>
        </w:rPr>
        <w:t>Bolsoni-Silva, A.</w:t>
      </w:r>
      <w:r w:rsidR="00EB70A8" w:rsidRPr="00406361">
        <w:rPr>
          <w:color w:val="000000" w:themeColor="text1"/>
          <w:lang w:val="pt-BR"/>
        </w:rPr>
        <w:t>,</w:t>
      </w:r>
      <w:r w:rsidRPr="00406361">
        <w:rPr>
          <w:color w:val="000000" w:themeColor="text1"/>
          <w:lang w:val="pt-BR"/>
        </w:rPr>
        <w:t xml:space="preserve"> &amp; Loureiro, S. (2016). O Impacto das Habilidades Sociais para a Depressão em Estudantes Universitários. </w:t>
      </w:r>
      <w:r w:rsidRPr="00406361">
        <w:rPr>
          <w:i/>
          <w:color w:val="000000" w:themeColor="text1"/>
          <w:lang w:val="pt-BR"/>
        </w:rPr>
        <w:t>Psicologia: Teoria e Pesquisa</w:t>
      </w:r>
      <w:r w:rsidRPr="00406361">
        <w:rPr>
          <w:color w:val="000000" w:themeColor="text1"/>
          <w:lang w:val="pt-BR"/>
        </w:rPr>
        <w:t xml:space="preserve">, </w:t>
      </w:r>
      <w:r w:rsidRPr="00406361">
        <w:rPr>
          <w:i/>
          <w:iCs/>
          <w:color w:val="000000" w:themeColor="text1"/>
          <w:lang w:val="pt-BR"/>
        </w:rPr>
        <w:t>32</w:t>
      </w:r>
      <w:r w:rsidR="003A51CC" w:rsidRPr="00406361">
        <w:rPr>
          <w:color w:val="000000" w:themeColor="text1"/>
          <w:lang w:val="pt-BR"/>
        </w:rPr>
        <w:t>(</w:t>
      </w:r>
      <w:r w:rsidRPr="00406361">
        <w:rPr>
          <w:color w:val="000000" w:themeColor="text1"/>
          <w:lang w:val="pt-BR"/>
        </w:rPr>
        <w:t>4</w:t>
      </w:r>
      <w:r w:rsidR="003A51CC" w:rsidRPr="00406361">
        <w:rPr>
          <w:color w:val="000000" w:themeColor="text1"/>
          <w:lang w:val="pt-BR"/>
        </w:rPr>
        <w:t>)</w:t>
      </w:r>
      <w:r w:rsidRPr="00406361">
        <w:rPr>
          <w:color w:val="000000" w:themeColor="text1"/>
          <w:lang w:val="pt-BR"/>
        </w:rPr>
        <w:t xml:space="preserve">. </w:t>
      </w:r>
      <w:hyperlink r:id="rId18">
        <w:r w:rsidRPr="00406361">
          <w:rPr>
            <w:color w:val="000000" w:themeColor="text1"/>
            <w:u w:val="single"/>
            <w:lang w:val="pt-BR"/>
          </w:rPr>
          <w:t>https://doi.org/10.1590/0102.3772e324212</w:t>
        </w:r>
      </w:hyperlink>
    </w:p>
    <w:p w14:paraId="5902775D" w14:textId="3EAFC3A0" w:rsidR="00FA5721" w:rsidRPr="00406361" w:rsidRDefault="00FA5721" w:rsidP="003A51CC">
      <w:pPr>
        <w:ind w:left="709" w:hanging="709"/>
        <w:rPr>
          <w:color w:val="000000" w:themeColor="text1"/>
          <w:lang w:val="pt-BR"/>
        </w:rPr>
      </w:pPr>
      <w:r w:rsidRPr="00406361">
        <w:rPr>
          <w:color w:val="000000" w:themeColor="text1"/>
          <w:lang w:val="pt-BR"/>
        </w:rPr>
        <w:t xml:space="preserve">Caballo, V. E. (2014). </w:t>
      </w:r>
      <w:r w:rsidRPr="00406361">
        <w:rPr>
          <w:i/>
          <w:color w:val="000000" w:themeColor="text1"/>
          <w:lang w:val="pt-BR"/>
        </w:rPr>
        <w:t>Manual de avaliação e treinamento de habilidades sociais.</w:t>
      </w:r>
      <w:r w:rsidRPr="00406361">
        <w:rPr>
          <w:color w:val="000000" w:themeColor="text1"/>
          <w:lang w:val="pt-BR"/>
        </w:rPr>
        <w:t xml:space="preserve"> Santos.</w:t>
      </w:r>
    </w:p>
    <w:p w14:paraId="6B638116" w14:textId="52DFF10B" w:rsidR="00FA5721" w:rsidRPr="00406361" w:rsidRDefault="00FA5721" w:rsidP="009763E5">
      <w:pPr>
        <w:ind w:left="709" w:hanging="709"/>
        <w:rPr>
          <w:color w:val="000000" w:themeColor="text1"/>
          <w:lang w:val="pt-BR"/>
        </w:rPr>
      </w:pPr>
      <w:r w:rsidRPr="00406361">
        <w:rPr>
          <w:color w:val="000000" w:themeColor="text1"/>
          <w:lang w:val="pt-BR"/>
        </w:rPr>
        <w:t>Campos, J., Silva, A., Zanini, M.</w:t>
      </w:r>
      <w:r w:rsidR="00EB70A8" w:rsidRPr="00406361">
        <w:rPr>
          <w:color w:val="000000" w:themeColor="text1"/>
          <w:lang w:val="pt-BR"/>
        </w:rPr>
        <w:t>,</w:t>
      </w:r>
      <w:r w:rsidRPr="00406361">
        <w:rPr>
          <w:color w:val="000000" w:themeColor="text1"/>
          <w:lang w:val="pt-BR"/>
        </w:rPr>
        <w:t xml:space="preserve"> &amp; Loureiro, S. (2019). Predictors of behavioral problems in adolescents: family, personal and demographic variables. </w:t>
      </w:r>
      <w:r w:rsidRPr="00406361">
        <w:rPr>
          <w:i/>
          <w:color w:val="000000" w:themeColor="text1"/>
          <w:lang w:val="pt-BR"/>
        </w:rPr>
        <w:t>Psico-USF</w:t>
      </w:r>
      <w:r w:rsidR="003A51CC" w:rsidRPr="00406361">
        <w:rPr>
          <w:color w:val="000000" w:themeColor="text1"/>
          <w:lang w:val="pt-BR"/>
        </w:rPr>
        <w:t xml:space="preserve">, </w:t>
      </w:r>
      <w:r w:rsidRPr="00406361">
        <w:rPr>
          <w:i/>
          <w:iCs/>
          <w:color w:val="000000" w:themeColor="text1"/>
          <w:lang w:val="pt-BR"/>
        </w:rPr>
        <w:t>24</w:t>
      </w:r>
      <w:r w:rsidR="003A51CC" w:rsidRPr="00406361">
        <w:rPr>
          <w:color w:val="000000" w:themeColor="text1"/>
          <w:lang w:val="pt-BR"/>
        </w:rPr>
        <w:t>(</w:t>
      </w:r>
      <w:r w:rsidRPr="00406361">
        <w:rPr>
          <w:color w:val="000000" w:themeColor="text1"/>
          <w:lang w:val="pt-BR"/>
        </w:rPr>
        <w:t>2</w:t>
      </w:r>
      <w:r w:rsidR="003A51CC" w:rsidRPr="00406361">
        <w:rPr>
          <w:color w:val="000000" w:themeColor="text1"/>
          <w:lang w:val="pt-BR"/>
        </w:rPr>
        <w:t>)</w:t>
      </w:r>
      <w:r w:rsidRPr="00406361">
        <w:rPr>
          <w:color w:val="000000" w:themeColor="text1"/>
          <w:lang w:val="pt-BR"/>
        </w:rPr>
        <w:t xml:space="preserve"> </w:t>
      </w:r>
      <w:hyperlink r:id="rId19" w:history="1">
        <w:r w:rsidRPr="00406361">
          <w:rPr>
            <w:rStyle w:val="Hyperlink"/>
            <w:color w:val="000000" w:themeColor="text1"/>
            <w:lang w:val="pt-BR"/>
          </w:rPr>
          <w:t>http://doi.org/10.1590/1413-82712019240205</w:t>
        </w:r>
      </w:hyperlink>
      <w:r w:rsidRPr="00406361">
        <w:rPr>
          <w:color w:val="000000" w:themeColor="text1"/>
          <w:lang w:val="pt-BR"/>
        </w:rPr>
        <w:t xml:space="preserve"> </w:t>
      </w:r>
    </w:p>
    <w:p w14:paraId="62B8EB80" w14:textId="3FE20A4B" w:rsidR="00FA5721" w:rsidRPr="00406361" w:rsidRDefault="00FA5721" w:rsidP="009763E5">
      <w:pPr>
        <w:ind w:left="709" w:hanging="709"/>
        <w:rPr>
          <w:color w:val="000000" w:themeColor="text1"/>
          <w:highlight w:val="white"/>
          <w:lang w:val="pt-BR"/>
        </w:rPr>
      </w:pPr>
      <w:r w:rsidRPr="00406361">
        <w:rPr>
          <w:color w:val="000000" w:themeColor="text1"/>
          <w:lang w:val="pt-BR"/>
        </w:rPr>
        <w:t>Chen, C., Yang, C., &amp; Nie, Q. (2021). Social-Emotional Learning Competencies and Problematic Internet Use among Chinese Adolescents: A Structural Equation Modeling Ana</w:t>
      </w:r>
      <w:r w:rsidRPr="00406361">
        <w:rPr>
          <w:color w:val="000000" w:themeColor="text1"/>
          <w:highlight w:val="white"/>
          <w:lang w:val="pt-BR"/>
        </w:rPr>
        <w:t xml:space="preserve">lysis. </w:t>
      </w:r>
      <w:r w:rsidRPr="00406361">
        <w:rPr>
          <w:i/>
          <w:color w:val="000000" w:themeColor="text1"/>
          <w:highlight w:val="white"/>
          <w:lang w:val="pt-BR"/>
        </w:rPr>
        <w:t>International Journal Environmental Research and Public Health,</w:t>
      </w:r>
      <w:r w:rsidRPr="00406361">
        <w:rPr>
          <w:i/>
          <w:iCs/>
          <w:color w:val="000000" w:themeColor="text1"/>
          <w:highlight w:val="white"/>
          <w:lang w:val="pt-BR"/>
        </w:rPr>
        <w:t>18</w:t>
      </w:r>
      <w:r w:rsidRPr="00406361">
        <w:rPr>
          <w:color w:val="000000" w:themeColor="text1"/>
          <w:highlight w:val="white"/>
          <w:lang w:val="pt-BR"/>
        </w:rPr>
        <w:t>(6), 3</w:t>
      </w:r>
      <w:r w:rsidR="00D05E54" w:rsidRPr="00406361">
        <w:rPr>
          <w:color w:val="000000" w:themeColor="text1"/>
          <w:highlight w:val="white"/>
          <w:lang w:val="pt-BR"/>
        </w:rPr>
        <w:t>–</w:t>
      </w:r>
      <w:r w:rsidRPr="00406361">
        <w:rPr>
          <w:color w:val="000000" w:themeColor="text1"/>
          <w:highlight w:val="white"/>
          <w:lang w:val="pt-BR"/>
        </w:rPr>
        <w:t xml:space="preserve">17. </w:t>
      </w:r>
      <w:hyperlink r:id="rId20" w:history="1">
        <w:r w:rsidR="009763E5" w:rsidRPr="00406361">
          <w:rPr>
            <w:rStyle w:val="Hyperlink"/>
            <w:color w:val="000000" w:themeColor="text1"/>
            <w:highlight w:val="white"/>
            <w:lang w:val="pt-BR"/>
          </w:rPr>
          <w:t>https://doi.org/10.3390/ijerph18063091</w:t>
        </w:r>
      </w:hyperlink>
      <w:r w:rsidRPr="00406361">
        <w:rPr>
          <w:color w:val="000000" w:themeColor="text1"/>
          <w:highlight w:val="white"/>
          <w:lang w:val="pt-BR"/>
        </w:rPr>
        <w:t xml:space="preserve"> </w:t>
      </w:r>
    </w:p>
    <w:p w14:paraId="4D5404AB" w14:textId="3480CA5D" w:rsidR="00FA5721" w:rsidRPr="00406361" w:rsidRDefault="00FA5721" w:rsidP="00DA5156">
      <w:pPr>
        <w:ind w:left="709" w:hanging="709"/>
        <w:rPr>
          <w:color w:val="000000" w:themeColor="text1"/>
          <w:lang w:val="pt-BR"/>
        </w:rPr>
      </w:pPr>
      <w:r w:rsidRPr="00406361">
        <w:rPr>
          <w:color w:val="000000" w:themeColor="text1"/>
          <w:lang w:val="pt-BR"/>
        </w:rPr>
        <w:t>Conselho Nacional de Saúde</w:t>
      </w:r>
      <w:r w:rsidR="00115921" w:rsidRPr="00406361">
        <w:rPr>
          <w:color w:val="000000" w:themeColor="text1"/>
          <w:lang w:val="pt-BR"/>
        </w:rPr>
        <w:t xml:space="preserve"> [CNS]</w:t>
      </w:r>
      <w:r w:rsidRPr="00406361">
        <w:rPr>
          <w:color w:val="000000" w:themeColor="text1"/>
          <w:lang w:val="pt-BR"/>
        </w:rPr>
        <w:t xml:space="preserve">. (2016). Resolução nº 510, de 07 de abril de 2016. </w:t>
      </w:r>
      <w:hyperlink r:id="rId21" w:history="1">
        <w:r w:rsidRPr="00406361">
          <w:rPr>
            <w:rStyle w:val="Hyperlink"/>
            <w:color w:val="000000" w:themeColor="text1"/>
            <w:lang w:val="pt-BR"/>
          </w:rPr>
          <w:t>http://conselho.saude.gov.br/resolucoes/2016/Reso510.pdf</w:t>
        </w:r>
      </w:hyperlink>
      <w:r w:rsidRPr="00406361">
        <w:rPr>
          <w:color w:val="000000" w:themeColor="text1"/>
          <w:lang w:val="pt-BR"/>
        </w:rPr>
        <w:t xml:space="preserve"> </w:t>
      </w:r>
    </w:p>
    <w:p w14:paraId="2B43F5FB" w14:textId="0C19C54A" w:rsidR="00FA5721" w:rsidRPr="00406361" w:rsidRDefault="00FA5721" w:rsidP="00DA5156">
      <w:pPr>
        <w:ind w:left="709" w:hanging="709"/>
        <w:rPr>
          <w:color w:val="000000" w:themeColor="text1"/>
          <w:lang w:val="pt-BR"/>
        </w:rPr>
      </w:pPr>
      <w:r w:rsidRPr="00406361">
        <w:rPr>
          <w:color w:val="000000" w:themeColor="text1"/>
          <w:lang w:val="pt-BR"/>
        </w:rPr>
        <w:t xml:space="preserve">Correia, F., &amp; Motta, C. (2017). Papel do ambiente familiar no desenvolvimento de sintomatologia psicopatológica em jovens adultos. </w:t>
      </w:r>
      <w:r w:rsidRPr="00406361">
        <w:rPr>
          <w:i/>
          <w:color w:val="000000" w:themeColor="text1"/>
          <w:lang w:val="pt-BR"/>
        </w:rPr>
        <w:t>Psicologia Clínica</w:t>
      </w:r>
      <w:r w:rsidRPr="00406361">
        <w:rPr>
          <w:color w:val="000000" w:themeColor="text1"/>
          <w:lang w:val="pt-BR"/>
        </w:rPr>
        <w:t xml:space="preserve">, </w:t>
      </w:r>
      <w:r w:rsidRPr="00406361">
        <w:rPr>
          <w:i/>
          <w:iCs/>
          <w:color w:val="000000" w:themeColor="text1"/>
          <w:lang w:val="pt-BR"/>
        </w:rPr>
        <w:t>29</w:t>
      </w:r>
      <w:r w:rsidRPr="00406361">
        <w:rPr>
          <w:color w:val="000000" w:themeColor="text1"/>
          <w:lang w:val="pt-BR"/>
        </w:rPr>
        <w:t>(1), 253</w:t>
      </w:r>
      <w:r w:rsidR="00D05E54" w:rsidRPr="00406361">
        <w:rPr>
          <w:color w:val="000000" w:themeColor="text1"/>
          <w:lang w:val="pt-BR"/>
        </w:rPr>
        <w:t>–</w:t>
      </w:r>
      <w:r w:rsidRPr="00406361">
        <w:rPr>
          <w:color w:val="000000" w:themeColor="text1"/>
          <w:lang w:val="pt-BR"/>
        </w:rPr>
        <w:t xml:space="preserve">271. </w:t>
      </w:r>
      <w:hyperlink r:id="rId22" w:history="1">
        <w:r w:rsidR="000D0187" w:rsidRPr="00406361">
          <w:rPr>
            <w:rStyle w:val="Hyperlink"/>
            <w:color w:val="000000" w:themeColor="text1"/>
            <w:lang w:val="pt-BR"/>
          </w:rPr>
          <w:t>http://pepsic.bvsalud.org/scielo.php?script=sci_arttext&amp;pid=S0103-56652017000200007</w:t>
        </w:r>
      </w:hyperlink>
      <w:r w:rsidR="000D0187" w:rsidRPr="00406361">
        <w:rPr>
          <w:color w:val="000000" w:themeColor="text1"/>
          <w:lang w:val="pt-BR"/>
        </w:rPr>
        <w:t xml:space="preserve"> </w:t>
      </w:r>
    </w:p>
    <w:p w14:paraId="64D14352" w14:textId="5D82A5AA" w:rsidR="00FA5721" w:rsidRPr="00406361" w:rsidRDefault="00FA5721" w:rsidP="003A51CC">
      <w:pPr>
        <w:ind w:left="709" w:hanging="709"/>
        <w:rPr>
          <w:color w:val="000000" w:themeColor="text1"/>
          <w:lang w:val="pt-BR"/>
        </w:rPr>
      </w:pPr>
      <w:r w:rsidRPr="00406361">
        <w:rPr>
          <w:color w:val="000000" w:themeColor="text1"/>
          <w:lang w:val="pt-BR"/>
        </w:rPr>
        <w:t xml:space="preserve">Cummings, E., Koss, K. &amp; Davies, P. (2015). Prospective Relations between Family Conflict and Adolescent Maladjustment: Security in the Family System as a Mediating Process. </w:t>
      </w:r>
      <w:r w:rsidRPr="00406361">
        <w:rPr>
          <w:i/>
          <w:iCs/>
          <w:color w:val="000000" w:themeColor="text1"/>
          <w:lang w:val="pt-BR"/>
        </w:rPr>
        <w:t>J</w:t>
      </w:r>
      <w:r w:rsidR="005A1842" w:rsidRPr="00406361">
        <w:rPr>
          <w:i/>
          <w:iCs/>
          <w:color w:val="000000" w:themeColor="text1"/>
          <w:lang w:val="pt-BR"/>
        </w:rPr>
        <w:t>ournal of</w:t>
      </w:r>
      <w:r w:rsidRPr="00406361">
        <w:rPr>
          <w:i/>
          <w:iCs/>
          <w:color w:val="000000" w:themeColor="text1"/>
          <w:lang w:val="pt-BR"/>
        </w:rPr>
        <w:t xml:space="preserve"> Abnorm</w:t>
      </w:r>
      <w:r w:rsidR="005A1842" w:rsidRPr="00406361">
        <w:rPr>
          <w:i/>
          <w:iCs/>
          <w:color w:val="000000" w:themeColor="text1"/>
          <w:lang w:val="pt-BR"/>
        </w:rPr>
        <w:t>al</w:t>
      </w:r>
      <w:r w:rsidRPr="00406361">
        <w:rPr>
          <w:i/>
          <w:iCs/>
          <w:color w:val="000000" w:themeColor="text1"/>
          <w:lang w:val="pt-BR"/>
        </w:rPr>
        <w:t xml:space="preserve"> Child Psychol</w:t>
      </w:r>
      <w:r w:rsidR="005A1842" w:rsidRPr="00406361">
        <w:rPr>
          <w:i/>
          <w:iCs/>
          <w:color w:val="000000" w:themeColor="text1"/>
          <w:lang w:val="pt-BR"/>
        </w:rPr>
        <w:t>ogy,</w:t>
      </w:r>
      <w:r w:rsidRPr="00406361">
        <w:rPr>
          <w:i/>
          <w:iCs/>
          <w:color w:val="000000" w:themeColor="text1"/>
          <w:lang w:val="pt-BR"/>
        </w:rPr>
        <w:t xml:space="preserve"> 43</w:t>
      </w:r>
      <w:r w:rsidRPr="00406361">
        <w:rPr>
          <w:color w:val="000000" w:themeColor="text1"/>
          <w:lang w:val="pt-BR"/>
        </w:rPr>
        <w:t xml:space="preserve">, 503–515. </w:t>
      </w:r>
      <w:hyperlink r:id="rId23" w:history="1">
        <w:r w:rsidRPr="00406361">
          <w:rPr>
            <w:rStyle w:val="Hyperlink"/>
            <w:color w:val="000000" w:themeColor="text1"/>
            <w:lang w:val="pt-BR"/>
          </w:rPr>
          <w:t>https://doi.org/10.1007/s10802-014-9926-1</w:t>
        </w:r>
      </w:hyperlink>
      <w:r w:rsidRPr="00406361">
        <w:rPr>
          <w:color w:val="000000" w:themeColor="text1"/>
          <w:lang w:val="pt-BR"/>
        </w:rPr>
        <w:t xml:space="preserve"> </w:t>
      </w:r>
    </w:p>
    <w:p w14:paraId="56819304" w14:textId="07D139A3" w:rsidR="00FA5721" w:rsidRPr="00406361" w:rsidRDefault="00FA5721" w:rsidP="003A51CC">
      <w:pPr>
        <w:ind w:left="709" w:hanging="709"/>
        <w:rPr>
          <w:color w:val="000000" w:themeColor="text1"/>
          <w:lang w:val="pt-BR"/>
        </w:rPr>
      </w:pPr>
      <w:r w:rsidRPr="00406361">
        <w:rPr>
          <w:color w:val="000000" w:themeColor="text1"/>
          <w:lang w:val="pt-BR"/>
        </w:rPr>
        <w:t>Dancey, C.</w:t>
      </w:r>
      <w:r w:rsidR="00115921" w:rsidRPr="00406361">
        <w:rPr>
          <w:color w:val="000000" w:themeColor="text1"/>
          <w:lang w:val="pt-BR"/>
        </w:rPr>
        <w:t>,</w:t>
      </w:r>
      <w:r w:rsidRPr="00406361">
        <w:rPr>
          <w:color w:val="000000" w:themeColor="text1"/>
          <w:lang w:val="pt-BR"/>
        </w:rPr>
        <w:t xml:space="preserve"> &amp; Reidy, J. (2011). </w:t>
      </w:r>
      <w:r w:rsidRPr="00406361">
        <w:rPr>
          <w:i/>
          <w:color w:val="000000" w:themeColor="text1"/>
          <w:lang w:val="pt-BR"/>
        </w:rPr>
        <w:t>Statistics without maths for psychology</w:t>
      </w:r>
      <w:r w:rsidRPr="00406361">
        <w:rPr>
          <w:color w:val="000000" w:themeColor="text1"/>
          <w:lang w:val="pt-BR"/>
        </w:rPr>
        <w:t xml:space="preserve"> (5th ed.). Pearson.</w:t>
      </w:r>
    </w:p>
    <w:p w14:paraId="314775CC" w14:textId="61C179AA" w:rsidR="00FA5721" w:rsidRPr="00406361" w:rsidRDefault="00FA5721" w:rsidP="003A51CC">
      <w:pPr>
        <w:ind w:left="709" w:hanging="709"/>
        <w:rPr>
          <w:color w:val="000000" w:themeColor="text1"/>
          <w:lang w:val="pt-BR"/>
        </w:rPr>
      </w:pPr>
      <w:r w:rsidRPr="00406361">
        <w:rPr>
          <w:color w:val="000000" w:themeColor="text1"/>
          <w:lang w:val="pt-BR"/>
        </w:rPr>
        <w:t xml:space="preserve">Davies, P., Martin, M. &amp; Cummings, E. (2018). Interparental Conflict and Children’s Social Problems: Insecurity and Friendship Affiliation as Cascading Mediators. </w:t>
      </w:r>
      <w:r w:rsidRPr="00406361">
        <w:rPr>
          <w:i/>
          <w:color w:val="000000" w:themeColor="text1"/>
          <w:lang w:val="pt-BR"/>
        </w:rPr>
        <w:t>Developmental Psychology</w:t>
      </w:r>
      <w:r w:rsidRPr="00406361">
        <w:rPr>
          <w:color w:val="000000" w:themeColor="text1"/>
          <w:lang w:val="pt-BR"/>
        </w:rPr>
        <w:t xml:space="preserve">, </w:t>
      </w:r>
      <w:r w:rsidRPr="00406361">
        <w:rPr>
          <w:i/>
          <w:iCs/>
          <w:color w:val="000000" w:themeColor="text1"/>
          <w:lang w:val="pt-BR"/>
        </w:rPr>
        <w:t>54</w:t>
      </w:r>
      <w:r w:rsidRPr="00406361">
        <w:rPr>
          <w:color w:val="000000" w:themeColor="text1"/>
          <w:lang w:val="pt-BR"/>
        </w:rPr>
        <w:t xml:space="preserve">(1), 83–97. </w:t>
      </w:r>
      <w:hyperlink r:id="rId24" w:history="1">
        <w:r w:rsidRPr="00406361">
          <w:rPr>
            <w:rStyle w:val="Hyperlink"/>
            <w:color w:val="000000" w:themeColor="text1"/>
            <w:lang w:val="pt-BR"/>
          </w:rPr>
          <w:t>http://doi.org/10.1037/dev0000410</w:t>
        </w:r>
      </w:hyperlink>
      <w:r w:rsidRPr="00406361">
        <w:rPr>
          <w:color w:val="000000" w:themeColor="text1"/>
          <w:lang w:val="pt-BR"/>
        </w:rPr>
        <w:t xml:space="preserve"> </w:t>
      </w:r>
    </w:p>
    <w:p w14:paraId="3187B0EF" w14:textId="77777777" w:rsidR="00406361" w:rsidRPr="00406361" w:rsidRDefault="00406361" w:rsidP="00DA5156">
      <w:pPr>
        <w:ind w:left="709" w:hanging="709"/>
        <w:rPr>
          <w:color w:val="000000" w:themeColor="text1"/>
          <w:lang w:val="pt-BR"/>
        </w:rPr>
      </w:pPr>
      <w:r w:rsidRPr="00406361">
        <w:rPr>
          <w:color w:val="000000" w:themeColor="text1"/>
          <w:lang w:val="pt-BR"/>
        </w:rPr>
        <w:t>Del Prette, A., &amp; Del Prette, Z. A. P. (2001). Psicologia das relações interpessoais: Vivências para o trabalho em grupo. Vozes.</w:t>
      </w:r>
    </w:p>
    <w:p w14:paraId="3D9B8516" w14:textId="77777777" w:rsidR="00406361" w:rsidRPr="00406361" w:rsidRDefault="00406361" w:rsidP="00DA5156">
      <w:pPr>
        <w:ind w:left="709" w:hanging="709"/>
        <w:jc w:val="both"/>
        <w:rPr>
          <w:color w:val="000000" w:themeColor="text1"/>
          <w:highlight w:val="white"/>
          <w:lang w:val="pt-BR"/>
        </w:rPr>
      </w:pPr>
      <w:r w:rsidRPr="00406361">
        <w:rPr>
          <w:color w:val="000000" w:themeColor="text1"/>
          <w:highlight w:val="white"/>
          <w:lang w:val="pt-BR"/>
        </w:rPr>
        <w:t xml:space="preserve">Del Prette, A., &amp; Del Prette, Z. A. P. (2009). </w:t>
      </w:r>
      <w:r w:rsidRPr="00406361">
        <w:rPr>
          <w:i/>
          <w:color w:val="000000" w:themeColor="text1"/>
          <w:highlight w:val="white"/>
          <w:lang w:val="pt-BR"/>
        </w:rPr>
        <w:t xml:space="preserve">Inventário de Habilidades Sociais (IHS-Del-Prette): Manual de aplicação, apuração e interpretação </w:t>
      </w:r>
      <w:r w:rsidRPr="00406361">
        <w:rPr>
          <w:color w:val="000000" w:themeColor="text1"/>
          <w:highlight w:val="white"/>
          <w:lang w:val="pt-BR"/>
        </w:rPr>
        <w:t>(4th ed.)</w:t>
      </w:r>
      <w:r w:rsidRPr="00406361">
        <w:rPr>
          <w:i/>
          <w:color w:val="000000" w:themeColor="text1"/>
          <w:highlight w:val="white"/>
          <w:lang w:val="pt-BR"/>
        </w:rPr>
        <w:t xml:space="preserve">. </w:t>
      </w:r>
      <w:r w:rsidRPr="00406361">
        <w:rPr>
          <w:color w:val="000000" w:themeColor="text1"/>
          <w:highlight w:val="white"/>
          <w:lang w:val="pt-BR"/>
        </w:rPr>
        <w:t>Casa do Psicólogo.</w:t>
      </w:r>
    </w:p>
    <w:p w14:paraId="124D62AE" w14:textId="77777777" w:rsidR="00406361" w:rsidRPr="00406361" w:rsidRDefault="00406361" w:rsidP="00DA5156">
      <w:pPr>
        <w:ind w:left="709" w:hanging="709"/>
        <w:rPr>
          <w:color w:val="000000" w:themeColor="text1"/>
          <w:lang w:val="pt-BR"/>
        </w:rPr>
      </w:pPr>
      <w:r w:rsidRPr="00406361">
        <w:rPr>
          <w:color w:val="000000" w:themeColor="text1"/>
          <w:lang w:val="pt-BR"/>
        </w:rPr>
        <w:t xml:space="preserve">Del Prette, A., &amp; Del Prette, Z. A. P. (2010). Habilidades sociais e análise do comportamento: Proximidade histórica e atualidades. </w:t>
      </w:r>
      <w:r w:rsidRPr="00406361">
        <w:rPr>
          <w:i/>
          <w:iCs/>
          <w:color w:val="000000" w:themeColor="text1"/>
          <w:lang w:val="pt-BR"/>
        </w:rPr>
        <w:t>Perspectivas em análise do comportamento, 1</w:t>
      </w:r>
      <w:r w:rsidRPr="00406361">
        <w:rPr>
          <w:color w:val="000000" w:themeColor="text1"/>
          <w:lang w:val="pt-BR"/>
        </w:rPr>
        <w:t xml:space="preserve">(2), 104–115. </w:t>
      </w:r>
      <w:hyperlink r:id="rId25" w:history="1">
        <w:r w:rsidRPr="00406361">
          <w:rPr>
            <w:rStyle w:val="Hyperlink"/>
            <w:color w:val="000000" w:themeColor="text1"/>
            <w:lang w:val="pt-BR"/>
          </w:rPr>
          <w:t>http://pepsic.bvsalud.org/scielo.php?script=sci_arttext&amp;pid=S2177-35482010000200004</w:t>
        </w:r>
      </w:hyperlink>
      <w:r w:rsidRPr="00406361">
        <w:rPr>
          <w:color w:val="000000" w:themeColor="text1"/>
          <w:lang w:val="pt-BR"/>
        </w:rPr>
        <w:t xml:space="preserve"> </w:t>
      </w:r>
    </w:p>
    <w:p w14:paraId="3DCF5DD7" w14:textId="77777777" w:rsidR="00406361" w:rsidRPr="00406361" w:rsidRDefault="00406361" w:rsidP="00DA5156">
      <w:pPr>
        <w:ind w:left="709" w:hanging="709"/>
        <w:jc w:val="both"/>
        <w:rPr>
          <w:color w:val="000000" w:themeColor="text1"/>
          <w:lang w:val="pt-BR"/>
        </w:rPr>
      </w:pPr>
      <w:r w:rsidRPr="00406361">
        <w:rPr>
          <w:color w:val="000000" w:themeColor="text1"/>
          <w:highlight w:val="white"/>
          <w:lang w:val="pt-BR"/>
        </w:rPr>
        <w:t xml:space="preserve">Del Prette, A., &amp; Del Prette, Z. A. P. (2015). </w:t>
      </w:r>
      <w:r w:rsidRPr="00406361">
        <w:rPr>
          <w:i/>
          <w:color w:val="000000" w:themeColor="text1"/>
          <w:highlight w:val="white"/>
          <w:lang w:val="pt-BR"/>
        </w:rPr>
        <w:t xml:space="preserve">Inventário de Habilidades Sociais para Adolescentes (IHSA-Del-Prette): manual de aplicação, apuração e interpretação </w:t>
      </w:r>
      <w:r w:rsidRPr="00406361">
        <w:rPr>
          <w:color w:val="000000" w:themeColor="text1"/>
          <w:highlight w:val="white"/>
          <w:lang w:val="pt-BR"/>
        </w:rPr>
        <w:t>(2nd ed.). Casa do Psicólogo.</w:t>
      </w:r>
    </w:p>
    <w:p w14:paraId="574FD686" w14:textId="77777777" w:rsidR="00406361" w:rsidRPr="00406361" w:rsidRDefault="00406361" w:rsidP="003A51CC">
      <w:pPr>
        <w:ind w:left="709" w:hanging="709"/>
        <w:rPr>
          <w:color w:val="000000" w:themeColor="text1"/>
          <w:lang w:val="pt-BR"/>
        </w:rPr>
      </w:pPr>
      <w:r w:rsidRPr="00406361">
        <w:rPr>
          <w:color w:val="000000" w:themeColor="text1"/>
          <w:lang w:val="pt-BR"/>
        </w:rPr>
        <w:t xml:space="preserve">Del Prette, Z. A. P., &amp; Del Prette, A. (1998). Desenvolvimento interpessoal e educação escolar: o enfoque das habilidades sociais. </w:t>
      </w:r>
      <w:r w:rsidRPr="00406361">
        <w:rPr>
          <w:i/>
          <w:iCs/>
          <w:color w:val="000000" w:themeColor="text1"/>
          <w:lang w:val="pt-BR"/>
        </w:rPr>
        <w:t>Temas em Psicologia, 6</w:t>
      </w:r>
      <w:r w:rsidRPr="00406361">
        <w:rPr>
          <w:color w:val="000000" w:themeColor="text1"/>
          <w:lang w:val="pt-BR"/>
        </w:rPr>
        <w:t xml:space="preserve">(3), 217–229. </w:t>
      </w:r>
      <w:hyperlink r:id="rId26" w:history="1">
        <w:r w:rsidRPr="00406361">
          <w:rPr>
            <w:rStyle w:val="Hyperlink"/>
            <w:color w:val="000000" w:themeColor="text1"/>
            <w:lang w:val="pt-BR"/>
          </w:rPr>
          <w:t>http://pepsic.bvsalud.org/scielo.php?script=sci_arttext&amp;pid=S1413-389X1998000300005</w:t>
        </w:r>
      </w:hyperlink>
      <w:r w:rsidRPr="00406361">
        <w:rPr>
          <w:color w:val="000000" w:themeColor="text1"/>
          <w:lang w:val="pt-BR"/>
        </w:rPr>
        <w:t xml:space="preserve"> </w:t>
      </w:r>
    </w:p>
    <w:p w14:paraId="2CE5AF38" w14:textId="7E892EFF" w:rsidR="00406361" w:rsidRPr="00406361" w:rsidRDefault="00406361" w:rsidP="00DA5156">
      <w:pPr>
        <w:ind w:left="709" w:hanging="709"/>
        <w:rPr>
          <w:color w:val="000000" w:themeColor="text1"/>
          <w:lang w:val="pt-BR"/>
        </w:rPr>
      </w:pPr>
      <w:r w:rsidRPr="00406361">
        <w:rPr>
          <w:color w:val="000000" w:themeColor="text1"/>
          <w:lang w:val="en-US"/>
        </w:rPr>
        <w:t xml:space="preserve">Del Prette, Z. A. P., &amp; Del Prette, A. (2002). </w:t>
      </w:r>
      <w:r w:rsidRPr="00406361">
        <w:rPr>
          <w:color w:val="000000" w:themeColor="text1"/>
          <w:lang w:val="pt-BR"/>
        </w:rPr>
        <w:t xml:space="preserve">Transtornos psicológicos e habilidades sociais. In H. J. Guilhardi, Madi, M. B. B., Queiroz, P. P., &amp; M. C. Scoz (Eds.), </w:t>
      </w:r>
      <w:r w:rsidRPr="00406361">
        <w:rPr>
          <w:i/>
          <w:iCs/>
          <w:color w:val="000000" w:themeColor="text1"/>
          <w:lang w:val="pt-BR"/>
        </w:rPr>
        <w:t>Sobre comportamento e cognição: Vol. 10 Contribuições para a construção da teoria do comportamento</w:t>
      </w:r>
      <w:r w:rsidRPr="00406361">
        <w:rPr>
          <w:color w:val="000000" w:themeColor="text1"/>
          <w:lang w:val="pt-BR"/>
        </w:rPr>
        <w:t xml:space="preserve"> (pp. 377-386). Santo André ESETec.  </w:t>
      </w:r>
    </w:p>
    <w:p w14:paraId="4D222442" w14:textId="0A4DC84D" w:rsidR="00FA5721" w:rsidRPr="00406361" w:rsidRDefault="00FA5721" w:rsidP="003A51CC">
      <w:pPr>
        <w:ind w:left="709" w:hanging="709"/>
        <w:rPr>
          <w:color w:val="000000" w:themeColor="text1"/>
          <w:lang w:val="pt-BR"/>
        </w:rPr>
      </w:pPr>
      <w:r w:rsidRPr="00406361">
        <w:rPr>
          <w:color w:val="000000" w:themeColor="text1"/>
          <w:lang w:val="pt-BR"/>
        </w:rPr>
        <w:t xml:space="preserve">Fernandes, L. D. M., Leme, V. B. R., Elias, L. C. D. S., &amp; Soares, A. B. (2018). Preditores do desempenho escolar ao final do ensino fundamental: histórico de reprovação, habilidades sociais e apoio social. </w:t>
      </w:r>
      <w:r w:rsidRPr="00406361">
        <w:rPr>
          <w:i/>
          <w:iCs/>
          <w:color w:val="000000" w:themeColor="text1"/>
          <w:lang w:val="pt-BR"/>
        </w:rPr>
        <w:t>Trends in Psychology, 26</w:t>
      </w:r>
      <w:r w:rsidRPr="00406361">
        <w:rPr>
          <w:color w:val="000000" w:themeColor="text1"/>
          <w:lang w:val="pt-BR"/>
        </w:rPr>
        <w:t>, 215</w:t>
      </w:r>
      <w:r w:rsidR="009F3F09" w:rsidRPr="00406361">
        <w:rPr>
          <w:color w:val="000000" w:themeColor="text1"/>
          <w:lang w:val="pt-BR"/>
        </w:rPr>
        <w:t>–</w:t>
      </w:r>
      <w:r w:rsidRPr="00406361">
        <w:rPr>
          <w:color w:val="000000" w:themeColor="text1"/>
          <w:lang w:val="pt-BR"/>
        </w:rPr>
        <w:t>228.</w:t>
      </w:r>
      <w:r w:rsidR="009F3F09" w:rsidRPr="00406361">
        <w:rPr>
          <w:color w:val="000000" w:themeColor="text1"/>
          <w:lang w:val="pt-BR"/>
        </w:rPr>
        <w:t xml:space="preserve"> </w:t>
      </w:r>
      <w:hyperlink r:id="rId27" w:history="1">
        <w:r w:rsidR="009F3F09" w:rsidRPr="00406361">
          <w:rPr>
            <w:rStyle w:val="Hyperlink"/>
            <w:color w:val="000000" w:themeColor="text1"/>
            <w:lang w:val="pt-BR"/>
          </w:rPr>
          <w:t>http://dx.doi.org/10.9788/TP2018.1-09Pt</w:t>
        </w:r>
      </w:hyperlink>
      <w:r w:rsidR="009F3F09" w:rsidRPr="00406361">
        <w:rPr>
          <w:color w:val="000000" w:themeColor="text1"/>
          <w:lang w:val="pt-BR"/>
        </w:rPr>
        <w:t xml:space="preserve"> </w:t>
      </w:r>
    </w:p>
    <w:p w14:paraId="71D97C5D" w14:textId="4E3E7575" w:rsidR="00FA5721" w:rsidRPr="00406361" w:rsidRDefault="00FA5721" w:rsidP="003A51CC">
      <w:pPr>
        <w:ind w:left="709" w:hanging="709"/>
        <w:rPr>
          <w:color w:val="000000" w:themeColor="text1"/>
          <w:lang w:val="pt-BR"/>
        </w:rPr>
      </w:pPr>
      <w:r w:rsidRPr="00406361">
        <w:rPr>
          <w:color w:val="000000" w:themeColor="text1"/>
          <w:lang w:val="pt-BR"/>
        </w:rPr>
        <w:t xml:space="preserve">Fernández-Henriquez, L., Balseiro-Almario, L., Manrique-Borjas, G., Peña-Pastor, F., Cruz, F., Díaz-Godiño, J., &amp; Alfaro-Flores, P. (2018). Family factors related to social skills in teenagers of a educational institution in Lima. </w:t>
      </w:r>
      <w:r w:rsidRPr="00406361">
        <w:rPr>
          <w:i/>
          <w:color w:val="000000" w:themeColor="text1"/>
          <w:lang w:val="pt-BR"/>
        </w:rPr>
        <w:t>Revista de Enfermería Neurológica</w:t>
      </w:r>
      <w:r w:rsidR="009F3F09" w:rsidRPr="00406361">
        <w:rPr>
          <w:color w:val="000000" w:themeColor="text1"/>
          <w:lang w:val="pt-BR"/>
        </w:rPr>
        <w:t xml:space="preserve">, </w:t>
      </w:r>
      <w:r w:rsidRPr="00406361">
        <w:rPr>
          <w:i/>
          <w:iCs/>
          <w:color w:val="000000" w:themeColor="text1"/>
          <w:lang w:val="pt-BR"/>
        </w:rPr>
        <w:t>17</w:t>
      </w:r>
      <w:r w:rsidR="009F3F09" w:rsidRPr="00406361">
        <w:rPr>
          <w:color w:val="000000" w:themeColor="text1"/>
          <w:lang w:val="pt-BR"/>
        </w:rPr>
        <w:t>(1),</w:t>
      </w:r>
      <w:r w:rsidRPr="00406361">
        <w:rPr>
          <w:color w:val="000000" w:themeColor="text1"/>
          <w:lang w:val="pt-BR"/>
        </w:rPr>
        <w:t xml:space="preserve"> 19-27.</w:t>
      </w:r>
      <w:r w:rsidR="000D0187" w:rsidRPr="00406361">
        <w:rPr>
          <w:color w:val="000000" w:themeColor="text1"/>
          <w:lang w:val="pt-BR"/>
        </w:rPr>
        <w:t xml:space="preserve"> </w:t>
      </w:r>
      <w:hyperlink r:id="rId28" w:history="1">
        <w:r w:rsidR="000D0187" w:rsidRPr="00406361">
          <w:rPr>
            <w:rStyle w:val="Hyperlink"/>
            <w:color w:val="000000" w:themeColor="text1"/>
            <w:lang w:val="pt-BR"/>
          </w:rPr>
          <w:t>https://revenferneurolenlinea.org.mx/index.php/enfermeria/article/download/258/258/</w:t>
        </w:r>
      </w:hyperlink>
      <w:r w:rsidR="000D0187" w:rsidRPr="00406361">
        <w:rPr>
          <w:color w:val="000000" w:themeColor="text1"/>
          <w:lang w:val="pt-BR"/>
        </w:rPr>
        <w:t xml:space="preserve"> </w:t>
      </w:r>
    </w:p>
    <w:p w14:paraId="6A681A61" w14:textId="4AD63A5E" w:rsidR="00FA5721" w:rsidRPr="00406361" w:rsidRDefault="00FA5721" w:rsidP="003A51CC">
      <w:pPr>
        <w:ind w:left="709" w:hanging="709"/>
        <w:rPr>
          <w:color w:val="000000" w:themeColor="text1"/>
          <w:lang w:val="pt-BR"/>
        </w:rPr>
      </w:pPr>
      <w:r w:rsidRPr="00406361">
        <w:rPr>
          <w:color w:val="000000" w:themeColor="text1"/>
          <w:lang w:val="pt-BR"/>
        </w:rPr>
        <w:t xml:space="preserve">Freitas, P., Costa, R., Rodrigues, M., Ortiz, B., &amp; Santos, J. (2020). Influência das relações familiares na saúde e no estado emocional dos adolescentes. </w:t>
      </w:r>
      <w:r w:rsidRPr="00406361">
        <w:rPr>
          <w:i/>
          <w:iCs/>
          <w:color w:val="000000" w:themeColor="text1"/>
          <w:lang w:val="pt-BR"/>
        </w:rPr>
        <w:t>Revista Psicologia e Saúde, 12</w:t>
      </w:r>
      <w:r w:rsidRPr="00406361">
        <w:rPr>
          <w:color w:val="000000" w:themeColor="text1"/>
          <w:lang w:val="pt-BR"/>
        </w:rPr>
        <w:t>(4), 95</w:t>
      </w:r>
      <w:r w:rsidR="00D05E54" w:rsidRPr="00406361">
        <w:rPr>
          <w:color w:val="000000" w:themeColor="text1"/>
          <w:lang w:val="pt-BR"/>
        </w:rPr>
        <w:t>–</w:t>
      </w:r>
      <w:r w:rsidRPr="00406361">
        <w:rPr>
          <w:color w:val="000000" w:themeColor="text1"/>
          <w:lang w:val="pt-BR"/>
        </w:rPr>
        <w:t xml:space="preserve">109. </w:t>
      </w:r>
      <w:hyperlink r:id="rId29">
        <w:r w:rsidRPr="00406361">
          <w:rPr>
            <w:color w:val="000000" w:themeColor="text1"/>
            <w:u w:val="single"/>
            <w:lang w:val="pt-BR"/>
          </w:rPr>
          <w:t>https://dx.doi.org/10.20435/pssa.vi.1065</w:t>
        </w:r>
      </w:hyperlink>
    </w:p>
    <w:p w14:paraId="17FBA802" w14:textId="178A02AA" w:rsidR="00FA5721" w:rsidRPr="00406361" w:rsidRDefault="00FA5721" w:rsidP="003A51CC">
      <w:pPr>
        <w:ind w:left="709" w:hanging="709"/>
        <w:rPr>
          <w:color w:val="000000" w:themeColor="text1"/>
          <w:lang w:val="pt-BR"/>
        </w:rPr>
      </w:pPr>
      <w:r w:rsidRPr="00406361">
        <w:rPr>
          <w:color w:val="000000" w:themeColor="text1"/>
          <w:lang w:val="pt-BR"/>
        </w:rPr>
        <w:t>Gomide, P. I. C. (2011). Pais presentes, pais ausentes: regras e limites (10</w:t>
      </w:r>
      <w:r w:rsidR="009F3F09" w:rsidRPr="00406361">
        <w:rPr>
          <w:color w:val="000000" w:themeColor="text1"/>
          <w:lang w:val="pt-BR"/>
        </w:rPr>
        <w:t>th</w:t>
      </w:r>
      <w:r w:rsidRPr="00406361">
        <w:rPr>
          <w:color w:val="000000" w:themeColor="text1"/>
          <w:lang w:val="pt-BR"/>
        </w:rPr>
        <w:t xml:space="preserve"> ed.). Vozes.</w:t>
      </w:r>
    </w:p>
    <w:p w14:paraId="657672D8" w14:textId="158903A5" w:rsidR="00FA5721" w:rsidRPr="00406361" w:rsidRDefault="00FA5721" w:rsidP="003A51CC">
      <w:pPr>
        <w:ind w:left="709" w:hanging="709"/>
        <w:rPr>
          <w:color w:val="000000" w:themeColor="text1"/>
          <w:lang w:val="pt-BR"/>
        </w:rPr>
      </w:pPr>
      <w:r w:rsidRPr="00406361">
        <w:rPr>
          <w:color w:val="000000" w:themeColor="text1"/>
          <w:lang w:val="pt-BR"/>
        </w:rPr>
        <w:t xml:space="preserve">Herd, T., King-Casas, B., &amp; Kim-Spoon, J. (2020) Developmental Changes in Emotion Regulation during Adolescence: Associations with Socioeconomic Risk and Family Emotional Context. </w:t>
      </w:r>
      <w:r w:rsidRPr="00406361">
        <w:rPr>
          <w:i/>
          <w:color w:val="000000" w:themeColor="text1"/>
          <w:lang w:val="pt-BR"/>
        </w:rPr>
        <w:t>Journal of Youth and Adolescence</w:t>
      </w:r>
      <w:r w:rsidR="009F3F09" w:rsidRPr="00406361">
        <w:rPr>
          <w:color w:val="000000" w:themeColor="text1"/>
          <w:lang w:val="pt-BR"/>
        </w:rPr>
        <w:t>,</w:t>
      </w:r>
      <w:r w:rsidRPr="00406361">
        <w:rPr>
          <w:color w:val="000000" w:themeColor="text1"/>
          <w:lang w:val="pt-BR"/>
        </w:rPr>
        <w:t xml:space="preserve"> </w:t>
      </w:r>
      <w:r w:rsidRPr="00406361">
        <w:rPr>
          <w:i/>
          <w:iCs/>
          <w:color w:val="000000" w:themeColor="text1"/>
          <w:lang w:val="pt-BR"/>
        </w:rPr>
        <w:t>49</w:t>
      </w:r>
      <w:r w:rsidRPr="00406361">
        <w:rPr>
          <w:color w:val="000000" w:themeColor="text1"/>
          <w:lang w:val="pt-BR"/>
        </w:rPr>
        <w:t>(7)</w:t>
      </w:r>
      <w:r w:rsidR="009F3F09" w:rsidRPr="00406361">
        <w:rPr>
          <w:color w:val="000000" w:themeColor="text1"/>
          <w:lang w:val="pt-BR"/>
        </w:rPr>
        <w:t xml:space="preserve">, </w:t>
      </w:r>
      <w:r w:rsidRPr="00406361">
        <w:rPr>
          <w:color w:val="000000" w:themeColor="text1"/>
          <w:lang w:val="pt-BR"/>
        </w:rPr>
        <w:t>1545</w:t>
      </w:r>
      <w:r w:rsidR="00D05E54" w:rsidRPr="00406361">
        <w:rPr>
          <w:color w:val="000000" w:themeColor="text1"/>
          <w:lang w:val="pt-BR"/>
        </w:rPr>
        <w:t>–</w:t>
      </w:r>
      <w:r w:rsidRPr="00406361">
        <w:rPr>
          <w:color w:val="000000" w:themeColor="text1"/>
          <w:lang w:val="pt-BR"/>
        </w:rPr>
        <w:t xml:space="preserve">1557. </w:t>
      </w:r>
      <w:hyperlink r:id="rId30" w:history="1">
        <w:r w:rsidR="009F3F09" w:rsidRPr="00406361">
          <w:rPr>
            <w:rStyle w:val="Hyperlink"/>
            <w:color w:val="000000" w:themeColor="text1"/>
            <w:lang w:val="pt-BR"/>
          </w:rPr>
          <w:t>http://doi.org/10.1007/s10964-020-01193-2</w:t>
        </w:r>
      </w:hyperlink>
      <w:r w:rsidR="009F3F09" w:rsidRPr="00406361">
        <w:rPr>
          <w:color w:val="000000" w:themeColor="text1"/>
          <w:lang w:val="pt-BR"/>
        </w:rPr>
        <w:t xml:space="preserve"> </w:t>
      </w:r>
    </w:p>
    <w:p w14:paraId="5F0A53D0" w14:textId="445D7AE7" w:rsidR="00FA5721" w:rsidRPr="00406361" w:rsidRDefault="00FA5721" w:rsidP="003A51CC">
      <w:pPr>
        <w:ind w:left="709" w:hanging="709"/>
        <w:rPr>
          <w:color w:val="000000" w:themeColor="text1"/>
          <w:lang w:val="pt-BR"/>
        </w:rPr>
      </w:pPr>
      <w:r w:rsidRPr="00406361">
        <w:rPr>
          <w:color w:val="000000" w:themeColor="text1"/>
          <w:lang w:val="pt-BR"/>
        </w:rPr>
        <w:t xml:space="preserve">Husky, M. M., Kovess-Masfety, V., &amp; Swendsen, J. D. (2020). Stress and anxiety among university students in France during Covid-19 mandatory confinement. </w:t>
      </w:r>
      <w:r w:rsidRPr="00406361">
        <w:rPr>
          <w:i/>
          <w:iCs/>
          <w:color w:val="000000" w:themeColor="text1"/>
          <w:lang w:val="pt-BR"/>
        </w:rPr>
        <w:t>Comprehensive Psychiatry, 102</w:t>
      </w:r>
      <w:r w:rsidRPr="00406361">
        <w:rPr>
          <w:color w:val="000000" w:themeColor="text1"/>
          <w:lang w:val="pt-BR"/>
        </w:rPr>
        <w:t xml:space="preserve">, 152191. </w:t>
      </w:r>
      <w:hyperlink r:id="rId31">
        <w:r w:rsidRPr="00406361">
          <w:rPr>
            <w:color w:val="000000" w:themeColor="text1"/>
            <w:u w:val="single"/>
            <w:lang w:val="pt-BR"/>
          </w:rPr>
          <w:t>https://doi.org/10.1016/j.comppsych.2020.152191</w:t>
        </w:r>
      </w:hyperlink>
    </w:p>
    <w:p w14:paraId="2A3E388B" w14:textId="0F611E41" w:rsidR="00FA5721" w:rsidRPr="00406361" w:rsidRDefault="00FA5721" w:rsidP="00DA5156">
      <w:pPr>
        <w:ind w:left="709" w:hanging="709"/>
        <w:rPr>
          <w:color w:val="000000" w:themeColor="text1"/>
          <w:lang w:val="pt-BR"/>
        </w:rPr>
      </w:pPr>
      <w:r w:rsidRPr="00406361">
        <w:rPr>
          <w:color w:val="000000" w:themeColor="text1"/>
          <w:lang w:val="pt-BR"/>
        </w:rPr>
        <w:t xml:space="preserve">Kase, T., Endo, S., &amp; Oishi, K. (2016). Process linking social support to mental health through a sense of coherence in Japanese university students. </w:t>
      </w:r>
      <w:r w:rsidRPr="00406361">
        <w:rPr>
          <w:i/>
          <w:color w:val="000000" w:themeColor="text1"/>
          <w:lang w:val="pt-BR"/>
        </w:rPr>
        <w:t>Mental Health &amp; Prevention</w:t>
      </w:r>
      <w:r w:rsidR="009F3F09" w:rsidRPr="00406361">
        <w:rPr>
          <w:i/>
          <w:color w:val="000000" w:themeColor="text1"/>
          <w:lang w:val="pt-BR"/>
        </w:rPr>
        <w:t>, 4</w:t>
      </w:r>
      <w:r w:rsidR="009F3F09" w:rsidRPr="00406361">
        <w:rPr>
          <w:iCs/>
          <w:color w:val="000000" w:themeColor="text1"/>
          <w:lang w:val="pt-BR"/>
        </w:rPr>
        <w:t>(3–4), 124–129</w:t>
      </w:r>
      <w:r w:rsidRPr="00406361">
        <w:rPr>
          <w:color w:val="000000" w:themeColor="text1"/>
          <w:lang w:val="pt-BR"/>
        </w:rPr>
        <w:t xml:space="preserve">. </w:t>
      </w:r>
      <w:hyperlink r:id="rId32" w:history="1">
        <w:r w:rsidR="004F6354" w:rsidRPr="00406361">
          <w:rPr>
            <w:rStyle w:val="Hyperlink"/>
            <w:color w:val="000000" w:themeColor="text1"/>
            <w:lang w:val="pt-BR"/>
          </w:rPr>
          <w:t>http://doi.org/10.1016/j.mhp.2016.05.00</w:t>
        </w:r>
      </w:hyperlink>
      <w:r w:rsidR="004F6354" w:rsidRPr="00406361">
        <w:rPr>
          <w:color w:val="000000" w:themeColor="text1"/>
          <w:lang w:val="pt-BR"/>
        </w:rPr>
        <w:t xml:space="preserve"> </w:t>
      </w:r>
    </w:p>
    <w:p w14:paraId="300BE824" w14:textId="77777777" w:rsidR="00FA5721" w:rsidRPr="00406361" w:rsidRDefault="00FA5721" w:rsidP="00DA5156">
      <w:pPr>
        <w:ind w:left="709" w:hanging="709"/>
        <w:jc w:val="both"/>
        <w:rPr>
          <w:color w:val="000000" w:themeColor="text1"/>
          <w:lang w:val="pt-BR"/>
        </w:rPr>
      </w:pPr>
      <w:r w:rsidRPr="00406361">
        <w:rPr>
          <w:color w:val="000000" w:themeColor="text1"/>
          <w:highlight w:val="white"/>
          <w:lang w:val="pt-BR"/>
        </w:rPr>
        <w:t xml:space="preserve">Ledur, B. (2019). </w:t>
      </w:r>
      <w:r w:rsidRPr="00406361">
        <w:rPr>
          <w:i/>
          <w:iCs/>
          <w:color w:val="000000" w:themeColor="text1"/>
          <w:highlight w:val="white"/>
          <w:lang w:val="pt-BR"/>
        </w:rPr>
        <w:t xml:space="preserve">Temos Wi-fi: interações entre internet, sentimentos de solidão e relações familiares. </w:t>
      </w:r>
      <w:r w:rsidRPr="00406361">
        <w:rPr>
          <w:color w:val="000000" w:themeColor="text1"/>
          <w:highlight w:val="white"/>
          <w:lang w:val="pt-BR"/>
        </w:rPr>
        <w:t>Trabalho de Conclusão de Curso de Graduação em Psicologia, Universidade do Vale do Rio dos Sinos, São Leopoldo, RS.</w:t>
      </w:r>
    </w:p>
    <w:p w14:paraId="3F445276" w14:textId="162CEEF3" w:rsidR="00FA5721" w:rsidRPr="00406361" w:rsidRDefault="00FA5721" w:rsidP="003A51CC">
      <w:pPr>
        <w:ind w:left="709" w:hanging="709"/>
        <w:rPr>
          <w:color w:val="000000" w:themeColor="text1"/>
          <w:lang w:val="pt-BR"/>
        </w:rPr>
      </w:pPr>
      <w:r w:rsidRPr="00406361">
        <w:rPr>
          <w:color w:val="000000" w:themeColor="text1"/>
          <w:lang w:val="pt-BR"/>
        </w:rPr>
        <w:t xml:space="preserve">Leme, V., Del Prette, Z., &amp; Coimbra, S. (2015). Social Skills, Social Support and Well-Being in Adolescents of Different Family Configurations. </w:t>
      </w:r>
      <w:r w:rsidRPr="00406361">
        <w:rPr>
          <w:i/>
          <w:color w:val="000000" w:themeColor="text1"/>
          <w:lang w:val="pt-BR"/>
        </w:rPr>
        <w:t>Paidéia</w:t>
      </w:r>
      <w:r w:rsidRPr="00406361">
        <w:rPr>
          <w:color w:val="000000" w:themeColor="text1"/>
          <w:lang w:val="pt-BR"/>
        </w:rPr>
        <w:t xml:space="preserve">, </w:t>
      </w:r>
      <w:r w:rsidRPr="00406361">
        <w:rPr>
          <w:i/>
          <w:iCs/>
          <w:color w:val="000000" w:themeColor="text1"/>
          <w:lang w:val="pt-BR"/>
        </w:rPr>
        <w:t>25</w:t>
      </w:r>
      <w:r w:rsidR="004F6354" w:rsidRPr="00406361">
        <w:rPr>
          <w:color w:val="000000" w:themeColor="text1"/>
          <w:lang w:val="pt-BR"/>
        </w:rPr>
        <w:t>(</w:t>
      </w:r>
      <w:r w:rsidRPr="00406361">
        <w:rPr>
          <w:color w:val="000000" w:themeColor="text1"/>
          <w:lang w:val="pt-BR"/>
        </w:rPr>
        <w:t>60</w:t>
      </w:r>
      <w:r w:rsidR="004F6354" w:rsidRPr="00406361">
        <w:rPr>
          <w:color w:val="000000" w:themeColor="text1"/>
          <w:lang w:val="pt-BR"/>
        </w:rPr>
        <w:t>)</w:t>
      </w:r>
      <w:r w:rsidRPr="00406361">
        <w:rPr>
          <w:color w:val="000000" w:themeColor="text1"/>
          <w:lang w:val="pt-BR"/>
        </w:rPr>
        <w:t xml:space="preserve">. </w:t>
      </w:r>
      <w:hyperlink r:id="rId33" w:history="1">
        <w:r w:rsidRPr="00406361">
          <w:rPr>
            <w:rStyle w:val="Hyperlink"/>
            <w:color w:val="000000" w:themeColor="text1"/>
            <w:lang w:val="pt-BR"/>
          </w:rPr>
          <w:t>http://doi.org/10.1590/1982-43272560201503</w:t>
        </w:r>
      </w:hyperlink>
      <w:r w:rsidRPr="00406361">
        <w:rPr>
          <w:color w:val="000000" w:themeColor="text1"/>
          <w:lang w:val="pt-BR"/>
        </w:rPr>
        <w:t xml:space="preserve"> </w:t>
      </w:r>
    </w:p>
    <w:p w14:paraId="473F0B34" w14:textId="54D79314" w:rsidR="00FA5721" w:rsidRPr="00406361" w:rsidRDefault="00FA5721" w:rsidP="003A51CC">
      <w:pPr>
        <w:ind w:left="709" w:hanging="709"/>
        <w:jc w:val="both"/>
        <w:rPr>
          <w:color w:val="000000" w:themeColor="text1"/>
          <w:lang w:val="pt-BR"/>
        </w:rPr>
      </w:pPr>
      <w:r w:rsidRPr="00406361">
        <w:rPr>
          <w:color w:val="000000" w:themeColor="text1"/>
          <w:lang w:val="pt-BR"/>
        </w:rPr>
        <w:t xml:space="preserve">Loos, H., &amp; Cassemiro, L. F. K. (2010). Percepções sobre a qualidade da interação familiar e crenças autorreferenciadas em crianças. </w:t>
      </w:r>
      <w:r w:rsidRPr="00406361">
        <w:rPr>
          <w:i/>
          <w:color w:val="000000" w:themeColor="text1"/>
          <w:lang w:val="pt-BR"/>
        </w:rPr>
        <w:t>Estudos de Psicologia, 27</w:t>
      </w:r>
      <w:r w:rsidRPr="00406361">
        <w:rPr>
          <w:color w:val="000000" w:themeColor="text1"/>
          <w:lang w:val="pt-BR"/>
        </w:rPr>
        <w:t>(3), 293</w:t>
      </w:r>
      <w:r w:rsidR="00D05E54" w:rsidRPr="00406361">
        <w:rPr>
          <w:color w:val="000000" w:themeColor="text1"/>
          <w:lang w:val="pt-BR"/>
        </w:rPr>
        <w:t>–</w:t>
      </w:r>
      <w:r w:rsidRPr="00406361">
        <w:rPr>
          <w:color w:val="000000" w:themeColor="text1"/>
          <w:lang w:val="pt-BR"/>
        </w:rPr>
        <w:t xml:space="preserve">303. </w:t>
      </w:r>
      <w:hyperlink r:id="rId34" w:history="1">
        <w:r w:rsidRPr="00406361">
          <w:rPr>
            <w:rStyle w:val="Hyperlink"/>
            <w:color w:val="000000" w:themeColor="text1"/>
            <w:lang w:val="pt-BR"/>
          </w:rPr>
          <w:t>http://doi.org/10.1590/S0103-166X2010000300002</w:t>
        </w:r>
      </w:hyperlink>
      <w:r w:rsidRPr="00406361">
        <w:rPr>
          <w:color w:val="000000" w:themeColor="text1"/>
          <w:lang w:val="pt-BR"/>
        </w:rPr>
        <w:t xml:space="preserve"> </w:t>
      </w:r>
    </w:p>
    <w:p w14:paraId="45B7E344" w14:textId="77777777" w:rsidR="001C4D71" w:rsidRPr="00406361" w:rsidRDefault="00FA5721" w:rsidP="001C4D71">
      <w:pPr>
        <w:ind w:left="709" w:hanging="709"/>
        <w:rPr>
          <w:color w:val="000000" w:themeColor="text1"/>
          <w:lang w:val="pt-BR"/>
        </w:rPr>
      </w:pPr>
      <w:r w:rsidRPr="00406361">
        <w:rPr>
          <w:color w:val="000000" w:themeColor="text1"/>
          <w:lang w:val="pt-BR"/>
        </w:rPr>
        <w:t xml:space="preserve">Machado, S. F., Alves, S. H. D. S., &amp; Caetano, P. F. (2020). Relação entre habilidades sociais, estresse, idade, sexo, escola e série em adolescentes. </w:t>
      </w:r>
      <w:r w:rsidRPr="00406361">
        <w:rPr>
          <w:i/>
          <w:color w:val="000000" w:themeColor="text1"/>
          <w:lang w:val="pt-BR"/>
        </w:rPr>
        <w:t>Fractal: Revista de Psicologia</w:t>
      </w:r>
      <w:r w:rsidRPr="00406361">
        <w:rPr>
          <w:color w:val="000000" w:themeColor="text1"/>
          <w:lang w:val="pt-BR"/>
        </w:rPr>
        <w:t>, 32, 210</w:t>
      </w:r>
      <w:r w:rsidR="00D05E54" w:rsidRPr="00406361">
        <w:rPr>
          <w:color w:val="000000" w:themeColor="text1"/>
          <w:lang w:val="pt-BR"/>
        </w:rPr>
        <w:t>–</w:t>
      </w:r>
      <w:r w:rsidRPr="00406361">
        <w:rPr>
          <w:color w:val="000000" w:themeColor="text1"/>
          <w:lang w:val="pt-BR"/>
        </w:rPr>
        <w:t>217.</w:t>
      </w:r>
      <w:r w:rsidR="004F6354" w:rsidRPr="00406361">
        <w:rPr>
          <w:color w:val="000000" w:themeColor="text1"/>
          <w:lang w:val="pt-BR"/>
        </w:rPr>
        <w:t xml:space="preserve"> </w:t>
      </w:r>
      <w:hyperlink r:id="rId35" w:history="1">
        <w:r w:rsidR="004F6354" w:rsidRPr="00406361">
          <w:rPr>
            <w:rStyle w:val="Hyperlink"/>
            <w:color w:val="000000" w:themeColor="text1"/>
            <w:lang w:val="pt-BR"/>
          </w:rPr>
          <w:t>https://doi.org/10.22409/1984-0292/v32_i-esp/39792</w:t>
        </w:r>
      </w:hyperlink>
      <w:r w:rsidR="004F6354" w:rsidRPr="00406361">
        <w:rPr>
          <w:color w:val="000000" w:themeColor="text1"/>
          <w:lang w:val="pt-BR"/>
        </w:rPr>
        <w:t xml:space="preserve"> </w:t>
      </w:r>
    </w:p>
    <w:p w14:paraId="3B47DF6B" w14:textId="39887132" w:rsidR="001C4D71" w:rsidRPr="00406361" w:rsidRDefault="001C4D71" w:rsidP="001C4D71">
      <w:pPr>
        <w:ind w:left="709" w:hanging="709"/>
        <w:rPr>
          <w:color w:val="000000" w:themeColor="text1"/>
          <w:lang w:val="pt-BR"/>
        </w:rPr>
      </w:pPr>
      <w:r w:rsidRPr="00406361">
        <w:rPr>
          <w:color w:val="000000" w:themeColor="text1"/>
        </w:rPr>
        <w:t xml:space="preserve">Mello, L. T. N., Trintin-Rodrigues, V., &amp; Andretta, I. (2019). Relation between social skills and life satisfaction by adolescents and use of applications for communication. </w:t>
      </w:r>
      <w:r w:rsidRPr="00406361">
        <w:rPr>
          <w:i/>
          <w:iCs/>
          <w:color w:val="000000" w:themeColor="text1"/>
        </w:rPr>
        <w:t>Quaderns de Psicologia</w:t>
      </w:r>
      <w:r w:rsidRPr="00406361">
        <w:rPr>
          <w:color w:val="000000" w:themeColor="text1"/>
        </w:rPr>
        <w:t xml:space="preserve">, </w:t>
      </w:r>
      <w:r w:rsidRPr="00406361">
        <w:rPr>
          <w:i/>
          <w:iCs/>
          <w:color w:val="000000" w:themeColor="text1"/>
        </w:rPr>
        <w:t>21</w:t>
      </w:r>
      <w:r w:rsidRPr="00406361">
        <w:rPr>
          <w:color w:val="000000" w:themeColor="text1"/>
        </w:rPr>
        <w:t>(1), 1463. https://doi.org/10.5565/rev/qpsicologia.1463</w:t>
      </w:r>
    </w:p>
    <w:p w14:paraId="0E9B8FFD" w14:textId="3CB25365" w:rsidR="00FA5721" w:rsidRPr="00406361" w:rsidRDefault="00FA5721" w:rsidP="003A51CC">
      <w:pPr>
        <w:ind w:left="709" w:hanging="709"/>
        <w:rPr>
          <w:color w:val="000000" w:themeColor="text1"/>
          <w:lang w:val="pt-BR"/>
        </w:rPr>
      </w:pPr>
      <w:r w:rsidRPr="00406361">
        <w:rPr>
          <w:color w:val="000000" w:themeColor="text1"/>
          <w:lang w:val="pt-BR"/>
        </w:rPr>
        <w:t xml:space="preserve">Moeller, R., &amp; Seehuus, M. (2019). Loneliness as a mediator for college students' social skills and experiences of depression and anxiety. </w:t>
      </w:r>
      <w:r w:rsidRPr="00406361">
        <w:rPr>
          <w:i/>
          <w:color w:val="000000" w:themeColor="text1"/>
          <w:lang w:val="pt-BR"/>
        </w:rPr>
        <w:t xml:space="preserve">Journal of </w:t>
      </w:r>
      <w:r w:rsidR="004F6354" w:rsidRPr="00406361">
        <w:rPr>
          <w:i/>
          <w:color w:val="000000" w:themeColor="text1"/>
          <w:lang w:val="pt-BR"/>
        </w:rPr>
        <w:t>A</w:t>
      </w:r>
      <w:r w:rsidRPr="00406361">
        <w:rPr>
          <w:i/>
          <w:color w:val="000000" w:themeColor="text1"/>
          <w:lang w:val="pt-BR"/>
        </w:rPr>
        <w:t xml:space="preserve">dolescence, </w:t>
      </w:r>
      <w:r w:rsidRPr="00406361">
        <w:rPr>
          <w:color w:val="000000" w:themeColor="text1"/>
          <w:lang w:val="pt-BR"/>
        </w:rPr>
        <w:t>73, 1</w:t>
      </w:r>
      <w:r w:rsidR="004F6354" w:rsidRPr="00406361">
        <w:rPr>
          <w:color w:val="000000" w:themeColor="text1"/>
          <w:lang w:val="pt-BR"/>
        </w:rPr>
        <w:t>–</w:t>
      </w:r>
      <w:r w:rsidRPr="00406361">
        <w:rPr>
          <w:color w:val="000000" w:themeColor="text1"/>
          <w:lang w:val="pt-BR"/>
        </w:rPr>
        <w:t xml:space="preserve">13. </w:t>
      </w:r>
      <w:hyperlink r:id="rId36" w:history="1">
        <w:r w:rsidRPr="00406361">
          <w:rPr>
            <w:rStyle w:val="Hyperlink"/>
            <w:color w:val="000000" w:themeColor="text1"/>
            <w:lang w:val="pt-BR"/>
          </w:rPr>
          <w:t>http://doi.org/10.1016/j.adolescence.2019.03.006</w:t>
        </w:r>
      </w:hyperlink>
      <w:r w:rsidRPr="00406361">
        <w:rPr>
          <w:color w:val="000000" w:themeColor="text1"/>
          <w:lang w:val="pt-BR"/>
        </w:rPr>
        <w:t xml:space="preserve"> </w:t>
      </w:r>
    </w:p>
    <w:p w14:paraId="02D068A4" w14:textId="2036148C" w:rsidR="00FA5721" w:rsidRPr="00406361" w:rsidRDefault="00FA5721" w:rsidP="003A51CC">
      <w:pPr>
        <w:ind w:left="709" w:hanging="709"/>
        <w:rPr>
          <w:color w:val="000000" w:themeColor="text1"/>
          <w:lang w:val="pt-BR"/>
        </w:rPr>
      </w:pPr>
      <w:r w:rsidRPr="00406361">
        <w:rPr>
          <w:color w:val="000000" w:themeColor="text1"/>
          <w:lang w:val="pt-BR"/>
        </w:rPr>
        <w:t xml:space="preserve">Mombelli, M., Costa, J., Marcon, S., &amp; Moura, C. (2011). Estrutura e suporte familiar como fatores de risco de stress infantil. </w:t>
      </w:r>
      <w:r w:rsidRPr="00406361">
        <w:rPr>
          <w:i/>
          <w:color w:val="000000" w:themeColor="text1"/>
          <w:lang w:val="pt-BR"/>
        </w:rPr>
        <w:t>Estudos em Psicologia</w:t>
      </w:r>
      <w:r w:rsidRPr="00406361">
        <w:rPr>
          <w:color w:val="000000" w:themeColor="text1"/>
          <w:lang w:val="pt-BR"/>
        </w:rPr>
        <w:t xml:space="preserve">, 28(3). </w:t>
      </w:r>
      <w:hyperlink r:id="rId37">
        <w:r w:rsidRPr="00406361">
          <w:rPr>
            <w:color w:val="000000" w:themeColor="text1"/>
            <w:u w:val="single"/>
            <w:lang w:val="pt-BR"/>
          </w:rPr>
          <w:t>https://doi.org/10.1590/S0103-166X2011000300004</w:t>
        </w:r>
      </w:hyperlink>
      <w:r w:rsidRPr="00406361">
        <w:rPr>
          <w:color w:val="000000" w:themeColor="text1"/>
          <w:lang w:val="pt-BR"/>
        </w:rPr>
        <w:t>.</w:t>
      </w:r>
    </w:p>
    <w:p w14:paraId="27D5C88E" w14:textId="55BF03F1" w:rsidR="00FA5721" w:rsidRPr="00406361" w:rsidRDefault="00FA5721" w:rsidP="003A51CC">
      <w:pPr>
        <w:ind w:left="709" w:hanging="709"/>
        <w:rPr>
          <w:color w:val="000000" w:themeColor="text1"/>
          <w:lang w:val="pt-BR"/>
        </w:rPr>
      </w:pPr>
      <w:r w:rsidRPr="00406361">
        <w:rPr>
          <w:color w:val="000000" w:themeColor="text1"/>
          <w:lang w:val="pt-BR"/>
        </w:rPr>
        <w:t>Morais, G., Leme, V., Medeiros, A. &amp; Pereira-Guizzo, C. (2021) Habilidades sociais e expectativas de futuro como preditores da autoeficácia para a escolha profissional.</w:t>
      </w:r>
      <w:r w:rsidR="004F6354" w:rsidRPr="00406361">
        <w:rPr>
          <w:color w:val="000000" w:themeColor="text1"/>
          <w:lang w:val="pt-BR"/>
        </w:rPr>
        <w:t xml:space="preserve"> </w:t>
      </w:r>
      <w:r w:rsidRPr="00406361">
        <w:rPr>
          <w:i/>
          <w:iCs/>
          <w:color w:val="000000" w:themeColor="text1"/>
          <w:lang w:val="pt-BR"/>
        </w:rPr>
        <w:t>Psico</w:t>
      </w:r>
      <w:r w:rsidR="004F6354" w:rsidRPr="00406361">
        <w:rPr>
          <w:i/>
          <w:iCs/>
          <w:color w:val="000000" w:themeColor="text1"/>
          <w:lang w:val="pt-BR"/>
        </w:rPr>
        <w:t>,</w:t>
      </w:r>
      <w:r w:rsidRPr="00406361">
        <w:rPr>
          <w:i/>
          <w:iCs/>
          <w:color w:val="000000" w:themeColor="text1"/>
          <w:lang w:val="pt-BR"/>
        </w:rPr>
        <w:t xml:space="preserve"> 52</w:t>
      </w:r>
      <w:r w:rsidRPr="00406361">
        <w:rPr>
          <w:color w:val="000000" w:themeColor="text1"/>
          <w:lang w:val="pt-BR"/>
        </w:rPr>
        <w:t>(2)</w:t>
      </w:r>
      <w:r w:rsidR="004F6354" w:rsidRPr="00406361">
        <w:rPr>
          <w:color w:val="000000" w:themeColor="text1"/>
          <w:lang w:val="pt-BR"/>
        </w:rPr>
        <w:t xml:space="preserve">, e32374. </w:t>
      </w:r>
      <w:hyperlink r:id="rId38" w:history="1">
        <w:r w:rsidR="004F6354" w:rsidRPr="00406361">
          <w:rPr>
            <w:rStyle w:val="Hyperlink"/>
            <w:color w:val="000000" w:themeColor="text1"/>
            <w:lang w:val="pt-BR"/>
          </w:rPr>
          <w:t>https://doi.org/10.15448/1980-8623.2021.2.32374</w:t>
        </w:r>
      </w:hyperlink>
      <w:r w:rsidR="004F6354" w:rsidRPr="00406361">
        <w:rPr>
          <w:color w:val="000000" w:themeColor="text1"/>
          <w:lang w:val="pt-BR"/>
        </w:rPr>
        <w:t xml:space="preserve"> </w:t>
      </w:r>
    </w:p>
    <w:p w14:paraId="5993ABB9" w14:textId="490BDD3F" w:rsidR="00FA5721" w:rsidRPr="00406361" w:rsidRDefault="00FA5721" w:rsidP="003A51CC">
      <w:pPr>
        <w:ind w:left="709" w:hanging="709"/>
        <w:rPr>
          <w:color w:val="000000" w:themeColor="text1"/>
          <w:lang w:val="pt-BR"/>
        </w:rPr>
      </w:pPr>
      <w:r w:rsidRPr="00406361">
        <w:rPr>
          <w:color w:val="000000" w:themeColor="text1"/>
          <w:lang w:val="pt-BR"/>
        </w:rPr>
        <w:t xml:space="preserve">Núcleo de Informação e Coordenação do Ponto BR </w:t>
      </w:r>
      <w:r w:rsidR="00115921" w:rsidRPr="00406361">
        <w:rPr>
          <w:color w:val="000000" w:themeColor="text1"/>
          <w:lang w:val="pt-BR"/>
        </w:rPr>
        <w:t>[</w:t>
      </w:r>
      <w:r w:rsidRPr="00406361">
        <w:rPr>
          <w:color w:val="000000" w:themeColor="text1"/>
          <w:lang w:val="pt-BR"/>
        </w:rPr>
        <w:t>NIC.br</w:t>
      </w:r>
      <w:r w:rsidR="00115921" w:rsidRPr="00406361">
        <w:rPr>
          <w:color w:val="000000" w:themeColor="text1"/>
          <w:lang w:val="pt-BR"/>
        </w:rPr>
        <w:t>]</w:t>
      </w:r>
      <w:r w:rsidRPr="00406361">
        <w:rPr>
          <w:color w:val="000000" w:themeColor="text1"/>
          <w:lang w:val="pt-BR"/>
        </w:rPr>
        <w:t xml:space="preserve">. (2020). Pesquisa sobre o uso das tecnologias de informação e comunicação: pesquisa TIC Domicílios, ano 2019. </w:t>
      </w:r>
      <w:hyperlink r:id="rId39" w:history="1">
        <w:r w:rsidRPr="00406361">
          <w:rPr>
            <w:rStyle w:val="Hyperlink"/>
            <w:color w:val="000000" w:themeColor="text1"/>
            <w:lang w:val="pt-BR"/>
          </w:rPr>
          <w:t>http://cetic.br/pt/arquivos/domicilios/2019/domicilios/</w:t>
        </w:r>
      </w:hyperlink>
      <w:r w:rsidRPr="00406361">
        <w:rPr>
          <w:color w:val="000000" w:themeColor="text1"/>
          <w:lang w:val="pt-BR"/>
        </w:rPr>
        <w:t xml:space="preserve"> </w:t>
      </w:r>
    </w:p>
    <w:p w14:paraId="6FAE526E" w14:textId="587784B4" w:rsidR="00FA5721" w:rsidRPr="00406361" w:rsidRDefault="00FA5721" w:rsidP="003A51CC">
      <w:pPr>
        <w:ind w:left="709" w:hanging="709"/>
        <w:rPr>
          <w:color w:val="000000" w:themeColor="text1"/>
          <w:lang w:val="pt-BR"/>
        </w:rPr>
      </w:pPr>
      <w:r w:rsidRPr="00406361">
        <w:rPr>
          <w:color w:val="000000" w:themeColor="text1"/>
          <w:lang w:val="pt-BR"/>
        </w:rPr>
        <w:t xml:space="preserve">Parikh, R., Sapru, M., Krishna, M., Cuijpers, P., Patel, V., &amp; Michelson, D. (2019). “It is like a mind attack”: stress and coping among urban school-going adolescents in India.  </w:t>
      </w:r>
      <w:r w:rsidRPr="00406361">
        <w:rPr>
          <w:i/>
          <w:color w:val="000000" w:themeColor="text1"/>
          <w:lang w:val="pt-BR"/>
        </w:rPr>
        <w:t>BMC Psychology</w:t>
      </w:r>
      <w:r w:rsidRPr="00406361">
        <w:rPr>
          <w:color w:val="000000" w:themeColor="text1"/>
          <w:lang w:val="pt-BR"/>
        </w:rPr>
        <w:t xml:space="preserve">, </w:t>
      </w:r>
      <w:r w:rsidRPr="00406361">
        <w:rPr>
          <w:i/>
          <w:iCs/>
          <w:color w:val="000000" w:themeColor="text1"/>
          <w:lang w:val="pt-BR"/>
        </w:rPr>
        <w:t>7</w:t>
      </w:r>
      <w:r w:rsidRPr="00406361">
        <w:rPr>
          <w:color w:val="000000" w:themeColor="text1"/>
          <w:lang w:val="pt-BR"/>
        </w:rPr>
        <w:t xml:space="preserve">(31). </w:t>
      </w:r>
      <w:hyperlink r:id="rId40" w:history="1">
        <w:r w:rsidRPr="00406361">
          <w:rPr>
            <w:rStyle w:val="Hyperlink"/>
            <w:color w:val="000000" w:themeColor="text1"/>
            <w:lang w:val="pt-BR"/>
          </w:rPr>
          <w:t>http://doi.org/10.1186/s40359-019-0306-z</w:t>
        </w:r>
      </w:hyperlink>
      <w:r w:rsidRPr="00406361">
        <w:rPr>
          <w:color w:val="000000" w:themeColor="text1"/>
          <w:lang w:val="pt-BR"/>
        </w:rPr>
        <w:t xml:space="preserve"> </w:t>
      </w:r>
    </w:p>
    <w:p w14:paraId="65E167B2" w14:textId="7C2AC6ED" w:rsidR="00FA5721" w:rsidRPr="00406361" w:rsidRDefault="00FA5721" w:rsidP="003A51CC">
      <w:pPr>
        <w:ind w:left="709" w:hanging="709"/>
        <w:rPr>
          <w:color w:val="000000" w:themeColor="text1"/>
          <w:lang w:val="pt-BR"/>
        </w:rPr>
      </w:pPr>
      <w:r w:rsidRPr="00406361">
        <w:rPr>
          <w:color w:val="000000" w:themeColor="text1"/>
          <w:lang w:val="pt-BR"/>
        </w:rPr>
        <w:t xml:space="preserve">Perry, N., Dollar, J., Calkins, S., Keane, S., &amp; Shanahan, L. (2020). Maternal socialization of child emotion and adolescent adjustment: Indirect effects through emotion regulation. </w:t>
      </w:r>
      <w:r w:rsidRPr="00406361">
        <w:rPr>
          <w:i/>
          <w:color w:val="000000" w:themeColor="text1"/>
          <w:lang w:val="pt-BR"/>
        </w:rPr>
        <w:t>Developmental Psychology</w:t>
      </w:r>
      <w:r w:rsidRPr="00406361">
        <w:rPr>
          <w:color w:val="000000" w:themeColor="text1"/>
          <w:lang w:val="pt-BR"/>
        </w:rPr>
        <w:t>, 56</w:t>
      </w:r>
      <w:r w:rsidR="00671EA6" w:rsidRPr="00406361">
        <w:rPr>
          <w:color w:val="000000" w:themeColor="text1"/>
          <w:lang w:val="pt-BR"/>
        </w:rPr>
        <w:t>(3)</w:t>
      </w:r>
      <w:r w:rsidRPr="00406361">
        <w:rPr>
          <w:color w:val="000000" w:themeColor="text1"/>
          <w:lang w:val="pt-BR"/>
        </w:rPr>
        <w:t>, 541–552.</w:t>
      </w:r>
      <w:r w:rsidR="004F6354" w:rsidRPr="00406361">
        <w:rPr>
          <w:color w:val="000000" w:themeColor="text1"/>
          <w:lang w:val="pt-BR"/>
        </w:rPr>
        <w:t xml:space="preserve"> </w:t>
      </w:r>
      <w:hyperlink r:id="rId41" w:history="1">
        <w:r w:rsidR="004F6354" w:rsidRPr="00406361">
          <w:rPr>
            <w:rStyle w:val="Hyperlink"/>
            <w:color w:val="000000" w:themeColor="text1"/>
            <w:lang w:val="pt-BR"/>
          </w:rPr>
          <w:t>http://doi.org/10.1037/dev0000815</w:t>
        </w:r>
      </w:hyperlink>
      <w:r w:rsidR="004F6354" w:rsidRPr="00406361">
        <w:rPr>
          <w:color w:val="000000" w:themeColor="text1"/>
          <w:lang w:val="pt-BR"/>
        </w:rPr>
        <w:t xml:space="preserve"> </w:t>
      </w:r>
    </w:p>
    <w:p w14:paraId="18223F7E" w14:textId="101E74A0" w:rsidR="00FA5721" w:rsidRPr="00406361" w:rsidRDefault="00FA5721" w:rsidP="003A51CC">
      <w:pPr>
        <w:ind w:left="709" w:hanging="709"/>
        <w:rPr>
          <w:color w:val="000000" w:themeColor="text1"/>
          <w:lang w:val="pt-BR"/>
        </w:rPr>
      </w:pPr>
      <w:r w:rsidRPr="00406361">
        <w:rPr>
          <w:color w:val="000000" w:themeColor="text1"/>
          <w:lang w:val="pt-BR"/>
        </w:rPr>
        <w:t xml:space="preserve">Peuker, A., Caovilla, J., Costa, C., &amp; Mosmann, C. (2020). Uso de álcool e outras drogas por adolescentes: associações com problemas emocionais e comportamentais e o funcionamento familiar. </w:t>
      </w:r>
      <w:r w:rsidRPr="00406361">
        <w:rPr>
          <w:i/>
          <w:iCs/>
          <w:color w:val="000000" w:themeColor="text1"/>
          <w:lang w:val="pt-BR"/>
        </w:rPr>
        <w:t>Psicologia Clínica, 32</w:t>
      </w:r>
      <w:r w:rsidRPr="00406361">
        <w:rPr>
          <w:color w:val="000000" w:themeColor="text1"/>
          <w:lang w:val="pt-BR"/>
        </w:rPr>
        <w:t>(2), 315</w:t>
      </w:r>
      <w:r w:rsidR="00671EA6" w:rsidRPr="00406361">
        <w:rPr>
          <w:color w:val="000000" w:themeColor="text1"/>
          <w:lang w:val="pt-BR"/>
        </w:rPr>
        <w:t>–</w:t>
      </w:r>
      <w:r w:rsidRPr="00406361">
        <w:rPr>
          <w:color w:val="000000" w:themeColor="text1"/>
          <w:lang w:val="pt-BR"/>
        </w:rPr>
        <w:t xml:space="preserve">334. </w:t>
      </w:r>
      <w:hyperlink r:id="rId42" w:history="1">
        <w:r w:rsidRPr="00406361">
          <w:rPr>
            <w:rStyle w:val="Hyperlink"/>
            <w:color w:val="000000" w:themeColor="text1"/>
            <w:lang w:val="pt-BR"/>
          </w:rPr>
          <w:t>https://dx.doi.org/10.33208/PC1980-5438v0032n02A06</w:t>
        </w:r>
      </w:hyperlink>
      <w:r w:rsidRPr="00406361">
        <w:rPr>
          <w:color w:val="000000" w:themeColor="text1"/>
          <w:lang w:val="pt-BR"/>
        </w:rPr>
        <w:t xml:space="preserve"> </w:t>
      </w:r>
    </w:p>
    <w:p w14:paraId="74EA8535" w14:textId="166E2044" w:rsidR="00FA5721" w:rsidRPr="00406361" w:rsidRDefault="00FA5721" w:rsidP="00DA5156">
      <w:pPr>
        <w:ind w:left="709" w:hanging="709"/>
        <w:rPr>
          <w:color w:val="000000" w:themeColor="text1"/>
          <w:lang w:val="pt-BR"/>
        </w:rPr>
      </w:pPr>
      <w:r w:rsidRPr="00406361">
        <w:rPr>
          <w:color w:val="000000" w:themeColor="text1"/>
          <w:lang w:val="pt-BR"/>
        </w:rPr>
        <w:t xml:space="preserve">Portillo, J., Monroy, D., Vasco, A., &amp; Chacon, S. (2019). Habilidades sociais e risco suicida em adolescentes de uma instituição educativa da cidade de Armênia (Quindío, Colombia). </w:t>
      </w:r>
      <w:r w:rsidRPr="00406361">
        <w:rPr>
          <w:i/>
          <w:color w:val="000000" w:themeColor="text1"/>
          <w:lang w:val="pt-BR"/>
        </w:rPr>
        <w:t>Revista Ciencias de la Salud</w:t>
      </w:r>
      <w:r w:rsidRPr="00406361">
        <w:rPr>
          <w:color w:val="000000" w:themeColor="text1"/>
          <w:lang w:val="pt-BR"/>
        </w:rPr>
        <w:t xml:space="preserve">, </w:t>
      </w:r>
      <w:r w:rsidRPr="00406361">
        <w:rPr>
          <w:i/>
          <w:iCs/>
          <w:color w:val="000000" w:themeColor="text1"/>
          <w:lang w:val="pt-BR"/>
        </w:rPr>
        <w:t>17</w:t>
      </w:r>
      <w:r w:rsidR="00671EA6" w:rsidRPr="00406361">
        <w:rPr>
          <w:color w:val="000000" w:themeColor="text1"/>
          <w:lang w:val="pt-BR"/>
        </w:rPr>
        <w:t>(</w:t>
      </w:r>
      <w:r w:rsidRPr="00406361">
        <w:rPr>
          <w:color w:val="000000" w:themeColor="text1"/>
          <w:lang w:val="pt-BR"/>
        </w:rPr>
        <w:t>1</w:t>
      </w:r>
      <w:r w:rsidR="00671EA6" w:rsidRPr="00406361">
        <w:rPr>
          <w:color w:val="000000" w:themeColor="text1"/>
          <w:lang w:val="pt-BR"/>
        </w:rPr>
        <w:t>)</w:t>
      </w:r>
      <w:r w:rsidRPr="00406361">
        <w:rPr>
          <w:color w:val="000000" w:themeColor="text1"/>
          <w:lang w:val="pt-BR"/>
        </w:rPr>
        <w:t>, 19</w:t>
      </w:r>
      <w:r w:rsidR="00671EA6" w:rsidRPr="00406361">
        <w:rPr>
          <w:color w:val="000000" w:themeColor="text1"/>
          <w:lang w:val="pt-BR"/>
        </w:rPr>
        <w:t>–</w:t>
      </w:r>
      <w:r w:rsidRPr="00406361">
        <w:rPr>
          <w:color w:val="000000" w:themeColor="text1"/>
          <w:lang w:val="pt-BR"/>
        </w:rPr>
        <w:t xml:space="preserve">33. </w:t>
      </w:r>
      <w:hyperlink r:id="rId43">
        <w:r w:rsidRPr="00406361">
          <w:rPr>
            <w:color w:val="000000" w:themeColor="text1"/>
            <w:u w:val="single"/>
            <w:lang w:val="pt-BR"/>
          </w:rPr>
          <w:t>https://doi.org/10.12804/revistas.urosario.edu.co/revsalud/a.7611</w:t>
        </w:r>
      </w:hyperlink>
      <w:r w:rsidRPr="00406361">
        <w:rPr>
          <w:color w:val="000000" w:themeColor="text1"/>
          <w:lang w:val="pt-BR"/>
        </w:rPr>
        <w:t>.</w:t>
      </w:r>
    </w:p>
    <w:p w14:paraId="64054A8C" w14:textId="575BC644" w:rsidR="00FA5721" w:rsidRPr="00406361" w:rsidRDefault="00FA5721" w:rsidP="00DA5156">
      <w:pPr>
        <w:ind w:left="709" w:hanging="709"/>
        <w:rPr>
          <w:color w:val="000000" w:themeColor="text1"/>
          <w:lang w:val="pt-BR"/>
        </w:rPr>
      </w:pPr>
      <w:r w:rsidRPr="00406361">
        <w:rPr>
          <w:color w:val="000000" w:themeColor="text1"/>
          <w:lang w:val="pt-BR"/>
        </w:rPr>
        <w:t>Roblyer, M., Grzywacz, J., Suerken, C., Trejo, G., Ip, H., Arcury, T., &amp; Quandt, S. (2016). Interpersonal and social correlates of depressive symptoms among Latinas in farmworker families living in North Carolina</w:t>
      </w:r>
      <w:r w:rsidR="00671EA6" w:rsidRPr="00406361">
        <w:rPr>
          <w:color w:val="000000" w:themeColor="text1"/>
          <w:lang w:val="pt-BR"/>
        </w:rPr>
        <w:t>.</w:t>
      </w:r>
      <w:r w:rsidRPr="00406361">
        <w:rPr>
          <w:color w:val="000000" w:themeColor="text1"/>
          <w:lang w:val="pt-BR"/>
        </w:rPr>
        <w:t xml:space="preserve"> </w:t>
      </w:r>
      <w:r w:rsidRPr="00406361">
        <w:rPr>
          <w:i/>
          <w:iCs/>
          <w:color w:val="000000" w:themeColor="text1"/>
          <w:lang w:val="pt-BR"/>
        </w:rPr>
        <w:t>Women &amp; Health, 56</w:t>
      </w:r>
      <w:r w:rsidR="00671EA6" w:rsidRPr="00406361">
        <w:rPr>
          <w:color w:val="000000" w:themeColor="text1"/>
          <w:lang w:val="pt-BR"/>
        </w:rPr>
        <w:t>(</w:t>
      </w:r>
      <w:r w:rsidRPr="00406361">
        <w:rPr>
          <w:color w:val="000000" w:themeColor="text1"/>
          <w:lang w:val="pt-BR"/>
        </w:rPr>
        <w:t>2</w:t>
      </w:r>
      <w:r w:rsidR="00671EA6" w:rsidRPr="00406361">
        <w:rPr>
          <w:color w:val="000000" w:themeColor="text1"/>
          <w:lang w:val="pt-BR"/>
        </w:rPr>
        <w:t>)</w:t>
      </w:r>
      <w:r w:rsidRPr="00406361">
        <w:rPr>
          <w:color w:val="000000" w:themeColor="text1"/>
          <w:lang w:val="pt-BR"/>
        </w:rPr>
        <w:t>, 177</w:t>
      </w:r>
      <w:r w:rsidR="00671EA6" w:rsidRPr="00406361">
        <w:rPr>
          <w:color w:val="000000" w:themeColor="text1"/>
          <w:lang w:val="pt-BR"/>
        </w:rPr>
        <w:t>–</w:t>
      </w:r>
      <w:r w:rsidRPr="00406361">
        <w:rPr>
          <w:color w:val="000000" w:themeColor="text1"/>
          <w:lang w:val="pt-BR"/>
        </w:rPr>
        <w:t xml:space="preserve">193. </w:t>
      </w:r>
      <w:hyperlink r:id="rId44" w:history="1">
        <w:r w:rsidRPr="00406361">
          <w:rPr>
            <w:rStyle w:val="Hyperlink"/>
            <w:color w:val="000000" w:themeColor="text1"/>
            <w:lang w:val="pt-BR"/>
          </w:rPr>
          <w:t>http://doi.org/10.1080/03630242.2015.1086464</w:t>
        </w:r>
      </w:hyperlink>
      <w:r w:rsidRPr="00406361">
        <w:rPr>
          <w:color w:val="000000" w:themeColor="text1"/>
          <w:lang w:val="pt-BR"/>
        </w:rPr>
        <w:t xml:space="preserve"> </w:t>
      </w:r>
    </w:p>
    <w:p w14:paraId="3A09C649" w14:textId="5C74A466" w:rsidR="00FA5721" w:rsidRPr="00406361" w:rsidRDefault="00FA5721" w:rsidP="00DA5156">
      <w:pPr>
        <w:ind w:left="709" w:hanging="709"/>
        <w:rPr>
          <w:color w:val="000000" w:themeColor="text1"/>
          <w:lang w:val="pt-BR"/>
        </w:rPr>
      </w:pPr>
      <w:r w:rsidRPr="00406361">
        <w:rPr>
          <w:color w:val="000000" w:themeColor="text1"/>
          <w:lang w:val="pt-BR"/>
        </w:rPr>
        <w:t xml:space="preserve">Sampieri, R., Collado, C., &amp; Lucio, M. (2013). </w:t>
      </w:r>
      <w:r w:rsidRPr="00406361">
        <w:rPr>
          <w:i/>
          <w:color w:val="000000" w:themeColor="text1"/>
          <w:lang w:val="pt-BR"/>
        </w:rPr>
        <w:t>Metodologia de Pesquisa</w:t>
      </w:r>
      <w:r w:rsidR="00671EA6" w:rsidRPr="00406361">
        <w:rPr>
          <w:color w:val="000000" w:themeColor="text1"/>
          <w:lang w:val="pt-BR"/>
        </w:rPr>
        <w:t xml:space="preserve"> (</w:t>
      </w:r>
      <w:r w:rsidRPr="00406361">
        <w:rPr>
          <w:color w:val="000000" w:themeColor="text1"/>
          <w:lang w:val="pt-BR"/>
        </w:rPr>
        <w:t>5</w:t>
      </w:r>
      <w:r w:rsidR="00671EA6" w:rsidRPr="00406361">
        <w:rPr>
          <w:color w:val="000000" w:themeColor="text1"/>
          <w:lang w:val="pt-BR"/>
        </w:rPr>
        <w:t>th</w:t>
      </w:r>
      <w:r w:rsidRPr="00406361">
        <w:rPr>
          <w:color w:val="000000" w:themeColor="text1"/>
          <w:lang w:val="pt-BR"/>
        </w:rPr>
        <w:t xml:space="preserve"> ed</w:t>
      </w:r>
      <w:r w:rsidR="00671EA6" w:rsidRPr="00406361">
        <w:rPr>
          <w:color w:val="000000" w:themeColor="text1"/>
          <w:lang w:val="pt-BR"/>
        </w:rPr>
        <w:t>.)</w:t>
      </w:r>
      <w:r w:rsidRPr="00406361">
        <w:rPr>
          <w:color w:val="000000" w:themeColor="text1"/>
          <w:lang w:val="pt-BR"/>
        </w:rPr>
        <w:t>.</w:t>
      </w:r>
      <w:r w:rsidR="00671EA6" w:rsidRPr="00406361">
        <w:rPr>
          <w:color w:val="000000" w:themeColor="text1"/>
          <w:lang w:val="pt-BR"/>
        </w:rPr>
        <w:t xml:space="preserve"> </w:t>
      </w:r>
      <w:r w:rsidRPr="00406361">
        <w:rPr>
          <w:color w:val="000000" w:themeColor="text1"/>
          <w:lang w:val="pt-BR"/>
        </w:rPr>
        <w:t>Penso.</w:t>
      </w:r>
    </w:p>
    <w:p w14:paraId="2408A7CD" w14:textId="54C9570A" w:rsidR="00FA5721" w:rsidRPr="00406361" w:rsidRDefault="00FA5721" w:rsidP="00DA5156">
      <w:pPr>
        <w:ind w:left="709" w:hanging="709"/>
        <w:jc w:val="both"/>
        <w:rPr>
          <w:color w:val="000000" w:themeColor="text1"/>
          <w:highlight w:val="white"/>
          <w:lang w:val="pt-BR"/>
        </w:rPr>
      </w:pPr>
      <w:r w:rsidRPr="00406361">
        <w:rPr>
          <w:color w:val="000000" w:themeColor="text1"/>
          <w:highlight w:val="white"/>
          <w:lang w:val="pt-BR"/>
        </w:rPr>
        <w:t xml:space="preserve">Shepherd, H., Evans, T., Gupta, S., McDonough, M., Doyle-Baker, P., Belton, K., Karmali, S., Pawer, S., Hadly, G., Pike, I., Adams, S., Babul, S., Yeates, K., Kopala-Sibley, D., Schneider, K., Cowle, S., Fuselli, P., Emery, C., &amp; Black, A. (2021). The Impact of COVID-19 on High School Student-Athlete Experiences with Physical Activity, Mental Health, and Social Connection.  </w:t>
      </w:r>
      <w:r w:rsidRPr="00406361">
        <w:rPr>
          <w:i/>
          <w:color w:val="000000" w:themeColor="text1"/>
          <w:highlight w:val="white"/>
          <w:lang w:val="pt-BR"/>
        </w:rPr>
        <w:t>International Journal of Environmental Research and Public Health</w:t>
      </w:r>
      <w:r w:rsidRPr="00406361">
        <w:rPr>
          <w:color w:val="000000" w:themeColor="text1"/>
          <w:highlight w:val="white"/>
          <w:lang w:val="pt-BR"/>
        </w:rPr>
        <w:t xml:space="preserve">, </w:t>
      </w:r>
      <w:r w:rsidRPr="00406361">
        <w:rPr>
          <w:i/>
          <w:iCs/>
          <w:color w:val="000000" w:themeColor="text1"/>
          <w:highlight w:val="white"/>
          <w:lang w:val="pt-BR"/>
        </w:rPr>
        <w:t>18</w:t>
      </w:r>
      <w:r w:rsidRPr="00406361">
        <w:rPr>
          <w:color w:val="000000" w:themeColor="text1"/>
          <w:highlight w:val="white"/>
          <w:lang w:val="pt-BR"/>
        </w:rPr>
        <w:t>(7), 1</w:t>
      </w:r>
      <w:r w:rsidR="00D05E54" w:rsidRPr="00406361">
        <w:rPr>
          <w:color w:val="000000" w:themeColor="text1"/>
          <w:highlight w:val="white"/>
          <w:lang w:val="pt-BR"/>
        </w:rPr>
        <w:t>–</w:t>
      </w:r>
      <w:r w:rsidRPr="00406361">
        <w:rPr>
          <w:color w:val="000000" w:themeColor="text1"/>
          <w:highlight w:val="white"/>
          <w:lang w:val="pt-BR"/>
        </w:rPr>
        <w:t>1</w:t>
      </w:r>
      <w:r w:rsidR="00806E37" w:rsidRPr="00406361">
        <w:rPr>
          <w:color w:val="000000" w:themeColor="text1"/>
          <w:highlight w:val="white"/>
          <w:lang w:val="pt-BR"/>
        </w:rPr>
        <w:t>4</w:t>
      </w:r>
      <w:r w:rsidRPr="00406361">
        <w:rPr>
          <w:color w:val="000000" w:themeColor="text1"/>
          <w:highlight w:val="white"/>
          <w:lang w:val="pt-BR"/>
        </w:rPr>
        <w:t>.</w:t>
      </w:r>
      <w:r w:rsidRPr="00406361">
        <w:rPr>
          <w:color w:val="000000" w:themeColor="text1"/>
          <w:lang w:val="pt-BR"/>
        </w:rPr>
        <w:t xml:space="preserve"> </w:t>
      </w:r>
      <w:hyperlink r:id="rId45" w:history="1">
        <w:r w:rsidRPr="00406361">
          <w:rPr>
            <w:rStyle w:val="Hyperlink"/>
            <w:color w:val="000000" w:themeColor="text1"/>
            <w:lang w:val="pt-BR"/>
          </w:rPr>
          <w:t>http://doi.org/</w:t>
        </w:r>
        <w:r w:rsidRPr="00406361">
          <w:rPr>
            <w:rStyle w:val="Hyperlink"/>
            <w:color w:val="000000" w:themeColor="text1"/>
            <w:highlight w:val="white"/>
            <w:lang w:val="pt-BR"/>
          </w:rPr>
          <w:t>10.3390/ijerph18073515</w:t>
        </w:r>
      </w:hyperlink>
      <w:r w:rsidRPr="00406361">
        <w:rPr>
          <w:color w:val="000000" w:themeColor="text1"/>
          <w:lang w:val="pt-BR"/>
        </w:rPr>
        <w:t xml:space="preserve"> </w:t>
      </w:r>
    </w:p>
    <w:p w14:paraId="7B1A2FAC" w14:textId="3190AF7C" w:rsidR="00FA5721" w:rsidRPr="00406361" w:rsidRDefault="00FA5721" w:rsidP="00DA5156">
      <w:pPr>
        <w:ind w:left="709" w:hanging="709"/>
        <w:rPr>
          <w:color w:val="000000" w:themeColor="text1"/>
          <w:lang w:val="pt-BR"/>
        </w:rPr>
      </w:pPr>
      <w:r w:rsidRPr="00406361">
        <w:rPr>
          <w:color w:val="000000" w:themeColor="text1"/>
          <w:lang w:val="pt-BR"/>
        </w:rPr>
        <w:t xml:space="preserve">Segrin, C. (2019). Indirect Effects of Social Skills on Health Through Stress and Loneliness. </w:t>
      </w:r>
      <w:r w:rsidRPr="00406361">
        <w:rPr>
          <w:i/>
          <w:color w:val="000000" w:themeColor="text1"/>
          <w:lang w:val="pt-BR"/>
        </w:rPr>
        <w:t>Health Commun</w:t>
      </w:r>
      <w:r w:rsidRPr="00406361">
        <w:rPr>
          <w:color w:val="000000" w:themeColor="text1"/>
          <w:lang w:val="pt-BR"/>
        </w:rPr>
        <w:t xml:space="preserve">, </w:t>
      </w:r>
      <w:r w:rsidRPr="00406361">
        <w:rPr>
          <w:i/>
          <w:iCs/>
          <w:color w:val="000000" w:themeColor="text1"/>
          <w:lang w:val="pt-BR"/>
        </w:rPr>
        <w:t>34</w:t>
      </w:r>
      <w:r w:rsidR="00806E37" w:rsidRPr="00406361">
        <w:rPr>
          <w:color w:val="000000" w:themeColor="text1"/>
          <w:lang w:val="pt-BR"/>
        </w:rPr>
        <w:t>(</w:t>
      </w:r>
      <w:r w:rsidRPr="00406361">
        <w:rPr>
          <w:color w:val="000000" w:themeColor="text1"/>
          <w:lang w:val="pt-BR"/>
        </w:rPr>
        <w:t>1</w:t>
      </w:r>
      <w:r w:rsidR="00806E37" w:rsidRPr="00406361">
        <w:rPr>
          <w:color w:val="000000" w:themeColor="text1"/>
          <w:lang w:val="pt-BR"/>
        </w:rPr>
        <w:t>), 118</w:t>
      </w:r>
      <w:r w:rsidR="00D05E54" w:rsidRPr="00406361">
        <w:rPr>
          <w:color w:val="000000" w:themeColor="text1"/>
          <w:lang w:val="pt-BR"/>
        </w:rPr>
        <w:t>–</w:t>
      </w:r>
      <w:r w:rsidR="00806E37" w:rsidRPr="00406361">
        <w:rPr>
          <w:color w:val="000000" w:themeColor="text1"/>
          <w:lang w:val="pt-BR"/>
        </w:rPr>
        <w:t>124</w:t>
      </w:r>
      <w:r w:rsidRPr="00406361">
        <w:rPr>
          <w:color w:val="000000" w:themeColor="text1"/>
          <w:lang w:val="pt-BR"/>
        </w:rPr>
        <w:t xml:space="preserve">. </w:t>
      </w:r>
      <w:hyperlink r:id="rId46" w:history="1">
        <w:r w:rsidRPr="00406361">
          <w:rPr>
            <w:rStyle w:val="Hyperlink"/>
            <w:color w:val="000000" w:themeColor="text1"/>
            <w:lang w:val="pt-BR"/>
          </w:rPr>
          <w:t>http://doi.org/10.1080/10410236.2017.1384434</w:t>
        </w:r>
      </w:hyperlink>
      <w:r w:rsidRPr="00406361">
        <w:rPr>
          <w:color w:val="000000" w:themeColor="text1"/>
          <w:lang w:val="pt-BR"/>
        </w:rPr>
        <w:t xml:space="preserve"> </w:t>
      </w:r>
    </w:p>
    <w:p w14:paraId="36A3CF46" w14:textId="21BD39E9" w:rsidR="00FA5721" w:rsidRPr="00406361" w:rsidRDefault="00FA5721" w:rsidP="00DA5156">
      <w:pPr>
        <w:ind w:left="709" w:hanging="709"/>
        <w:rPr>
          <w:color w:val="000000" w:themeColor="text1"/>
          <w:u w:val="single"/>
          <w:lang w:val="pt-BR"/>
        </w:rPr>
      </w:pPr>
      <w:r w:rsidRPr="00406361">
        <w:rPr>
          <w:color w:val="000000" w:themeColor="text1"/>
          <w:lang w:val="pt-BR"/>
        </w:rPr>
        <w:t xml:space="preserve">Teodoro, M. (2006). </w:t>
      </w:r>
      <w:r w:rsidR="00806E37" w:rsidRPr="00406361">
        <w:rPr>
          <w:color w:val="000000" w:themeColor="text1"/>
          <w:lang w:val="pt-BR"/>
        </w:rPr>
        <w:t>Afetividade e conflito em díades familiares: avaliação com o familiogram</w:t>
      </w:r>
      <w:r w:rsidRPr="00406361">
        <w:rPr>
          <w:color w:val="000000" w:themeColor="text1"/>
          <w:lang w:val="pt-BR"/>
        </w:rPr>
        <w:t xml:space="preserve">a.  </w:t>
      </w:r>
      <w:r w:rsidRPr="00406361">
        <w:rPr>
          <w:i/>
          <w:color w:val="000000" w:themeColor="text1"/>
          <w:lang w:val="pt-BR"/>
        </w:rPr>
        <w:t>Revista Interamericana de Psicologia</w:t>
      </w:r>
      <w:r w:rsidRPr="00406361">
        <w:rPr>
          <w:color w:val="000000" w:themeColor="text1"/>
          <w:lang w:val="pt-BR"/>
        </w:rPr>
        <w:t xml:space="preserve">, </w:t>
      </w:r>
      <w:r w:rsidRPr="00406361">
        <w:rPr>
          <w:i/>
          <w:iCs/>
          <w:color w:val="000000" w:themeColor="text1"/>
          <w:lang w:val="pt-BR"/>
        </w:rPr>
        <w:t>40</w:t>
      </w:r>
      <w:r w:rsidRPr="00406361">
        <w:rPr>
          <w:color w:val="000000" w:themeColor="text1"/>
          <w:lang w:val="pt-BR"/>
        </w:rPr>
        <w:t>(3), 385</w:t>
      </w:r>
      <w:r w:rsidR="00DA5156" w:rsidRPr="00406361">
        <w:rPr>
          <w:color w:val="000000" w:themeColor="text1"/>
          <w:lang w:val="pt-BR"/>
        </w:rPr>
        <w:t>–</w:t>
      </w:r>
      <w:r w:rsidRPr="00406361">
        <w:rPr>
          <w:color w:val="000000" w:themeColor="text1"/>
          <w:lang w:val="pt-BR"/>
        </w:rPr>
        <w:t xml:space="preserve">390. </w:t>
      </w:r>
      <w:hyperlink r:id="rId47">
        <w:r w:rsidRPr="00406361">
          <w:rPr>
            <w:color w:val="000000" w:themeColor="text1"/>
            <w:u w:val="single"/>
            <w:lang w:val="pt-BR"/>
          </w:rPr>
          <w:t>https://www.redalyc.org/pdf/284/28440313.pdf</w:t>
        </w:r>
      </w:hyperlink>
    </w:p>
    <w:p w14:paraId="73636AB8" w14:textId="3366BF9A" w:rsidR="00115921" w:rsidRPr="00406361" w:rsidRDefault="00115921" w:rsidP="00DA5156">
      <w:pPr>
        <w:ind w:left="709" w:hanging="709"/>
        <w:rPr>
          <w:color w:val="000000" w:themeColor="text1"/>
          <w:lang w:val="pt-BR"/>
        </w:rPr>
      </w:pPr>
      <w:r w:rsidRPr="00406361">
        <w:rPr>
          <w:color w:val="000000" w:themeColor="text1"/>
        </w:rPr>
        <w:t xml:space="preserve">Teodoro, M. L. M., &amp; Käppler, K. C. (2003). </w:t>
      </w:r>
      <w:r w:rsidRPr="00406361">
        <w:rPr>
          <w:i/>
          <w:iCs/>
          <w:color w:val="000000" w:themeColor="text1"/>
        </w:rPr>
        <w:t>Familiograma: Desenvolvimento de um novo instrumento para a avaliação das relações familiares</w:t>
      </w:r>
      <w:r w:rsidRPr="00406361">
        <w:rPr>
          <w:color w:val="000000" w:themeColor="text1"/>
        </w:rPr>
        <w:t xml:space="preserve"> (Psicopatologia do Desenvolvimento – Relatórios Técnicos, pp. 2–21). Laboratório de Neuropsicologia do Desenvolvimento e Laboratório de Psicologia da Família. Belo Horizonte, Universidade Federal de Minas Gerais, Brasil.</w:t>
      </w:r>
    </w:p>
    <w:p w14:paraId="45537896" w14:textId="0577903D" w:rsidR="00FA5721" w:rsidRPr="00406361" w:rsidRDefault="00FA5721" w:rsidP="00DA5156">
      <w:pPr>
        <w:ind w:left="709" w:hanging="709"/>
        <w:rPr>
          <w:color w:val="000000" w:themeColor="text1"/>
          <w:lang w:val="pt-BR"/>
        </w:rPr>
      </w:pPr>
      <w:r w:rsidRPr="00406361">
        <w:rPr>
          <w:color w:val="000000" w:themeColor="text1"/>
          <w:lang w:val="pt-BR"/>
        </w:rPr>
        <w:t xml:space="preserve">Terres-Trindade, M., &amp; Mosmann, C. (2016). Conflitos familiares e práticas educativas parentais como preditores de dependência de internet. </w:t>
      </w:r>
      <w:r w:rsidRPr="00406361">
        <w:rPr>
          <w:i/>
          <w:color w:val="000000" w:themeColor="text1"/>
          <w:lang w:val="pt-BR"/>
        </w:rPr>
        <w:t>Psico-USF</w:t>
      </w:r>
      <w:r w:rsidRPr="00406361">
        <w:rPr>
          <w:color w:val="000000" w:themeColor="text1"/>
          <w:lang w:val="pt-BR"/>
        </w:rPr>
        <w:t xml:space="preserve">, </w:t>
      </w:r>
      <w:r w:rsidRPr="00406361">
        <w:rPr>
          <w:i/>
          <w:iCs/>
          <w:color w:val="000000" w:themeColor="text1"/>
          <w:lang w:val="pt-BR"/>
        </w:rPr>
        <w:t>21</w:t>
      </w:r>
      <w:r w:rsidRPr="00406361">
        <w:rPr>
          <w:color w:val="000000" w:themeColor="text1"/>
          <w:lang w:val="pt-BR"/>
        </w:rPr>
        <w:t>(3), 623</w:t>
      </w:r>
      <w:r w:rsidR="00DA5156" w:rsidRPr="00406361">
        <w:rPr>
          <w:color w:val="000000" w:themeColor="text1"/>
          <w:lang w:val="pt-BR"/>
        </w:rPr>
        <w:t>–</w:t>
      </w:r>
      <w:r w:rsidRPr="00406361">
        <w:rPr>
          <w:color w:val="000000" w:themeColor="text1"/>
          <w:lang w:val="pt-BR"/>
        </w:rPr>
        <w:t xml:space="preserve">633. </w:t>
      </w:r>
      <w:hyperlink r:id="rId48" w:history="1">
        <w:r w:rsidRPr="00406361">
          <w:rPr>
            <w:rStyle w:val="Hyperlink"/>
            <w:color w:val="000000" w:themeColor="text1"/>
            <w:lang w:val="pt-BR"/>
          </w:rPr>
          <w:t>http://doi.org/10.1590/1413-82712016210315</w:t>
        </w:r>
      </w:hyperlink>
      <w:r w:rsidRPr="00406361">
        <w:rPr>
          <w:color w:val="000000" w:themeColor="text1"/>
          <w:lang w:val="pt-BR"/>
        </w:rPr>
        <w:t xml:space="preserve"> </w:t>
      </w:r>
    </w:p>
    <w:p w14:paraId="2E45E943" w14:textId="2F2315EA" w:rsidR="00FA5721" w:rsidRPr="00406361" w:rsidRDefault="00FA5721" w:rsidP="00DA5156">
      <w:pPr>
        <w:ind w:left="709" w:hanging="709"/>
        <w:rPr>
          <w:color w:val="000000" w:themeColor="text1"/>
          <w:lang w:val="pt-BR"/>
        </w:rPr>
      </w:pPr>
      <w:r w:rsidRPr="00406361">
        <w:rPr>
          <w:color w:val="000000" w:themeColor="text1"/>
          <w:lang w:val="pt-BR"/>
        </w:rPr>
        <w:t xml:space="preserve">Xu, Q., Li, S., &amp; Yang, L. (2019). Perceived social support and mental health for college students in mainland China: the mediating effects of self-concept. </w:t>
      </w:r>
      <w:r w:rsidRPr="00406361">
        <w:rPr>
          <w:i/>
          <w:color w:val="000000" w:themeColor="text1"/>
          <w:lang w:val="pt-BR"/>
        </w:rPr>
        <w:t>Psychology Health Medicine</w:t>
      </w:r>
      <w:r w:rsidRPr="00406361">
        <w:rPr>
          <w:color w:val="000000" w:themeColor="text1"/>
          <w:lang w:val="pt-BR"/>
        </w:rPr>
        <w:t xml:space="preserve">, </w:t>
      </w:r>
      <w:r w:rsidRPr="00406361">
        <w:rPr>
          <w:i/>
          <w:iCs/>
          <w:color w:val="000000" w:themeColor="text1"/>
          <w:lang w:val="pt-BR"/>
        </w:rPr>
        <w:t>24</w:t>
      </w:r>
      <w:r w:rsidR="00806E37" w:rsidRPr="00406361">
        <w:rPr>
          <w:color w:val="000000" w:themeColor="text1"/>
          <w:lang w:val="pt-BR"/>
        </w:rPr>
        <w:t>(</w:t>
      </w:r>
      <w:r w:rsidRPr="00406361">
        <w:rPr>
          <w:color w:val="000000" w:themeColor="text1"/>
          <w:lang w:val="pt-BR"/>
        </w:rPr>
        <w:t>5</w:t>
      </w:r>
      <w:r w:rsidR="00806E37" w:rsidRPr="00406361">
        <w:rPr>
          <w:color w:val="000000" w:themeColor="text1"/>
          <w:lang w:val="pt-BR"/>
        </w:rPr>
        <w:t>)</w:t>
      </w:r>
      <w:r w:rsidRPr="00406361">
        <w:rPr>
          <w:color w:val="000000" w:themeColor="text1"/>
          <w:lang w:val="pt-BR"/>
        </w:rPr>
        <w:t>, 595</w:t>
      </w:r>
      <w:r w:rsidR="00DA5156" w:rsidRPr="00406361">
        <w:rPr>
          <w:color w:val="000000" w:themeColor="text1"/>
          <w:lang w:val="pt-BR"/>
        </w:rPr>
        <w:t>–</w:t>
      </w:r>
      <w:r w:rsidRPr="00406361">
        <w:rPr>
          <w:color w:val="000000" w:themeColor="text1"/>
          <w:lang w:val="pt-BR"/>
        </w:rPr>
        <w:t xml:space="preserve">604. </w:t>
      </w:r>
      <w:hyperlink r:id="rId49" w:history="1">
        <w:r w:rsidR="00806E37" w:rsidRPr="00406361">
          <w:rPr>
            <w:rStyle w:val="Hyperlink"/>
            <w:color w:val="000000" w:themeColor="text1"/>
            <w:lang w:val="pt-BR"/>
          </w:rPr>
          <w:t>http://doi.org/10.1080/13548506.2018.1549744</w:t>
        </w:r>
      </w:hyperlink>
      <w:r w:rsidR="00806E37" w:rsidRPr="00406361">
        <w:rPr>
          <w:color w:val="000000" w:themeColor="text1"/>
          <w:lang w:val="pt-BR"/>
        </w:rPr>
        <w:t xml:space="preserve"> </w:t>
      </w:r>
    </w:p>
    <w:p w14:paraId="4B126FDA" w14:textId="651CD134" w:rsidR="00FA5721" w:rsidRPr="00406361" w:rsidRDefault="00FA5721" w:rsidP="00DA5156">
      <w:pPr>
        <w:ind w:left="709" w:hanging="709"/>
        <w:jc w:val="both"/>
        <w:rPr>
          <w:color w:val="000000" w:themeColor="text1"/>
          <w:highlight w:val="white"/>
          <w:lang w:val="pt-BR"/>
        </w:rPr>
      </w:pPr>
      <w:r w:rsidRPr="00406361">
        <w:rPr>
          <w:color w:val="000000" w:themeColor="text1"/>
          <w:highlight w:val="white"/>
          <w:lang w:val="pt-BR"/>
        </w:rPr>
        <w:t xml:space="preserve">Wang, D., Chen, H., Zhai, S., Zhu, Z., Huang, S., Zhou, X., Pan, Y., Meng, D., Yang, Z., Zhao, J., Fan, F., &amp; Liu, X. (2021). Is returning to school during the COVID-19 pandemic stressful? A study on immediate mental health status of Chinese college students. </w:t>
      </w:r>
      <w:r w:rsidRPr="00406361">
        <w:rPr>
          <w:i/>
          <w:color w:val="000000" w:themeColor="text1"/>
          <w:highlight w:val="white"/>
          <w:lang w:val="pt-BR"/>
        </w:rPr>
        <w:t xml:space="preserve">Journal of Affective Disorders, </w:t>
      </w:r>
      <w:r w:rsidRPr="00406361">
        <w:rPr>
          <w:i/>
          <w:iCs/>
          <w:color w:val="000000" w:themeColor="text1"/>
          <w:highlight w:val="white"/>
          <w:lang w:val="pt-BR"/>
        </w:rPr>
        <w:t>287</w:t>
      </w:r>
      <w:r w:rsidRPr="00406361">
        <w:rPr>
          <w:color w:val="000000" w:themeColor="text1"/>
          <w:highlight w:val="white"/>
          <w:lang w:val="pt-BR"/>
        </w:rPr>
        <w:t>, 261</w:t>
      </w:r>
      <w:r w:rsidR="00DA5156" w:rsidRPr="00406361">
        <w:rPr>
          <w:color w:val="000000" w:themeColor="text1"/>
          <w:highlight w:val="white"/>
          <w:lang w:val="pt-BR"/>
        </w:rPr>
        <w:t>–</w:t>
      </w:r>
      <w:r w:rsidRPr="00406361">
        <w:rPr>
          <w:color w:val="000000" w:themeColor="text1"/>
          <w:highlight w:val="white"/>
          <w:lang w:val="pt-BR"/>
        </w:rPr>
        <w:t xml:space="preserve">267. </w:t>
      </w:r>
      <w:hyperlink r:id="rId50" w:history="1">
        <w:r w:rsidR="009763E5" w:rsidRPr="00406361">
          <w:rPr>
            <w:rStyle w:val="Hyperlink"/>
            <w:color w:val="000000" w:themeColor="text1"/>
            <w:lang w:val="pt-BR"/>
          </w:rPr>
          <w:t>http://doi.org/10.1016/j.jad.2021.03.035</w:t>
        </w:r>
      </w:hyperlink>
      <w:r w:rsidR="009763E5" w:rsidRPr="00406361">
        <w:rPr>
          <w:color w:val="000000" w:themeColor="text1"/>
          <w:lang w:val="pt-BR"/>
        </w:rPr>
        <w:t xml:space="preserve"> </w:t>
      </w:r>
    </w:p>
    <w:p w14:paraId="1D59E719" w14:textId="1F43EC7B" w:rsidR="00FA5721" w:rsidRPr="00406361" w:rsidRDefault="00FA5721" w:rsidP="00DA5156">
      <w:pPr>
        <w:ind w:left="709" w:hanging="709"/>
        <w:jc w:val="both"/>
        <w:rPr>
          <w:color w:val="000000" w:themeColor="text1"/>
          <w:highlight w:val="white"/>
          <w:lang w:val="pt-BR"/>
        </w:rPr>
      </w:pPr>
      <w:r w:rsidRPr="00406361">
        <w:rPr>
          <w:color w:val="000000" w:themeColor="text1"/>
          <w:highlight w:val="white"/>
          <w:lang w:val="pt-BR"/>
        </w:rPr>
        <w:t>Waselewski, E.,</w:t>
      </w:r>
      <w:r w:rsidR="00806E37" w:rsidRPr="00406361">
        <w:rPr>
          <w:color w:val="000000" w:themeColor="text1"/>
          <w:highlight w:val="white"/>
          <w:lang w:val="pt-BR"/>
        </w:rPr>
        <w:t xml:space="preserve"> </w:t>
      </w:r>
      <w:r w:rsidRPr="00406361">
        <w:rPr>
          <w:color w:val="000000" w:themeColor="text1"/>
          <w:highlight w:val="white"/>
          <w:lang w:val="pt-BR"/>
        </w:rPr>
        <w:t xml:space="preserve">Waselewski, M., Harper, C., Dickey, S., Bell, A. S., &amp; Chang, T. (2021). Perspectives of US Youth During Initial Month of the COVID-19 Pandemic. </w:t>
      </w:r>
      <w:r w:rsidRPr="00406361">
        <w:rPr>
          <w:i/>
          <w:color w:val="000000" w:themeColor="text1"/>
          <w:highlight w:val="white"/>
          <w:lang w:val="pt-BR"/>
        </w:rPr>
        <w:t>The Annals of Family Medicine March,</w:t>
      </w:r>
      <w:r w:rsidRPr="00406361">
        <w:rPr>
          <w:color w:val="000000" w:themeColor="text1"/>
          <w:highlight w:val="white"/>
          <w:lang w:val="pt-BR"/>
        </w:rPr>
        <w:t xml:space="preserve"> </w:t>
      </w:r>
      <w:r w:rsidRPr="00406361">
        <w:rPr>
          <w:i/>
          <w:iCs/>
          <w:color w:val="000000" w:themeColor="text1"/>
          <w:highlight w:val="white"/>
          <w:lang w:val="pt-BR"/>
        </w:rPr>
        <w:t>19</w:t>
      </w:r>
      <w:r w:rsidRPr="00406361">
        <w:rPr>
          <w:color w:val="000000" w:themeColor="text1"/>
          <w:highlight w:val="white"/>
          <w:lang w:val="pt-BR"/>
        </w:rPr>
        <w:t>(2), 141</w:t>
      </w:r>
      <w:r w:rsidR="00DA5156" w:rsidRPr="00406361">
        <w:rPr>
          <w:color w:val="000000" w:themeColor="text1"/>
          <w:highlight w:val="white"/>
          <w:lang w:val="pt-BR"/>
        </w:rPr>
        <w:t>–</w:t>
      </w:r>
      <w:r w:rsidRPr="00406361">
        <w:rPr>
          <w:color w:val="000000" w:themeColor="text1"/>
          <w:highlight w:val="white"/>
          <w:lang w:val="pt-BR"/>
        </w:rPr>
        <w:t xml:space="preserve">147. </w:t>
      </w:r>
      <w:hyperlink r:id="rId51" w:history="1">
        <w:r w:rsidR="00806E37" w:rsidRPr="00406361">
          <w:rPr>
            <w:rStyle w:val="Hyperlink"/>
            <w:color w:val="000000" w:themeColor="text1"/>
            <w:lang w:val="pt-BR"/>
          </w:rPr>
          <w:t>http://doi.org/</w:t>
        </w:r>
        <w:r w:rsidR="00806E37" w:rsidRPr="00406361">
          <w:rPr>
            <w:rStyle w:val="Hyperlink"/>
            <w:color w:val="000000" w:themeColor="text1"/>
            <w:highlight w:val="white"/>
            <w:lang w:val="pt-BR"/>
          </w:rPr>
          <w:t>10.1370/afm.2642</w:t>
        </w:r>
      </w:hyperlink>
      <w:r w:rsidR="00806E37" w:rsidRPr="00406361">
        <w:rPr>
          <w:color w:val="000000" w:themeColor="text1"/>
          <w:highlight w:val="white"/>
          <w:lang w:val="pt-BR"/>
        </w:rPr>
        <w:t xml:space="preserve"> </w:t>
      </w:r>
    </w:p>
    <w:p w14:paraId="2E2DA350" w14:textId="77777777" w:rsidR="002B644E" w:rsidRPr="00406361" w:rsidRDefault="002B644E" w:rsidP="00DA5156">
      <w:pPr>
        <w:pStyle w:val="Prrafocomn"/>
        <w:spacing w:line="240" w:lineRule="auto"/>
        <w:ind w:left="709" w:hanging="709"/>
        <w:contextualSpacing w:val="0"/>
        <w:rPr>
          <w:color w:val="000000" w:themeColor="text1"/>
          <w:lang w:val="pt-BR"/>
        </w:rPr>
      </w:pPr>
    </w:p>
    <w:sectPr w:rsidR="002B644E" w:rsidRPr="00406361" w:rsidSect="0059034C">
      <w:headerReference w:type="even" r:id="rId52"/>
      <w:headerReference w:type="default" r:id="rId53"/>
      <w:footerReference w:type="even" r:id="rId54"/>
      <w:footerReference w:type="defaul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B9DD3" w14:textId="77777777" w:rsidR="00E63071" w:rsidRDefault="00E63071" w:rsidP="00C413D4">
      <w:r>
        <w:separator/>
      </w:r>
    </w:p>
  </w:endnote>
  <w:endnote w:type="continuationSeparator" w:id="0">
    <w:p w14:paraId="1AAD154F" w14:textId="77777777" w:rsidR="00E63071" w:rsidRDefault="00E6307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Gungsuh">
    <w:charset w:val="81"/>
    <w:family w:val="roman"/>
    <w:pitch w:val="variable"/>
    <w:sig w:usb0="B00002AF" w:usb1="69D77CFB" w:usb2="00000030" w:usb3="00000000" w:csb0="0008009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7C3C14" w:rsidRDefault="007C3C14">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7C3C14" w:rsidRDefault="007C3C1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7D5ED" w14:textId="77777777" w:rsidR="00E63071" w:rsidRDefault="00E63071" w:rsidP="00C413D4">
      <w:r>
        <w:separator/>
      </w:r>
    </w:p>
  </w:footnote>
  <w:footnote w:type="continuationSeparator" w:id="0">
    <w:p w14:paraId="21D945E6" w14:textId="77777777" w:rsidR="00E63071" w:rsidRDefault="00E63071"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20193" w14:textId="23941C5B" w:rsidR="007C3C14" w:rsidRPr="00B02133" w:rsidRDefault="00B02133" w:rsidP="0059034C">
    <w:pPr>
      <w:pStyle w:val="Cabealho"/>
      <w:jc w:val="center"/>
      <w:rPr>
        <w:rFonts w:ascii="Times" w:hAnsi="Times" w:cs="Times New Roman (Body CS)"/>
        <w:iCs/>
        <w:smallCaps/>
        <w:sz w:val="20"/>
        <w:szCs w:val="20"/>
        <w:lang w:val="es-AR"/>
      </w:rPr>
    </w:pPr>
    <w:r w:rsidRPr="00B02133">
      <w:rPr>
        <w:rFonts w:ascii="Times" w:hAnsi="Times" w:cs="Times New Roman (Body CS)"/>
        <w:iCs/>
        <w:smallCaps/>
        <w:sz w:val="20"/>
        <w:szCs w:val="20"/>
        <w:lang w:val="es-ES"/>
      </w:rPr>
      <w:t>Manuscript submission model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4669E1FB" w14:textId="63BBF008" w:rsidR="007C3C14" w:rsidRDefault="00977250" w:rsidP="00977250">
    <w:pPr>
      <w:pStyle w:val="Cabealho"/>
      <w:jc w:val="right"/>
    </w:pPr>
    <w:r w:rsidRPr="00977250">
      <w:rPr>
        <w:rFonts w:ascii="Times" w:hAnsi="Times"/>
        <w:i/>
        <w:sz w:val="18"/>
        <w:szCs w:val="18"/>
        <w:lang w:val="es-ES"/>
      </w:rPr>
      <w:t>Manuscript submission model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16cid:durableId="360207401">
    <w:abstractNumId w:val="4"/>
  </w:num>
  <w:num w:numId="2" w16cid:durableId="2243933">
    <w:abstractNumId w:val="5"/>
  </w:num>
  <w:num w:numId="3" w16cid:durableId="1921673890">
    <w:abstractNumId w:val="6"/>
  </w:num>
  <w:num w:numId="4" w16cid:durableId="879630475">
    <w:abstractNumId w:val="7"/>
  </w:num>
  <w:num w:numId="5" w16cid:durableId="2062366271">
    <w:abstractNumId w:val="9"/>
  </w:num>
  <w:num w:numId="6" w16cid:durableId="216169294">
    <w:abstractNumId w:val="0"/>
  </w:num>
  <w:num w:numId="7" w16cid:durableId="1442065956">
    <w:abstractNumId w:val="1"/>
  </w:num>
  <w:num w:numId="8" w16cid:durableId="310208616">
    <w:abstractNumId w:val="2"/>
  </w:num>
  <w:num w:numId="9" w16cid:durableId="7995944">
    <w:abstractNumId w:val="3"/>
  </w:num>
  <w:num w:numId="10" w16cid:durableId="1767454826">
    <w:abstractNumId w:val="8"/>
  </w:num>
  <w:num w:numId="11" w16cid:durableId="2098553328">
    <w:abstractNumId w:val="10"/>
  </w:num>
  <w:num w:numId="12" w16cid:durableId="443772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1B4E"/>
    <w:rsid w:val="000365CA"/>
    <w:rsid w:val="000621E0"/>
    <w:rsid w:val="00072AFB"/>
    <w:rsid w:val="00076F0A"/>
    <w:rsid w:val="000A610E"/>
    <w:rsid w:val="000D0187"/>
    <w:rsid w:val="00115921"/>
    <w:rsid w:val="001253E7"/>
    <w:rsid w:val="00127870"/>
    <w:rsid w:val="001516ED"/>
    <w:rsid w:val="00153DC5"/>
    <w:rsid w:val="0015691C"/>
    <w:rsid w:val="001827D3"/>
    <w:rsid w:val="001C4D71"/>
    <w:rsid w:val="001F7509"/>
    <w:rsid w:val="00234E5C"/>
    <w:rsid w:val="00246D04"/>
    <w:rsid w:val="002624E0"/>
    <w:rsid w:val="00271502"/>
    <w:rsid w:val="00294547"/>
    <w:rsid w:val="00297AFB"/>
    <w:rsid w:val="002B2297"/>
    <w:rsid w:val="002B644E"/>
    <w:rsid w:val="002C009C"/>
    <w:rsid w:val="002C1EB1"/>
    <w:rsid w:val="002C3A8D"/>
    <w:rsid w:val="002C7C6D"/>
    <w:rsid w:val="002C7DF0"/>
    <w:rsid w:val="002D1053"/>
    <w:rsid w:val="002E0320"/>
    <w:rsid w:val="002F070D"/>
    <w:rsid w:val="002F257B"/>
    <w:rsid w:val="002F38C8"/>
    <w:rsid w:val="00302C5C"/>
    <w:rsid w:val="003909A7"/>
    <w:rsid w:val="003A51CC"/>
    <w:rsid w:val="003C1711"/>
    <w:rsid w:val="003C4AA4"/>
    <w:rsid w:val="003E4B06"/>
    <w:rsid w:val="00406361"/>
    <w:rsid w:val="0042142D"/>
    <w:rsid w:val="00430C97"/>
    <w:rsid w:val="00447E89"/>
    <w:rsid w:val="00475FC0"/>
    <w:rsid w:val="00483D6B"/>
    <w:rsid w:val="0048651A"/>
    <w:rsid w:val="00491E9A"/>
    <w:rsid w:val="0049357E"/>
    <w:rsid w:val="004C0823"/>
    <w:rsid w:val="004C1FD8"/>
    <w:rsid w:val="004C2A6E"/>
    <w:rsid w:val="004D5719"/>
    <w:rsid w:val="004F6354"/>
    <w:rsid w:val="00507B29"/>
    <w:rsid w:val="0052035B"/>
    <w:rsid w:val="00542090"/>
    <w:rsid w:val="00575541"/>
    <w:rsid w:val="00576894"/>
    <w:rsid w:val="005813E0"/>
    <w:rsid w:val="0059034C"/>
    <w:rsid w:val="00591432"/>
    <w:rsid w:val="00594317"/>
    <w:rsid w:val="005A1842"/>
    <w:rsid w:val="005B5614"/>
    <w:rsid w:val="005F562F"/>
    <w:rsid w:val="0061199D"/>
    <w:rsid w:val="00630D50"/>
    <w:rsid w:val="00642473"/>
    <w:rsid w:val="00671EA6"/>
    <w:rsid w:val="006937D3"/>
    <w:rsid w:val="006A1BA2"/>
    <w:rsid w:val="006B0812"/>
    <w:rsid w:val="006B088F"/>
    <w:rsid w:val="006C21BC"/>
    <w:rsid w:val="006F6924"/>
    <w:rsid w:val="006F7E7E"/>
    <w:rsid w:val="00700F77"/>
    <w:rsid w:val="00704ECD"/>
    <w:rsid w:val="00724F5C"/>
    <w:rsid w:val="0074214E"/>
    <w:rsid w:val="00742E4A"/>
    <w:rsid w:val="00770AE4"/>
    <w:rsid w:val="0078702D"/>
    <w:rsid w:val="00795D57"/>
    <w:rsid w:val="00797647"/>
    <w:rsid w:val="007A7C7C"/>
    <w:rsid w:val="007A7CDC"/>
    <w:rsid w:val="007C3C14"/>
    <w:rsid w:val="007E34D6"/>
    <w:rsid w:val="007E3B8D"/>
    <w:rsid w:val="00806E37"/>
    <w:rsid w:val="008114AC"/>
    <w:rsid w:val="008151AB"/>
    <w:rsid w:val="00816268"/>
    <w:rsid w:val="00824D3A"/>
    <w:rsid w:val="00863414"/>
    <w:rsid w:val="00872EFD"/>
    <w:rsid w:val="00880120"/>
    <w:rsid w:val="008B0F10"/>
    <w:rsid w:val="008C409A"/>
    <w:rsid w:val="008C775E"/>
    <w:rsid w:val="008D509E"/>
    <w:rsid w:val="009032D5"/>
    <w:rsid w:val="00903DEB"/>
    <w:rsid w:val="009763E5"/>
    <w:rsid w:val="00977250"/>
    <w:rsid w:val="009850BE"/>
    <w:rsid w:val="00993241"/>
    <w:rsid w:val="009A583F"/>
    <w:rsid w:val="009B3EF3"/>
    <w:rsid w:val="009D2551"/>
    <w:rsid w:val="009E37BF"/>
    <w:rsid w:val="009F3F09"/>
    <w:rsid w:val="00A30790"/>
    <w:rsid w:val="00A4227E"/>
    <w:rsid w:val="00A457D0"/>
    <w:rsid w:val="00A508E2"/>
    <w:rsid w:val="00A516C7"/>
    <w:rsid w:val="00A62218"/>
    <w:rsid w:val="00A741BB"/>
    <w:rsid w:val="00A871FB"/>
    <w:rsid w:val="00A93146"/>
    <w:rsid w:val="00A96141"/>
    <w:rsid w:val="00AD3238"/>
    <w:rsid w:val="00AE48D4"/>
    <w:rsid w:val="00B02133"/>
    <w:rsid w:val="00B06283"/>
    <w:rsid w:val="00B35B61"/>
    <w:rsid w:val="00B35F03"/>
    <w:rsid w:val="00B511FB"/>
    <w:rsid w:val="00B60E75"/>
    <w:rsid w:val="00B6522A"/>
    <w:rsid w:val="00B74D71"/>
    <w:rsid w:val="00B83A6E"/>
    <w:rsid w:val="00B845A1"/>
    <w:rsid w:val="00B9678D"/>
    <w:rsid w:val="00BC2AFB"/>
    <w:rsid w:val="00BD26F5"/>
    <w:rsid w:val="00BF59E7"/>
    <w:rsid w:val="00C413D4"/>
    <w:rsid w:val="00C43335"/>
    <w:rsid w:val="00C64ECF"/>
    <w:rsid w:val="00C84812"/>
    <w:rsid w:val="00CA3BFF"/>
    <w:rsid w:val="00CA3C92"/>
    <w:rsid w:val="00CB631E"/>
    <w:rsid w:val="00CE06CE"/>
    <w:rsid w:val="00CE7D65"/>
    <w:rsid w:val="00CF4E1F"/>
    <w:rsid w:val="00CF5D21"/>
    <w:rsid w:val="00D05E54"/>
    <w:rsid w:val="00D46FFD"/>
    <w:rsid w:val="00D609BB"/>
    <w:rsid w:val="00D83488"/>
    <w:rsid w:val="00D94A3F"/>
    <w:rsid w:val="00DA5156"/>
    <w:rsid w:val="00DB4A71"/>
    <w:rsid w:val="00DB6400"/>
    <w:rsid w:val="00DE1119"/>
    <w:rsid w:val="00E25900"/>
    <w:rsid w:val="00E26883"/>
    <w:rsid w:val="00E3671F"/>
    <w:rsid w:val="00E416F6"/>
    <w:rsid w:val="00E449A9"/>
    <w:rsid w:val="00E55124"/>
    <w:rsid w:val="00E63071"/>
    <w:rsid w:val="00E97D42"/>
    <w:rsid w:val="00EA6646"/>
    <w:rsid w:val="00EB213C"/>
    <w:rsid w:val="00EB70A8"/>
    <w:rsid w:val="00ED2663"/>
    <w:rsid w:val="00F21272"/>
    <w:rsid w:val="00FA5721"/>
    <w:rsid w:val="00FB0419"/>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har"/>
    <w:uiPriority w:val="9"/>
    <w:semiHidden/>
    <w:unhideWhenUsed/>
    <w:qFormat/>
    <w:rsid w:val="009F3F0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1516ED"/>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
    <w:name w:val="Table Normal"/>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ontepargpadro"/>
    <w:link w:val="SubtituloInterno1"/>
    <w:rsid w:val="0078702D"/>
    <w:rPr>
      <w:rFonts w:ascii="Times New Roman" w:eastAsia="Times New Roman" w:hAnsi="Times New Roman" w:cs="Times New Roman"/>
      <w:i/>
      <w:lang w:val="es-AR"/>
    </w:rPr>
  </w:style>
  <w:style w:type="character" w:customStyle="1" w:styleId="Ttulo4Char">
    <w:name w:val="Título 4 Char"/>
    <w:basedOn w:val="Fontepargpadro"/>
    <w:link w:val="Ttulo4"/>
    <w:uiPriority w:val="9"/>
    <w:semiHidden/>
    <w:rsid w:val="009F3F09"/>
    <w:rPr>
      <w:rFonts w:asciiTheme="majorHAnsi" w:eastAsiaTheme="majorEastAsia" w:hAnsiTheme="majorHAnsi" w:cstheme="majorBidi"/>
      <w:i/>
      <w:iCs/>
      <w:color w:val="2F5496" w:themeColor="accent1" w:themeShade="BF"/>
      <w:lang w:val="es-AR"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81474893">
      <w:bodyDiv w:val="1"/>
      <w:marLeft w:val="0"/>
      <w:marRight w:val="0"/>
      <w:marTop w:val="0"/>
      <w:marBottom w:val="0"/>
      <w:divBdr>
        <w:top w:val="none" w:sz="0" w:space="0" w:color="auto"/>
        <w:left w:val="none" w:sz="0" w:space="0" w:color="auto"/>
        <w:bottom w:val="none" w:sz="0" w:space="0" w:color="auto"/>
        <w:right w:val="none" w:sz="0" w:space="0" w:color="auto"/>
      </w:divBdr>
      <w:divsChild>
        <w:div w:id="840387853">
          <w:marLeft w:val="0"/>
          <w:marRight w:val="0"/>
          <w:marTop w:val="0"/>
          <w:marBottom w:val="0"/>
          <w:divBdr>
            <w:top w:val="none" w:sz="0" w:space="0" w:color="auto"/>
            <w:left w:val="none" w:sz="0" w:space="0" w:color="auto"/>
            <w:bottom w:val="none" w:sz="0" w:space="0" w:color="auto"/>
            <w:right w:val="none" w:sz="0" w:space="0" w:color="auto"/>
          </w:divBdr>
        </w:div>
      </w:divsChild>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77085758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12223888">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oi.org/10.1111/jopy.12098" TargetMode="External"/><Relationship Id="rId18" Type="http://schemas.openxmlformats.org/officeDocument/2006/relationships/hyperlink" Target="https://doi.org/10.1590/0102.3772e324212" TargetMode="External"/><Relationship Id="rId26" Type="http://schemas.openxmlformats.org/officeDocument/2006/relationships/hyperlink" Target="http://pepsic.bvsalud.org/scielo.php?script=sci_arttext&amp;pid=S1413-389X1998000300005" TargetMode="External"/><Relationship Id="rId39" Type="http://schemas.openxmlformats.org/officeDocument/2006/relationships/hyperlink" Target="http://cetic.br/pt/arquivos/domicilios/2019/domicilios/" TargetMode="External"/><Relationship Id="rId21" Type="http://schemas.openxmlformats.org/officeDocument/2006/relationships/hyperlink" Target="http://conselho.saude.gov.br/resolucoes/2016/Reso510.pdf" TargetMode="External"/><Relationship Id="rId34" Type="http://schemas.openxmlformats.org/officeDocument/2006/relationships/hyperlink" Target="http://doi.org/10.1590/S0103-166X2010000300002" TargetMode="External"/><Relationship Id="rId42" Type="http://schemas.openxmlformats.org/officeDocument/2006/relationships/hyperlink" Target="https://dx.doi.org/10.33208/PC1980-5438v0032n02A06" TargetMode="External"/><Relationship Id="rId47" Type="http://schemas.openxmlformats.org/officeDocument/2006/relationships/hyperlink" Target="https://www.redalyc.org/pdf/284/28440313.pdf" TargetMode="External"/><Relationship Id="rId50" Type="http://schemas.openxmlformats.org/officeDocument/2006/relationships/hyperlink" Target="http://doi.org/10.1016/j.jad.2021.03.035" TargetMode="External"/><Relationship Id="rId55"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89/fpsyg.2016.00982" TargetMode="External"/><Relationship Id="rId29" Type="http://schemas.openxmlformats.org/officeDocument/2006/relationships/hyperlink" Target="https://dx.doi.org/10.20435/pssa.vi.1065" TargetMode="External"/><Relationship Id="rId11" Type="http://schemas.openxmlformats.org/officeDocument/2006/relationships/hyperlink" Target="https://paperpile.com/c/bOvXtR/T98z" TargetMode="External"/><Relationship Id="rId24" Type="http://schemas.openxmlformats.org/officeDocument/2006/relationships/hyperlink" Target="http://doi.org/10.1037/dev0000410" TargetMode="External"/><Relationship Id="rId32" Type="http://schemas.openxmlformats.org/officeDocument/2006/relationships/hyperlink" Target="http://doi.org/10.1016/j.mhp.2016.05.00" TargetMode="External"/><Relationship Id="rId37" Type="http://schemas.openxmlformats.org/officeDocument/2006/relationships/hyperlink" Target="https://doi.org/10.1590/S0103-166X2011000300004" TargetMode="External"/><Relationship Id="rId40" Type="http://schemas.openxmlformats.org/officeDocument/2006/relationships/hyperlink" Target="http://doi.org/10.1186/s40359-019-0306-z" TargetMode="External"/><Relationship Id="rId45" Type="http://schemas.openxmlformats.org/officeDocument/2006/relationships/hyperlink" Target="http://doi.org/10.3390/ijerph18073515" TargetMode="External"/><Relationship Id="rId53" Type="http://schemas.openxmlformats.org/officeDocument/2006/relationships/header" Target="header2.xml"/><Relationship Id="rId5" Type="http://schemas.openxmlformats.org/officeDocument/2006/relationships/webSettings" Target="webSettings.xml"/><Relationship Id="rId19" Type="http://schemas.openxmlformats.org/officeDocument/2006/relationships/hyperlink" Target="http://doi.org/10.1590/1413-82712019240205" TargetMode="External"/><Relationship Id="rId4" Type="http://schemas.openxmlformats.org/officeDocument/2006/relationships/settings" Target="settings.xml"/><Relationship Id="rId9" Type="http://schemas.openxmlformats.org/officeDocument/2006/relationships/hyperlink" Target="https://paperpile.com/c/bOvXtR/6QdL" TargetMode="External"/><Relationship Id="rId14" Type="http://schemas.openxmlformats.org/officeDocument/2006/relationships/hyperlink" Target="https://doi.org/10.29327/226091.54.2-5" TargetMode="External"/><Relationship Id="rId22" Type="http://schemas.openxmlformats.org/officeDocument/2006/relationships/hyperlink" Target="http://pepsic.bvsalud.org/scielo.php?script=sci_arttext&amp;pid=S0103-56652017000200007" TargetMode="External"/><Relationship Id="rId27" Type="http://schemas.openxmlformats.org/officeDocument/2006/relationships/hyperlink" Target="http://dx.doi.org/10.9788/TP2018.1-09Pt" TargetMode="External"/><Relationship Id="rId30" Type="http://schemas.openxmlformats.org/officeDocument/2006/relationships/hyperlink" Target="http://doi.org/10.1007/s10964-020-01193-2" TargetMode="External"/><Relationship Id="rId35" Type="http://schemas.openxmlformats.org/officeDocument/2006/relationships/hyperlink" Target="https://doi.org/10.22409/1984-0292/v32_i-esp/39792" TargetMode="External"/><Relationship Id="rId43" Type="http://schemas.openxmlformats.org/officeDocument/2006/relationships/hyperlink" Target="https://doi.org/10.12804/revistas.urosario.edu.co/revsalud/a.7611" TargetMode="External"/><Relationship Id="rId48" Type="http://schemas.openxmlformats.org/officeDocument/2006/relationships/hyperlink" Target="http://doi.org/10.1590/1413-82712016210315" TargetMode="External"/><Relationship Id="rId56" Type="http://schemas.openxmlformats.org/officeDocument/2006/relationships/fontTable" Target="fontTable.xml"/><Relationship Id="rId8" Type="http://schemas.openxmlformats.org/officeDocument/2006/relationships/hyperlink" Target="https://paperpile.com/c/bOvXtR/T98z" TargetMode="External"/><Relationship Id="rId51" Type="http://schemas.openxmlformats.org/officeDocument/2006/relationships/hyperlink" Target="http://doi.org/10.1370/afm.2642" TargetMode="External"/><Relationship Id="rId3" Type="http://schemas.openxmlformats.org/officeDocument/2006/relationships/styles" Target="styles.xml"/><Relationship Id="rId12" Type="http://schemas.openxmlformats.org/officeDocument/2006/relationships/hyperlink" Target="http://doi.org/10.5334/aogh.3269" TargetMode="External"/><Relationship Id="rId17" Type="http://schemas.openxmlformats.org/officeDocument/2006/relationships/hyperlink" Target="http://doi.org/10.9788/TP2016.4-09Pt" TargetMode="External"/><Relationship Id="rId25" Type="http://schemas.openxmlformats.org/officeDocument/2006/relationships/hyperlink" Target="http://pepsic.bvsalud.org/scielo.php?script=sci_arttext&amp;pid=S2177-35482010000200004" TargetMode="External"/><Relationship Id="rId33" Type="http://schemas.openxmlformats.org/officeDocument/2006/relationships/hyperlink" Target="http://doi.org/10.1590/1982-43272560201503" TargetMode="External"/><Relationship Id="rId38" Type="http://schemas.openxmlformats.org/officeDocument/2006/relationships/hyperlink" Target="https://doi.org/10.15448/1980-8623.2021.2.32374" TargetMode="External"/><Relationship Id="rId46" Type="http://schemas.openxmlformats.org/officeDocument/2006/relationships/hyperlink" Target="http://doi.org/10.1080/10410236.2017.1384434" TargetMode="External"/><Relationship Id="rId20" Type="http://schemas.openxmlformats.org/officeDocument/2006/relationships/hyperlink" Target="https://doi.org/10.3390/ijerph18063091" TargetMode="External"/><Relationship Id="rId41" Type="http://schemas.openxmlformats.org/officeDocument/2006/relationships/hyperlink" Target="http://doi.org/10.1037/dev0000815"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3628/emrede.v7.1.621" TargetMode="External"/><Relationship Id="rId23" Type="http://schemas.openxmlformats.org/officeDocument/2006/relationships/hyperlink" Target="https://doi.org/10.1007/s10802-014-9926-1" TargetMode="External"/><Relationship Id="rId28" Type="http://schemas.openxmlformats.org/officeDocument/2006/relationships/hyperlink" Target="https://revenferneurolenlinea.org.mx/index.php/enfermeria/article/download/258/258/" TargetMode="External"/><Relationship Id="rId36" Type="http://schemas.openxmlformats.org/officeDocument/2006/relationships/hyperlink" Target="http://doi.org/10.1016/j.adolescence.2019.03.006" TargetMode="External"/><Relationship Id="rId49" Type="http://schemas.openxmlformats.org/officeDocument/2006/relationships/hyperlink" Target="http://doi.org/10.1080/13548506.2018.1549744" TargetMode="External"/><Relationship Id="rId57" Type="http://schemas.openxmlformats.org/officeDocument/2006/relationships/theme" Target="theme/theme1.xml"/><Relationship Id="rId10" Type="http://schemas.openxmlformats.org/officeDocument/2006/relationships/hyperlink" Target="https://paperpile.com/c/bOvXtR/6QdL" TargetMode="External"/><Relationship Id="rId31" Type="http://schemas.openxmlformats.org/officeDocument/2006/relationships/hyperlink" Target="https://doi.org/10.1016/j.comppsych.2020.152191" TargetMode="External"/><Relationship Id="rId44" Type="http://schemas.openxmlformats.org/officeDocument/2006/relationships/hyperlink" Target="http://doi.org/10.1080/03630242.2015.1086464" TargetMode="External"/><Relationship Id="rId52"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7678</Words>
  <Characters>41466</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2022-04-24T12:24:00Z</dcterms:created>
  <dcterms:modified xsi:type="dcterms:W3CDTF">2022-04-25T20:46:00Z</dcterms:modified>
</cp:coreProperties>
</file>