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2BC8CE" w14:textId="5DCB077F" w:rsidR="00742E4A" w:rsidRPr="00082D68" w:rsidRDefault="00153DC5" w:rsidP="00977250">
      <w:pPr>
        <w:pStyle w:val="Titulodeartculo"/>
        <w:rPr>
          <w:lang w:val="es-AR" w:eastAsia="pt-BR"/>
        </w:rPr>
      </w:pPr>
      <w:r w:rsidRPr="00082D68">
        <w:rPr>
          <w:lang w:val="es-AR"/>
        </w:rPr>
        <w:t xml:space="preserve"> </w:t>
      </w:r>
      <w:r w:rsidR="000755E2" w:rsidRPr="000755E2">
        <w:rPr>
          <w:lang w:val="es-AR"/>
        </w:rPr>
        <w:t>Self-perception of quality of life in adults from a coastal region of São Paulo, Brazil</w:t>
      </w:r>
    </w:p>
    <w:p w14:paraId="166E5255" w14:textId="2E8511A3" w:rsidR="00C413D4" w:rsidRPr="00082D68" w:rsidRDefault="00C413D4" w:rsidP="00DE1119">
      <w:pPr>
        <w:rPr>
          <w:b/>
          <w:lang w:val="es-AR"/>
        </w:rPr>
      </w:pPr>
    </w:p>
    <w:p w14:paraId="0BAD9FA3" w14:textId="098C1666" w:rsidR="00C413D4" w:rsidRPr="00082D68" w:rsidRDefault="00C413D4" w:rsidP="00C413D4">
      <w:pPr>
        <w:rPr>
          <w:rFonts w:ascii="Times" w:hAnsi="Times"/>
          <w:i/>
          <w:sz w:val="28"/>
          <w:szCs w:val="28"/>
          <w:lang w:val="es-AR"/>
        </w:rPr>
      </w:pPr>
      <w:r w:rsidRPr="00E25900">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61F0B918" w14:textId="7AB7DCB9" w:rsidR="00C43335" w:rsidRPr="00082D68" w:rsidRDefault="00C413D4" w:rsidP="00C43335">
      <w:pPr>
        <w:pStyle w:val="TtuloResumen"/>
        <w:rPr>
          <w:lang w:val="es-AR"/>
        </w:rPr>
      </w:pPr>
      <w:proofErr w:type="spellStart"/>
      <w:r w:rsidRPr="00082D68">
        <w:rPr>
          <w:lang w:val="es-AR"/>
        </w:rPr>
        <w:t>Abstract</w:t>
      </w:r>
      <w:proofErr w:type="spellEnd"/>
    </w:p>
    <w:p w14:paraId="34C5C25E" w14:textId="77777777" w:rsidR="000755E2" w:rsidRPr="000755E2" w:rsidRDefault="000755E2" w:rsidP="000755E2">
      <w:pPr>
        <w:jc w:val="both"/>
        <w:rPr>
          <w:sz w:val="20"/>
          <w:szCs w:val="20"/>
          <w:lang w:val="en-US"/>
        </w:rPr>
      </w:pPr>
      <w:r w:rsidRPr="000755E2">
        <w:rPr>
          <w:sz w:val="20"/>
          <w:szCs w:val="20"/>
          <w:lang w:val="en-US"/>
        </w:rPr>
        <w:t xml:space="preserve">Quality of life is a theme shared by different sciences. Its definition was initially standardized by the World Health Organization, emphasizing its perception by individuals. Studies on quality of life focus on several fields, and particularly on health. Objectives: evaluate the self-perception of quality of life from the conceptual point of view of the WHO, </w:t>
      </w:r>
      <w:proofErr w:type="spellStart"/>
      <w:r w:rsidRPr="000755E2">
        <w:rPr>
          <w:sz w:val="20"/>
          <w:szCs w:val="20"/>
          <w:lang w:val="en-US"/>
        </w:rPr>
        <w:t>examinig</w:t>
      </w:r>
      <w:proofErr w:type="spellEnd"/>
      <w:r w:rsidRPr="000755E2">
        <w:rPr>
          <w:sz w:val="20"/>
          <w:szCs w:val="20"/>
          <w:lang w:val="en-US"/>
        </w:rPr>
        <w:t xml:space="preserve"> a diversified sample of adults from a coastal region in the State of São Paulo, in their possible differences by age groups, gender and economic class. Methods: 1127 adults, men (43.7%) and women (56.3%), from different economic classes, were evaluated using the EUROHISQOL 8-item. Results: men, older participants, and those from economic classes A and B who had the highest averages for their self-perception of quality of life. Discussion: the main conclusions of this study suggest that, despite its non-generalizable results, there are important indications about age, sex and sociodemographic variables that should serve to guide possible interventions in order to increase the quality of life levels of specific groups of the population, considering its peculiarities.</w:t>
      </w:r>
      <w:r>
        <w:rPr>
          <w:sz w:val="20"/>
          <w:szCs w:val="20"/>
          <w:lang w:val="en-US"/>
        </w:rPr>
        <w:t xml:space="preserve"> </w:t>
      </w:r>
    </w:p>
    <w:p w14:paraId="547103FF" w14:textId="77777777" w:rsidR="00C413D4" w:rsidRPr="0027261B" w:rsidRDefault="00C413D4" w:rsidP="00C413D4">
      <w:pPr>
        <w:rPr>
          <w:sz w:val="20"/>
          <w:szCs w:val="20"/>
          <w:lang w:val="es-AR"/>
        </w:rPr>
      </w:pPr>
    </w:p>
    <w:p w14:paraId="0EB33005" w14:textId="77777777" w:rsidR="00C413D4" w:rsidRPr="00E25900" w:rsidRDefault="00C413D4" w:rsidP="00C413D4">
      <w:pPr>
        <w:rPr>
          <w:b/>
          <w:sz w:val="20"/>
          <w:szCs w:val="20"/>
          <w:lang w:val="en-US"/>
        </w:rPr>
      </w:pPr>
      <w:r w:rsidRPr="00E25900">
        <w:rPr>
          <w:b/>
          <w:sz w:val="20"/>
          <w:szCs w:val="20"/>
          <w:lang w:val="en-US"/>
        </w:rPr>
        <w:t>Keywords</w:t>
      </w:r>
    </w:p>
    <w:p w14:paraId="3C2A8692" w14:textId="023AD14E" w:rsidR="00153DC5" w:rsidRDefault="000755E2" w:rsidP="007A7C7C">
      <w:pPr>
        <w:jc w:val="both"/>
        <w:rPr>
          <w:bCs/>
          <w:sz w:val="20"/>
          <w:szCs w:val="20"/>
          <w:lang w:val="en-US"/>
        </w:rPr>
      </w:pPr>
      <w:r>
        <w:rPr>
          <w:bCs/>
          <w:sz w:val="20"/>
          <w:szCs w:val="20"/>
          <w:lang w:val="en-US"/>
        </w:rPr>
        <w:t>Quality of life</w:t>
      </w:r>
      <w:r w:rsidR="00B02133" w:rsidRPr="00B02133">
        <w:rPr>
          <w:bCs/>
          <w:sz w:val="20"/>
          <w:szCs w:val="20"/>
          <w:lang w:val="en-US"/>
        </w:rPr>
        <w:t xml:space="preserve">; </w:t>
      </w:r>
      <w:r>
        <w:rPr>
          <w:bCs/>
          <w:sz w:val="20"/>
          <w:szCs w:val="20"/>
          <w:lang w:val="en-US"/>
        </w:rPr>
        <w:t xml:space="preserve">adults; EUROHISQOL 8-item </w:t>
      </w:r>
    </w:p>
    <w:p w14:paraId="257C40C7" w14:textId="77777777" w:rsidR="000755E2" w:rsidRPr="00E25900" w:rsidRDefault="000755E2" w:rsidP="007A7C7C">
      <w:pPr>
        <w:jc w:val="both"/>
        <w:rPr>
          <w:bCs/>
          <w:sz w:val="20"/>
          <w:szCs w:val="20"/>
          <w:lang w:val="en-US"/>
        </w:rPr>
      </w:pPr>
    </w:p>
    <w:p w14:paraId="7C35B110" w14:textId="36CE0D1E" w:rsidR="00153DC5" w:rsidRPr="00082D68" w:rsidRDefault="00153DC5" w:rsidP="006B088F">
      <w:pPr>
        <w:pStyle w:val="TtuloResumen"/>
      </w:pPr>
      <w:r w:rsidRPr="00082D68">
        <w:t>Resum</w:t>
      </w:r>
      <w:r w:rsidR="00082D68" w:rsidRPr="00082D68">
        <w:t>o</w:t>
      </w:r>
    </w:p>
    <w:p w14:paraId="6FAC1C5D" w14:textId="122ECC29" w:rsidR="0027261B" w:rsidRPr="00504B2A" w:rsidRDefault="00504B2A" w:rsidP="005B5614">
      <w:pPr>
        <w:jc w:val="both"/>
        <w:rPr>
          <w:sz w:val="20"/>
          <w:szCs w:val="20"/>
          <w:lang w:val="pt-BR"/>
        </w:rPr>
      </w:pPr>
      <w:r w:rsidRPr="00504B2A">
        <w:rPr>
          <w:sz w:val="20"/>
          <w:szCs w:val="20"/>
          <w:lang w:val="pt-BR"/>
        </w:rPr>
        <w:t>A qualidade de vida é tema partilhado por diferentes ciências. Sua definição foi inicialmente padronizada pela Organização Mundial de Saúde, salientando sua dimensão perceptiva pelos indivíduos. Os estudos sobre qualidade de vida voltam-se para diversos campos, e particularmente para o da saúde. O objetivo do estudo foi avaliar, sob o ponto de vista conceitual da OMS sobre o tema, auto percepção de qualidade de vida, de uma amostra diversificada de adultos de uma região litorânea do Estado de São Paulo, em suas possíveis diferenças por faixas etárias, sexo e classe econômica. Foram avaliados 1127 adultos, homens (43,7%) e mulheres (56,3%), de diferentes classes econômicas, com uso do EUROHISQOL 8-item. Resultados indicaram que foram os homens, os participantes mais velhos, e os de classes econômicas A e B que apresentaram maiores médias para sua auto percepção de qualidade de vida. As principais conclusões deste estudo sugerem que, apesar de seus resultados não generalizáveis, há indicativos importantes sobre idade, sexo e variáveis sociodemográficas que deveriam servir para orientar possíveis intervenções no sentido de incrementar os níveis de qualidade de vida de grupos específicos da população, considerando-se suas peculiaridades.</w:t>
      </w:r>
    </w:p>
    <w:p w14:paraId="285AEA8E" w14:textId="77777777" w:rsidR="00504B2A" w:rsidRPr="00082D68" w:rsidRDefault="00504B2A" w:rsidP="005B5614">
      <w:pPr>
        <w:jc w:val="both"/>
        <w:rPr>
          <w:i/>
          <w:sz w:val="20"/>
          <w:szCs w:val="20"/>
          <w:lang w:val="pt-BR"/>
        </w:rPr>
      </w:pPr>
    </w:p>
    <w:p w14:paraId="52B41A5E" w14:textId="5557E726" w:rsidR="00153DC5" w:rsidRPr="00082D68" w:rsidRDefault="00082D68" w:rsidP="00153DC5">
      <w:pPr>
        <w:jc w:val="both"/>
        <w:rPr>
          <w:b/>
          <w:sz w:val="20"/>
          <w:szCs w:val="20"/>
          <w:lang w:val="pt-BR"/>
        </w:rPr>
      </w:pPr>
      <w:r w:rsidRPr="00082D68">
        <w:rPr>
          <w:b/>
          <w:bCs/>
          <w:sz w:val="20"/>
          <w:szCs w:val="20"/>
          <w:lang w:val="pt-BR"/>
        </w:rPr>
        <w:t>Palavras-chave</w:t>
      </w:r>
    </w:p>
    <w:p w14:paraId="3B490AF2" w14:textId="449582AC" w:rsidR="00153DC5" w:rsidRPr="00082D68" w:rsidRDefault="00504B2A" w:rsidP="007A7C7C">
      <w:pPr>
        <w:jc w:val="both"/>
        <w:rPr>
          <w:bCs/>
          <w:sz w:val="20"/>
          <w:szCs w:val="20"/>
          <w:lang w:val="pt-BR"/>
        </w:rPr>
      </w:pPr>
      <w:r>
        <w:rPr>
          <w:bCs/>
          <w:sz w:val="20"/>
          <w:szCs w:val="20"/>
          <w:lang w:val="pt-BR"/>
        </w:rPr>
        <w:t>Qualidade de vida; adultos; EUROHISQOL 8-item</w:t>
      </w:r>
    </w:p>
    <w:p w14:paraId="7189B82D" w14:textId="752BA2A1" w:rsidR="00E55124" w:rsidRPr="00082D68" w:rsidRDefault="00E55124" w:rsidP="007A7C7C">
      <w:pPr>
        <w:jc w:val="both"/>
        <w:rPr>
          <w:bCs/>
          <w:sz w:val="20"/>
          <w:szCs w:val="20"/>
          <w:lang w:val="pt-BR"/>
        </w:rPr>
      </w:pPr>
      <w:r w:rsidRPr="00E25900">
        <w:rPr>
          <w:bCs/>
          <w:noProof/>
          <w:sz w:val="20"/>
          <w:szCs w:val="20"/>
          <w:lang w:val="pt-BR"/>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82D68" w:rsidRDefault="00483D6B" w:rsidP="00B6522A">
      <w:pPr>
        <w:rPr>
          <w:b/>
          <w:lang w:val="pt-BR"/>
        </w:rPr>
      </w:pPr>
    </w:p>
    <w:p w14:paraId="40B39100" w14:textId="44290506" w:rsidR="00082D68" w:rsidRPr="00504B2A" w:rsidRDefault="0059034C" w:rsidP="00082D68">
      <w:pPr>
        <w:pStyle w:val="Ttuloprincipiodeartculo"/>
        <w:rPr>
          <w:lang w:val="en-US"/>
        </w:rPr>
      </w:pPr>
      <w:bookmarkStart w:id="0" w:name="_GoBack"/>
      <w:bookmarkEnd w:id="0"/>
      <w:r w:rsidRPr="00644660">
        <w:rPr>
          <w:lang w:val="en-US"/>
        </w:rPr>
        <w:br w:type="page"/>
      </w:r>
      <w:r w:rsidR="00504B2A" w:rsidRPr="00504B2A">
        <w:rPr>
          <w:lang w:val="en-US"/>
        </w:rPr>
        <w:lastRenderedPageBreak/>
        <w:t>Self-perception of quality of life in adults from a coastal region of São Paulo, Brazil</w:t>
      </w:r>
    </w:p>
    <w:p w14:paraId="4FA726CB" w14:textId="5AE76D8E" w:rsidR="006A1BA2" w:rsidRPr="00082D68" w:rsidRDefault="00082D68" w:rsidP="00474908">
      <w:pPr>
        <w:pStyle w:val="Ttulosinternos"/>
        <w:rPr>
          <w:lang w:val="es-AR"/>
        </w:rPr>
      </w:pPr>
      <w:r w:rsidRPr="00146C86">
        <w:t>Introdu</w:t>
      </w:r>
      <w:r w:rsidR="00504B2A" w:rsidRPr="00146C86">
        <w:t>ction</w:t>
      </w:r>
    </w:p>
    <w:p w14:paraId="4D012987" w14:textId="5B9C7D35" w:rsidR="00504B2A" w:rsidRPr="00504B2A" w:rsidRDefault="00082D68" w:rsidP="00504B2A">
      <w:pPr>
        <w:pStyle w:val="Prrafocomn"/>
      </w:pPr>
      <w:r w:rsidRPr="00146C86">
        <w:tab/>
      </w:r>
      <w:r w:rsidR="00504B2A" w:rsidRPr="00504B2A">
        <w:t>Since the 1980s, a diversity of studies evaluating quality of life has been published in national and international journals, in a range of research that, in general, associate the evaluation of quality of life with its influencing variables, related to pathological contexts, in a standard way of pairing quality of life with health. In this sense, we find quality of life assessments in association with stress (Oliveira et al.</w:t>
      </w:r>
      <w:r w:rsidR="00844D4F">
        <w:t>,</w:t>
      </w:r>
      <w:r w:rsidR="00504B2A" w:rsidRPr="00504B2A">
        <w:t xml:space="preserve"> 2015; </w:t>
      </w:r>
      <w:proofErr w:type="spellStart"/>
      <w:r w:rsidR="00504B2A" w:rsidRPr="00504B2A">
        <w:t>Torquato</w:t>
      </w:r>
      <w:proofErr w:type="spellEnd"/>
      <w:r w:rsidR="00504B2A" w:rsidRPr="00504B2A">
        <w:t xml:space="preserve"> et al.</w:t>
      </w:r>
      <w:r w:rsidR="00844D4F">
        <w:t>,</w:t>
      </w:r>
      <w:r w:rsidR="00504B2A" w:rsidRPr="00504B2A">
        <w:t xml:space="preserve"> 2010), anxiety (</w:t>
      </w:r>
      <w:proofErr w:type="spellStart"/>
      <w:r w:rsidR="00504B2A" w:rsidRPr="00504B2A">
        <w:t>Lantyer</w:t>
      </w:r>
      <w:proofErr w:type="spellEnd"/>
      <w:r w:rsidR="00504B2A" w:rsidRPr="00504B2A">
        <w:t xml:space="preserve"> et al.</w:t>
      </w:r>
      <w:r w:rsidR="00844D4F">
        <w:t>,</w:t>
      </w:r>
      <w:r w:rsidR="00504B2A" w:rsidRPr="00504B2A">
        <w:t xml:space="preserve"> 2016), and other diseases (</w:t>
      </w:r>
      <w:proofErr w:type="spellStart"/>
      <w:r w:rsidR="00504B2A" w:rsidRPr="00504B2A">
        <w:t>Bittencourt</w:t>
      </w:r>
      <w:proofErr w:type="spellEnd"/>
      <w:r w:rsidR="00844D4F">
        <w:t>,</w:t>
      </w:r>
      <w:r w:rsidR="00504B2A" w:rsidRPr="00504B2A">
        <w:t xml:space="preserve"> 2003). In Brazil, there are several studies aimed at assessing the quality of life of university students, more often carried out with students also from health sciences areas (Alfredo et al.</w:t>
      </w:r>
      <w:r w:rsidR="00844D4F">
        <w:t>,</w:t>
      </w:r>
      <w:r w:rsidR="00504B2A" w:rsidRPr="00504B2A">
        <w:t xml:space="preserve"> 2016; Barros et al.</w:t>
      </w:r>
      <w:r w:rsidR="00844D4F">
        <w:t>,</w:t>
      </w:r>
      <w:r w:rsidR="00504B2A" w:rsidRPr="00504B2A">
        <w:t xml:space="preserve"> 2017; Cruz et al.</w:t>
      </w:r>
      <w:r w:rsidR="00844D4F">
        <w:t>,</w:t>
      </w:r>
      <w:r w:rsidR="00504B2A" w:rsidRPr="00504B2A">
        <w:t xml:space="preserve"> 2014; </w:t>
      </w:r>
      <w:proofErr w:type="spellStart"/>
      <w:r w:rsidR="00504B2A" w:rsidRPr="00504B2A">
        <w:t>Eurich</w:t>
      </w:r>
      <w:proofErr w:type="spellEnd"/>
      <w:r w:rsidR="00504B2A" w:rsidRPr="00504B2A">
        <w:t xml:space="preserve"> </w:t>
      </w:r>
      <w:r w:rsidR="00844D4F">
        <w:t>&amp;</w:t>
      </w:r>
      <w:r w:rsidR="00504B2A" w:rsidRPr="00504B2A">
        <w:t xml:space="preserve"> </w:t>
      </w:r>
      <w:proofErr w:type="spellStart"/>
      <w:r w:rsidR="00504B2A" w:rsidRPr="00504B2A">
        <w:t>Kluthcovsky</w:t>
      </w:r>
      <w:proofErr w:type="spellEnd"/>
      <w:r w:rsidR="00504B2A" w:rsidRPr="00504B2A">
        <w:t xml:space="preserve"> 2008; Fiedler 2008; Franco et al.</w:t>
      </w:r>
      <w:r w:rsidR="00844D4F">
        <w:t>,</w:t>
      </w:r>
      <w:r w:rsidR="00504B2A" w:rsidRPr="00504B2A">
        <w:t xml:space="preserve"> 2005; </w:t>
      </w:r>
      <w:proofErr w:type="spellStart"/>
      <w:r w:rsidR="00504B2A" w:rsidRPr="00504B2A">
        <w:t>Langame</w:t>
      </w:r>
      <w:proofErr w:type="spellEnd"/>
      <w:r w:rsidR="00504B2A" w:rsidRPr="00504B2A">
        <w:t xml:space="preserve"> et al.</w:t>
      </w:r>
      <w:r w:rsidR="00844D4F">
        <w:t>,</w:t>
      </w:r>
      <w:r w:rsidR="00504B2A" w:rsidRPr="00504B2A">
        <w:t xml:space="preserve"> 2016; Moura et al.</w:t>
      </w:r>
      <w:r w:rsidR="00844D4F">
        <w:t>,</w:t>
      </w:r>
      <w:r w:rsidR="00504B2A" w:rsidRPr="00504B2A">
        <w:t xml:space="preserve"> 2016; Opoku-Acheampong et al.</w:t>
      </w:r>
      <w:r w:rsidR="00844D4F">
        <w:t>,</w:t>
      </w:r>
      <w:r w:rsidR="00504B2A" w:rsidRPr="00504B2A">
        <w:t xml:space="preserve"> 2017; </w:t>
      </w:r>
      <w:proofErr w:type="spellStart"/>
      <w:r w:rsidR="00504B2A" w:rsidRPr="00504B2A">
        <w:t>Saupe</w:t>
      </w:r>
      <w:proofErr w:type="spellEnd"/>
      <w:r w:rsidR="00504B2A" w:rsidRPr="00504B2A">
        <w:t xml:space="preserve"> et al.</w:t>
      </w:r>
      <w:r w:rsidR="00844D4F">
        <w:t>,</w:t>
      </w:r>
      <w:r w:rsidR="00504B2A" w:rsidRPr="00504B2A">
        <w:t xml:space="preserve"> 2004; </w:t>
      </w:r>
      <w:proofErr w:type="spellStart"/>
      <w:r w:rsidR="00504B2A" w:rsidRPr="00504B2A">
        <w:t>Tempski</w:t>
      </w:r>
      <w:proofErr w:type="spellEnd"/>
      <w:r w:rsidR="00504B2A" w:rsidRPr="00504B2A">
        <w:t xml:space="preserve"> et al.</w:t>
      </w:r>
      <w:r w:rsidR="00844D4F">
        <w:t>,</w:t>
      </w:r>
      <w:r w:rsidR="00504B2A" w:rsidRPr="00504B2A">
        <w:t xml:space="preserve"> 2015; Viana et al.</w:t>
      </w:r>
      <w:r w:rsidR="00844D4F">
        <w:t>,</w:t>
      </w:r>
      <w:r w:rsidR="00504B2A" w:rsidRPr="00504B2A">
        <w:t xml:space="preserve"> 2014). </w:t>
      </w:r>
    </w:p>
    <w:p w14:paraId="40A30F50" w14:textId="77777777" w:rsidR="00504B2A" w:rsidRPr="00504B2A" w:rsidRDefault="00504B2A" w:rsidP="00504B2A">
      <w:pPr>
        <w:pStyle w:val="Prrafocomn"/>
      </w:pPr>
      <w:r w:rsidRPr="00504B2A">
        <w:t>Although the concept of quality of life may have a direct link with health, physical and/or mental, it encompasses several other dimensions, in a polysemic scenario, lacking semantic precision in its definitions, especially from its inclusion in biomedical, psychosocial and/or environmental frameworks. Several are the scientific areas that focus on the study of quality of life, including administration, law, production engineering, medicine, economics, sociology, psychology and politics. These areas have distinct understandings of the concept, besides using different instruments to assess quality of life, individual or population. The oscillating condition of the concept requires that research on quality of life clarify the boundaries of understanding of the construct being adopted in the study, a necessary aspect, but not always met.</w:t>
      </w:r>
    </w:p>
    <w:p w14:paraId="4A8F3FC9" w14:textId="402F56AB" w:rsidR="00504B2A" w:rsidRPr="00504B2A" w:rsidRDefault="00504B2A" w:rsidP="00504B2A">
      <w:pPr>
        <w:pStyle w:val="Prrafocomn"/>
      </w:pPr>
      <w:r w:rsidRPr="00504B2A">
        <w:t>Disseminated in the population, the expression quality of life is usually used in a positive sense. In popular jargon, having quality of life means having good health, well-being, and in a way, having conditions, subjective and objective, to feel good. In the 1960s, speeches by politicians in the United States (US) began to use the term quality of life based on economic and social indicators of well-being, a meaning that remains usual (Pereira et al.</w:t>
      </w:r>
      <w:r w:rsidR="00844D4F">
        <w:t>,</w:t>
      </w:r>
      <w:r w:rsidRPr="00504B2A">
        <w:t xml:space="preserve"> 2012). At that time, the notion of quality of life was already related with the world of work administration, in references related to the Quality of Life of Workers, anchored to this day in matrices from different perspectives, whether humanistic, sociotechnical or concerning the so-called Total Quality (Barros</w:t>
      </w:r>
      <w:r w:rsidR="00844D4F">
        <w:t>,</w:t>
      </w:r>
      <w:r w:rsidRPr="00504B2A">
        <w:t xml:space="preserve"> 2012). In this context, also divided regarding the understanding of what quality of life is, the term is associated with objective conditions indirectly related to health.</w:t>
      </w:r>
    </w:p>
    <w:p w14:paraId="748EE60C" w14:textId="46591536" w:rsidR="00504B2A" w:rsidRPr="00504B2A" w:rsidRDefault="00504B2A" w:rsidP="00504B2A">
      <w:pPr>
        <w:pStyle w:val="Prrafocomn"/>
      </w:pPr>
      <w:r w:rsidRPr="00504B2A">
        <w:lastRenderedPageBreak/>
        <w:t>In 1948, the World Health Organization (WHO) defined health as a state of the most complete physical, mental and social well-being and not just the absence of illness. Putting health in a broader perspective than the absence of disease, this definition, in a way, advanced to dimensions today associated with what is commonly understood by “quality of life.” But it was only in 1995, after 50 years, that the same WHO, via The WHOQOL Group project, advocated the first standardized concept of quality of life, defining it as the individual’s perception of their insertion in life, in the context of the culture and value systems in which they live and in relation to their goals, expectations, standards and concerns (</w:t>
      </w:r>
      <w:proofErr w:type="spellStart"/>
      <w:r w:rsidRPr="00504B2A">
        <w:t>Whoqol</w:t>
      </w:r>
      <w:proofErr w:type="spellEnd"/>
      <w:r w:rsidRPr="00504B2A">
        <w:t xml:space="preserve"> Group</w:t>
      </w:r>
      <w:r w:rsidR="00844D4F">
        <w:t>,</w:t>
      </w:r>
      <w:r w:rsidRPr="00504B2A">
        <w:t xml:space="preserve"> 1995). Thus, quality of life was defined as a multidimensional concept, encompassing different elements of people’s living conditions. The same WHO group developed an instrument to assess the concept, the World Health Organization Quality of Life Instrument (WHOQOL-100), presented in 1995 in a 100-item version composed of 24 facets (Fleck et al.</w:t>
      </w:r>
      <w:r w:rsidR="00844D4F">
        <w:t>,</w:t>
      </w:r>
      <w:r w:rsidRPr="00504B2A">
        <w:t xml:space="preserve"> 2000). In 1998, aiming to reduce the instrument, they published the World Health Organization Quality of Life Instrument-Abbreviated Version (WHOQOL-</w:t>
      </w:r>
      <w:proofErr w:type="spellStart"/>
      <w:r w:rsidRPr="00504B2A">
        <w:t>bref</w:t>
      </w:r>
      <w:proofErr w:type="spellEnd"/>
      <w:r w:rsidRPr="00504B2A">
        <w:t>), containing 26 items. Choosing the WHOQOL-100 items to compose the WHOQOL-</w:t>
      </w:r>
      <w:proofErr w:type="spellStart"/>
      <w:r w:rsidRPr="00504B2A">
        <w:t>bref</w:t>
      </w:r>
      <w:proofErr w:type="spellEnd"/>
      <w:r w:rsidRPr="00504B2A">
        <w:t xml:space="preserve"> rested in its psychometric properties (the questions selected from each facet had greater correlation with the total score) and conceptual ones (each WHOQOL-100 facet was represented by a question, thus ensuring that the instrument was as comprehensive as the original) (Fleck et al.</w:t>
      </w:r>
      <w:r w:rsidR="00844D4F">
        <w:t>,</w:t>
      </w:r>
      <w:r w:rsidRPr="00504B2A">
        <w:t xml:space="preserve"> 2000). Yet another instrument derived from the first is the 2003 EUROHIQOL 8-item, containing only eight questions for assessing quality of life. Questions were chosen from its predecessors (WHOQOL-100 and WHOQOL-</w:t>
      </w:r>
      <w:proofErr w:type="spellStart"/>
      <w:r w:rsidRPr="00504B2A">
        <w:t>bref</w:t>
      </w:r>
      <w:proofErr w:type="spellEnd"/>
      <w:r w:rsidRPr="00504B2A">
        <w:t>), considering those with relevant psychometric properties and ensuring the permanence of all domains of the original instrument (Schmidt et al.</w:t>
      </w:r>
      <w:r w:rsidR="00844D4F">
        <w:t>,</w:t>
      </w:r>
      <w:r w:rsidRPr="00504B2A">
        <w:t xml:space="preserve"> 2006).</w:t>
      </w:r>
    </w:p>
    <w:p w14:paraId="291C4702" w14:textId="2371304A" w:rsidR="00504B2A" w:rsidRPr="00504B2A" w:rsidRDefault="00504B2A" w:rsidP="00504B2A">
      <w:pPr>
        <w:pStyle w:val="Prrafocomn"/>
      </w:pPr>
      <w:r w:rsidRPr="00504B2A">
        <w:t>Under the consensus that no semantic precision for quality of life exists, it should be noted that, in addition to the WHO definition, other dimensions can be found in its notion for encompassing multi-systemic elements of life. Quality of life can be analyzed in a broad perspective, including subjective and objective aspects, linked to economic and cultural development, comprising cultural differences, historical aspects and also heterogeneities in social conditions (</w:t>
      </w:r>
      <w:proofErr w:type="spellStart"/>
      <w:r w:rsidRPr="00504B2A">
        <w:t>Minayo</w:t>
      </w:r>
      <w:proofErr w:type="spellEnd"/>
      <w:r w:rsidRPr="00504B2A">
        <w:t xml:space="preserve"> et al.</w:t>
      </w:r>
      <w:r w:rsidR="00844D4F">
        <w:t>,</w:t>
      </w:r>
      <w:r w:rsidRPr="00504B2A">
        <w:t xml:space="preserve"> 2000). Thus, several are the explanatory aspects for quality of life, which is now comprehensively understood and in interaction with different systems, whether individual, socio-cultural and historical. This advance allows for more complex analyzes, aligned to the notion of human development, in its ecological insertion, whose products emerge from a constant interaction of personal, procedural aspects, environmental contexts and chronological systems, </w:t>
      </w:r>
      <w:r w:rsidRPr="00504B2A">
        <w:lastRenderedPageBreak/>
        <w:t>according to Bronfenbrenner’s PPCT model (Benetti et al.</w:t>
      </w:r>
      <w:r w:rsidR="00844D4F">
        <w:t>,</w:t>
      </w:r>
      <w:r w:rsidRPr="00504B2A">
        <w:t xml:space="preserve"> 2013). This more sophisticated approach to understanding quality of life allows overcoming common places and meanings restricted to scopes of health, work, social and economic conditions, especially because it includes subjective dimensions (</w:t>
      </w:r>
      <w:proofErr w:type="spellStart"/>
      <w:r w:rsidRPr="00504B2A">
        <w:t>Seild</w:t>
      </w:r>
      <w:proofErr w:type="spellEnd"/>
      <w:r w:rsidRPr="00504B2A">
        <w:t xml:space="preserve"> </w:t>
      </w:r>
      <w:r w:rsidR="00844D4F">
        <w:t>&amp;</w:t>
      </w:r>
      <w:r w:rsidRPr="00504B2A">
        <w:t xml:space="preserve"> </w:t>
      </w:r>
      <w:proofErr w:type="spellStart"/>
      <w:r w:rsidRPr="00504B2A">
        <w:t>Zannon</w:t>
      </w:r>
      <w:proofErr w:type="spellEnd"/>
      <w:r w:rsidR="00844D4F">
        <w:t>,</w:t>
      </w:r>
      <w:r w:rsidRPr="00504B2A">
        <w:t xml:space="preserve"> 2004). </w:t>
      </w:r>
    </w:p>
    <w:p w14:paraId="3CDCD9E4" w14:textId="320F014F" w:rsidR="00504B2A" w:rsidRPr="00504B2A" w:rsidRDefault="00504B2A" w:rsidP="00504B2A">
      <w:pPr>
        <w:pStyle w:val="Prrafocomn"/>
      </w:pPr>
      <w:r w:rsidRPr="00504B2A">
        <w:t>The 1988 Federal Constitution of Brazil (CF) text mentions the term quality of life in its article 225, relating it to the right to an ecologically balanced environment (</w:t>
      </w:r>
      <w:proofErr w:type="spellStart"/>
      <w:r w:rsidRPr="00504B2A">
        <w:t>Brasil</w:t>
      </w:r>
      <w:proofErr w:type="spellEnd"/>
      <w:r w:rsidR="00844D4F">
        <w:t>,</w:t>
      </w:r>
      <w:r w:rsidRPr="00504B2A">
        <w:t xml:space="preserve"> 1988). But throughout the CF radiate provisions that ensure the right to quality of life. In this context, it is associated not only with fundamental rights and guarantees, but also with the economic order and the aforementioned right to an ecologically balanced environment. Observing the principle of human dignity, the concept of quality of life becomes a fundamental right (</w:t>
      </w:r>
      <w:proofErr w:type="spellStart"/>
      <w:r w:rsidRPr="00504B2A">
        <w:t>Jampaulo</w:t>
      </w:r>
      <w:proofErr w:type="spellEnd"/>
      <w:r w:rsidRPr="00504B2A">
        <w:t xml:space="preserve"> Júnior</w:t>
      </w:r>
      <w:r w:rsidR="00844D4F">
        <w:t>,</w:t>
      </w:r>
      <w:r w:rsidRPr="00504B2A">
        <w:t xml:space="preserve"> 2007).</w:t>
      </w:r>
    </w:p>
    <w:p w14:paraId="7F9FC236" w14:textId="14E5A10F" w:rsidR="00504B2A" w:rsidRPr="00504B2A" w:rsidRDefault="00504B2A" w:rsidP="00504B2A">
      <w:pPr>
        <w:pStyle w:val="Prrafocomn"/>
      </w:pPr>
      <w:r w:rsidRPr="00504B2A">
        <w:t>Most studies on quality of life tend to evaluate it in the presence of specific conditions, often associated with health problems and/or exposure to them, as mentioned. In turn, few are the national studies that analyze the quality of life in individuals considering their age groups, with greater emphasis on older adults (</w:t>
      </w:r>
      <w:proofErr w:type="spellStart"/>
      <w:r w:rsidRPr="00504B2A">
        <w:t>Bartolotto</w:t>
      </w:r>
      <w:proofErr w:type="spellEnd"/>
      <w:r w:rsidRPr="00504B2A">
        <w:t xml:space="preserve"> et al.</w:t>
      </w:r>
      <w:r w:rsidR="00844D4F">
        <w:t>,</w:t>
      </w:r>
      <w:r w:rsidRPr="00504B2A">
        <w:t xml:space="preserve"> 2018; </w:t>
      </w:r>
      <w:proofErr w:type="spellStart"/>
      <w:r w:rsidRPr="00504B2A">
        <w:t>Ermel</w:t>
      </w:r>
      <w:proofErr w:type="spellEnd"/>
      <w:r w:rsidRPr="00504B2A">
        <w:t xml:space="preserve"> et al.</w:t>
      </w:r>
      <w:r w:rsidR="00844D4F">
        <w:t>,</w:t>
      </w:r>
      <w:r w:rsidRPr="00504B2A">
        <w:t xml:space="preserve"> 2017; </w:t>
      </w:r>
      <w:proofErr w:type="spellStart"/>
      <w:r w:rsidRPr="00504B2A">
        <w:t>Mota</w:t>
      </w:r>
      <w:proofErr w:type="spellEnd"/>
      <w:r w:rsidRPr="00504B2A">
        <w:t xml:space="preserve"> et al.</w:t>
      </w:r>
      <w:r w:rsidR="00844D4F">
        <w:t>,</w:t>
      </w:r>
      <w:r w:rsidRPr="00504B2A">
        <w:t xml:space="preserve"> 2017; </w:t>
      </w:r>
      <w:proofErr w:type="spellStart"/>
      <w:r w:rsidRPr="00504B2A">
        <w:t>Neri</w:t>
      </w:r>
      <w:proofErr w:type="spellEnd"/>
      <w:r w:rsidRPr="00504B2A">
        <w:t xml:space="preserve"> et al.</w:t>
      </w:r>
      <w:r w:rsidR="00844D4F">
        <w:t>,</w:t>
      </w:r>
      <w:r w:rsidRPr="00504B2A">
        <w:t xml:space="preserve"> 2018; Noronha et al.</w:t>
      </w:r>
      <w:r w:rsidR="00844D4F">
        <w:t>,</w:t>
      </w:r>
      <w:r w:rsidRPr="00504B2A">
        <w:t xml:space="preserve"> 2016).</w:t>
      </w:r>
    </w:p>
    <w:p w14:paraId="2EEA8F46" w14:textId="4FA680C9" w:rsidR="00504B2A" w:rsidRPr="00504B2A" w:rsidRDefault="00504B2A" w:rsidP="00504B2A">
      <w:pPr>
        <w:pStyle w:val="Prrafocomn"/>
      </w:pPr>
      <w:r w:rsidRPr="00504B2A">
        <w:t>There are differences in chronological markers in the individuals’ development. In Brazilian legal terms, civil majority begins at age 18, when people start to be considered as adults (</w:t>
      </w:r>
      <w:proofErr w:type="spellStart"/>
      <w:r w:rsidRPr="00504B2A">
        <w:t>Brasil</w:t>
      </w:r>
      <w:proofErr w:type="spellEnd"/>
      <w:r w:rsidR="00844D4F">
        <w:t>,</w:t>
      </w:r>
      <w:r w:rsidRPr="00504B2A">
        <w:t xml:space="preserve"> 2002). Biopsychosocial dimensions still arbitrarily point to subdivisions of these stages in “young adults” (18 to 39 years) and “middle-aged adults” (40 to 59 years old). In 1982, the United Nations (UN) chose the age of 60 to classify a person as an older adult (United Nations</w:t>
      </w:r>
      <w:r w:rsidR="002D1E22">
        <w:t>,</w:t>
      </w:r>
      <w:r w:rsidRPr="00504B2A">
        <w:t xml:space="preserve"> 1983), but the reference of 65 years is also found in the organization’s documents. In Brazil, Law no. 10,741, of October 1, 2003, known as the Older adult Statute (</w:t>
      </w:r>
      <w:proofErr w:type="spellStart"/>
      <w:r w:rsidRPr="00504B2A">
        <w:t>Brasil</w:t>
      </w:r>
      <w:proofErr w:type="spellEnd"/>
      <w:r w:rsidR="002D1E22">
        <w:t>,</w:t>
      </w:r>
      <w:r w:rsidRPr="00504B2A">
        <w:t xml:space="preserve"> 2003), considers as an older adult the individual aged over 60 years, who in civil terms is classified as an adult. But for some Brazilian administrative measures, those over 65 years are also considered older adults. The country also admits the classification “very old adults,” those aged 80 years and older, an expanding portion in the country (</w:t>
      </w:r>
      <w:proofErr w:type="spellStart"/>
      <w:r w:rsidRPr="00504B2A">
        <w:t>Brasil</w:t>
      </w:r>
      <w:proofErr w:type="spellEnd"/>
      <w:r w:rsidR="002D1E22">
        <w:t>,</w:t>
      </w:r>
      <w:r w:rsidRPr="00504B2A">
        <w:t xml:space="preserve"> 2010). In any case, the stages of life are related to aspects of human development in its individual, biological and psychosocial dimensions, but are also sociocultural constructions, diversified in cultures and historical times. </w:t>
      </w:r>
    </w:p>
    <w:p w14:paraId="77873B6E" w14:textId="77777777" w:rsidR="00504B2A" w:rsidRPr="00504B2A" w:rsidRDefault="00504B2A" w:rsidP="00504B2A">
      <w:pPr>
        <w:pStyle w:val="Prrafocomn"/>
      </w:pPr>
      <w:r w:rsidRPr="00504B2A">
        <w:t xml:space="preserve">So, avoiding further generalizations regarding insertions in age groups, since they are lived in different conditions by individuals, in particular, and by their historical, cultural and insertion interactions in social, economic and political conditions, some considerations about the stages of </w:t>
      </w:r>
      <w:r w:rsidRPr="00504B2A">
        <w:lastRenderedPageBreak/>
        <w:t xml:space="preserve">life provide an overview of some common boundaries. For example, in adulthood, the cognitive and physical functioning of the human being, in general, is at its peak. However, when facing the evolutionary tasks of adulthood, also due to individual, sociocultural and historical conditions, this stage of life is often permeated by numerous challenges to mental health. </w:t>
      </w:r>
    </w:p>
    <w:p w14:paraId="19FFE459" w14:textId="61F462C2" w:rsidR="00504B2A" w:rsidRPr="00504B2A" w:rsidRDefault="00504B2A" w:rsidP="00504B2A">
      <w:pPr>
        <w:pStyle w:val="Prrafocomn"/>
      </w:pPr>
      <w:r w:rsidRPr="00504B2A">
        <w:t>Brazilian research focused on adulthood have pointed to mental problems (Andrade et al.</w:t>
      </w:r>
      <w:r w:rsidR="002D1E22">
        <w:t>,</w:t>
      </w:r>
      <w:r w:rsidRPr="00504B2A">
        <w:t xml:space="preserve"> 2012; </w:t>
      </w:r>
      <w:proofErr w:type="spellStart"/>
      <w:r w:rsidRPr="00504B2A">
        <w:t>Bonadiman</w:t>
      </w:r>
      <w:proofErr w:type="spellEnd"/>
      <w:r w:rsidRPr="00504B2A">
        <w:t xml:space="preserve"> et al.</w:t>
      </w:r>
      <w:r w:rsidR="002D1E22">
        <w:t>,</w:t>
      </w:r>
      <w:r w:rsidRPr="00504B2A">
        <w:t xml:space="preserve"> 2017; Kohn et al.</w:t>
      </w:r>
      <w:r w:rsidR="002D1E22">
        <w:t>,</w:t>
      </w:r>
      <w:r w:rsidRPr="00504B2A">
        <w:t xml:space="preserve"> 2018), particularly in women (Gonçalves et al.</w:t>
      </w:r>
      <w:r w:rsidR="002D1E22">
        <w:t>,</w:t>
      </w:r>
      <w:r w:rsidRPr="00504B2A">
        <w:t xml:space="preserve"> 2014). Problems in young adults (18 to 39 years) tend to relate to higher levels of stress, incidence of schizophrenic disorders and drug use (</w:t>
      </w:r>
      <w:proofErr w:type="spellStart"/>
      <w:r w:rsidRPr="00504B2A">
        <w:t>Osório</w:t>
      </w:r>
      <w:proofErr w:type="spellEnd"/>
      <w:r w:rsidR="002D1E22">
        <w:t>,</w:t>
      </w:r>
      <w:r w:rsidRPr="00504B2A">
        <w:t xml:space="preserve"> 2001). Regarded as a period of greater stability, the middle age of adulthood (40 to 59 years) can also bring crises due to frustrations over poorly achieved or unfulfilled goals. In middle age, physical changes associated with old age begin, especially due to hormonal changes, with loss of vigor and agility, in addition to frustrations and concerns about the body’s aesthetic (</w:t>
      </w:r>
      <w:proofErr w:type="spellStart"/>
      <w:r w:rsidRPr="00504B2A">
        <w:t>Margis</w:t>
      </w:r>
      <w:proofErr w:type="spellEnd"/>
      <w:r w:rsidRPr="00504B2A">
        <w:t xml:space="preserve"> </w:t>
      </w:r>
      <w:r w:rsidR="002D1E22">
        <w:t>&amp;</w:t>
      </w:r>
      <w:r w:rsidRPr="00504B2A">
        <w:t xml:space="preserve"> </w:t>
      </w:r>
      <w:proofErr w:type="spellStart"/>
      <w:r w:rsidRPr="00504B2A">
        <w:t>Cordioli</w:t>
      </w:r>
      <w:proofErr w:type="spellEnd"/>
      <w:r w:rsidR="002D1E22">
        <w:t>,</w:t>
      </w:r>
      <w:r w:rsidRPr="00504B2A">
        <w:t xml:space="preserve"> 2001). Older adults frequently experience physical and economic vulnerabilities, in addition to adaptation demands linked to vicissitudes of the last stage of the life cycle. However, alongside specific old age weaknesses, many older adults enjoy a daily life less charged with stressful situations from the world of work, enjoying a certain stability arising from their development process. </w:t>
      </w:r>
    </w:p>
    <w:p w14:paraId="676320F7" w14:textId="77777777" w:rsidR="00504B2A" w:rsidRPr="00504B2A" w:rsidRDefault="00504B2A" w:rsidP="00504B2A">
      <w:pPr>
        <w:pStyle w:val="Prrafocomn"/>
      </w:pPr>
      <w:r w:rsidRPr="00504B2A">
        <w:t xml:space="preserve">Thus, as a presentation of the breadth and nuance of studies on quality of life, this research aimed to evaluate, from the WHO conceptual standpoint on the subject, self-perception of quality of life in a diverse sample of adults (young adults, middle age and older) from a coastal region of the State of São Paulo, in their possible differences by age groups, gender and economic classification. </w:t>
      </w:r>
    </w:p>
    <w:p w14:paraId="2254AC27" w14:textId="3C13ACB4" w:rsidR="006F7E7E" w:rsidRPr="00146C86" w:rsidRDefault="001516ED" w:rsidP="00474908">
      <w:pPr>
        <w:pStyle w:val="Ttulosinternos"/>
      </w:pPr>
      <w:r w:rsidRPr="00146C86">
        <w:t>M</w:t>
      </w:r>
      <w:r w:rsidR="00504B2A" w:rsidRPr="00146C86">
        <w:t>ethods</w:t>
      </w:r>
    </w:p>
    <w:p w14:paraId="6869EF4D" w14:textId="3A2F2107" w:rsidR="00504B2A" w:rsidRPr="00146C86" w:rsidRDefault="00504B2A" w:rsidP="00504B2A">
      <w:pPr>
        <w:pStyle w:val="SubtituloInterno"/>
        <w:rPr>
          <w:bCs/>
          <w:iCs/>
        </w:rPr>
      </w:pPr>
      <w:r w:rsidRPr="00146C86">
        <w:rPr>
          <w:bCs/>
          <w:iCs/>
        </w:rPr>
        <w:t>Participants</w:t>
      </w:r>
    </w:p>
    <w:p w14:paraId="1C8CCD4C" w14:textId="64C2D83E" w:rsidR="00504B2A" w:rsidRPr="00504B2A" w:rsidRDefault="00504B2A" w:rsidP="00644660">
      <w:pPr>
        <w:pStyle w:val="Prrafocomn"/>
        <w:rPr>
          <w:rFonts w:eastAsia="Calibri"/>
        </w:rPr>
      </w:pPr>
      <w:r w:rsidRPr="00504B2A">
        <w:rPr>
          <w:rFonts w:eastAsia="Calibri"/>
        </w:rPr>
        <w:t>Three distinct groups formed the research sample:</w:t>
      </w:r>
      <w:r w:rsidR="00644660">
        <w:rPr>
          <w:rFonts w:eastAsia="Calibri"/>
        </w:rPr>
        <w:t xml:space="preserve"> 1) </w:t>
      </w:r>
      <w:r w:rsidRPr="00504B2A">
        <w:rPr>
          <w:rFonts w:eastAsia="Calibri"/>
        </w:rPr>
        <w:t xml:space="preserve">First-year undergraduates, with less than four months of academic start from different courses at a public university in Baixada </w:t>
      </w:r>
      <w:proofErr w:type="spellStart"/>
      <w:r w:rsidRPr="00504B2A">
        <w:rPr>
          <w:rFonts w:eastAsia="Calibri"/>
        </w:rPr>
        <w:t>Santista</w:t>
      </w:r>
      <w:proofErr w:type="spellEnd"/>
      <w:r w:rsidRPr="00504B2A">
        <w:rPr>
          <w:rFonts w:eastAsia="Calibri"/>
        </w:rPr>
        <w:t>, metropolitan region of the coast of the State of São Paulo, in southeastern Brazil</w:t>
      </w:r>
      <w:r w:rsidR="00644660">
        <w:rPr>
          <w:rFonts w:eastAsia="Calibri"/>
        </w:rPr>
        <w:t xml:space="preserve">; 2) </w:t>
      </w:r>
      <w:r w:rsidRPr="00504B2A">
        <w:rPr>
          <w:rFonts w:eastAsia="Calibri"/>
        </w:rPr>
        <w:t>University students from different courses at a public university in the same region, with at least one full semester finished</w:t>
      </w:r>
      <w:r w:rsidR="00644660">
        <w:rPr>
          <w:rFonts w:eastAsia="Calibri"/>
        </w:rPr>
        <w:t xml:space="preserve">; 3) </w:t>
      </w:r>
      <w:r w:rsidRPr="00504B2A">
        <w:rPr>
          <w:rFonts w:eastAsia="Calibri"/>
        </w:rPr>
        <w:t xml:space="preserve">Adults approached in different public places (streets, malls, tourist sites) of two municipalities of Baixada </w:t>
      </w:r>
      <w:proofErr w:type="spellStart"/>
      <w:r w:rsidRPr="00504B2A">
        <w:rPr>
          <w:rFonts w:eastAsia="Calibri"/>
        </w:rPr>
        <w:t>Santista</w:t>
      </w:r>
      <w:proofErr w:type="spellEnd"/>
      <w:r w:rsidRPr="00504B2A">
        <w:rPr>
          <w:rFonts w:eastAsia="Calibri"/>
        </w:rPr>
        <w:t>.</w:t>
      </w:r>
    </w:p>
    <w:p w14:paraId="42F301E9" w14:textId="3DAA1EA3" w:rsidR="00082D68" w:rsidRPr="00504B2A" w:rsidRDefault="00504B2A" w:rsidP="00504B2A">
      <w:pPr>
        <w:pStyle w:val="Prrafocomn"/>
        <w:rPr>
          <w:rFonts w:eastAsia="Calibri"/>
        </w:rPr>
      </w:pPr>
      <w:r w:rsidRPr="00504B2A">
        <w:rPr>
          <w:rFonts w:eastAsia="Calibri"/>
        </w:rPr>
        <w:lastRenderedPageBreak/>
        <w:t xml:space="preserve">The Baixada </w:t>
      </w:r>
      <w:proofErr w:type="spellStart"/>
      <w:r w:rsidRPr="00504B2A">
        <w:rPr>
          <w:rFonts w:eastAsia="Calibri"/>
        </w:rPr>
        <w:t>Santista</w:t>
      </w:r>
      <w:proofErr w:type="spellEnd"/>
      <w:r w:rsidRPr="00504B2A">
        <w:rPr>
          <w:rFonts w:eastAsia="Calibri"/>
        </w:rPr>
        <w:t xml:space="preserve"> Metropolitan Region, off the coast of the State of São Paulo, has nine municipalities, being the second region of the state in demographic density. The two municipalities where we collected data on quality of life</w:t>
      </w:r>
      <w:r w:rsidR="002D1E22">
        <w:rPr>
          <w:rFonts w:eastAsia="Calibri"/>
        </w:rPr>
        <w:t xml:space="preserve"> - </w:t>
      </w:r>
      <w:r w:rsidRPr="00504B2A">
        <w:rPr>
          <w:rFonts w:eastAsia="Calibri"/>
        </w:rPr>
        <w:t xml:space="preserve">Santos and </w:t>
      </w:r>
      <w:proofErr w:type="spellStart"/>
      <w:r w:rsidRPr="00504B2A">
        <w:rPr>
          <w:rFonts w:eastAsia="Calibri"/>
        </w:rPr>
        <w:t>Guarujá</w:t>
      </w:r>
      <w:proofErr w:type="spellEnd"/>
      <w:r w:rsidR="002D1E22">
        <w:rPr>
          <w:rFonts w:eastAsia="Calibri"/>
        </w:rPr>
        <w:t xml:space="preserve"> - </w:t>
      </w:r>
      <w:r w:rsidRPr="00504B2A">
        <w:rPr>
          <w:rFonts w:eastAsia="Calibri"/>
        </w:rPr>
        <w:t xml:space="preserve">have bathing beaches of great extension. </w:t>
      </w:r>
      <w:proofErr w:type="spellStart"/>
      <w:r w:rsidRPr="00504B2A">
        <w:rPr>
          <w:rFonts w:eastAsia="Calibri"/>
        </w:rPr>
        <w:t>Guarujá’s</w:t>
      </w:r>
      <w:proofErr w:type="spellEnd"/>
      <w:r w:rsidRPr="00504B2A">
        <w:rPr>
          <w:rFonts w:eastAsia="Calibri"/>
        </w:rPr>
        <w:t xml:space="preserve"> beach extends for a little more than 7km. Santos has seven beaches, the longest with 5.4 km. The region is a tourist and industrial center. It is home to the Santos Port Complex, which houses the largest seaport in Latin America. </w:t>
      </w:r>
      <w:r w:rsidR="00082D68" w:rsidRPr="00504B2A">
        <w:rPr>
          <w:rFonts w:eastAsia="Calibri"/>
        </w:rPr>
        <w:t xml:space="preserve"> </w:t>
      </w:r>
    </w:p>
    <w:p w14:paraId="7F9D2B85" w14:textId="7112F682" w:rsidR="00082D68" w:rsidRPr="00504B2A" w:rsidRDefault="00504B2A" w:rsidP="00082D68">
      <w:pPr>
        <w:pStyle w:val="SubtituloInterno"/>
        <w:rPr>
          <w:rFonts w:eastAsia="Calibri"/>
        </w:rPr>
      </w:pPr>
      <w:r w:rsidRPr="00504B2A">
        <w:rPr>
          <w:rFonts w:eastAsia="Calibri"/>
        </w:rPr>
        <w:t>Instruments</w:t>
      </w:r>
    </w:p>
    <w:p w14:paraId="01631134" w14:textId="42662E7A" w:rsidR="00504B2A" w:rsidRPr="00504B2A" w:rsidRDefault="00504B2A" w:rsidP="00504B2A">
      <w:pPr>
        <w:pStyle w:val="Prrafocomn"/>
        <w:rPr>
          <w:rFonts w:eastAsia="Calibri"/>
        </w:rPr>
      </w:pPr>
      <w:r w:rsidRPr="00504B2A">
        <w:rPr>
          <w:rFonts w:eastAsia="Calibri"/>
        </w:rPr>
        <w:t>To evaluate the participants’ economic classes, we used the Brazilian Economic Classification Criterion (CCEB) (</w:t>
      </w:r>
      <w:proofErr w:type="spellStart"/>
      <w:r w:rsidRPr="00504B2A">
        <w:rPr>
          <w:rFonts w:eastAsia="Calibri"/>
        </w:rPr>
        <w:t>Associação</w:t>
      </w:r>
      <w:proofErr w:type="spellEnd"/>
      <w:r w:rsidRPr="00504B2A">
        <w:rPr>
          <w:rFonts w:eastAsia="Calibri"/>
        </w:rPr>
        <w:t xml:space="preserve"> </w:t>
      </w:r>
      <w:proofErr w:type="spellStart"/>
      <w:r w:rsidRPr="00504B2A">
        <w:rPr>
          <w:rFonts w:eastAsia="Calibri"/>
        </w:rPr>
        <w:t>Brasileira</w:t>
      </w:r>
      <w:proofErr w:type="spellEnd"/>
      <w:r w:rsidRPr="00504B2A">
        <w:rPr>
          <w:rFonts w:eastAsia="Calibri"/>
        </w:rPr>
        <w:t xml:space="preserve"> de </w:t>
      </w:r>
      <w:proofErr w:type="spellStart"/>
      <w:r w:rsidRPr="00504B2A">
        <w:rPr>
          <w:rFonts w:eastAsia="Calibri"/>
        </w:rPr>
        <w:t>Empresas</w:t>
      </w:r>
      <w:proofErr w:type="spellEnd"/>
      <w:r w:rsidRPr="00504B2A">
        <w:rPr>
          <w:rFonts w:eastAsia="Calibri"/>
        </w:rPr>
        <w:t xml:space="preserve"> de </w:t>
      </w:r>
      <w:proofErr w:type="spellStart"/>
      <w:r w:rsidRPr="00504B2A">
        <w:rPr>
          <w:rFonts w:eastAsia="Calibri"/>
        </w:rPr>
        <w:t>Pesquisa</w:t>
      </w:r>
      <w:proofErr w:type="spellEnd"/>
      <w:r w:rsidR="002D1E22">
        <w:rPr>
          <w:rFonts w:eastAsia="Calibri"/>
        </w:rPr>
        <w:t>,</w:t>
      </w:r>
      <w:r w:rsidRPr="00504B2A">
        <w:rPr>
          <w:rFonts w:eastAsia="Calibri"/>
        </w:rPr>
        <w:t xml:space="preserve"> 2018). Commonly known as Criterion Brazil, CCEB uses standards established by the Brazilian Association of Research Companies and data from the Brazilian Institute of Geography and Statistics. The instrument proposes questions related to the amount of comfort items, the source of water in the household, classification of the household address, and the education level of the head of the household. The results of the instrument are presented in economic classes A, B, C, D-E. </w:t>
      </w:r>
    </w:p>
    <w:p w14:paraId="5097B302" w14:textId="78ACAFE1" w:rsidR="00504B2A" w:rsidRPr="00504B2A" w:rsidRDefault="00504B2A" w:rsidP="00504B2A">
      <w:pPr>
        <w:pStyle w:val="Prrafocomn"/>
        <w:rPr>
          <w:rFonts w:eastAsia="Calibri"/>
        </w:rPr>
      </w:pPr>
      <w:r w:rsidRPr="00504B2A">
        <w:rPr>
          <w:rFonts w:eastAsia="Calibri"/>
        </w:rPr>
        <w:t>To assess self-perception of quality of life we employed the EUROHISQOL 8-item, an instrument developed by the WHO as an abbreviated version of the WHOQOL-100 and WHOQOL-</w:t>
      </w:r>
      <w:proofErr w:type="spellStart"/>
      <w:r w:rsidRPr="00504B2A">
        <w:rPr>
          <w:rFonts w:eastAsia="Calibri"/>
        </w:rPr>
        <w:t>bref</w:t>
      </w:r>
      <w:proofErr w:type="spellEnd"/>
      <w:r w:rsidRPr="00504B2A">
        <w:rPr>
          <w:rFonts w:eastAsia="Calibri"/>
        </w:rPr>
        <w:t>, as mentioned in the Introduction. The EUROHISQOL 8-item was validated in Brazil by Pires et al. (2018). We directly applied the instrument to 965 of the participants; 162 participants (undergraduates) answered the WHOQOL-</w:t>
      </w:r>
      <w:proofErr w:type="spellStart"/>
      <w:r w:rsidRPr="00504B2A">
        <w:rPr>
          <w:rFonts w:eastAsia="Calibri"/>
        </w:rPr>
        <w:t>bref</w:t>
      </w:r>
      <w:proofErr w:type="spellEnd"/>
      <w:r w:rsidRPr="00504B2A">
        <w:rPr>
          <w:rFonts w:eastAsia="Calibri"/>
        </w:rPr>
        <w:t>, after excluding the EUROHISQOL 8-item items from this assessment. EUROHISQOL 8-item results showed significant correlations (significance level &lt;</w:t>
      </w:r>
      <w:r w:rsidR="002D1E22">
        <w:rPr>
          <w:rFonts w:eastAsia="Calibri"/>
        </w:rPr>
        <w:t xml:space="preserve"> </w:t>
      </w:r>
      <w:r w:rsidRPr="00504B2A">
        <w:rPr>
          <w:rFonts w:eastAsia="Calibri"/>
        </w:rPr>
        <w:t>0.01) with the results of the domains evaluated by the WHOQOL-</w:t>
      </w:r>
      <w:proofErr w:type="spellStart"/>
      <w:r w:rsidRPr="00504B2A">
        <w:rPr>
          <w:rFonts w:eastAsia="Calibri"/>
        </w:rPr>
        <w:t>bref</w:t>
      </w:r>
      <w:proofErr w:type="spellEnd"/>
      <w:r w:rsidRPr="00504B2A">
        <w:rPr>
          <w:rFonts w:eastAsia="Calibri"/>
        </w:rPr>
        <w:t xml:space="preserve"> (</w:t>
      </w:r>
      <w:proofErr w:type="spellStart"/>
      <w:r w:rsidRPr="00504B2A">
        <w:rPr>
          <w:rFonts w:eastAsia="Calibri"/>
        </w:rPr>
        <w:t>R</w:t>
      </w:r>
      <w:r w:rsidRPr="002D1E22">
        <w:rPr>
          <w:rFonts w:eastAsia="Calibri"/>
          <w:vertAlign w:val="subscript"/>
        </w:rPr>
        <w:t>physical</w:t>
      </w:r>
      <w:proofErr w:type="spellEnd"/>
      <w:r w:rsidR="002D1E22">
        <w:rPr>
          <w:rFonts w:eastAsia="Calibri"/>
        </w:rPr>
        <w:t xml:space="preserve"> </w:t>
      </w:r>
      <w:r w:rsidRPr="00504B2A">
        <w:rPr>
          <w:rFonts w:eastAsia="Calibri"/>
        </w:rPr>
        <w:t>=</w:t>
      </w:r>
      <w:r w:rsidR="002D1E22">
        <w:rPr>
          <w:rFonts w:eastAsia="Calibri"/>
        </w:rPr>
        <w:t xml:space="preserve"> </w:t>
      </w:r>
      <w:r w:rsidRPr="00504B2A">
        <w:rPr>
          <w:rFonts w:eastAsia="Calibri"/>
        </w:rPr>
        <w:t xml:space="preserve">0.51; </w:t>
      </w:r>
      <w:proofErr w:type="spellStart"/>
      <w:r w:rsidRPr="00504B2A">
        <w:rPr>
          <w:rFonts w:eastAsia="Calibri"/>
        </w:rPr>
        <w:t>R</w:t>
      </w:r>
      <w:r w:rsidRPr="002D1E22">
        <w:rPr>
          <w:rFonts w:eastAsia="Calibri"/>
          <w:vertAlign w:val="subscript"/>
        </w:rPr>
        <w:t>psychological</w:t>
      </w:r>
      <w:proofErr w:type="spellEnd"/>
      <w:r w:rsidR="002D1E22">
        <w:rPr>
          <w:rFonts w:eastAsia="Calibri"/>
        </w:rPr>
        <w:t xml:space="preserve"> </w:t>
      </w:r>
      <w:r w:rsidRPr="00504B2A">
        <w:rPr>
          <w:rFonts w:eastAsia="Calibri"/>
        </w:rPr>
        <w:t>=</w:t>
      </w:r>
      <w:r w:rsidR="002D1E22">
        <w:rPr>
          <w:rFonts w:eastAsia="Calibri"/>
        </w:rPr>
        <w:t xml:space="preserve"> </w:t>
      </w:r>
      <w:r w:rsidRPr="00504B2A">
        <w:rPr>
          <w:rFonts w:eastAsia="Calibri"/>
        </w:rPr>
        <w:t xml:space="preserve">0.71; </w:t>
      </w:r>
      <w:proofErr w:type="spellStart"/>
      <w:r w:rsidRPr="00504B2A">
        <w:rPr>
          <w:rFonts w:eastAsia="Calibri"/>
        </w:rPr>
        <w:t>R</w:t>
      </w:r>
      <w:r w:rsidRPr="002D1E22">
        <w:rPr>
          <w:rFonts w:eastAsia="Calibri"/>
          <w:vertAlign w:val="subscript"/>
        </w:rPr>
        <w:t>social</w:t>
      </w:r>
      <w:proofErr w:type="spellEnd"/>
      <w:r w:rsidRPr="002D1E22">
        <w:rPr>
          <w:rFonts w:eastAsia="Calibri"/>
          <w:vertAlign w:val="subscript"/>
        </w:rPr>
        <w:t xml:space="preserve"> relations</w:t>
      </w:r>
      <w:r w:rsidR="002D1E22">
        <w:rPr>
          <w:rFonts w:eastAsia="Calibri"/>
        </w:rPr>
        <w:t xml:space="preserve"> </w:t>
      </w:r>
      <w:r w:rsidRPr="00504B2A">
        <w:rPr>
          <w:rFonts w:eastAsia="Calibri"/>
        </w:rPr>
        <w:t>=</w:t>
      </w:r>
      <w:r w:rsidR="002D1E22">
        <w:rPr>
          <w:rFonts w:eastAsia="Calibri"/>
        </w:rPr>
        <w:t xml:space="preserve"> </w:t>
      </w:r>
      <w:r w:rsidRPr="00504B2A">
        <w:rPr>
          <w:rFonts w:eastAsia="Calibri"/>
        </w:rPr>
        <w:t xml:space="preserve">0.50; </w:t>
      </w:r>
      <w:proofErr w:type="spellStart"/>
      <w:r w:rsidRPr="00504B2A">
        <w:rPr>
          <w:rFonts w:eastAsia="Calibri"/>
        </w:rPr>
        <w:t>R</w:t>
      </w:r>
      <w:r w:rsidRPr="002D1E22">
        <w:rPr>
          <w:rFonts w:eastAsia="Calibri"/>
          <w:vertAlign w:val="subscript"/>
        </w:rPr>
        <w:t>environment</w:t>
      </w:r>
      <w:proofErr w:type="spellEnd"/>
      <w:r w:rsidR="002D1E22">
        <w:rPr>
          <w:rFonts w:eastAsia="Calibri"/>
        </w:rPr>
        <w:t xml:space="preserve"> </w:t>
      </w:r>
      <w:r w:rsidRPr="00504B2A">
        <w:rPr>
          <w:rFonts w:eastAsia="Calibri"/>
        </w:rPr>
        <w:t>=</w:t>
      </w:r>
      <w:r w:rsidR="002D1E22">
        <w:rPr>
          <w:rFonts w:eastAsia="Calibri"/>
        </w:rPr>
        <w:t xml:space="preserve"> </w:t>
      </w:r>
      <w:r w:rsidRPr="00504B2A">
        <w:rPr>
          <w:rFonts w:eastAsia="Calibri"/>
        </w:rPr>
        <w:t xml:space="preserve">0.74). Therefore, for these 162 participants, we will consider the EUROHISQOL 8-item as an evaluation instrument with indirect application. </w:t>
      </w:r>
    </w:p>
    <w:p w14:paraId="4F74FD38" w14:textId="66BB39A1" w:rsidR="00504B2A" w:rsidRPr="00504B2A" w:rsidRDefault="00504B2A" w:rsidP="00504B2A">
      <w:pPr>
        <w:pStyle w:val="Prrafocomn"/>
        <w:rPr>
          <w:rFonts w:eastAsia="Calibri"/>
        </w:rPr>
      </w:pPr>
      <w:r w:rsidRPr="00504B2A">
        <w:rPr>
          <w:rFonts w:eastAsia="Calibri"/>
        </w:rPr>
        <w:t xml:space="preserve">The EUROHISQOL 8-item contains eight questions to which participants must mark an answer (five-point </w:t>
      </w:r>
      <w:proofErr w:type="spellStart"/>
      <w:r w:rsidRPr="00504B2A">
        <w:rPr>
          <w:rFonts w:eastAsia="Calibri"/>
        </w:rPr>
        <w:t>likert</w:t>
      </w:r>
      <w:proofErr w:type="spellEnd"/>
      <w:r w:rsidRPr="00504B2A">
        <w:rPr>
          <w:rFonts w:eastAsia="Calibri"/>
        </w:rPr>
        <w:t xml:space="preserve"> scale), considering their self-perception concerning the previous two weeks. The questions assess: the participant’s overall degree of satisfaction with their own quality of life (response options ranging from “very bad” to “very good”); the degree of satisfaction with one’s own health, with oneself, with their personal relationships (with friends, relatives, acquaintances and colleagues), with the ability to perform daily activities, and with the condition </w:t>
      </w:r>
      <w:r w:rsidRPr="00504B2A">
        <w:rPr>
          <w:rFonts w:eastAsia="Calibri"/>
        </w:rPr>
        <w:lastRenderedPageBreak/>
        <w:t>of their place of residence (response options ranging from “very dissatisfied” to “very satisfied”); the degree of perception of the amount of energy available for their day-to-day life, and the amount of money sufficient to meet their needs (response options ranging from “nothing” to “completely”).</w:t>
      </w:r>
    </w:p>
    <w:p w14:paraId="398DBE32" w14:textId="2AA489B0" w:rsidR="00082D68" w:rsidRPr="00504B2A" w:rsidRDefault="00504B2A" w:rsidP="00082D68">
      <w:pPr>
        <w:pStyle w:val="SubtituloInterno"/>
        <w:rPr>
          <w:rFonts w:eastAsia="Calibri"/>
        </w:rPr>
      </w:pPr>
      <w:r w:rsidRPr="00504B2A">
        <w:rPr>
          <w:rFonts w:eastAsia="Calibri"/>
        </w:rPr>
        <w:t>Data collection</w:t>
      </w:r>
    </w:p>
    <w:p w14:paraId="22EB24E0" w14:textId="77777777" w:rsidR="00504B2A" w:rsidRPr="00504B2A" w:rsidRDefault="00504B2A" w:rsidP="00504B2A">
      <w:pPr>
        <w:pStyle w:val="Prrafocomn"/>
        <w:rPr>
          <w:rFonts w:eastAsia="Calibri"/>
        </w:rPr>
      </w:pPr>
      <w:r w:rsidRPr="00504B2A">
        <w:rPr>
          <w:rFonts w:eastAsia="Calibri"/>
        </w:rPr>
        <w:t xml:space="preserve">Data collection occurred from August 2018 to May 2019. After invitations, acceptance, and signing the informed consent form, university participants (first-years and others) were evaluated collectively in classrooms of the courses. A properly trained team performed this survey. </w:t>
      </w:r>
    </w:p>
    <w:p w14:paraId="76E2F7C0" w14:textId="3B77FBA6" w:rsidR="00504B2A" w:rsidRPr="00504B2A" w:rsidRDefault="00504B2A" w:rsidP="00504B2A">
      <w:pPr>
        <w:pStyle w:val="Prrafocomn"/>
        <w:rPr>
          <w:rFonts w:eastAsia="Calibri"/>
        </w:rPr>
      </w:pPr>
      <w:r w:rsidRPr="00504B2A">
        <w:rPr>
          <w:rFonts w:eastAsia="Calibri"/>
        </w:rPr>
        <w:t xml:space="preserve">Also after invitations, acceptances and signing the informed consent, data collection with participants of the general population took place with the help of a team trained for the task, individually. Data collection took place in different locations in the municipalities of Santos and </w:t>
      </w:r>
      <w:proofErr w:type="spellStart"/>
      <w:r w:rsidRPr="00504B2A">
        <w:rPr>
          <w:rFonts w:eastAsia="Calibri"/>
        </w:rPr>
        <w:t>Guarujá</w:t>
      </w:r>
      <w:proofErr w:type="spellEnd"/>
      <w:r w:rsidRPr="00504B2A">
        <w:rPr>
          <w:rFonts w:eastAsia="Calibri"/>
        </w:rPr>
        <w:t>, in an attempt to have greater control over the respondents’ variability and thus obtain participants from different economic classes, ages, schooling, insertions in the labor market and relation with the local environment. Thus, the participants were approached in the city’s public places of collective use, such as beaches, squares, leisure places in general, mall and bus stops.</w:t>
      </w:r>
    </w:p>
    <w:p w14:paraId="6FA8A20D" w14:textId="10E4EBDB" w:rsidR="00082D68" w:rsidRPr="00504B2A" w:rsidRDefault="00504B2A" w:rsidP="00082D68">
      <w:pPr>
        <w:pStyle w:val="SubtituloInterno"/>
        <w:rPr>
          <w:rFonts w:eastAsia="Calibri"/>
        </w:rPr>
      </w:pPr>
      <w:r w:rsidRPr="00504B2A">
        <w:rPr>
          <w:rFonts w:eastAsia="Calibri"/>
        </w:rPr>
        <w:t>Data analysis</w:t>
      </w:r>
    </w:p>
    <w:p w14:paraId="730F9EA4" w14:textId="1D29DB1E" w:rsidR="00504B2A" w:rsidRPr="00504B2A" w:rsidRDefault="00082D68" w:rsidP="00504B2A">
      <w:pPr>
        <w:pStyle w:val="Prrafocomn"/>
        <w:rPr>
          <w:rFonts w:eastAsia="Calibri"/>
        </w:rPr>
      </w:pPr>
      <w:r w:rsidRPr="00504B2A">
        <w:rPr>
          <w:rFonts w:eastAsia="Calibri"/>
        </w:rPr>
        <w:tab/>
      </w:r>
      <w:r w:rsidR="00504B2A" w:rsidRPr="00504B2A">
        <w:rPr>
          <w:rFonts w:eastAsia="Calibri"/>
        </w:rPr>
        <w:t>Calculation of the EUROHISQOL 8-item score was considered according to Rocha et al. (2012). Therefore, we calculated an arithmetic mean of the eight items of the instrument. The score generated ranges from 0 to 5 points.</w:t>
      </w:r>
    </w:p>
    <w:p w14:paraId="76ACD8EB" w14:textId="4B1F2FC1" w:rsidR="00504B2A" w:rsidRPr="00504B2A" w:rsidRDefault="00504B2A" w:rsidP="00504B2A">
      <w:pPr>
        <w:pStyle w:val="Prrafocomn"/>
        <w:rPr>
          <w:rFonts w:eastAsia="Calibri"/>
        </w:rPr>
      </w:pPr>
      <w:r w:rsidRPr="00504B2A">
        <w:rPr>
          <w:rFonts w:eastAsia="Calibri"/>
        </w:rPr>
        <w:t>After assembling a database, the EUROHISQOL 8-item data were treated using descriptive and inferential statistics. Student’s t-test and ANOVA (Bonferroni correction) compared the data according to gender, age groups (young adults [18 to 39 years], middle-aged [40 to 59 years] and older adults [over 60 years]), economic classes (A, B and C/D-E) and type of participant (first-year undergraduates, university students and general population), with significance level of 1%. The statistical tests were performed on SPSS 24.0 (IBM).</w:t>
      </w:r>
    </w:p>
    <w:p w14:paraId="459C6AEF" w14:textId="32A8C4F7" w:rsidR="00082D68" w:rsidRPr="009773EF" w:rsidRDefault="00504B2A" w:rsidP="00082D68">
      <w:pPr>
        <w:pStyle w:val="SubtituloInterno"/>
        <w:rPr>
          <w:rFonts w:eastAsia="Calibri"/>
        </w:rPr>
      </w:pPr>
      <w:r w:rsidRPr="009773EF">
        <w:rPr>
          <w:rFonts w:eastAsia="Calibri"/>
        </w:rPr>
        <w:t>Eth</w:t>
      </w:r>
      <w:r w:rsidR="009773EF" w:rsidRPr="009773EF">
        <w:rPr>
          <w:rFonts w:eastAsia="Calibri"/>
        </w:rPr>
        <w:t>ical considerations</w:t>
      </w:r>
    </w:p>
    <w:p w14:paraId="4483BA2D" w14:textId="46E7E047" w:rsidR="009773EF" w:rsidRPr="009773EF" w:rsidRDefault="00082D68" w:rsidP="00082D68">
      <w:pPr>
        <w:pStyle w:val="Prrafocomn"/>
        <w:rPr>
          <w:rFonts w:eastAsia="Calibri"/>
        </w:rPr>
      </w:pPr>
      <w:r w:rsidRPr="009773EF">
        <w:rPr>
          <w:rFonts w:eastAsia="Calibri"/>
        </w:rPr>
        <w:lastRenderedPageBreak/>
        <w:tab/>
      </w:r>
      <w:r w:rsidR="009773EF" w:rsidRPr="009773EF">
        <w:rPr>
          <w:rFonts w:eastAsia="Calibri"/>
        </w:rPr>
        <w:t>The research followed the dictates of ethical standards for research with human beings. All three subprojects involved in the study (first-year undergraduates, other university students and the general population) received approvals from CEP/UNIFESP (Opinions no. 3,116,266, no. 2,776,038, and no. 0752/2018).</w:t>
      </w:r>
    </w:p>
    <w:p w14:paraId="61754C2A" w14:textId="0552AFF5" w:rsidR="006F7E7E" w:rsidRDefault="005B5614" w:rsidP="00474908">
      <w:pPr>
        <w:pStyle w:val="Ttulosinternos"/>
      </w:pPr>
      <w:proofErr w:type="spellStart"/>
      <w:r w:rsidRPr="005B24FF">
        <w:t>Result</w:t>
      </w:r>
      <w:r w:rsidR="005B24FF" w:rsidRPr="005B24FF">
        <w:t>s</w:t>
      </w:r>
      <w:proofErr w:type="spellEnd"/>
    </w:p>
    <w:p w14:paraId="339D0E35" w14:textId="0FB43AA0" w:rsidR="009773EF" w:rsidRDefault="009773EF" w:rsidP="00E23C9E">
      <w:pPr>
        <w:pStyle w:val="Prrafocomn"/>
      </w:pPr>
      <w:r w:rsidRPr="009773EF">
        <w:t>A total of 1,127 adults, men (43.7%) and women (56.3%), aged 18 to 94 years (mean = 27.55 ± 13.98) participated in the study. Most participants were young adults (83.4%) of economic class B (52.2%). Table 1 shows the characterization data for the sample.</w:t>
      </w:r>
    </w:p>
    <w:tbl>
      <w:tblPr>
        <w:tblStyle w:val="TabeladeGradeClara1"/>
        <w:tblW w:w="7508" w:type="dxa"/>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661"/>
        <w:gridCol w:w="2445"/>
        <w:gridCol w:w="1418"/>
        <w:gridCol w:w="1984"/>
      </w:tblGrid>
      <w:tr w:rsidR="00B61F11" w:rsidRPr="008862A6" w14:paraId="183AA667" w14:textId="77777777" w:rsidTr="008862A6">
        <w:tc>
          <w:tcPr>
            <w:tcW w:w="7508" w:type="dxa"/>
            <w:gridSpan w:val="4"/>
            <w:tcBorders>
              <w:top w:val="nil"/>
              <w:bottom w:val="single" w:sz="4" w:space="0" w:color="auto"/>
            </w:tcBorders>
          </w:tcPr>
          <w:p w14:paraId="31ECD170" w14:textId="77777777" w:rsidR="00B61F11" w:rsidRPr="008862A6" w:rsidRDefault="00B61F11" w:rsidP="008862A6">
            <w:pPr>
              <w:autoSpaceDE w:val="0"/>
              <w:autoSpaceDN w:val="0"/>
              <w:adjustRightInd w:val="0"/>
              <w:spacing w:line="276" w:lineRule="auto"/>
              <w:ind w:left="60" w:right="60"/>
              <w:rPr>
                <w:sz w:val="20"/>
                <w:szCs w:val="20"/>
              </w:rPr>
            </w:pPr>
            <w:r w:rsidRPr="008862A6">
              <w:rPr>
                <w:sz w:val="20"/>
                <w:szCs w:val="20"/>
              </w:rPr>
              <w:t>Table 1</w:t>
            </w:r>
          </w:p>
          <w:p w14:paraId="0AEF451A" w14:textId="4F04027D" w:rsidR="00B61F11" w:rsidRPr="008862A6" w:rsidRDefault="00B61F11" w:rsidP="00B61F11">
            <w:pPr>
              <w:autoSpaceDE w:val="0"/>
              <w:autoSpaceDN w:val="0"/>
              <w:adjustRightInd w:val="0"/>
              <w:ind w:left="60" w:right="60"/>
              <w:rPr>
                <w:i/>
                <w:iCs/>
                <w:sz w:val="20"/>
                <w:szCs w:val="20"/>
              </w:rPr>
            </w:pPr>
            <w:proofErr w:type="spellStart"/>
            <w:r w:rsidRPr="008862A6">
              <w:rPr>
                <w:i/>
                <w:iCs/>
                <w:sz w:val="20"/>
                <w:szCs w:val="20"/>
              </w:rPr>
              <w:t>Sample</w:t>
            </w:r>
            <w:proofErr w:type="spellEnd"/>
            <w:r w:rsidRPr="008862A6">
              <w:rPr>
                <w:i/>
                <w:iCs/>
                <w:sz w:val="20"/>
                <w:szCs w:val="20"/>
              </w:rPr>
              <w:t xml:space="preserve"> </w:t>
            </w:r>
            <w:proofErr w:type="spellStart"/>
            <w:r w:rsidRPr="008862A6">
              <w:rPr>
                <w:i/>
                <w:iCs/>
                <w:sz w:val="20"/>
                <w:szCs w:val="20"/>
              </w:rPr>
              <w:t>characteristics</w:t>
            </w:r>
            <w:proofErr w:type="spellEnd"/>
          </w:p>
        </w:tc>
      </w:tr>
      <w:tr w:rsidR="00B61F11" w:rsidRPr="008862A6" w14:paraId="0A637A9F" w14:textId="77777777" w:rsidTr="008862A6">
        <w:tc>
          <w:tcPr>
            <w:tcW w:w="1661" w:type="dxa"/>
            <w:tcBorders>
              <w:top w:val="nil"/>
              <w:bottom w:val="single" w:sz="4" w:space="0" w:color="auto"/>
            </w:tcBorders>
          </w:tcPr>
          <w:p w14:paraId="7D55EAD8" w14:textId="77777777" w:rsidR="00B61F11" w:rsidRPr="008862A6" w:rsidRDefault="00B61F11" w:rsidP="0077415F">
            <w:pPr>
              <w:autoSpaceDE w:val="0"/>
              <w:autoSpaceDN w:val="0"/>
              <w:adjustRightInd w:val="0"/>
              <w:rPr>
                <w:sz w:val="20"/>
                <w:szCs w:val="20"/>
              </w:rPr>
            </w:pPr>
          </w:p>
        </w:tc>
        <w:tc>
          <w:tcPr>
            <w:tcW w:w="2445" w:type="dxa"/>
            <w:tcBorders>
              <w:top w:val="nil"/>
              <w:bottom w:val="single" w:sz="4" w:space="0" w:color="auto"/>
            </w:tcBorders>
          </w:tcPr>
          <w:p w14:paraId="641F4F96" w14:textId="77777777" w:rsidR="00B61F11" w:rsidRPr="008862A6" w:rsidRDefault="00B61F11" w:rsidP="0077415F">
            <w:pPr>
              <w:autoSpaceDE w:val="0"/>
              <w:autoSpaceDN w:val="0"/>
              <w:adjustRightInd w:val="0"/>
              <w:rPr>
                <w:sz w:val="20"/>
                <w:szCs w:val="20"/>
              </w:rPr>
            </w:pPr>
          </w:p>
        </w:tc>
        <w:tc>
          <w:tcPr>
            <w:tcW w:w="1418" w:type="dxa"/>
            <w:tcBorders>
              <w:top w:val="single" w:sz="4" w:space="0" w:color="auto"/>
              <w:bottom w:val="single" w:sz="4" w:space="0" w:color="auto"/>
            </w:tcBorders>
          </w:tcPr>
          <w:p w14:paraId="203D15B8" w14:textId="77777777" w:rsidR="00B61F11" w:rsidRPr="008862A6" w:rsidRDefault="00B61F11" w:rsidP="0077415F">
            <w:pPr>
              <w:autoSpaceDE w:val="0"/>
              <w:autoSpaceDN w:val="0"/>
              <w:adjustRightInd w:val="0"/>
              <w:ind w:left="60" w:right="60"/>
              <w:jc w:val="center"/>
              <w:rPr>
                <w:sz w:val="20"/>
                <w:szCs w:val="20"/>
              </w:rPr>
            </w:pPr>
            <w:r w:rsidRPr="008862A6">
              <w:rPr>
                <w:i/>
                <w:iCs/>
                <w:sz w:val="20"/>
                <w:szCs w:val="20"/>
              </w:rPr>
              <w:t>n</w:t>
            </w:r>
            <w:r w:rsidRPr="008862A6">
              <w:rPr>
                <w:sz w:val="20"/>
                <w:szCs w:val="20"/>
              </w:rPr>
              <w:t xml:space="preserve"> (%)</w:t>
            </w:r>
          </w:p>
        </w:tc>
        <w:tc>
          <w:tcPr>
            <w:tcW w:w="1984" w:type="dxa"/>
            <w:tcBorders>
              <w:top w:val="single" w:sz="4" w:space="0" w:color="auto"/>
              <w:bottom w:val="single" w:sz="4" w:space="0" w:color="auto"/>
            </w:tcBorders>
          </w:tcPr>
          <w:p w14:paraId="627700B8"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 xml:space="preserve">Mean </w:t>
            </w:r>
            <w:proofErr w:type="spellStart"/>
            <w:r w:rsidRPr="008862A6">
              <w:rPr>
                <w:sz w:val="20"/>
                <w:szCs w:val="20"/>
              </w:rPr>
              <w:t>age</w:t>
            </w:r>
            <w:proofErr w:type="spellEnd"/>
            <w:r w:rsidRPr="008862A6">
              <w:rPr>
                <w:sz w:val="20"/>
                <w:szCs w:val="20"/>
              </w:rPr>
              <w:t xml:space="preserve"> in </w:t>
            </w:r>
            <w:proofErr w:type="spellStart"/>
            <w:r w:rsidRPr="008862A6">
              <w:rPr>
                <w:sz w:val="20"/>
                <w:szCs w:val="20"/>
              </w:rPr>
              <w:t>years</w:t>
            </w:r>
            <w:proofErr w:type="spellEnd"/>
          </w:p>
        </w:tc>
      </w:tr>
      <w:tr w:rsidR="00B61F11" w:rsidRPr="008862A6" w14:paraId="6776B39D" w14:textId="77777777" w:rsidTr="008862A6">
        <w:trPr>
          <w:trHeight w:val="283"/>
        </w:trPr>
        <w:tc>
          <w:tcPr>
            <w:tcW w:w="1661" w:type="dxa"/>
            <w:vMerge w:val="restart"/>
            <w:tcBorders>
              <w:top w:val="single" w:sz="4" w:space="0" w:color="auto"/>
              <w:bottom w:val="nil"/>
            </w:tcBorders>
            <w:vAlign w:val="center"/>
          </w:tcPr>
          <w:p w14:paraId="2563EF32" w14:textId="77777777" w:rsidR="00B61F11" w:rsidRPr="008862A6" w:rsidRDefault="00B61F11" w:rsidP="0077415F">
            <w:pPr>
              <w:autoSpaceDE w:val="0"/>
              <w:autoSpaceDN w:val="0"/>
              <w:adjustRightInd w:val="0"/>
              <w:ind w:left="60" w:right="60"/>
              <w:rPr>
                <w:sz w:val="20"/>
                <w:szCs w:val="20"/>
              </w:rPr>
            </w:pPr>
            <w:proofErr w:type="spellStart"/>
            <w:r w:rsidRPr="008862A6">
              <w:rPr>
                <w:sz w:val="20"/>
                <w:szCs w:val="20"/>
              </w:rPr>
              <w:t>Gender</w:t>
            </w:r>
            <w:proofErr w:type="spellEnd"/>
          </w:p>
        </w:tc>
        <w:tc>
          <w:tcPr>
            <w:tcW w:w="2445" w:type="dxa"/>
            <w:tcBorders>
              <w:top w:val="single" w:sz="4" w:space="0" w:color="auto"/>
              <w:bottom w:val="nil"/>
            </w:tcBorders>
            <w:vAlign w:val="center"/>
          </w:tcPr>
          <w:p w14:paraId="05DC04F2" w14:textId="77777777" w:rsidR="00B61F11" w:rsidRPr="008862A6" w:rsidRDefault="00B61F11" w:rsidP="00803433">
            <w:pPr>
              <w:autoSpaceDE w:val="0"/>
              <w:autoSpaceDN w:val="0"/>
              <w:adjustRightInd w:val="0"/>
              <w:rPr>
                <w:sz w:val="20"/>
                <w:szCs w:val="20"/>
              </w:rPr>
            </w:pPr>
            <w:proofErr w:type="spellStart"/>
            <w:r w:rsidRPr="008862A6">
              <w:rPr>
                <w:sz w:val="20"/>
                <w:szCs w:val="20"/>
              </w:rPr>
              <w:t>Men</w:t>
            </w:r>
            <w:proofErr w:type="spellEnd"/>
          </w:p>
        </w:tc>
        <w:tc>
          <w:tcPr>
            <w:tcW w:w="1418" w:type="dxa"/>
            <w:tcBorders>
              <w:top w:val="single" w:sz="4" w:space="0" w:color="auto"/>
              <w:bottom w:val="nil"/>
            </w:tcBorders>
          </w:tcPr>
          <w:p w14:paraId="64B658BB"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492 (43.7)</w:t>
            </w:r>
          </w:p>
        </w:tc>
        <w:tc>
          <w:tcPr>
            <w:tcW w:w="1984" w:type="dxa"/>
            <w:tcBorders>
              <w:top w:val="single" w:sz="4" w:space="0" w:color="auto"/>
              <w:bottom w:val="nil"/>
            </w:tcBorders>
          </w:tcPr>
          <w:p w14:paraId="4276ED34"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29.7</w:t>
            </w:r>
          </w:p>
        </w:tc>
      </w:tr>
      <w:tr w:rsidR="00B61F11" w:rsidRPr="008862A6" w14:paraId="1BCBA6C2" w14:textId="77777777" w:rsidTr="008862A6">
        <w:tc>
          <w:tcPr>
            <w:tcW w:w="1661" w:type="dxa"/>
            <w:vMerge/>
            <w:tcBorders>
              <w:top w:val="nil"/>
              <w:bottom w:val="single" w:sz="4" w:space="0" w:color="auto"/>
            </w:tcBorders>
            <w:vAlign w:val="center"/>
          </w:tcPr>
          <w:p w14:paraId="4FD57210" w14:textId="77777777" w:rsidR="00B61F11" w:rsidRPr="008862A6" w:rsidRDefault="00B61F11" w:rsidP="0077415F">
            <w:pPr>
              <w:autoSpaceDE w:val="0"/>
              <w:autoSpaceDN w:val="0"/>
              <w:adjustRightInd w:val="0"/>
              <w:ind w:left="60" w:right="60"/>
              <w:rPr>
                <w:sz w:val="20"/>
                <w:szCs w:val="20"/>
              </w:rPr>
            </w:pPr>
          </w:p>
        </w:tc>
        <w:tc>
          <w:tcPr>
            <w:tcW w:w="2445" w:type="dxa"/>
            <w:tcBorders>
              <w:top w:val="nil"/>
              <w:bottom w:val="single" w:sz="4" w:space="0" w:color="auto"/>
            </w:tcBorders>
            <w:vAlign w:val="center"/>
          </w:tcPr>
          <w:p w14:paraId="4A85BC75" w14:textId="77777777" w:rsidR="00B61F11" w:rsidRPr="008862A6" w:rsidRDefault="00B61F11" w:rsidP="00803433">
            <w:pPr>
              <w:autoSpaceDE w:val="0"/>
              <w:autoSpaceDN w:val="0"/>
              <w:adjustRightInd w:val="0"/>
              <w:rPr>
                <w:sz w:val="20"/>
                <w:szCs w:val="20"/>
              </w:rPr>
            </w:pPr>
            <w:proofErr w:type="spellStart"/>
            <w:r w:rsidRPr="008862A6">
              <w:rPr>
                <w:sz w:val="20"/>
                <w:szCs w:val="20"/>
              </w:rPr>
              <w:t>Women</w:t>
            </w:r>
            <w:proofErr w:type="spellEnd"/>
          </w:p>
        </w:tc>
        <w:tc>
          <w:tcPr>
            <w:tcW w:w="1418" w:type="dxa"/>
            <w:tcBorders>
              <w:top w:val="nil"/>
              <w:bottom w:val="single" w:sz="4" w:space="0" w:color="auto"/>
            </w:tcBorders>
          </w:tcPr>
          <w:p w14:paraId="079BBCE2"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635 (56.3)</w:t>
            </w:r>
          </w:p>
        </w:tc>
        <w:tc>
          <w:tcPr>
            <w:tcW w:w="1984" w:type="dxa"/>
            <w:tcBorders>
              <w:top w:val="nil"/>
              <w:bottom w:val="single" w:sz="4" w:space="0" w:color="auto"/>
            </w:tcBorders>
          </w:tcPr>
          <w:p w14:paraId="7CA9DE8C"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25.9</w:t>
            </w:r>
          </w:p>
        </w:tc>
      </w:tr>
      <w:tr w:rsidR="00B61F11" w:rsidRPr="008862A6" w14:paraId="0D9158DC" w14:textId="77777777" w:rsidTr="008862A6">
        <w:tc>
          <w:tcPr>
            <w:tcW w:w="1661" w:type="dxa"/>
            <w:vMerge w:val="restart"/>
            <w:tcBorders>
              <w:top w:val="single" w:sz="4" w:space="0" w:color="auto"/>
              <w:bottom w:val="nil"/>
            </w:tcBorders>
            <w:vAlign w:val="center"/>
          </w:tcPr>
          <w:p w14:paraId="6EC92ABA" w14:textId="77777777" w:rsidR="00B61F11" w:rsidRPr="008862A6" w:rsidRDefault="00B61F11" w:rsidP="0077415F">
            <w:pPr>
              <w:autoSpaceDE w:val="0"/>
              <w:autoSpaceDN w:val="0"/>
              <w:adjustRightInd w:val="0"/>
              <w:ind w:left="60" w:right="60"/>
              <w:rPr>
                <w:sz w:val="20"/>
                <w:szCs w:val="20"/>
              </w:rPr>
            </w:pPr>
            <w:r w:rsidRPr="008862A6">
              <w:rPr>
                <w:sz w:val="20"/>
                <w:szCs w:val="20"/>
              </w:rPr>
              <w:t>Age</w:t>
            </w:r>
          </w:p>
        </w:tc>
        <w:tc>
          <w:tcPr>
            <w:tcW w:w="2445" w:type="dxa"/>
            <w:tcBorders>
              <w:top w:val="single" w:sz="4" w:space="0" w:color="auto"/>
              <w:bottom w:val="nil"/>
            </w:tcBorders>
            <w:vAlign w:val="center"/>
          </w:tcPr>
          <w:p w14:paraId="36792200" w14:textId="77777777" w:rsidR="00B61F11" w:rsidRPr="008862A6" w:rsidRDefault="00B61F11" w:rsidP="00803433">
            <w:pPr>
              <w:autoSpaceDE w:val="0"/>
              <w:autoSpaceDN w:val="0"/>
              <w:adjustRightInd w:val="0"/>
              <w:rPr>
                <w:sz w:val="20"/>
                <w:szCs w:val="20"/>
              </w:rPr>
            </w:pPr>
            <w:r w:rsidRPr="008862A6">
              <w:rPr>
                <w:sz w:val="20"/>
                <w:szCs w:val="20"/>
              </w:rPr>
              <w:t xml:space="preserve">Young </w:t>
            </w:r>
            <w:proofErr w:type="spellStart"/>
            <w:r w:rsidRPr="008862A6">
              <w:rPr>
                <w:sz w:val="20"/>
                <w:szCs w:val="20"/>
              </w:rPr>
              <w:t>adult</w:t>
            </w:r>
            <w:proofErr w:type="spellEnd"/>
          </w:p>
        </w:tc>
        <w:tc>
          <w:tcPr>
            <w:tcW w:w="1418" w:type="dxa"/>
            <w:tcBorders>
              <w:top w:val="single" w:sz="4" w:space="0" w:color="auto"/>
              <w:bottom w:val="nil"/>
            </w:tcBorders>
          </w:tcPr>
          <w:p w14:paraId="601A1A5D"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940 (83.4)</w:t>
            </w:r>
          </w:p>
        </w:tc>
        <w:tc>
          <w:tcPr>
            <w:tcW w:w="1984" w:type="dxa"/>
            <w:tcBorders>
              <w:top w:val="single" w:sz="4" w:space="0" w:color="auto"/>
              <w:bottom w:val="nil"/>
            </w:tcBorders>
          </w:tcPr>
          <w:p w14:paraId="64723CBF"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22.3</w:t>
            </w:r>
          </w:p>
        </w:tc>
      </w:tr>
      <w:tr w:rsidR="00B61F11" w:rsidRPr="008862A6" w14:paraId="7BC41D2F" w14:textId="77777777" w:rsidTr="008862A6">
        <w:tc>
          <w:tcPr>
            <w:tcW w:w="1661" w:type="dxa"/>
            <w:vMerge/>
            <w:tcBorders>
              <w:top w:val="nil"/>
              <w:bottom w:val="nil"/>
            </w:tcBorders>
            <w:vAlign w:val="center"/>
          </w:tcPr>
          <w:p w14:paraId="1C0AB1DC" w14:textId="77777777" w:rsidR="00B61F11" w:rsidRPr="008862A6" w:rsidRDefault="00B61F11" w:rsidP="0077415F">
            <w:pPr>
              <w:autoSpaceDE w:val="0"/>
              <w:autoSpaceDN w:val="0"/>
              <w:adjustRightInd w:val="0"/>
              <w:rPr>
                <w:sz w:val="20"/>
                <w:szCs w:val="20"/>
              </w:rPr>
            </w:pPr>
          </w:p>
        </w:tc>
        <w:tc>
          <w:tcPr>
            <w:tcW w:w="2445" w:type="dxa"/>
            <w:tcBorders>
              <w:top w:val="nil"/>
              <w:bottom w:val="nil"/>
            </w:tcBorders>
            <w:vAlign w:val="center"/>
          </w:tcPr>
          <w:p w14:paraId="615618C4" w14:textId="77777777" w:rsidR="00B61F11" w:rsidRPr="008862A6" w:rsidRDefault="00B61F11" w:rsidP="00803433">
            <w:pPr>
              <w:autoSpaceDE w:val="0"/>
              <w:autoSpaceDN w:val="0"/>
              <w:adjustRightInd w:val="0"/>
              <w:rPr>
                <w:sz w:val="20"/>
                <w:szCs w:val="20"/>
              </w:rPr>
            </w:pPr>
            <w:proofErr w:type="spellStart"/>
            <w:r w:rsidRPr="008862A6">
              <w:rPr>
                <w:sz w:val="20"/>
                <w:szCs w:val="20"/>
              </w:rPr>
              <w:t>Middle-aged</w:t>
            </w:r>
            <w:proofErr w:type="spellEnd"/>
          </w:p>
        </w:tc>
        <w:tc>
          <w:tcPr>
            <w:tcW w:w="1418" w:type="dxa"/>
            <w:tcBorders>
              <w:top w:val="nil"/>
              <w:bottom w:val="nil"/>
            </w:tcBorders>
          </w:tcPr>
          <w:p w14:paraId="3F00FADC"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110 (9.8)</w:t>
            </w:r>
          </w:p>
        </w:tc>
        <w:tc>
          <w:tcPr>
            <w:tcW w:w="1984" w:type="dxa"/>
            <w:tcBorders>
              <w:top w:val="nil"/>
              <w:bottom w:val="nil"/>
            </w:tcBorders>
          </w:tcPr>
          <w:p w14:paraId="23A493BA"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49.4</w:t>
            </w:r>
          </w:p>
        </w:tc>
      </w:tr>
      <w:tr w:rsidR="00B61F11" w:rsidRPr="008862A6" w14:paraId="04382571" w14:textId="77777777" w:rsidTr="008862A6">
        <w:tc>
          <w:tcPr>
            <w:tcW w:w="1661" w:type="dxa"/>
            <w:vMerge/>
            <w:tcBorders>
              <w:top w:val="nil"/>
              <w:bottom w:val="single" w:sz="4" w:space="0" w:color="auto"/>
            </w:tcBorders>
            <w:vAlign w:val="center"/>
          </w:tcPr>
          <w:p w14:paraId="2DA09361" w14:textId="77777777" w:rsidR="00B61F11" w:rsidRPr="008862A6" w:rsidRDefault="00B61F11" w:rsidP="0077415F">
            <w:pPr>
              <w:autoSpaceDE w:val="0"/>
              <w:autoSpaceDN w:val="0"/>
              <w:adjustRightInd w:val="0"/>
              <w:rPr>
                <w:sz w:val="20"/>
                <w:szCs w:val="20"/>
              </w:rPr>
            </w:pPr>
          </w:p>
        </w:tc>
        <w:tc>
          <w:tcPr>
            <w:tcW w:w="2445" w:type="dxa"/>
            <w:tcBorders>
              <w:top w:val="nil"/>
              <w:bottom w:val="single" w:sz="4" w:space="0" w:color="auto"/>
            </w:tcBorders>
            <w:vAlign w:val="center"/>
          </w:tcPr>
          <w:p w14:paraId="0442BB18" w14:textId="77777777" w:rsidR="00B61F11" w:rsidRPr="008862A6" w:rsidRDefault="00B61F11" w:rsidP="00803433">
            <w:pPr>
              <w:autoSpaceDE w:val="0"/>
              <w:autoSpaceDN w:val="0"/>
              <w:adjustRightInd w:val="0"/>
              <w:rPr>
                <w:sz w:val="20"/>
                <w:szCs w:val="20"/>
              </w:rPr>
            </w:pPr>
            <w:proofErr w:type="spellStart"/>
            <w:r w:rsidRPr="008862A6">
              <w:rPr>
                <w:sz w:val="20"/>
                <w:szCs w:val="20"/>
              </w:rPr>
              <w:t>Older</w:t>
            </w:r>
            <w:proofErr w:type="spellEnd"/>
            <w:r w:rsidRPr="008862A6">
              <w:rPr>
                <w:sz w:val="20"/>
                <w:szCs w:val="20"/>
              </w:rPr>
              <w:t xml:space="preserve"> </w:t>
            </w:r>
            <w:proofErr w:type="spellStart"/>
            <w:r w:rsidRPr="008862A6">
              <w:rPr>
                <w:sz w:val="20"/>
                <w:szCs w:val="20"/>
              </w:rPr>
              <w:t>adult</w:t>
            </w:r>
            <w:proofErr w:type="spellEnd"/>
          </w:p>
        </w:tc>
        <w:tc>
          <w:tcPr>
            <w:tcW w:w="1418" w:type="dxa"/>
            <w:tcBorders>
              <w:top w:val="nil"/>
              <w:bottom w:val="single" w:sz="4" w:space="0" w:color="auto"/>
            </w:tcBorders>
          </w:tcPr>
          <w:p w14:paraId="0F104CCE"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61 (5.4)</w:t>
            </w:r>
          </w:p>
        </w:tc>
        <w:tc>
          <w:tcPr>
            <w:tcW w:w="1984" w:type="dxa"/>
            <w:tcBorders>
              <w:top w:val="nil"/>
              <w:bottom w:val="single" w:sz="4" w:space="0" w:color="auto"/>
            </w:tcBorders>
          </w:tcPr>
          <w:p w14:paraId="7F5F4071"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69.2</w:t>
            </w:r>
          </w:p>
        </w:tc>
      </w:tr>
      <w:tr w:rsidR="00B61F11" w:rsidRPr="008862A6" w14:paraId="777A0737" w14:textId="77777777" w:rsidTr="008862A6">
        <w:tc>
          <w:tcPr>
            <w:tcW w:w="1661" w:type="dxa"/>
            <w:vMerge w:val="restart"/>
            <w:tcBorders>
              <w:top w:val="single" w:sz="4" w:space="0" w:color="auto"/>
              <w:bottom w:val="nil"/>
            </w:tcBorders>
            <w:vAlign w:val="center"/>
          </w:tcPr>
          <w:p w14:paraId="79011339" w14:textId="77777777" w:rsidR="00B61F11" w:rsidRPr="008862A6" w:rsidRDefault="00B61F11" w:rsidP="0077415F">
            <w:pPr>
              <w:autoSpaceDE w:val="0"/>
              <w:autoSpaceDN w:val="0"/>
              <w:adjustRightInd w:val="0"/>
              <w:rPr>
                <w:sz w:val="20"/>
                <w:szCs w:val="20"/>
              </w:rPr>
            </w:pPr>
            <w:proofErr w:type="spellStart"/>
            <w:r w:rsidRPr="008862A6">
              <w:rPr>
                <w:sz w:val="20"/>
                <w:szCs w:val="20"/>
              </w:rPr>
              <w:t>Economic</w:t>
            </w:r>
            <w:proofErr w:type="spellEnd"/>
            <w:r w:rsidRPr="008862A6">
              <w:rPr>
                <w:sz w:val="20"/>
                <w:szCs w:val="20"/>
              </w:rPr>
              <w:t xml:space="preserve"> </w:t>
            </w:r>
            <w:proofErr w:type="spellStart"/>
            <w:r w:rsidRPr="008862A6">
              <w:rPr>
                <w:sz w:val="20"/>
                <w:szCs w:val="20"/>
              </w:rPr>
              <w:t>classification</w:t>
            </w:r>
            <w:proofErr w:type="spellEnd"/>
          </w:p>
        </w:tc>
        <w:tc>
          <w:tcPr>
            <w:tcW w:w="2445" w:type="dxa"/>
            <w:tcBorders>
              <w:top w:val="single" w:sz="4" w:space="0" w:color="auto"/>
              <w:bottom w:val="nil"/>
            </w:tcBorders>
            <w:vAlign w:val="center"/>
          </w:tcPr>
          <w:p w14:paraId="394B743C" w14:textId="77777777" w:rsidR="00B61F11" w:rsidRPr="008862A6" w:rsidRDefault="00B61F11" w:rsidP="00803433">
            <w:pPr>
              <w:autoSpaceDE w:val="0"/>
              <w:autoSpaceDN w:val="0"/>
              <w:adjustRightInd w:val="0"/>
              <w:rPr>
                <w:sz w:val="20"/>
                <w:szCs w:val="20"/>
              </w:rPr>
            </w:pPr>
            <w:r w:rsidRPr="008862A6">
              <w:rPr>
                <w:sz w:val="20"/>
                <w:szCs w:val="20"/>
              </w:rPr>
              <w:t>A</w:t>
            </w:r>
          </w:p>
        </w:tc>
        <w:tc>
          <w:tcPr>
            <w:tcW w:w="1418" w:type="dxa"/>
            <w:tcBorders>
              <w:top w:val="single" w:sz="4" w:space="0" w:color="auto"/>
              <w:bottom w:val="nil"/>
            </w:tcBorders>
          </w:tcPr>
          <w:p w14:paraId="1EB6E576"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214 (19)</w:t>
            </w:r>
          </w:p>
        </w:tc>
        <w:tc>
          <w:tcPr>
            <w:tcW w:w="1984" w:type="dxa"/>
            <w:tcBorders>
              <w:top w:val="single" w:sz="4" w:space="0" w:color="auto"/>
              <w:bottom w:val="nil"/>
            </w:tcBorders>
          </w:tcPr>
          <w:p w14:paraId="698D942A"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23.3</w:t>
            </w:r>
          </w:p>
        </w:tc>
      </w:tr>
      <w:tr w:rsidR="00B61F11" w:rsidRPr="008862A6" w14:paraId="78FA2D89" w14:textId="77777777" w:rsidTr="008862A6">
        <w:tc>
          <w:tcPr>
            <w:tcW w:w="1661" w:type="dxa"/>
            <w:vMerge/>
            <w:tcBorders>
              <w:top w:val="nil"/>
              <w:bottom w:val="nil"/>
            </w:tcBorders>
            <w:vAlign w:val="center"/>
          </w:tcPr>
          <w:p w14:paraId="1F73C1C4" w14:textId="77777777" w:rsidR="00B61F11" w:rsidRPr="008862A6" w:rsidRDefault="00B61F11" w:rsidP="0077415F">
            <w:pPr>
              <w:autoSpaceDE w:val="0"/>
              <w:autoSpaceDN w:val="0"/>
              <w:adjustRightInd w:val="0"/>
              <w:rPr>
                <w:sz w:val="20"/>
                <w:szCs w:val="20"/>
              </w:rPr>
            </w:pPr>
          </w:p>
        </w:tc>
        <w:tc>
          <w:tcPr>
            <w:tcW w:w="2445" w:type="dxa"/>
            <w:tcBorders>
              <w:top w:val="nil"/>
              <w:bottom w:val="nil"/>
            </w:tcBorders>
            <w:vAlign w:val="center"/>
          </w:tcPr>
          <w:p w14:paraId="36DD4E8D" w14:textId="77777777" w:rsidR="00B61F11" w:rsidRPr="008862A6" w:rsidRDefault="00B61F11" w:rsidP="00803433">
            <w:pPr>
              <w:autoSpaceDE w:val="0"/>
              <w:autoSpaceDN w:val="0"/>
              <w:adjustRightInd w:val="0"/>
              <w:rPr>
                <w:sz w:val="20"/>
                <w:szCs w:val="20"/>
              </w:rPr>
            </w:pPr>
            <w:r w:rsidRPr="008862A6">
              <w:rPr>
                <w:sz w:val="20"/>
                <w:szCs w:val="20"/>
              </w:rPr>
              <w:t>B</w:t>
            </w:r>
          </w:p>
        </w:tc>
        <w:tc>
          <w:tcPr>
            <w:tcW w:w="1418" w:type="dxa"/>
            <w:tcBorders>
              <w:top w:val="nil"/>
              <w:bottom w:val="nil"/>
            </w:tcBorders>
          </w:tcPr>
          <w:p w14:paraId="631B4299"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588 (52.2)</w:t>
            </w:r>
          </w:p>
        </w:tc>
        <w:tc>
          <w:tcPr>
            <w:tcW w:w="1984" w:type="dxa"/>
            <w:tcBorders>
              <w:top w:val="nil"/>
              <w:bottom w:val="nil"/>
            </w:tcBorders>
          </w:tcPr>
          <w:p w14:paraId="27D6DD72"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26.8</w:t>
            </w:r>
          </w:p>
        </w:tc>
      </w:tr>
      <w:tr w:rsidR="00B61F11" w:rsidRPr="008862A6" w14:paraId="6DACB5C2" w14:textId="77777777" w:rsidTr="008862A6">
        <w:tc>
          <w:tcPr>
            <w:tcW w:w="1661" w:type="dxa"/>
            <w:vMerge/>
            <w:tcBorders>
              <w:top w:val="nil"/>
              <w:bottom w:val="single" w:sz="4" w:space="0" w:color="auto"/>
            </w:tcBorders>
            <w:vAlign w:val="center"/>
          </w:tcPr>
          <w:p w14:paraId="30B1D9C8" w14:textId="77777777" w:rsidR="00B61F11" w:rsidRPr="008862A6" w:rsidRDefault="00B61F11" w:rsidP="0077415F">
            <w:pPr>
              <w:autoSpaceDE w:val="0"/>
              <w:autoSpaceDN w:val="0"/>
              <w:adjustRightInd w:val="0"/>
              <w:rPr>
                <w:sz w:val="20"/>
                <w:szCs w:val="20"/>
              </w:rPr>
            </w:pPr>
          </w:p>
        </w:tc>
        <w:tc>
          <w:tcPr>
            <w:tcW w:w="2445" w:type="dxa"/>
            <w:tcBorders>
              <w:top w:val="nil"/>
              <w:bottom w:val="single" w:sz="4" w:space="0" w:color="auto"/>
            </w:tcBorders>
            <w:vAlign w:val="center"/>
          </w:tcPr>
          <w:p w14:paraId="31FC8E9F" w14:textId="77777777" w:rsidR="00B61F11" w:rsidRPr="008862A6" w:rsidRDefault="00B61F11" w:rsidP="00803433">
            <w:pPr>
              <w:autoSpaceDE w:val="0"/>
              <w:autoSpaceDN w:val="0"/>
              <w:adjustRightInd w:val="0"/>
              <w:rPr>
                <w:sz w:val="20"/>
                <w:szCs w:val="20"/>
              </w:rPr>
            </w:pPr>
            <w:r w:rsidRPr="008862A6">
              <w:rPr>
                <w:sz w:val="20"/>
                <w:szCs w:val="20"/>
              </w:rPr>
              <w:t>C/D-E</w:t>
            </w:r>
          </w:p>
        </w:tc>
        <w:tc>
          <w:tcPr>
            <w:tcW w:w="1418" w:type="dxa"/>
            <w:tcBorders>
              <w:top w:val="nil"/>
              <w:bottom w:val="single" w:sz="4" w:space="0" w:color="auto"/>
            </w:tcBorders>
          </w:tcPr>
          <w:p w14:paraId="40F82FBF"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324 (28.7)</w:t>
            </w:r>
          </w:p>
        </w:tc>
        <w:tc>
          <w:tcPr>
            <w:tcW w:w="1984" w:type="dxa"/>
            <w:tcBorders>
              <w:top w:val="nil"/>
              <w:bottom w:val="single" w:sz="4" w:space="0" w:color="auto"/>
            </w:tcBorders>
          </w:tcPr>
          <w:p w14:paraId="0C4C7EE4"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31.8</w:t>
            </w:r>
          </w:p>
        </w:tc>
      </w:tr>
      <w:tr w:rsidR="00B61F11" w:rsidRPr="008862A6" w14:paraId="123C8EB2" w14:textId="77777777" w:rsidTr="008862A6">
        <w:tc>
          <w:tcPr>
            <w:tcW w:w="1661" w:type="dxa"/>
            <w:vMerge w:val="restart"/>
            <w:tcBorders>
              <w:top w:val="single" w:sz="4" w:space="0" w:color="auto"/>
              <w:bottom w:val="nil"/>
            </w:tcBorders>
            <w:vAlign w:val="center"/>
          </w:tcPr>
          <w:p w14:paraId="15C5D7E1" w14:textId="77777777" w:rsidR="00B61F11" w:rsidRPr="008862A6" w:rsidRDefault="00B61F11" w:rsidP="0077415F">
            <w:pPr>
              <w:autoSpaceDE w:val="0"/>
              <w:autoSpaceDN w:val="0"/>
              <w:adjustRightInd w:val="0"/>
              <w:rPr>
                <w:sz w:val="20"/>
                <w:szCs w:val="20"/>
              </w:rPr>
            </w:pPr>
            <w:proofErr w:type="spellStart"/>
            <w:r w:rsidRPr="008862A6">
              <w:rPr>
                <w:sz w:val="20"/>
                <w:szCs w:val="20"/>
              </w:rPr>
              <w:t>Group</w:t>
            </w:r>
            <w:proofErr w:type="spellEnd"/>
          </w:p>
        </w:tc>
        <w:tc>
          <w:tcPr>
            <w:tcW w:w="2445" w:type="dxa"/>
            <w:tcBorders>
              <w:top w:val="single" w:sz="4" w:space="0" w:color="auto"/>
              <w:bottom w:val="nil"/>
            </w:tcBorders>
          </w:tcPr>
          <w:p w14:paraId="61F784B7" w14:textId="77777777" w:rsidR="00B61F11" w:rsidRPr="008862A6" w:rsidRDefault="00B61F11" w:rsidP="0077415F">
            <w:pPr>
              <w:rPr>
                <w:sz w:val="20"/>
                <w:szCs w:val="20"/>
              </w:rPr>
            </w:pPr>
            <w:proofErr w:type="spellStart"/>
            <w:r w:rsidRPr="008862A6">
              <w:rPr>
                <w:sz w:val="20"/>
                <w:szCs w:val="20"/>
              </w:rPr>
              <w:t>First-year</w:t>
            </w:r>
            <w:proofErr w:type="spellEnd"/>
            <w:r w:rsidRPr="008862A6">
              <w:rPr>
                <w:sz w:val="20"/>
                <w:szCs w:val="20"/>
              </w:rPr>
              <w:t xml:space="preserve"> </w:t>
            </w:r>
            <w:proofErr w:type="spellStart"/>
            <w:r w:rsidRPr="008862A6">
              <w:rPr>
                <w:sz w:val="20"/>
                <w:szCs w:val="20"/>
              </w:rPr>
              <w:t>undergraduate</w:t>
            </w:r>
            <w:proofErr w:type="spellEnd"/>
          </w:p>
        </w:tc>
        <w:tc>
          <w:tcPr>
            <w:tcW w:w="1418" w:type="dxa"/>
            <w:tcBorders>
              <w:top w:val="single" w:sz="4" w:space="0" w:color="auto"/>
              <w:bottom w:val="nil"/>
            </w:tcBorders>
          </w:tcPr>
          <w:p w14:paraId="6FAB403C"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527 (46.8)</w:t>
            </w:r>
          </w:p>
        </w:tc>
        <w:tc>
          <w:tcPr>
            <w:tcW w:w="1984" w:type="dxa"/>
            <w:tcBorders>
              <w:top w:val="single" w:sz="4" w:space="0" w:color="auto"/>
              <w:bottom w:val="nil"/>
            </w:tcBorders>
          </w:tcPr>
          <w:p w14:paraId="17CC433F"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20.5</w:t>
            </w:r>
          </w:p>
        </w:tc>
      </w:tr>
      <w:tr w:rsidR="00B61F11" w:rsidRPr="008862A6" w14:paraId="1737E3F8" w14:textId="77777777" w:rsidTr="008862A6">
        <w:tc>
          <w:tcPr>
            <w:tcW w:w="1661" w:type="dxa"/>
            <w:vMerge/>
            <w:tcBorders>
              <w:top w:val="nil"/>
              <w:bottom w:val="nil"/>
            </w:tcBorders>
            <w:vAlign w:val="center"/>
          </w:tcPr>
          <w:p w14:paraId="383B0F17" w14:textId="77777777" w:rsidR="00B61F11" w:rsidRPr="008862A6" w:rsidRDefault="00B61F11" w:rsidP="0077415F">
            <w:pPr>
              <w:autoSpaceDE w:val="0"/>
              <w:autoSpaceDN w:val="0"/>
              <w:adjustRightInd w:val="0"/>
              <w:ind w:left="60" w:right="60"/>
              <w:rPr>
                <w:sz w:val="20"/>
                <w:szCs w:val="20"/>
              </w:rPr>
            </w:pPr>
          </w:p>
        </w:tc>
        <w:tc>
          <w:tcPr>
            <w:tcW w:w="2445" w:type="dxa"/>
            <w:tcBorders>
              <w:top w:val="nil"/>
              <w:bottom w:val="nil"/>
            </w:tcBorders>
          </w:tcPr>
          <w:p w14:paraId="4CBEC9AF" w14:textId="77777777" w:rsidR="00B61F11" w:rsidRPr="008862A6" w:rsidRDefault="00B61F11" w:rsidP="0077415F">
            <w:pPr>
              <w:rPr>
                <w:sz w:val="20"/>
                <w:szCs w:val="20"/>
              </w:rPr>
            </w:pPr>
            <w:proofErr w:type="spellStart"/>
            <w:r w:rsidRPr="008862A6">
              <w:rPr>
                <w:sz w:val="20"/>
                <w:szCs w:val="20"/>
              </w:rPr>
              <w:t>University</w:t>
            </w:r>
            <w:proofErr w:type="spellEnd"/>
            <w:r w:rsidRPr="008862A6">
              <w:rPr>
                <w:sz w:val="20"/>
                <w:szCs w:val="20"/>
              </w:rPr>
              <w:t xml:space="preserve"> </w:t>
            </w:r>
            <w:proofErr w:type="spellStart"/>
            <w:r w:rsidRPr="008862A6">
              <w:rPr>
                <w:sz w:val="20"/>
                <w:szCs w:val="20"/>
              </w:rPr>
              <w:t>students</w:t>
            </w:r>
            <w:proofErr w:type="spellEnd"/>
          </w:p>
        </w:tc>
        <w:tc>
          <w:tcPr>
            <w:tcW w:w="1418" w:type="dxa"/>
            <w:tcBorders>
              <w:top w:val="nil"/>
              <w:bottom w:val="nil"/>
            </w:tcBorders>
          </w:tcPr>
          <w:p w14:paraId="4E4C20BB"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170 (15.1)</w:t>
            </w:r>
          </w:p>
        </w:tc>
        <w:tc>
          <w:tcPr>
            <w:tcW w:w="1984" w:type="dxa"/>
            <w:tcBorders>
              <w:top w:val="nil"/>
              <w:bottom w:val="nil"/>
            </w:tcBorders>
          </w:tcPr>
          <w:p w14:paraId="59907DD3"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23.2</w:t>
            </w:r>
          </w:p>
        </w:tc>
      </w:tr>
      <w:tr w:rsidR="00B61F11" w:rsidRPr="008862A6" w14:paraId="7C82DE90" w14:textId="77777777" w:rsidTr="008862A6">
        <w:tc>
          <w:tcPr>
            <w:tcW w:w="1661" w:type="dxa"/>
            <w:vMerge/>
            <w:tcBorders>
              <w:top w:val="nil"/>
              <w:bottom w:val="single" w:sz="4" w:space="0" w:color="auto"/>
            </w:tcBorders>
            <w:vAlign w:val="center"/>
          </w:tcPr>
          <w:p w14:paraId="56314C2D" w14:textId="77777777" w:rsidR="00B61F11" w:rsidRPr="008862A6" w:rsidRDefault="00B61F11" w:rsidP="0077415F">
            <w:pPr>
              <w:autoSpaceDE w:val="0"/>
              <w:autoSpaceDN w:val="0"/>
              <w:adjustRightInd w:val="0"/>
              <w:ind w:left="60" w:right="60"/>
              <w:rPr>
                <w:sz w:val="20"/>
                <w:szCs w:val="20"/>
              </w:rPr>
            </w:pPr>
          </w:p>
        </w:tc>
        <w:tc>
          <w:tcPr>
            <w:tcW w:w="2445" w:type="dxa"/>
            <w:tcBorders>
              <w:top w:val="nil"/>
              <w:bottom w:val="single" w:sz="4" w:space="0" w:color="auto"/>
            </w:tcBorders>
          </w:tcPr>
          <w:p w14:paraId="3C444532" w14:textId="77777777" w:rsidR="00B61F11" w:rsidRPr="008862A6" w:rsidRDefault="00B61F11" w:rsidP="0077415F">
            <w:pPr>
              <w:rPr>
                <w:sz w:val="20"/>
                <w:szCs w:val="20"/>
              </w:rPr>
            </w:pPr>
            <w:r w:rsidRPr="008862A6">
              <w:rPr>
                <w:sz w:val="20"/>
                <w:szCs w:val="20"/>
              </w:rPr>
              <w:t xml:space="preserve">General </w:t>
            </w:r>
            <w:proofErr w:type="spellStart"/>
            <w:r w:rsidRPr="008862A6">
              <w:rPr>
                <w:sz w:val="20"/>
                <w:szCs w:val="20"/>
              </w:rPr>
              <w:t>population</w:t>
            </w:r>
            <w:proofErr w:type="spellEnd"/>
          </w:p>
        </w:tc>
        <w:tc>
          <w:tcPr>
            <w:tcW w:w="1418" w:type="dxa"/>
            <w:tcBorders>
              <w:top w:val="nil"/>
              <w:bottom w:val="single" w:sz="4" w:space="0" w:color="auto"/>
            </w:tcBorders>
          </w:tcPr>
          <w:p w14:paraId="221F69C1"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430 (38.2)</w:t>
            </w:r>
          </w:p>
        </w:tc>
        <w:tc>
          <w:tcPr>
            <w:tcW w:w="1984" w:type="dxa"/>
            <w:tcBorders>
              <w:top w:val="nil"/>
              <w:bottom w:val="single" w:sz="4" w:space="0" w:color="auto"/>
            </w:tcBorders>
          </w:tcPr>
          <w:p w14:paraId="2A28DBBE"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38</w:t>
            </w:r>
          </w:p>
        </w:tc>
      </w:tr>
      <w:tr w:rsidR="00B61F11" w:rsidRPr="008862A6" w14:paraId="76A07B32" w14:textId="77777777" w:rsidTr="008862A6">
        <w:tc>
          <w:tcPr>
            <w:tcW w:w="1661" w:type="dxa"/>
            <w:tcBorders>
              <w:top w:val="single" w:sz="4" w:space="0" w:color="auto"/>
              <w:bottom w:val="single" w:sz="4" w:space="0" w:color="auto"/>
            </w:tcBorders>
            <w:vAlign w:val="center"/>
          </w:tcPr>
          <w:p w14:paraId="43A132A6" w14:textId="77777777" w:rsidR="00B61F11" w:rsidRPr="008862A6" w:rsidRDefault="00B61F11" w:rsidP="0077415F">
            <w:pPr>
              <w:autoSpaceDE w:val="0"/>
              <w:autoSpaceDN w:val="0"/>
              <w:adjustRightInd w:val="0"/>
              <w:ind w:left="60" w:right="60"/>
              <w:rPr>
                <w:sz w:val="20"/>
                <w:szCs w:val="20"/>
              </w:rPr>
            </w:pPr>
            <w:r w:rsidRPr="008862A6">
              <w:rPr>
                <w:sz w:val="20"/>
                <w:szCs w:val="20"/>
              </w:rPr>
              <w:t>Total</w:t>
            </w:r>
          </w:p>
        </w:tc>
        <w:tc>
          <w:tcPr>
            <w:tcW w:w="2445" w:type="dxa"/>
            <w:tcBorders>
              <w:top w:val="single" w:sz="4" w:space="0" w:color="auto"/>
              <w:bottom w:val="single" w:sz="4" w:space="0" w:color="auto"/>
            </w:tcBorders>
          </w:tcPr>
          <w:p w14:paraId="1A20D95B" w14:textId="77777777" w:rsidR="00B61F11" w:rsidRPr="008862A6" w:rsidRDefault="00B61F11" w:rsidP="0077415F">
            <w:pPr>
              <w:rPr>
                <w:sz w:val="20"/>
                <w:szCs w:val="20"/>
              </w:rPr>
            </w:pPr>
          </w:p>
        </w:tc>
        <w:tc>
          <w:tcPr>
            <w:tcW w:w="1418" w:type="dxa"/>
            <w:tcBorders>
              <w:top w:val="single" w:sz="4" w:space="0" w:color="auto"/>
              <w:bottom w:val="single" w:sz="4" w:space="0" w:color="auto"/>
            </w:tcBorders>
          </w:tcPr>
          <w:p w14:paraId="793F43BC"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1127 (100)</w:t>
            </w:r>
          </w:p>
        </w:tc>
        <w:tc>
          <w:tcPr>
            <w:tcW w:w="1984" w:type="dxa"/>
            <w:tcBorders>
              <w:top w:val="single" w:sz="4" w:space="0" w:color="auto"/>
              <w:bottom w:val="single" w:sz="4" w:space="0" w:color="auto"/>
            </w:tcBorders>
          </w:tcPr>
          <w:p w14:paraId="0B166EAC" w14:textId="77777777" w:rsidR="00B61F11" w:rsidRPr="008862A6" w:rsidRDefault="00B61F11" w:rsidP="0077415F">
            <w:pPr>
              <w:autoSpaceDE w:val="0"/>
              <w:autoSpaceDN w:val="0"/>
              <w:adjustRightInd w:val="0"/>
              <w:ind w:left="60" w:right="60"/>
              <w:jc w:val="center"/>
              <w:rPr>
                <w:sz w:val="20"/>
                <w:szCs w:val="20"/>
              </w:rPr>
            </w:pPr>
            <w:r w:rsidRPr="008862A6">
              <w:rPr>
                <w:sz w:val="20"/>
                <w:szCs w:val="20"/>
              </w:rPr>
              <w:t>27.5</w:t>
            </w:r>
          </w:p>
        </w:tc>
      </w:tr>
    </w:tbl>
    <w:p w14:paraId="53B8C34D" w14:textId="7C51D63A" w:rsidR="009773EF" w:rsidRPr="009773EF" w:rsidRDefault="009773EF" w:rsidP="009773EF">
      <w:pPr>
        <w:pStyle w:val="Prrafocomn"/>
      </w:pPr>
      <w:r w:rsidRPr="009773EF">
        <w:t>Assessment of the participants’ self-perception of quality of life, using the EUROHISQOL 8-item, indicated a total mean of the sample of 3.67 ± 0.6</w:t>
      </w:r>
      <w:r w:rsidR="002D1E22">
        <w:t>1</w:t>
      </w:r>
      <w:r w:rsidRPr="009773EF">
        <w:t>. In the total sample, the older adults group showed the highest mean of this self-perception (mean = 4.15 ± 0.</w:t>
      </w:r>
      <w:r w:rsidR="002D1E22">
        <w:t>6</w:t>
      </w:r>
      <w:r w:rsidRPr="009773EF">
        <w:t>); the group with the lowest mean were the university students (non-first-year) (mean = 3.45 ± 0.5</w:t>
      </w:r>
      <w:r w:rsidR="002D1E22">
        <w:t>6</w:t>
      </w:r>
      <w:r w:rsidRPr="009773EF">
        <w:t xml:space="preserve">). The Student’s t-test comparing the sample according to gender found a significant difference between men and women (p = 0.012; mean difference = 0.091 [-0.003; 0.185]), with men presenting higher mean. </w:t>
      </w:r>
    </w:p>
    <w:p w14:paraId="722938B6" w14:textId="77777777" w:rsidR="009773EF" w:rsidRPr="009773EF" w:rsidRDefault="009773EF" w:rsidP="009773EF">
      <w:pPr>
        <w:pStyle w:val="Prrafocomn"/>
      </w:pPr>
      <w:r w:rsidRPr="009773EF">
        <w:t>Comparison according to age groups, using the ANOVA variance analysis test, showed differences between the age groups (p = 0.000), with the differences evaluated by the Bonferroni multiple comparison test between all age groups. In all comparisons, older participants presented higher means for their self-perception of Quality of Life.</w:t>
      </w:r>
    </w:p>
    <w:p w14:paraId="327192DB" w14:textId="77777777" w:rsidR="009773EF" w:rsidRPr="009773EF" w:rsidRDefault="009773EF" w:rsidP="009773EF">
      <w:pPr>
        <w:pStyle w:val="Prrafocomn"/>
      </w:pPr>
      <w:r w:rsidRPr="009773EF">
        <w:t xml:space="preserve">As for economic classes, ANOVA results (p = 0.000) allow us to infer differences between the participants’ results. The Bonferroni test indicated differences between classes A and C/D-E (p = 0.000; mean difference = -0.215 [-0.371; -0.288]) and classes B and C/D-E (p = 0.000; mean </w:t>
      </w:r>
      <w:r w:rsidRPr="009773EF">
        <w:lastRenderedPageBreak/>
        <w:t>difference = -0.166 [-0.288; -0.044]). In both cases, the lowest mean was for participants from classes C/D-E.</w:t>
      </w:r>
    </w:p>
    <w:p w14:paraId="4F9C47F6" w14:textId="36AF70F9" w:rsidR="009773EF" w:rsidRDefault="009773EF" w:rsidP="009773EF">
      <w:pPr>
        <w:pStyle w:val="Prrafocomn"/>
      </w:pPr>
      <w:r w:rsidRPr="009773EF">
        <w:t>The general sample investigated also presented differences (p = 0.000). The Bonferroni test indicated that all groups were different from each other. In all cases, participants from the general population showed higher means of self-perception of Quality of Life than the two groups of university students. In turn, the group of first-years presented higher indicators of this perception than the other students, with more time at university. Table 2 details the results related to self-perception of Quality of Life evaluated by EUROHISQOL 8-item.</w:t>
      </w:r>
    </w:p>
    <w:tbl>
      <w:tblPr>
        <w:tblStyle w:val="TabeladeGradeClara11"/>
        <w:tblW w:w="9345" w:type="dxa"/>
        <w:tblBorders>
          <w:top w:val="single" w:sz="4" w:space="0" w:color="auto"/>
          <w:left w:val="single" w:sz="4" w:space="0" w:color="BFBFBF" w:themeColor="background1" w:themeShade="BF"/>
          <w:bottom w:val="single" w:sz="4" w:space="0" w:color="auto"/>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47"/>
        <w:gridCol w:w="3440"/>
        <w:gridCol w:w="2033"/>
        <w:gridCol w:w="1425"/>
      </w:tblGrid>
      <w:tr w:rsidR="008862A6" w:rsidRPr="008862A6" w14:paraId="7529BEA0" w14:textId="77777777" w:rsidTr="00644660">
        <w:trPr>
          <w:trHeight w:val="606"/>
        </w:trPr>
        <w:tc>
          <w:tcPr>
            <w:tcW w:w="9345" w:type="dxa"/>
            <w:gridSpan w:val="4"/>
            <w:tcBorders>
              <w:top w:val="nil"/>
              <w:left w:val="single" w:sz="4" w:space="0" w:color="BFBFBF" w:themeColor="background1" w:themeShade="BF"/>
              <w:bottom w:val="single" w:sz="4" w:space="0" w:color="auto"/>
              <w:right w:val="single" w:sz="4" w:space="0" w:color="BFBFBF" w:themeColor="background1" w:themeShade="BF"/>
            </w:tcBorders>
          </w:tcPr>
          <w:p w14:paraId="67494FB1" w14:textId="77777777" w:rsidR="008862A6" w:rsidRDefault="008862A6" w:rsidP="008862A6">
            <w:pPr>
              <w:autoSpaceDE w:val="0"/>
              <w:autoSpaceDN w:val="0"/>
              <w:adjustRightInd w:val="0"/>
              <w:spacing w:line="360" w:lineRule="auto"/>
              <w:ind w:left="60" w:right="60"/>
              <w:rPr>
                <w:sz w:val="20"/>
                <w:szCs w:val="20"/>
                <w:lang w:eastAsia="en-US"/>
              </w:rPr>
            </w:pPr>
            <w:r>
              <w:rPr>
                <w:sz w:val="20"/>
                <w:szCs w:val="20"/>
                <w:lang w:eastAsia="en-US"/>
              </w:rPr>
              <w:t>Table 2</w:t>
            </w:r>
          </w:p>
          <w:p w14:paraId="6FA056AB" w14:textId="731D8679" w:rsidR="008862A6" w:rsidRPr="008862A6" w:rsidRDefault="008862A6" w:rsidP="008862A6">
            <w:pPr>
              <w:autoSpaceDE w:val="0"/>
              <w:autoSpaceDN w:val="0"/>
              <w:adjustRightInd w:val="0"/>
              <w:ind w:left="60" w:right="60"/>
              <w:rPr>
                <w:i/>
                <w:iCs/>
                <w:sz w:val="20"/>
                <w:szCs w:val="20"/>
                <w:lang w:val="en-US" w:eastAsia="en-US"/>
              </w:rPr>
            </w:pPr>
            <w:r w:rsidRPr="008862A6">
              <w:rPr>
                <w:i/>
                <w:iCs/>
                <w:sz w:val="20"/>
                <w:szCs w:val="20"/>
                <w:lang w:val="en-US" w:eastAsia="en-US"/>
              </w:rPr>
              <w:t xml:space="preserve">Results related to self-perception of </w:t>
            </w:r>
            <w:proofErr w:type="spellStart"/>
            <w:r w:rsidRPr="008862A6">
              <w:rPr>
                <w:i/>
                <w:iCs/>
                <w:sz w:val="20"/>
                <w:szCs w:val="20"/>
                <w:lang w:val="en-US" w:eastAsia="en-US"/>
              </w:rPr>
              <w:t>Qualifty</w:t>
            </w:r>
            <w:proofErr w:type="spellEnd"/>
            <w:r w:rsidRPr="008862A6">
              <w:rPr>
                <w:i/>
                <w:iCs/>
                <w:sz w:val="20"/>
                <w:szCs w:val="20"/>
                <w:lang w:val="en-US" w:eastAsia="en-US"/>
              </w:rPr>
              <w:t xml:space="preserve"> of Life</w:t>
            </w:r>
          </w:p>
        </w:tc>
      </w:tr>
      <w:tr w:rsidR="008862A6" w:rsidRPr="008862A6" w14:paraId="5DB74E23" w14:textId="77777777" w:rsidTr="00644660">
        <w:trPr>
          <w:trHeight w:val="249"/>
        </w:trPr>
        <w:tc>
          <w:tcPr>
            <w:tcW w:w="2447" w:type="dxa"/>
            <w:tcBorders>
              <w:top w:val="single" w:sz="4" w:space="0" w:color="auto"/>
              <w:left w:val="single" w:sz="4" w:space="0" w:color="BFBFBF" w:themeColor="background1" w:themeShade="BF"/>
              <w:bottom w:val="single" w:sz="4" w:space="0" w:color="auto"/>
              <w:right w:val="single" w:sz="4" w:space="0" w:color="BFBFBF" w:themeColor="background1" w:themeShade="BF"/>
            </w:tcBorders>
            <w:hideMark/>
          </w:tcPr>
          <w:p w14:paraId="18D3E7AF" w14:textId="77777777" w:rsidR="008862A6" w:rsidRPr="008862A6" w:rsidRDefault="008862A6" w:rsidP="0077415F">
            <w:pPr>
              <w:autoSpaceDE w:val="0"/>
              <w:autoSpaceDN w:val="0"/>
              <w:adjustRightInd w:val="0"/>
              <w:rPr>
                <w:sz w:val="20"/>
                <w:szCs w:val="20"/>
                <w:lang w:eastAsia="en-US"/>
              </w:rPr>
            </w:pPr>
            <w:r w:rsidRPr="008862A6">
              <w:rPr>
                <w:sz w:val="20"/>
                <w:szCs w:val="20"/>
                <w:lang w:eastAsia="en-US"/>
              </w:rPr>
              <w:t>Variable</w:t>
            </w:r>
          </w:p>
        </w:tc>
        <w:tc>
          <w:tcPr>
            <w:tcW w:w="3440" w:type="dxa"/>
            <w:tcBorders>
              <w:top w:val="single" w:sz="4" w:space="0" w:color="auto"/>
              <w:left w:val="single" w:sz="4" w:space="0" w:color="BFBFBF" w:themeColor="background1" w:themeShade="BF"/>
              <w:bottom w:val="single" w:sz="4" w:space="0" w:color="auto"/>
              <w:right w:val="single" w:sz="4" w:space="0" w:color="BFBFBF" w:themeColor="background1" w:themeShade="BF"/>
            </w:tcBorders>
            <w:hideMark/>
          </w:tcPr>
          <w:p w14:paraId="146BEAA3" w14:textId="77777777" w:rsidR="008862A6" w:rsidRPr="008862A6" w:rsidRDefault="008862A6" w:rsidP="008862A6">
            <w:pPr>
              <w:autoSpaceDE w:val="0"/>
              <w:autoSpaceDN w:val="0"/>
              <w:adjustRightInd w:val="0"/>
              <w:jc w:val="both"/>
              <w:rPr>
                <w:sz w:val="20"/>
                <w:szCs w:val="20"/>
                <w:lang w:eastAsia="en-US"/>
              </w:rPr>
            </w:pPr>
            <w:proofErr w:type="spellStart"/>
            <w:r w:rsidRPr="008862A6">
              <w:rPr>
                <w:sz w:val="20"/>
                <w:szCs w:val="20"/>
                <w:lang w:eastAsia="en-US"/>
              </w:rPr>
              <w:t>Subgroups</w:t>
            </w:r>
            <w:proofErr w:type="spellEnd"/>
          </w:p>
        </w:tc>
        <w:tc>
          <w:tcPr>
            <w:tcW w:w="2033" w:type="dxa"/>
            <w:tcBorders>
              <w:top w:val="single" w:sz="4" w:space="0" w:color="auto"/>
              <w:left w:val="single" w:sz="4" w:space="0" w:color="BFBFBF" w:themeColor="background1" w:themeShade="BF"/>
              <w:bottom w:val="single" w:sz="4" w:space="0" w:color="auto"/>
              <w:right w:val="single" w:sz="4" w:space="0" w:color="BFBFBF" w:themeColor="background1" w:themeShade="BF"/>
            </w:tcBorders>
            <w:hideMark/>
          </w:tcPr>
          <w:p w14:paraId="0B151C53" w14:textId="77777777" w:rsidR="008862A6" w:rsidRPr="008862A6" w:rsidRDefault="008862A6" w:rsidP="0077415F">
            <w:pPr>
              <w:autoSpaceDE w:val="0"/>
              <w:autoSpaceDN w:val="0"/>
              <w:adjustRightInd w:val="0"/>
              <w:ind w:left="60" w:right="60"/>
              <w:jc w:val="center"/>
              <w:rPr>
                <w:sz w:val="20"/>
                <w:szCs w:val="20"/>
                <w:lang w:eastAsia="en-US"/>
              </w:rPr>
            </w:pPr>
            <w:r w:rsidRPr="008862A6">
              <w:rPr>
                <w:sz w:val="20"/>
                <w:szCs w:val="20"/>
                <w:lang w:eastAsia="en-US"/>
              </w:rPr>
              <w:t>Mean ± SD</w:t>
            </w:r>
          </w:p>
        </w:tc>
        <w:tc>
          <w:tcPr>
            <w:tcW w:w="1423"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43EC5CF7" w14:textId="77777777" w:rsidR="008862A6" w:rsidRPr="008862A6" w:rsidRDefault="008862A6" w:rsidP="0077415F">
            <w:pPr>
              <w:autoSpaceDE w:val="0"/>
              <w:autoSpaceDN w:val="0"/>
              <w:adjustRightInd w:val="0"/>
              <w:ind w:left="60" w:right="60"/>
              <w:jc w:val="center"/>
              <w:rPr>
                <w:sz w:val="20"/>
                <w:szCs w:val="20"/>
                <w:lang w:eastAsia="en-US"/>
              </w:rPr>
            </w:pPr>
            <w:r w:rsidRPr="008862A6">
              <w:rPr>
                <w:sz w:val="20"/>
                <w:szCs w:val="20"/>
                <w:lang w:eastAsia="en-US"/>
              </w:rPr>
              <w:t>p-</w:t>
            </w:r>
            <w:proofErr w:type="spellStart"/>
            <w:r w:rsidRPr="008862A6">
              <w:rPr>
                <w:sz w:val="20"/>
                <w:szCs w:val="20"/>
                <w:lang w:eastAsia="en-US"/>
              </w:rPr>
              <w:t>value</w:t>
            </w:r>
            <w:proofErr w:type="spellEnd"/>
          </w:p>
        </w:tc>
      </w:tr>
      <w:tr w:rsidR="008862A6" w:rsidRPr="008862A6" w14:paraId="0DAC3A77" w14:textId="77777777" w:rsidTr="00644660">
        <w:trPr>
          <w:trHeight w:val="232"/>
        </w:trPr>
        <w:tc>
          <w:tcPr>
            <w:tcW w:w="2447" w:type="dxa"/>
            <w:vMerge w:val="restart"/>
            <w:tcBorders>
              <w:top w:val="single" w:sz="4" w:space="0" w:color="auto"/>
              <w:left w:val="single" w:sz="4" w:space="0" w:color="BFBFBF" w:themeColor="background1" w:themeShade="BF"/>
              <w:bottom w:val="single" w:sz="4" w:space="0" w:color="auto"/>
              <w:right w:val="single" w:sz="4" w:space="0" w:color="BFBFBF" w:themeColor="background1" w:themeShade="BF"/>
            </w:tcBorders>
            <w:vAlign w:val="center"/>
            <w:hideMark/>
          </w:tcPr>
          <w:p w14:paraId="5C3D8FD2" w14:textId="77777777" w:rsidR="008862A6" w:rsidRPr="008862A6" w:rsidRDefault="008862A6" w:rsidP="0077415F">
            <w:pPr>
              <w:autoSpaceDE w:val="0"/>
              <w:autoSpaceDN w:val="0"/>
              <w:adjustRightInd w:val="0"/>
              <w:ind w:left="60" w:right="60"/>
              <w:rPr>
                <w:sz w:val="20"/>
                <w:szCs w:val="20"/>
                <w:vertAlign w:val="superscript"/>
                <w:lang w:eastAsia="en-US"/>
              </w:rPr>
            </w:pPr>
            <w:proofErr w:type="spellStart"/>
            <w:r w:rsidRPr="008862A6">
              <w:rPr>
                <w:sz w:val="20"/>
                <w:szCs w:val="20"/>
              </w:rPr>
              <w:t>Gender</w:t>
            </w:r>
            <w:proofErr w:type="spellEnd"/>
          </w:p>
        </w:tc>
        <w:tc>
          <w:tcPr>
            <w:tcW w:w="3440" w:type="dxa"/>
            <w:tcBorders>
              <w:top w:val="single" w:sz="4" w:space="0" w:color="auto"/>
              <w:left w:val="single" w:sz="4" w:space="0" w:color="BFBFBF" w:themeColor="background1" w:themeShade="BF"/>
              <w:bottom w:val="nil"/>
              <w:right w:val="single" w:sz="4" w:space="0" w:color="BFBFBF" w:themeColor="background1" w:themeShade="BF"/>
            </w:tcBorders>
            <w:vAlign w:val="center"/>
            <w:hideMark/>
          </w:tcPr>
          <w:p w14:paraId="40C355D6" w14:textId="77777777" w:rsidR="008862A6" w:rsidRPr="008862A6" w:rsidRDefault="008862A6" w:rsidP="0077415F">
            <w:pPr>
              <w:autoSpaceDE w:val="0"/>
              <w:autoSpaceDN w:val="0"/>
              <w:adjustRightInd w:val="0"/>
              <w:ind w:left="60" w:right="60"/>
              <w:rPr>
                <w:sz w:val="20"/>
                <w:szCs w:val="20"/>
                <w:lang w:eastAsia="en-US"/>
              </w:rPr>
            </w:pPr>
            <w:proofErr w:type="spellStart"/>
            <w:r w:rsidRPr="008862A6">
              <w:rPr>
                <w:sz w:val="20"/>
                <w:szCs w:val="20"/>
              </w:rPr>
              <w:t>Men</w:t>
            </w:r>
            <w:proofErr w:type="spellEnd"/>
          </w:p>
        </w:tc>
        <w:tc>
          <w:tcPr>
            <w:tcW w:w="2033" w:type="dxa"/>
            <w:tcBorders>
              <w:top w:val="single" w:sz="4" w:space="0" w:color="auto"/>
              <w:left w:val="single" w:sz="4" w:space="0" w:color="BFBFBF" w:themeColor="background1" w:themeShade="BF"/>
              <w:bottom w:val="nil"/>
              <w:right w:val="single" w:sz="4" w:space="0" w:color="BFBFBF" w:themeColor="background1" w:themeShade="BF"/>
            </w:tcBorders>
            <w:vAlign w:val="center"/>
            <w:hideMark/>
          </w:tcPr>
          <w:p w14:paraId="20C0D7D3" w14:textId="21C53766" w:rsidR="008862A6" w:rsidRPr="008862A6" w:rsidRDefault="008862A6" w:rsidP="0077415F">
            <w:pPr>
              <w:jc w:val="right"/>
              <w:rPr>
                <w:sz w:val="20"/>
                <w:szCs w:val="20"/>
                <w:lang w:eastAsia="en-US"/>
              </w:rPr>
            </w:pPr>
            <w:r w:rsidRPr="008862A6">
              <w:rPr>
                <w:sz w:val="20"/>
                <w:szCs w:val="20"/>
                <w:lang w:eastAsia="en-US"/>
              </w:rPr>
              <w:t>3.7</w:t>
            </w:r>
            <w:r w:rsidR="00F83E1E">
              <w:rPr>
                <w:sz w:val="20"/>
                <w:szCs w:val="20"/>
                <w:lang w:eastAsia="en-US"/>
              </w:rPr>
              <w:t>3</w:t>
            </w:r>
            <w:r w:rsidRPr="008862A6">
              <w:rPr>
                <w:sz w:val="20"/>
                <w:szCs w:val="20"/>
                <w:lang w:eastAsia="en-US"/>
              </w:rPr>
              <w:t xml:space="preserve"> ± 0.62</w:t>
            </w:r>
          </w:p>
        </w:tc>
        <w:tc>
          <w:tcPr>
            <w:tcW w:w="1423" w:type="dxa"/>
            <w:vMerge w:val="restart"/>
            <w:tcBorders>
              <w:top w:val="single" w:sz="4" w:space="0" w:color="auto"/>
              <w:left w:val="single" w:sz="4" w:space="0" w:color="BFBFBF" w:themeColor="background1" w:themeShade="BF"/>
              <w:right w:val="single" w:sz="4" w:space="0" w:color="BFBFBF" w:themeColor="background1" w:themeShade="BF"/>
            </w:tcBorders>
            <w:vAlign w:val="center"/>
          </w:tcPr>
          <w:p w14:paraId="21246E67" w14:textId="77777777" w:rsidR="008862A6" w:rsidRPr="008862A6" w:rsidRDefault="008862A6" w:rsidP="0077415F">
            <w:pPr>
              <w:jc w:val="right"/>
              <w:rPr>
                <w:sz w:val="20"/>
                <w:szCs w:val="20"/>
                <w:lang w:eastAsia="en-US"/>
              </w:rPr>
            </w:pPr>
            <w:r w:rsidRPr="008862A6">
              <w:rPr>
                <w:sz w:val="20"/>
                <w:szCs w:val="20"/>
                <w:lang w:eastAsia="en-US"/>
              </w:rPr>
              <w:t>0.012</w:t>
            </w:r>
          </w:p>
        </w:tc>
      </w:tr>
      <w:tr w:rsidR="008862A6" w:rsidRPr="008862A6" w14:paraId="2B924318" w14:textId="77777777" w:rsidTr="00644660">
        <w:trPr>
          <w:trHeight w:val="249"/>
        </w:trPr>
        <w:tc>
          <w:tcPr>
            <w:tcW w:w="2447" w:type="dxa"/>
            <w:vMerge/>
            <w:tcBorders>
              <w:top w:val="single" w:sz="4" w:space="0" w:color="auto"/>
              <w:left w:val="single" w:sz="4" w:space="0" w:color="BFBFBF" w:themeColor="background1" w:themeShade="BF"/>
              <w:bottom w:val="single" w:sz="4" w:space="0" w:color="auto"/>
              <w:right w:val="single" w:sz="4" w:space="0" w:color="BFBFBF" w:themeColor="background1" w:themeShade="BF"/>
            </w:tcBorders>
            <w:vAlign w:val="center"/>
            <w:hideMark/>
          </w:tcPr>
          <w:p w14:paraId="234BA0ED" w14:textId="77777777" w:rsidR="008862A6" w:rsidRPr="008862A6" w:rsidRDefault="008862A6" w:rsidP="0077415F">
            <w:pPr>
              <w:rPr>
                <w:sz w:val="20"/>
                <w:szCs w:val="20"/>
                <w:vertAlign w:val="superscript"/>
                <w:lang w:eastAsia="en-US"/>
              </w:rPr>
            </w:pPr>
          </w:p>
        </w:tc>
        <w:tc>
          <w:tcPr>
            <w:tcW w:w="3440" w:type="dxa"/>
            <w:tcBorders>
              <w:top w:val="nil"/>
              <w:left w:val="single" w:sz="4" w:space="0" w:color="BFBFBF" w:themeColor="background1" w:themeShade="BF"/>
              <w:bottom w:val="single" w:sz="4" w:space="0" w:color="auto"/>
              <w:right w:val="single" w:sz="4" w:space="0" w:color="BFBFBF" w:themeColor="background1" w:themeShade="BF"/>
            </w:tcBorders>
            <w:vAlign w:val="center"/>
            <w:hideMark/>
          </w:tcPr>
          <w:p w14:paraId="276978B2" w14:textId="77777777" w:rsidR="008862A6" w:rsidRPr="008862A6" w:rsidRDefault="008862A6" w:rsidP="0077415F">
            <w:pPr>
              <w:autoSpaceDE w:val="0"/>
              <w:autoSpaceDN w:val="0"/>
              <w:adjustRightInd w:val="0"/>
              <w:ind w:left="60" w:right="60"/>
              <w:rPr>
                <w:sz w:val="20"/>
                <w:szCs w:val="20"/>
                <w:lang w:eastAsia="en-US"/>
              </w:rPr>
            </w:pPr>
            <w:proofErr w:type="spellStart"/>
            <w:r w:rsidRPr="008862A6">
              <w:rPr>
                <w:sz w:val="20"/>
                <w:szCs w:val="20"/>
              </w:rPr>
              <w:t>Women</w:t>
            </w:r>
            <w:proofErr w:type="spellEnd"/>
          </w:p>
        </w:tc>
        <w:tc>
          <w:tcPr>
            <w:tcW w:w="2033" w:type="dxa"/>
            <w:tcBorders>
              <w:top w:val="nil"/>
              <w:left w:val="single" w:sz="4" w:space="0" w:color="BFBFBF" w:themeColor="background1" w:themeShade="BF"/>
              <w:bottom w:val="single" w:sz="4" w:space="0" w:color="auto"/>
              <w:right w:val="single" w:sz="4" w:space="0" w:color="BFBFBF" w:themeColor="background1" w:themeShade="BF"/>
            </w:tcBorders>
            <w:vAlign w:val="center"/>
            <w:hideMark/>
          </w:tcPr>
          <w:p w14:paraId="1447FAEA" w14:textId="25EB004D" w:rsidR="008862A6" w:rsidRPr="008862A6" w:rsidRDefault="008862A6" w:rsidP="0077415F">
            <w:pPr>
              <w:jc w:val="right"/>
              <w:rPr>
                <w:sz w:val="20"/>
                <w:szCs w:val="20"/>
                <w:lang w:eastAsia="en-US"/>
              </w:rPr>
            </w:pPr>
            <w:r w:rsidRPr="008862A6">
              <w:rPr>
                <w:sz w:val="20"/>
                <w:szCs w:val="20"/>
                <w:lang w:eastAsia="en-US"/>
              </w:rPr>
              <w:t>3.63 ± 0.59</w:t>
            </w:r>
          </w:p>
        </w:tc>
        <w:tc>
          <w:tcPr>
            <w:tcW w:w="1423" w:type="dxa"/>
            <w:vMerge/>
            <w:tcBorders>
              <w:left w:val="single" w:sz="4" w:space="0" w:color="BFBFBF" w:themeColor="background1" w:themeShade="BF"/>
              <w:bottom w:val="single" w:sz="4" w:space="0" w:color="auto"/>
              <w:right w:val="single" w:sz="4" w:space="0" w:color="BFBFBF" w:themeColor="background1" w:themeShade="BF"/>
            </w:tcBorders>
            <w:vAlign w:val="center"/>
          </w:tcPr>
          <w:p w14:paraId="2871A9F7" w14:textId="77777777" w:rsidR="008862A6" w:rsidRPr="008862A6" w:rsidRDefault="008862A6" w:rsidP="0077415F">
            <w:pPr>
              <w:jc w:val="right"/>
              <w:rPr>
                <w:sz w:val="20"/>
                <w:szCs w:val="20"/>
                <w:lang w:eastAsia="en-US"/>
              </w:rPr>
            </w:pPr>
          </w:p>
        </w:tc>
      </w:tr>
      <w:tr w:rsidR="008862A6" w:rsidRPr="008862A6" w14:paraId="68AEA283" w14:textId="77777777" w:rsidTr="00644660">
        <w:trPr>
          <w:trHeight w:val="249"/>
        </w:trPr>
        <w:tc>
          <w:tcPr>
            <w:tcW w:w="244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524CBCF" w14:textId="77777777" w:rsidR="008862A6" w:rsidRPr="008862A6" w:rsidRDefault="008862A6" w:rsidP="0077415F">
            <w:pPr>
              <w:autoSpaceDE w:val="0"/>
              <w:autoSpaceDN w:val="0"/>
              <w:adjustRightInd w:val="0"/>
              <w:ind w:left="60" w:right="60"/>
              <w:rPr>
                <w:sz w:val="20"/>
                <w:szCs w:val="20"/>
                <w:vertAlign w:val="superscript"/>
                <w:lang w:eastAsia="en-US"/>
              </w:rPr>
            </w:pPr>
            <w:proofErr w:type="spellStart"/>
            <w:r w:rsidRPr="008862A6">
              <w:rPr>
                <w:sz w:val="20"/>
                <w:szCs w:val="20"/>
              </w:rPr>
              <w:t>Age</w:t>
            </w:r>
            <w:r w:rsidRPr="008862A6">
              <w:rPr>
                <w:i/>
                <w:iCs/>
                <w:sz w:val="20"/>
                <w:szCs w:val="20"/>
                <w:vertAlign w:val="superscript"/>
              </w:rPr>
              <w:t>a</w:t>
            </w:r>
            <w:proofErr w:type="spellEnd"/>
          </w:p>
        </w:tc>
        <w:tc>
          <w:tcPr>
            <w:tcW w:w="3440" w:type="dxa"/>
            <w:tcBorders>
              <w:top w:val="single" w:sz="4" w:space="0" w:color="auto"/>
              <w:left w:val="single" w:sz="4" w:space="0" w:color="BFBFBF" w:themeColor="background1" w:themeShade="BF"/>
              <w:bottom w:val="nil"/>
              <w:right w:val="single" w:sz="4" w:space="0" w:color="BFBFBF" w:themeColor="background1" w:themeShade="BF"/>
            </w:tcBorders>
            <w:vAlign w:val="center"/>
            <w:hideMark/>
          </w:tcPr>
          <w:p w14:paraId="0FAB80BF" w14:textId="77777777" w:rsidR="008862A6" w:rsidRPr="008862A6" w:rsidRDefault="008862A6" w:rsidP="0077415F">
            <w:pPr>
              <w:autoSpaceDE w:val="0"/>
              <w:autoSpaceDN w:val="0"/>
              <w:adjustRightInd w:val="0"/>
              <w:ind w:left="60" w:right="60"/>
              <w:rPr>
                <w:sz w:val="20"/>
                <w:szCs w:val="20"/>
                <w:vertAlign w:val="superscript"/>
                <w:lang w:eastAsia="en-US"/>
              </w:rPr>
            </w:pPr>
            <w:r w:rsidRPr="008862A6">
              <w:rPr>
                <w:sz w:val="20"/>
                <w:szCs w:val="20"/>
              </w:rPr>
              <w:t xml:space="preserve">Young </w:t>
            </w:r>
            <w:proofErr w:type="spellStart"/>
            <w:r w:rsidRPr="008862A6">
              <w:rPr>
                <w:sz w:val="20"/>
                <w:szCs w:val="20"/>
              </w:rPr>
              <w:t>adult</w:t>
            </w:r>
            <w:proofErr w:type="spellEnd"/>
          </w:p>
        </w:tc>
        <w:tc>
          <w:tcPr>
            <w:tcW w:w="2033" w:type="dxa"/>
            <w:tcBorders>
              <w:top w:val="single" w:sz="4" w:space="0" w:color="auto"/>
              <w:left w:val="single" w:sz="4" w:space="0" w:color="BFBFBF" w:themeColor="background1" w:themeShade="BF"/>
              <w:bottom w:val="nil"/>
              <w:right w:val="single" w:sz="4" w:space="0" w:color="BFBFBF" w:themeColor="background1" w:themeShade="BF"/>
            </w:tcBorders>
            <w:vAlign w:val="center"/>
            <w:hideMark/>
          </w:tcPr>
          <w:p w14:paraId="4176C9DF" w14:textId="62D791F6" w:rsidR="008862A6" w:rsidRPr="008862A6" w:rsidRDefault="008862A6" w:rsidP="0077415F">
            <w:pPr>
              <w:jc w:val="right"/>
              <w:rPr>
                <w:sz w:val="20"/>
                <w:szCs w:val="20"/>
                <w:lang w:eastAsia="en-US"/>
              </w:rPr>
            </w:pPr>
            <w:r w:rsidRPr="008862A6">
              <w:rPr>
                <w:sz w:val="20"/>
                <w:szCs w:val="20"/>
                <w:lang w:eastAsia="en-US"/>
              </w:rPr>
              <w:t>3.6</w:t>
            </w:r>
            <w:r w:rsidR="00F83E1E">
              <w:rPr>
                <w:sz w:val="20"/>
                <w:szCs w:val="20"/>
                <w:lang w:eastAsia="en-US"/>
              </w:rPr>
              <w:t>3</w:t>
            </w:r>
            <w:r w:rsidRPr="008862A6">
              <w:rPr>
                <w:sz w:val="20"/>
                <w:szCs w:val="20"/>
                <w:lang w:eastAsia="en-US"/>
              </w:rPr>
              <w:t xml:space="preserve"> ± 0.</w:t>
            </w:r>
            <w:r w:rsidR="00F83E1E">
              <w:rPr>
                <w:sz w:val="20"/>
                <w:szCs w:val="20"/>
                <w:lang w:eastAsia="en-US"/>
              </w:rPr>
              <w:t>60</w:t>
            </w:r>
          </w:p>
        </w:tc>
        <w:tc>
          <w:tcPr>
            <w:tcW w:w="1423" w:type="dxa"/>
            <w:vMerge w:val="restart"/>
            <w:tcBorders>
              <w:top w:val="single" w:sz="4" w:space="0" w:color="auto"/>
              <w:left w:val="single" w:sz="4" w:space="0" w:color="BFBFBF" w:themeColor="background1" w:themeShade="BF"/>
              <w:right w:val="single" w:sz="4" w:space="0" w:color="BFBFBF" w:themeColor="background1" w:themeShade="BF"/>
            </w:tcBorders>
            <w:vAlign w:val="center"/>
          </w:tcPr>
          <w:p w14:paraId="052B497B" w14:textId="77777777" w:rsidR="008862A6" w:rsidRPr="008862A6" w:rsidRDefault="008862A6" w:rsidP="0077415F">
            <w:pPr>
              <w:jc w:val="right"/>
              <w:rPr>
                <w:sz w:val="20"/>
                <w:szCs w:val="20"/>
                <w:lang w:eastAsia="en-US"/>
              </w:rPr>
            </w:pPr>
            <w:r w:rsidRPr="008862A6">
              <w:rPr>
                <w:sz w:val="20"/>
                <w:szCs w:val="20"/>
                <w:lang w:eastAsia="en-US"/>
              </w:rPr>
              <w:t>0.000</w:t>
            </w:r>
          </w:p>
        </w:tc>
      </w:tr>
      <w:tr w:rsidR="008862A6" w:rsidRPr="008862A6" w14:paraId="07E89DC4" w14:textId="77777777" w:rsidTr="00644660">
        <w:trPr>
          <w:trHeight w:val="249"/>
        </w:trPr>
        <w:tc>
          <w:tcPr>
            <w:tcW w:w="244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9D6997" w14:textId="77777777" w:rsidR="008862A6" w:rsidRPr="008862A6" w:rsidRDefault="008862A6" w:rsidP="0077415F">
            <w:pPr>
              <w:rPr>
                <w:sz w:val="20"/>
                <w:szCs w:val="20"/>
                <w:vertAlign w:val="superscript"/>
                <w:lang w:eastAsia="en-US"/>
              </w:rPr>
            </w:pPr>
          </w:p>
        </w:tc>
        <w:tc>
          <w:tcPr>
            <w:tcW w:w="3440" w:type="dxa"/>
            <w:tcBorders>
              <w:top w:val="nil"/>
              <w:left w:val="single" w:sz="4" w:space="0" w:color="BFBFBF" w:themeColor="background1" w:themeShade="BF"/>
              <w:bottom w:val="nil"/>
              <w:right w:val="single" w:sz="4" w:space="0" w:color="BFBFBF" w:themeColor="background1" w:themeShade="BF"/>
            </w:tcBorders>
            <w:vAlign w:val="center"/>
            <w:hideMark/>
          </w:tcPr>
          <w:p w14:paraId="47E86BD8" w14:textId="77777777" w:rsidR="008862A6" w:rsidRPr="008862A6" w:rsidRDefault="008862A6" w:rsidP="0077415F">
            <w:pPr>
              <w:autoSpaceDE w:val="0"/>
              <w:autoSpaceDN w:val="0"/>
              <w:adjustRightInd w:val="0"/>
              <w:ind w:left="60" w:right="60"/>
              <w:rPr>
                <w:sz w:val="20"/>
                <w:szCs w:val="20"/>
                <w:vertAlign w:val="superscript"/>
                <w:lang w:eastAsia="en-US"/>
              </w:rPr>
            </w:pPr>
            <w:proofErr w:type="spellStart"/>
            <w:r w:rsidRPr="008862A6">
              <w:rPr>
                <w:sz w:val="20"/>
                <w:szCs w:val="20"/>
              </w:rPr>
              <w:t>Middle-aged</w:t>
            </w:r>
            <w:proofErr w:type="spellEnd"/>
          </w:p>
        </w:tc>
        <w:tc>
          <w:tcPr>
            <w:tcW w:w="2033" w:type="dxa"/>
            <w:tcBorders>
              <w:top w:val="nil"/>
              <w:left w:val="single" w:sz="4" w:space="0" w:color="BFBFBF" w:themeColor="background1" w:themeShade="BF"/>
              <w:bottom w:val="nil"/>
              <w:right w:val="single" w:sz="4" w:space="0" w:color="BFBFBF" w:themeColor="background1" w:themeShade="BF"/>
            </w:tcBorders>
            <w:hideMark/>
          </w:tcPr>
          <w:p w14:paraId="3A7E1AD4" w14:textId="3068374E" w:rsidR="008862A6" w:rsidRPr="008862A6" w:rsidRDefault="008862A6" w:rsidP="0077415F">
            <w:pPr>
              <w:jc w:val="right"/>
              <w:rPr>
                <w:sz w:val="20"/>
                <w:szCs w:val="20"/>
                <w:lang w:eastAsia="en-US"/>
              </w:rPr>
            </w:pPr>
            <w:r w:rsidRPr="008862A6">
              <w:rPr>
                <w:sz w:val="20"/>
                <w:szCs w:val="20"/>
                <w:lang w:eastAsia="en-US"/>
              </w:rPr>
              <w:t>3.83 ± 0.5</w:t>
            </w:r>
            <w:r w:rsidR="00F83E1E">
              <w:rPr>
                <w:sz w:val="20"/>
                <w:szCs w:val="20"/>
                <w:lang w:eastAsia="en-US"/>
              </w:rPr>
              <w:t>7</w:t>
            </w:r>
          </w:p>
        </w:tc>
        <w:tc>
          <w:tcPr>
            <w:tcW w:w="1423" w:type="dxa"/>
            <w:vMerge/>
            <w:tcBorders>
              <w:left w:val="single" w:sz="4" w:space="0" w:color="BFBFBF" w:themeColor="background1" w:themeShade="BF"/>
              <w:right w:val="single" w:sz="4" w:space="0" w:color="BFBFBF" w:themeColor="background1" w:themeShade="BF"/>
            </w:tcBorders>
            <w:vAlign w:val="center"/>
          </w:tcPr>
          <w:p w14:paraId="12D81D4C" w14:textId="77777777" w:rsidR="008862A6" w:rsidRPr="008862A6" w:rsidRDefault="008862A6" w:rsidP="0077415F">
            <w:pPr>
              <w:jc w:val="right"/>
              <w:rPr>
                <w:sz w:val="20"/>
                <w:szCs w:val="20"/>
                <w:lang w:eastAsia="en-US"/>
              </w:rPr>
            </w:pPr>
          </w:p>
        </w:tc>
      </w:tr>
      <w:tr w:rsidR="008862A6" w:rsidRPr="008862A6" w14:paraId="294CAF92" w14:textId="77777777" w:rsidTr="00644660">
        <w:trPr>
          <w:trHeight w:val="249"/>
        </w:trPr>
        <w:tc>
          <w:tcPr>
            <w:tcW w:w="244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1F921AD" w14:textId="77777777" w:rsidR="008862A6" w:rsidRPr="008862A6" w:rsidRDefault="008862A6" w:rsidP="0077415F">
            <w:pPr>
              <w:rPr>
                <w:sz w:val="20"/>
                <w:szCs w:val="20"/>
                <w:vertAlign w:val="superscript"/>
                <w:lang w:eastAsia="en-US"/>
              </w:rPr>
            </w:pPr>
          </w:p>
        </w:tc>
        <w:tc>
          <w:tcPr>
            <w:tcW w:w="3440" w:type="dxa"/>
            <w:tcBorders>
              <w:top w:val="nil"/>
              <w:left w:val="single" w:sz="4" w:space="0" w:color="BFBFBF" w:themeColor="background1" w:themeShade="BF"/>
              <w:bottom w:val="single" w:sz="4" w:space="0" w:color="auto"/>
              <w:right w:val="single" w:sz="4" w:space="0" w:color="BFBFBF" w:themeColor="background1" w:themeShade="BF"/>
            </w:tcBorders>
            <w:vAlign w:val="center"/>
            <w:hideMark/>
          </w:tcPr>
          <w:p w14:paraId="4D8DA989" w14:textId="77777777" w:rsidR="008862A6" w:rsidRPr="008862A6" w:rsidRDefault="008862A6" w:rsidP="0077415F">
            <w:pPr>
              <w:autoSpaceDE w:val="0"/>
              <w:autoSpaceDN w:val="0"/>
              <w:adjustRightInd w:val="0"/>
              <w:ind w:left="60" w:right="60"/>
              <w:rPr>
                <w:sz w:val="20"/>
                <w:szCs w:val="20"/>
                <w:vertAlign w:val="superscript"/>
                <w:lang w:eastAsia="en-US"/>
              </w:rPr>
            </w:pPr>
            <w:proofErr w:type="spellStart"/>
            <w:r w:rsidRPr="008862A6">
              <w:rPr>
                <w:sz w:val="20"/>
                <w:szCs w:val="20"/>
              </w:rPr>
              <w:t>Older</w:t>
            </w:r>
            <w:proofErr w:type="spellEnd"/>
            <w:r w:rsidRPr="008862A6">
              <w:rPr>
                <w:sz w:val="20"/>
                <w:szCs w:val="20"/>
              </w:rPr>
              <w:t xml:space="preserve"> </w:t>
            </w:r>
            <w:proofErr w:type="spellStart"/>
            <w:r w:rsidRPr="008862A6">
              <w:rPr>
                <w:sz w:val="20"/>
                <w:szCs w:val="20"/>
              </w:rPr>
              <w:t>adult</w:t>
            </w:r>
            <w:proofErr w:type="spellEnd"/>
          </w:p>
        </w:tc>
        <w:tc>
          <w:tcPr>
            <w:tcW w:w="2033" w:type="dxa"/>
            <w:tcBorders>
              <w:top w:val="nil"/>
              <w:left w:val="single" w:sz="4" w:space="0" w:color="BFBFBF" w:themeColor="background1" w:themeShade="BF"/>
              <w:bottom w:val="single" w:sz="4" w:space="0" w:color="auto"/>
              <w:right w:val="single" w:sz="4" w:space="0" w:color="BFBFBF" w:themeColor="background1" w:themeShade="BF"/>
            </w:tcBorders>
            <w:hideMark/>
          </w:tcPr>
          <w:p w14:paraId="4EADD5BF" w14:textId="00F512BE" w:rsidR="008862A6" w:rsidRPr="008862A6" w:rsidRDefault="008862A6" w:rsidP="0077415F">
            <w:pPr>
              <w:jc w:val="right"/>
              <w:rPr>
                <w:sz w:val="20"/>
                <w:szCs w:val="20"/>
                <w:lang w:eastAsia="en-US"/>
              </w:rPr>
            </w:pPr>
            <w:r w:rsidRPr="008862A6">
              <w:rPr>
                <w:sz w:val="20"/>
                <w:szCs w:val="20"/>
                <w:lang w:eastAsia="en-US"/>
              </w:rPr>
              <w:t>4.15 ± 0.</w:t>
            </w:r>
            <w:r w:rsidR="00F83E1E">
              <w:rPr>
                <w:sz w:val="20"/>
                <w:szCs w:val="20"/>
                <w:lang w:eastAsia="en-US"/>
              </w:rPr>
              <w:t>60</w:t>
            </w:r>
          </w:p>
        </w:tc>
        <w:tc>
          <w:tcPr>
            <w:tcW w:w="1423" w:type="dxa"/>
            <w:vMerge/>
            <w:tcBorders>
              <w:left w:val="single" w:sz="4" w:space="0" w:color="BFBFBF" w:themeColor="background1" w:themeShade="BF"/>
              <w:bottom w:val="single" w:sz="4" w:space="0" w:color="auto"/>
              <w:right w:val="single" w:sz="4" w:space="0" w:color="BFBFBF" w:themeColor="background1" w:themeShade="BF"/>
            </w:tcBorders>
            <w:vAlign w:val="center"/>
          </w:tcPr>
          <w:p w14:paraId="7DEDDD38" w14:textId="77777777" w:rsidR="008862A6" w:rsidRPr="008862A6" w:rsidRDefault="008862A6" w:rsidP="0077415F">
            <w:pPr>
              <w:jc w:val="right"/>
              <w:rPr>
                <w:sz w:val="20"/>
                <w:szCs w:val="20"/>
                <w:lang w:eastAsia="en-US"/>
              </w:rPr>
            </w:pPr>
          </w:p>
        </w:tc>
      </w:tr>
      <w:tr w:rsidR="008862A6" w:rsidRPr="008862A6" w14:paraId="768B009B" w14:textId="77777777" w:rsidTr="00644660">
        <w:trPr>
          <w:trHeight w:val="249"/>
        </w:trPr>
        <w:tc>
          <w:tcPr>
            <w:tcW w:w="2447" w:type="dxa"/>
            <w:vMerge w:val="restart"/>
            <w:tcBorders>
              <w:top w:val="single" w:sz="4" w:space="0" w:color="auto"/>
              <w:left w:val="single" w:sz="4" w:space="0" w:color="BFBFBF" w:themeColor="background1" w:themeShade="BF"/>
              <w:bottom w:val="single" w:sz="4" w:space="0" w:color="auto"/>
              <w:right w:val="single" w:sz="4" w:space="0" w:color="BFBFBF" w:themeColor="background1" w:themeShade="BF"/>
            </w:tcBorders>
            <w:vAlign w:val="center"/>
            <w:hideMark/>
          </w:tcPr>
          <w:p w14:paraId="7DF84230" w14:textId="77777777" w:rsidR="008862A6" w:rsidRPr="008862A6" w:rsidRDefault="008862A6" w:rsidP="0077415F">
            <w:pPr>
              <w:autoSpaceDE w:val="0"/>
              <w:autoSpaceDN w:val="0"/>
              <w:adjustRightInd w:val="0"/>
              <w:rPr>
                <w:sz w:val="20"/>
                <w:szCs w:val="20"/>
                <w:vertAlign w:val="superscript"/>
                <w:lang w:eastAsia="en-US"/>
              </w:rPr>
            </w:pPr>
            <w:proofErr w:type="spellStart"/>
            <w:r w:rsidRPr="008862A6">
              <w:rPr>
                <w:sz w:val="20"/>
                <w:szCs w:val="20"/>
              </w:rPr>
              <w:t>Economic</w:t>
            </w:r>
            <w:proofErr w:type="spellEnd"/>
            <w:r w:rsidRPr="008862A6">
              <w:rPr>
                <w:sz w:val="20"/>
                <w:szCs w:val="20"/>
              </w:rPr>
              <w:t xml:space="preserve"> </w:t>
            </w:r>
            <w:proofErr w:type="spellStart"/>
            <w:r w:rsidRPr="008862A6">
              <w:rPr>
                <w:sz w:val="20"/>
                <w:szCs w:val="20"/>
              </w:rPr>
              <w:t>classification</w:t>
            </w:r>
            <w:r w:rsidRPr="008862A6">
              <w:rPr>
                <w:i/>
                <w:iCs/>
                <w:sz w:val="20"/>
                <w:szCs w:val="20"/>
                <w:vertAlign w:val="superscript"/>
              </w:rPr>
              <w:t>b</w:t>
            </w:r>
            <w:proofErr w:type="spellEnd"/>
          </w:p>
        </w:tc>
        <w:tc>
          <w:tcPr>
            <w:tcW w:w="3440" w:type="dxa"/>
            <w:tcBorders>
              <w:top w:val="single" w:sz="4" w:space="0" w:color="auto"/>
              <w:left w:val="single" w:sz="4" w:space="0" w:color="BFBFBF" w:themeColor="background1" w:themeShade="BF"/>
              <w:bottom w:val="nil"/>
              <w:right w:val="single" w:sz="4" w:space="0" w:color="BFBFBF" w:themeColor="background1" w:themeShade="BF"/>
            </w:tcBorders>
            <w:vAlign w:val="center"/>
            <w:hideMark/>
          </w:tcPr>
          <w:p w14:paraId="38101696" w14:textId="77777777" w:rsidR="008862A6" w:rsidRPr="008862A6" w:rsidRDefault="008862A6" w:rsidP="0077415F">
            <w:pPr>
              <w:autoSpaceDE w:val="0"/>
              <w:autoSpaceDN w:val="0"/>
              <w:adjustRightInd w:val="0"/>
              <w:ind w:left="60" w:right="60"/>
              <w:rPr>
                <w:sz w:val="20"/>
                <w:szCs w:val="20"/>
                <w:lang w:eastAsia="en-US"/>
              </w:rPr>
            </w:pPr>
            <w:r w:rsidRPr="008862A6">
              <w:rPr>
                <w:sz w:val="20"/>
                <w:szCs w:val="20"/>
              </w:rPr>
              <w:t>A</w:t>
            </w:r>
          </w:p>
        </w:tc>
        <w:tc>
          <w:tcPr>
            <w:tcW w:w="2033" w:type="dxa"/>
            <w:tcBorders>
              <w:top w:val="single" w:sz="4" w:space="0" w:color="auto"/>
              <w:left w:val="single" w:sz="4" w:space="0" w:color="BFBFBF" w:themeColor="background1" w:themeShade="BF"/>
              <w:bottom w:val="nil"/>
              <w:right w:val="single" w:sz="4" w:space="0" w:color="BFBFBF" w:themeColor="background1" w:themeShade="BF"/>
            </w:tcBorders>
            <w:hideMark/>
          </w:tcPr>
          <w:p w14:paraId="5C3F48BD" w14:textId="4E1EB440" w:rsidR="008862A6" w:rsidRPr="008862A6" w:rsidRDefault="008862A6" w:rsidP="0077415F">
            <w:pPr>
              <w:jc w:val="right"/>
              <w:rPr>
                <w:sz w:val="20"/>
                <w:szCs w:val="20"/>
                <w:lang w:eastAsia="en-US"/>
              </w:rPr>
            </w:pPr>
            <w:r w:rsidRPr="008862A6">
              <w:rPr>
                <w:sz w:val="20"/>
                <w:szCs w:val="20"/>
                <w:lang w:eastAsia="en-US"/>
              </w:rPr>
              <w:t>3.76 ± 0.5</w:t>
            </w:r>
            <w:r w:rsidR="00F83E1E">
              <w:rPr>
                <w:sz w:val="20"/>
                <w:szCs w:val="20"/>
                <w:lang w:eastAsia="en-US"/>
              </w:rPr>
              <w:t>9</w:t>
            </w:r>
          </w:p>
        </w:tc>
        <w:tc>
          <w:tcPr>
            <w:tcW w:w="1423" w:type="dxa"/>
            <w:vMerge w:val="restart"/>
            <w:tcBorders>
              <w:top w:val="single" w:sz="4" w:space="0" w:color="auto"/>
              <w:left w:val="single" w:sz="4" w:space="0" w:color="BFBFBF" w:themeColor="background1" w:themeShade="BF"/>
              <w:right w:val="single" w:sz="4" w:space="0" w:color="BFBFBF" w:themeColor="background1" w:themeShade="BF"/>
            </w:tcBorders>
            <w:vAlign w:val="center"/>
          </w:tcPr>
          <w:p w14:paraId="02D6691C" w14:textId="77777777" w:rsidR="008862A6" w:rsidRPr="008862A6" w:rsidRDefault="008862A6" w:rsidP="0077415F">
            <w:pPr>
              <w:jc w:val="right"/>
              <w:rPr>
                <w:sz w:val="20"/>
                <w:szCs w:val="20"/>
                <w:lang w:eastAsia="en-US"/>
              </w:rPr>
            </w:pPr>
            <w:r w:rsidRPr="008862A6">
              <w:rPr>
                <w:sz w:val="20"/>
                <w:szCs w:val="20"/>
                <w:lang w:eastAsia="en-US"/>
              </w:rPr>
              <w:t>0.000</w:t>
            </w:r>
          </w:p>
        </w:tc>
      </w:tr>
      <w:tr w:rsidR="008862A6" w:rsidRPr="008862A6" w14:paraId="2D0431AD" w14:textId="77777777" w:rsidTr="00644660">
        <w:trPr>
          <w:trHeight w:val="249"/>
        </w:trPr>
        <w:tc>
          <w:tcPr>
            <w:tcW w:w="2447" w:type="dxa"/>
            <w:vMerge/>
            <w:tcBorders>
              <w:top w:val="single" w:sz="4" w:space="0" w:color="auto"/>
              <w:left w:val="single" w:sz="4" w:space="0" w:color="BFBFBF" w:themeColor="background1" w:themeShade="BF"/>
              <w:bottom w:val="single" w:sz="4" w:space="0" w:color="auto"/>
              <w:right w:val="single" w:sz="4" w:space="0" w:color="BFBFBF" w:themeColor="background1" w:themeShade="BF"/>
            </w:tcBorders>
            <w:vAlign w:val="center"/>
            <w:hideMark/>
          </w:tcPr>
          <w:p w14:paraId="4DA3254F" w14:textId="77777777" w:rsidR="008862A6" w:rsidRPr="008862A6" w:rsidRDefault="008862A6" w:rsidP="0077415F">
            <w:pPr>
              <w:rPr>
                <w:sz w:val="20"/>
                <w:szCs w:val="20"/>
                <w:vertAlign w:val="superscript"/>
                <w:lang w:eastAsia="en-US"/>
              </w:rPr>
            </w:pPr>
          </w:p>
        </w:tc>
        <w:tc>
          <w:tcPr>
            <w:tcW w:w="3440" w:type="dxa"/>
            <w:tcBorders>
              <w:top w:val="nil"/>
              <w:left w:val="single" w:sz="4" w:space="0" w:color="BFBFBF" w:themeColor="background1" w:themeShade="BF"/>
              <w:bottom w:val="nil"/>
              <w:right w:val="single" w:sz="4" w:space="0" w:color="BFBFBF" w:themeColor="background1" w:themeShade="BF"/>
            </w:tcBorders>
            <w:vAlign w:val="center"/>
            <w:hideMark/>
          </w:tcPr>
          <w:p w14:paraId="06DB20F1" w14:textId="77777777" w:rsidR="008862A6" w:rsidRPr="008862A6" w:rsidRDefault="008862A6" w:rsidP="0077415F">
            <w:pPr>
              <w:autoSpaceDE w:val="0"/>
              <w:autoSpaceDN w:val="0"/>
              <w:adjustRightInd w:val="0"/>
              <w:ind w:left="60" w:right="60"/>
              <w:rPr>
                <w:sz w:val="20"/>
                <w:szCs w:val="20"/>
                <w:lang w:eastAsia="en-US"/>
              </w:rPr>
            </w:pPr>
            <w:r w:rsidRPr="008862A6">
              <w:rPr>
                <w:sz w:val="20"/>
                <w:szCs w:val="20"/>
              </w:rPr>
              <w:t>B</w:t>
            </w:r>
          </w:p>
        </w:tc>
        <w:tc>
          <w:tcPr>
            <w:tcW w:w="2033" w:type="dxa"/>
            <w:tcBorders>
              <w:top w:val="nil"/>
              <w:left w:val="single" w:sz="4" w:space="0" w:color="BFBFBF" w:themeColor="background1" w:themeShade="BF"/>
              <w:bottom w:val="nil"/>
              <w:right w:val="single" w:sz="4" w:space="0" w:color="BFBFBF" w:themeColor="background1" w:themeShade="BF"/>
            </w:tcBorders>
            <w:hideMark/>
          </w:tcPr>
          <w:p w14:paraId="1F8B7DD7" w14:textId="0AF5DACA" w:rsidR="008862A6" w:rsidRPr="008862A6" w:rsidRDefault="008862A6" w:rsidP="0077415F">
            <w:pPr>
              <w:jc w:val="right"/>
              <w:rPr>
                <w:sz w:val="20"/>
                <w:szCs w:val="20"/>
                <w:lang w:eastAsia="en-US"/>
              </w:rPr>
            </w:pPr>
            <w:r w:rsidRPr="008862A6">
              <w:rPr>
                <w:sz w:val="20"/>
                <w:szCs w:val="20"/>
                <w:lang w:eastAsia="en-US"/>
              </w:rPr>
              <w:t>3.71 ± 0.57</w:t>
            </w:r>
          </w:p>
        </w:tc>
        <w:tc>
          <w:tcPr>
            <w:tcW w:w="1423" w:type="dxa"/>
            <w:vMerge/>
            <w:tcBorders>
              <w:left w:val="single" w:sz="4" w:space="0" w:color="BFBFBF" w:themeColor="background1" w:themeShade="BF"/>
              <w:right w:val="single" w:sz="4" w:space="0" w:color="BFBFBF" w:themeColor="background1" w:themeShade="BF"/>
            </w:tcBorders>
            <w:vAlign w:val="center"/>
          </w:tcPr>
          <w:p w14:paraId="4567751A" w14:textId="77777777" w:rsidR="008862A6" w:rsidRPr="008862A6" w:rsidRDefault="008862A6" w:rsidP="0077415F">
            <w:pPr>
              <w:jc w:val="right"/>
              <w:rPr>
                <w:sz w:val="20"/>
                <w:szCs w:val="20"/>
                <w:lang w:eastAsia="en-US"/>
              </w:rPr>
            </w:pPr>
          </w:p>
        </w:tc>
      </w:tr>
      <w:tr w:rsidR="008862A6" w:rsidRPr="008862A6" w14:paraId="3E3A1DD5" w14:textId="77777777" w:rsidTr="00644660">
        <w:trPr>
          <w:trHeight w:val="249"/>
        </w:trPr>
        <w:tc>
          <w:tcPr>
            <w:tcW w:w="2447" w:type="dxa"/>
            <w:vMerge/>
            <w:tcBorders>
              <w:top w:val="single" w:sz="4" w:space="0" w:color="auto"/>
              <w:left w:val="single" w:sz="4" w:space="0" w:color="BFBFBF" w:themeColor="background1" w:themeShade="BF"/>
              <w:bottom w:val="single" w:sz="4" w:space="0" w:color="auto"/>
              <w:right w:val="single" w:sz="4" w:space="0" w:color="BFBFBF" w:themeColor="background1" w:themeShade="BF"/>
            </w:tcBorders>
            <w:vAlign w:val="center"/>
            <w:hideMark/>
          </w:tcPr>
          <w:p w14:paraId="14F27B6A" w14:textId="77777777" w:rsidR="008862A6" w:rsidRPr="008862A6" w:rsidRDefault="008862A6" w:rsidP="0077415F">
            <w:pPr>
              <w:rPr>
                <w:sz w:val="20"/>
                <w:szCs w:val="20"/>
                <w:vertAlign w:val="superscript"/>
                <w:lang w:eastAsia="en-US"/>
              </w:rPr>
            </w:pPr>
          </w:p>
        </w:tc>
        <w:tc>
          <w:tcPr>
            <w:tcW w:w="3440" w:type="dxa"/>
            <w:tcBorders>
              <w:top w:val="nil"/>
              <w:left w:val="single" w:sz="4" w:space="0" w:color="BFBFBF" w:themeColor="background1" w:themeShade="BF"/>
              <w:bottom w:val="single" w:sz="4" w:space="0" w:color="auto"/>
              <w:right w:val="single" w:sz="4" w:space="0" w:color="BFBFBF" w:themeColor="background1" w:themeShade="BF"/>
            </w:tcBorders>
            <w:vAlign w:val="center"/>
            <w:hideMark/>
          </w:tcPr>
          <w:p w14:paraId="35754283" w14:textId="77777777" w:rsidR="008862A6" w:rsidRPr="008862A6" w:rsidRDefault="008862A6" w:rsidP="0077415F">
            <w:pPr>
              <w:autoSpaceDE w:val="0"/>
              <w:autoSpaceDN w:val="0"/>
              <w:adjustRightInd w:val="0"/>
              <w:ind w:left="60" w:right="60"/>
              <w:rPr>
                <w:sz w:val="20"/>
                <w:szCs w:val="20"/>
                <w:lang w:eastAsia="en-US"/>
              </w:rPr>
            </w:pPr>
            <w:r w:rsidRPr="008862A6">
              <w:rPr>
                <w:sz w:val="20"/>
                <w:szCs w:val="20"/>
              </w:rPr>
              <w:t>C/D-E</w:t>
            </w:r>
          </w:p>
        </w:tc>
        <w:tc>
          <w:tcPr>
            <w:tcW w:w="2033" w:type="dxa"/>
            <w:tcBorders>
              <w:top w:val="nil"/>
              <w:left w:val="single" w:sz="4" w:space="0" w:color="BFBFBF" w:themeColor="background1" w:themeShade="BF"/>
              <w:bottom w:val="single" w:sz="4" w:space="0" w:color="auto"/>
              <w:right w:val="single" w:sz="4" w:space="0" w:color="BFBFBF" w:themeColor="background1" w:themeShade="BF"/>
            </w:tcBorders>
            <w:hideMark/>
          </w:tcPr>
          <w:p w14:paraId="6E856D7C" w14:textId="14D71B34" w:rsidR="008862A6" w:rsidRPr="008862A6" w:rsidRDefault="008862A6" w:rsidP="0077415F">
            <w:pPr>
              <w:jc w:val="right"/>
              <w:rPr>
                <w:sz w:val="20"/>
                <w:szCs w:val="20"/>
                <w:lang w:eastAsia="en-US"/>
              </w:rPr>
            </w:pPr>
            <w:r w:rsidRPr="008862A6">
              <w:rPr>
                <w:sz w:val="20"/>
                <w:szCs w:val="20"/>
                <w:lang w:eastAsia="en-US"/>
              </w:rPr>
              <w:t>3.5</w:t>
            </w:r>
            <w:r w:rsidR="00F83E1E">
              <w:rPr>
                <w:sz w:val="20"/>
                <w:szCs w:val="20"/>
                <w:lang w:eastAsia="en-US"/>
              </w:rPr>
              <w:t>5</w:t>
            </w:r>
            <w:r w:rsidRPr="008862A6">
              <w:rPr>
                <w:sz w:val="20"/>
                <w:szCs w:val="20"/>
                <w:lang w:eastAsia="en-US"/>
              </w:rPr>
              <w:t xml:space="preserve"> ± 0.65</w:t>
            </w:r>
          </w:p>
        </w:tc>
        <w:tc>
          <w:tcPr>
            <w:tcW w:w="1423" w:type="dxa"/>
            <w:vMerge/>
            <w:tcBorders>
              <w:left w:val="single" w:sz="4" w:space="0" w:color="BFBFBF" w:themeColor="background1" w:themeShade="BF"/>
              <w:bottom w:val="single" w:sz="4" w:space="0" w:color="auto"/>
              <w:right w:val="single" w:sz="4" w:space="0" w:color="BFBFBF" w:themeColor="background1" w:themeShade="BF"/>
            </w:tcBorders>
            <w:vAlign w:val="center"/>
          </w:tcPr>
          <w:p w14:paraId="0FC61C58" w14:textId="77777777" w:rsidR="008862A6" w:rsidRPr="008862A6" w:rsidRDefault="008862A6" w:rsidP="0077415F">
            <w:pPr>
              <w:jc w:val="right"/>
              <w:rPr>
                <w:sz w:val="20"/>
                <w:szCs w:val="20"/>
                <w:lang w:eastAsia="en-US"/>
              </w:rPr>
            </w:pPr>
          </w:p>
        </w:tc>
      </w:tr>
      <w:tr w:rsidR="008862A6" w:rsidRPr="008862A6" w14:paraId="5AA227A7" w14:textId="77777777" w:rsidTr="00644660">
        <w:trPr>
          <w:trHeight w:val="249"/>
        </w:trPr>
        <w:tc>
          <w:tcPr>
            <w:tcW w:w="244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974141" w14:textId="77777777" w:rsidR="008862A6" w:rsidRPr="008862A6" w:rsidRDefault="008862A6" w:rsidP="0077415F">
            <w:pPr>
              <w:autoSpaceDE w:val="0"/>
              <w:autoSpaceDN w:val="0"/>
              <w:adjustRightInd w:val="0"/>
              <w:ind w:left="60" w:right="60"/>
              <w:rPr>
                <w:sz w:val="20"/>
                <w:szCs w:val="20"/>
                <w:vertAlign w:val="superscript"/>
                <w:lang w:eastAsia="en-US"/>
              </w:rPr>
            </w:pPr>
            <w:proofErr w:type="spellStart"/>
            <w:r w:rsidRPr="008862A6">
              <w:rPr>
                <w:sz w:val="20"/>
                <w:szCs w:val="20"/>
              </w:rPr>
              <w:t>Group</w:t>
            </w:r>
            <w:r w:rsidRPr="008862A6">
              <w:rPr>
                <w:i/>
                <w:iCs/>
                <w:sz w:val="20"/>
                <w:szCs w:val="20"/>
                <w:vertAlign w:val="superscript"/>
              </w:rPr>
              <w:t>c</w:t>
            </w:r>
            <w:proofErr w:type="spellEnd"/>
          </w:p>
        </w:tc>
        <w:tc>
          <w:tcPr>
            <w:tcW w:w="3440" w:type="dxa"/>
            <w:tcBorders>
              <w:top w:val="single" w:sz="4" w:space="0" w:color="auto"/>
              <w:left w:val="single" w:sz="4" w:space="0" w:color="BFBFBF" w:themeColor="background1" w:themeShade="BF"/>
              <w:bottom w:val="nil"/>
              <w:right w:val="single" w:sz="4" w:space="0" w:color="BFBFBF" w:themeColor="background1" w:themeShade="BF"/>
            </w:tcBorders>
            <w:hideMark/>
          </w:tcPr>
          <w:p w14:paraId="03AF4265" w14:textId="77777777" w:rsidR="008862A6" w:rsidRPr="008862A6" w:rsidRDefault="008862A6" w:rsidP="0077415F">
            <w:pPr>
              <w:autoSpaceDE w:val="0"/>
              <w:autoSpaceDN w:val="0"/>
              <w:adjustRightInd w:val="0"/>
              <w:ind w:left="60" w:right="60"/>
              <w:rPr>
                <w:sz w:val="20"/>
                <w:szCs w:val="20"/>
                <w:lang w:eastAsia="en-US"/>
              </w:rPr>
            </w:pPr>
            <w:proofErr w:type="spellStart"/>
            <w:r w:rsidRPr="008862A6">
              <w:rPr>
                <w:sz w:val="20"/>
                <w:szCs w:val="20"/>
              </w:rPr>
              <w:t>First-year</w:t>
            </w:r>
            <w:proofErr w:type="spellEnd"/>
            <w:r w:rsidRPr="008862A6">
              <w:rPr>
                <w:sz w:val="20"/>
                <w:szCs w:val="20"/>
              </w:rPr>
              <w:t xml:space="preserve"> </w:t>
            </w:r>
            <w:proofErr w:type="spellStart"/>
            <w:r w:rsidRPr="008862A6">
              <w:rPr>
                <w:sz w:val="20"/>
                <w:szCs w:val="20"/>
              </w:rPr>
              <w:t>undergraduate</w:t>
            </w:r>
            <w:proofErr w:type="spellEnd"/>
          </w:p>
        </w:tc>
        <w:tc>
          <w:tcPr>
            <w:tcW w:w="2033" w:type="dxa"/>
            <w:tcBorders>
              <w:top w:val="single" w:sz="4" w:space="0" w:color="auto"/>
              <w:left w:val="single" w:sz="4" w:space="0" w:color="BFBFBF" w:themeColor="background1" w:themeShade="BF"/>
              <w:bottom w:val="nil"/>
              <w:right w:val="single" w:sz="4" w:space="0" w:color="BFBFBF" w:themeColor="background1" w:themeShade="BF"/>
            </w:tcBorders>
            <w:hideMark/>
          </w:tcPr>
          <w:p w14:paraId="7592BFC1" w14:textId="49E37785" w:rsidR="008862A6" w:rsidRPr="008862A6" w:rsidRDefault="008862A6" w:rsidP="0077415F">
            <w:pPr>
              <w:jc w:val="right"/>
              <w:rPr>
                <w:sz w:val="20"/>
                <w:szCs w:val="20"/>
                <w:lang w:eastAsia="en-US"/>
              </w:rPr>
            </w:pPr>
            <w:r w:rsidRPr="008862A6">
              <w:rPr>
                <w:sz w:val="20"/>
                <w:szCs w:val="20"/>
                <w:lang w:eastAsia="en-US"/>
              </w:rPr>
              <w:t>3.61 ± 0.6</w:t>
            </w:r>
            <w:r w:rsidR="00F83E1E">
              <w:rPr>
                <w:sz w:val="20"/>
                <w:szCs w:val="20"/>
                <w:lang w:eastAsia="en-US"/>
              </w:rPr>
              <w:t>2</w:t>
            </w:r>
          </w:p>
        </w:tc>
        <w:tc>
          <w:tcPr>
            <w:tcW w:w="1423" w:type="dxa"/>
            <w:vMerge w:val="restart"/>
            <w:tcBorders>
              <w:top w:val="single" w:sz="4" w:space="0" w:color="auto"/>
              <w:left w:val="single" w:sz="4" w:space="0" w:color="BFBFBF" w:themeColor="background1" w:themeShade="BF"/>
              <w:right w:val="single" w:sz="4" w:space="0" w:color="BFBFBF" w:themeColor="background1" w:themeShade="BF"/>
            </w:tcBorders>
            <w:vAlign w:val="center"/>
          </w:tcPr>
          <w:p w14:paraId="19D34F9E" w14:textId="77777777" w:rsidR="008862A6" w:rsidRPr="008862A6" w:rsidRDefault="008862A6" w:rsidP="0077415F">
            <w:pPr>
              <w:jc w:val="right"/>
              <w:rPr>
                <w:sz w:val="20"/>
                <w:szCs w:val="20"/>
                <w:lang w:eastAsia="en-US"/>
              </w:rPr>
            </w:pPr>
            <w:r w:rsidRPr="008862A6">
              <w:rPr>
                <w:sz w:val="20"/>
                <w:szCs w:val="20"/>
                <w:lang w:eastAsia="en-US"/>
              </w:rPr>
              <w:t>0.000</w:t>
            </w:r>
          </w:p>
        </w:tc>
      </w:tr>
      <w:tr w:rsidR="008862A6" w:rsidRPr="008862A6" w14:paraId="57B5DAAE" w14:textId="77777777" w:rsidTr="00644660">
        <w:trPr>
          <w:trHeight w:val="249"/>
        </w:trPr>
        <w:tc>
          <w:tcPr>
            <w:tcW w:w="244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19D827E8" w14:textId="77777777" w:rsidR="008862A6" w:rsidRPr="008862A6" w:rsidRDefault="008862A6" w:rsidP="0077415F">
            <w:pPr>
              <w:rPr>
                <w:sz w:val="20"/>
                <w:szCs w:val="20"/>
                <w:lang w:eastAsia="en-US"/>
              </w:rPr>
            </w:pPr>
          </w:p>
        </w:tc>
        <w:tc>
          <w:tcPr>
            <w:tcW w:w="3440" w:type="dxa"/>
            <w:tcBorders>
              <w:top w:val="nil"/>
              <w:left w:val="single" w:sz="4" w:space="0" w:color="BFBFBF" w:themeColor="background1" w:themeShade="BF"/>
              <w:bottom w:val="nil"/>
              <w:right w:val="single" w:sz="4" w:space="0" w:color="BFBFBF" w:themeColor="background1" w:themeShade="BF"/>
            </w:tcBorders>
            <w:hideMark/>
          </w:tcPr>
          <w:p w14:paraId="147FBAE3" w14:textId="77777777" w:rsidR="008862A6" w:rsidRPr="008862A6" w:rsidRDefault="008862A6" w:rsidP="0077415F">
            <w:pPr>
              <w:autoSpaceDE w:val="0"/>
              <w:autoSpaceDN w:val="0"/>
              <w:adjustRightInd w:val="0"/>
              <w:ind w:left="60" w:right="60"/>
              <w:rPr>
                <w:sz w:val="20"/>
                <w:szCs w:val="20"/>
                <w:lang w:eastAsia="en-US"/>
              </w:rPr>
            </w:pPr>
            <w:proofErr w:type="spellStart"/>
            <w:r w:rsidRPr="008862A6">
              <w:rPr>
                <w:sz w:val="20"/>
                <w:szCs w:val="20"/>
              </w:rPr>
              <w:t>University</w:t>
            </w:r>
            <w:proofErr w:type="spellEnd"/>
            <w:r w:rsidRPr="008862A6">
              <w:rPr>
                <w:sz w:val="20"/>
                <w:szCs w:val="20"/>
              </w:rPr>
              <w:t xml:space="preserve"> </w:t>
            </w:r>
            <w:proofErr w:type="spellStart"/>
            <w:r w:rsidRPr="008862A6">
              <w:rPr>
                <w:sz w:val="20"/>
                <w:szCs w:val="20"/>
              </w:rPr>
              <w:t>students</w:t>
            </w:r>
            <w:proofErr w:type="spellEnd"/>
          </w:p>
        </w:tc>
        <w:tc>
          <w:tcPr>
            <w:tcW w:w="2033" w:type="dxa"/>
            <w:tcBorders>
              <w:top w:val="nil"/>
              <w:left w:val="single" w:sz="4" w:space="0" w:color="BFBFBF" w:themeColor="background1" w:themeShade="BF"/>
              <w:bottom w:val="nil"/>
              <w:right w:val="single" w:sz="4" w:space="0" w:color="BFBFBF" w:themeColor="background1" w:themeShade="BF"/>
            </w:tcBorders>
            <w:hideMark/>
          </w:tcPr>
          <w:p w14:paraId="03315482" w14:textId="20041773" w:rsidR="008862A6" w:rsidRPr="008862A6" w:rsidRDefault="008862A6" w:rsidP="0077415F">
            <w:pPr>
              <w:jc w:val="right"/>
              <w:rPr>
                <w:sz w:val="20"/>
                <w:szCs w:val="20"/>
                <w:lang w:eastAsia="en-US"/>
              </w:rPr>
            </w:pPr>
            <w:r w:rsidRPr="008862A6">
              <w:rPr>
                <w:sz w:val="20"/>
                <w:szCs w:val="20"/>
                <w:lang w:eastAsia="en-US"/>
              </w:rPr>
              <w:t>3.45 ± 0.5</w:t>
            </w:r>
            <w:r w:rsidR="00F83E1E">
              <w:rPr>
                <w:sz w:val="20"/>
                <w:szCs w:val="20"/>
                <w:lang w:eastAsia="en-US"/>
              </w:rPr>
              <w:t>6</w:t>
            </w:r>
          </w:p>
        </w:tc>
        <w:tc>
          <w:tcPr>
            <w:tcW w:w="1423" w:type="dxa"/>
            <w:vMerge/>
            <w:tcBorders>
              <w:left w:val="single" w:sz="4" w:space="0" w:color="BFBFBF" w:themeColor="background1" w:themeShade="BF"/>
              <w:right w:val="single" w:sz="4" w:space="0" w:color="BFBFBF" w:themeColor="background1" w:themeShade="BF"/>
            </w:tcBorders>
          </w:tcPr>
          <w:p w14:paraId="1683C1FE" w14:textId="77777777" w:rsidR="008862A6" w:rsidRPr="008862A6" w:rsidRDefault="008862A6" w:rsidP="0077415F">
            <w:pPr>
              <w:jc w:val="right"/>
              <w:rPr>
                <w:sz w:val="20"/>
                <w:szCs w:val="20"/>
                <w:lang w:eastAsia="en-US"/>
              </w:rPr>
            </w:pPr>
          </w:p>
        </w:tc>
      </w:tr>
      <w:tr w:rsidR="008862A6" w:rsidRPr="008862A6" w14:paraId="1D178B82" w14:textId="77777777" w:rsidTr="00644660">
        <w:trPr>
          <w:trHeight w:val="249"/>
        </w:trPr>
        <w:tc>
          <w:tcPr>
            <w:tcW w:w="244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769338E6" w14:textId="77777777" w:rsidR="008862A6" w:rsidRPr="008862A6" w:rsidRDefault="008862A6" w:rsidP="0077415F">
            <w:pPr>
              <w:rPr>
                <w:sz w:val="20"/>
                <w:szCs w:val="20"/>
                <w:lang w:eastAsia="en-US"/>
              </w:rPr>
            </w:pPr>
          </w:p>
        </w:tc>
        <w:tc>
          <w:tcPr>
            <w:tcW w:w="3440" w:type="dxa"/>
            <w:tcBorders>
              <w:top w:val="nil"/>
              <w:left w:val="single" w:sz="4" w:space="0" w:color="BFBFBF" w:themeColor="background1" w:themeShade="BF"/>
              <w:bottom w:val="single" w:sz="4" w:space="0" w:color="auto"/>
              <w:right w:val="single" w:sz="4" w:space="0" w:color="BFBFBF" w:themeColor="background1" w:themeShade="BF"/>
            </w:tcBorders>
            <w:hideMark/>
          </w:tcPr>
          <w:p w14:paraId="08FABAC8" w14:textId="77777777" w:rsidR="008862A6" w:rsidRPr="008862A6" w:rsidRDefault="008862A6" w:rsidP="0077415F">
            <w:pPr>
              <w:autoSpaceDE w:val="0"/>
              <w:autoSpaceDN w:val="0"/>
              <w:adjustRightInd w:val="0"/>
              <w:ind w:left="60" w:right="60"/>
              <w:rPr>
                <w:sz w:val="20"/>
                <w:szCs w:val="20"/>
                <w:lang w:eastAsia="en-US"/>
              </w:rPr>
            </w:pPr>
            <w:r w:rsidRPr="008862A6">
              <w:rPr>
                <w:sz w:val="20"/>
                <w:szCs w:val="20"/>
              </w:rPr>
              <w:t xml:space="preserve">General </w:t>
            </w:r>
            <w:proofErr w:type="spellStart"/>
            <w:r w:rsidRPr="008862A6">
              <w:rPr>
                <w:sz w:val="20"/>
                <w:szCs w:val="20"/>
              </w:rPr>
              <w:t>population</w:t>
            </w:r>
            <w:proofErr w:type="spellEnd"/>
          </w:p>
        </w:tc>
        <w:tc>
          <w:tcPr>
            <w:tcW w:w="2033" w:type="dxa"/>
            <w:tcBorders>
              <w:top w:val="nil"/>
              <w:left w:val="single" w:sz="4" w:space="0" w:color="BFBFBF" w:themeColor="background1" w:themeShade="BF"/>
              <w:bottom w:val="single" w:sz="4" w:space="0" w:color="auto"/>
              <w:right w:val="single" w:sz="4" w:space="0" w:color="BFBFBF" w:themeColor="background1" w:themeShade="BF"/>
            </w:tcBorders>
            <w:hideMark/>
          </w:tcPr>
          <w:p w14:paraId="15DC3B70" w14:textId="58046886" w:rsidR="008862A6" w:rsidRPr="008862A6" w:rsidRDefault="008862A6" w:rsidP="0077415F">
            <w:pPr>
              <w:jc w:val="right"/>
              <w:rPr>
                <w:sz w:val="20"/>
                <w:szCs w:val="20"/>
                <w:lang w:eastAsia="en-US"/>
              </w:rPr>
            </w:pPr>
            <w:r w:rsidRPr="008862A6">
              <w:rPr>
                <w:sz w:val="20"/>
                <w:szCs w:val="20"/>
                <w:lang w:eastAsia="en-US"/>
              </w:rPr>
              <w:t>3.84 ± 0.56</w:t>
            </w:r>
          </w:p>
        </w:tc>
        <w:tc>
          <w:tcPr>
            <w:tcW w:w="1423" w:type="dxa"/>
            <w:vMerge/>
            <w:tcBorders>
              <w:left w:val="single" w:sz="4" w:space="0" w:color="BFBFBF" w:themeColor="background1" w:themeShade="BF"/>
              <w:bottom w:val="single" w:sz="4" w:space="0" w:color="auto"/>
              <w:right w:val="single" w:sz="4" w:space="0" w:color="BFBFBF" w:themeColor="background1" w:themeShade="BF"/>
            </w:tcBorders>
          </w:tcPr>
          <w:p w14:paraId="3CE0F4AE" w14:textId="77777777" w:rsidR="008862A6" w:rsidRPr="008862A6" w:rsidRDefault="008862A6" w:rsidP="0077415F">
            <w:pPr>
              <w:jc w:val="right"/>
              <w:rPr>
                <w:sz w:val="20"/>
                <w:szCs w:val="20"/>
                <w:lang w:eastAsia="en-US"/>
              </w:rPr>
            </w:pPr>
          </w:p>
        </w:tc>
      </w:tr>
      <w:tr w:rsidR="008862A6" w:rsidRPr="008862A6" w14:paraId="10F972F7" w14:textId="77777777" w:rsidTr="00644660">
        <w:trPr>
          <w:trHeight w:val="249"/>
        </w:trPr>
        <w:tc>
          <w:tcPr>
            <w:tcW w:w="2447" w:type="dxa"/>
            <w:tcBorders>
              <w:top w:val="single" w:sz="4" w:space="0" w:color="auto"/>
              <w:left w:val="single" w:sz="4" w:space="0" w:color="BFBFBF" w:themeColor="background1" w:themeShade="BF"/>
              <w:bottom w:val="single" w:sz="4" w:space="0" w:color="auto"/>
              <w:right w:val="single" w:sz="4" w:space="0" w:color="BFBFBF" w:themeColor="background1" w:themeShade="BF"/>
            </w:tcBorders>
            <w:vAlign w:val="center"/>
            <w:hideMark/>
          </w:tcPr>
          <w:p w14:paraId="2B4FBAF7" w14:textId="77777777" w:rsidR="008862A6" w:rsidRPr="008862A6" w:rsidRDefault="008862A6" w:rsidP="0077415F">
            <w:pPr>
              <w:autoSpaceDE w:val="0"/>
              <w:autoSpaceDN w:val="0"/>
              <w:adjustRightInd w:val="0"/>
              <w:ind w:left="60" w:right="60"/>
              <w:rPr>
                <w:sz w:val="20"/>
                <w:szCs w:val="20"/>
                <w:lang w:eastAsia="en-US"/>
              </w:rPr>
            </w:pPr>
            <w:r w:rsidRPr="008862A6">
              <w:rPr>
                <w:sz w:val="20"/>
                <w:szCs w:val="20"/>
                <w:lang w:eastAsia="en-US"/>
              </w:rPr>
              <w:t>Total</w:t>
            </w:r>
          </w:p>
        </w:tc>
        <w:tc>
          <w:tcPr>
            <w:tcW w:w="3440" w:type="dxa"/>
            <w:tcBorders>
              <w:top w:val="single" w:sz="4" w:space="0" w:color="auto"/>
              <w:left w:val="single" w:sz="4" w:space="0" w:color="BFBFBF" w:themeColor="background1" w:themeShade="BF"/>
              <w:bottom w:val="single" w:sz="4" w:space="0" w:color="auto"/>
              <w:right w:val="single" w:sz="4" w:space="0" w:color="BFBFBF" w:themeColor="background1" w:themeShade="BF"/>
            </w:tcBorders>
            <w:vAlign w:val="center"/>
          </w:tcPr>
          <w:p w14:paraId="2CC46D2C" w14:textId="77777777" w:rsidR="008862A6" w:rsidRPr="008862A6" w:rsidRDefault="008862A6" w:rsidP="0077415F">
            <w:pPr>
              <w:rPr>
                <w:sz w:val="20"/>
                <w:szCs w:val="20"/>
                <w:lang w:eastAsia="en-US"/>
              </w:rPr>
            </w:pPr>
          </w:p>
        </w:tc>
        <w:tc>
          <w:tcPr>
            <w:tcW w:w="2033" w:type="dxa"/>
            <w:tcBorders>
              <w:top w:val="single" w:sz="4" w:space="0" w:color="auto"/>
              <w:left w:val="single" w:sz="4" w:space="0" w:color="BFBFBF" w:themeColor="background1" w:themeShade="BF"/>
              <w:bottom w:val="single" w:sz="4" w:space="0" w:color="auto"/>
              <w:right w:val="single" w:sz="4" w:space="0" w:color="BFBFBF" w:themeColor="background1" w:themeShade="BF"/>
            </w:tcBorders>
            <w:vAlign w:val="center"/>
            <w:hideMark/>
          </w:tcPr>
          <w:p w14:paraId="069D09DA" w14:textId="5C4708C9" w:rsidR="008862A6" w:rsidRPr="008862A6" w:rsidRDefault="008862A6" w:rsidP="0077415F">
            <w:pPr>
              <w:jc w:val="right"/>
              <w:rPr>
                <w:sz w:val="20"/>
                <w:szCs w:val="20"/>
                <w:lang w:eastAsia="en-US"/>
              </w:rPr>
            </w:pPr>
            <w:r w:rsidRPr="008862A6">
              <w:rPr>
                <w:sz w:val="20"/>
                <w:szCs w:val="20"/>
                <w:lang w:eastAsia="en-US"/>
              </w:rPr>
              <w:t>3.67 ± 0.6</w:t>
            </w:r>
            <w:r w:rsidR="00F83E1E">
              <w:rPr>
                <w:sz w:val="20"/>
                <w:szCs w:val="20"/>
                <w:lang w:eastAsia="en-US"/>
              </w:rPr>
              <w:t>1</w:t>
            </w:r>
          </w:p>
        </w:tc>
        <w:tc>
          <w:tcPr>
            <w:tcW w:w="1423"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518FB401" w14:textId="77777777" w:rsidR="008862A6" w:rsidRPr="008862A6" w:rsidRDefault="008862A6" w:rsidP="0090452B">
            <w:pPr>
              <w:rPr>
                <w:sz w:val="20"/>
                <w:szCs w:val="20"/>
                <w:lang w:eastAsia="en-US"/>
              </w:rPr>
            </w:pPr>
          </w:p>
        </w:tc>
      </w:tr>
      <w:tr w:rsidR="0090452B" w:rsidRPr="008862A6" w14:paraId="54874EB2" w14:textId="77777777" w:rsidTr="00644660">
        <w:trPr>
          <w:trHeight w:val="454"/>
        </w:trPr>
        <w:tc>
          <w:tcPr>
            <w:tcW w:w="9345" w:type="dxa"/>
            <w:gridSpan w:val="4"/>
            <w:tcBorders>
              <w:top w:val="single" w:sz="4" w:space="0" w:color="auto"/>
              <w:left w:val="single" w:sz="4" w:space="0" w:color="BFBFBF" w:themeColor="background1" w:themeShade="BF"/>
              <w:bottom w:val="nil"/>
              <w:right w:val="single" w:sz="4" w:space="0" w:color="BFBFBF" w:themeColor="background1" w:themeShade="BF"/>
            </w:tcBorders>
            <w:vAlign w:val="center"/>
          </w:tcPr>
          <w:p w14:paraId="5D1E7DCE" w14:textId="77777777" w:rsidR="0090452B" w:rsidRPr="0090452B" w:rsidRDefault="0090452B" w:rsidP="0090452B">
            <w:pPr>
              <w:rPr>
                <w:sz w:val="20"/>
                <w:szCs w:val="20"/>
                <w:lang w:eastAsia="en-US"/>
              </w:rPr>
            </w:pPr>
            <w:r w:rsidRPr="0090452B">
              <w:rPr>
                <w:sz w:val="20"/>
                <w:szCs w:val="20"/>
                <w:vertAlign w:val="superscript"/>
                <w:lang w:eastAsia="en-US"/>
              </w:rPr>
              <w:t xml:space="preserve">a </w:t>
            </w:r>
            <w:proofErr w:type="spellStart"/>
            <w:r w:rsidRPr="0090452B">
              <w:rPr>
                <w:sz w:val="20"/>
                <w:szCs w:val="20"/>
                <w:lang w:eastAsia="en-US"/>
              </w:rPr>
              <w:t>Were</w:t>
            </w:r>
            <w:proofErr w:type="spellEnd"/>
            <w:r w:rsidRPr="0090452B">
              <w:rPr>
                <w:sz w:val="20"/>
                <w:szCs w:val="20"/>
                <w:lang w:eastAsia="en-US"/>
              </w:rPr>
              <w:t xml:space="preserve"> </w:t>
            </w:r>
            <w:proofErr w:type="spellStart"/>
            <w:r w:rsidRPr="0090452B">
              <w:rPr>
                <w:sz w:val="20"/>
                <w:szCs w:val="20"/>
                <w:lang w:eastAsia="en-US"/>
              </w:rPr>
              <w:t>found</w:t>
            </w:r>
            <w:proofErr w:type="spellEnd"/>
            <w:r w:rsidRPr="0090452B">
              <w:rPr>
                <w:sz w:val="20"/>
                <w:szCs w:val="20"/>
                <w:lang w:eastAsia="en-US"/>
              </w:rPr>
              <w:t xml:space="preserve"> </w:t>
            </w:r>
            <w:proofErr w:type="spellStart"/>
            <w:r w:rsidRPr="0090452B">
              <w:rPr>
                <w:sz w:val="20"/>
                <w:szCs w:val="20"/>
                <w:lang w:eastAsia="en-US"/>
              </w:rPr>
              <w:t>differences</w:t>
            </w:r>
            <w:proofErr w:type="spellEnd"/>
            <w:r w:rsidRPr="0090452B">
              <w:rPr>
                <w:sz w:val="20"/>
                <w:szCs w:val="20"/>
                <w:lang w:eastAsia="en-US"/>
              </w:rPr>
              <w:t xml:space="preserve"> </w:t>
            </w:r>
            <w:proofErr w:type="spellStart"/>
            <w:r w:rsidRPr="0090452B">
              <w:rPr>
                <w:sz w:val="20"/>
                <w:szCs w:val="20"/>
                <w:lang w:eastAsia="en-US"/>
              </w:rPr>
              <w:t>between</w:t>
            </w:r>
            <w:proofErr w:type="spellEnd"/>
            <w:r w:rsidRPr="0090452B">
              <w:rPr>
                <w:sz w:val="20"/>
                <w:szCs w:val="20"/>
                <w:lang w:eastAsia="en-US"/>
              </w:rPr>
              <w:t xml:space="preserve"> </w:t>
            </w:r>
            <w:proofErr w:type="spellStart"/>
            <w:r w:rsidRPr="0090452B">
              <w:rPr>
                <w:sz w:val="20"/>
                <w:szCs w:val="20"/>
                <w:lang w:eastAsia="en-US"/>
              </w:rPr>
              <w:t>all</w:t>
            </w:r>
            <w:proofErr w:type="spellEnd"/>
            <w:r w:rsidRPr="0090452B">
              <w:rPr>
                <w:sz w:val="20"/>
                <w:szCs w:val="20"/>
                <w:lang w:eastAsia="en-US"/>
              </w:rPr>
              <w:t xml:space="preserve"> </w:t>
            </w:r>
            <w:proofErr w:type="spellStart"/>
            <w:r w:rsidRPr="0090452B">
              <w:rPr>
                <w:sz w:val="20"/>
                <w:szCs w:val="20"/>
                <w:lang w:eastAsia="en-US"/>
              </w:rPr>
              <w:t>age</w:t>
            </w:r>
            <w:proofErr w:type="spellEnd"/>
            <w:r w:rsidRPr="0090452B">
              <w:rPr>
                <w:sz w:val="20"/>
                <w:szCs w:val="20"/>
                <w:lang w:eastAsia="en-US"/>
              </w:rPr>
              <w:t xml:space="preserve"> </w:t>
            </w:r>
            <w:proofErr w:type="spellStart"/>
            <w:r w:rsidRPr="0090452B">
              <w:rPr>
                <w:sz w:val="20"/>
                <w:szCs w:val="20"/>
                <w:lang w:eastAsia="en-US"/>
              </w:rPr>
              <w:t>groups</w:t>
            </w:r>
            <w:proofErr w:type="spellEnd"/>
            <w:r w:rsidRPr="0090452B">
              <w:rPr>
                <w:sz w:val="20"/>
                <w:szCs w:val="20"/>
                <w:lang w:eastAsia="en-US"/>
              </w:rPr>
              <w:t xml:space="preserve">, </w:t>
            </w:r>
            <w:proofErr w:type="spellStart"/>
            <w:r w:rsidRPr="0090452B">
              <w:rPr>
                <w:sz w:val="20"/>
                <w:szCs w:val="20"/>
                <w:lang w:eastAsia="en-US"/>
              </w:rPr>
              <w:t>evaluated</w:t>
            </w:r>
            <w:proofErr w:type="spellEnd"/>
            <w:r w:rsidRPr="0090452B">
              <w:rPr>
                <w:sz w:val="20"/>
                <w:szCs w:val="20"/>
                <w:lang w:eastAsia="en-US"/>
              </w:rPr>
              <w:t xml:space="preserve"> </w:t>
            </w:r>
            <w:proofErr w:type="spellStart"/>
            <w:r w:rsidRPr="0090452B">
              <w:rPr>
                <w:sz w:val="20"/>
                <w:szCs w:val="20"/>
                <w:lang w:eastAsia="en-US"/>
              </w:rPr>
              <w:t>by</w:t>
            </w:r>
            <w:proofErr w:type="spellEnd"/>
            <w:r w:rsidRPr="0090452B">
              <w:rPr>
                <w:sz w:val="20"/>
                <w:szCs w:val="20"/>
                <w:lang w:eastAsia="en-US"/>
              </w:rPr>
              <w:t xml:space="preserve"> </w:t>
            </w:r>
            <w:proofErr w:type="spellStart"/>
            <w:r w:rsidRPr="0090452B">
              <w:rPr>
                <w:sz w:val="20"/>
                <w:szCs w:val="20"/>
                <w:lang w:eastAsia="en-US"/>
              </w:rPr>
              <w:t>the</w:t>
            </w:r>
            <w:proofErr w:type="spellEnd"/>
            <w:r w:rsidRPr="0090452B">
              <w:rPr>
                <w:sz w:val="20"/>
                <w:szCs w:val="20"/>
                <w:lang w:eastAsia="en-US"/>
              </w:rPr>
              <w:t xml:space="preserve"> Bonferroni </w:t>
            </w:r>
            <w:proofErr w:type="spellStart"/>
            <w:r w:rsidRPr="0090452B">
              <w:rPr>
                <w:sz w:val="20"/>
                <w:szCs w:val="20"/>
                <w:lang w:eastAsia="en-US"/>
              </w:rPr>
              <w:t>multiple</w:t>
            </w:r>
            <w:proofErr w:type="spellEnd"/>
            <w:r w:rsidRPr="0090452B">
              <w:rPr>
                <w:sz w:val="20"/>
                <w:szCs w:val="20"/>
                <w:lang w:eastAsia="en-US"/>
              </w:rPr>
              <w:t xml:space="preserve"> </w:t>
            </w:r>
            <w:proofErr w:type="spellStart"/>
            <w:r w:rsidRPr="0090452B">
              <w:rPr>
                <w:sz w:val="20"/>
                <w:szCs w:val="20"/>
                <w:lang w:eastAsia="en-US"/>
              </w:rPr>
              <w:t>comparison</w:t>
            </w:r>
            <w:proofErr w:type="spellEnd"/>
            <w:r w:rsidRPr="0090452B">
              <w:rPr>
                <w:sz w:val="20"/>
                <w:szCs w:val="20"/>
                <w:lang w:eastAsia="en-US"/>
              </w:rPr>
              <w:t xml:space="preserve"> test.</w:t>
            </w:r>
          </w:p>
          <w:p w14:paraId="75CD2E43" w14:textId="77777777" w:rsidR="0090452B" w:rsidRPr="0090452B" w:rsidRDefault="0090452B" w:rsidP="0090452B">
            <w:pPr>
              <w:rPr>
                <w:sz w:val="20"/>
                <w:szCs w:val="20"/>
                <w:lang w:eastAsia="en-US"/>
              </w:rPr>
            </w:pPr>
            <w:r w:rsidRPr="0090452B">
              <w:rPr>
                <w:sz w:val="20"/>
                <w:szCs w:val="20"/>
                <w:vertAlign w:val="superscript"/>
                <w:lang w:eastAsia="en-US"/>
              </w:rPr>
              <w:t xml:space="preserve">b </w:t>
            </w:r>
            <w:proofErr w:type="spellStart"/>
            <w:r w:rsidRPr="0090452B">
              <w:rPr>
                <w:sz w:val="20"/>
                <w:szCs w:val="20"/>
                <w:lang w:eastAsia="en-US"/>
              </w:rPr>
              <w:t>The</w:t>
            </w:r>
            <w:proofErr w:type="spellEnd"/>
            <w:r w:rsidRPr="0090452B">
              <w:rPr>
                <w:sz w:val="20"/>
                <w:szCs w:val="20"/>
                <w:lang w:eastAsia="en-US"/>
              </w:rPr>
              <w:t xml:space="preserve"> Bonferroni test </w:t>
            </w:r>
            <w:proofErr w:type="spellStart"/>
            <w:r w:rsidRPr="0090452B">
              <w:rPr>
                <w:sz w:val="20"/>
                <w:szCs w:val="20"/>
                <w:lang w:eastAsia="en-US"/>
              </w:rPr>
              <w:t>indicated</w:t>
            </w:r>
            <w:proofErr w:type="spellEnd"/>
            <w:r w:rsidRPr="0090452B">
              <w:rPr>
                <w:sz w:val="20"/>
                <w:szCs w:val="20"/>
                <w:lang w:eastAsia="en-US"/>
              </w:rPr>
              <w:t xml:space="preserve"> </w:t>
            </w:r>
            <w:proofErr w:type="spellStart"/>
            <w:r w:rsidRPr="0090452B">
              <w:rPr>
                <w:sz w:val="20"/>
                <w:szCs w:val="20"/>
                <w:lang w:eastAsia="en-US"/>
              </w:rPr>
              <w:t>differences</w:t>
            </w:r>
            <w:proofErr w:type="spellEnd"/>
            <w:r w:rsidRPr="0090452B">
              <w:rPr>
                <w:sz w:val="20"/>
                <w:szCs w:val="20"/>
                <w:lang w:eastAsia="en-US"/>
              </w:rPr>
              <w:t xml:space="preserve"> </w:t>
            </w:r>
            <w:proofErr w:type="spellStart"/>
            <w:r w:rsidRPr="0090452B">
              <w:rPr>
                <w:sz w:val="20"/>
                <w:szCs w:val="20"/>
                <w:lang w:eastAsia="en-US"/>
              </w:rPr>
              <w:t>between</w:t>
            </w:r>
            <w:proofErr w:type="spellEnd"/>
            <w:r w:rsidRPr="0090452B">
              <w:rPr>
                <w:sz w:val="20"/>
                <w:szCs w:val="20"/>
                <w:lang w:eastAsia="en-US"/>
              </w:rPr>
              <w:t xml:space="preserve"> </w:t>
            </w:r>
            <w:proofErr w:type="spellStart"/>
            <w:r w:rsidRPr="0090452B">
              <w:rPr>
                <w:sz w:val="20"/>
                <w:szCs w:val="20"/>
                <w:lang w:eastAsia="en-US"/>
              </w:rPr>
              <w:t>classes</w:t>
            </w:r>
            <w:proofErr w:type="spellEnd"/>
            <w:r w:rsidRPr="0090452B">
              <w:rPr>
                <w:sz w:val="20"/>
                <w:szCs w:val="20"/>
                <w:lang w:eastAsia="en-US"/>
              </w:rPr>
              <w:t xml:space="preserve"> A and C/D-E (p = 0.000; mean </w:t>
            </w:r>
            <w:proofErr w:type="spellStart"/>
            <w:r w:rsidRPr="0090452B">
              <w:rPr>
                <w:sz w:val="20"/>
                <w:szCs w:val="20"/>
                <w:lang w:eastAsia="en-US"/>
              </w:rPr>
              <w:t>difference</w:t>
            </w:r>
            <w:proofErr w:type="spellEnd"/>
            <w:r w:rsidRPr="0090452B">
              <w:rPr>
                <w:sz w:val="20"/>
                <w:szCs w:val="20"/>
                <w:lang w:eastAsia="en-US"/>
              </w:rPr>
              <w:t xml:space="preserve"> = -0.215 [-0.371; -0.288]) and </w:t>
            </w:r>
            <w:proofErr w:type="spellStart"/>
            <w:r w:rsidRPr="0090452B">
              <w:rPr>
                <w:sz w:val="20"/>
                <w:szCs w:val="20"/>
                <w:lang w:eastAsia="en-US"/>
              </w:rPr>
              <w:t>classes</w:t>
            </w:r>
            <w:proofErr w:type="spellEnd"/>
            <w:r w:rsidRPr="0090452B">
              <w:rPr>
                <w:sz w:val="20"/>
                <w:szCs w:val="20"/>
                <w:lang w:eastAsia="en-US"/>
              </w:rPr>
              <w:t xml:space="preserve"> B and C/D-E (p = 0.000; mean </w:t>
            </w:r>
            <w:proofErr w:type="spellStart"/>
            <w:r w:rsidRPr="0090452B">
              <w:rPr>
                <w:sz w:val="20"/>
                <w:szCs w:val="20"/>
                <w:lang w:eastAsia="en-US"/>
              </w:rPr>
              <w:t>difference</w:t>
            </w:r>
            <w:proofErr w:type="spellEnd"/>
            <w:r w:rsidRPr="0090452B">
              <w:rPr>
                <w:sz w:val="20"/>
                <w:szCs w:val="20"/>
                <w:lang w:eastAsia="en-US"/>
              </w:rPr>
              <w:t xml:space="preserve"> = -0.166 [-0.288; -0.044]).</w:t>
            </w:r>
          </w:p>
          <w:p w14:paraId="5ED2B56F" w14:textId="5B74A5CB" w:rsidR="0090452B" w:rsidRPr="008862A6" w:rsidRDefault="0090452B" w:rsidP="0090452B">
            <w:pPr>
              <w:rPr>
                <w:sz w:val="20"/>
                <w:szCs w:val="20"/>
                <w:lang w:eastAsia="en-US"/>
              </w:rPr>
            </w:pPr>
            <w:r w:rsidRPr="0090452B">
              <w:rPr>
                <w:sz w:val="20"/>
                <w:szCs w:val="20"/>
                <w:vertAlign w:val="superscript"/>
                <w:lang w:eastAsia="en-US"/>
              </w:rPr>
              <w:t>c</w:t>
            </w:r>
            <w:r w:rsidRPr="0090452B">
              <w:rPr>
                <w:sz w:val="20"/>
                <w:szCs w:val="20"/>
                <w:lang w:eastAsia="en-US"/>
              </w:rPr>
              <w:t xml:space="preserve"> </w:t>
            </w:r>
            <w:proofErr w:type="spellStart"/>
            <w:r w:rsidRPr="0090452B">
              <w:rPr>
                <w:sz w:val="20"/>
                <w:szCs w:val="20"/>
                <w:lang w:eastAsia="en-US"/>
              </w:rPr>
              <w:t>The</w:t>
            </w:r>
            <w:proofErr w:type="spellEnd"/>
            <w:r w:rsidRPr="0090452B">
              <w:rPr>
                <w:sz w:val="20"/>
                <w:szCs w:val="20"/>
                <w:lang w:eastAsia="en-US"/>
              </w:rPr>
              <w:t xml:space="preserve"> Bonferroni test </w:t>
            </w:r>
            <w:proofErr w:type="spellStart"/>
            <w:r w:rsidRPr="0090452B">
              <w:rPr>
                <w:sz w:val="20"/>
                <w:szCs w:val="20"/>
                <w:lang w:eastAsia="en-US"/>
              </w:rPr>
              <w:t>indicated</w:t>
            </w:r>
            <w:proofErr w:type="spellEnd"/>
            <w:r w:rsidRPr="0090452B">
              <w:rPr>
                <w:sz w:val="20"/>
                <w:szCs w:val="20"/>
                <w:lang w:eastAsia="en-US"/>
              </w:rPr>
              <w:t xml:space="preserve"> </w:t>
            </w:r>
            <w:proofErr w:type="spellStart"/>
            <w:r w:rsidRPr="0090452B">
              <w:rPr>
                <w:sz w:val="20"/>
                <w:szCs w:val="20"/>
                <w:lang w:eastAsia="en-US"/>
              </w:rPr>
              <w:t>that</w:t>
            </w:r>
            <w:proofErr w:type="spellEnd"/>
            <w:r w:rsidRPr="0090452B">
              <w:rPr>
                <w:sz w:val="20"/>
                <w:szCs w:val="20"/>
                <w:lang w:eastAsia="en-US"/>
              </w:rPr>
              <w:t xml:space="preserve"> </w:t>
            </w:r>
            <w:proofErr w:type="spellStart"/>
            <w:r w:rsidRPr="0090452B">
              <w:rPr>
                <w:sz w:val="20"/>
                <w:szCs w:val="20"/>
                <w:lang w:eastAsia="en-US"/>
              </w:rPr>
              <w:t>all</w:t>
            </w:r>
            <w:proofErr w:type="spellEnd"/>
            <w:r w:rsidRPr="0090452B">
              <w:rPr>
                <w:sz w:val="20"/>
                <w:szCs w:val="20"/>
                <w:lang w:eastAsia="en-US"/>
              </w:rPr>
              <w:t xml:space="preserve"> </w:t>
            </w:r>
            <w:proofErr w:type="spellStart"/>
            <w:r w:rsidRPr="0090452B">
              <w:rPr>
                <w:sz w:val="20"/>
                <w:szCs w:val="20"/>
                <w:lang w:eastAsia="en-US"/>
              </w:rPr>
              <w:t>groups</w:t>
            </w:r>
            <w:proofErr w:type="spellEnd"/>
            <w:r w:rsidRPr="0090452B">
              <w:rPr>
                <w:sz w:val="20"/>
                <w:szCs w:val="20"/>
                <w:lang w:eastAsia="en-US"/>
              </w:rPr>
              <w:t xml:space="preserve"> </w:t>
            </w:r>
            <w:proofErr w:type="spellStart"/>
            <w:r w:rsidRPr="0090452B">
              <w:rPr>
                <w:sz w:val="20"/>
                <w:szCs w:val="20"/>
                <w:lang w:eastAsia="en-US"/>
              </w:rPr>
              <w:t>were</w:t>
            </w:r>
            <w:proofErr w:type="spellEnd"/>
            <w:r w:rsidRPr="0090452B">
              <w:rPr>
                <w:sz w:val="20"/>
                <w:szCs w:val="20"/>
                <w:lang w:eastAsia="en-US"/>
              </w:rPr>
              <w:t xml:space="preserve"> </w:t>
            </w:r>
            <w:proofErr w:type="spellStart"/>
            <w:r w:rsidRPr="0090452B">
              <w:rPr>
                <w:sz w:val="20"/>
                <w:szCs w:val="20"/>
                <w:lang w:eastAsia="en-US"/>
              </w:rPr>
              <w:t>different</w:t>
            </w:r>
            <w:proofErr w:type="spellEnd"/>
            <w:r w:rsidRPr="0090452B">
              <w:rPr>
                <w:sz w:val="20"/>
                <w:szCs w:val="20"/>
                <w:lang w:eastAsia="en-US"/>
              </w:rPr>
              <w:t xml:space="preserve"> </w:t>
            </w:r>
            <w:proofErr w:type="spellStart"/>
            <w:r w:rsidRPr="0090452B">
              <w:rPr>
                <w:sz w:val="20"/>
                <w:szCs w:val="20"/>
                <w:lang w:eastAsia="en-US"/>
              </w:rPr>
              <w:t>from</w:t>
            </w:r>
            <w:proofErr w:type="spellEnd"/>
            <w:r w:rsidRPr="0090452B">
              <w:rPr>
                <w:sz w:val="20"/>
                <w:szCs w:val="20"/>
                <w:lang w:eastAsia="en-US"/>
              </w:rPr>
              <w:t xml:space="preserve"> </w:t>
            </w:r>
            <w:proofErr w:type="spellStart"/>
            <w:r w:rsidRPr="0090452B">
              <w:rPr>
                <w:sz w:val="20"/>
                <w:szCs w:val="20"/>
                <w:lang w:eastAsia="en-US"/>
              </w:rPr>
              <w:t>each</w:t>
            </w:r>
            <w:proofErr w:type="spellEnd"/>
            <w:r w:rsidRPr="0090452B">
              <w:rPr>
                <w:sz w:val="20"/>
                <w:szCs w:val="20"/>
                <w:lang w:eastAsia="en-US"/>
              </w:rPr>
              <w:t xml:space="preserve"> </w:t>
            </w:r>
            <w:proofErr w:type="spellStart"/>
            <w:r w:rsidRPr="0090452B">
              <w:rPr>
                <w:sz w:val="20"/>
                <w:szCs w:val="20"/>
                <w:lang w:eastAsia="en-US"/>
              </w:rPr>
              <w:t>other</w:t>
            </w:r>
            <w:proofErr w:type="spellEnd"/>
            <w:r w:rsidRPr="0090452B">
              <w:rPr>
                <w:sz w:val="20"/>
                <w:szCs w:val="20"/>
                <w:lang w:eastAsia="en-US"/>
              </w:rPr>
              <w:t xml:space="preserve">. In </w:t>
            </w:r>
            <w:proofErr w:type="spellStart"/>
            <w:r w:rsidRPr="0090452B">
              <w:rPr>
                <w:sz w:val="20"/>
                <w:szCs w:val="20"/>
                <w:lang w:eastAsia="en-US"/>
              </w:rPr>
              <w:t>all</w:t>
            </w:r>
            <w:proofErr w:type="spellEnd"/>
            <w:r w:rsidRPr="0090452B">
              <w:rPr>
                <w:sz w:val="20"/>
                <w:szCs w:val="20"/>
                <w:lang w:eastAsia="en-US"/>
              </w:rPr>
              <w:t xml:space="preserve"> cases, </w:t>
            </w:r>
            <w:proofErr w:type="spellStart"/>
            <w:r w:rsidRPr="0090452B">
              <w:rPr>
                <w:sz w:val="20"/>
                <w:szCs w:val="20"/>
                <w:lang w:eastAsia="en-US"/>
              </w:rPr>
              <w:t>participants</w:t>
            </w:r>
            <w:proofErr w:type="spellEnd"/>
            <w:r w:rsidRPr="0090452B">
              <w:rPr>
                <w:sz w:val="20"/>
                <w:szCs w:val="20"/>
                <w:lang w:eastAsia="en-US"/>
              </w:rPr>
              <w:t xml:space="preserve"> </w:t>
            </w:r>
            <w:proofErr w:type="spellStart"/>
            <w:r w:rsidRPr="0090452B">
              <w:rPr>
                <w:sz w:val="20"/>
                <w:szCs w:val="20"/>
                <w:lang w:eastAsia="en-US"/>
              </w:rPr>
              <w:t>from</w:t>
            </w:r>
            <w:proofErr w:type="spellEnd"/>
            <w:r w:rsidRPr="0090452B">
              <w:rPr>
                <w:sz w:val="20"/>
                <w:szCs w:val="20"/>
                <w:lang w:eastAsia="en-US"/>
              </w:rPr>
              <w:t xml:space="preserve"> </w:t>
            </w:r>
            <w:proofErr w:type="spellStart"/>
            <w:r w:rsidRPr="0090452B">
              <w:rPr>
                <w:sz w:val="20"/>
                <w:szCs w:val="20"/>
                <w:lang w:eastAsia="en-US"/>
              </w:rPr>
              <w:t>the</w:t>
            </w:r>
            <w:proofErr w:type="spellEnd"/>
            <w:r w:rsidRPr="0090452B">
              <w:rPr>
                <w:sz w:val="20"/>
                <w:szCs w:val="20"/>
                <w:lang w:eastAsia="en-US"/>
              </w:rPr>
              <w:t xml:space="preserve"> general </w:t>
            </w:r>
            <w:proofErr w:type="spellStart"/>
            <w:r w:rsidRPr="0090452B">
              <w:rPr>
                <w:sz w:val="20"/>
                <w:szCs w:val="20"/>
                <w:lang w:eastAsia="en-US"/>
              </w:rPr>
              <w:t>population</w:t>
            </w:r>
            <w:proofErr w:type="spellEnd"/>
            <w:r w:rsidRPr="0090452B">
              <w:rPr>
                <w:sz w:val="20"/>
                <w:szCs w:val="20"/>
                <w:lang w:eastAsia="en-US"/>
              </w:rPr>
              <w:t xml:space="preserve"> </w:t>
            </w:r>
            <w:proofErr w:type="spellStart"/>
            <w:r w:rsidRPr="0090452B">
              <w:rPr>
                <w:sz w:val="20"/>
                <w:szCs w:val="20"/>
                <w:lang w:eastAsia="en-US"/>
              </w:rPr>
              <w:t>showed</w:t>
            </w:r>
            <w:proofErr w:type="spellEnd"/>
            <w:r w:rsidRPr="0090452B">
              <w:rPr>
                <w:sz w:val="20"/>
                <w:szCs w:val="20"/>
                <w:lang w:eastAsia="en-US"/>
              </w:rPr>
              <w:t xml:space="preserve"> </w:t>
            </w:r>
            <w:proofErr w:type="spellStart"/>
            <w:r w:rsidRPr="0090452B">
              <w:rPr>
                <w:sz w:val="20"/>
                <w:szCs w:val="20"/>
                <w:lang w:eastAsia="en-US"/>
              </w:rPr>
              <w:t>higher</w:t>
            </w:r>
            <w:proofErr w:type="spellEnd"/>
            <w:r w:rsidRPr="0090452B">
              <w:rPr>
                <w:sz w:val="20"/>
                <w:szCs w:val="20"/>
                <w:lang w:eastAsia="en-US"/>
              </w:rPr>
              <w:t xml:space="preserve"> </w:t>
            </w:r>
            <w:proofErr w:type="spellStart"/>
            <w:r w:rsidRPr="0090452B">
              <w:rPr>
                <w:sz w:val="20"/>
                <w:szCs w:val="20"/>
                <w:lang w:eastAsia="en-US"/>
              </w:rPr>
              <w:t>means</w:t>
            </w:r>
            <w:proofErr w:type="spellEnd"/>
            <w:r w:rsidRPr="0090452B">
              <w:rPr>
                <w:sz w:val="20"/>
                <w:szCs w:val="20"/>
                <w:lang w:eastAsia="en-US"/>
              </w:rPr>
              <w:t xml:space="preserve"> </w:t>
            </w:r>
            <w:proofErr w:type="spellStart"/>
            <w:r w:rsidRPr="0090452B">
              <w:rPr>
                <w:sz w:val="20"/>
                <w:szCs w:val="20"/>
                <w:lang w:eastAsia="en-US"/>
              </w:rPr>
              <w:t>of</w:t>
            </w:r>
            <w:proofErr w:type="spellEnd"/>
            <w:r w:rsidRPr="0090452B">
              <w:rPr>
                <w:sz w:val="20"/>
                <w:szCs w:val="20"/>
                <w:lang w:eastAsia="en-US"/>
              </w:rPr>
              <w:t xml:space="preserve"> </w:t>
            </w:r>
            <w:proofErr w:type="spellStart"/>
            <w:r w:rsidRPr="0090452B">
              <w:rPr>
                <w:sz w:val="20"/>
                <w:szCs w:val="20"/>
                <w:lang w:eastAsia="en-US"/>
              </w:rPr>
              <w:t>self-perception</w:t>
            </w:r>
            <w:proofErr w:type="spellEnd"/>
            <w:r w:rsidRPr="0090452B">
              <w:rPr>
                <w:sz w:val="20"/>
                <w:szCs w:val="20"/>
                <w:lang w:eastAsia="en-US"/>
              </w:rPr>
              <w:t xml:space="preserve"> </w:t>
            </w:r>
            <w:proofErr w:type="spellStart"/>
            <w:r w:rsidRPr="0090452B">
              <w:rPr>
                <w:sz w:val="20"/>
                <w:szCs w:val="20"/>
                <w:lang w:eastAsia="en-US"/>
              </w:rPr>
              <w:t>of</w:t>
            </w:r>
            <w:proofErr w:type="spellEnd"/>
            <w:r w:rsidRPr="0090452B">
              <w:rPr>
                <w:sz w:val="20"/>
                <w:szCs w:val="20"/>
                <w:lang w:eastAsia="en-US"/>
              </w:rPr>
              <w:t xml:space="preserve"> </w:t>
            </w:r>
            <w:proofErr w:type="spellStart"/>
            <w:r w:rsidRPr="0090452B">
              <w:rPr>
                <w:sz w:val="20"/>
                <w:szCs w:val="20"/>
                <w:lang w:eastAsia="en-US"/>
              </w:rPr>
              <w:t>Quality</w:t>
            </w:r>
            <w:proofErr w:type="spellEnd"/>
            <w:r w:rsidRPr="0090452B">
              <w:rPr>
                <w:sz w:val="20"/>
                <w:szCs w:val="20"/>
                <w:lang w:eastAsia="en-US"/>
              </w:rPr>
              <w:t xml:space="preserve"> </w:t>
            </w:r>
            <w:proofErr w:type="spellStart"/>
            <w:r w:rsidRPr="0090452B">
              <w:rPr>
                <w:sz w:val="20"/>
                <w:szCs w:val="20"/>
                <w:lang w:eastAsia="en-US"/>
              </w:rPr>
              <w:t>of</w:t>
            </w:r>
            <w:proofErr w:type="spellEnd"/>
            <w:r w:rsidRPr="0090452B">
              <w:rPr>
                <w:sz w:val="20"/>
                <w:szCs w:val="20"/>
                <w:lang w:eastAsia="en-US"/>
              </w:rPr>
              <w:t xml:space="preserve"> </w:t>
            </w:r>
            <w:proofErr w:type="spellStart"/>
            <w:r w:rsidRPr="0090452B">
              <w:rPr>
                <w:sz w:val="20"/>
                <w:szCs w:val="20"/>
                <w:lang w:eastAsia="en-US"/>
              </w:rPr>
              <w:t>Life</w:t>
            </w:r>
            <w:proofErr w:type="spellEnd"/>
            <w:r w:rsidRPr="0090452B">
              <w:rPr>
                <w:sz w:val="20"/>
                <w:szCs w:val="20"/>
                <w:lang w:eastAsia="en-US"/>
              </w:rPr>
              <w:t>.</w:t>
            </w:r>
          </w:p>
        </w:tc>
      </w:tr>
    </w:tbl>
    <w:p w14:paraId="6039C1C0" w14:textId="77777777" w:rsidR="00693299" w:rsidRDefault="00693299" w:rsidP="00474908">
      <w:pPr>
        <w:pStyle w:val="Ttulosinternos"/>
      </w:pPr>
    </w:p>
    <w:p w14:paraId="220C813D" w14:textId="660EC8C9" w:rsidR="00CE7D65" w:rsidRPr="00E23C9E" w:rsidRDefault="00CD7EC5" w:rsidP="00474908">
      <w:pPr>
        <w:pStyle w:val="Ttulosinternos"/>
        <w:rPr>
          <w:lang w:val="es-ES_tradnl"/>
        </w:rPr>
      </w:pPr>
      <w:r w:rsidRPr="00146C86">
        <w:t>Discus</w:t>
      </w:r>
      <w:r w:rsidR="009773EF" w:rsidRPr="00146C86">
        <w:t>sion</w:t>
      </w:r>
    </w:p>
    <w:p w14:paraId="3E158958" w14:textId="71A13B2A" w:rsidR="009773EF" w:rsidRPr="009773EF" w:rsidRDefault="009773EF" w:rsidP="00F83E1E">
      <w:pPr>
        <w:pStyle w:val="Prrafocomn"/>
      </w:pPr>
      <w:r w:rsidRPr="009773EF">
        <w:t>This research aimed to evaluate, from the conceptual point of view of the WHO on the subject, the self-perception of quality of life in a diversified sample of 1127 adults (56.3% women; 83.4% of young adults; ages of 18 to 94 years old [average = 27.55 ± 13.98]; 52.2% in economic class B), in their possible differences by age groups, sex and economic classification. The overall average quality of life of the participants was 3.67 ± 0.6</w:t>
      </w:r>
      <w:r w:rsidR="00F83E1E">
        <w:t>1</w:t>
      </w:r>
      <w:r w:rsidRPr="009773EF">
        <w:t>. As for age, the elderly group (participants over 65 years old) was the one with the highest average of this self-perception (mean = 4.15 ± 0.</w:t>
      </w:r>
      <w:r w:rsidR="00F83E1E">
        <w:t>6</w:t>
      </w:r>
      <w:r w:rsidRPr="009773EF">
        <w:t>). As for the group's origin, the lowest average was presented by university participants (not freshmen) (mean = 3.45 ± 0.5</w:t>
      </w:r>
      <w:r w:rsidR="00F83E1E">
        <w:t>6</w:t>
      </w:r>
      <w:r w:rsidRPr="009773EF">
        <w:t xml:space="preserve">). As for gender, there was a significant difference between </w:t>
      </w:r>
      <w:r w:rsidRPr="009773EF">
        <w:lastRenderedPageBreak/>
        <w:t>men and women in the sample (p = 0.012; mean difference = 0.091 [-0.003; 0.185]), with men showing a higher average quality of life. Finally, as for economic classes, the lowest average was for participants from classes C/D-E.</w:t>
      </w:r>
    </w:p>
    <w:p w14:paraId="5B42D720" w14:textId="77777777" w:rsidR="009773EF" w:rsidRPr="009773EF" w:rsidRDefault="009773EF" w:rsidP="009773EF">
      <w:pPr>
        <w:pStyle w:val="Prrafocomn"/>
      </w:pPr>
      <w:r w:rsidRPr="009773EF">
        <w:t>Before beginning the discussion of the results found in the present research with the findings of the literature, it is appropriate to place here a choice made for this manuscript. As stated by Korkmaz et al. (2016), the results of the EUROHISQOL 8-item can be calculated and presented in a few different ways, such as: sum of all alternatives forming a score from 0 to 32; conversion of the sum score to a percentage scale (from 0 to 100%); calculation of arithmetic mean of all questions (score from 0 to 5). Still, in some articles the results are presented as an average for each instrument item, without agglutination in a general score. In this research, as already mentioned in the Method section, the calculation of the EUROHISQOL 8-item score was considered as stated by Rocha et al. (2012), generating a scale of 0 to 5 points. The choice of this type of calculation was made so that it was possible to compare the results of the present study with other studies that used WHOQOL-100 or WHOQOL-</w:t>
      </w:r>
      <w:proofErr w:type="spellStart"/>
      <w:r w:rsidRPr="009773EF">
        <w:t>bref</w:t>
      </w:r>
      <w:proofErr w:type="spellEnd"/>
      <w:r w:rsidRPr="009773EF">
        <w:t>, given that the searches about EUROHISQOL 8-item found in the literature review for this article were insufficient to explain and compare the results found. Also, it is a proposal of this article that these comparisons between WHO instruments for quality of life could be made more frequently, since the instrumental allows such action.</w:t>
      </w:r>
    </w:p>
    <w:p w14:paraId="2E43BE84" w14:textId="2C28F5D7" w:rsidR="009773EF" w:rsidRPr="009773EF" w:rsidRDefault="009773EF" w:rsidP="009773EF">
      <w:pPr>
        <w:pStyle w:val="Prrafocomn"/>
      </w:pPr>
      <w:r w:rsidRPr="009773EF">
        <w:t>In this context, assessment of the participants’ quality of life indicated a total mean of the sample of 3.675 ± 0.606 compared to the maximum index of 5 points. Schmidt et al. (2006) evaluated the psychometric properties of EUROHISQOL 8-item from a larger database involving 10 European countries (United Kingdom, France, Germany, Croatia, Czech Republic, Romania, Slovakia, Lithuania, Latvia and Israel). A total of 4,849 individuals participated in the evaluation. The overall mean of QOL found was 3.68 (similar to the present study). Bergman et al. (2019) evaluated 836 civil servants from two municipalities in Finland, with an overall average of 3.92 (higher than the present study). Aiming to investigate the psychometric properties of EUROHISQOL 8-item, Rocha et al. (2012) analyzed data from Australia, Brazil, Israel, Russia, Spain and the US on the quality of life of 2,359 individuals. They found no significant differences between the countries investigated, as well as between gender and age (group of younger people [&lt; 45 years] and older people [&gt;</w:t>
      </w:r>
      <w:r w:rsidR="00F83E1E">
        <w:t xml:space="preserve"> </w:t>
      </w:r>
      <w:r w:rsidRPr="009773EF">
        <w:t>4 5 years]). These 2012 results indicated youngest Brazilians with a mean QOL = 3.09, and the oldest, with a mean = 3.06.</w:t>
      </w:r>
    </w:p>
    <w:p w14:paraId="77F0AA43" w14:textId="637138AB" w:rsidR="009773EF" w:rsidRPr="009773EF" w:rsidRDefault="009773EF" w:rsidP="009773EF">
      <w:pPr>
        <w:pStyle w:val="Prrafocomn"/>
      </w:pPr>
      <w:r w:rsidRPr="009773EF">
        <w:lastRenderedPageBreak/>
        <w:t>In general, the older those investigated in the present study, the better the self-perception of quality of life, with older adults showing a higher mean of this perception (4.15), in all comparisons made. In a Spanish study, García et al. (2019) compared quality of life, using EUROHISQOL 8-item, between non-demented patients with Parkinson's disease (n = 692) and control patients (n = 206), the vast majority of whom were men and the elderly. Control group patients had a higher quality of life (mean = 4.2) than Parkinson's patients (mean = 3.8). Marques’ research (2018) in Portugal, investigating 2,019 older adults (over 65 years old) via the WHOQOL-</w:t>
      </w:r>
      <w:proofErr w:type="spellStart"/>
      <w:r w:rsidRPr="009773EF">
        <w:t>bref</w:t>
      </w:r>
      <w:proofErr w:type="spellEnd"/>
      <w:r w:rsidRPr="009773EF">
        <w:t>, found an overall result for quality of life in an index of 3.44. In turn,</w:t>
      </w:r>
      <w:r w:rsidR="00F83E1E">
        <w:t xml:space="preserve"> </w:t>
      </w:r>
      <w:r w:rsidRPr="009773EF">
        <w:t>the study by Miranda et al. (2016), which investigated 257 older adults from a Reference Center for Older Adults in Belo Horizonte (MG) using the WHOQOL-</w:t>
      </w:r>
      <w:proofErr w:type="spellStart"/>
      <w:r w:rsidRPr="009773EF">
        <w:t>bref</w:t>
      </w:r>
      <w:proofErr w:type="spellEnd"/>
      <w:r w:rsidRPr="009773EF">
        <w:t>, found an overall score result of 52.57 (using a score calculation with a maximum value of 100 points). Results of this research indicated that physically active older adults aged 70 to 79 years showed better results in the self-perception of quality of life (Miranda et al.</w:t>
      </w:r>
      <w:r w:rsidR="00F83E1E">
        <w:t>,</w:t>
      </w:r>
      <w:r w:rsidRPr="009773EF">
        <w:t xml:space="preserve"> 2016). Although using another instrument, Andrade and Martins’ study (2011) with Portuguese older adults (ages 60 to 95 years), found a better self-assessment of quality of life in younger older adults (without specifying the age for this group in the manuscript). </w:t>
      </w:r>
    </w:p>
    <w:p w14:paraId="66C0C426" w14:textId="77777777" w:rsidR="009773EF" w:rsidRPr="009773EF" w:rsidRDefault="009773EF" w:rsidP="009773EF">
      <w:pPr>
        <w:pStyle w:val="Prrafocomn"/>
      </w:pPr>
      <w:r w:rsidRPr="009773EF">
        <w:t xml:space="preserve">Thus, the results found in quality of life studies with older adults do not compare their results with younger adults, only between older adults themselves. The present study included an intra-group evaluation of participants from different ages, and found significant differences of better self-perception of quality of life in the older adults evaluated, when compared to the groups of younger adults. It is worth considering that the 61 older adults investigated here indicated having stable health conditions, at least regarding mobility and autonomy, since they were approached in the city’s public places of collective use, such as beaches, squares, leisure places in general, malls and bus stops. As reason for this good quality of life indicator, we may consider that older adults, in general, are spared from stressors from the labor market and/or from studies duties. </w:t>
      </w:r>
    </w:p>
    <w:p w14:paraId="0C31D0BB" w14:textId="77777777" w:rsidR="009773EF" w:rsidRPr="009773EF" w:rsidRDefault="009773EF" w:rsidP="009773EF">
      <w:pPr>
        <w:pStyle w:val="Prrafocomn"/>
      </w:pPr>
      <w:r w:rsidRPr="009773EF">
        <w:t xml:space="preserve">Thus, in this study, carried out in two coastal cities in a metropolitan region, the older those investigated, the better their perception of quality of life. The youngest in the sample, aged 18 to 39 years, presented the worst results in their self-perceptions. But there are studies which show older adults have worse results regarding quality of life. </w:t>
      </w:r>
      <w:proofErr w:type="spellStart"/>
      <w:r w:rsidRPr="009773EF">
        <w:t>Bortolotto</w:t>
      </w:r>
      <w:proofErr w:type="spellEnd"/>
      <w:r w:rsidRPr="009773EF">
        <w:t xml:space="preserve"> et al. (2018), for example, evaluated quality of life, using the WHOQOL-</w:t>
      </w:r>
      <w:proofErr w:type="spellStart"/>
      <w:r w:rsidRPr="009773EF">
        <w:t>bref</w:t>
      </w:r>
      <w:proofErr w:type="spellEnd"/>
      <w:r w:rsidRPr="009773EF">
        <w:t xml:space="preserve">, in 1,479 adults from rural areas in southern Brazil, 40% of them aged 40 to 59 years. The authors identified prevalence of very poor overall quality of life perception in 22.5% of those surveyed, especially in older individuals (without </w:t>
      </w:r>
      <w:r w:rsidRPr="009773EF">
        <w:lastRenderedPageBreak/>
        <w:t xml:space="preserve">specifying age) who have lived their entire lives in the rural area - a very different life context than living in urban and coastal areas. </w:t>
      </w:r>
    </w:p>
    <w:p w14:paraId="6E215120" w14:textId="77777777" w:rsidR="009773EF" w:rsidRPr="009773EF" w:rsidRDefault="009773EF" w:rsidP="009773EF">
      <w:pPr>
        <w:pStyle w:val="Prrafocomn"/>
      </w:pPr>
      <w:r w:rsidRPr="009773EF">
        <w:t>A Brazilian study, conducted exclusively with female older adults, using the WHOQOL-</w:t>
      </w:r>
      <w:proofErr w:type="spellStart"/>
      <w:r w:rsidRPr="009773EF">
        <w:t>bref</w:t>
      </w:r>
      <w:proofErr w:type="spellEnd"/>
      <w:r w:rsidRPr="009773EF">
        <w:t xml:space="preserve"> and the WHOQOL-OLD and counting on a robust sample of 1,806 women participating in a physical activity program in the city of Curitiba, carried out by </w:t>
      </w:r>
      <w:proofErr w:type="spellStart"/>
      <w:r w:rsidRPr="009773EF">
        <w:t>Vagetti</w:t>
      </w:r>
      <w:proofErr w:type="spellEnd"/>
      <w:r w:rsidRPr="009773EF">
        <w:t xml:space="preserve"> et al. (2013) related sociodemographic factors (age group, economic class, education, marital status and occupational status), as well as health conditions (body mass index, health problems and use of medications), with quality of life. Without hierarchizing these factors, the authors indicated that, besides physical health conditions, a worse economic condition and low schooling should be observed in measures that hope to increase quality of life.</w:t>
      </w:r>
    </w:p>
    <w:p w14:paraId="0F322580" w14:textId="77777777" w:rsidR="009773EF" w:rsidRPr="009773EF" w:rsidRDefault="009773EF" w:rsidP="009773EF">
      <w:pPr>
        <w:pStyle w:val="Prrafocomn"/>
      </w:pPr>
      <w:r w:rsidRPr="009773EF">
        <w:t>In the international context, a Portuguese study by Andrade and Martins (2011) sought to assess the relation between family functionality and quality of life in older adults. With a different methodology and evaluating 210 older adults, this study showed that quality of life tends to decrease in older individuals among those already classified as older adults, which is another factor that can nuance, despite the difficulties in comparing such varied contexts and methods, the results of the research discussed here, which compares different groups (young adults and older adults).</w:t>
      </w:r>
    </w:p>
    <w:p w14:paraId="11D55022" w14:textId="6B7C8C08" w:rsidR="009773EF" w:rsidRPr="009773EF" w:rsidRDefault="009773EF" w:rsidP="009773EF">
      <w:pPr>
        <w:pStyle w:val="Prrafocomn"/>
      </w:pPr>
      <w:r w:rsidRPr="009773EF">
        <w:t>In our sample, results show that men (mean = 3.7</w:t>
      </w:r>
      <w:r w:rsidR="00F83E1E">
        <w:t>3</w:t>
      </w:r>
      <w:r w:rsidRPr="009773EF">
        <w:t xml:space="preserve">) presented better indexes in their perception of quality of life, compared with women (mean = 3.63). </w:t>
      </w:r>
      <w:proofErr w:type="spellStart"/>
      <w:r w:rsidRPr="009773EF">
        <w:t>Hisa</w:t>
      </w:r>
      <w:r w:rsidR="005E185D">
        <w:t>s</w:t>
      </w:r>
      <w:r w:rsidRPr="009773EF">
        <w:t>ue</w:t>
      </w:r>
      <w:proofErr w:type="spellEnd"/>
      <w:r w:rsidRPr="009773EF">
        <w:t xml:space="preserve"> et al. (2020), in one of the few surveys evaluating quality of life by EUROHISQOL 8-item and conducted with the general population, evaluated 22,398 Finnish women with an overall average of 3.94, higher than the Brazilian sample presented here. As for the differences between men and women in the self-perception of quality of life, other studies did this comparison of quality of life between men and women using the EUROHISQOL 8-item found no differences between both genders (</w:t>
      </w:r>
      <w:proofErr w:type="spellStart"/>
      <w:r w:rsidRPr="009773EF">
        <w:t>Perera</w:t>
      </w:r>
      <w:proofErr w:type="spellEnd"/>
      <w:r w:rsidRPr="009773EF">
        <w:t xml:space="preserve"> </w:t>
      </w:r>
      <w:r w:rsidR="004E537B">
        <w:t>&amp;</w:t>
      </w:r>
      <w:r w:rsidRPr="009773EF">
        <w:t xml:space="preserve"> </w:t>
      </w:r>
      <w:proofErr w:type="spellStart"/>
      <w:r w:rsidRPr="009773EF">
        <w:t>Athanasou</w:t>
      </w:r>
      <w:proofErr w:type="spellEnd"/>
      <w:r w:rsidR="004E537B">
        <w:t>,</w:t>
      </w:r>
      <w:r w:rsidRPr="009773EF">
        <w:t xml:space="preserve"> 2016; Pereira et al.</w:t>
      </w:r>
      <w:r w:rsidR="004E537B">
        <w:t>,</w:t>
      </w:r>
      <w:r w:rsidRPr="009773EF">
        <w:t xml:space="preserve"> 2011; Rocha et al.</w:t>
      </w:r>
      <w:r w:rsidR="004E537B">
        <w:t>,</w:t>
      </w:r>
      <w:r w:rsidRPr="009773EF">
        <w:t xml:space="preserve"> 2012). Based on the fact that both the EUROHISQOL 8-item and the WHOQOL-</w:t>
      </w:r>
      <w:proofErr w:type="spellStart"/>
      <w:r w:rsidRPr="009773EF">
        <w:t>bref</w:t>
      </w:r>
      <w:proofErr w:type="spellEnd"/>
      <w:r w:rsidRPr="009773EF">
        <w:t xml:space="preserve"> proved effective in showing differences in lower quality of life between psychiatric patients and people with Depressive Disorder when compared with control subjects (Fleck et al.</w:t>
      </w:r>
      <w:r w:rsidR="004E537B">
        <w:t>,</w:t>
      </w:r>
      <w:r w:rsidRPr="009773EF">
        <w:t xml:space="preserve"> 2000; </w:t>
      </w:r>
      <w:proofErr w:type="spellStart"/>
      <w:r w:rsidRPr="009773EF">
        <w:t>Perera</w:t>
      </w:r>
      <w:proofErr w:type="spellEnd"/>
      <w:r w:rsidRPr="009773EF">
        <w:t xml:space="preserve"> </w:t>
      </w:r>
      <w:r w:rsidR="004E537B">
        <w:t>&amp;</w:t>
      </w:r>
      <w:r w:rsidRPr="009773EF">
        <w:t xml:space="preserve"> </w:t>
      </w:r>
      <w:proofErr w:type="spellStart"/>
      <w:r w:rsidRPr="009773EF">
        <w:t>Athanasou</w:t>
      </w:r>
      <w:proofErr w:type="spellEnd"/>
      <w:r w:rsidR="004E537B">
        <w:t>,</w:t>
      </w:r>
      <w:r w:rsidRPr="009773EF">
        <w:t xml:space="preserve"> 2016; Pereira et al.</w:t>
      </w:r>
      <w:r w:rsidR="004E537B">
        <w:t>,</w:t>
      </w:r>
      <w:r w:rsidRPr="009773EF">
        <w:t xml:space="preserve"> 2011</w:t>
      </w:r>
      <w:r w:rsidR="004E537B">
        <w:t xml:space="preserve">; </w:t>
      </w:r>
      <w:r w:rsidR="004E537B" w:rsidRPr="009773EF">
        <w:t>Rocha et al.</w:t>
      </w:r>
      <w:r w:rsidR="004E537B">
        <w:t>,</w:t>
      </w:r>
      <w:r w:rsidR="004E537B" w:rsidRPr="009773EF">
        <w:t xml:space="preserve"> 2012</w:t>
      </w:r>
      <w:r w:rsidRPr="009773EF">
        <w:t>) we can infer that Mental Disorders may contribute to loss of quality of life, or at least its self-perception. Thus, Brazilian epidemiological data on mental health have shown the predominance of problems of this order, especially in women (Andrade et al.</w:t>
      </w:r>
      <w:r w:rsidR="00700A50">
        <w:t>,</w:t>
      </w:r>
      <w:r w:rsidRPr="009773EF">
        <w:t xml:space="preserve"> 2012; </w:t>
      </w:r>
      <w:proofErr w:type="spellStart"/>
      <w:r w:rsidRPr="009773EF">
        <w:t>Bonadiman</w:t>
      </w:r>
      <w:proofErr w:type="spellEnd"/>
      <w:r w:rsidRPr="009773EF">
        <w:t xml:space="preserve"> et al.</w:t>
      </w:r>
      <w:r w:rsidR="00700A50">
        <w:t>,</w:t>
      </w:r>
      <w:r w:rsidRPr="009773EF">
        <w:t xml:space="preserve"> 2017; Gonçalves et al.</w:t>
      </w:r>
      <w:r w:rsidR="00700A50">
        <w:t>,</w:t>
      </w:r>
      <w:r w:rsidRPr="009773EF">
        <w:t xml:space="preserve"> 2014; Kohn et al.</w:t>
      </w:r>
      <w:r w:rsidR="00700A50">
        <w:t>,</w:t>
      </w:r>
      <w:r w:rsidRPr="009773EF">
        <w:t xml:space="preserve"> 2018). Data on prevalent mental disorders in </w:t>
      </w:r>
      <w:r w:rsidRPr="009773EF">
        <w:lastRenderedPageBreak/>
        <w:t xml:space="preserve">women may be related to their low self-perception of quality of life, as found in the present study. </w:t>
      </w:r>
      <w:proofErr w:type="spellStart"/>
      <w:r w:rsidRPr="009773EF">
        <w:t>Eurich</w:t>
      </w:r>
      <w:proofErr w:type="spellEnd"/>
      <w:r w:rsidRPr="009773EF">
        <w:t xml:space="preserve"> and </w:t>
      </w:r>
      <w:proofErr w:type="spellStart"/>
      <w:r w:rsidRPr="009773EF">
        <w:t>Kluthcovsky’s</w:t>
      </w:r>
      <w:proofErr w:type="spellEnd"/>
      <w:r w:rsidRPr="009773EF">
        <w:t xml:space="preserve"> study (2008) of quality of life with university students from the health area also showed lower rates of self-perception in the participating women.</w:t>
      </w:r>
    </w:p>
    <w:p w14:paraId="3F6FD768" w14:textId="36469679" w:rsidR="009773EF" w:rsidRPr="009773EF" w:rsidRDefault="009773EF" w:rsidP="009773EF">
      <w:pPr>
        <w:pStyle w:val="Prrafocomn"/>
      </w:pPr>
      <w:r w:rsidRPr="009773EF">
        <w:t>As for the participants’ economic classes, there were differences in quality of life in the individuals of classes A and C/D-E, and B and C/D-E. In both cases, the lowest average corresponded to classes C/D-E, results that highlight the association of better quality of life with objective aspects of possessing comfort and convenience items, such as appliances, education level and access to public services, such as availability of running water at home and access via paved street - dimensions encompassed by the CCEB, which evaluated the participants’ economic classes. The instrument used for economic classification is, according to its creators (</w:t>
      </w:r>
      <w:proofErr w:type="spellStart"/>
      <w:r w:rsidRPr="009773EF">
        <w:t>Associação</w:t>
      </w:r>
      <w:proofErr w:type="spellEnd"/>
      <w:r w:rsidRPr="009773EF">
        <w:t xml:space="preserve"> </w:t>
      </w:r>
      <w:proofErr w:type="spellStart"/>
      <w:r w:rsidRPr="009773EF">
        <w:t>Brasileira</w:t>
      </w:r>
      <w:proofErr w:type="spellEnd"/>
      <w:r w:rsidRPr="009773EF">
        <w:t xml:space="preserve"> de </w:t>
      </w:r>
      <w:proofErr w:type="spellStart"/>
      <w:r w:rsidRPr="009773EF">
        <w:t>Empresas</w:t>
      </w:r>
      <w:proofErr w:type="spellEnd"/>
      <w:r w:rsidRPr="009773EF">
        <w:t xml:space="preserve"> de </w:t>
      </w:r>
      <w:proofErr w:type="spellStart"/>
      <w:r w:rsidRPr="009773EF">
        <w:t>Pesquisa</w:t>
      </w:r>
      <w:proofErr w:type="spellEnd"/>
      <w:r w:rsidR="00700A50">
        <w:t>,</w:t>
      </w:r>
      <w:r w:rsidRPr="009773EF">
        <w:t xml:space="preserve"> 2018), exclusively economical. Still, environmental aspects, housing situation and schooling are reflected in its final score. Therefore, and for comparison purposes with other quality of life research, we considered that a higher level of economic class equals better general housing conditions, education and income for accessing the goods and services evaluated by the CCEB.</w:t>
      </w:r>
    </w:p>
    <w:p w14:paraId="40A78D51" w14:textId="330096F9" w:rsidR="009773EF" w:rsidRPr="009773EF" w:rsidRDefault="009773EF" w:rsidP="009773EF">
      <w:pPr>
        <w:pStyle w:val="Prrafocomn"/>
      </w:pPr>
      <w:r w:rsidRPr="009773EF">
        <w:t xml:space="preserve">Nor are there many Brazilian studies focused on the relationship between economic classes and quality of life for the general population. Among the existing ones aimed at older adults, the research by </w:t>
      </w:r>
      <w:proofErr w:type="spellStart"/>
      <w:r w:rsidRPr="009773EF">
        <w:t>Dawalibi</w:t>
      </w:r>
      <w:proofErr w:type="spellEnd"/>
      <w:r w:rsidRPr="009773EF">
        <w:t xml:space="preserve"> et al. (2014) analyzed a sample of 187 older adults enrolled in university programs for older adults in municipalities in the State of São Paulo using the WHOQOL-</w:t>
      </w:r>
      <w:proofErr w:type="spellStart"/>
      <w:r w:rsidRPr="009773EF">
        <w:t>bref</w:t>
      </w:r>
      <w:proofErr w:type="spellEnd"/>
      <w:r w:rsidRPr="009773EF">
        <w:t xml:space="preserve"> instrument and found an association between quality of life and some environmental factors. Among these, having complete higher education as a schooling level appeared in first place. It is worth mentioning that </w:t>
      </w:r>
      <w:r w:rsidR="00700A50" w:rsidRPr="009773EF">
        <w:t>this variable surpassed other</w:t>
      </w:r>
      <w:r w:rsidRPr="009773EF">
        <w:t xml:space="preserve">, regarding its perceived importance for quality of life, such as advanced age and absence of diseases. </w:t>
      </w:r>
    </w:p>
    <w:p w14:paraId="76E542C6" w14:textId="77777777" w:rsidR="009773EF" w:rsidRPr="009773EF" w:rsidRDefault="009773EF" w:rsidP="009773EF">
      <w:pPr>
        <w:pStyle w:val="Prrafocomn"/>
      </w:pPr>
      <w:r w:rsidRPr="009773EF">
        <w:t xml:space="preserve">Focusing another group, </w:t>
      </w:r>
      <w:proofErr w:type="spellStart"/>
      <w:r w:rsidRPr="009773EF">
        <w:t>Gordia</w:t>
      </w:r>
      <w:proofErr w:type="spellEnd"/>
      <w:r w:rsidRPr="009773EF">
        <w:t xml:space="preserve"> et al. (2009) applied the WHOQOL-</w:t>
      </w:r>
      <w:proofErr w:type="spellStart"/>
      <w:r w:rsidRPr="009773EF">
        <w:t>bref</w:t>
      </w:r>
      <w:proofErr w:type="spellEnd"/>
      <w:r w:rsidRPr="009773EF">
        <w:t xml:space="preserve"> to a sample of 608 adolescents aged 14 to 20 years from the State of Paraná, and the results also point to positive correlations between less affluent economic class and lower quality of life (measured in the environment domain of the WHOQOL-</w:t>
      </w:r>
      <w:proofErr w:type="spellStart"/>
      <w:r w:rsidRPr="009773EF">
        <w:t>bref</w:t>
      </w:r>
      <w:proofErr w:type="spellEnd"/>
      <w:r w:rsidRPr="009773EF">
        <w:t xml:space="preserve"> instrument, which involves physical security and protection, home environment, financial resources, availability and quality of health and social care, opportunity to acquire new information and skills, participation and opportunities for recreation/leisure and physical environment). It is noteworthy that, albeit analyzing adolescents </w:t>
      </w:r>
      <w:r w:rsidRPr="009773EF">
        <w:lastRenderedPageBreak/>
        <w:t>and the pre-university population, the study found women show greater vulnerability regarding self-perception of quality of life.</w:t>
      </w:r>
    </w:p>
    <w:p w14:paraId="543FAAC7" w14:textId="5360AC63" w:rsidR="009773EF" w:rsidRPr="009773EF" w:rsidRDefault="009773EF" w:rsidP="009773EF">
      <w:pPr>
        <w:pStyle w:val="Prrafocomn"/>
      </w:pPr>
      <w:r w:rsidRPr="009773EF">
        <w:t>In the present study, the group investigated with the lowest indicators for quality of life was that of university students with more than six months in their undergraduate courses. Correspondingly, the mental health literature aimed at university students addresses a variety of problems, such as anxiety and depression (Victoria et al.</w:t>
      </w:r>
      <w:r w:rsidR="00700A50">
        <w:t>,</w:t>
      </w:r>
      <w:r w:rsidRPr="009773EF">
        <w:t xml:space="preserve"> 2013), stress (</w:t>
      </w:r>
      <w:proofErr w:type="spellStart"/>
      <w:r w:rsidRPr="009773EF">
        <w:t>Pedrelli</w:t>
      </w:r>
      <w:proofErr w:type="spellEnd"/>
      <w:r w:rsidRPr="009773EF">
        <w:t xml:space="preserve"> et al.</w:t>
      </w:r>
      <w:r w:rsidR="00700A50">
        <w:t>,</w:t>
      </w:r>
      <w:r w:rsidRPr="009773EF">
        <w:t xml:space="preserve"> 2015; Silveira et al.</w:t>
      </w:r>
      <w:r w:rsidR="00700A50">
        <w:t>,</w:t>
      </w:r>
      <w:r w:rsidRPr="009773EF">
        <w:t xml:space="preserve"> 2015; Viana et al.</w:t>
      </w:r>
      <w:r w:rsidR="00700A50">
        <w:t>,</w:t>
      </w:r>
      <w:r w:rsidRPr="009773EF">
        <w:t xml:space="preserve"> 2014), in addition to abusive consumption of alcohol and other illicit substances (Silva </w:t>
      </w:r>
      <w:r w:rsidR="00700A50">
        <w:t>&amp;</w:t>
      </w:r>
      <w:r w:rsidRPr="009773EF">
        <w:t xml:space="preserve"> Tucci</w:t>
      </w:r>
      <w:r w:rsidR="00700A50">
        <w:t>,</w:t>
      </w:r>
      <w:r w:rsidRPr="009773EF">
        <w:t xml:space="preserve"> 2018), sometimes greater than the general population (Costa </w:t>
      </w:r>
      <w:r w:rsidR="00700A50">
        <w:t>&amp;</w:t>
      </w:r>
      <w:r w:rsidRPr="009773EF">
        <w:t xml:space="preserve"> Moreira</w:t>
      </w:r>
      <w:r w:rsidR="00700A50">
        <w:t>,</w:t>
      </w:r>
      <w:r w:rsidRPr="009773EF">
        <w:t xml:space="preserve"> 2016). Tensions of academic life, expectations related to employability and adult tasks - these elements should be considered when contemplating these indicators. A survey of more than 80 thousand students from 140 North American universities showed signs of mental disorder in 30.2% of the students, with a prevalence in women (American College Health Association</w:t>
      </w:r>
      <w:r w:rsidR="00700A50">
        <w:t>,</w:t>
      </w:r>
      <w:r w:rsidRPr="009773EF">
        <w:t xml:space="preserve"> 2018). </w:t>
      </w:r>
    </w:p>
    <w:p w14:paraId="29877015" w14:textId="77777777" w:rsidR="009773EF" w:rsidRPr="009773EF" w:rsidRDefault="009773EF" w:rsidP="009773EF">
      <w:pPr>
        <w:pStyle w:val="Prrafocomn"/>
      </w:pPr>
      <w:r w:rsidRPr="009773EF">
        <w:t xml:space="preserve">Those new to university, the group of first-years, evaluated in the first months of higher education, showed higher rates of quality of life when compared with other university students, who had been in academia for longer. One circumstance to be assessed is that first-year students still use the high-school environment as a reference point, many recently removed from their family of origin, yet unaccustomed to the rhythm of delivering papers and exams. </w:t>
      </w:r>
    </w:p>
    <w:p w14:paraId="4BE39CA9" w14:textId="5492F221" w:rsidR="009773EF" w:rsidRPr="009773EF" w:rsidRDefault="009773EF" w:rsidP="009773EF">
      <w:pPr>
        <w:pStyle w:val="Prrafocomn"/>
      </w:pPr>
      <w:r w:rsidRPr="009773EF">
        <w:t>Although the highlight with lower rates of self-perception of quality of life falls, in this research, on undergraduates studying for more than six months, other research (</w:t>
      </w:r>
      <w:proofErr w:type="spellStart"/>
      <w:r w:rsidRPr="009773EF">
        <w:t>Dawalibi</w:t>
      </w:r>
      <w:proofErr w:type="spellEnd"/>
      <w:r w:rsidRPr="009773EF">
        <w:t xml:space="preserve"> et al.</w:t>
      </w:r>
      <w:r w:rsidR="00700A50">
        <w:t>,</w:t>
      </w:r>
      <w:r w:rsidRPr="009773EF">
        <w:t xml:space="preserve"> 2014; </w:t>
      </w:r>
      <w:proofErr w:type="spellStart"/>
      <w:r w:rsidRPr="009773EF">
        <w:t>Hisa</w:t>
      </w:r>
      <w:r w:rsidR="005E185D">
        <w:t>s</w:t>
      </w:r>
      <w:r w:rsidRPr="009773EF">
        <w:t>ue</w:t>
      </w:r>
      <w:proofErr w:type="spellEnd"/>
      <w:r w:rsidRPr="009773EF">
        <w:t xml:space="preserve"> et al.</w:t>
      </w:r>
      <w:r w:rsidR="00700A50">
        <w:t>,</w:t>
      </w:r>
      <w:r w:rsidRPr="009773EF">
        <w:t xml:space="preserve"> 2020) showed associations, in older adults, between higher education and better self-perception of quality of life. Perhaps this indicates that, in people’s life cycle have moments of greater psychic pressure with the need to obtain training and achieve a good entry into the labor market, and moments when, already as an older adult, having this passage of adulthood been successful in its main requirements, the chances of enjoying good (perceived) levels of quality of life increase.</w:t>
      </w:r>
    </w:p>
    <w:p w14:paraId="75FDE0B9" w14:textId="77777777" w:rsidR="009773EF" w:rsidRPr="009773EF" w:rsidRDefault="009773EF" w:rsidP="009773EF">
      <w:pPr>
        <w:pStyle w:val="Prrafocomn"/>
      </w:pPr>
      <w:r w:rsidRPr="009773EF">
        <w:t xml:space="preserve">Camargo et al. (2017) also observed a greater association between quality of life and higher schooling in visitors to Colombian parks. The research aimed to explore potential associations between individual and environmental aspects in the quality of life of users of 10 parks in the city of Bucaramanga, Colombia. Overall results of the 1,392 investigated visitors indicated a positive association with better quality of life for, in addition to higher schooling, those who visited the park with a company and active use of the park (for physical activity, etc.). Environmental </w:t>
      </w:r>
      <w:r w:rsidRPr="009773EF">
        <w:lastRenderedPageBreak/>
        <w:t xml:space="preserve">conditions of the park were also associated with higher quality of life, such as conditions of trees and paths, and perceived safety on the commute between home and park. More broadly, the authors suggest that exists an interaction between personal and environmental characteristics, subjective and objective, related to urban parks, social relationships associated with park visits, health conditions and physical activity that contribute to the perception of quality of life. </w:t>
      </w:r>
    </w:p>
    <w:p w14:paraId="27A3178A" w14:textId="3238ED1F" w:rsidR="009773EF" w:rsidRPr="009773EF" w:rsidRDefault="009773EF" w:rsidP="009773EF">
      <w:pPr>
        <w:pStyle w:val="Prrafocomn"/>
      </w:pPr>
      <w:r w:rsidRPr="009773EF">
        <w:t xml:space="preserve">Parks are characterized as green spaces, places that promote well-being with normally green nature (Foley </w:t>
      </w:r>
      <w:r w:rsidR="00F80C1D">
        <w:t>&amp;</w:t>
      </w:r>
      <w:r w:rsidRPr="009773EF">
        <w:t xml:space="preserve"> </w:t>
      </w:r>
      <w:proofErr w:type="spellStart"/>
      <w:r w:rsidRPr="009773EF">
        <w:t>Kistemann</w:t>
      </w:r>
      <w:proofErr w:type="spellEnd"/>
      <w:r w:rsidR="00F80C1D">
        <w:t>,</w:t>
      </w:r>
      <w:r w:rsidRPr="009773EF">
        <w:t xml:space="preserve"> 2015). The present research evaluated, in turn, individuals located in blue spaces (Foley </w:t>
      </w:r>
      <w:r w:rsidR="00F80C1D">
        <w:t>&amp;</w:t>
      </w:r>
      <w:r w:rsidRPr="009773EF">
        <w:t xml:space="preserve"> </w:t>
      </w:r>
      <w:proofErr w:type="spellStart"/>
      <w:r w:rsidRPr="009773EF">
        <w:t>Kistemann</w:t>
      </w:r>
      <w:proofErr w:type="spellEnd"/>
      <w:r w:rsidR="00F80C1D">
        <w:t>,</w:t>
      </w:r>
      <w:r w:rsidRPr="009773EF">
        <w:t xml:space="preserve"> 2015), places with water in their extension (such as beaches, lakes and rivers). Considering that the research was conducted with people from two coastal cities in a metropolitan region of São Paulo, despite the characteristics of age groups, gender and university status, the investigated sample has this particular characteristic, which is the proximity to the beach and, therefore, blue space. Aspects about beach access, frequency or type of activity performed (whether leisure or physical activity) were not evaluated. However, being close to the water, whether for physical activity, leisure, among others, has the potential to promote human well-being (Foley </w:t>
      </w:r>
      <w:r w:rsidR="00F80C1D">
        <w:t>&amp;</w:t>
      </w:r>
      <w:r w:rsidRPr="009773EF">
        <w:t xml:space="preserve"> </w:t>
      </w:r>
      <w:proofErr w:type="spellStart"/>
      <w:r w:rsidRPr="009773EF">
        <w:t>Kistemann</w:t>
      </w:r>
      <w:proofErr w:type="spellEnd"/>
      <w:r w:rsidR="00F80C1D">
        <w:t>,</w:t>
      </w:r>
      <w:r w:rsidRPr="009773EF">
        <w:t xml:space="preserve"> 2015). </w:t>
      </w:r>
    </w:p>
    <w:p w14:paraId="36CAC633" w14:textId="77777777" w:rsidR="009773EF" w:rsidRPr="009773EF" w:rsidRDefault="009773EF" w:rsidP="009773EF">
      <w:pPr>
        <w:pStyle w:val="Prrafocomn"/>
      </w:pPr>
      <w:r w:rsidRPr="009773EF">
        <w:t>The assessment of quality of life in older adults, according to the WHO perspectives, carried out in this study included a portion of the general population accessed in public and leisure places, in two coastal cities of São Paulo. Adults who attend these places may already have better health and also financial conditions, allowing them to experience a higher quality of life, thus preventing any generalization of the results found. Nevertheless, we raised important indications about age, gender and sociodemographic variables that can serve as guidance for possible public policies promoting quality of life to specific groups of the population, considering their peculiarities.</w:t>
      </w:r>
    </w:p>
    <w:p w14:paraId="1C226DCB" w14:textId="77777777" w:rsidR="009773EF" w:rsidRPr="009773EF" w:rsidRDefault="009773EF" w:rsidP="009773EF">
      <w:pPr>
        <w:pStyle w:val="Prrafocomn"/>
      </w:pPr>
      <w:r w:rsidRPr="009773EF">
        <w:t>Another important point is that research data collection happened before the Covid-19 pandemic (which led to prohibiting walking along the sea coast, beaches and malls, and especially establishing social distancing), which allows considering the possibility of major changes with respect to the population's quality of life, stimulating new research in the post-pandemic period.</w:t>
      </w:r>
    </w:p>
    <w:p w14:paraId="6FDAC15C" w14:textId="62A4122D" w:rsidR="009773EF" w:rsidRPr="009773EF" w:rsidRDefault="009773EF" w:rsidP="009773EF">
      <w:pPr>
        <w:pStyle w:val="Prrafocomn"/>
      </w:pPr>
      <w:r w:rsidRPr="009773EF">
        <w:t>Finally, it is opportune to resume that investigations on quality of life have intrinsic limitations specific to the boundaries of the concept, as well as the instruments used (Fiedler</w:t>
      </w:r>
      <w:r w:rsidR="00814605">
        <w:t>,</w:t>
      </w:r>
      <w:r w:rsidRPr="009773EF">
        <w:t xml:space="preserve"> 2008). This study incurs such limitations, especially regarding the instrument used, since other studies using the EUROHISQOL 8-item and the WHOQOL-</w:t>
      </w:r>
      <w:proofErr w:type="spellStart"/>
      <w:r w:rsidRPr="009773EF">
        <w:t>bref</w:t>
      </w:r>
      <w:proofErr w:type="spellEnd"/>
      <w:r w:rsidRPr="009773EF">
        <w:t xml:space="preserve"> perform score calculations </w:t>
      </w:r>
      <w:r w:rsidRPr="009773EF">
        <w:lastRenderedPageBreak/>
        <w:t>differently, a fact that hinders direct comparisons. However, several Brazilian publications report studies with WHO quality of life instruments, especially with university students. We posit, thus, a suggestion for meta-analysis studies aiming to ascertain the national situation of quality of life, with university students and the general population.</w:t>
      </w:r>
    </w:p>
    <w:p w14:paraId="7A53A700" w14:textId="3FA6BD4A" w:rsidR="009773EF" w:rsidRPr="009773EF" w:rsidRDefault="009773EF" w:rsidP="009773EF">
      <w:pPr>
        <w:pStyle w:val="Prrafocomn"/>
      </w:pPr>
      <w:r w:rsidRPr="009773EF">
        <w:t>This research aimed to verify perceptions of quality of life in adults of different ages and economic classes. The assessment occurred under WHO conceptual and evaluative frameworks. With quality of life understood as individual perceptions of one’s own life integration, contextualized by culture and a value system. Therefore, we performed the evaluation using an instrument of the WHO quality of life assessment family, the EUROHISQOL 8-item, a quick test alternative chosen for investigating samples with more than 1,000 participants. The instrument includes elements related to the degrees of assessment of one’s own quality of life, satisfaction with one’s own health, with oneself, with their personal relationships and condition of place of residence, and with the amount of energy available for their daily lives and sufficiency of money to meet their needs.</w:t>
      </w:r>
    </w:p>
    <w:p w14:paraId="6CD8B4A8" w14:textId="289C6AA8" w:rsidR="006F7E7E" w:rsidRPr="0021059C" w:rsidRDefault="00CD7EC5" w:rsidP="00474908">
      <w:pPr>
        <w:pStyle w:val="Ttulosinternos"/>
      </w:pPr>
      <w:proofErr w:type="spellStart"/>
      <w:r w:rsidRPr="0021059C">
        <w:t>Refer</w:t>
      </w:r>
      <w:r w:rsidR="009773EF" w:rsidRPr="0021059C">
        <w:t>ences</w:t>
      </w:r>
      <w:proofErr w:type="spellEnd"/>
    </w:p>
    <w:p w14:paraId="5B294030" w14:textId="26148649" w:rsidR="009773EF" w:rsidRPr="0021059C" w:rsidRDefault="009773EF" w:rsidP="009773EF">
      <w:pPr>
        <w:ind w:left="720" w:hanging="720"/>
        <w:jc w:val="both"/>
        <w:rPr>
          <w:lang w:val="pt-BR"/>
        </w:rPr>
      </w:pPr>
      <w:r w:rsidRPr="009773EF">
        <w:rPr>
          <w:lang w:val="pt-BR"/>
        </w:rPr>
        <w:t>Alfredo</w:t>
      </w:r>
      <w:r w:rsidR="0021059C">
        <w:rPr>
          <w:lang w:val="pt-BR"/>
        </w:rPr>
        <w:t>,</w:t>
      </w:r>
      <w:r w:rsidRPr="009773EF">
        <w:rPr>
          <w:lang w:val="pt-BR"/>
        </w:rPr>
        <w:t xml:space="preserve"> P</w:t>
      </w:r>
      <w:r w:rsidR="0021059C">
        <w:rPr>
          <w:lang w:val="pt-BR"/>
        </w:rPr>
        <w:t xml:space="preserve">. </w:t>
      </w:r>
      <w:r w:rsidRPr="009773EF">
        <w:rPr>
          <w:lang w:val="pt-BR"/>
        </w:rPr>
        <w:t>P</w:t>
      </w:r>
      <w:r w:rsidR="0021059C">
        <w:rPr>
          <w:lang w:val="pt-BR"/>
        </w:rPr>
        <w:t xml:space="preserve">., Biondi, J. C. L., &amp; </w:t>
      </w:r>
      <w:proofErr w:type="spellStart"/>
      <w:r w:rsidR="0021059C">
        <w:rPr>
          <w:lang w:val="pt-BR"/>
        </w:rPr>
        <w:t>Manna</w:t>
      </w:r>
      <w:proofErr w:type="spellEnd"/>
      <w:r w:rsidR="0021059C">
        <w:rPr>
          <w:lang w:val="pt-BR"/>
        </w:rPr>
        <w:t xml:space="preserve">, V. (2016). </w:t>
      </w:r>
      <w:r w:rsidRPr="009773EF">
        <w:rPr>
          <w:lang w:val="pt-BR"/>
        </w:rPr>
        <w:t xml:space="preserve">Avaliação da qualidade de vida e estresse em acadêmicos do curso de Fisioterapia. </w:t>
      </w:r>
      <w:r w:rsidR="0021059C" w:rsidRPr="0021059C">
        <w:rPr>
          <w:i/>
          <w:iCs/>
          <w:lang w:val="pt-BR"/>
        </w:rPr>
        <w:t xml:space="preserve">Revista do Instituto de Ciências da Saúde, </w:t>
      </w:r>
      <w:r w:rsidRPr="0021059C">
        <w:rPr>
          <w:i/>
          <w:iCs/>
          <w:lang w:val="pt-BR"/>
        </w:rPr>
        <w:t>34</w:t>
      </w:r>
      <w:r w:rsidRPr="0021059C">
        <w:rPr>
          <w:lang w:val="pt-BR"/>
        </w:rPr>
        <w:t>(4)</w:t>
      </w:r>
      <w:r w:rsidR="0021059C" w:rsidRPr="0021059C">
        <w:rPr>
          <w:lang w:val="pt-BR"/>
        </w:rPr>
        <w:t xml:space="preserve">, </w:t>
      </w:r>
      <w:r w:rsidRPr="0021059C">
        <w:rPr>
          <w:lang w:val="pt-BR"/>
        </w:rPr>
        <w:t xml:space="preserve">224-230. </w:t>
      </w:r>
      <w:hyperlink r:id="rId11" w:history="1">
        <w:r w:rsidR="0021059C" w:rsidRPr="00E96C6E">
          <w:rPr>
            <w:rStyle w:val="Hyperlink"/>
            <w:lang w:val="pt-BR"/>
          </w:rPr>
          <w:t>https://repositorio.unip.br/wp-content/uploads/2020/12/V34_n4_2016_p224a230.pdf</w:t>
        </w:r>
      </w:hyperlink>
      <w:r w:rsidR="0021059C">
        <w:rPr>
          <w:lang w:val="pt-BR"/>
        </w:rPr>
        <w:t xml:space="preserve"> </w:t>
      </w:r>
    </w:p>
    <w:p w14:paraId="58906068" w14:textId="0F9B11B9" w:rsidR="009773EF" w:rsidRPr="00146C86" w:rsidRDefault="009773EF" w:rsidP="009773EF">
      <w:pPr>
        <w:ind w:left="720" w:hanging="720"/>
        <w:jc w:val="both"/>
        <w:rPr>
          <w:lang w:val="en-US"/>
        </w:rPr>
      </w:pPr>
      <w:r w:rsidRPr="009773EF">
        <w:rPr>
          <w:lang w:val="pt-BR"/>
        </w:rPr>
        <w:t>Andrade</w:t>
      </w:r>
      <w:r w:rsidR="0021059C">
        <w:rPr>
          <w:lang w:val="pt-BR"/>
        </w:rPr>
        <w:t>,</w:t>
      </w:r>
      <w:r w:rsidRPr="009773EF">
        <w:rPr>
          <w:lang w:val="pt-BR"/>
        </w:rPr>
        <w:t xml:space="preserve"> A</w:t>
      </w:r>
      <w:r w:rsidR="0021059C">
        <w:rPr>
          <w:lang w:val="pt-BR"/>
        </w:rPr>
        <w:t>.,</w:t>
      </w:r>
      <w:r w:rsidRPr="009773EF">
        <w:rPr>
          <w:lang w:val="pt-BR"/>
        </w:rPr>
        <w:t xml:space="preserve"> </w:t>
      </w:r>
      <w:r w:rsidR="0021059C">
        <w:rPr>
          <w:lang w:val="pt-BR"/>
        </w:rPr>
        <w:t>&amp;</w:t>
      </w:r>
      <w:r w:rsidRPr="009773EF">
        <w:rPr>
          <w:lang w:val="pt-BR"/>
        </w:rPr>
        <w:t xml:space="preserve"> Martin</w:t>
      </w:r>
      <w:r w:rsidR="0021059C">
        <w:rPr>
          <w:lang w:val="pt-BR"/>
        </w:rPr>
        <w:t xml:space="preserve">s, R. (2011). </w:t>
      </w:r>
      <w:r w:rsidRPr="009773EF">
        <w:rPr>
          <w:lang w:val="pt-BR"/>
        </w:rPr>
        <w:t xml:space="preserve">Funcionalidade Familiar e Qualidade de Vida dos Idosos. </w:t>
      </w:r>
      <w:proofErr w:type="spellStart"/>
      <w:r w:rsidRPr="0021059C">
        <w:rPr>
          <w:i/>
          <w:iCs/>
          <w:lang w:val="en-US"/>
        </w:rPr>
        <w:t>Millenium</w:t>
      </w:r>
      <w:proofErr w:type="spellEnd"/>
      <w:r w:rsidR="0021059C">
        <w:rPr>
          <w:i/>
          <w:iCs/>
          <w:lang w:val="en-US"/>
        </w:rPr>
        <w:t xml:space="preserve"> -</w:t>
      </w:r>
      <w:r w:rsidR="0021059C" w:rsidRPr="0021059C">
        <w:t xml:space="preserve"> </w:t>
      </w:r>
      <w:r w:rsidR="0021059C" w:rsidRPr="0021059C">
        <w:rPr>
          <w:i/>
          <w:iCs/>
          <w:lang w:val="en-US"/>
        </w:rPr>
        <w:t>Journal of Education, Technologies, and Health</w:t>
      </w:r>
      <w:r w:rsidR="0021059C">
        <w:rPr>
          <w:i/>
          <w:iCs/>
          <w:lang w:val="en-US"/>
        </w:rPr>
        <w:t>,</w:t>
      </w:r>
      <w:r w:rsidRPr="0021059C">
        <w:rPr>
          <w:i/>
          <w:iCs/>
          <w:lang w:val="en-US"/>
        </w:rPr>
        <w:t xml:space="preserve"> 40</w:t>
      </w:r>
      <w:r w:rsidRPr="009773EF">
        <w:rPr>
          <w:lang w:val="en-US"/>
        </w:rPr>
        <w:t>(16)</w:t>
      </w:r>
      <w:r w:rsidR="0021059C">
        <w:rPr>
          <w:lang w:val="en-US"/>
        </w:rPr>
        <w:t xml:space="preserve">, </w:t>
      </w:r>
      <w:r w:rsidRPr="009773EF">
        <w:rPr>
          <w:lang w:val="en-US"/>
        </w:rPr>
        <w:t xml:space="preserve">185-199. </w:t>
      </w:r>
      <w:hyperlink r:id="rId12" w:history="1">
        <w:r w:rsidR="0021059C" w:rsidRPr="00146C86">
          <w:rPr>
            <w:rStyle w:val="Hyperlink"/>
            <w:lang w:val="en-US"/>
          </w:rPr>
          <w:t>https://revistas.rcaap.pt/millenium/article/view/8227</w:t>
        </w:r>
      </w:hyperlink>
      <w:r w:rsidR="0021059C" w:rsidRPr="00146C86">
        <w:rPr>
          <w:lang w:val="en-US"/>
        </w:rPr>
        <w:t xml:space="preserve"> </w:t>
      </w:r>
    </w:p>
    <w:p w14:paraId="35CF4FFF" w14:textId="4693B7AD" w:rsidR="009773EF" w:rsidRPr="009773EF" w:rsidRDefault="009773EF" w:rsidP="009773EF">
      <w:pPr>
        <w:ind w:left="720" w:hanging="720"/>
        <w:jc w:val="both"/>
        <w:rPr>
          <w:lang w:val="en-US"/>
        </w:rPr>
      </w:pPr>
      <w:r w:rsidRPr="008975FE">
        <w:rPr>
          <w:lang w:val="pt-BR"/>
        </w:rPr>
        <w:t>Andrade</w:t>
      </w:r>
      <w:r w:rsidR="008975FE" w:rsidRPr="008975FE">
        <w:rPr>
          <w:lang w:val="pt-BR"/>
        </w:rPr>
        <w:t>, L. H</w:t>
      </w:r>
      <w:r w:rsidR="008975FE">
        <w:rPr>
          <w:lang w:val="pt-BR"/>
        </w:rPr>
        <w:t xml:space="preserve">., </w:t>
      </w:r>
      <w:r w:rsidR="008975FE" w:rsidRPr="008975FE">
        <w:rPr>
          <w:lang w:val="pt-BR"/>
        </w:rPr>
        <w:t>Wang,</w:t>
      </w:r>
      <w:r w:rsidR="008975FE">
        <w:rPr>
          <w:lang w:val="pt-BR"/>
        </w:rPr>
        <w:t xml:space="preserve"> Y., </w:t>
      </w:r>
      <w:proofErr w:type="spellStart"/>
      <w:r w:rsidR="008975FE" w:rsidRPr="008975FE">
        <w:rPr>
          <w:lang w:val="pt-BR"/>
        </w:rPr>
        <w:t>Andreoni</w:t>
      </w:r>
      <w:proofErr w:type="spellEnd"/>
      <w:r w:rsidR="008975FE" w:rsidRPr="008975FE">
        <w:rPr>
          <w:lang w:val="pt-BR"/>
        </w:rPr>
        <w:t>,</w:t>
      </w:r>
      <w:r w:rsidR="008975FE">
        <w:rPr>
          <w:lang w:val="pt-BR"/>
        </w:rPr>
        <w:t xml:space="preserve"> S., </w:t>
      </w:r>
      <w:r w:rsidR="008975FE" w:rsidRPr="008975FE">
        <w:rPr>
          <w:lang w:val="pt-BR"/>
        </w:rPr>
        <w:t>Silveira,</w:t>
      </w:r>
      <w:r w:rsidR="008975FE">
        <w:rPr>
          <w:lang w:val="pt-BR"/>
        </w:rPr>
        <w:t xml:space="preserve"> C. M., </w:t>
      </w:r>
      <w:r w:rsidR="008975FE" w:rsidRPr="008975FE">
        <w:rPr>
          <w:lang w:val="pt-BR"/>
        </w:rPr>
        <w:t>Alexandrino-Silva,</w:t>
      </w:r>
      <w:r w:rsidR="008975FE">
        <w:rPr>
          <w:lang w:val="pt-BR"/>
        </w:rPr>
        <w:t xml:space="preserve"> C., </w:t>
      </w:r>
      <w:proofErr w:type="spellStart"/>
      <w:r w:rsidR="008975FE" w:rsidRPr="008975FE">
        <w:rPr>
          <w:lang w:val="pt-BR"/>
        </w:rPr>
        <w:t>Siu</w:t>
      </w:r>
      <w:proofErr w:type="spellEnd"/>
      <w:r w:rsidR="008975FE" w:rsidRPr="008975FE">
        <w:rPr>
          <w:lang w:val="pt-BR"/>
        </w:rPr>
        <w:t>,</w:t>
      </w:r>
      <w:r w:rsidR="008975FE">
        <w:rPr>
          <w:lang w:val="pt-BR"/>
        </w:rPr>
        <w:t xml:space="preserve"> E. R., </w:t>
      </w:r>
      <w:proofErr w:type="spellStart"/>
      <w:r w:rsidR="008975FE" w:rsidRPr="008975FE">
        <w:rPr>
          <w:lang w:val="pt-BR"/>
        </w:rPr>
        <w:t>Nishimura</w:t>
      </w:r>
      <w:proofErr w:type="spellEnd"/>
      <w:r w:rsidR="008975FE" w:rsidRPr="008975FE">
        <w:rPr>
          <w:lang w:val="pt-BR"/>
        </w:rPr>
        <w:t>,</w:t>
      </w:r>
      <w:r w:rsidR="008975FE">
        <w:rPr>
          <w:lang w:val="pt-BR"/>
        </w:rPr>
        <w:t xml:space="preserve"> R., </w:t>
      </w:r>
      <w:r w:rsidR="008975FE" w:rsidRPr="008975FE">
        <w:rPr>
          <w:lang w:val="pt-BR"/>
        </w:rPr>
        <w:t>Anthony,</w:t>
      </w:r>
      <w:r w:rsidR="008975FE">
        <w:rPr>
          <w:lang w:val="pt-BR"/>
        </w:rPr>
        <w:t xml:space="preserve"> J. C., </w:t>
      </w:r>
      <w:proofErr w:type="spellStart"/>
      <w:r w:rsidR="008975FE" w:rsidRPr="008975FE">
        <w:rPr>
          <w:lang w:val="pt-BR"/>
        </w:rPr>
        <w:t>Gattaz</w:t>
      </w:r>
      <w:proofErr w:type="spellEnd"/>
      <w:r w:rsidR="008975FE" w:rsidRPr="008975FE">
        <w:rPr>
          <w:lang w:val="pt-BR"/>
        </w:rPr>
        <w:t>,</w:t>
      </w:r>
      <w:r w:rsidR="008975FE">
        <w:rPr>
          <w:lang w:val="pt-BR"/>
        </w:rPr>
        <w:t xml:space="preserve"> W. F., </w:t>
      </w:r>
      <w:proofErr w:type="spellStart"/>
      <w:r w:rsidR="008975FE" w:rsidRPr="008975FE">
        <w:rPr>
          <w:lang w:val="pt-BR"/>
        </w:rPr>
        <w:t>Kessler</w:t>
      </w:r>
      <w:proofErr w:type="spellEnd"/>
      <w:r w:rsidR="008975FE" w:rsidRPr="008975FE">
        <w:rPr>
          <w:lang w:val="pt-BR"/>
        </w:rPr>
        <w:t>,</w:t>
      </w:r>
      <w:r w:rsidR="008975FE">
        <w:rPr>
          <w:lang w:val="pt-BR"/>
        </w:rPr>
        <w:t xml:space="preserve"> R. C., &amp; </w:t>
      </w:r>
      <w:r w:rsidR="008975FE" w:rsidRPr="008975FE">
        <w:rPr>
          <w:lang w:val="pt-BR"/>
        </w:rPr>
        <w:t>Viana</w:t>
      </w:r>
      <w:r w:rsidR="008975FE">
        <w:rPr>
          <w:lang w:val="pt-BR"/>
        </w:rPr>
        <w:t xml:space="preserve">, M. C. </w:t>
      </w:r>
      <w:r w:rsidR="008975FE" w:rsidRPr="008975FE">
        <w:rPr>
          <w:lang w:val="pt-BR"/>
        </w:rPr>
        <w:t xml:space="preserve">(2012). </w:t>
      </w:r>
      <w:r w:rsidRPr="009773EF">
        <w:rPr>
          <w:lang w:val="en-US"/>
        </w:rPr>
        <w:t xml:space="preserve">Mental disorders in megacities: Findings from the Sao Paulo megacity mental health survey. </w:t>
      </w:r>
      <w:proofErr w:type="spellStart"/>
      <w:r w:rsidRPr="008975FE">
        <w:rPr>
          <w:i/>
          <w:iCs/>
          <w:lang w:val="en-US"/>
        </w:rPr>
        <w:t>PLoS</w:t>
      </w:r>
      <w:proofErr w:type="spellEnd"/>
      <w:r w:rsidRPr="008975FE">
        <w:rPr>
          <w:i/>
          <w:iCs/>
          <w:lang w:val="en-US"/>
        </w:rPr>
        <w:t xml:space="preserve"> ONE</w:t>
      </w:r>
      <w:r w:rsidR="008975FE" w:rsidRPr="008975FE">
        <w:rPr>
          <w:i/>
          <w:iCs/>
          <w:lang w:val="en-US"/>
        </w:rPr>
        <w:t xml:space="preserve">, </w:t>
      </w:r>
      <w:r w:rsidRPr="008975FE">
        <w:rPr>
          <w:i/>
          <w:iCs/>
          <w:lang w:val="en-US"/>
        </w:rPr>
        <w:t>7</w:t>
      </w:r>
      <w:r w:rsidRPr="009773EF">
        <w:rPr>
          <w:lang w:val="en-US"/>
        </w:rPr>
        <w:t>(2)</w:t>
      </w:r>
      <w:r w:rsidR="008975FE">
        <w:rPr>
          <w:lang w:val="en-US"/>
        </w:rPr>
        <w:t xml:space="preserve">, </w:t>
      </w:r>
      <w:r w:rsidRPr="009773EF">
        <w:rPr>
          <w:lang w:val="en-US"/>
        </w:rPr>
        <w:t xml:space="preserve">e31879. </w:t>
      </w:r>
      <w:hyperlink r:id="rId13" w:history="1">
        <w:r w:rsidR="008975FE" w:rsidRPr="00E96C6E">
          <w:rPr>
            <w:rStyle w:val="Hyperlink"/>
            <w:lang w:val="en-US"/>
          </w:rPr>
          <w:t>https://doi.org/10.1371/journal.pone.0031879</w:t>
        </w:r>
      </w:hyperlink>
      <w:r w:rsidR="008975FE">
        <w:rPr>
          <w:lang w:val="en-US"/>
        </w:rPr>
        <w:t xml:space="preserve"> </w:t>
      </w:r>
    </w:p>
    <w:p w14:paraId="6D3CB7C9" w14:textId="5DA76A74" w:rsidR="009773EF" w:rsidRPr="009773EF" w:rsidRDefault="009773EF" w:rsidP="009773EF">
      <w:pPr>
        <w:ind w:left="720" w:hanging="720"/>
        <w:jc w:val="both"/>
        <w:rPr>
          <w:lang w:val="en-US"/>
        </w:rPr>
      </w:pPr>
      <w:r w:rsidRPr="009773EF">
        <w:rPr>
          <w:lang w:val="en-US"/>
        </w:rPr>
        <w:t>American College Health Association</w:t>
      </w:r>
      <w:r w:rsidR="00213C94">
        <w:rPr>
          <w:lang w:val="en-US"/>
        </w:rPr>
        <w:t xml:space="preserve"> (2018)</w:t>
      </w:r>
      <w:r w:rsidRPr="009773EF">
        <w:rPr>
          <w:lang w:val="en-US"/>
        </w:rPr>
        <w:t xml:space="preserve">. </w:t>
      </w:r>
      <w:r w:rsidRPr="008975FE">
        <w:rPr>
          <w:i/>
          <w:iCs/>
          <w:lang w:val="en-US"/>
        </w:rPr>
        <w:t>National College Health Assessment II</w:t>
      </w:r>
      <w:r w:rsidRPr="009773EF">
        <w:rPr>
          <w:lang w:val="en-US"/>
        </w:rPr>
        <w:t>: Reference Group. Silver Spring</w:t>
      </w:r>
      <w:r w:rsidR="00213C94">
        <w:rPr>
          <w:lang w:val="en-US"/>
        </w:rPr>
        <w:t xml:space="preserve">. </w:t>
      </w:r>
      <w:hyperlink r:id="rId14" w:history="1">
        <w:r w:rsidR="00213C94" w:rsidRPr="00E96C6E">
          <w:rPr>
            <w:rStyle w:val="Hyperlink"/>
            <w:lang w:val="en-US"/>
          </w:rPr>
          <w:t>https://www.acha.org/documents/ncha/NCHA-II_Spring_2018_Reference_Group_Executive_Summary.pdf</w:t>
        </w:r>
      </w:hyperlink>
      <w:r w:rsidR="00213C94">
        <w:rPr>
          <w:lang w:val="en-US"/>
        </w:rPr>
        <w:t xml:space="preserve"> </w:t>
      </w:r>
    </w:p>
    <w:p w14:paraId="4D63852B" w14:textId="38F5D049" w:rsidR="009773EF" w:rsidRPr="00213C94" w:rsidRDefault="009773EF" w:rsidP="009773EF">
      <w:pPr>
        <w:ind w:left="720" w:hanging="720"/>
        <w:jc w:val="both"/>
        <w:rPr>
          <w:lang w:val="pt-BR"/>
        </w:rPr>
      </w:pPr>
      <w:r w:rsidRPr="009773EF">
        <w:rPr>
          <w:lang w:val="pt-BR"/>
        </w:rPr>
        <w:t>Associação Brasileira de Empresas de Pesquisa</w:t>
      </w:r>
      <w:r w:rsidR="00213C94">
        <w:rPr>
          <w:lang w:val="pt-BR"/>
        </w:rPr>
        <w:t xml:space="preserve"> (2018)</w:t>
      </w:r>
      <w:r w:rsidRPr="009773EF">
        <w:rPr>
          <w:lang w:val="pt-BR"/>
        </w:rPr>
        <w:t xml:space="preserve">. </w:t>
      </w:r>
      <w:r w:rsidRPr="00213C94">
        <w:rPr>
          <w:i/>
          <w:iCs/>
          <w:lang w:val="pt-BR"/>
        </w:rPr>
        <w:t>Critério de Classificação Econômica Brasil</w:t>
      </w:r>
      <w:r w:rsidR="00213C94">
        <w:rPr>
          <w:i/>
          <w:iCs/>
          <w:lang w:val="pt-BR"/>
        </w:rPr>
        <w:t xml:space="preserve">. </w:t>
      </w:r>
      <w:hyperlink r:id="rId15" w:history="1">
        <w:r w:rsidR="00213C94" w:rsidRPr="00E96C6E">
          <w:rPr>
            <w:rStyle w:val="Hyperlink"/>
            <w:lang w:val="pt-BR"/>
          </w:rPr>
          <w:t>http://www.abep.org/criterio-brasil</w:t>
        </w:r>
      </w:hyperlink>
      <w:r w:rsidR="00213C94">
        <w:rPr>
          <w:lang w:val="pt-BR"/>
        </w:rPr>
        <w:t xml:space="preserve"> </w:t>
      </w:r>
    </w:p>
    <w:p w14:paraId="7DF892DE" w14:textId="0F55896E" w:rsidR="009773EF" w:rsidRPr="009773EF" w:rsidRDefault="009773EF" w:rsidP="009773EF">
      <w:pPr>
        <w:ind w:left="720" w:hanging="720"/>
        <w:jc w:val="both"/>
        <w:rPr>
          <w:lang w:val="pt-BR"/>
        </w:rPr>
      </w:pPr>
      <w:r w:rsidRPr="009773EF">
        <w:rPr>
          <w:lang w:val="pt-BR"/>
        </w:rPr>
        <w:t>Barros</w:t>
      </w:r>
      <w:r w:rsidR="00213C94">
        <w:rPr>
          <w:lang w:val="pt-BR"/>
        </w:rPr>
        <w:t>,</w:t>
      </w:r>
      <w:r w:rsidRPr="009773EF">
        <w:rPr>
          <w:lang w:val="pt-BR"/>
        </w:rPr>
        <w:t xml:space="preserve"> S</w:t>
      </w:r>
      <w:r w:rsidR="00213C94">
        <w:rPr>
          <w:lang w:val="pt-BR"/>
        </w:rPr>
        <w:t xml:space="preserve">. </w:t>
      </w:r>
      <w:r w:rsidRPr="009773EF">
        <w:rPr>
          <w:lang w:val="pt-BR"/>
        </w:rPr>
        <w:t xml:space="preserve">P. </w:t>
      </w:r>
      <w:r w:rsidR="00213C94">
        <w:rPr>
          <w:lang w:val="pt-BR"/>
        </w:rPr>
        <w:t xml:space="preserve">(2012). </w:t>
      </w:r>
      <w:r w:rsidRPr="009773EF">
        <w:rPr>
          <w:lang w:val="pt-BR"/>
        </w:rPr>
        <w:t xml:space="preserve">Os discursos sobre qualidade de vida para os trabalhadores enquanto mecanismos disciplinares. </w:t>
      </w:r>
      <w:r w:rsidRPr="00213C94">
        <w:rPr>
          <w:i/>
          <w:iCs/>
          <w:lang w:val="pt-BR"/>
        </w:rPr>
        <w:t>Cadernos de Psicologia Social do Trabalho</w:t>
      </w:r>
      <w:r w:rsidR="00213C94" w:rsidRPr="00213C94">
        <w:rPr>
          <w:i/>
          <w:iCs/>
          <w:lang w:val="pt-BR"/>
        </w:rPr>
        <w:t xml:space="preserve">, </w:t>
      </w:r>
      <w:r w:rsidRPr="00213C94">
        <w:rPr>
          <w:i/>
          <w:iCs/>
          <w:lang w:val="pt-BR"/>
        </w:rPr>
        <w:t>15</w:t>
      </w:r>
      <w:r w:rsidRPr="009773EF">
        <w:rPr>
          <w:lang w:val="pt-BR"/>
        </w:rPr>
        <w:t>(1)</w:t>
      </w:r>
      <w:r w:rsidR="00213C94">
        <w:rPr>
          <w:lang w:val="pt-BR"/>
        </w:rPr>
        <w:t>,</w:t>
      </w:r>
      <w:r w:rsidRPr="009773EF">
        <w:rPr>
          <w:lang w:val="pt-BR"/>
        </w:rPr>
        <w:t xml:space="preserve"> 17-32.   </w:t>
      </w:r>
      <w:hyperlink r:id="rId16" w:history="1">
        <w:r w:rsidR="00213C94" w:rsidRPr="00E96C6E">
          <w:rPr>
            <w:rStyle w:val="Hyperlink"/>
            <w:lang w:val="pt-BR"/>
          </w:rPr>
          <w:t>http://pepsic.bvsalud.org/scielo.php?script=sci_arttext&amp;pid=S1516-37172012000100003&amp;lng=pt&amp;nrm=iso</w:t>
        </w:r>
      </w:hyperlink>
      <w:r w:rsidR="00213C94">
        <w:rPr>
          <w:lang w:val="pt-BR"/>
        </w:rPr>
        <w:t xml:space="preserve"> </w:t>
      </w:r>
    </w:p>
    <w:p w14:paraId="19B1646A" w14:textId="104D88FA" w:rsidR="00213C94" w:rsidRDefault="00C662C9" w:rsidP="009773EF">
      <w:pPr>
        <w:ind w:left="720" w:hanging="720"/>
        <w:jc w:val="both"/>
        <w:rPr>
          <w:lang w:val="pt-BR"/>
        </w:rPr>
      </w:pPr>
      <w:r>
        <w:rPr>
          <w:lang w:val="pt-BR"/>
        </w:rPr>
        <w:t xml:space="preserve">Barros, M. J., </w:t>
      </w:r>
      <w:proofErr w:type="spellStart"/>
      <w:r w:rsidR="00213C94" w:rsidRPr="00213C94">
        <w:rPr>
          <w:lang w:val="pt-BR"/>
        </w:rPr>
        <w:t>Borsari</w:t>
      </w:r>
      <w:proofErr w:type="spellEnd"/>
      <w:r w:rsidR="00213C94" w:rsidRPr="00213C94">
        <w:rPr>
          <w:lang w:val="pt-BR"/>
        </w:rPr>
        <w:t xml:space="preserve">, C. M. G., Fernandes, A. O., Silva, A., &amp; </w:t>
      </w:r>
      <w:proofErr w:type="spellStart"/>
      <w:r w:rsidR="00213C94" w:rsidRPr="00213C94">
        <w:rPr>
          <w:lang w:val="pt-BR"/>
        </w:rPr>
        <w:t>Filoni</w:t>
      </w:r>
      <w:proofErr w:type="spellEnd"/>
      <w:r w:rsidR="00213C94" w:rsidRPr="00213C94">
        <w:rPr>
          <w:lang w:val="pt-BR"/>
        </w:rPr>
        <w:t xml:space="preserve">, E. (2017). Avaliação da qualidade de vida de universitários da área da saúde. </w:t>
      </w:r>
      <w:r w:rsidR="00213C94" w:rsidRPr="00C662C9">
        <w:rPr>
          <w:i/>
          <w:iCs/>
          <w:lang w:val="pt-BR"/>
        </w:rPr>
        <w:t xml:space="preserve">Revista Brasileira </w:t>
      </w:r>
      <w:r w:rsidRPr="00C662C9">
        <w:rPr>
          <w:i/>
          <w:iCs/>
          <w:lang w:val="pt-BR"/>
        </w:rPr>
        <w:t>d</w:t>
      </w:r>
      <w:r w:rsidR="00213C94" w:rsidRPr="00C662C9">
        <w:rPr>
          <w:i/>
          <w:iCs/>
          <w:lang w:val="pt-BR"/>
        </w:rPr>
        <w:t xml:space="preserve">e Educação </w:t>
      </w:r>
      <w:r w:rsidRPr="00C662C9">
        <w:rPr>
          <w:i/>
          <w:iCs/>
          <w:lang w:val="pt-BR"/>
        </w:rPr>
        <w:t>e</w:t>
      </w:r>
      <w:r w:rsidR="00213C94" w:rsidRPr="00C662C9">
        <w:rPr>
          <w:i/>
          <w:iCs/>
          <w:lang w:val="pt-BR"/>
        </w:rPr>
        <w:t xml:space="preserve"> Saúde, 7</w:t>
      </w:r>
      <w:r w:rsidR="00213C94" w:rsidRPr="00213C94">
        <w:rPr>
          <w:lang w:val="pt-BR"/>
        </w:rPr>
        <w:t xml:space="preserve">(1), 16-22. </w:t>
      </w:r>
      <w:hyperlink r:id="rId17" w:history="1">
        <w:r w:rsidR="00213C94" w:rsidRPr="00E96C6E">
          <w:rPr>
            <w:rStyle w:val="Hyperlink"/>
            <w:lang w:val="pt-BR"/>
          </w:rPr>
          <w:t>https://doi.org/10.18378/rebes.v7i1.4235</w:t>
        </w:r>
      </w:hyperlink>
    </w:p>
    <w:p w14:paraId="305F91AB" w14:textId="286D5272" w:rsidR="009773EF" w:rsidRPr="00C662C9" w:rsidRDefault="009773EF" w:rsidP="009773EF">
      <w:pPr>
        <w:ind w:left="720" w:hanging="720"/>
        <w:jc w:val="both"/>
        <w:rPr>
          <w:lang w:val="pt-BR"/>
        </w:rPr>
      </w:pPr>
      <w:r w:rsidRPr="00C662C9">
        <w:rPr>
          <w:lang w:val="pt-BR"/>
        </w:rPr>
        <w:lastRenderedPageBreak/>
        <w:t>Benetti</w:t>
      </w:r>
      <w:r w:rsidR="00C662C9" w:rsidRPr="00C662C9">
        <w:rPr>
          <w:lang w:val="pt-BR"/>
        </w:rPr>
        <w:t>,</w:t>
      </w:r>
      <w:r w:rsidRPr="00C662C9">
        <w:rPr>
          <w:lang w:val="pt-BR"/>
        </w:rPr>
        <w:t xml:space="preserve"> I</w:t>
      </w:r>
      <w:r w:rsidR="00C662C9" w:rsidRPr="00C662C9">
        <w:rPr>
          <w:lang w:val="pt-BR"/>
        </w:rPr>
        <w:t xml:space="preserve">. </w:t>
      </w:r>
      <w:r w:rsidRPr="00C662C9">
        <w:rPr>
          <w:lang w:val="pt-BR"/>
        </w:rPr>
        <w:t>C</w:t>
      </w:r>
      <w:r w:rsidR="00C662C9" w:rsidRPr="00C662C9">
        <w:rPr>
          <w:lang w:val="pt-BR"/>
        </w:rPr>
        <w:t>., Vieira, M.</w:t>
      </w:r>
      <w:r w:rsidR="00C662C9">
        <w:rPr>
          <w:lang w:val="pt-BR"/>
        </w:rPr>
        <w:t xml:space="preserve"> L., </w:t>
      </w:r>
      <w:proofErr w:type="spellStart"/>
      <w:r w:rsidR="00C662C9">
        <w:rPr>
          <w:lang w:val="pt-BR"/>
        </w:rPr>
        <w:t>Crepaldi</w:t>
      </w:r>
      <w:proofErr w:type="spellEnd"/>
      <w:r w:rsidR="00C662C9">
        <w:rPr>
          <w:lang w:val="pt-BR"/>
        </w:rPr>
        <w:t xml:space="preserve">, M. A., &amp; Schneider, D. R. (2013). </w:t>
      </w:r>
      <w:r w:rsidRPr="009773EF">
        <w:rPr>
          <w:lang w:val="pt-BR"/>
        </w:rPr>
        <w:t xml:space="preserve">Fundamentos da teoria </w:t>
      </w:r>
      <w:proofErr w:type="spellStart"/>
      <w:r w:rsidRPr="009773EF">
        <w:rPr>
          <w:lang w:val="pt-BR"/>
        </w:rPr>
        <w:t>bioecológica</w:t>
      </w:r>
      <w:proofErr w:type="spellEnd"/>
      <w:r w:rsidRPr="009773EF">
        <w:rPr>
          <w:lang w:val="pt-BR"/>
        </w:rPr>
        <w:t xml:space="preserve"> de </w:t>
      </w:r>
      <w:proofErr w:type="spellStart"/>
      <w:r w:rsidRPr="009773EF">
        <w:rPr>
          <w:lang w:val="pt-BR"/>
        </w:rPr>
        <w:t>Urie</w:t>
      </w:r>
      <w:proofErr w:type="spellEnd"/>
      <w:r w:rsidRPr="009773EF">
        <w:rPr>
          <w:lang w:val="pt-BR"/>
        </w:rPr>
        <w:t xml:space="preserve"> </w:t>
      </w:r>
      <w:proofErr w:type="spellStart"/>
      <w:r w:rsidRPr="009773EF">
        <w:rPr>
          <w:lang w:val="pt-BR"/>
        </w:rPr>
        <w:t>Bronfenbrenner</w:t>
      </w:r>
      <w:proofErr w:type="spellEnd"/>
      <w:r w:rsidRPr="009773EF">
        <w:rPr>
          <w:lang w:val="pt-BR"/>
        </w:rPr>
        <w:t xml:space="preserve">. </w:t>
      </w:r>
      <w:r w:rsidRPr="00C662C9">
        <w:rPr>
          <w:i/>
          <w:iCs/>
          <w:lang w:val="pt-BR"/>
        </w:rPr>
        <w:t xml:space="preserve">Pensando </w:t>
      </w:r>
      <w:proofErr w:type="spellStart"/>
      <w:r w:rsidRPr="00C662C9">
        <w:rPr>
          <w:i/>
          <w:iCs/>
          <w:lang w:val="pt-BR"/>
        </w:rPr>
        <w:t>Psicología</w:t>
      </w:r>
      <w:proofErr w:type="spellEnd"/>
      <w:r w:rsidR="00C662C9" w:rsidRPr="00C662C9">
        <w:rPr>
          <w:i/>
          <w:iCs/>
          <w:lang w:val="pt-BR"/>
        </w:rPr>
        <w:t xml:space="preserve">, </w:t>
      </w:r>
      <w:r w:rsidRPr="00C662C9">
        <w:rPr>
          <w:i/>
          <w:iCs/>
          <w:lang w:val="pt-BR"/>
        </w:rPr>
        <w:t>9</w:t>
      </w:r>
      <w:r w:rsidRPr="00C662C9">
        <w:rPr>
          <w:lang w:val="pt-BR"/>
        </w:rPr>
        <w:t>(16)</w:t>
      </w:r>
      <w:r w:rsidR="00C662C9" w:rsidRPr="00C662C9">
        <w:rPr>
          <w:lang w:val="pt-BR"/>
        </w:rPr>
        <w:t xml:space="preserve">, </w:t>
      </w:r>
      <w:r w:rsidRPr="00C662C9">
        <w:rPr>
          <w:lang w:val="pt-BR"/>
        </w:rPr>
        <w:t xml:space="preserve">89-99.  </w:t>
      </w:r>
    </w:p>
    <w:p w14:paraId="5D641FB1" w14:textId="303B7959" w:rsidR="009773EF" w:rsidRPr="00B25D0C" w:rsidRDefault="009773EF" w:rsidP="009773EF">
      <w:pPr>
        <w:ind w:left="720" w:hanging="720"/>
        <w:jc w:val="both"/>
        <w:rPr>
          <w:lang w:val="en-US"/>
        </w:rPr>
      </w:pPr>
      <w:r w:rsidRPr="00C662C9">
        <w:rPr>
          <w:lang w:val="pt-BR"/>
        </w:rPr>
        <w:t>Bergman</w:t>
      </w:r>
      <w:r w:rsidR="00C662C9" w:rsidRPr="00C662C9">
        <w:rPr>
          <w:lang w:val="pt-BR"/>
        </w:rPr>
        <w:t>,</w:t>
      </w:r>
      <w:r w:rsidRPr="00C662C9">
        <w:rPr>
          <w:lang w:val="pt-BR"/>
        </w:rPr>
        <w:t xml:space="preserve"> E</w:t>
      </w:r>
      <w:r w:rsidR="00C662C9" w:rsidRPr="00C662C9">
        <w:rPr>
          <w:lang w:val="pt-BR"/>
        </w:rPr>
        <w:t xml:space="preserve">., </w:t>
      </w:r>
      <w:proofErr w:type="spellStart"/>
      <w:r w:rsidR="00C662C9" w:rsidRPr="00C662C9">
        <w:rPr>
          <w:lang w:val="pt-BR"/>
        </w:rPr>
        <w:t>Löyttyniemi</w:t>
      </w:r>
      <w:proofErr w:type="spellEnd"/>
      <w:r w:rsidR="00C662C9" w:rsidRPr="00C662C9">
        <w:rPr>
          <w:lang w:val="pt-BR"/>
        </w:rPr>
        <w:t xml:space="preserve">, E., </w:t>
      </w:r>
      <w:proofErr w:type="spellStart"/>
      <w:r w:rsidR="00C662C9" w:rsidRPr="00C662C9">
        <w:rPr>
          <w:lang w:val="pt-BR"/>
        </w:rPr>
        <w:t>Rautava</w:t>
      </w:r>
      <w:proofErr w:type="spellEnd"/>
      <w:r w:rsidR="00C662C9" w:rsidRPr="00C662C9">
        <w:rPr>
          <w:lang w:val="pt-BR"/>
        </w:rPr>
        <w:t xml:space="preserve">, P., </w:t>
      </w:r>
      <w:proofErr w:type="spellStart"/>
      <w:r w:rsidR="00C662C9" w:rsidRPr="00C662C9">
        <w:rPr>
          <w:lang w:val="pt-BR"/>
        </w:rPr>
        <w:t>Veromaa</w:t>
      </w:r>
      <w:proofErr w:type="spellEnd"/>
      <w:r w:rsidR="00C662C9" w:rsidRPr="00C662C9">
        <w:rPr>
          <w:lang w:val="pt-BR"/>
        </w:rPr>
        <w:t xml:space="preserve">, V., &amp; </w:t>
      </w:r>
      <w:proofErr w:type="spellStart"/>
      <w:r w:rsidR="00C662C9" w:rsidRPr="00C662C9">
        <w:rPr>
          <w:lang w:val="pt-BR"/>
        </w:rPr>
        <w:t>Korhonen</w:t>
      </w:r>
      <w:proofErr w:type="spellEnd"/>
      <w:r w:rsidR="00C662C9" w:rsidRPr="00C662C9">
        <w:rPr>
          <w:lang w:val="pt-BR"/>
        </w:rPr>
        <w:t>, P.</w:t>
      </w:r>
      <w:r w:rsidR="00C662C9">
        <w:rPr>
          <w:lang w:val="pt-BR"/>
        </w:rPr>
        <w:t xml:space="preserve"> E. (</w:t>
      </w:r>
      <w:r w:rsidR="00B25D0C">
        <w:rPr>
          <w:lang w:val="pt-BR"/>
        </w:rPr>
        <w:t xml:space="preserve">2019). </w:t>
      </w:r>
      <w:r w:rsidRPr="009773EF">
        <w:rPr>
          <w:lang w:val="en-US"/>
        </w:rPr>
        <w:t xml:space="preserve">Ideal cardiovascular health and quality of life among Finnish municipal employees. </w:t>
      </w:r>
      <w:r w:rsidRPr="00B25D0C">
        <w:rPr>
          <w:i/>
          <w:iCs/>
          <w:lang w:val="en-US"/>
        </w:rPr>
        <w:t>Prev</w:t>
      </w:r>
      <w:r w:rsidR="00B25D0C" w:rsidRPr="00B25D0C">
        <w:rPr>
          <w:i/>
          <w:iCs/>
          <w:lang w:val="en-US"/>
        </w:rPr>
        <w:t>entive</w:t>
      </w:r>
      <w:r w:rsidRPr="00B25D0C">
        <w:rPr>
          <w:i/>
          <w:iCs/>
          <w:lang w:val="en-US"/>
        </w:rPr>
        <w:t xml:space="preserve"> Med</w:t>
      </w:r>
      <w:r w:rsidR="00B25D0C" w:rsidRPr="00B25D0C">
        <w:rPr>
          <w:i/>
          <w:iCs/>
          <w:lang w:val="en-US"/>
        </w:rPr>
        <w:t xml:space="preserve">icine </w:t>
      </w:r>
      <w:r w:rsidRPr="00B25D0C">
        <w:rPr>
          <w:i/>
          <w:iCs/>
          <w:lang w:val="en-US"/>
        </w:rPr>
        <w:t>Rep</w:t>
      </w:r>
      <w:r w:rsidR="00B25D0C" w:rsidRPr="00B25D0C">
        <w:rPr>
          <w:i/>
          <w:iCs/>
          <w:lang w:val="en-US"/>
        </w:rPr>
        <w:t xml:space="preserve">orts, </w:t>
      </w:r>
      <w:r w:rsidRPr="00B25D0C">
        <w:rPr>
          <w:i/>
          <w:iCs/>
          <w:lang w:val="en-US"/>
        </w:rPr>
        <w:t>15</w:t>
      </w:r>
      <w:r w:rsidR="00B25D0C">
        <w:rPr>
          <w:lang w:val="en-US"/>
        </w:rPr>
        <w:t xml:space="preserve">, </w:t>
      </w:r>
      <w:r w:rsidRPr="00B25D0C">
        <w:rPr>
          <w:lang w:val="en-US"/>
        </w:rPr>
        <w:t xml:space="preserve">100922. </w:t>
      </w:r>
      <w:hyperlink r:id="rId18" w:history="1">
        <w:r w:rsidR="00B25D0C" w:rsidRPr="00E96C6E">
          <w:rPr>
            <w:rStyle w:val="Hyperlink"/>
            <w:lang w:val="en-US"/>
          </w:rPr>
          <w:t>https://dx.doi.org/10.1016%2Fj.pmedr.2019.100922</w:t>
        </w:r>
      </w:hyperlink>
      <w:r w:rsidR="00B25D0C">
        <w:rPr>
          <w:lang w:val="en-US"/>
        </w:rPr>
        <w:t xml:space="preserve"> </w:t>
      </w:r>
    </w:p>
    <w:p w14:paraId="6520A995" w14:textId="70572B6C" w:rsidR="009773EF" w:rsidRPr="009773EF" w:rsidRDefault="009773EF" w:rsidP="009773EF">
      <w:pPr>
        <w:ind w:left="720" w:hanging="720"/>
        <w:jc w:val="both"/>
        <w:rPr>
          <w:lang w:val="pt-BR"/>
        </w:rPr>
      </w:pPr>
      <w:proofErr w:type="spellStart"/>
      <w:r w:rsidRPr="00B25D0C">
        <w:rPr>
          <w:lang w:val="en-US"/>
        </w:rPr>
        <w:t>Bittencourt</w:t>
      </w:r>
      <w:proofErr w:type="spellEnd"/>
      <w:r w:rsidR="00B25D0C" w:rsidRPr="00B25D0C">
        <w:rPr>
          <w:lang w:val="en-US"/>
        </w:rPr>
        <w:t>,</w:t>
      </w:r>
      <w:r w:rsidRPr="00B25D0C">
        <w:rPr>
          <w:lang w:val="en-US"/>
        </w:rPr>
        <w:t xml:space="preserve"> Z</w:t>
      </w:r>
      <w:r w:rsidR="00B25D0C" w:rsidRPr="00B25D0C">
        <w:rPr>
          <w:lang w:val="en-US"/>
        </w:rPr>
        <w:t xml:space="preserve">. </w:t>
      </w:r>
      <w:r w:rsidRPr="00B25D0C">
        <w:rPr>
          <w:lang w:val="en-US"/>
        </w:rPr>
        <w:t>Z</w:t>
      </w:r>
      <w:r w:rsidR="00B25D0C" w:rsidRPr="00B25D0C">
        <w:rPr>
          <w:lang w:val="en-US"/>
        </w:rPr>
        <w:t xml:space="preserve">. </w:t>
      </w:r>
      <w:r w:rsidRPr="00B25D0C">
        <w:rPr>
          <w:lang w:val="en-US"/>
        </w:rPr>
        <w:t>L</w:t>
      </w:r>
      <w:r w:rsidR="00B25D0C" w:rsidRPr="00B25D0C">
        <w:rPr>
          <w:lang w:val="en-US"/>
        </w:rPr>
        <w:t xml:space="preserve">. </w:t>
      </w:r>
      <w:r w:rsidRPr="00B25D0C">
        <w:rPr>
          <w:lang w:val="en-US"/>
        </w:rPr>
        <w:t xml:space="preserve">C. </w:t>
      </w:r>
      <w:r w:rsidR="00B25D0C" w:rsidRPr="00B25D0C">
        <w:rPr>
          <w:lang w:val="en-US"/>
        </w:rPr>
        <w:t xml:space="preserve">(2003). </w:t>
      </w:r>
      <w:r w:rsidRPr="00D72A51">
        <w:rPr>
          <w:i/>
          <w:iCs/>
          <w:lang w:val="pt-BR"/>
        </w:rPr>
        <w:t>Qualidade de vida e representações sociais em portadores de patologias crônicas</w:t>
      </w:r>
      <w:r w:rsidRPr="009773EF">
        <w:rPr>
          <w:lang w:val="pt-BR"/>
        </w:rPr>
        <w:t>: estudo de um grupo de renais crônicos transplantados [</w:t>
      </w:r>
      <w:proofErr w:type="spellStart"/>
      <w:r w:rsidR="00B25D0C">
        <w:rPr>
          <w:lang w:val="pt-BR"/>
        </w:rPr>
        <w:t>Doctoral</w:t>
      </w:r>
      <w:proofErr w:type="spellEnd"/>
      <w:r w:rsidR="00B25D0C">
        <w:rPr>
          <w:lang w:val="pt-BR"/>
        </w:rPr>
        <w:t xml:space="preserve"> </w:t>
      </w:r>
      <w:proofErr w:type="spellStart"/>
      <w:r w:rsidR="00B25D0C">
        <w:rPr>
          <w:lang w:val="pt-BR"/>
        </w:rPr>
        <w:t>thesis</w:t>
      </w:r>
      <w:proofErr w:type="spellEnd"/>
      <w:r w:rsidR="00B25D0C">
        <w:rPr>
          <w:lang w:val="pt-BR"/>
        </w:rPr>
        <w:t xml:space="preserve">, </w:t>
      </w:r>
      <w:r w:rsidRPr="009773EF">
        <w:rPr>
          <w:lang w:val="pt-BR"/>
        </w:rPr>
        <w:t>Faculdade de Ciências Médicas</w:t>
      </w:r>
      <w:r w:rsidR="00B25D0C">
        <w:rPr>
          <w:lang w:val="pt-BR"/>
        </w:rPr>
        <w:t xml:space="preserve">]. </w:t>
      </w:r>
    </w:p>
    <w:p w14:paraId="3116A2A1" w14:textId="2BE2D89E" w:rsidR="009773EF" w:rsidRPr="009773EF" w:rsidRDefault="009773EF" w:rsidP="009773EF">
      <w:pPr>
        <w:ind w:left="720" w:hanging="720"/>
        <w:jc w:val="both"/>
        <w:rPr>
          <w:lang w:val="pt-BR"/>
        </w:rPr>
      </w:pPr>
      <w:proofErr w:type="spellStart"/>
      <w:r w:rsidRPr="00D72A51">
        <w:rPr>
          <w:lang w:val="en-US"/>
        </w:rPr>
        <w:t>Bonadiman</w:t>
      </w:r>
      <w:proofErr w:type="spellEnd"/>
      <w:r w:rsidR="00D72A51" w:rsidRPr="00D72A51">
        <w:rPr>
          <w:lang w:val="en-US"/>
        </w:rPr>
        <w:t>,</w:t>
      </w:r>
      <w:r w:rsidRPr="00D72A51">
        <w:rPr>
          <w:lang w:val="en-US"/>
        </w:rPr>
        <w:t xml:space="preserve"> C</w:t>
      </w:r>
      <w:r w:rsidR="00D72A51" w:rsidRPr="00D72A51">
        <w:rPr>
          <w:lang w:val="en-US"/>
        </w:rPr>
        <w:t xml:space="preserve">. </w:t>
      </w:r>
      <w:r w:rsidRPr="00D72A51">
        <w:rPr>
          <w:lang w:val="en-US"/>
        </w:rPr>
        <w:t>S</w:t>
      </w:r>
      <w:r w:rsidR="00D72A51" w:rsidRPr="00D72A51">
        <w:rPr>
          <w:lang w:val="en-US"/>
        </w:rPr>
        <w:t xml:space="preserve">. </w:t>
      </w:r>
      <w:r w:rsidRPr="00D72A51">
        <w:rPr>
          <w:lang w:val="en-US"/>
        </w:rPr>
        <w:t>C</w:t>
      </w:r>
      <w:r w:rsidR="00D72A51" w:rsidRPr="00D72A51">
        <w:rPr>
          <w:lang w:val="en-US"/>
        </w:rPr>
        <w:t xml:space="preserve">., </w:t>
      </w:r>
      <w:proofErr w:type="spellStart"/>
      <w:r w:rsidR="00D72A51" w:rsidRPr="00D72A51">
        <w:rPr>
          <w:lang w:val="en-US"/>
        </w:rPr>
        <w:t>Passos</w:t>
      </w:r>
      <w:proofErr w:type="spellEnd"/>
      <w:r w:rsidR="00D72A51" w:rsidRPr="00D72A51">
        <w:rPr>
          <w:lang w:val="en-US"/>
        </w:rPr>
        <w:t>, V. M. A., Mooney, M.</w:t>
      </w:r>
      <w:r w:rsidR="00D72A51">
        <w:rPr>
          <w:lang w:val="en-US"/>
        </w:rPr>
        <w:t xml:space="preserve">, </w:t>
      </w:r>
      <w:proofErr w:type="spellStart"/>
      <w:r w:rsidR="00D72A51">
        <w:rPr>
          <w:lang w:val="en-US"/>
        </w:rPr>
        <w:t>Naghavi</w:t>
      </w:r>
      <w:proofErr w:type="spellEnd"/>
      <w:r w:rsidR="00D72A51">
        <w:rPr>
          <w:lang w:val="en-US"/>
        </w:rPr>
        <w:t xml:space="preserve">, M., &amp; Melo, A. P. S. (2017). </w:t>
      </w:r>
      <w:r w:rsidR="00D72A51" w:rsidRPr="009773EF">
        <w:rPr>
          <w:lang w:val="en-US"/>
        </w:rPr>
        <w:t>The burden of disease attributable to mental and substance use disorders in Brazil: Global burden of disease study, 1990 and 2015</w:t>
      </w:r>
      <w:r w:rsidRPr="009773EF">
        <w:rPr>
          <w:lang w:val="en-US"/>
        </w:rPr>
        <w:t xml:space="preserve">. </w:t>
      </w:r>
      <w:r w:rsidRPr="00D72A51">
        <w:rPr>
          <w:i/>
          <w:iCs/>
          <w:lang w:val="pt-BR"/>
        </w:rPr>
        <w:t>Rev</w:t>
      </w:r>
      <w:r w:rsidR="00D72A51" w:rsidRPr="00D72A51">
        <w:rPr>
          <w:i/>
          <w:iCs/>
          <w:lang w:val="pt-BR"/>
        </w:rPr>
        <w:t>ista B</w:t>
      </w:r>
      <w:r w:rsidRPr="00D72A51">
        <w:rPr>
          <w:i/>
          <w:iCs/>
          <w:lang w:val="pt-BR"/>
        </w:rPr>
        <w:t>ra</w:t>
      </w:r>
      <w:r w:rsidR="00D72A51" w:rsidRPr="00D72A51">
        <w:rPr>
          <w:i/>
          <w:iCs/>
          <w:lang w:val="pt-BR"/>
        </w:rPr>
        <w:t>sileira de E</w:t>
      </w:r>
      <w:r w:rsidRPr="00D72A51">
        <w:rPr>
          <w:i/>
          <w:iCs/>
          <w:lang w:val="pt-BR"/>
        </w:rPr>
        <w:t>pidemiol</w:t>
      </w:r>
      <w:r w:rsidR="00D72A51" w:rsidRPr="00D72A51">
        <w:rPr>
          <w:i/>
          <w:iCs/>
          <w:lang w:val="pt-BR"/>
        </w:rPr>
        <w:t>ogia, 2</w:t>
      </w:r>
      <w:r w:rsidRPr="00D72A51">
        <w:rPr>
          <w:i/>
          <w:iCs/>
          <w:lang w:val="pt-BR"/>
        </w:rPr>
        <w:t>0</w:t>
      </w:r>
      <w:r w:rsidRPr="009773EF">
        <w:rPr>
          <w:lang w:val="pt-BR"/>
        </w:rPr>
        <w:t>(</w:t>
      </w:r>
      <w:proofErr w:type="spellStart"/>
      <w:r w:rsidRPr="009773EF">
        <w:rPr>
          <w:lang w:val="pt-BR"/>
        </w:rPr>
        <w:t>supl</w:t>
      </w:r>
      <w:proofErr w:type="spellEnd"/>
      <w:r w:rsidRPr="009773EF">
        <w:rPr>
          <w:lang w:val="pt-BR"/>
        </w:rPr>
        <w:t xml:space="preserve"> 1)</w:t>
      </w:r>
      <w:r w:rsidR="00D72A51">
        <w:rPr>
          <w:lang w:val="pt-BR"/>
        </w:rPr>
        <w:t xml:space="preserve">, </w:t>
      </w:r>
      <w:r w:rsidRPr="009773EF">
        <w:rPr>
          <w:lang w:val="pt-BR"/>
        </w:rPr>
        <w:t xml:space="preserve">191-204. </w:t>
      </w:r>
      <w:hyperlink r:id="rId19" w:history="1">
        <w:r w:rsidR="00D72A51" w:rsidRPr="00E96C6E">
          <w:rPr>
            <w:rStyle w:val="Hyperlink"/>
            <w:lang w:val="pt-BR"/>
          </w:rPr>
          <w:t>https://doi.org/10.1590/1980-5497201700050016</w:t>
        </w:r>
      </w:hyperlink>
      <w:r w:rsidR="00D72A51">
        <w:rPr>
          <w:lang w:val="pt-BR"/>
        </w:rPr>
        <w:t xml:space="preserve"> </w:t>
      </w:r>
    </w:p>
    <w:p w14:paraId="4C69CABC" w14:textId="293B7CC7" w:rsidR="009773EF" w:rsidRPr="009773EF" w:rsidRDefault="009773EF" w:rsidP="009773EF">
      <w:pPr>
        <w:ind w:left="720" w:hanging="720"/>
        <w:jc w:val="both"/>
        <w:rPr>
          <w:lang w:val="pt-BR"/>
        </w:rPr>
      </w:pPr>
      <w:proofErr w:type="spellStart"/>
      <w:r w:rsidRPr="009773EF">
        <w:rPr>
          <w:lang w:val="pt-BR"/>
        </w:rPr>
        <w:t>Bortolotto</w:t>
      </w:r>
      <w:proofErr w:type="spellEnd"/>
      <w:r w:rsidR="00D72A51">
        <w:rPr>
          <w:lang w:val="pt-BR"/>
        </w:rPr>
        <w:t>,</w:t>
      </w:r>
      <w:r w:rsidRPr="009773EF">
        <w:rPr>
          <w:lang w:val="pt-BR"/>
        </w:rPr>
        <w:t xml:space="preserve"> C</w:t>
      </w:r>
      <w:r w:rsidR="00D72A51">
        <w:rPr>
          <w:lang w:val="pt-BR"/>
        </w:rPr>
        <w:t xml:space="preserve">. </w:t>
      </w:r>
      <w:r w:rsidRPr="009773EF">
        <w:rPr>
          <w:lang w:val="pt-BR"/>
        </w:rPr>
        <w:t>C</w:t>
      </w:r>
      <w:r w:rsidR="00D72A51">
        <w:rPr>
          <w:lang w:val="pt-BR"/>
        </w:rPr>
        <w:t xml:space="preserve">., Mola, C. L., &amp; </w:t>
      </w:r>
      <w:proofErr w:type="spellStart"/>
      <w:r w:rsidR="00D72A51">
        <w:rPr>
          <w:lang w:val="pt-BR"/>
        </w:rPr>
        <w:t>Tovo</w:t>
      </w:r>
      <w:proofErr w:type="spellEnd"/>
      <w:r w:rsidR="00D72A51">
        <w:rPr>
          <w:lang w:val="pt-BR"/>
        </w:rPr>
        <w:t xml:space="preserve">-Rodrigues, L. (2018). </w:t>
      </w:r>
      <w:r w:rsidRPr="009773EF">
        <w:rPr>
          <w:lang w:val="pt-BR"/>
        </w:rPr>
        <w:t xml:space="preserve">Qualidade de vida em adultos de zona rural no Sul do Brasil: estudo de base populacional. </w:t>
      </w:r>
      <w:r w:rsidRPr="002542E2">
        <w:rPr>
          <w:i/>
          <w:iCs/>
          <w:lang w:val="pt-BR"/>
        </w:rPr>
        <w:t>Re</w:t>
      </w:r>
      <w:r w:rsidR="00D72A51" w:rsidRPr="002542E2">
        <w:rPr>
          <w:i/>
          <w:iCs/>
          <w:lang w:val="pt-BR"/>
        </w:rPr>
        <w:t xml:space="preserve">vista de </w:t>
      </w:r>
      <w:r w:rsidRPr="002542E2">
        <w:rPr>
          <w:i/>
          <w:iCs/>
          <w:lang w:val="pt-BR"/>
        </w:rPr>
        <w:t>Saúde Pública</w:t>
      </w:r>
      <w:r w:rsidR="00D72A51" w:rsidRPr="002542E2">
        <w:rPr>
          <w:i/>
          <w:iCs/>
          <w:lang w:val="pt-BR"/>
        </w:rPr>
        <w:t xml:space="preserve">, </w:t>
      </w:r>
      <w:r w:rsidRPr="002542E2">
        <w:rPr>
          <w:i/>
          <w:iCs/>
          <w:lang w:val="pt-BR"/>
        </w:rPr>
        <w:t>52</w:t>
      </w:r>
      <w:r w:rsidRPr="009773EF">
        <w:rPr>
          <w:lang w:val="pt-BR"/>
        </w:rPr>
        <w:t>(</w:t>
      </w:r>
      <w:proofErr w:type="spellStart"/>
      <w:r w:rsidRPr="009773EF">
        <w:rPr>
          <w:lang w:val="pt-BR"/>
        </w:rPr>
        <w:t>supl</w:t>
      </w:r>
      <w:proofErr w:type="spellEnd"/>
      <w:r w:rsidRPr="009773EF">
        <w:rPr>
          <w:lang w:val="pt-BR"/>
        </w:rPr>
        <w:t xml:space="preserve"> 1)</w:t>
      </w:r>
      <w:r w:rsidR="002542E2">
        <w:rPr>
          <w:lang w:val="pt-BR"/>
        </w:rPr>
        <w:t xml:space="preserve">. </w:t>
      </w:r>
      <w:hyperlink r:id="rId20" w:history="1">
        <w:r w:rsidR="00D72A51" w:rsidRPr="00E96C6E">
          <w:rPr>
            <w:rStyle w:val="Hyperlink"/>
            <w:lang w:val="pt-BR"/>
          </w:rPr>
          <w:t>https://doi.org/10.11606/S1518-8787.2018052000261</w:t>
        </w:r>
      </w:hyperlink>
      <w:r w:rsidR="00D72A51">
        <w:rPr>
          <w:lang w:val="pt-BR"/>
        </w:rPr>
        <w:t xml:space="preserve"> </w:t>
      </w:r>
    </w:p>
    <w:p w14:paraId="11937CBF" w14:textId="4725663E" w:rsidR="009773EF" w:rsidRPr="0077415F" w:rsidRDefault="009773EF" w:rsidP="009773EF">
      <w:pPr>
        <w:ind w:left="720" w:hanging="720"/>
        <w:jc w:val="both"/>
        <w:rPr>
          <w:lang w:val="pt-BR"/>
        </w:rPr>
      </w:pPr>
      <w:r w:rsidRPr="009773EF">
        <w:rPr>
          <w:lang w:val="pt-BR"/>
        </w:rPr>
        <w:t>Brasil</w:t>
      </w:r>
      <w:r w:rsidR="0077415F">
        <w:rPr>
          <w:lang w:val="pt-BR"/>
        </w:rPr>
        <w:t xml:space="preserve"> (1988)</w:t>
      </w:r>
      <w:r w:rsidRPr="009773EF">
        <w:rPr>
          <w:lang w:val="pt-BR"/>
        </w:rPr>
        <w:t xml:space="preserve">. </w:t>
      </w:r>
      <w:r w:rsidRPr="0077415F">
        <w:rPr>
          <w:i/>
          <w:iCs/>
          <w:lang w:val="pt-BR"/>
        </w:rPr>
        <w:t>Constituição da República Federativa do Brasil de 1988</w:t>
      </w:r>
      <w:r w:rsidRPr="009773EF">
        <w:rPr>
          <w:lang w:val="pt-BR"/>
        </w:rPr>
        <w:t xml:space="preserve">. </w:t>
      </w:r>
      <w:hyperlink r:id="rId21" w:history="1">
        <w:r w:rsidR="0077415F" w:rsidRPr="0077415F">
          <w:rPr>
            <w:rStyle w:val="Hyperlink"/>
            <w:lang w:val="pt-BR"/>
          </w:rPr>
          <w:t>http://www.planalto.gov.br/ccivil_03/constituicao/constituicao.htm</w:t>
        </w:r>
      </w:hyperlink>
      <w:r w:rsidR="0077415F" w:rsidRPr="0077415F">
        <w:rPr>
          <w:lang w:val="pt-BR"/>
        </w:rPr>
        <w:t xml:space="preserve"> </w:t>
      </w:r>
    </w:p>
    <w:p w14:paraId="5B3CC40B" w14:textId="61FACD07" w:rsidR="009773EF" w:rsidRPr="0077415F" w:rsidRDefault="009773EF" w:rsidP="009773EF">
      <w:pPr>
        <w:ind w:left="720" w:hanging="720"/>
        <w:jc w:val="both"/>
        <w:rPr>
          <w:lang w:val="pt-BR"/>
        </w:rPr>
      </w:pPr>
      <w:r w:rsidRPr="009773EF">
        <w:rPr>
          <w:lang w:val="pt-BR"/>
        </w:rPr>
        <w:t>Brasil</w:t>
      </w:r>
      <w:r w:rsidR="0077415F">
        <w:rPr>
          <w:lang w:val="pt-BR"/>
        </w:rPr>
        <w:t xml:space="preserve"> </w:t>
      </w:r>
      <w:r w:rsidRPr="009773EF">
        <w:rPr>
          <w:lang w:val="pt-BR"/>
        </w:rPr>
        <w:t>(</w:t>
      </w:r>
      <w:r w:rsidR="0077415F">
        <w:rPr>
          <w:lang w:val="pt-BR"/>
        </w:rPr>
        <w:t>2010</w:t>
      </w:r>
      <w:r w:rsidRPr="009773EF">
        <w:rPr>
          <w:lang w:val="pt-BR"/>
        </w:rPr>
        <w:t xml:space="preserve">). </w:t>
      </w:r>
      <w:r w:rsidRPr="0077415F">
        <w:rPr>
          <w:i/>
          <w:iCs/>
          <w:lang w:val="pt-BR"/>
        </w:rPr>
        <w:t>Atenção à saúde da pessoa idosa e envelhecimento</w:t>
      </w:r>
      <w:r w:rsidRPr="009773EF">
        <w:rPr>
          <w:lang w:val="pt-BR"/>
        </w:rPr>
        <w:t xml:space="preserve">. </w:t>
      </w:r>
      <w:r w:rsidRPr="0077415F">
        <w:rPr>
          <w:lang w:val="pt-BR"/>
        </w:rPr>
        <w:t>Brasília</w:t>
      </w:r>
      <w:r w:rsidR="0077415F" w:rsidRPr="0077415F">
        <w:rPr>
          <w:lang w:val="pt-BR"/>
        </w:rPr>
        <w:t xml:space="preserve">. </w:t>
      </w:r>
      <w:hyperlink r:id="rId22" w:history="1">
        <w:r w:rsidR="0077415F" w:rsidRPr="00E96C6E">
          <w:rPr>
            <w:rStyle w:val="Hyperlink"/>
            <w:lang w:val="pt-BR"/>
          </w:rPr>
          <w:t>https://bvsms.saude.gov.br/bvs/publicacoes/atencao_saude_pessoa_idosa_envelhecimento_v12.pdf</w:t>
        </w:r>
      </w:hyperlink>
      <w:r w:rsidR="0077415F">
        <w:rPr>
          <w:lang w:val="pt-BR"/>
        </w:rPr>
        <w:t xml:space="preserve"> </w:t>
      </w:r>
    </w:p>
    <w:p w14:paraId="7D1571C2" w14:textId="66F2D380" w:rsidR="0077415F" w:rsidRPr="00146C86" w:rsidRDefault="0077415F" w:rsidP="009773EF">
      <w:pPr>
        <w:ind w:left="720" w:hanging="720"/>
        <w:jc w:val="both"/>
        <w:rPr>
          <w:lang w:val="en-US"/>
        </w:rPr>
      </w:pPr>
      <w:r w:rsidRPr="0077415F">
        <w:rPr>
          <w:lang w:val="pt-BR"/>
        </w:rPr>
        <w:t xml:space="preserve">Camargo, D. M., Ramírez, P. C. &amp; Fermino, R. C. (2017). </w:t>
      </w:r>
      <w:r w:rsidRPr="0077415F">
        <w:rPr>
          <w:lang w:val="en-US"/>
        </w:rPr>
        <w:t xml:space="preserve">Individual and environmental correlates to quality of life in park users in Colombia. </w:t>
      </w:r>
      <w:r w:rsidRPr="0077415F">
        <w:rPr>
          <w:i/>
          <w:iCs/>
          <w:lang w:val="en-US"/>
        </w:rPr>
        <w:t>International Journal of Environmental Research and Public Health, 14</w:t>
      </w:r>
      <w:r w:rsidRPr="0077415F">
        <w:rPr>
          <w:lang w:val="en-US"/>
        </w:rPr>
        <w:t xml:space="preserve">(10), 1250. </w:t>
      </w:r>
      <w:hyperlink r:id="rId23" w:history="1">
        <w:r w:rsidRPr="00146C86">
          <w:rPr>
            <w:rStyle w:val="Hyperlink"/>
            <w:lang w:val="en-US"/>
          </w:rPr>
          <w:t>https://doi.org/10.3390/ijerph14101250</w:t>
        </w:r>
      </w:hyperlink>
      <w:r w:rsidRPr="00146C86">
        <w:rPr>
          <w:lang w:val="en-US"/>
        </w:rPr>
        <w:t xml:space="preserve"> </w:t>
      </w:r>
    </w:p>
    <w:p w14:paraId="53F0F0AD" w14:textId="3DF6BD1F" w:rsidR="009773EF" w:rsidRPr="009773EF" w:rsidRDefault="009773EF" w:rsidP="009773EF">
      <w:pPr>
        <w:ind w:left="720" w:hanging="720"/>
        <w:jc w:val="both"/>
        <w:rPr>
          <w:lang w:val="pt-BR"/>
        </w:rPr>
      </w:pPr>
      <w:r w:rsidRPr="0077415F">
        <w:rPr>
          <w:lang w:val="pt-BR"/>
        </w:rPr>
        <w:t>Costa</w:t>
      </w:r>
      <w:r w:rsidR="0077415F" w:rsidRPr="0077415F">
        <w:rPr>
          <w:lang w:val="pt-BR"/>
        </w:rPr>
        <w:t>,</w:t>
      </w:r>
      <w:r w:rsidRPr="0077415F">
        <w:rPr>
          <w:lang w:val="pt-BR"/>
        </w:rPr>
        <w:t xml:space="preserve"> M</w:t>
      </w:r>
      <w:r w:rsidR="0077415F" w:rsidRPr="0077415F">
        <w:rPr>
          <w:lang w:val="pt-BR"/>
        </w:rPr>
        <w:t xml:space="preserve">., &amp; </w:t>
      </w:r>
      <w:r w:rsidRPr="0077415F">
        <w:rPr>
          <w:lang w:val="pt-BR"/>
        </w:rPr>
        <w:t>Moreira</w:t>
      </w:r>
      <w:r w:rsidR="0077415F" w:rsidRPr="0077415F">
        <w:rPr>
          <w:lang w:val="pt-BR"/>
        </w:rPr>
        <w:t>,</w:t>
      </w:r>
      <w:r w:rsidRPr="0077415F">
        <w:rPr>
          <w:lang w:val="pt-BR"/>
        </w:rPr>
        <w:t xml:space="preserve"> Y</w:t>
      </w:r>
      <w:r w:rsidR="0077415F" w:rsidRPr="0077415F">
        <w:rPr>
          <w:lang w:val="pt-BR"/>
        </w:rPr>
        <w:t xml:space="preserve">. </w:t>
      </w:r>
      <w:r w:rsidRPr="0077415F">
        <w:rPr>
          <w:lang w:val="pt-BR"/>
        </w:rPr>
        <w:t xml:space="preserve">B. </w:t>
      </w:r>
      <w:r w:rsidR="002D14BF">
        <w:rPr>
          <w:lang w:val="pt-BR"/>
        </w:rPr>
        <w:t xml:space="preserve">(2016). </w:t>
      </w:r>
      <w:r w:rsidRPr="009773EF">
        <w:rPr>
          <w:lang w:val="pt-BR"/>
        </w:rPr>
        <w:t xml:space="preserve">Saúde mental no contexto universitário. </w:t>
      </w:r>
      <w:r w:rsidRPr="002D14BF">
        <w:rPr>
          <w:i/>
          <w:iCs/>
          <w:lang w:val="pt-BR"/>
        </w:rPr>
        <w:t>Seminários Sobre Ensino em Design</w:t>
      </w:r>
      <w:r w:rsidR="002D14BF" w:rsidRPr="002D14BF">
        <w:rPr>
          <w:i/>
          <w:iCs/>
          <w:lang w:val="pt-BR"/>
        </w:rPr>
        <w:t xml:space="preserve">, </w:t>
      </w:r>
      <w:r w:rsidRPr="002D14BF">
        <w:rPr>
          <w:i/>
          <w:iCs/>
          <w:lang w:val="pt-BR"/>
        </w:rPr>
        <w:t>2</w:t>
      </w:r>
      <w:r w:rsidRPr="009773EF">
        <w:rPr>
          <w:lang w:val="pt-BR"/>
        </w:rPr>
        <w:t>(10)</w:t>
      </w:r>
      <w:r w:rsidR="002D14BF">
        <w:rPr>
          <w:lang w:val="pt-BR"/>
        </w:rPr>
        <w:t xml:space="preserve">, </w:t>
      </w:r>
      <w:r w:rsidRPr="009773EF">
        <w:rPr>
          <w:lang w:val="pt-BR"/>
        </w:rPr>
        <w:t xml:space="preserve">73-79. </w:t>
      </w:r>
      <w:hyperlink r:id="rId24" w:history="1">
        <w:r w:rsidR="002D14BF" w:rsidRPr="00E96C6E">
          <w:rPr>
            <w:rStyle w:val="Hyperlink"/>
            <w:lang w:val="pt-BR"/>
          </w:rPr>
          <w:t>http://dx.doi.org/10.1016/despro-sed2016-009</w:t>
        </w:r>
      </w:hyperlink>
      <w:r w:rsidR="002D14BF">
        <w:rPr>
          <w:lang w:val="pt-BR"/>
        </w:rPr>
        <w:t xml:space="preserve"> </w:t>
      </w:r>
    </w:p>
    <w:p w14:paraId="5D4E0E23" w14:textId="3F3F51F9" w:rsidR="009773EF" w:rsidRPr="00146C86" w:rsidRDefault="009773EF" w:rsidP="009773EF">
      <w:pPr>
        <w:ind w:left="720" w:hanging="720"/>
        <w:jc w:val="both"/>
        <w:rPr>
          <w:lang w:val="pt-BR"/>
        </w:rPr>
      </w:pPr>
      <w:r w:rsidRPr="009773EF">
        <w:rPr>
          <w:lang w:val="pt-BR"/>
        </w:rPr>
        <w:t>Cruz</w:t>
      </w:r>
      <w:r w:rsidR="002D14BF">
        <w:rPr>
          <w:lang w:val="pt-BR"/>
        </w:rPr>
        <w:t>,</w:t>
      </w:r>
      <w:r w:rsidRPr="009773EF">
        <w:rPr>
          <w:lang w:val="pt-BR"/>
        </w:rPr>
        <w:t xml:space="preserve"> E</w:t>
      </w:r>
      <w:r w:rsidR="002D14BF">
        <w:rPr>
          <w:lang w:val="pt-BR"/>
        </w:rPr>
        <w:t xml:space="preserve">. </w:t>
      </w:r>
      <w:r w:rsidRPr="009773EF">
        <w:rPr>
          <w:lang w:val="pt-BR"/>
        </w:rPr>
        <w:t>S</w:t>
      </w:r>
      <w:r w:rsidR="002D14BF">
        <w:rPr>
          <w:lang w:val="pt-BR"/>
        </w:rPr>
        <w:t xml:space="preserve">., </w:t>
      </w:r>
      <w:proofErr w:type="spellStart"/>
      <w:r w:rsidR="002D14BF">
        <w:rPr>
          <w:lang w:val="pt-BR"/>
        </w:rPr>
        <w:t>Gordia</w:t>
      </w:r>
      <w:proofErr w:type="spellEnd"/>
      <w:r w:rsidR="002D14BF">
        <w:rPr>
          <w:lang w:val="pt-BR"/>
        </w:rPr>
        <w:t xml:space="preserve">, A. P., &amp; Quadros, T. M. B. (2014). </w:t>
      </w:r>
      <w:r w:rsidRPr="009773EF">
        <w:rPr>
          <w:lang w:val="pt-BR"/>
        </w:rPr>
        <w:t xml:space="preserve">Qualidade de vida de estudantes de uma universidade pública da Bahia: acompanhamento durante os dois primeiros anos de graduação. </w:t>
      </w:r>
      <w:r w:rsidRPr="002D14BF">
        <w:rPr>
          <w:i/>
          <w:iCs/>
          <w:lang w:val="pt-BR"/>
        </w:rPr>
        <w:t>R</w:t>
      </w:r>
      <w:r w:rsidR="002D14BF" w:rsidRPr="002D14BF">
        <w:rPr>
          <w:i/>
          <w:iCs/>
          <w:lang w:val="pt-BR"/>
        </w:rPr>
        <w:t>evista B</w:t>
      </w:r>
      <w:r w:rsidRPr="002D14BF">
        <w:rPr>
          <w:i/>
          <w:iCs/>
          <w:lang w:val="pt-BR"/>
        </w:rPr>
        <w:t>ras</w:t>
      </w:r>
      <w:r w:rsidR="002D14BF" w:rsidRPr="002D14BF">
        <w:rPr>
          <w:i/>
          <w:iCs/>
          <w:lang w:val="pt-BR"/>
        </w:rPr>
        <w:t>ileira de</w:t>
      </w:r>
      <w:r w:rsidRPr="002D14BF">
        <w:rPr>
          <w:i/>
          <w:iCs/>
          <w:lang w:val="pt-BR"/>
        </w:rPr>
        <w:t xml:space="preserve"> Qual</w:t>
      </w:r>
      <w:r w:rsidR="002D14BF" w:rsidRPr="002D14BF">
        <w:rPr>
          <w:i/>
          <w:iCs/>
          <w:lang w:val="pt-BR"/>
        </w:rPr>
        <w:t>idade de</w:t>
      </w:r>
      <w:r w:rsidRPr="002D14BF">
        <w:rPr>
          <w:i/>
          <w:iCs/>
          <w:lang w:val="pt-BR"/>
        </w:rPr>
        <w:t xml:space="preserve"> Vida</w:t>
      </w:r>
      <w:r w:rsidR="002D14BF" w:rsidRPr="002D14BF">
        <w:rPr>
          <w:i/>
          <w:iCs/>
          <w:lang w:val="pt-BR"/>
        </w:rPr>
        <w:t xml:space="preserve">, </w:t>
      </w:r>
      <w:r w:rsidRPr="002D14BF">
        <w:rPr>
          <w:i/>
          <w:iCs/>
          <w:lang w:val="pt-BR"/>
        </w:rPr>
        <w:t>6</w:t>
      </w:r>
      <w:r w:rsidRPr="009773EF">
        <w:rPr>
          <w:lang w:val="pt-BR"/>
        </w:rPr>
        <w:t>(3)</w:t>
      </w:r>
      <w:r w:rsidR="002D14BF">
        <w:rPr>
          <w:lang w:val="pt-BR"/>
        </w:rPr>
        <w:t xml:space="preserve">, </w:t>
      </w:r>
      <w:r w:rsidRPr="009773EF">
        <w:rPr>
          <w:lang w:val="pt-BR"/>
        </w:rPr>
        <w:t xml:space="preserve">184-191. </w:t>
      </w:r>
      <w:hyperlink r:id="rId25" w:history="1">
        <w:r w:rsidR="002D14BF" w:rsidRPr="00146C86">
          <w:rPr>
            <w:rStyle w:val="Hyperlink"/>
            <w:lang w:val="pt-BR"/>
          </w:rPr>
          <w:t>http://dx.doi.org/10.3895/S2175-08582014000300004</w:t>
        </w:r>
      </w:hyperlink>
      <w:r w:rsidR="002D14BF" w:rsidRPr="00146C86">
        <w:rPr>
          <w:lang w:val="pt-BR"/>
        </w:rPr>
        <w:t xml:space="preserve"> </w:t>
      </w:r>
    </w:p>
    <w:p w14:paraId="16814722" w14:textId="43782D02" w:rsidR="009773EF" w:rsidRPr="009773EF" w:rsidRDefault="009773EF" w:rsidP="009773EF">
      <w:pPr>
        <w:ind w:left="720" w:hanging="720"/>
        <w:jc w:val="both"/>
        <w:rPr>
          <w:lang w:val="pt-BR"/>
        </w:rPr>
      </w:pPr>
      <w:proofErr w:type="spellStart"/>
      <w:r w:rsidRPr="002D14BF">
        <w:rPr>
          <w:lang w:val="en-US"/>
        </w:rPr>
        <w:t>Dawalibi</w:t>
      </w:r>
      <w:proofErr w:type="spellEnd"/>
      <w:r w:rsidR="002D14BF" w:rsidRPr="002D14BF">
        <w:rPr>
          <w:lang w:val="en-US"/>
        </w:rPr>
        <w:t>,</w:t>
      </w:r>
      <w:r w:rsidRPr="002D14BF">
        <w:rPr>
          <w:lang w:val="en-US"/>
        </w:rPr>
        <w:t xml:space="preserve"> N</w:t>
      </w:r>
      <w:r w:rsidR="002D14BF" w:rsidRPr="002D14BF">
        <w:rPr>
          <w:lang w:val="en-US"/>
        </w:rPr>
        <w:t xml:space="preserve">. </w:t>
      </w:r>
      <w:r w:rsidRPr="002D14BF">
        <w:rPr>
          <w:lang w:val="en-US"/>
        </w:rPr>
        <w:t>W</w:t>
      </w:r>
      <w:r w:rsidR="002D14BF">
        <w:rPr>
          <w:lang w:val="en-US"/>
        </w:rPr>
        <w:t xml:space="preserve">., Goulart, R. M., M., &amp; </w:t>
      </w:r>
      <w:proofErr w:type="spellStart"/>
      <w:r w:rsidR="002D14BF">
        <w:rPr>
          <w:lang w:val="en-US"/>
        </w:rPr>
        <w:t>Prearo</w:t>
      </w:r>
      <w:proofErr w:type="spellEnd"/>
      <w:r w:rsidR="002D14BF">
        <w:rPr>
          <w:lang w:val="en-US"/>
        </w:rPr>
        <w:t xml:space="preserve">, L. C. (2014). </w:t>
      </w:r>
      <w:r w:rsidRPr="009773EF">
        <w:rPr>
          <w:lang w:val="pt-BR"/>
        </w:rPr>
        <w:t xml:space="preserve">Fatores relacionados à qualidade de vida de idosos em programas para a terceira idade. </w:t>
      </w:r>
      <w:r w:rsidRPr="00AC65CF">
        <w:rPr>
          <w:i/>
          <w:iCs/>
          <w:lang w:val="pt-BR"/>
        </w:rPr>
        <w:t>Ciênc</w:t>
      </w:r>
      <w:r w:rsidR="002D14BF" w:rsidRPr="00AC65CF">
        <w:rPr>
          <w:i/>
          <w:iCs/>
          <w:lang w:val="pt-BR"/>
        </w:rPr>
        <w:t>ia &amp; S</w:t>
      </w:r>
      <w:r w:rsidRPr="00AC65CF">
        <w:rPr>
          <w:i/>
          <w:iCs/>
          <w:lang w:val="pt-BR"/>
        </w:rPr>
        <w:t xml:space="preserve">aúde </w:t>
      </w:r>
      <w:r w:rsidR="002D14BF" w:rsidRPr="00AC65CF">
        <w:rPr>
          <w:i/>
          <w:iCs/>
          <w:lang w:val="pt-BR"/>
        </w:rPr>
        <w:t>C</w:t>
      </w:r>
      <w:r w:rsidRPr="00AC65CF">
        <w:rPr>
          <w:i/>
          <w:iCs/>
          <w:lang w:val="pt-BR"/>
        </w:rPr>
        <w:t>oletiva</w:t>
      </w:r>
      <w:r w:rsidR="00AC65CF" w:rsidRPr="00AC65CF">
        <w:rPr>
          <w:i/>
          <w:iCs/>
          <w:lang w:val="pt-BR"/>
        </w:rPr>
        <w:t xml:space="preserve">, </w:t>
      </w:r>
      <w:r w:rsidRPr="00AC65CF">
        <w:rPr>
          <w:i/>
          <w:iCs/>
          <w:lang w:val="pt-BR"/>
        </w:rPr>
        <w:t>19</w:t>
      </w:r>
      <w:r w:rsidRPr="009773EF">
        <w:rPr>
          <w:lang w:val="pt-BR"/>
        </w:rPr>
        <w:t>(8)</w:t>
      </w:r>
      <w:r w:rsidR="00AC65CF">
        <w:rPr>
          <w:lang w:val="pt-BR"/>
        </w:rPr>
        <w:t xml:space="preserve">, </w:t>
      </w:r>
      <w:r w:rsidRPr="009773EF">
        <w:rPr>
          <w:lang w:val="pt-BR"/>
        </w:rPr>
        <w:t xml:space="preserve">3505-3512. </w:t>
      </w:r>
      <w:hyperlink r:id="rId26" w:history="1">
        <w:r w:rsidR="00AC65CF" w:rsidRPr="00E96C6E">
          <w:rPr>
            <w:rStyle w:val="Hyperlink"/>
            <w:lang w:val="pt-BR"/>
          </w:rPr>
          <w:t>https://doi.org/10.1590/1413-81232014198.21242013</w:t>
        </w:r>
      </w:hyperlink>
      <w:r w:rsidR="00AC65CF">
        <w:rPr>
          <w:lang w:val="pt-BR"/>
        </w:rPr>
        <w:t xml:space="preserve"> </w:t>
      </w:r>
    </w:p>
    <w:p w14:paraId="7892A4D6" w14:textId="79B00E21" w:rsidR="009773EF" w:rsidRPr="009773EF" w:rsidRDefault="009773EF" w:rsidP="00AC65CF">
      <w:pPr>
        <w:ind w:left="720" w:hanging="720"/>
        <w:jc w:val="both"/>
        <w:rPr>
          <w:lang w:val="pt-BR"/>
        </w:rPr>
      </w:pPr>
      <w:proofErr w:type="spellStart"/>
      <w:r w:rsidRPr="009773EF">
        <w:rPr>
          <w:lang w:val="pt-BR"/>
        </w:rPr>
        <w:t>Ermel</w:t>
      </w:r>
      <w:proofErr w:type="spellEnd"/>
      <w:r w:rsidR="00AC65CF">
        <w:rPr>
          <w:lang w:val="pt-BR"/>
        </w:rPr>
        <w:t xml:space="preserve">, R. C., Caramelo, A. C., </w:t>
      </w:r>
      <w:proofErr w:type="spellStart"/>
      <w:r w:rsidR="00AC65CF">
        <w:rPr>
          <w:lang w:val="pt-BR"/>
        </w:rPr>
        <w:t>Fracolli</w:t>
      </w:r>
      <w:proofErr w:type="spellEnd"/>
      <w:r w:rsidR="00AC65CF">
        <w:rPr>
          <w:lang w:val="pt-BR"/>
        </w:rPr>
        <w:t xml:space="preserve">, L. A., Ortiz, F. V. B. C., </w:t>
      </w:r>
      <w:proofErr w:type="spellStart"/>
      <w:r w:rsidR="00AC65CF">
        <w:rPr>
          <w:lang w:val="pt-BR"/>
        </w:rPr>
        <w:t>Zutin</w:t>
      </w:r>
      <w:proofErr w:type="spellEnd"/>
      <w:r w:rsidR="00AC65CF">
        <w:rPr>
          <w:lang w:val="pt-BR"/>
        </w:rPr>
        <w:t xml:space="preserve">, T. L. M., </w:t>
      </w:r>
      <w:proofErr w:type="spellStart"/>
      <w:r w:rsidR="00AC65CF">
        <w:rPr>
          <w:lang w:val="pt-BR"/>
        </w:rPr>
        <w:t>Gianini</w:t>
      </w:r>
      <w:proofErr w:type="spellEnd"/>
      <w:r w:rsidR="00AC65CF">
        <w:rPr>
          <w:lang w:val="pt-BR"/>
        </w:rPr>
        <w:t xml:space="preserve">, S. H. S., Silva, L. M. P., Cardin, M. A., Guimarães, E. R., </w:t>
      </w:r>
      <w:proofErr w:type="spellStart"/>
      <w:r w:rsidR="00AC65CF">
        <w:rPr>
          <w:lang w:val="pt-BR"/>
        </w:rPr>
        <w:t>Zutin</w:t>
      </w:r>
      <w:proofErr w:type="spellEnd"/>
      <w:r w:rsidR="00AC65CF">
        <w:rPr>
          <w:lang w:val="pt-BR"/>
        </w:rPr>
        <w:t xml:space="preserve">, P., </w:t>
      </w:r>
      <w:proofErr w:type="spellStart"/>
      <w:r w:rsidR="00AC65CF">
        <w:rPr>
          <w:lang w:val="pt-BR"/>
        </w:rPr>
        <w:t>Dorvalino</w:t>
      </w:r>
      <w:proofErr w:type="spellEnd"/>
      <w:r w:rsidR="00AC65CF">
        <w:rPr>
          <w:lang w:val="pt-BR"/>
        </w:rPr>
        <w:t>, J. S., &amp; Vieira, M. (2017).</w:t>
      </w:r>
      <w:r w:rsidRPr="009773EF">
        <w:rPr>
          <w:lang w:val="pt-BR"/>
        </w:rPr>
        <w:t xml:space="preserve"> Percepção sobre qualidade de vida dos idosos de Portugal e do Brasil. </w:t>
      </w:r>
      <w:r w:rsidRPr="009F14CC">
        <w:rPr>
          <w:i/>
          <w:iCs/>
          <w:lang w:val="pt-BR"/>
        </w:rPr>
        <w:t xml:space="preserve">REAS, </w:t>
      </w:r>
      <w:r w:rsidR="009F14CC" w:rsidRPr="009F14CC">
        <w:rPr>
          <w:i/>
          <w:iCs/>
          <w:lang w:val="pt-BR"/>
        </w:rPr>
        <w:t xml:space="preserve">Revista Eletrônica Acervo Saúde, </w:t>
      </w:r>
      <w:r w:rsidRPr="009F14CC">
        <w:rPr>
          <w:i/>
          <w:iCs/>
          <w:lang w:val="pt-BR"/>
        </w:rPr>
        <w:t>9</w:t>
      </w:r>
      <w:r w:rsidRPr="009773EF">
        <w:rPr>
          <w:lang w:val="pt-BR"/>
        </w:rPr>
        <w:t>(2)</w:t>
      </w:r>
      <w:r w:rsidR="00AC65CF">
        <w:rPr>
          <w:lang w:val="pt-BR"/>
        </w:rPr>
        <w:t xml:space="preserve">, </w:t>
      </w:r>
      <w:r w:rsidRPr="009773EF">
        <w:rPr>
          <w:lang w:val="pt-BR"/>
        </w:rPr>
        <w:t xml:space="preserve">1315-1320. </w:t>
      </w:r>
    </w:p>
    <w:p w14:paraId="2CCA9C81" w14:textId="43B67CE7" w:rsidR="009773EF" w:rsidRPr="009773EF" w:rsidRDefault="009773EF" w:rsidP="009773EF">
      <w:pPr>
        <w:ind w:left="720" w:hanging="720"/>
        <w:jc w:val="both"/>
        <w:rPr>
          <w:lang w:val="pt-BR"/>
        </w:rPr>
      </w:pPr>
      <w:proofErr w:type="spellStart"/>
      <w:r w:rsidRPr="006A48A0">
        <w:rPr>
          <w:lang w:val="pt-BR"/>
        </w:rPr>
        <w:t>Eurich</w:t>
      </w:r>
      <w:proofErr w:type="spellEnd"/>
      <w:r w:rsidR="009F14CC" w:rsidRPr="006A48A0">
        <w:rPr>
          <w:lang w:val="pt-BR"/>
        </w:rPr>
        <w:t>,</w:t>
      </w:r>
      <w:r w:rsidRPr="006A48A0">
        <w:rPr>
          <w:lang w:val="pt-BR"/>
        </w:rPr>
        <w:t xml:space="preserve"> R</w:t>
      </w:r>
      <w:r w:rsidR="009F14CC" w:rsidRPr="006A48A0">
        <w:rPr>
          <w:lang w:val="pt-BR"/>
        </w:rPr>
        <w:t xml:space="preserve">. </w:t>
      </w:r>
      <w:r w:rsidRPr="006A48A0">
        <w:rPr>
          <w:lang w:val="pt-BR"/>
        </w:rPr>
        <w:t>B</w:t>
      </w:r>
      <w:r w:rsidR="009F14CC" w:rsidRPr="006A48A0">
        <w:rPr>
          <w:lang w:val="pt-BR"/>
        </w:rPr>
        <w:t>.,</w:t>
      </w:r>
      <w:r w:rsidRPr="006A48A0">
        <w:rPr>
          <w:lang w:val="pt-BR"/>
        </w:rPr>
        <w:t xml:space="preserve"> </w:t>
      </w:r>
      <w:r w:rsidR="009F14CC" w:rsidRPr="006A48A0">
        <w:rPr>
          <w:lang w:val="pt-BR"/>
        </w:rPr>
        <w:t>&amp;</w:t>
      </w:r>
      <w:r w:rsidRPr="006A48A0">
        <w:rPr>
          <w:lang w:val="pt-BR"/>
        </w:rPr>
        <w:t xml:space="preserve"> </w:t>
      </w:r>
      <w:proofErr w:type="spellStart"/>
      <w:r w:rsidRPr="006A48A0">
        <w:rPr>
          <w:lang w:val="pt-BR"/>
        </w:rPr>
        <w:t>Kluthcovsky</w:t>
      </w:r>
      <w:proofErr w:type="spellEnd"/>
      <w:r w:rsidR="009F14CC" w:rsidRPr="006A48A0">
        <w:rPr>
          <w:lang w:val="pt-BR"/>
        </w:rPr>
        <w:t>,</w:t>
      </w:r>
      <w:r w:rsidRPr="006A48A0">
        <w:rPr>
          <w:lang w:val="pt-BR"/>
        </w:rPr>
        <w:t xml:space="preserve"> A</w:t>
      </w:r>
      <w:r w:rsidR="009F14CC" w:rsidRPr="006A48A0">
        <w:rPr>
          <w:lang w:val="pt-BR"/>
        </w:rPr>
        <w:t xml:space="preserve">. </w:t>
      </w:r>
      <w:r w:rsidRPr="006A48A0">
        <w:rPr>
          <w:lang w:val="pt-BR"/>
        </w:rPr>
        <w:t>C</w:t>
      </w:r>
      <w:r w:rsidR="009F14CC" w:rsidRPr="006A48A0">
        <w:rPr>
          <w:lang w:val="pt-BR"/>
        </w:rPr>
        <w:t xml:space="preserve">. </w:t>
      </w:r>
      <w:r w:rsidRPr="006A48A0">
        <w:rPr>
          <w:lang w:val="pt-BR"/>
        </w:rPr>
        <w:t>G</w:t>
      </w:r>
      <w:r w:rsidR="009F14CC" w:rsidRPr="006A48A0">
        <w:rPr>
          <w:lang w:val="pt-BR"/>
        </w:rPr>
        <w:t xml:space="preserve">. </w:t>
      </w:r>
      <w:r w:rsidRPr="006A48A0">
        <w:rPr>
          <w:lang w:val="pt-BR"/>
        </w:rPr>
        <w:t xml:space="preserve">C. </w:t>
      </w:r>
      <w:r w:rsidR="009F14CC" w:rsidRPr="006A48A0">
        <w:rPr>
          <w:lang w:val="pt-BR"/>
        </w:rPr>
        <w:t xml:space="preserve">(2008). </w:t>
      </w:r>
      <w:r w:rsidRPr="009773EF">
        <w:rPr>
          <w:lang w:val="pt-BR"/>
        </w:rPr>
        <w:t xml:space="preserve">Avaliação da qualidade de vida de acadêmicos de graduação em Enfermagem do primeiro e quarto anos: influência das variáveis sociodemográficas. </w:t>
      </w:r>
      <w:r w:rsidRPr="009F14CC">
        <w:rPr>
          <w:i/>
          <w:iCs/>
          <w:lang w:val="pt-BR"/>
        </w:rPr>
        <w:t>Rev</w:t>
      </w:r>
      <w:r w:rsidR="009F14CC" w:rsidRPr="009F14CC">
        <w:rPr>
          <w:i/>
          <w:iCs/>
          <w:lang w:val="pt-BR"/>
        </w:rPr>
        <w:t>ista de P</w:t>
      </w:r>
      <w:r w:rsidRPr="009F14CC">
        <w:rPr>
          <w:i/>
          <w:iCs/>
          <w:lang w:val="pt-BR"/>
        </w:rPr>
        <w:t>siquiatr</w:t>
      </w:r>
      <w:r w:rsidR="009F14CC" w:rsidRPr="009F14CC">
        <w:rPr>
          <w:i/>
          <w:iCs/>
          <w:lang w:val="pt-BR"/>
        </w:rPr>
        <w:t>ia do</w:t>
      </w:r>
      <w:r w:rsidRPr="009F14CC">
        <w:rPr>
          <w:i/>
          <w:iCs/>
          <w:lang w:val="pt-BR"/>
        </w:rPr>
        <w:t xml:space="preserve"> Rio G</w:t>
      </w:r>
      <w:r w:rsidR="009F14CC" w:rsidRPr="009F14CC">
        <w:rPr>
          <w:i/>
          <w:iCs/>
          <w:lang w:val="pt-BR"/>
        </w:rPr>
        <w:t>rande do</w:t>
      </w:r>
      <w:r w:rsidRPr="009F14CC">
        <w:rPr>
          <w:i/>
          <w:iCs/>
          <w:lang w:val="pt-BR"/>
        </w:rPr>
        <w:t xml:space="preserve"> Sul. 2008</w:t>
      </w:r>
      <w:r w:rsidR="009F14CC" w:rsidRPr="009F14CC">
        <w:rPr>
          <w:i/>
          <w:iCs/>
          <w:lang w:val="pt-BR"/>
        </w:rPr>
        <w:t xml:space="preserve">, </w:t>
      </w:r>
      <w:r w:rsidRPr="009F14CC">
        <w:rPr>
          <w:i/>
          <w:iCs/>
          <w:lang w:val="pt-BR"/>
        </w:rPr>
        <w:t>30</w:t>
      </w:r>
      <w:r w:rsidRPr="009773EF">
        <w:rPr>
          <w:lang w:val="pt-BR"/>
        </w:rPr>
        <w:t>(3)</w:t>
      </w:r>
      <w:r w:rsidR="009F14CC">
        <w:rPr>
          <w:lang w:val="pt-BR"/>
        </w:rPr>
        <w:t xml:space="preserve">, </w:t>
      </w:r>
      <w:r w:rsidRPr="009773EF">
        <w:rPr>
          <w:lang w:val="pt-BR"/>
        </w:rPr>
        <w:t xml:space="preserve">211-220. </w:t>
      </w:r>
      <w:hyperlink r:id="rId27" w:history="1">
        <w:r w:rsidR="009F14CC" w:rsidRPr="00E96C6E">
          <w:rPr>
            <w:rStyle w:val="Hyperlink"/>
            <w:lang w:val="pt-BR"/>
          </w:rPr>
          <w:t>https://doi.org/10.1590/S0101-81082008000400010</w:t>
        </w:r>
      </w:hyperlink>
      <w:r w:rsidR="009F14CC">
        <w:rPr>
          <w:lang w:val="pt-BR"/>
        </w:rPr>
        <w:t xml:space="preserve"> </w:t>
      </w:r>
    </w:p>
    <w:p w14:paraId="73E2D6F4" w14:textId="3E07D919" w:rsidR="009773EF" w:rsidRPr="009F14CC" w:rsidRDefault="009773EF" w:rsidP="009F14CC">
      <w:pPr>
        <w:ind w:left="720" w:hanging="720"/>
        <w:jc w:val="both"/>
        <w:rPr>
          <w:lang w:val="pt-BR"/>
        </w:rPr>
      </w:pPr>
      <w:r w:rsidRPr="009773EF">
        <w:rPr>
          <w:lang w:val="pt-BR"/>
        </w:rPr>
        <w:t>Fiedler</w:t>
      </w:r>
      <w:r w:rsidR="009F14CC">
        <w:rPr>
          <w:lang w:val="pt-BR"/>
        </w:rPr>
        <w:t>,</w:t>
      </w:r>
      <w:r w:rsidRPr="009773EF">
        <w:rPr>
          <w:lang w:val="pt-BR"/>
        </w:rPr>
        <w:t xml:space="preserve"> P</w:t>
      </w:r>
      <w:r w:rsidR="009F14CC">
        <w:rPr>
          <w:lang w:val="pt-BR"/>
        </w:rPr>
        <w:t xml:space="preserve">. </w:t>
      </w:r>
      <w:r w:rsidRPr="009773EF">
        <w:rPr>
          <w:lang w:val="pt-BR"/>
        </w:rPr>
        <w:t xml:space="preserve">T. </w:t>
      </w:r>
      <w:r w:rsidR="009F14CC">
        <w:rPr>
          <w:lang w:val="pt-BR"/>
        </w:rPr>
        <w:t xml:space="preserve">(2008). </w:t>
      </w:r>
      <w:r w:rsidRPr="00443B12">
        <w:rPr>
          <w:i/>
          <w:iCs/>
          <w:lang w:val="pt-BR"/>
        </w:rPr>
        <w:t>Avaliação da qualidade de vida do estudante de medicina e da influência exercida pela formação acadêmica</w:t>
      </w:r>
      <w:r w:rsidRPr="009773EF">
        <w:rPr>
          <w:lang w:val="pt-BR"/>
        </w:rPr>
        <w:t xml:space="preserve"> [</w:t>
      </w:r>
      <w:proofErr w:type="spellStart"/>
      <w:r w:rsidR="009F14CC">
        <w:rPr>
          <w:lang w:val="pt-BR"/>
        </w:rPr>
        <w:t>doctoral</w:t>
      </w:r>
      <w:proofErr w:type="spellEnd"/>
      <w:r w:rsidR="009F14CC">
        <w:rPr>
          <w:lang w:val="pt-BR"/>
        </w:rPr>
        <w:t xml:space="preserve"> </w:t>
      </w:r>
      <w:proofErr w:type="spellStart"/>
      <w:r w:rsidR="009F14CC">
        <w:rPr>
          <w:lang w:val="pt-BR"/>
        </w:rPr>
        <w:t>thesis</w:t>
      </w:r>
      <w:proofErr w:type="spellEnd"/>
      <w:r w:rsidR="009F14CC">
        <w:rPr>
          <w:lang w:val="pt-BR"/>
        </w:rPr>
        <w:t xml:space="preserve">, </w:t>
      </w:r>
      <w:r w:rsidRPr="009773EF">
        <w:rPr>
          <w:lang w:val="pt-BR"/>
        </w:rPr>
        <w:t>Universidade de São Paulo</w:t>
      </w:r>
      <w:r w:rsidR="009F14CC">
        <w:rPr>
          <w:lang w:val="pt-BR"/>
        </w:rPr>
        <w:t xml:space="preserve">]. Biblioteca Digital USP. </w:t>
      </w:r>
      <w:hyperlink r:id="rId28" w:history="1">
        <w:r w:rsidR="009F14CC" w:rsidRPr="00E96C6E">
          <w:rPr>
            <w:rStyle w:val="Hyperlink"/>
            <w:lang w:val="pt-BR"/>
          </w:rPr>
          <w:t>https://www.teses.usp.br/teses/disponiveis/5/5137/tde-10072008-161825/pt-br.php</w:t>
        </w:r>
      </w:hyperlink>
      <w:r w:rsidR="009F14CC">
        <w:rPr>
          <w:lang w:val="pt-BR"/>
        </w:rPr>
        <w:t xml:space="preserve"> </w:t>
      </w:r>
      <w:r w:rsidRPr="009F14CC">
        <w:rPr>
          <w:lang w:val="pt-BR"/>
        </w:rPr>
        <w:t xml:space="preserve"> </w:t>
      </w:r>
    </w:p>
    <w:p w14:paraId="605D4387" w14:textId="3E845A54" w:rsidR="009773EF" w:rsidRPr="00146C86" w:rsidRDefault="009773EF" w:rsidP="009773EF">
      <w:pPr>
        <w:ind w:left="720" w:hanging="720"/>
        <w:jc w:val="both"/>
        <w:rPr>
          <w:lang w:val="pt-BR"/>
        </w:rPr>
      </w:pPr>
      <w:proofErr w:type="spellStart"/>
      <w:r w:rsidRPr="009F14CC">
        <w:rPr>
          <w:lang w:val="pt-BR"/>
        </w:rPr>
        <w:t>Fleck</w:t>
      </w:r>
      <w:proofErr w:type="spellEnd"/>
      <w:r w:rsidR="009F14CC" w:rsidRPr="009F14CC">
        <w:rPr>
          <w:lang w:val="pt-BR"/>
        </w:rPr>
        <w:t>,</w:t>
      </w:r>
      <w:r w:rsidRPr="009F14CC">
        <w:rPr>
          <w:lang w:val="pt-BR"/>
        </w:rPr>
        <w:t xml:space="preserve"> M</w:t>
      </w:r>
      <w:r w:rsidR="009F14CC" w:rsidRPr="009F14CC">
        <w:rPr>
          <w:lang w:val="pt-BR"/>
        </w:rPr>
        <w:t xml:space="preserve">. </w:t>
      </w:r>
      <w:r w:rsidRPr="009F14CC">
        <w:rPr>
          <w:lang w:val="pt-BR"/>
        </w:rPr>
        <w:t>P</w:t>
      </w:r>
      <w:r w:rsidR="009F14CC" w:rsidRPr="009F14CC">
        <w:rPr>
          <w:lang w:val="pt-BR"/>
        </w:rPr>
        <w:t xml:space="preserve">. </w:t>
      </w:r>
      <w:r w:rsidRPr="009F14CC">
        <w:rPr>
          <w:lang w:val="pt-BR"/>
        </w:rPr>
        <w:t>A</w:t>
      </w:r>
      <w:r w:rsidR="009F14CC" w:rsidRPr="009F14CC">
        <w:rPr>
          <w:lang w:val="pt-BR"/>
        </w:rPr>
        <w:t>., Louzada, S.</w:t>
      </w:r>
      <w:r w:rsidR="009F14CC">
        <w:rPr>
          <w:lang w:val="pt-BR"/>
        </w:rPr>
        <w:t xml:space="preserve">, Xavier, M., </w:t>
      </w:r>
      <w:proofErr w:type="spellStart"/>
      <w:r w:rsidR="009F14CC">
        <w:rPr>
          <w:lang w:val="pt-BR"/>
        </w:rPr>
        <w:t>Chachamovich</w:t>
      </w:r>
      <w:proofErr w:type="spellEnd"/>
      <w:r w:rsidR="009F14CC">
        <w:rPr>
          <w:lang w:val="pt-BR"/>
        </w:rPr>
        <w:t>, E.</w:t>
      </w:r>
      <w:r w:rsidR="00443B12">
        <w:rPr>
          <w:lang w:val="pt-BR"/>
        </w:rPr>
        <w:t xml:space="preserve">, Vieira, G., Santos, L., &amp; </w:t>
      </w:r>
      <w:proofErr w:type="spellStart"/>
      <w:r w:rsidR="00443B12">
        <w:rPr>
          <w:lang w:val="pt-BR"/>
        </w:rPr>
        <w:t>Pinzon</w:t>
      </w:r>
      <w:proofErr w:type="spellEnd"/>
      <w:r w:rsidR="00443B12">
        <w:rPr>
          <w:lang w:val="pt-BR"/>
        </w:rPr>
        <w:t xml:space="preserve">, V. (2000). </w:t>
      </w:r>
      <w:r w:rsidRPr="009773EF">
        <w:rPr>
          <w:lang w:val="pt-BR"/>
        </w:rPr>
        <w:t xml:space="preserve">Aplicação da versão em português do instrumento abreviado de avaliação da </w:t>
      </w:r>
      <w:r w:rsidRPr="009773EF">
        <w:rPr>
          <w:lang w:val="pt-BR"/>
        </w:rPr>
        <w:lastRenderedPageBreak/>
        <w:t>qualidade de vida “WHOQOL-</w:t>
      </w:r>
      <w:proofErr w:type="spellStart"/>
      <w:r w:rsidRPr="009773EF">
        <w:rPr>
          <w:lang w:val="pt-BR"/>
        </w:rPr>
        <w:t>bref</w:t>
      </w:r>
      <w:proofErr w:type="spellEnd"/>
      <w:r w:rsidRPr="009F14CC">
        <w:rPr>
          <w:lang w:val="pt-BR"/>
        </w:rPr>
        <w:t xml:space="preserve">”. </w:t>
      </w:r>
      <w:r w:rsidRPr="00146C86">
        <w:rPr>
          <w:i/>
          <w:iCs/>
          <w:lang w:val="pt-BR"/>
        </w:rPr>
        <w:t>Rev</w:t>
      </w:r>
      <w:r w:rsidR="00443B12" w:rsidRPr="00146C86">
        <w:rPr>
          <w:i/>
          <w:iCs/>
          <w:lang w:val="pt-BR"/>
        </w:rPr>
        <w:t>ista de</w:t>
      </w:r>
      <w:r w:rsidRPr="00146C86">
        <w:rPr>
          <w:i/>
          <w:iCs/>
          <w:lang w:val="pt-BR"/>
        </w:rPr>
        <w:t xml:space="preserve"> Saúde Pública</w:t>
      </w:r>
      <w:r w:rsidR="00443B12" w:rsidRPr="00146C86">
        <w:rPr>
          <w:i/>
          <w:iCs/>
          <w:lang w:val="pt-BR"/>
        </w:rPr>
        <w:t>, 3</w:t>
      </w:r>
      <w:r w:rsidRPr="00146C86">
        <w:rPr>
          <w:i/>
          <w:iCs/>
          <w:lang w:val="pt-BR"/>
        </w:rPr>
        <w:t>4</w:t>
      </w:r>
      <w:r w:rsidRPr="00146C86">
        <w:rPr>
          <w:lang w:val="pt-BR"/>
        </w:rPr>
        <w:t>(2)</w:t>
      </w:r>
      <w:r w:rsidR="00443B12" w:rsidRPr="00146C86">
        <w:rPr>
          <w:lang w:val="pt-BR"/>
        </w:rPr>
        <w:t xml:space="preserve">, </w:t>
      </w:r>
      <w:r w:rsidRPr="00146C86">
        <w:rPr>
          <w:lang w:val="pt-BR"/>
        </w:rPr>
        <w:t xml:space="preserve">178-183. </w:t>
      </w:r>
      <w:hyperlink r:id="rId29" w:history="1">
        <w:r w:rsidR="00443B12" w:rsidRPr="00146C86">
          <w:rPr>
            <w:rStyle w:val="Hyperlink"/>
            <w:lang w:val="pt-BR"/>
          </w:rPr>
          <w:t>https://doi.org/10.1590/S0034-89102000000200012</w:t>
        </w:r>
      </w:hyperlink>
      <w:r w:rsidR="00443B12" w:rsidRPr="00146C86">
        <w:rPr>
          <w:lang w:val="pt-BR"/>
        </w:rPr>
        <w:t xml:space="preserve"> </w:t>
      </w:r>
    </w:p>
    <w:p w14:paraId="74F479AA" w14:textId="70BD30E2" w:rsidR="009773EF" w:rsidRPr="00146C86" w:rsidRDefault="009773EF" w:rsidP="009773EF">
      <w:pPr>
        <w:ind w:left="720" w:hanging="720"/>
        <w:jc w:val="both"/>
        <w:rPr>
          <w:lang w:val="pt-BR"/>
        </w:rPr>
      </w:pPr>
      <w:proofErr w:type="spellStart"/>
      <w:r w:rsidRPr="00146C86">
        <w:rPr>
          <w:lang w:val="pt-BR"/>
        </w:rPr>
        <w:t>Foley</w:t>
      </w:r>
      <w:proofErr w:type="spellEnd"/>
      <w:r w:rsidR="00443B12" w:rsidRPr="00146C86">
        <w:rPr>
          <w:lang w:val="pt-BR"/>
        </w:rPr>
        <w:t>,</w:t>
      </w:r>
      <w:r w:rsidRPr="00146C86">
        <w:rPr>
          <w:lang w:val="pt-BR"/>
        </w:rPr>
        <w:t xml:space="preserve"> R</w:t>
      </w:r>
      <w:r w:rsidR="00443B12" w:rsidRPr="00146C86">
        <w:rPr>
          <w:lang w:val="pt-BR"/>
        </w:rPr>
        <w:t xml:space="preserve">., &amp; </w:t>
      </w:r>
      <w:proofErr w:type="spellStart"/>
      <w:r w:rsidRPr="00146C86">
        <w:rPr>
          <w:lang w:val="pt-BR"/>
        </w:rPr>
        <w:t>Kistemann</w:t>
      </w:r>
      <w:proofErr w:type="spellEnd"/>
      <w:r w:rsidR="00443B12" w:rsidRPr="00146C86">
        <w:rPr>
          <w:lang w:val="pt-BR"/>
        </w:rPr>
        <w:t xml:space="preserve">, </w:t>
      </w:r>
      <w:r w:rsidRPr="00146C86">
        <w:rPr>
          <w:lang w:val="pt-BR"/>
        </w:rPr>
        <w:t xml:space="preserve">T. </w:t>
      </w:r>
      <w:r w:rsidR="00443B12" w:rsidRPr="00146C86">
        <w:rPr>
          <w:lang w:val="pt-BR"/>
        </w:rPr>
        <w:t xml:space="preserve">(2015). </w:t>
      </w:r>
      <w:r w:rsidRPr="009773EF">
        <w:rPr>
          <w:lang w:val="en-US"/>
        </w:rPr>
        <w:t xml:space="preserve">Blue space geographies: Enabling health in place. </w:t>
      </w:r>
      <w:r w:rsidRPr="00146C86">
        <w:rPr>
          <w:i/>
          <w:iCs/>
          <w:lang w:val="pt-BR"/>
        </w:rPr>
        <w:t xml:space="preserve">Health </w:t>
      </w:r>
      <w:r w:rsidR="00443B12" w:rsidRPr="00146C86">
        <w:rPr>
          <w:i/>
          <w:iCs/>
          <w:lang w:val="pt-BR"/>
        </w:rPr>
        <w:t xml:space="preserve">&amp; </w:t>
      </w:r>
      <w:proofErr w:type="spellStart"/>
      <w:r w:rsidRPr="00146C86">
        <w:rPr>
          <w:i/>
          <w:iCs/>
          <w:lang w:val="pt-BR"/>
        </w:rPr>
        <w:t>Place</w:t>
      </w:r>
      <w:proofErr w:type="spellEnd"/>
      <w:r w:rsidR="00443B12" w:rsidRPr="00146C86">
        <w:rPr>
          <w:i/>
          <w:iCs/>
          <w:lang w:val="pt-BR"/>
        </w:rPr>
        <w:t xml:space="preserve">, </w:t>
      </w:r>
      <w:r w:rsidRPr="00146C86">
        <w:rPr>
          <w:i/>
          <w:iCs/>
          <w:lang w:val="pt-BR"/>
        </w:rPr>
        <w:t>35</w:t>
      </w:r>
      <w:r w:rsidR="00443B12" w:rsidRPr="00146C86">
        <w:rPr>
          <w:lang w:val="pt-BR"/>
        </w:rPr>
        <w:t xml:space="preserve">, </w:t>
      </w:r>
      <w:r w:rsidRPr="00146C86">
        <w:rPr>
          <w:lang w:val="pt-BR"/>
        </w:rPr>
        <w:t xml:space="preserve">157-165. </w:t>
      </w:r>
      <w:hyperlink r:id="rId30" w:history="1">
        <w:r w:rsidR="00443B12" w:rsidRPr="00146C86">
          <w:rPr>
            <w:rStyle w:val="Hyperlink"/>
            <w:lang w:val="pt-BR"/>
          </w:rPr>
          <w:t>https://doi.org/10.1016/j.healthplace.2015.07.003</w:t>
        </w:r>
      </w:hyperlink>
      <w:r w:rsidR="00443B12" w:rsidRPr="00146C86">
        <w:rPr>
          <w:lang w:val="pt-BR"/>
        </w:rPr>
        <w:t xml:space="preserve"> </w:t>
      </w:r>
    </w:p>
    <w:p w14:paraId="61EC76FA" w14:textId="5EBC0FAB" w:rsidR="009773EF" w:rsidRPr="00436032" w:rsidRDefault="009773EF" w:rsidP="009773EF">
      <w:pPr>
        <w:ind w:left="720" w:hanging="720"/>
        <w:jc w:val="both"/>
        <w:rPr>
          <w:lang w:val="pt-BR"/>
        </w:rPr>
      </w:pPr>
      <w:r w:rsidRPr="00443B12">
        <w:rPr>
          <w:lang w:val="pt-BR"/>
        </w:rPr>
        <w:t>Franco</w:t>
      </w:r>
      <w:r w:rsidR="00443B12" w:rsidRPr="00443B12">
        <w:rPr>
          <w:lang w:val="pt-BR"/>
        </w:rPr>
        <w:t>,</w:t>
      </w:r>
      <w:r w:rsidRPr="00443B12">
        <w:rPr>
          <w:lang w:val="pt-BR"/>
        </w:rPr>
        <w:t xml:space="preserve"> G</w:t>
      </w:r>
      <w:r w:rsidR="00443B12" w:rsidRPr="00443B12">
        <w:rPr>
          <w:lang w:val="pt-BR"/>
        </w:rPr>
        <w:t xml:space="preserve">. </w:t>
      </w:r>
      <w:r w:rsidRPr="00443B12">
        <w:rPr>
          <w:lang w:val="pt-BR"/>
        </w:rPr>
        <w:t>P</w:t>
      </w:r>
      <w:r w:rsidR="00443B12" w:rsidRPr="00443B12">
        <w:rPr>
          <w:lang w:val="pt-BR"/>
        </w:rPr>
        <w:t>.</w:t>
      </w:r>
      <w:r w:rsidR="00443B12">
        <w:rPr>
          <w:lang w:val="pt-BR"/>
        </w:rPr>
        <w:t xml:space="preserve">, Barros, A. L., B. L., &amp; Nogueira-Martins, L. A. (2005). </w:t>
      </w:r>
      <w:r w:rsidRPr="009773EF">
        <w:rPr>
          <w:lang w:val="pt-BR"/>
        </w:rPr>
        <w:t xml:space="preserve">Qualidade de vida e sintomas depressivos em residentes de enfermagem. </w:t>
      </w:r>
      <w:r w:rsidRPr="00146C86">
        <w:rPr>
          <w:i/>
          <w:iCs/>
          <w:lang w:val="pt-BR"/>
        </w:rPr>
        <w:t>Rev</w:t>
      </w:r>
      <w:r w:rsidR="00443B12" w:rsidRPr="00146C86">
        <w:rPr>
          <w:i/>
          <w:iCs/>
          <w:lang w:val="pt-BR"/>
        </w:rPr>
        <w:t>ista</w:t>
      </w:r>
      <w:r w:rsidRPr="00146C86">
        <w:rPr>
          <w:i/>
          <w:iCs/>
          <w:lang w:val="pt-BR"/>
        </w:rPr>
        <w:t xml:space="preserve"> Latino-am</w:t>
      </w:r>
      <w:r w:rsidR="00443B12" w:rsidRPr="00146C86">
        <w:rPr>
          <w:i/>
          <w:iCs/>
          <w:lang w:val="pt-BR"/>
        </w:rPr>
        <w:t>ericana de</w:t>
      </w:r>
      <w:r w:rsidRPr="00146C86">
        <w:rPr>
          <w:i/>
          <w:iCs/>
          <w:lang w:val="pt-BR"/>
        </w:rPr>
        <w:t xml:space="preserve"> Enfermagem</w:t>
      </w:r>
      <w:r w:rsidR="00443B12" w:rsidRPr="00146C86">
        <w:rPr>
          <w:i/>
          <w:iCs/>
          <w:lang w:val="pt-BR"/>
        </w:rPr>
        <w:t xml:space="preserve">, </w:t>
      </w:r>
      <w:r w:rsidRPr="00146C86">
        <w:rPr>
          <w:i/>
          <w:iCs/>
          <w:lang w:val="pt-BR"/>
        </w:rPr>
        <w:t>13</w:t>
      </w:r>
      <w:r w:rsidRPr="00146C86">
        <w:rPr>
          <w:lang w:val="pt-BR"/>
        </w:rPr>
        <w:t>(2)</w:t>
      </w:r>
      <w:r w:rsidR="00436032" w:rsidRPr="00146C86">
        <w:rPr>
          <w:lang w:val="pt-BR"/>
        </w:rPr>
        <w:t>,</w:t>
      </w:r>
      <w:r w:rsidRPr="00146C86">
        <w:rPr>
          <w:lang w:val="pt-BR"/>
        </w:rPr>
        <w:t xml:space="preserve"> 139-144. </w:t>
      </w:r>
      <w:hyperlink r:id="rId31" w:history="1">
        <w:r w:rsidR="00436032" w:rsidRPr="00436032">
          <w:rPr>
            <w:rStyle w:val="Hyperlink"/>
            <w:lang w:val="pt-BR"/>
          </w:rPr>
          <w:t>https://doi.org/10.1590/S0104-11692005000200002</w:t>
        </w:r>
      </w:hyperlink>
      <w:r w:rsidR="00436032" w:rsidRPr="00436032">
        <w:rPr>
          <w:lang w:val="pt-BR"/>
        </w:rPr>
        <w:t xml:space="preserve"> </w:t>
      </w:r>
    </w:p>
    <w:p w14:paraId="479D375A" w14:textId="4C316FEB" w:rsidR="009773EF" w:rsidRPr="006A48A0" w:rsidRDefault="009773EF" w:rsidP="009773EF">
      <w:pPr>
        <w:ind w:left="720" w:hanging="720"/>
        <w:jc w:val="both"/>
        <w:rPr>
          <w:lang w:val="en-US"/>
        </w:rPr>
      </w:pPr>
      <w:r w:rsidRPr="00436032">
        <w:rPr>
          <w:lang w:val="pt-BR"/>
        </w:rPr>
        <w:t>Garcia</w:t>
      </w:r>
      <w:r w:rsidR="00436032" w:rsidRPr="00436032">
        <w:rPr>
          <w:lang w:val="pt-BR"/>
        </w:rPr>
        <w:t>,</w:t>
      </w:r>
      <w:r w:rsidRPr="00436032">
        <w:rPr>
          <w:lang w:val="pt-BR"/>
        </w:rPr>
        <w:t xml:space="preserve"> D</w:t>
      </w:r>
      <w:r w:rsidR="00436032" w:rsidRPr="00436032">
        <w:rPr>
          <w:lang w:val="pt-BR"/>
        </w:rPr>
        <w:t xml:space="preserve">. </w:t>
      </w:r>
      <w:r w:rsidRPr="00436032">
        <w:rPr>
          <w:lang w:val="pt-BR"/>
        </w:rPr>
        <w:t>S</w:t>
      </w:r>
      <w:r w:rsidR="00436032" w:rsidRPr="00436032">
        <w:rPr>
          <w:lang w:val="pt-BR"/>
        </w:rPr>
        <w:t xml:space="preserve">., </w:t>
      </w:r>
      <w:proofErr w:type="spellStart"/>
      <w:r w:rsidR="00436032" w:rsidRPr="00436032">
        <w:rPr>
          <w:lang w:val="pt-BR"/>
        </w:rPr>
        <w:t>F</w:t>
      </w:r>
      <w:r w:rsidR="00436032">
        <w:rPr>
          <w:lang w:val="pt-BR"/>
        </w:rPr>
        <w:t>onticoba</w:t>
      </w:r>
      <w:proofErr w:type="spellEnd"/>
      <w:r w:rsidR="00436032">
        <w:rPr>
          <w:lang w:val="pt-BR"/>
        </w:rPr>
        <w:t xml:space="preserve">, T. D., Castro, E. S., </w:t>
      </w:r>
      <w:proofErr w:type="spellStart"/>
      <w:r w:rsidR="00436032">
        <w:rPr>
          <w:lang w:val="pt-BR"/>
        </w:rPr>
        <w:t>Borrué</w:t>
      </w:r>
      <w:proofErr w:type="spellEnd"/>
      <w:r w:rsidR="00436032">
        <w:rPr>
          <w:lang w:val="pt-BR"/>
        </w:rPr>
        <w:t xml:space="preserve">, C., Mata, M., Vila, B. S., </w:t>
      </w:r>
      <w:proofErr w:type="spellStart"/>
      <w:r w:rsidR="00436032">
        <w:rPr>
          <w:lang w:val="pt-BR"/>
        </w:rPr>
        <w:t>Foraster</w:t>
      </w:r>
      <w:proofErr w:type="spellEnd"/>
      <w:r w:rsidR="00436032">
        <w:rPr>
          <w:lang w:val="pt-BR"/>
        </w:rPr>
        <w:t xml:space="preserve">, A. C., </w:t>
      </w:r>
      <w:proofErr w:type="spellStart"/>
      <w:r w:rsidR="00436032">
        <w:rPr>
          <w:lang w:val="pt-BR"/>
        </w:rPr>
        <w:t>Sauco</w:t>
      </w:r>
      <w:proofErr w:type="spellEnd"/>
      <w:r w:rsidR="00436032">
        <w:rPr>
          <w:lang w:val="pt-BR"/>
        </w:rPr>
        <w:t xml:space="preserve">, M. A., Pérez, A. B. R., Vela, L., Macías, Y., </w:t>
      </w:r>
      <w:proofErr w:type="spellStart"/>
      <w:r w:rsidR="00436032">
        <w:rPr>
          <w:lang w:val="pt-BR"/>
        </w:rPr>
        <w:t>Escalante</w:t>
      </w:r>
      <w:proofErr w:type="spellEnd"/>
      <w:r w:rsidR="00436032">
        <w:rPr>
          <w:lang w:val="pt-BR"/>
        </w:rPr>
        <w:t xml:space="preserve">, S., Esteve, P., </w:t>
      </w:r>
      <w:proofErr w:type="spellStart"/>
      <w:r w:rsidR="00436032">
        <w:rPr>
          <w:lang w:val="pt-BR"/>
        </w:rPr>
        <w:t>Villarroya</w:t>
      </w:r>
      <w:proofErr w:type="spellEnd"/>
      <w:r w:rsidR="00436032">
        <w:rPr>
          <w:lang w:val="pt-BR"/>
        </w:rPr>
        <w:t xml:space="preserve">, S. R., Cubo, E., Casas, E., </w:t>
      </w:r>
      <w:proofErr w:type="spellStart"/>
      <w:r w:rsidR="00436032">
        <w:rPr>
          <w:lang w:val="pt-BR"/>
        </w:rPr>
        <w:t>Arnaiz</w:t>
      </w:r>
      <w:proofErr w:type="spellEnd"/>
      <w:r w:rsidR="00436032">
        <w:rPr>
          <w:lang w:val="pt-BR"/>
        </w:rPr>
        <w:t xml:space="preserve">, S., </w:t>
      </w:r>
      <w:proofErr w:type="spellStart"/>
      <w:r w:rsidR="00436032">
        <w:rPr>
          <w:lang w:val="pt-BR"/>
        </w:rPr>
        <w:t>Padilla</w:t>
      </w:r>
      <w:proofErr w:type="spellEnd"/>
      <w:r w:rsidR="00436032">
        <w:rPr>
          <w:lang w:val="pt-BR"/>
        </w:rPr>
        <w:t xml:space="preserve">, F. C., </w:t>
      </w:r>
      <w:proofErr w:type="spellStart"/>
      <w:r w:rsidR="00436032">
        <w:rPr>
          <w:lang w:val="pt-BR"/>
        </w:rPr>
        <w:t>Morlans</w:t>
      </w:r>
      <w:proofErr w:type="spellEnd"/>
      <w:r w:rsidR="00436032">
        <w:rPr>
          <w:lang w:val="pt-BR"/>
        </w:rPr>
        <w:t xml:space="preserve">, M. P., Mir, P. ... </w:t>
      </w:r>
      <w:r w:rsidR="00436032" w:rsidRPr="00436032">
        <w:rPr>
          <w:lang w:val="en-US"/>
        </w:rPr>
        <w:t xml:space="preserve">(2019). </w:t>
      </w:r>
      <w:r w:rsidRPr="009773EF">
        <w:rPr>
          <w:lang w:val="en-US"/>
        </w:rPr>
        <w:t xml:space="preserve">Non-motor symptoms burden, mood, and gait problems are the most significant factors contributing to a poor quality of life in non-demented Parkinson's disease patients: Results from the COPPADIS Study Cohort. </w:t>
      </w:r>
      <w:r w:rsidRPr="006A48A0">
        <w:rPr>
          <w:i/>
          <w:iCs/>
          <w:lang w:val="en-US"/>
        </w:rPr>
        <w:t xml:space="preserve">Parkinsonism </w:t>
      </w:r>
      <w:r w:rsidR="00436032" w:rsidRPr="006A48A0">
        <w:rPr>
          <w:i/>
          <w:iCs/>
          <w:lang w:val="en-US"/>
        </w:rPr>
        <w:t xml:space="preserve">&amp; </w:t>
      </w:r>
      <w:r w:rsidRPr="006A48A0">
        <w:rPr>
          <w:i/>
          <w:iCs/>
          <w:lang w:val="en-US"/>
        </w:rPr>
        <w:t>Relat</w:t>
      </w:r>
      <w:r w:rsidR="00436032" w:rsidRPr="006A48A0">
        <w:rPr>
          <w:i/>
          <w:iCs/>
          <w:lang w:val="en-US"/>
        </w:rPr>
        <w:t>ed</w:t>
      </w:r>
      <w:r w:rsidRPr="006A48A0">
        <w:rPr>
          <w:i/>
          <w:iCs/>
          <w:lang w:val="en-US"/>
        </w:rPr>
        <w:t xml:space="preserve"> Disord</w:t>
      </w:r>
      <w:r w:rsidR="00436032" w:rsidRPr="006A48A0">
        <w:rPr>
          <w:i/>
          <w:iCs/>
          <w:lang w:val="en-US"/>
        </w:rPr>
        <w:t>ers, 6</w:t>
      </w:r>
      <w:r w:rsidRPr="006A48A0">
        <w:rPr>
          <w:i/>
          <w:iCs/>
          <w:lang w:val="en-US"/>
        </w:rPr>
        <w:t>6</w:t>
      </w:r>
      <w:r w:rsidR="00073A86" w:rsidRPr="006A48A0">
        <w:rPr>
          <w:lang w:val="en-US"/>
        </w:rPr>
        <w:t xml:space="preserve">, </w:t>
      </w:r>
      <w:r w:rsidRPr="006A48A0">
        <w:rPr>
          <w:lang w:val="en-US"/>
        </w:rPr>
        <w:t xml:space="preserve">151-157. </w:t>
      </w:r>
      <w:hyperlink r:id="rId32" w:history="1">
        <w:r w:rsidR="00073A86" w:rsidRPr="006A48A0">
          <w:rPr>
            <w:rStyle w:val="Hyperlink"/>
            <w:lang w:val="en-US"/>
          </w:rPr>
          <w:t>https://doi.org/10.1016/j.parkreldis.2019.07.031</w:t>
        </w:r>
      </w:hyperlink>
      <w:r w:rsidR="00073A86" w:rsidRPr="006A48A0">
        <w:rPr>
          <w:lang w:val="en-US"/>
        </w:rPr>
        <w:t xml:space="preserve"> </w:t>
      </w:r>
    </w:p>
    <w:p w14:paraId="4FF1BDF6" w14:textId="0DDC0DE6" w:rsidR="0023189A" w:rsidRDefault="009773EF" w:rsidP="009773EF">
      <w:pPr>
        <w:ind w:left="720" w:hanging="720"/>
        <w:jc w:val="both"/>
        <w:rPr>
          <w:lang w:val="pt-BR"/>
        </w:rPr>
      </w:pPr>
      <w:r w:rsidRPr="006A48A0">
        <w:rPr>
          <w:lang w:val="en-US"/>
        </w:rPr>
        <w:t>Gonçalves</w:t>
      </w:r>
      <w:r w:rsidR="0023189A" w:rsidRPr="006A48A0">
        <w:rPr>
          <w:lang w:val="en-US"/>
        </w:rPr>
        <w:t>,</w:t>
      </w:r>
      <w:r w:rsidRPr="006A48A0">
        <w:rPr>
          <w:lang w:val="en-US"/>
        </w:rPr>
        <w:t xml:space="preserve"> D</w:t>
      </w:r>
      <w:r w:rsidR="0023189A" w:rsidRPr="006A48A0">
        <w:rPr>
          <w:lang w:val="en-US"/>
        </w:rPr>
        <w:t xml:space="preserve">. </w:t>
      </w:r>
      <w:r w:rsidRPr="006A48A0">
        <w:rPr>
          <w:lang w:val="en-US"/>
        </w:rPr>
        <w:t>A</w:t>
      </w:r>
      <w:r w:rsidR="0023189A" w:rsidRPr="006A48A0">
        <w:rPr>
          <w:lang w:val="en-US"/>
        </w:rPr>
        <w:t xml:space="preserve">., Mari, J. J., Bower, P., </w:t>
      </w:r>
      <w:proofErr w:type="spellStart"/>
      <w:r w:rsidR="0023189A" w:rsidRPr="006A48A0">
        <w:rPr>
          <w:lang w:val="en-US"/>
        </w:rPr>
        <w:t>Gask</w:t>
      </w:r>
      <w:proofErr w:type="spellEnd"/>
      <w:r w:rsidR="0023189A" w:rsidRPr="006A48A0">
        <w:rPr>
          <w:lang w:val="en-US"/>
        </w:rPr>
        <w:t xml:space="preserve">, L., </w:t>
      </w:r>
      <w:proofErr w:type="spellStart"/>
      <w:r w:rsidR="0023189A" w:rsidRPr="006A48A0">
        <w:rPr>
          <w:lang w:val="en-US"/>
        </w:rPr>
        <w:t>Dowrick</w:t>
      </w:r>
      <w:proofErr w:type="spellEnd"/>
      <w:r w:rsidR="0023189A" w:rsidRPr="006A48A0">
        <w:rPr>
          <w:lang w:val="en-US"/>
        </w:rPr>
        <w:t xml:space="preserve">, C., </w:t>
      </w:r>
      <w:proofErr w:type="spellStart"/>
      <w:r w:rsidR="0023189A" w:rsidRPr="006A48A0">
        <w:rPr>
          <w:lang w:val="en-US"/>
        </w:rPr>
        <w:t>Tófoli</w:t>
      </w:r>
      <w:proofErr w:type="spellEnd"/>
      <w:r w:rsidR="0023189A" w:rsidRPr="006A48A0">
        <w:rPr>
          <w:lang w:val="en-US"/>
        </w:rPr>
        <w:t xml:space="preserve">, L. F., Campos, M., Portugal, F. B., </w:t>
      </w:r>
      <w:proofErr w:type="spellStart"/>
      <w:r w:rsidR="0023189A" w:rsidRPr="006A48A0">
        <w:rPr>
          <w:lang w:val="en-US"/>
        </w:rPr>
        <w:t>Ballester</w:t>
      </w:r>
      <w:proofErr w:type="spellEnd"/>
      <w:r w:rsidR="0023189A" w:rsidRPr="006A48A0">
        <w:rPr>
          <w:lang w:val="en-US"/>
        </w:rPr>
        <w:t xml:space="preserve">, D., &amp; Fortes, S. (2014). </w:t>
      </w:r>
      <w:r w:rsidRPr="009773EF">
        <w:rPr>
          <w:lang w:val="pt-BR"/>
        </w:rPr>
        <w:t xml:space="preserve">Estudo multicêntrico brasileiro sobre transtornos mentais comuns na atenção primária: prevalência e fatores sociodemográficos relacionados. </w:t>
      </w:r>
      <w:r w:rsidRPr="0023189A">
        <w:rPr>
          <w:i/>
          <w:iCs/>
          <w:lang w:val="pt-BR"/>
        </w:rPr>
        <w:t>Cad</w:t>
      </w:r>
      <w:r w:rsidR="0023189A" w:rsidRPr="0023189A">
        <w:rPr>
          <w:i/>
          <w:iCs/>
          <w:lang w:val="pt-BR"/>
        </w:rPr>
        <w:t>ernos de</w:t>
      </w:r>
      <w:r w:rsidRPr="0023189A">
        <w:rPr>
          <w:i/>
          <w:iCs/>
          <w:lang w:val="pt-BR"/>
        </w:rPr>
        <w:t xml:space="preserve"> Saúde Pública</w:t>
      </w:r>
      <w:r w:rsidR="0023189A" w:rsidRPr="0023189A">
        <w:rPr>
          <w:i/>
          <w:iCs/>
          <w:lang w:val="pt-BR"/>
        </w:rPr>
        <w:t xml:space="preserve">, </w:t>
      </w:r>
      <w:r w:rsidRPr="0023189A">
        <w:rPr>
          <w:i/>
          <w:iCs/>
          <w:lang w:val="pt-BR"/>
        </w:rPr>
        <w:t>30</w:t>
      </w:r>
      <w:r w:rsidRPr="009773EF">
        <w:rPr>
          <w:lang w:val="pt-BR"/>
        </w:rPr>
        <w:t>(3)</w:t>
      </w:r>
      <w:r w:rsidR="0023189A">
        <w:rPr>
          <w:lang w:val="pt-BR"/>
        </w:rPr>
        <w:t xml:space="preserve">, </w:t>
      </w:r>
      <w:r w:rsidRPr="009773EF">
        <w:rPr>
          <w:lang w:val="pt-BR"/>
        </w:rPr>
        <w:t xml:space="preserve">623-632. </w:t>
      </w:r>
      <w:hyperlink r:id="rId33" w:history="1">
        <w:r w:rsidR="0023189A" w:rsidRPr="002261A9">
          <w:rPr>
            <w:rStyle w:val="Hyperlink"/>
            <w:lang w:val="pt-BR"/>
          </w:rPr>
          <w:t>https://doi.org/10.1590/0102-311X00158412</w:t>
        </w:r>
      </w:hyperlink>
      <w:r w:rsidR="0023189A">
        <w:rPr>
          <w:lang w:val="pt-BR"/>
        </w:rPr>
        <w:t xml:space="preserve"> </w:t>
      </w:r>
    </w:p>
    <w:p w14:paraId="1BBF5352" w14:textId="77777777" w:rsidR="0023189A" w:rsidRDefault="009773EF" w:rsidP="009773EF">
      <w:pPr>
        <w:ind w:left="720" w:hanging="720"/>
        <w:jc w:val="both"/>
        <w:rPr>
          <w:lang w:val="pt-BR"/>
        </w:rPr>
      </w:pPr>
      <w:proofErr w:type="spellStart"/>
      <w:r w:rsidRPr="009773EF">
        <w:rPr>
          <w:lang w:val="pt-BR"/>
        </w:rPr>
        <w:t>Gordia</w:t>
      </w:r>
      <w:proofErr w:type="spellEnd"/>
      <w:r w:rsidR="0023189A">
        <w:rPr>
          <w:lang w:val="pt-BR"/>
        </w:rPr>
        <w:t>,</w:t>
      </w:r>
      <w:r w:rsidRPr="009773EF">
        <w:rPr>
          <w:lang w:val="pt-BR"/>
        </w:rPr>
        <w:t xml:space="preserve"> A</w:t>
      </w:r>
      <w:r w:rsidR="0023189A">
        <w:rPr>
          <w:lang w:val="pt-BR"/>
        </w:rPr>
        <w:t xml:space="preserve">. </w:t>
      </w:r>
      <w:r w:rsidRPr="009773EF">
        <w:rPr>
          <w:lang w:val="pt-BR"/>
        </w:rPr>
        <w:t>P</w:t>
      </w:r>
      <w:r w:rsidR="0023189A">
        <w:rPr>
          <w:lang w:val="pt-BR"/>
        </w:rPr>
        <w:t>., Quadros, T. M. B., &amp; Campos, W. (2009).</w:t>
      </w:r>
      <w:r w:rsidRPr="009773EF">
        <w:rPr>
          <w:lang w:val="pt-BR"/>
        </w:rPr>
        <w:t xml:space="preserve"> Variáveis sociodemográficas como determinantes do domínio meio ambiente da qualidade de vida de adolescentes. </w:t>
      </w:r>
      <w:r w:rsidRPr="00FB7894">
        <w:rPr>
          <w:i/>
          <w:iCs/>
          <w:lang w:val="pt-BR"/>
        </w:rPr>
        <w:t>Ciênc</w:t>
      </w:r>
      <w:r w:rsidR="0023189A" w:rsidRPr="00FB7894">
        <w:rPr>
          <w:i/>
          <w:iCs/>
          <w:lang w:val="pt-BR"/>
        </w:rPr>
        <w:t>ia &amp; S</w:t>
      </w:r>
      <w:r w:rsidRPr="00FB7894">
        <w:rPr>
          <w:i/>
          <w:iCs/>
          <w:lang w:val="pt-BR"/>
        </w:rPr>
        <w:t xml:space="preserve">aúde </w:t>
      </w:r>
      <w:r w:rsidR="0023189A" w:rsidRPr="00FB7894">
        <w:rPr>
          <w:i/>
          <w:iCs/>
          <w:lang w:val="pt-BR"/>
        </w:rPr>
        <w:t>C</w:t>
      </w:r>
      <w:r w:rsidRPr="00FB7894">
        <w:rPr>
          <w:i/>
          <w:iCs/>
          <w:lang w:val="pt-BR"/>
        </w:rPr>
        <w:t>oletiva</w:t>
      </w:r>
      <w:r w:rsidR="0023189A" w:rsidRPr="00FB7894">
        <w:rPr>
          <w:i/>
          <w:iCs/>
          <w:lang w:val="pt-BR"/>
        </w:rPr>
        <w:t xml:space="preserve">, </w:t>
      </w:r>
      <w:r w:rsidRPr="00FB7894">
        <w:rPr>
          <w:i/>
          <w:iCs/>
          <w:lang w:val="pt-BR"/>
        </w:rPr>
        <w:t>14</w:t>
      </w:r>
      <w:r w:rsidRPr="009773EF">
        <w:rPr>
          <w:lang w:val="pt-BR"/>
        </w:rPr>
        <w:t>(6)</w:t>
      </w:r>
      <w:r w:rsidR="0023189A">
        <w:rPr>
          <w:lang w:val="pt-BR"/>
        </w:rPr>
        <w:t xml:space="preserve">, </w:t>
      </w:r>
      <w:r w:rsidRPr="009773EF">
        <w:rPr>
          <w:lang w:val="pt-BR"/>
        </w:rPr>
        <w:t xml:space="preserve">2261-2268. </w:t>
      </w:r>
      <w:hyperlink r:id="rId34" w:history="1">
        <w:r w:rsidR="0023189A" w:rsidRPr="002261A9">
          <w:rPr>
            <w:rStyle w:val="Hyperlink"/>
            <w:lang w:val="pt-BR"/>
          </w:rPr>
          <w:t>https://doi.org/10.1590/S1413-81232009000600035</w:t>
        </w:r>
      </w:hyperlink>
      <w:r w:rsidR="0023189A">
        <w:rPr>
          <w:lang w:val="pt-BR"/>
        </w:rPr>
        <w:t xml:space="preserve"> </w:t>
      </w:r>
    </w:p>
    <w:p w14:paraId="6892847F" w14:textId="6BDA8394" w:rsidR="009773EF" w:rsidRPr="006A48A0" w:rsidRDefault="009773EF" w:rsidP="009773EF">
      <w:pPr>
        <w:ind w:left="720" w:hanging="720"/>
        <w:jc w:val="both"/>
        <w:rPr>
          <w:lang w:val="en-US"/>
        </w:rPr>
      </w:pPr>
      <w:proofErr w:type="spellStart"/>
      <w:r w:rsidRPr="006A48A0">
        <w:rPr>
          <w:lang w:val="pt-BR"/>
        </w:rPr>
        <w:t>Hisa</w:t>
      </w:r>
      <w:r w:rsidR="005E185D" w:rsidRPr="006A48A0">
        <w:rPr>
          <w:lang w:val="pt-BR"/>
        </w:rPr>
        <w:t>s</w:t>
      </w:r>
      <w:r w:rsidRPr="006A48A0">
        <w:rPr>
          <w:lang w:val="pt-BR"/>
        </w:rPr>
        <w:t>ue</w:t>
      </w:r>
      <w:proofErr w:type="spellEnd"/>
      <w:r w:rsidR="00F26D33" w:rsidRPr="006A48A0">
        <w:rPr>
          <w:lang w:val="pt-BR"/>
        </w:rPr>
        <w:t>,</w:t>
      </w:r>
      <w:r w:rsidRPr="006A48A0">
        <w:rPr>
          <w:lang w:val="pt-BR"/>
        </w:rPr>
        <w:t xml:space="preserve"> T</w:t>
      </w:r>
      <w:r w:rsidR="00F26D33" w:rsidRPr="006A48A0">
        <w:rPr>
          <w:lang w:val="pt-BR"/>
        </w:rPr>
        <w:t xml:space="preserve">., </w:t>
      </w:r>
      <w:proofErr w:type="spellStart"/>
      <w:r w:rsidR="00F26D33" w:rsidRPr="006A48A0">
        <w:rPr>
          <w:lang w:val="pt-BR"/>
        </w:rPr>
        <w:t>Kruse</w:t>
      </w:r>
      <w:proofErr w:type="spellEnd"/>
      <w:r w:rsidR="00F26D33" w:rsidRPr="006A48A0">
        <w:rPr>
          <w:lang w:val="pt-BR"/>
        </w:rPr>
        <w:t xml:space="preserve">, M., </w:t>
      </w:r>
      <w:proofErr w:type="spellStart"/>
      <w:r w:rsidR="00F26D33" w:rsidRPr="006A48A0">
        <w:rPr>
          <w:lang w:val="pt-BR"/>
        </w:rPr>
        <w:t>Rainanen</w:t>
      </w:r>
      <w:proofErr w:type="spellEnd"/>
      <w:r w:rsidR="00F26D33" w:rsidRPr="006A48A0">
        <w:rPr>
          <w:lang w:val="pt-BR"/>
        </w:rPr>
        <w:t xml:space="preserve">, J., </w:t>
      </w:r>
      <w:proofErr w:type="spellStart"/>
      <w:r w:rsidR="00F26D33" w:rsidRPr="006A48A0">
        <w:rPr>
          <w:lang w:val="pt-BR"/>
        </w:rPr>
        <w:t>Paavilainen</w:t>
      </w:r>
      <w:proofErr w:type="spellEnd"/>
      <w:r w:rsidR="00F26D33" w:rsidRPr="006A48A0">
        <w:rPr>
          <w:lang w:val="pt-BR"/>
        </w:rPr>
        <w:t xml:space="preserve">, E., &amp; </w:t>
      </w:r>
      <w:proofErr w:type="spellStart"/>
      <w:r w:rsidR="00F26D33" w:rsidRPr="006A48A0">
        <w:rPr>
          <w:lang w:val="pt-BR"/>
        </w:rPr>
        <w:t>Rissanen</w:t>
      </w:r>
      <w:proofErr w:type="spellEnd"/>
      <w:r w:rsidR="00F26D33" w:rsidRPr="006A48A0">
        <w:rPr>
          <w:lang w:val="pt-BR"/>
        </w:rPr>
        <w:t xml:space="preserve">, P. (2020). </w:t>
      </w:r>
      <w:r w:rsidRPr="009773EF">
        <w:rPr>
          <w:lang w:val="en-US"/>
        </w:rPr>
        <w:t xml:space="preserve">Quality of life, psychological distress and violence among women in close relationships: a population-based study in Finland. </w:t>
      </w:r>
      <w:r w:rsidRPr="006A48A0">
        <w:rPr>
          <w:i/>
          <w:iCs/>
          <w:lang w:val="en-US"/>
        </w:rPr>
        <w:t>BMC Women</w:t>
      </w:r>
      <w:r w:rsidR="00F26D33" w:rsidRPr="006A48A0">
        <w:rPr>
          <w:i/>
          <w:iCs/>
          <w:lang w:val="en-US"/>
        </w:rPr>
        <w:t>’</w:t>
      </w:r>
      <w:r w:rsidRPr="006A48A0">
        <w:rPr>
          <w:i/>
          <w:iCs/>
          <w:lang w:val="en-US"/>
        </w:rPr>
        <w:t>s Health</w:t>
      </w:r>
      <w:r w:rsidR="00F26D33" w:rsidRPr="006A48A0">
        <w:rPr>
          <w:i/>
          <w:iCs/>
          <w:lang w:val="en-US"/>
        </w:rPr>
        <w:t xml:space="preserve">, </w:t>
      </w:r>
      <w:r w:rsidRPr="006A48A0">
        <w:rPr>
          <w:i/>
          <w:iCs/>
          <w:lang w:val="en-US"/>
        </w:rPr>
        <w:t>20</w:t>
      </w:r>
      <w:r w:rsidR="00F26D33" w:rsidRPr="006A48A0">
        <w:rPr>
          <w:lang w:val="en-US"/>
        </w:rPr>
        <w:t xml:space="preserve">, </w:t>
      </w:r>
      <w:r w:rsidRPr="006A48A0">
        <w:rPr>
          <w:lang w:val="en-US"/>
        </w:rPr>
        <w:t xml:space="preserve">85. </w:t>
      </w:r>
      <w:hyperlink r:id="rId35" w:history="1">
        <w:r w:rsidR="005E185D" w:rsidRPr="006A48A0">
          <w:rPr>
            <w:rStyle w:val="Hyperlink"/>
            <w:lang w:val="en-US"/>
          </w:rPr>
          <w:t>https://doi.org/10.1186/s12905-020-00950-6</w:t>
        </w:r>
      </w:hyperlink>
      <w:r w:rsidR="005E185D" w:rsidRPr="006A48A0">
        <w:rPr>
          <w:lang w:val="en-US"/>
        </w:rPr>
        <w:t xml:space="preserve"> </w:t>
      </w:r>
    </w:p>
    <w:p w14:paraId="57F1DC58" w14:textId="319DE844" w:rsidR="009773EF" w:rsidRPr="005E185D" w:rsidRDefault="009773EF" w:rsidP="009773EF">
      <w:pPr>
        <w:ind w:left="720" w:hanging="720"/>
        <w:jc w:val="both"/>
        <w:rPr>
          <w:lang w:val="pt-BR"/>
        </w:rPr>
      </w:pPr>
      <w:proofErr w:type="spellStart"/>
      <w:r w:rsidRPr="006A48A0">
        <w:rPr>
          <w:lang w:val="en-US"/>
        </w:rPr>
        <w:t>Jampaulo</w:t>
      </w:r>
      <w:proofErr w:type="spellEnd"/>
      <w:r w:rsidRPr="006A48A0">
        <w:rPr>
          <w:lang w:val="en-US"/>
        </w:rPr>
        <w:t xml:space="preserve"> Júnior</w:t>
      </w:r>
      <w:r w:rsidR="005E185D" w:rsidRPr="006A48A0">
        <w:rPr>
          <w:lang w:val="en-US"/>
        </w:rPr>
        <w:t>,</w:t>
      </w:r>
      <w:r w:rsidRPr="006A48A0">
        <w:rPr>
          <w:lang w:val="en-US"/>
        </w:rPr>
        <w:t xml:space="preserve"> J.</w:t>
      </w:r>
      <w:r w:rsidR="005E185D" w:rsidRPr="006A48A0">
        <w:rPr>
          <w:lang w:val="en-US"/>
        </w:rPr>
        <w:t xml:space="preserve"> (2007).</w:t>
      </w:r>
      <w:r w:rsidRPr="006A48A0">
        <w:rPr>
          <w:lang w:val="en-US"/>
        </w:rPr>
        <w:t xml:space="preserve"> </w:t>
      </w:r>
      <w:r w:rsidRPr="005E185D">
        <w:rPr>
          <w:i/>
          <w:iCs/>
          <w:lang w:val="pt-BR"/>
        </w:rPr>
        <w:t>Qualidade de vida, direito fundamental</w:t>
      </w:r>
      <w:r w:rsidRPr="009773EF">
        <w:rPr>
          <w:lang w:val="pt-BR"/>
        </w:rPr>
        <w:t xml:space="preserve"> – uma questão urbana: a função social da cidade [</w:t>
      </w:r>
      <w:proofErr w:type="spellStart"/>
      <w:r w:rsidR="005E185D">
        <w:rPr>
          <w:lang w:val="pt-BR"/>
        </w:rPr>
        <w:t>doctoral</w:t>
      </w:r>
      <w:proofErr w:type="spellEnd"/>
      <w:r w:rsidR="005E185D">
        <w:rPr>
          <w:lang w:val="pt-BR"/>
        </w:rPr>
        <w:t xml:space="preserve"> </w:t>
      </w:r>
      <w:proofErr w:type="spellStart"/>
      <w:r w:rsidRPr="009773EF">
        <w:rPr>
          <w:lang w:val="pt-BR"/>
        </w:rPr>
        <w:t>thesis</w:t>
      </w:r>
      <w:proofErr w:type="spellEnd"/>
      <w:r w:rsidR="005E185D">
        <w:rPr>
          <w:lang w:val="pt-BR"/>
        </w:rPr>
        <w:t xml:space="preserve">, </w:t>
      </w:r>
      <w:r w:rsidRPr="009773EF">
        <w:rPr>
          <w:lang w:val="pt-BR"/>
        </w:rPr>
        <w:t>Pontifícia Universidade Católica</w:t>
      </w:r>
      <w:r w:rsidR="005E185D">
        <w:rPr>
          <w:lang w:val="pt-BR"/>
        </w:rPr>
        <w:t xml:space="preserve">]. </w:t>
      </w:r>
      <w:r w:rsidR="005E185D" w:rsidRPr="005E185D">
        <w:rPr>
          <w:lang w:val="pt-BR"/>
        </w:rPr>
        <w:t>Repositório PUCSP.</w:t>
      </w:r>
      <w:r w:rsidRPr="005E185D">
        <w:rPr>
          <w:lang w:val="pt-BR"/>
        </w:rPr>
        <w:t xml:space="preserve"> </w:t>
      </w:r>
      <w:hyperlink r:id="rId36" w:history="1">
        <w:r w:rsidR="005E185D" w:rsidRPr="005E185D">
          <w:rPr>
            <w:rStyle w:val="Hyperlink"/>
            <w:lang w:val="pt-BR"/>
          </w:rPr>
          <w:t>https://tede2.pucsp.br/handle/handle/7534</w:t>
        </w:r>
      </w:hyperlink>
      <w:r w:rsidR="005E185D" w:rsidRPr="005E185D">
        <w:rPr>
          <w:lang w:val="pt-BR"/>
        </w:rPr>
        <w:t xml:space="preserve"> </w:t>
      </w:r>
    </w:p>
    <w:p w14:paraId="749EFE7F" w14:textId="0A3FE7D2" w:rsidR="009773EF" w:rsidRPr="004618FA" w:rsidRDefault="009773EF" w:rsidP="009773EF">
      <w:pPr>
        <w:ind w:left="720" w:hanging="720"/>
        <w:jc w:val="both"/>
        <w:rPr>
          <w:lang w:val="pt-BR"/>
        </w:rPr>
      </w:pPr>
      <w:r w:rsidRPr="005E185D">
        <w:rPr>
          <w:lang w:val="pt-BR"/>
        </w:rPr>
        <w:t>Kohn</w:t>
      </w:r>
      <w:r w:rsidR="005E185D" w:rsidRPr="005E185D">
        <w:rPr>
          <w:lang w:val="pt-BR"/>
        </w:rPr>
        <w:t>,</w:t>
      </w:r>
      <w:r w:rsidRPr="005E185D">
        <w:rPr>
          <w:lang w:val="pt-BR"/>
        </w:rPr>
        <w:t xml:space="preserve"> R</w:t>
      </w:r>
      <w:r w:rsidR="005E185D" w:rsidRPr="005E185D">
        <w:rPr>
          <w:lang w:val="pt-BR"/>
        </w:rPr>
        <w:t xml:space="preserve">., Ali, A. A., </w:t>
      </w:r>
      <w:proofErr w:type="spellStart"/>
      <w:r w:rsidR="005E185D" w:rsidRPr="005E185D">
        <w:rPr>
          <w:lang w:val="pt-BR"/>
        </w:rPr>
        <w:t>Puac-Polanco</w:t>
      </w:r>
      <w:proofErr w:type="spellEnd"/>
      <w:r w:rsidR="005E185D" w:rsidRPr="005E185D">
        <w:rPr>
          <w:lang w:val="pt-BR"/>
        </w:rPr>
        <w:t>, V.,</w:t>
      </w:r>
      <w:r w:rsidR="005E185D">
        <w:rPr>
          <w:lang w:val="pt-BR"/>
        </w:rPr>
        <w:t xml:space="preserve"> Figueroa, C., López-Soto, V., Morgan, K., </w:t>
      </w:r>
      <w:proofErr w:type="spellStart"/>
      <w:r w:rsidR="005E185D">
        <w:rPr>
          <w:lang w:val="pt-BR"/>
        </w:rPr>
        <w:t>Saldivia</w:t>
      </w:r>
      <w:proofErr w:type="spellEnd"/>
      <w:r w:rsidR="005E185D">
        <w:rPr>
          <w:lang w:val="pt-BR"/>
        </w:rPr>
        <w:t xml:space="preserve">, S., &amp; Vicente, B. (2018). </w:t>
      </w:r>
      <w:r w:rsidRPr="009773EF">
        <w:rPr>
          <w:lang w:val="en-US"/>
        </w:rPr>
        <w:t xml:space="preserve">Mental health in the Americas: an overview of the treatment gap. </w:t>
      </w:r>
      <w:r w:rsidRPr="004618FA">
        <w:rPr>
          <w:i/>
          <w:iCs/>
          <w:lang w:val="pt-BR"/>
        </w:rPr>
        <w:t>Rev</w:t>
      </w:r>
      <w:r w:rsidR="004618FA" w:rsidRPr="004618FA">
        <w:rPr>
          <w:i/>
          <w:iCs/>
          <w:lang w:val="pt-BR"/>
        </w:rPr>
        <w:t>ista</w:t>
      </w:r>
      <w:r w:rsidRPr="004618FA">
        <w:rPr>
          <w:i/>
          <w:iCs/>
          <w:lang w:val="pt-BR"/>
        </w:rPr>
        <w:t xml:space="preserve"> </w:t>
      </w:r>
      <w:proofErr w:type="spellStart"/>
      <w:r w:rsidRPr="004618FA">
        <w:rPr>
          <w:i/>
          <w:iCs/>
          <w:lang w:val="pt-BR"/>
        </w:rPr>
        <w:t>Panam</w:t>
      </w:r>
      <w:r w:rsidR="004618FA" w:rsidRPr="004618FA">
        <w:rPr>
          <w:i/>
          <w:iCs/>
          <w:lang w:val="pt-BR"/>
        </w:rPr>
        <w:t>ericana</w:t>
      </w:r>
      <w:proofErr w:type="spellEnd"/>
      <w:r w:rsidR="004618FA" w:rsidRPr="004618FA">
        <w:rPr>
          <w:i/>
          <w:iCs/>
          <w:lang w:val="pt-BR"/>
        </w:rPr>
        <w:t xml:space="preserve"> de</w:t>
      </w:r>
      <w:r w:rsidRPr="004618FA">
        <w:rPr>
          <w:i/>
          <w:iCs/>
          <w:lang w:val="pt-BR"/>
        </w:rPr>
        <w:t xml:space="preserve"> </w:t>
      </w:r>
      <w:proofErr w:type="spellStart"/>
      <w:r w:rsidRPr="004618FA">
        <w:rPr>
          <w:i/>
          <w:iCs/>
          <w:lang w:val="pt-BR"/>
        </w:rPr>
        <w:t>Salud</w:t>
      </w:r>
      <w:proofErr w:type="spellEnd"/>
      <w:r w:rsidRPr="004618FA">
        <w:rPr>
          <w:i/>
          <w:iCs/>
          <w:lang w:val="pt-BR"/>
        </w:rPr>
        <w:t xml:space="preserve"> Publica</w:t>
      </w:r>
      <w:r w:rsidR="004618FA" w:rsidRPr="004618FA">
        <w:rPr>
          <w:i/>
          <w:iCs/>
          <w:lang w:val="pt-BR"/>
        </w:rPr>
        <w:t xml:space="preserve">, </w:t>
      </w:r>
      <w:r w:rsidRPr="004618FA">
        <w:rPr>
          <w:i/>
          <w:iCs/>
          <w:lang w:val="pt-BR"/>
        </w:rPr>
        <w:t>42</w:t>
      </w:r>
      <w:r w:rsidRPr="004618FA">
        <w:rPr>
          <w:lang w:val="pt-BR"/>
        </w:rPr>
        <w:t xml:space="preserve">(165). </w:t>
      </w:r>
      <w:hyperlink r:id="rId37" w:history="1">
        <w:r w:rsidR="005E185D" w:rsidRPr="004618FA">
          <w:rPr>
            <w:rStyle w:val="Hyperlink"/>
            <w:lang w:val="pt-BR"/>
          </w:rPr>
          <w:t>https://dx.doi.org/10.26633%2FRPSP.2018.165</w:t>
        </w:r>
      </w:hyperlink>
      <w:r w:rsidR="005E185D" w:rsidRPr="004618FA">
        <w:rPr>
          <w:lang w:val="pt-BR"/>
        </w:rPr>
        <w:t xml:space="preserve"> </w:t>
      </w:r>
    </w:p>
    <w:p w14:paraId="129648DF" w14:textId="715860F5" w:rsidR="009773EF" w:rsidRPr="004618FA" w:rsidRDefault="009773EF" w:rsidP="009773EF">
      <w:pPr>
        <w:ind w:left="720" w:hanging="720"/>
        <w:jc w:val="both"/>
        <w:rPr>
          <w:lang w:val="pt-BR"/>
        </w:rPr>
      </w:pPr>
      <w:proofErr w:type="spellStart"/>
      <w:r w:rsidRPr="004618FA">
        <w:rPr>
          <w:lang w:val="pt-BR"/>
        </w:rPr>
        <w:t>Korkmaz</w:t>
      </w:r>
      <w:proofErr w:type="spellEnd"/>
      <w:r w:rsidR="004618FA" w:rsidRPr="004618FA">
        <w:rPr>
          <w:lang w:val="pt-BR"/>
        </w:rPr>
        <w:t>,</w:t>
      </w:r>
      <w:r w:rsidRPr="004618FA">
        <w:rPr>
          <w:lang w:val="pt-BR"/>
        </w:rPr>
        <w:t xml:space="preserve"> M</w:t>
      </w:r>
      <w:r w:rsidR="004618FA" w:rsidRPr="004618FA">
        <w:rPr>
          <w:lang w:val="pt-BR"/>
        </w:rPr>
        <w:t xml:space="preserve">. </w:t>
      </w:r>
      <w:proofErr w:type="spellStart"/>
      <w:r w:rsidR="004618FA" w:rsidRPr="004618FA">
        <w:rPr>
          <w:lang w:val="pt-BR"/>
        </w:rPr>
        <w:t>Tavsanli</w:t>
      </w:r>
      <w:proofErr w:type="spellEnd"/>
      <w:r w:rsidR="004618FA" w:rsidRPr="004618FA">
        <w:rPr>
          <w:lang w:val="pt-BR"/>
        </w:rPr>
        <w:t xml:space="preserve">, N. G., </w:t>
      </w:r>
      <w:r w:rsidR="004618FA">
        <w:rPr>
          <w:lang w:val="pt-BR"/>
        </w:rPr>
        <w:t xml:space="preserve">&amp; </w:t>
      </w:r>
      <w:proofErr w:type="spellStart"/>
      <w:r w:rsidR="004618FA" w:rsidRPr="004618FA">
        <w:rPr>
          <w:lang w:val="pt-BR"/>
        </w:rPr>
        <w:t>Ozcelik</w:t>
      </w:r>
      <w:proofErr w:type="spellEnd"/>
      <w:r w:rsidR="004618FA" w:rsidRPr="004618FA">
        <w:rPr>
          <w:lang w:val="pt-BR"/>
        </w:rPr>
        <w:t>, H.</w:t>
      </w:r>
      <w:r w:rsidR="004618FA">
        <w:rPr>
          <w:lang w:val="pt-BR"/>
        </w:rPr>
        <w:t xml:space="preserve"> (2016). </w:t>
      </w:r>
      <w:r w:rsidRPr="009773EF">
        <w:rPr>
          <w:lang w:val="en-US"/>
        </w:rPr>
        <w:t xml:space="preserve">Use of complementary and alternative medicine and quality of life of cancer patients: Turkish samples. </w:t>
      </w:r>
      <w:proofErr w:type="spellStart"/>
      <w:r w:rsidRPr="006A48A0">
        <w:rPr>
          <w:i/>
          <w:iCs/>
          <w:lang w:val="pt-BR"/>
        </w:rPr>
        <w:t>Holist</w:t>
      </w:r>
      <w:proofErr w:type="spellEnd"/>
      <w:r w:rsidRPr="006A48A0">
        <w:rPr>
          <w:i/>
          <w:iCs/>
          <w:lang w:val="pt-BR"/>
        </w:rPr>
        <w:t xml:space="preserve"> </w:t>
      </w:r>
      <w:proofErr w:type="spellStart"/>
      <w:r w:rsidRPr="006A48A0">
        <w:rPr>
          <w:i/>
          <w:iCs/>
          <w:lang w:val="pt-BR"/>
        </w:rPr>
        <w:t>Nurs</w:t>
      </w:r>
      <w:r w:rsidR="004618FA" w:rsidRPr="006A48A0">
        <w:rPr>
          <w:i/>
          <w:iCs/>
          <w:lang w:val="pt-BR"/>
        </w:rPr>
        <w:t>ing</w:t>
      </w:r>
      <w:proofErr w:type="spellEnd"/>
      <w:r w:rsidRPr="006A48A0">
        <w:rPr>
          <w:i/>
          <w:iCs/>
          <w:lang w:val="pt-BR"/>
        </w:rPr>
        <w:t xml:space="preserve"> </w:t>
      </w:r>
      <w:proofErr w:type="spellStart"/>
      <w:r w:rsidRPr="006A48A0">
        <w:rPr>
          <w:i/>
          <w:iCs/>
          <w:lang w:val="pt-BR"/>
        </w:rPr>
        <w:t>Pract</w:t>
      </w:r>
      <w:r w:rsidR="004618FA" w:rsidRPr="006A48A0">
        <w:rPr>
          <w:i/>
          <w:iCs/>
          <w:lang w:val="pt-BR"/>
        </w:rPr>
        <w:t>ice</w:t>
      </w:r>
      <w:proofErr w:type="spellEnd"/>
      <w:r w:rsidR="004618FA" w:rsidRPr="006A48A0">
        <w:rPr>
          <w:i/>
          <w:iCs/>
          <w:lang w:val="pt-BR"/>
        </w:rPr>
        <w:t xml:space="preserve">, </w:t>
      </w:r>
      <w:r w:rsidRPr="006A48A0">
        <w:rPr>
          <w:i/>
          <w:iCs/>
          <w:lang w:val="pt-BR"/>
        </w:rPr>
        <w:t>30</w:t>
      </w:r>
      <w:r w:rsidRPr="006A48A0">
        <w:rPr>
          <w:lang w:val="pt-BR"/>
        </w:rPr>
        <w:t>(2)</w:t>
      </w:r>
      <w:r w:rsidR="004618FA" w:rsidRPr="006A48A0">
        <w:rPr>
          <w:lang w:val="pt-BR"/>
        </w:rPr>
        <w:t xml:space="preserve">, </w:t>
      </w:r>
      <w:r w:rsidRPr="006A48A0">
        <w:rPr>
          <w:lang w:val="pt-BR"/>
        </w:rPr>
        <w:t xml:space="preserve">88-95. </w:t>
      </w:r>
      <w:hyperlink r:id="rId38" w:history="1">
        <w:r w:rsidR="004618FA" w:rsidRPr="004618FA">
          <w:rPr>
            <w:rStyle w:val="Hyperlink"/>
            <w:lang w:val="pt-BR"/>
          </w:rPr>
          <w:t>https://doi.org/10.1097/hnp.0000000000000121</w:t>
        </w:r>
      </w:hyperlink>
      <w:r w:rsidR="004618FA" w:rsidRPr="004618FA">
        <w:rPr>
          <w:lang w:val="pt-BR"/>
        </w:rPr>
        <w:t xml:space="preserve"> </w:t>
      </w:r>
    </w:p>
    <w:p w14:paraId="2A765ADF" w14:textId="5C1EB4E3" w:rsidR="009773EF" w:rsidRPr="004618FA" w:rsidRDefault="009773EF" w:rsidP="009773EF">
      <w:pPr>
        <w:ind w:left="720" w:hanging="720"/>
        <w:jc w:val="both"/>
        <w:rPr>
          <w:lang w:val="pt-BR"/>
        </w:rPr>
      </w:pPr>
      <w:proofErr w:type="spellStart"/>
      <w:r w:rsidRPr="004618FA">
        <w:rPr>
          <w:lang w:val="pt-BR"/>
        </w:rPr>
        <w:t>Langame</w:t>
      </w:r>
      <w:proofErr w:type="spellEnd"/>
      <w:r w:rsidR="004618FA" w:rsidRPr="004618FA">
        <w:rPr>
          <w:lang w:val="pt-BR"/>
        </w:rPr>
        <w:t>,</w:t>
      </w:r>
      <w:r w:rsidRPr="004618FA">
        <w:rPr>
          <w:lang w:val="pt-BR"/>
        </w:rPr>
        <w:t xml:space="preserve"> A</w:t>
      </w:r>
      <w:r w:rsidR="004618FA" w:rsidRPr="004618FA">
        <w:rPr>
          <w:lang w:val="pt-BR"/>
        </w:rPr>
        <w:t xml:space="preserve">. </w:t>
      </w:r>
      <w:r w:rsidRPr="004618FA">
        <w:rPr>
          <w:lang w:val="pt-BR"/>
        </w:rPr>
        <w:t>P</w:t>
      </w:r>
      <w:r w:rsidR="004618FA" w:rsidRPr="004618FA">
        <w:rPr>
          <w:lang w:val="pt-BR"/>
        </w:rPr>
        <w:t xml:space="preserve">., </w:t>
      </w:r>
      <w:proofErr w:type="spellStart"/>
      <w:r w:rsidR="004618FA" w:rsidRPr="004618FA">
        <w:rPr>
          <w:lang w:val="pt-BR"/>
        </w:rPr>
        <w:t>Chehuen</w:t>
      </w:r>
      <w:proofErr w:type="spellEnd"/>
      <w:r w:rsidR="004618FA" w:rsidRPr="004618FA">
        <w:rPr>
          <w:lang w:val="pt-BR"/>
        </w:rPr>
        <w:t xml:space="preserve"> Neto, J. </w:t>
      </w:r>
      <w:r w:rsidR="004618FA">
        <w:rPr>
          <w:lang w:val="pt-BR"/>
        </w:rPr>
        <w:t xml:space="preserve">A., Melo, L. N. B., </w:t>
      </w:r>
      <w:proofErr w:type="spellStart"/>
      <w:r w:rsidR="004618FA">
        <w:rPr>
          <w:lang w:val="pt-BR"/>
        </w:rPr>
        <w:t>Castelado</w:t>
      </w:r>
      <w:proofErr w:type="spellEnd"/>
      <w:r w:rsidR="004618FA">
        <w:rPr>
          <w:lang w:val="pt-BR"/>
        </w:rPr>
        <w:t xml:space="preserve">, M. L., Cunha, M., &amp; Ferreira, R. E. (2016). </w:t>
      </w:r>
      <w:r w:rsidRPr="009773EF">
        <w:rPr>
          <w:lang w:val="pt-BR"/>
        </w:rPr>
        <w:t xml:space="preserve">Qualidade de vida do estudante universitário e o rendimento acadêmico. </w:t>
      </w:r>
      <w:r w:rsidRPr="006A48A0">
        <w:rPr>
          <w:i/>
          <w:iCs/>
          <w:lang w:val="pt-BR"/>
        </w:rPr>
        <w:t>Rev</w:t>
      </w:r>
      <w:r w:rsidR="004618FA" w:rsidRPr="006A48A0">
        <w:rPr>
          <w:i/>
          <w:iCs/>
          <w:lang w:val="pt-BR"/>
        </w:rPr>
        <w:t>ista</w:t>
      </w:r>
      <w:r w:rsidRPr="006A48A0">
        <w:rPr>
          <w:i/>
          <w:iCs/>
          <w:lang w:val="pt-BR"/>
        </w:rPr>
        <w:t xml:space="preserve"> Bras</w:t>
      </w:r>
      <w:r w:rsidR="004618FA" w:rsidRPr="006A48A0">
        <w:rPr>
          <w:i/>
          <w:iCs/>
          <w:lang w:val="pt-BR"/>
        </w:rPr>
        <w:t>ileira em</w:t>
      </w:r>
      <w:r w:rsidRPr="006A48A0">
        <w:rPr>
          <w:i/>
          <w:iCs/>
          <w:lang w:val="pt-BR"/>
        </w:rPr>
        <w:t xml:space="preserve"> Promoç</w:t>
      </w:r>
      <w:r w:rsidR="004618FA" w:rsidRPr="006A48A0">
        <w:rPr>
          <w:i/>
          <w:iCs/>
          <w:lang w:val="pt-BR"/>
        </w:rPr>
        <w:t>ão da</w:t>
      </w:r>
      <w:r w:rsidRPr="006A48A0">
        <w:rPr>
          <w:i/>
          <w:iCs/>
          <w:lang w:val="pt-BR"/>
        </w:rPr>
        <w:t xml:space="preserve"> Saúde</w:t>
      </w:r>
      <w:r w:rsidR="004618FA" w:rsidRPr="006A48A0">
        <w:rPr>
          <w:i/>
          <w:iCs/>
          <w:lang w:val="pt-BR"/>
        </w:rPr>
        <w:t xml:space="preserve">, </w:t>
      </w:r>
      <w:r w:rsidRPr="006A48A0">
        <w:rPr>
          <w:i/>
          <w:iCs/>
          <w:lang w:val="pt-BR"/>
        </w:rPr>
        <w:t>29</w:t>
      </w:r>
      <w:r w:rsidRPr="006A48A0">
        <w:rPr>
          <w:lang w:val="pt-BR"/>
        </w:rPr>
        <w:t>(3)</w:t>
      </w:r>
      <w:r w:rsidR="004618FA" w:rsidRPr="006A48A0">
        <w:rPr>
          <w:lang w:val="pt-BR"/>
        </w:rPr>
        <w:t xml:space="preserve">, </w:t>
      </w:r>
      <w:r w:rsidRPr="006A48A0">
        <w:rPr>
          <w:lang w:val="pt-BR"/>
        </w:rPr>
        <w:t xml:space="preserve">313-325. </w:t>
      </w:r>
      <w:hyperlink r:id="rId39" w:history="1">
        <w:r w:rsidR="004618FA" w:rsidRPr="004618FA">
          <w:rPr>
            <w:rStyle w:val="Hyperlink"/>
            <w:lang w:val="pt-BR"/>
          </w:rPr>
          <w:t>https://doi.org/10.5020/18061230.2016.p313</w:t>
        </w:r>
      </w:hyperlink>
      <w:r w:rsidR="004618FA" w:rsidRPr="004618FA">
        <w:rPr>
          <w:lang w:val="pt-BR"/>
        </w:rPr>
        <w:t xml:space="preserve"> </w:t>
      </w:r>
    </w:p>
    <w:p w14:paraId="1988D7E8" w14:textId="596CB239" w:rsidR="009773EF" w:rsidRPr="009773EF" w:rsidRDefault="009773EF" w:rsidP="009773EF">
      <w:pPr>
        <w:ind w:left="720" w:hanging="720"/>
        <w:jc w:val="both"/>
        <w:rPr>
          <w:lang w:val="pt-BR"/>
        </w:rPr>
      </w:pPr>
      <w:proofErr w:type="spellStart"/>
      <w:r w:rsidRPr="006A48A0">
        <w:rPr>
          <w:lang w:val="pt-BR"/>
        </w:rPr>
        <w:t>Lantyer</w:t>
      </w:r>
      <w:proofErr w:type="spellEnd"/>
      <w:r w:rsidR="006A48A0" w:rsidRPr="006A48A0">
        <w:rPr>
          <w:lang w:val="pt-BR"/>
        </w:rPr>
        <w:t>,</w:t>
      </w:r>
      <w:r w:rsidRPr="006A48A0">
        <w:rPr>
          <w:lang w:val="pt-BR"/>
        </w:rPr>
        <w:t xml:space="preserve"> A</w:t>
      </w:r>
      <w:r w:rsidR="006A48A0" w:rsidRPr="006A48A0">
        <w:rPr>
          <w:lang w:val="pt-BR"/>
        </w:rPr>
        <w:t xml:space="preserve">. </w:t>
      </w:r>
      <w:r w:rsidRPr="006A48A0">
        <w:rPr>
          <w:lang w:val="pt-BR"/>
        </w:rPr>
        <w:t>S</w:t>
      </w:r>
      <w:r w:rsidR="006A48A0" w:rsidRPr="006A48A0">
        <w:rPr>
          <w:lang w:val="pt-BR"/>
        </w:rPr>
        <w:t>., Varanda.</w:t>
      </w:r>
      <w:r w:rsidR="006A48A0">
        <w:rPr>
          <w:lang w:val="pt-BR"/>
        </w:rPr>
        <w:t xml:space="preserve"> C. C., Souza, F. G., Padovani, R. C., &amp; Viana, M. B. (2016). </w:t>
      </w:r>
      <w:r w:rsidRPr="009773EF">
        <w:rPr>
          <w:lang w:val="pt-BR"/>
        </w:rPr>
        <w:t xml:space="preserve">Ansiedade e qualidade de vida entre estudantes universitários ingressantes: avaliação e intervenção. </w:t>
      </w:r>
      <w:r w:rsidRPr="006A48A0">
        <w:rPr>
          <w:i/>
          <w:iCs/>
          <w:lang w:val="pt-BR"/>
        </w:rPr>
        <w:t>Rev</w:t>
      </w:r>
      <w:r w:rsidR="006A48A0" w:rsidRPr="006A48A0">
        <w:rPr>
          <w:i/>
          <w:iCs/>
          <w:lang w:val="pt-BR"/>
        </w:rPr>
        <w:t>ista</w:t>
      </w:r>
      <w:r w:rsidRPr="006A48A0">
        <w:rPr>
          <w:i/>
          <w:iCs/>
          <w:lang w:val="pt-BR"/>
        </w:rPr>
        <w:t xml:space="preserve"> Bras</w:t>
      </w:r>
      <w:r w:rsidR="006A48A0" w:rsidRPr="006A48A0">
        <w:rPr>
          <w:i/>
          <w:iCs/>
          <w:lang w:val="pt-BR"/>
        </w:rPr>
        <w:t>ileira</w:t>
      </w:r>
      <w:r w:rsidRPr="006A48A0">
        <w:rPr>
          <w:i/>
          <w:iCs/>
          <w:lang w:val="pt-BR"/>
        </w:rPr>
        <w:t xml:space="preserve"> de Ter</w:t>
      </w:r>
      <w:r w:rsidR="006A48A0" w:rsidRPr="006A48A0">
        <w:rPr>
          <w:i/>
          <w:iCs/>
          <w:lang w:val="pt-BR"/>
        </w:rPr>
        <w:t>apia</w:t>
      </w:r>
      <w:r w:rsidRPr="006A48A0">
        <w:rPr>
          <w:i/>
          <w:iCs/>
          <w:lang w:val="pt-BR"/>
        </w:rPr>
        <w:t xml:space="preserve"> Comp</w:t>
      </w:r>
      <w:r w:rsidR="006A48A0" w:rsidRPr="006A48A0">
        <w:rPr>
          <w:i/>
          <w:iCs/>
          <w:lang w:val="pt-BR"/>
        </w:rPr>
        <w:t>ortamental e</w:t>
      </w:r>
      <w:r w:rsidRPr="006A48A0">
        <w:rPr>
          <w:i/>
          <w:iCs/>
          <w:lang w:val="pt-BR"/>
        </w:rPr>
        <w:t xml:space="preserve"> Cogn</w:t>
      </w:r>
      <w:r w:rsidR="006A48A0" w:rsidRPr="006A48A0">
        <w:rPr>
          <w:i/>
          <w:iCs/>
          <w:lang w:val="pt-BR"/>
        </w:rPr>
        <w:t xml:space="preserve">itiva, </w:t>
      </w:r>
      <w:r w:rsidRPr="006A48A0">
        <w:rPr>
          <w:i/>
          <w:iCs/>
          <w:lang w:val="pt-BR"/>
        </w:rPr>
        <w:t>XVIII</w:t>
      </w:r>
      <w:r w:rsidRPr="009773EF">
        <w:rPr>
          <w:lang w:val="pt-BR"/>
        </w:rPr>
        <w:t>(2)</w:t>
      </w:r>
      <w:r w:rsidR="006A48A0">
        <w:rPr>
          <w:lang w:val="pt-BR"/>
        </w:rPr>
        <w:t xml:space="preserve">, </w:t>
      </w:r>
      <w:r w:rsidRPr="009773EF">
        <w:rPr>
          <w:lang w:val="pt-BR"/>
        </w:rPr>
        <w:t>4-19.</w:t>
      </w:r>
      <w:r w:rsidR="006A48A0">
        <w:rPr>
          <w:lang w:val="pt-BR"/>
        </w:rPr>
        <w:t xml:space="preserve"> </w:t>
      </w:r>
      <w:hyperlink r:id="rId40" w:history="1">
        <w:r w:rsidR="006A48A0" w:rsidRPr="001D1AFD">
          <w:rPr>
            <w:rStyle w:val="Hyperlink"/>
            <w:lang w:val="pt-BR"/>
          </w:rPr>
          <w:t>http://dx.doi.org/10.31505/rbtcc.v18i2.880</w:t>
        </w:r>
      </w:hyperlink>
      <w:r w:rsidR="006A48A0">
        <w:rPr>
          <w:lang w:val="pt-BR"/>
        </w:rPr>
        <w:t xml:space="preserve"> </w:t>
      </w:r>
    </w:p>
    <w:p w14:paraId="14EC198E" w14:textId="472F41C2" w:rsidR="0077415F" w:rsidRPr="0077415F" w:rsidRDefault="0077415F" w:rsidP="0077415F">
      <w:pPr>
        <w:ind w:left="720" w:hanging="720"/>
        <w:jc w:val="both"/>
        <w:rPr>
          <w:lang w:val="pt-BR"/>
        </w:rPr>
      </w:pPr>
      <w:r w:rsidRPr="0077415F">
        <w:rPr>
          <w:i/>
          <w:iCs/>
          <w:lang w:val="pt-BR"/>
        </w:rPr>
        <w:t>Lei nº 10.406, de 10 de janeiro de 2002</w:t>
      </w:r>
      <w:r w:rsidRPr="009773EF">
        <w:rPr>
          <w:lang w:val="pt-BR"/>
        </w:rPr>
        <w:t xml:space="preserve">. </w:t>
      </w:r>
      <w:r w:rsidR="006A48A0">
        <w:rPr>
          <w:lang w:val="pt-BR"/>
        </w:rPr>
        <w:t>Institui o Código Civil.</w:t>
      </w:r>
      <w:r w:rsidR="006E3D88">
        <w:rPr>
          <w:lang w:val="pt-BR"/>
        </w:rPr>
        <w:t xml:space="preserve"> </w:t>
      </w:r>
      <w:r w:rsidRPr="009773EF">
        <w:rPr>
          <w:lang w:val="pt-BR"/>
        </w:rPr>
        <w:t>Diário Oficial da União</w:t>
      </w:r>
      <w:r w:rsidR="006E3D88">
        <w:rPr>
          <w:lang w:val="pt-BR"/>
        </w:rPr>
        <w:t xml:space="preserve">, </w:t>
      </w:r>
      <w:r w:rsidR="006A48A0">
        <w:rPr>
          <w:lang w:val="pt-BR"/>
        </w:rPr>
        <w:t>11 jan. 2002</w:t>
      </w:r>
      <w:r w:rsidRPr="009773EF">
        <w:rPr>
          <w:lang w:val="pt-BR"/>
        </w:rPr>
        <w:t xml:space="preserve">.  </w:t>
      </w:r>
      <w:hyperlink r:id="rId41" w:history="1">
        <w:r w:rsidRPr="00E96C6E">
          <w:rPr>
            <w:rStyle w:val="Hyperlink"/>
            <w:lang w:val="pt-BR"/>
          </w:rPr>
          <w:t>http://www.planalto.gov.br/ccivil_03/leis/2002/l10406.htm</w:t>
        </w:r>
      </w:hyperlink>
      <w:r>
        <w:rPr>
          <w:lang w:val="pt-BR"/>
        </w:rPr>
        <w:t xml:space="preserve"> </w:t>
      </w:r>
    </w:p>
    <w:p w14:paraId="409D1B3A" w14:textId="2AA911F7" w:rsidR="0077415F" w:rsidRPr="0077415F" w:rsidRDefault="0077415F" w:rsidP="0077415F">
      <w:pPr>
        <w:ind w:left="720" w:hanging="720"/>
        <w:jc w:val="both"/>
        <w:rPr>
          <w:lang w:val="pt-BR"/>
        </w:rPr>
      </w:pPr>
      <w:r w:rsidRPr="0077415F">
        <w:rPr>
          <w:i/>
          <w:iCs/>
          <w:lang w:val="pt-BR"/>
        </w:rPr>
        <w:lastRenderedPageBreak/>
        <w:t>Lei nº 10.741, de 1º de outubro de 2003</w:t>
      </w:r>
      <w:r w:rsidRPr="009773EF">
        <w:rPr>
          <w:lang w:val="pt-BR"/>
        </w:rPr>
        <w:t xml:space="preserve">. </w:t>
      </w:r>
      <w:r w:rsidR="0053444D">
        <w:rPr>
          <w:lang w:val="pt-BR"/>
        </w:rPr>
        <w:t xml:space="preserve">Dispõe sobre o Estatuto do Idoso e dá outras providências. </w:t>
      </w:r>
      <w:r w:rsidRPr="009773EF">
        <w:rPr>
          <w:lang w:val="pt-BR"/>
        </w:rPr>
        <w:t>Diário Oficial da União</w:t>
      </w:r>
      <w:r w:rsidR="0053444D">
        <w:rPr>
          <w:lang w:val="pt-BR"/>
        </w:rPr>
        <w:t>, 3 out. 2003</w:t>
      </w:r>
      <w:r>
        <w:rPr>
          <w:lang w:val="pt-BR"/>
        </w:rPr>
        <w:t xml:space="preserve">. </w:t>
      </w:r>
      <w:hyperlink r:id="rId42" w:history="1">
        <w:r w:rsidRPr="00E96C6E">
          <w:rPr>
            <w:rStyle w:val="Hyperlink"/>
            <w:lang w:val="pt-BR"/>
          </w:rPr>
          <w:t>http://www.planalto.gov.br/ccivil_03/leis/2003/l10.741.htm</w:t>
        </w:r>
      </w:hyperlink>
      <w:r>
        <w:rPr>
          <w:lang w:val="pt-BR"/>
        </w:rPr>
        <w:t xml:space="preserve"> </w:t>
      </w:r>
    </w:p>
    <w:p w14:paraId="31CFB048" w14:textId="65369017" w:rsidR="009773EF" w:rsidRPr="009773EF" w:rsidRDefault="009773EF" w:rsidP="009773EF">
      <w:pPr>
        <w:ind w:left="720" w:hanging="720"/>
        <w:jc w:val="both"/>
        <w:rPr>
          <w:lang w:val="pt-BR"/>
        </w:rPr>
      </w:pPr>
      <w:proofErr w:type="spellStart"/>
      <w:r w:rsidRPr="0053444D">
        <w:rPr>
          <w:lang w:val="pt-BR"/>
        </w:rPr>
        <w:t>Margis</w:t>
      </w:r>
      <w:proofErr w:type="spellEnd"/>
      <w:r w:rsidR="0053444D" w:rsidRPr="0053444D">
        <w:rPr>
          <w:lang w:val="pt-BR"/>
        </w:rPr>
        <w:t>,</w:t>
      </w:r>
      <w:r w:rsidRPr="0053444D">
        <w:rPr>
          <w:lang w:val="pt-BR"/>
        </w:rPr>
        <w:t xml:space="preserve"> R</w:t>
      </w:r>
      <w:r w:rsidR="0053444D" w:rsidRPr="0053444D">
        <w:rPr>
          <w:lang w:val="pt-BR"/>
        </w:rPr>
        <w:t xml:space="preserve">., &amp; </w:t>
      </w:r>
      <w:proofErr w:type="spellStart"/>
      <w:r w:rsidRPr="0053444D">
        <w:rPr>
          <w:lang w:val="pt-BR"/>
        </w:rPr>
        <w:t>Cordioli</w:t>
      </w:r>
      <w:proofErr w:type="spellEnd"/>
      <w:r w:rsidR="0053444D" w:rsidRPr="0053444D">
        <w:rPr>
          <w:lang w:val="pt-BR"/>
        </w:rPr>
        <w:t>,</w:t>
      </w:r>
      <w:r w:rsidRPr="0053444D">
        <w:rPr>
          <w:lang w:val="pt-BR"/>
        </w:rPr>
        <w:t xml:space="preserve"> A</w:t>
      </w:r>
      <w:r w:rsidR="0053444D" w:rsidRPr="0053444D">
        <w:rPr>
          <w:lang w:val="pt-BR"/>
        </w:rPr>
        <w:t xml:space="preserve">. </w:t>
      </w:r>
      <w:r w:rsidRPr="0053444D">
        <w:rPr>
          <w:lang w:val="pt-BR"/>
        </w:rPr>
        <w:t xml:space="preserve">V. </w:t>
      </w:r>
      <w:r w:rsidR="0053444D">
        <w:rPr>
          <w:lang w:val="pt-BR"/>
        </w:rPr>
        <w:t xml:space="preserve">(2001). </w:t>
      </w:r>
      <w:r w:rsidRPr="009773EF">
        <w:rPr>
          <w:lang w:val="pt-BR"/>
        </w:rPr>
        <w:t xml:space="preserve">Idade adulta: meia-idade. </w:t>
      </w:r>
      <w:r w:rsidRPr="0023189A">
        <w:rPr>
          <w:lang w:val="en-US"/>
        </w:rPr>
        <w:t xml:space="preserve">In </w:t>
      </w:r>
      <w:proofErr w:type="spellStart"/>
      <w:r w:rsidRPr="0023189A">
        <w:rPr>
          <w:lang w:val="en-US"/>
        </w:rPr>
        <w:t>Eizirik</w:t>
      </w:r>
      <w:proofErr w:type="spellEnd"/>
      <w:r w:rsidR="0053444D">
        <w:rPr>
          <w:lang w:val="en-US"/>
        </w:rPr>
        <w:t>,</w:t>
      </w:r>
      <w:r w:rsidRPr="0023189A">
        <w:rPr>
          <w:lang w:val="en-US"/>
        </w:rPr>
        <w:t xml:space="preserve"> C</w:t>
      </w:r>
      <w:r w:rsidR="0053444D">
        <w:rPr>
          <w:lang w:val="en-US"/>
        </w:rPr>
        <w:t xml:space="preserve">. </w:t>
      </w:r>
      <w:r w:rsidRPr="0023189A">
        <w:rPr>
          <w:lang w:val="en-US"/>
        </w:rPr>
        <w:t>L</w:t>
      </w:r>
      <w:r w:rsidR="0053444D">
        <w:rPr>
          <w:lang w:val="en-US"/>
        </w:rPr>
        <w:t>.,</w:t>
      </w:r>
      <w:r w:rsidRPr="0023189A">
        <w:rPr>
          <w:lang w:val="en-US"/>
        </w:rPr>
        <w:t xml:space="preserve"> </w:t>
      </w:r>
      <w:proofErr w:type="spellStart"/>
      <w:r w:rsidRPr="0023189A">
        <w:rPr>
          <w:lang w:val="en-US"/>
        </w:rPr>
        <w:t>Kapczinski</w:t>
      </w:r>
      <w:proofErr w:type="spellEnd"/>
      <w:r w:rsidR="0053444D">
        <w:rPr>
          <w:lang w:val="en-US"/>
        </w:rPr>
        <w:t xml:space="preserve">, </w:t>
      </w:r>
      <w:r w:rsidRPr="0023189A">
        <w:rPr>
          <w:lang w:val="en-US"/>
        </w:rPr>
        <w:t>F</w:t>
      </w:r>
      <w:r w:rsidR="0053444D">
        <w:rPr>
          <w:lang w:val="en-US"/>
        </w:rPr>
        <w:t>., &amp;</w:t>
      </w:r>
      <w:r w:rsidRPr="0023189A">
        <w:rPr>
          <w:lang w:val="en-US"/>
        </w:rPr>
        <w:t xml:space="preserve"> </w:t>
      </w:r>
      <w:proofErr w:type="spellStart"/>
      <w:r w:rsidRPr="0023189A">
        <w:rPr>
          <w:lang w:val="en-US"/>
        </w:rPr>
        <w:t>Bassols</w:t>
      </w:r>
      <w:proofErr w:type="spellEnd"/>
      <w:r w:rsidR="0053444D">
        <w:rPr>
          <w:lang w:val="en-US"/>
        </w:rPr>
        <w:t>,</w:t>
      </w:r>
      <w:r w:rsidRPr="0023189A">
        <w:rPr>
          <w:lang w:val="en-US"/>
        </w:rPr>
        <w:t xml:space="preserve"> S</w:t>
      </w:r>
      <w:r w:rsidR="0053444D">
        <w:rPr>
          <w:lang w:val="en-US"/>
        </w:rPr>
        <w:t xml:space="preserve">. </w:t>
      </w:r>
      <w:r w:rsidRPr="0023189A">
        <w:rPr>
          <w:lang w:val="en-US"/>
        </w:rPr>
        <w:t>A</w:t>
      </w:r>
      <w:r w:rsidR="0053444D">
        <w:rPr>
          <w:lang w:val="en-US"/>
        </w:rPr>
        <w:t xml:space="preserve">. </w:t>
      </w:r>
      <w:r w:rsidRPr="0023189A">
        <w:rPr>
          <w:lang w:val="en-US"/>
        </w:rPr>
        <w:t>M</w:t>
      </w:r>
      <w:r w:rsidR="0053444D">
        <w:rPr>
          <w:lang w:val="en-US"/>
        </w:rPr>
        <w:t>. (</w:t>
      </w:r>
      <w:r w:rsidRPr="0023189A">
        <w:rPr>
          <w:lang w:val="en-US"/>
        </w:rPr>
        <w:t>editors</w:t>
      </w:r>
      <w:r w:rsidR="0053444D" w:rsidRPr="0016518D">
        <w:rPr>
          <w:lang w:val="en-US"/>
        </w:rPr>
        <w:t>)</w:t>
      </w:r>
      <w:r w:rsidRPr="0053444D">
        <w:rPr>
          <w:i/>
          <w:iCs/>
          <w:lang w:val="en-US"/>
        </w:rPr>
        <w:t xml:space="preserve">. </w:t>
      </w:r>
      <w:r w:rsidRPr="0053444D">
        <w:rPr>
          <w:i/>
          <w:iCs/>
          <w:lang w:val="pt-BR"/>
        </w:rPr>
        <w:t>O ciclo da vida humana</w:t>
      </w:r>
      <w:r w:rsidRPr="009773EF">
        <w:rPr>
          <w:lang w:val="pt-BR"/>
        </w:rPr>
        <w:t xml:space="preserve">: uma perspectiva psicodinâmica. </w:t>
      </w:r>
      <w:r w:rsidR="0053444D">
        <w:rPr>
          <w:lang w:val="pt-BR"/>
        </w:rPr>
        <w:t>Artmed.</w:t>
      </w:r>
    </w:p>
    <w:p w14:paraId="07AA7B33" w14:textId="343801A1" w:rsidR="009773EF" w:rsidRPr="00644660" w:rsidRDefault="009773EF" w:rsidP="009773EF">
      <w:pPr>
        <w:ind w:left="720" w:hanging="720"/>
        <w:jc w:val="both"/>
        <w:rPr>
          <w:lang w:val="pt-BR"/>
        </w:rPr>
      </w:pPr>
      <w:r w:rsidRPr="009773EF">
        <w:rPr>
          <w:lang w:val="pt-BR"/>
        </w:rPr>
        <w:t>Marques</w:t>
      </w:r>
      <w:r w:rsidR="0053444D">
        <w:rPr>
          <w:lang w:val="pt-BR"/>
        </w:rPr>
        <w:t>,</w:t>
      </w:r>
      <w:r w:rsidRPr="009773EF">
        <w:rPr>
          <w:lang w:val="pt-BR"/>
        </w:rPr>
        <w:t xml:space="preserve"> A</w:t>
      </w:r>
      <w:r w:rsidR="0053444D">
        <w:rPr>
          <w:lang w:val="pt-BR"/>
        </w:rPr>
        <w:t xml:space="preserve">. </w:t>
      </w:r>
      <w:r w:rsidRPr="009773EF">
        <w:rPr>
          <w:lang w:val="pt-BR"/>
        </w:rPr>
        <w:t>F</w:t>
      </w:r>
      <w:r w:rsidR="0053444D">
        <w:rPr>
          <w:lang w:val="pt-BR"/>
        </w:rPr>
        <w:t xml:space="preserve">. </w:t>
      </w:r>
      <w:r w:rsidRPr="009773EF">
        <w:rPr>
          <w:lang w:val="pt-BR"/>
        </w:rPr>
        <w:t>R</w:t>
      </w:r>
      <w:r w:rsidR="0053444D">
        <w:rPr>
          <w:lang w:val="pt-BR"/>
        </w:rPr>
        <w:t xml:space="preserve">. </w:t>
      </w:r>
      <w:r w:rsidRPr="009773EF">
        <w:rPr>
          <w:lang w:val="pt-BR"/>
        </w:rPr>
        <w:t xml:space="preserve">A. </w:t>
      </w:r>
      <w:r w:rsidRPr="0053444D">
        <w:rPr>
          <w:i/>
          <w:iCs/>
          <w:lang w:val="pt-BR"/>
        </w:rPr>
        <w:t>Bem-estar subjetivo e qualidade de vida dos idosos institucionalizados</w:t>
      </w:r>
      <w:r w:rsidRPr="009773EF">
        <w:rPr>
          <w:lang w:val="pt-BR"/>
        </w:rPr>
        <w:t xml:space="preserve"> [</w:t>
      </w:r>
      <w:proofErr w:type="spellStart"/>
      <w:r w:rsidR="0053444D">
        <w:rPr>
          <w:lang w:val="pt-BR"/>
        </w:rPr>
        <w:t>master’s</w:t>
      </w:r>
      <w:proofErr w:type="spellEnd"/>
      <w:r w:rsidR="0053444D">
        <w:rPr>
          <w:lang w:val="pt-BR"/>
        </w:rPr>
        <w:t xml:space="preserve"> </w:t>
      </w:r>
      <w:proofErr w:type="spellStart"/>
      <w:r w:rsidRPr="009773EF">
        <w:rPr>
          <w:lang w:val="pt-BR"/>
        </w:rPr>
        <w:t>dissertation</w:t>
      </w:r>
      <w:proofErr w:type="spellEnd"/>
      <w:r w:rsidR="0053444D">
        <w:rPr>
          <w:lang w:val="pt-BR"/>
        </w:rPr>
        <w:t xml:space="preserve">, </w:t>
      </w:r>
      <w:r w:rsidRPr="009773EF">
        <w:rPr>
          <w:lang w:val="pt-BR"/>
        </w:rPr>
        <w:t>Universidade Católica Portuguesa</w:t>
      </w:r>
      <w:r w:rsidR="0053444D">
        <w:rPr>
          <w:lang w:val="pt-BR"/>
        </w:rPr>
        <w:t xml:space="preserve">]. </w:t>
      </w:r>
      <w:proofErr w:type="spellStart"/>
      <w:r w:rsidR="0053444D">
        <w:rPr>
          <w:lang w:val="pt-BR"/>
        </w:rPr>
        <w:t>Veritati</w:t>
      </w:r>
      <w:proofErr w:type="spellEnd"/>
      <w:r w:rsidR="0053444D">
        <w:rPr>
          <w:lang w:val="pt-BR"/>
        </w:rPr>
        <w:t xml:space="preserve"> – Repositório Institucional da Universidade Católica Portuguesa. </w:t>
      </w:r>
      <w:hyperlink r:id="rId43" w:history="1">
        <w:r w:rsidR="0053444D" w:rsidRPr="00644660">
          <w:rPr>
            <w:rStyle w:val="Hyperlink"/>
            <w:lang w:val="pt-BR"/>
          </w:rPr>
          <w:t>https://repositorio.ucp.pt/handle/10400.14/24101</w:t>
        </w:r>
      </w:hyperlink>
      <w:r w:rsidR="0053444D" w:rsidRPr="00644660">
        <w:rPr>
          <w:lang w:val="pt-BR"/>
        </w:rPr>
        <w:t xml:space="preserve"> </w:t>
      </w:r>
      <w:r w:rsidRPr="00644660">
        <w:rPr>
          <w:lang w:val="pt-BR"/>
        </w:rPr>
        <w:t xml:space="preserve">  </w:t>
      </w:r>
    </w:p>
    <w:p w14:paraId="3244FA1E" w14:textId="5A9B5D6B" w:rsidR="009773EF" w:rsidRPr="009773EF" w:rsidRDefault="009773EF" w:rsidP="009773EF">
      <w:pPr>
        <w:ind w:left="720" w:hanging="720"/>
        <w:jc w:val="both"/>
        <w:rPr>
          <w:lang w:val="pt-BR"/>
        </w:rPr>
      </w:pPr>
      <w:proofErr w:type="spellStart"/>
      <w:r w:rsidRPr="0053444D">
        <w:rPr>
          <w:lang w:val="en-US"/>
        </w:rPr>
        <w:t>Minayo</w:t>
      </w:r>
      <w:proofErr w:type="spellEnd"/>
      <w:r w:rsidR="0053444D" w:rsidRPr="0053444D">
        <w:rPr>
          <w:lang w:val="en-US"/>
        </w:rPr>
        <w:t>,</w:t>
      </w:r>
      <w:r w:rsidRPr="0053444D">
        <w:rPr>
          <w:lang w:val="en-US"/>
        </w:rPr>
        <w:t xml:space="preserve"> M</w:t>
      </w:r>
      <w:r w:rsidR="0053444D" w:rsidRPr="0053444D">
        <w:rPr>
          <w:lang w:val="en-US"/>
        </w:rPr>
        <w:t xml:space="preserve">. </w:t>
      </w:r>
      <w:r w:rsidRPr="0053444D">
        <w:rPr>
          <w:lang w:val="en-US"/>
        </w:rPr>
        <w:t>C</w:t>
      </w:r>
      <w:r w:rsidR="0053444D">
        <w:rPr>
          <w:lang w:val="en-US"/>
        </w:rPr>
        <w:t xml:space="preserve">. </w:t>
      </w:r>
      <w:r w:rsidRPr="0053444D">
        <w:rPr>
          <w:lang w:val="en-US"/>
        </w:rPr>
        <w:t>S</w:t>
      </w:r>
      <w:r w:rsidR="0053444D">
        <w:rPr>
          <w:lang w:val="en-US"/>
        </w:rPr>
        <w:t>.</w:t>
      </w:r>
      <w:r w:rsidR="00210B07">
        <w:rPr>
          <w:lang w:val="en-US"/>
        </w:rPr>
        <w:t xml:space="preserve">, Hartz, Z. M. A., &amp; Buss, P. M. (2000). </w:t>
      </w:r>
      <w:r w:rsidRPr="009773EF">
        <w:rPr>
          <w:lang w:val="pt-BR"/>
        </w:rPr>
        <w:t xml:space="preserve">Qualidade de vida e saúde: um debate necessário. </w:t>
      </w:r>
      <w:r w:rsidRPr="0000650A">
        <w:rPr>
          <w:i/>
          <w:iCs/>
          <w:lang w:val="pt-BR"/>
        </w:rPr>
        <w:t>Ciênc</w:t>
      </w:r>
      <w:r w:rsidR="00210B07" w:rsidRPr="0000650A">
        <w:rPr>
          <w:i/>
          <w:iCs/>
          <w:lang w:val="pt-BR"/>
        </w:rPr>
        <w:t>ia &amp; S</w:t>
      </w:r>
      <w:r w:rsidRPr="0000650A">
        <w:rPr>
          <w:i/>
          <w:iCs/>
          <w:lang w:val="pt-BR"/>
        </w:rPr>
        <w:t xml:space="preserve">aúde </w:t>
      </w:r>
      <w:r w:rsidR="00210B07" w:rsidRPr="0000650A">
        <w:rPr>
          <w:i/>
          <w:iCs/>
          <w:lang w:val="pt-BR"/>
        </w:rPr>
        <w:t>C</w:t>
      </w:r>
      <w:r w:rsidRPr="0000650A">
        <w:rPr>
          <w:i/>
          <w:iCs/>
          <w:lang w:val="pt-BR"/>
        </w:rPr>
        <w:t>oletiva</w:t>
      </w:r>
      <w:r w:rsidR="00210B07" w:rsidRPr="0000650A">
        <w:rPr>
          <w:i/>
          <w:iCs/>
          <w:lang w:val="pt-BR"/>
        </w:rPr>
        <w:t>, 5</w:t>
      </w:r>
      <w:r w:rsidRPr="009773EF">
        <w:rPr>
          <w:lang w:val="pt-BR"/>
        </w:rPr>
        <w:t>(1)</w:t>
      </w:r>
      <w:r w:rsidR="00210B07">
        <w:rPr>
          <w:lang w:val="pt-BR"/>
        </w:rPr>
        <w:t xml:space="preserve">, </w:t>
      </w:r>
      <w:r w:rsidRPr="009773EF">
        <w:rPr>
          <w:lang w:val="pt-BR"/>
        </w:rPr>
        <w:t xml:space="preserve">7-18. </w:t>
      </w:r>
      <w:hyperlink r:id="rId44" w:history="1">
        <w:r w:rsidR="0000650A" w:rsidRPr="001D1AFD">
          <w:rPr>
            <w:rStyle w:val="Hyperlink"/>
            <w:lang w:val="pt-BR"/>
          </w:rPr>
          <w:t>https://doi.org/10.1590/S1413-81232000000100002</w:t>
        </w:r>
      </w:hyperlink>
      <w:r w:rsidR="0000650A">
        <w:rPr>
          <w:lang w:val="pt-BR"/>
        </w:rPr>
        <w:t xml:space="preserve"> </w:t>
      </w:r>
    </w:p>
    <w:p w14:paraId="1B3C1948" w14:textId="63C4A5CB" w:rsidR="009773EF" w:rsidRPr="009773EF" w:rsidRDefault="009773EF" w:rsidP="009773EF">
      <w:pPr>
        <w:ind w:left="720" w:hanging="720"/>
        <w:jc w:val="both"/>
        <w:rPr>
          <w:lang w:val="pt-BR"/>
        </w:rPr>
      </w:pPr>
      <w:r w:rsidRPr="009773EF">
        <w:rPr>
          <w:lang w:val="pt-BR"/>
        </w:rPr>
        <w:t>Miranda</w:t>
      </w:r>
      <w:r w:rsidR="0000650A">
        <w:rPr>
          <w:lang w:val="pt-BR"/>
        </w:rPr>
        <w:t>,</w:t>
      </w:r>
      <w:r w:rsidRPr="009773EF">
        <w:rPr>
          <w:lang w:val="pt-BR"/>
        </w:rPr>
        <w:t xml:space="preserve"> L</w:t>
      </w:r>
      <w:r w:rsidR="0000650A">
        <w:rPr>
          <w:lang w:val="pt-BR"/>
        </w:rPr>
        <w:t xml:space="preserve">. </w:t>
      </w:r>
      <w:r w:rsidRPr="009773EF">
        <w:rPr>
          <w:lang w:val="pt-BR"/>
        </w:rPr>
        <w:t>C</w:t>
      </w:r>
      <w:r w:rsidR="0000650A">
        <w:rPr>
          <w:lang w:val="pt-BR"/>
        </w:rPr>
        <w:t xml:space="preserve">. </w:t>
      </w:r>
      <w:r w:rsidRPr="009773EF">
        <w:rPr>
          <w:lang w:val="pt-BR"/>
        </w:rPr>
        <w:t>V</w:t>
      </w:r>
      <w:r w:rsidR="0000650A">
        <w:rPr>
          <w:lang w:val="pt-BR"/>
        </w:rPr>
        <w:t xml:space="preserve">., Soares, S. M., &amp; Silva, P. A. B. (2016). </w:t>
      </w:r>
      <w:r w:rsidRPr="009773EF">
        <w:rPr>
          <w:lang w:val="pt-BR"/>
        </w:rPr>
        <w:t xml:space="preserve">Qualidade de vida e fatores associados em idosos de um Centro de Referência à Pessoa Idosa. </w:t>
      </w:r>
      <w:r w:rsidR="0000650A" w:rsidRPr="0000650A">
        <w:rPr>
          <w:i/>
          <w:iCs/>
          <w:lang w:val="pt-BR"/>
        </w:rPr>
        <w:t xml:space="preserve">Ciência &amp; Saúde Coletiva, </w:t>
      </w:r>
      <w:r w:rsidRPr="0000650A">
        <w:rPr>
          <w:i/>
          <w:iCs/>
          <w:lang w:val="pt-BR"/>
        </w:rPr>
        <w:t>21</w:t>
      </w:r>
      <w:r w:rsidRPr="009773EF">
        <w:rPr>
          <w:lang w:val="pt-BR"/>
        </w:rPr>
        <w:t>(11)</w:t>
      </w:r>
      <w:r w:rsidR="0000650A">
        <w:rPr>
          <w:lang w:val="pt-BR"/>
        </w:rPr>
        <w:t xml:space="preserve">, </w:t>
      </w:r>
      <w:r w:rsidRPr="009773EF">
        <w:rPr>
          <w:lang w:val="pt-BR"/>
        </w:rPr>
        <w:t xml:space="preserve">3533-3544. </w:t>
      </w:r>
      <w:hyperlink r:id="rId45" w:history="1">
        <w:r w:rsidR="0000650A" w:rsidRPr="001D1AFD">
          <w:rPr>
            <w:rStyle w:val="Hyperlink"/>
            <w:lang w:val="pt-BR"/>
          </w:rPr>
          <w:t>https://doi.org/10.1590/1413-812320152111.21352015</w:t>
        </w:r>
      </w:hyperlink>
      <w:r w:rsidR="0000650A">
        <w:rPr>
          <w:lang w:val="pt-BR"/>
        </w:rPr>
        <w:t xml:space="preserve"> </w:t>
      </w:r>
    </w:p>
    <w:p w14:paraId="6BA2A476" w14:textId="2DE7C6D7" w:rsidR="009773EF" w:rsidRPr="0000650A" w:rsidRDefault="009773EF" w:rsidP="009773EF">
      <w:pPr>
        <w:ind w:left="720" w:hanging="720"/>
        <w:jc w:val="both"/>
        <w:rPr>
          <w:lang w:val="pt-BR"/>
        </w:rPr>
      </w:pPr>
      <w:r w:rsidRPr="009773EF">
        <w:rPr>
          <w:lang w:val="pt-BR"/>
        </w:rPr>
        <w:t>Mota</w:t>
      </w:r>
      <w:r w:rsidR="0000650A">
        <w:rPr>
          <w:lang w:val="pt-BR"/>
        </w:rPr>
        <w:t xml:space="preserve">, </w:t>
      </w:r>
      <w:r w:rsidRPr="009773EF">
        <w:rPr>
          <w:lang w:val="pt-BR"/>
        </w:rPr>
        <w:t>R</w:t>
      </w:r>
      <w:r w:rsidR="0000650A">
        <w:rPr>
          <w:lang w:val="pt-BR"/>
        </w:rPr>
        <w:t xml:space="preserve">. </w:t>
      </w:r>
      <w:r w:rsidRPr="009773EF">
        <w:rPr>
          <w:lang w:val="pt-BR"/>
        </w:rPr>
        <w:t>S</w:t>
      </w:r>
      <w:r w:rsidR="0000650A">
        <w:rPr>
          <w:lang w:val="pt-BR"/>
        </w:rPr>
        <w:t xml:space="preserve">. </w:t>
      </w:r>
      <w:r w:rsidRPr="009773EF">
        <w:rPr>
          <w:lang w:val="pt-BR"/>
        </w:rPr>
        <w:t>M</w:t>
      </w:r>
      <w:r w:rsidR="0000650A">
        <w:rPr>
          <w:lang w:val="pt-BR"/>
        </w:rPr>
        <w:t xml:space="preserve">., Oliveira, M. L. M. C., &amp; Batista, E. C. (2017). </w:t>
      </w:r>
      <w:r w:rsidRPr="009773EF">
        <w:rPr>
          <w:lang w:val="pt-BR"/>
        </w:rPr>
        <w:t xml:space="preserve">Qualidade de vida na velhice: uma reflexão teórica. </w:t>
      </w:r>
      <w:r w:rsidR="0000650A" w:rsidRPr="0000650A">
        <w:rPr>
          <w:i/>
          <w:iCs/>
          <w:lang w:val="pt-BR"/>
        </w:rPr>
        <w:t xml:space="preserve">Revista </w:t>
      </w:r>
      <w:proofErr w:type="spellStart"/>
      <w:r w:rsidRPr="0000650A">
        <w:rPr>
          <w:i/>
          <w:iCs/>
          <w:lang w:val="pt-BR"/>
        </w:rPr>
        <w:t>Communitas</w:t>
      </w:r>
      <w:proofErr w:type="spellEnd"/>
      <w:r w:rsidR="0000650A" w:rsidRPr="0000650A">
        <w:rPr>
          <w:i/>
          <w:iCs/>
          <w:lang w:val="pt-BR"/>
        </w:rPr>
        <w:t xml:space="preserve">, </w:t>
      </w:r>
      <w:r w:rsidRPr="0000650A">
        <w:rPr>
          <w:i/>
          <w:iCs/>
          <w:lang w:val="pt-BR"/>
        </w:rPr>
        <w:t>1</w:t>
      </w:r>
      <w:r w:rsidRPr="0000650A">
        <w:rPr>
          <w:lang w:val="pt-BR"/>
        </w:rPr>
        <w:t xml:space="preserve">(1). </w:t>
      </w:r>
      <w:hyperlink r:id="rId46" w:history="1">
        <w:r w:rsidR="0000650A" w:rsidRPr="001D1AFD">
          <w:rPr>
            <w:rStyle w:val="Hyperlink"/>
            <w:lang w:val="pt-BR"/>
          </w:rPr>
          <w:t>https://periodicos.ufac.br/index.php/COMMUNITAS/article/view/1122</w:t>
        </w:r>
      </w:hyperlink>
      <w:r w:rsidR="0000650A">
        <w:rPr>
          <w:lang w:val="pt-BR"/>
        </w:rPr>
        <w:t xml:space="preserve"> </w:t>
      </w:r>
    </w:p>
    <w:p w14:paraId="598C43BE" w14:textId="27328572" w:rsidR="009773EF" w:rsidRPr="009773EF" w:rsidRDefault="009773EF" w:rsidP="009773EF">
      <w:pPr>
        <w:ind w:left="720" w:hanging="720"/>
        <w:jc w:val="both"/>
        <w:rPr>
          <w:lang w:val="pt-BR"/>
        </w:rPr>
      </w:pPr>
      <w:r w:rsidRPr="009773EF">
        <w:rPr>
          <w:lang w:val="pt-BR"/>
        </w:rPr>
        <w:t>Moura</w:t>
      </w:r>
      <w:r w:rsidR="0000650A">
        <w:rPr>
          <w:lang w:val="pt-BR"/>
        </w:rPr>
        <w:t>,</w:t>
      </w:r>
      <w:r w:rsidRPr="009773EF">
        <w:rPr>
          <w:lang w:val="pt-BR"/>
        </w:rPr>
        <w:t xml:space="preserve"> I</w:t>
      </w:r>
      <w:r w:rsidR="0000650A">
        <w:rPr>
          <w:lang w:val="pt-BR"/>
        </w:rPr>
        <w:t xml:space="preserve">. </w:t>
      </w:r>
      <w:r w:rsidRPr="009773EF">
        <w:rPr>
          <w:lang w:val="pt-BR"/>
        </w:rPr>
        <w:t>H</w:t>
      </w:r>
      <w:r w:rsidR="0000650A">
        <w:rPr>
          <w:lang w:val="pt-BR"/>
        </w:rPr>
        <w:t>., Nobre, R. S., Cortez, R. M. A., Campelo, V., Macêdo, S. F., Silva, A. R. V. (</w:t>
      </w:r>
      <w:r w:rsidR="00D6639A">
        <w:rPr>
          <w:lang w:val="pt-BR"/>
        </w:rPr>
        <w:t xml:space="preserve">2016). </w:t>
      </w:r>
      <w:r w:rsidRPr="009773EF">
        <w:rPr>
          <w:lang w:val="pt-BR"/>
        </w:rPr>
        <w:t xml:space="preserve"> Qualidade de vida de estudantes de graduação em enfermagem. </w:t>
      </w:r>
      <w:r w:rsidRPr="00D6639A">
        <w:rPr>
          <w:i/>
          <w:iCs/>
          <w:lang w:val="pt-BR"/>
        </w:rPr>
        <w:t>Rev</w:t>
      </w:r>
      <w:r w:rsidR="00D6639A" w:rsidRPr="00D6639A">
        <w:rPr>
          <w:i/>
          <w:iCs/>
          <w:lang w:val="pt-BR"/>
        </w:rPr>
        <w:t>ista</w:t>
      </w:r>
      <w:r w:rsidRPr="00D6639A">
        <w:rPr>
          <w:i/>
          <w:iCs/>
          <w:lang w:val="pt-BR"/>
        </w:rPr>
        <w:t xml:space="preserve"> Gaúcha </w:t>
      </w:r>
      <w:r w:rsidR="00D6639A" w:rsidRPr="00D6639A">
        <w:rPr>
          <w:i/>
          <w:iCs/>
          <w:lang w:val="pt-BR"/>
        </w:rPr>
        <w:t xml:space="preserve">de </w:t>
      </w:r>
      <w:r w:rsidRPr="00D6639A">
        <w:rPr>
          <w:i/>
          <w:iCs/>
          <w:lang w:val="pt-BR"/>
        </w:rPr>
        <w:t>Enferm</w:t>
      </w:r>
      <w:r w:rsidR="00D6639A" w:rsidRPr="00D6639A">
        <w:rPr>
          <w:i/>
          <w:iCs/>
          <w:lang w:val="pt-BR"/>
        </w:rPr>
        <w:t xml:space="preserve">agem, </w:t>
      </w:r>
      <w:r w:rsidRPr="00D6639A">
        <w:rPr>
          <w:i/>
          <w:iCs/>
          <w:lang w:val="pt-BR"/>
        </w:rPr>
        <w:t>37</w:t>
      </w:r>
      <w:r w:rsidRPr="009773EF">
        <w:rPr>
          <w:lang w:val="pt-BR"/>
        </w:rPr>
        <w:t>(2)</w:t>
      </w:r>
      <w:r w:rsidR="00D6639A">
        <w:rPr>
          <w:lang w:val="pt-BR"/>
        </w:rPr>
        <w:t xml:space="preserve">, </w:t>
      </w:r>
      <w:r w:rsidRPr="009773EF">
        <w:rPr>
          <w:lang w:val="pt-BR"/>
        </w:rPr>
        <w:t xml:space="preserve">e55291. </w:t>
      </w:r>
      <w:hyperlink r:id="rId47" w:history="1">
        <w:r w:rsidR="00D6639A" w:rsidRPr="001D1AFD">
          <w:rPr>
            <w:rStyle w:val="Hyperlink"/>
            <w:lang w:val="pt-BR"/>
          </w:rPr>
          <w:t>https://doi.org/10.1590/1983-1447.2016.02.55291</w:t>
        </w:r>
      </w:hyperlink>
      <w:r w:rsidR="00D6639A">
        <w:rPr>
          <w:lang w:val="pt-BR"/>
        </w:rPr>
        <w:t xml:space="preserve"> </w:t>
      </w:r>
    </w:p>
    <w:p w14:paraId="750FBA0B" w14:textId="3E5DD806" w:rsidR="009773EF" w:rsidRPr="009773EF" w:rsidRDefault="009773EF" w:rsidP="009773EF">
      <w:pPr>
        <w:ind w:left="720" w:hanging="720"/>
        <w:jc w:val="both"/>
        <w:rPr>
          <w:lang w:val="pt-BR"/>
        </w:rPr>
      </w:pPr>
      <w:r w:rsidRPr="009773EF">
        <w:rPr>
          <w:lang w:val="pt-BR"/>
        </w:rPr>
        <w:t>Neri</w:t>
      </w:r>
      <w:r w:rsidR="00D6639A">
        <w:rPr>
          <w:lang w:val="pt-BR"/>
        </w:rPr>
        <w:t>,</w:t>
      </w:r>
      <w:r w:rsidRPr="009773EF">
        <w:rPr>
          <w:lang w:val="pt-BR"/>
        </w:rPr>
        <w:t xml:space="preserve"> A</w:t>
      </w:r>
      <w:r w:rsidR="00D6639A">
        <w:rPr>
          <w:lang w:val="pt-BR"/>
        </w:rPr>
        <w:t xml:space="preserve">. </w:t>
      </w:r>
      <w:r w:rsidRPr="009773EF">
        <w:rPr>
          <w:lang w:val="pt-BR"/>
        </w:rPr>
        <w:t>L</w:t>
      </w:r>
      <w:r w:rsidR="00D6639A">
        <w:rPr>
          <w:lang w:val="pt-BR"/>
        </w:rPr>
        <w:t xml:space="preserve">., </w:t>
      </w:r>
      <w:proofErr w:type="spellStart"/>
      <w:r w:rsidR="00D6639A">
        <w:rPr>
          <w:lang w:val="pt-BR"/>
        </w:rPr>
        <w:t>Borim</w:t>
      </w:r>
      <w:proofErr w:type="spellEnd"/>
      <w:r w:rsidR="00D6639A">
        <w:rPr>
          <w:lang w:val="pt-BR"/>
        </w:rPr>
        <w:t xml:space="preserve">, F. S. A., Fontes, A. P., Rabello, D. F., </w:t>
      </w:r>
      <w:proofErr w:type="spellStart"/>
      <w:r w:rsidR="00D6639A">
        <w:rPr>
          <w:lang w:val="pt-BR"/>
        </w:rPr>
        <w:t>Cachioni</w:t>
      </w:r>
      <w:proofErr w:type="spellEnd"/>
      <w:r w:rsidR="00D6639A">
        <w:rPr>
          <w:lang w:val="pt-BR"/>
        </w:rPr>
        <w:t xml:space="preserve">, M., </w:t>
      </w:r>
      <w:proofErr w:type="spellStart"/>
      <w:r w:rsidR="00D6639A">
        <w:rPr>
          <w:lang w:val="pt-BR"/>
        </w:rPr>
        <w:t>Batistoni</w:t>
      </w:r>
      <w:proofErr w:type="spellEnd"/>
      <w:r w:rsidR="00D6639A">
        <w:rPr>
          <w:lang w:val="pt-BR"/>
        </w:rPr>
        <w:t xml:space="preserve">, S. S. T., </w:t>
      </w:r>
      <w:proofErr w:type="spellStart"/>
      <w:r w:rsidR="00D6639A">
        <w:rPr>
          <w:lang w:val="pt-BR"/>
        </w:rPr>
        <w:t>Yassuda</w:t>
      </w:r>
      <w:proofErr w:type="spellEnd"/>
      <w:r w:rsidR="00D6639A">
        <w:rPr>
          <w:lang w:val="pt-BR"/>
        </w:rPr>
        <w:t xml:space="preserve">, M. S., Souza Junior, P. R. B., Andrade, F. B., &amp; Lima-Costa, M. F. (2018). </w:t>
      </w:r>
      <w:r w:rsidRPr="009773EF">
        <w:rPr>
          <w:lang w:val="pt-BR"/>
        </w:rPr>
        <w:t xml:space="preserve">Fatores associados à qualidade de vida percebida em adultos mais velhos: ELSI-Brasil. </w:t>
      </w:r>
      <w:r w:rsidRPr="00D6639A">
        <w:rPr>
          <w:i/>
          <w:iCs/>
          <w:lang w:val="pt-BR"/>
        </w:rPr>
        <w:t>Rev</w:t>
      </w:r>
      <w:r w:rsidR="00D6639A" w:rsidRPr="00D6639A">
        <w:rPr>
          <w:i/>
          <w:iCs/>
          <w:lang w:val="pt-BR"/>
        </w:rPr>
        <w:t xml:space="preserve">ista de </w:t>
      </w:r>
      <w:r w:rsidRPr="00D6639A">
        <w:rPr>
          <w:i/>
          <w:iCs/>
          <w:lang w:val="pt-BR"/>
        </w:rPr>
        <w:t>Saúde Pública</w:t>
      </w:r>
      <w:r w:rsidR="00D6639A" w:rsidRPr="00D6639A">
        <w:rPr>
          <w:i/>
          <w:iCs/>
          <w:lang w:val="pt-BR"/>
        </w:rPr>
        <w:t xml:space="preserve">, </w:t>
      </w:r>
      <w:r w:rsidRPr="00D6639A">
        <w:rPr>
          <w:i/>
          <w:iCs/>
          <w:lang w:val="pt-BR"/>
        </w:rPr>
        <w:t>52</w:t>
      </w:r>
      <w:r w:rsidRPr="009773EF">
        <w:rPr>
          <w:lang w:val="pt-BR"/>
        </w:rPr>
        <w:t>(</w:t>
      </w:r>
      <w:proofErr w:type="spellStart"/>
      <w:r w:rsidRPr="009773EF">
        <w:rPr>
          <w:lang w:val="pt-BR"/>
        </w:rPr>
        <w:t>supl</w:t>
      </w:r>
      <w:proofErr w:type="spellEnd"/>
      <w:r w:rsidRPr="009773EF">
        <w:rPr>
          <w:lang w:val="pt-BR"/>
        </w:rPr>
        <w:t xml:space="preserve"> 2)</w:t>
      </w:r>
      <w:r w:rsidR="00D6639A">
        <w:rPr>
          <w:lang w:val="pt-BR"/>
        </w:rPr>
        <w:t>.</w:t>
      </w:r>
      <w:r w:rsidRPr="009773EF">
        <w:rPr>
          <w:lang w:val="pt-BR"/>
        </w:rPr>
        <w:t xml:space="preserve"> </w:t>
      </w:r>
      <w:hyperlink r:id="rId48" w:history="1">
        <w:r w:rsidR="00D6639A" w:rsidRPr="001D1AFD">
          <w:rPr>
            <w:rStyle w:val="Hyperlink"/>
            <w:lang w:val="pt-BR"/>
          </w:rPr>
          <w:t>https://doi.org/10.11606/S1518-8787.2018052000613</w:t>
        </w:r>
      </w:hyperlink>
      <w:r w:rsidR="00D6639A">
        <w:rPr>
          <w:lang w:val="pt-BR"/>
        </w:rPr>
        <w:t xml:space="preserve"> </w:t>
      </w:r>
    </w:p>
    <w:p w14:paraId="77613905" w14:textId="0DCDF8C7" w:rsidR="009773EF" w:rsidRPr="009773EF" w:rsidRDefault="009773EF" w:rsidP="009773EF">
      <w:pPr>
        <w:ind w:left="720" w:hanging="720"/>
        <w:jc w:val="both"/>
        <w:rPr>
          <w:lang w:val="pt-BR"/>
        </w:rPr>
      </w:pPr>
      <w:r w:rsidRPr="009773EF">
        <w:rPr>
          <w:lang w:val="pt-BR"/>
        </w:rPr>
        <w:t>Noronha</w:t>
      </w:r>
      <w:r w:rsidR="00D6639A">
        <w:rPr>
          <w:lang w:val="pt-BR"/>
        </w:rPr>
        <w:t>,</w:t>
      </w:r>
      <w:r w:rsidRPr="009773EF">
        <w:rPr>
          <w:lang w:val="pt-BR"/>
        </w:rPr>
        <w:t xml:space="preserve"> D</w:t>
      </w:r>
      <w:r w:rsidR="00D6639A">
        <w:rPr>
          <w:lang w:val="pt-BR"/>
        </w:rPr>
        <w:t xml:space="preserve">. </w:t>
      </w:r>
      <w:r w:rsidRPr="009773EF">
        <w:rPr>
          <w:lang w:val="pt-BR"/>
        </w:rPr>
        <w:t>D</w:t>
      </w:r>
      <w:r w:rsidR="00D6639A">
        <w:rPr>
          <w:lang w:val="pt-BR"/>
        </w:rPr>
        <w:t>., Martins, A. M. E. B. L., Dias, D. S., Silveira, M. F.,</w:t>
      </w:r>
      <w:r w:rsidR="00635E9C">
        <w:rPr>
          <w:lang w:val="pt-BR"/>
        </w:rPr>
        <w:t xml:space="preserve"> Paula, A. M. B., &amp; </w:t>
      </w:r>
      <w:proofErr w:type="spellStart"/>
      <w:r w:rsidR="00635E9C">
        <w:rPr>
          <w:lang w:val="pt-BR"/>
        </w:rPr>
        <w:t>Haikal</w:t>
      </w:r>
      <w:proofErr w:type="spellEnd"/>
      <w:r w:rsidR="00635E9C">
        <w:rPr>
          <w:lang w:val="pt-BR"/>
        </w:rPr>
        <w:t xml:space="preserve">, D. S. A. (2016). </w:t>
      </w:r>
      <w:r w:rsidRPr="009773EF">
        <w:rPr>
          <w:lang w:val="pt-BR"/>
        </w:rPr>
        <w:t xml:space="preserve">Qualidade de vida relacionada à saúde entre adultos e fatores associados: um estudo de base populacional. </w:t>
      </w:r>
      <w:r w:rsidRPr="00635E9C">
        <w:rPr>
          <w:i/>
          <w:iCs/>
          <w:lang w:val="pt-BR"/>
        </w:rPr>
        <w:t>Ciênc</w:t>
      </w:r>
      <w:r w:rsidR="00635E9C" w:rsidRPr="00635E9C">
        <w:rPr>
          <w:i/>
          <w:iCs/>
          <w:lang w:val="pt-BR"/>
        </w:rPr>
        <w:t>ia &amp; S</w:t>
      </w:r>
      <w:r w:rsidRPr="00635E9C">
        <w:rPr>
          <w:i/>
          <w:iCs/>
          <w:lang w:val="pt-BR"/>
        </w:rPr>
        <w:t xml:space="preserve">aúde </w:t>
      </w:r>
      <w:r w:rsidR="00635E9C" w:rsidRPr="00635E9C">
        <w:rPr>
          <w:i/>
          <w:iCs/>
          <w:lang w:val="pt-BR"/>
        </w:rPr>
        <w:t>Co</w:t>
      </w:r>
      <w:r w:rsidRPr="00635E9C">
        <w:rPr>
          <w:i/>
          <w:iCs/>
          <w:lang w:val="pt-BR"/>
        </w:rPr>
        <w:t>letiva</w:t>
      </w:r>
      <w:r w:rsidR="00635E9C" w:rsidRPr="00635E9C">
        <w:rPr>
          <w:i/>
          <w:iCs/>
          <w:lang w:val="pt-BR"/>
        </w:rPr>
        <w:t xml:space="preserve">, </w:t>
      </w:r>
      <w:r w:rsidRPr="00635E9C">
        <w:rPr>
          <w:i/>
          <w:iCs/>
          <w:lang w:val="pt-BR"/>
        </w:rPr>
        <w:t>21</w:t>
      </w:r>
      <w:r w:rsidRPr="009773EF">
        <w:rPr>
          <w:lang w:val="pt-BR"/>
        </w:rPr>
        <w:t>(2)</w:t>
      </w:r>
      <w:r w:rsidR="00635E9C">
        <w:rPr>
          <w:lang w:val="pt-BR"/>
        </w:rPr>
        <w:t xml:space="preserve">, </w:t>
      </w:r>
      <w:r w:rsidRPr="009773EF">
        <w:rPr>
          <w:lang w:val="pt-BR"/>
        </w:rPr>
        <w:t xml:space="preserve">463-474. </w:t>
      </w:r>
      <w:hyperlink r:id="rId49" w:history="1">
        <w:r w:rsidR="00635E9C" w:rsidRPr="001D1AFD">
          <w:rPr>
            <w:rStyle w:val="Hyperlink"/>
            <w:lang w:val="pt-BR"/>
          </w:rPr>
          <w:t>https://doi.org/10.1590/1413-81232015212.01102015</w:t>
        </w:r>
      </w:hyperlink>
      <w:r w:rsidR="00635E9C">
        <w:rPr>
          <w:lang w:val="pt-BR"/>
        </w:rPr>
        <w:t xml:space="preserve"> </w:t>
      </w:r>
    </w:p>
    <w:p w14:paraId="67D56CED" w14:textId="33B8F3C4" w:rsidR="009773EF" w:rsidRPr="00644660" w:rsidRDefault="009773EF" w:rsidP="009773EF">
      <w:pPr>
        <w:ind w:left="720" w:hanging="720"/>
        <w:jc w:val="both"/>
      </w:pPr>
      <w:r w:rsidRPr="009773EF">
        <w:rPr>
          <w:lang w:val="pt-BR"/>
        </w:rPr>
        <w:t>Oliveira</w:t>
      </w:r>
      <w:r w:rsidR="00635E9C">
        <w:rPr>
          <w:lang w:val="pt-BR"/>
        </w:rPr>
        <w:t>,</w:t>
      </w:r>
      <w:r w:rsidRPr="009773EF">
        <w:rPr>
          <w:lang w:val="pt-BR"/>
        </w:rPr>
        <w:t xml:space="preserve"> H</w:t>
      </w:r>
      <w:r w:rsidR="00635E9C">
        <w:rPr>
          <w:lang w:val="pt-BR"/>
        </w:rPr>
        <w:t xml:space="preserve">. </w:t>
      </w:r>
      <w:r w:rsidRPr="009773EF">
        <w:rPr>
          <w:lang w:val="pt-BR"/>
        </w:rPr>
        <w:t>F</w:t>
      </w:r>
      <w:r w:rsidR="00635E9C">
        <w:rPr>
          <w:lang w:val="pt-BR"/>
        </w:rPr>
        <w:t xml:space="preserve">. </w:t>
      </w:r>
      <w:r w:rsidRPr="009773EF">
        <w:rPr>
          <w:lang w:val="pt-BR"/>
        </w:rPr>
        <w:t>R</w:t>
      </w:r>
      <w:r w:rsidR="00635E9C">
        <w:rPr>
          <w:lang w:val="pt-BR"/>
        </w:rPr>
        <w:t xml:space="preserve">., Vieira, F. S., Leal, K. A. S., Novelli, C., Noda, D. K. G., </w:t>
      </w:r>
      <w:proofErr w:type="spellStart"/>
      <w:r w:rsidR="00635E9C">
        <w:rPr>
          <w:lang w:val="pt-BR"/>
        </w:rPr>
        <w:t>Risso</w:t>
      </w:r>
      <w:proofErr w:type="spellEnd"/>
      <w:r w:rsidR="00635E9C">
        <w:rPr>
          <w:lang w:val="pt-BR"/>
        </w:rPr>
        <w:t xml:space="preserve">, H. R. F., Martins, G. C., Camargo, L. B., Casagrande, R. M., Passos, R. P., Vilela Junior, G. B. (2015). </w:t>
      </w:r>
      <w:r w:rsidRPr="009773EF">
        <w:rPr>
          <w:lang w:val="pt-BR"/>
        </w:rPr>
        <w:t xml:space="preserve">Estresse e qualidade de vida de estudantes universitários. </w:t>
      </w:r>
      <w:r w:rsidRPr="00FB7894">
        <w:rPr>
          <w:i/>
          <w:iCs/>
          <w:lang w:val="pt-BR"/>
        </w:rPr>
        <w:t>Revista CPAQ</w:t>
      </w:r>
      <w:r w:rsidR="00FB7894" w:rsidRPr="00FB7894">
        <w:rPr>
          <w:i/>
          <w:iCs/>
          <w:lang w:val="pt-BR"/>
        </w:rPr>
        <w:t xml:space="preserve">, </w:t>
      </w:r>
      <w:r w:rsidRPr="00FB7894">
        <w:rPr>
          <w:i/>
          <w:iCs/>
          <w:lang w:val="pt-BR"/>
        </w:rPr>
        <w:t>7</w:t>
      </w:r>
      <w:r w:rsidRPr="00FB7894">
        <w:rPr>
          <w:lang w:val="pt-BR"/>
        </w:rPr>
        <w:t>(2)</w:t>
      </w:r>
      <w:r w:rsidR="00FB7894" w:rsidRPr="00FB7894">
        <w:rPr>
          <w:lang w:val="pt-BR"/>
        </w:rPr>
        <w:t xml:space="preserve">, </w:t>
      </w:r>
      <w:r w:rsidRPr="00FB7894">
        <w:rPr>
          <w:lang w:val="pt-BR"/>
        </w:rPr>
        <w:t xml:space="preserve">1-8.  </w:t>
      </w:r>
      <w:hyperlink r:id="rId50" w:history="1">
        <w:r w:rsidR="00FB7894" w:rsidRPr="00644660">
          <w:rPr>
            <w:rStyle w:val="Hyperlink"/>
          </w:rPr>
          <w:t>http://www.cpaqv.org/revista/CPAQV/ojs-2.3.7/index.php?journal=CPAQV&amp;page=article&amp;op=view&amp;path%5B%5D=77</w:t>
        </w:r>
      </w:hyperlink>
      <w:r w:rsidR="00FB7894" w:rsidRPr="00644660">
        <w:t xml:space="preserve"> </w:t>
      </w:r>
    </w:p>
    <w:p w14:paraId="01C0A089" w14:textId="6E5B0634" w:rsidR="009773EF" w:rsidRPr="00644660" w:rsidRDefault="009773EF" w:rsidP="009773EF">
      <w:pPr>
        <w:ind w:left="720" w:hanging="720"/>
        <w:jc w:val="both"/>
        <w:rPr>
          <w:lang w:val="en-US"/>
        </w:rPr>
      </w:pPr>
      <w:proofErr w:type="spellStart"/>
      <w:r w:rsidRPr="00644660">
        <w:t>Opoku-Acheampong</w:t>
      </w:r>
      <w:proofErr w:type="spellEnd"/>
      <w:r w:rsidR="00FB7894" w:rsidRPr="00644660">
        <w:t>,</w:t>
      </w:r>
      <w:r w:rsidRPr="00644660">
        <w:t xml:space="preserve"> A</w:t>
      </w:r>
      <w:r w:rsidR="00FB7894" w:rsidRPr="00644660">
        <w:t xml:space="preserve">., </w:t>
      </w:r>
      <w:proofErr w:type="spellStart"/>
      <w:r w:rsidR="00FB7894" w:rsidRPr="00644660">
        <w:t>Kretchy</w:t>
      </w:r>
      <w:proofErr w:type="spellEnd"/>
      <w:r w:rsidR="00FB7894" w:rsidRPr="00644660">
        <w:t xml:space="preserve">, I. A., </w:t>
      </w:r>
      <w:proofErr w:type="spellStart"/>
      <w:r w:rsidR="00FB7894" w:rsidRPr="00644660">
        <w:t>Acheampong</w:t>
      </w:r>
      <w:proofErr w:type="spellEnd"/>
      <w:r w:rsidR="00FB7894" w:rsidRPr="00644660">
        <w:t xml:space="preserve">, F., </w:t>
      </w:r>
      <w:proofErr w:type="spellStart"/>
      <w:r w:rsidR="00FB7894" w:rsidRPr="00644660">
        <w:t>Afrane</w:t>
      </w:r>
      <w:proofErr w:type="spellEnd"/>
      <w:r w:rsidR="00FB7894" w:rsidRPr="00644660">
        <w:t xml:space="preserve">, B. A., </w:t>
      </w:r>
      <w:proofErr w:type="spellStart"/>
      <w:r w:rsidR="00FB7894" w:rsidRPr="00644660">
        <w:t>Ashong</w:t>
      </w:r>
      <w:proofErr w:type="spellEnd"/>
      <w:r w:rsidR="00FB7894" w:rsidRPr="00644660">
        <w:t xml:space="preserve">, S., </w:t>
      </w:r>
      <w:proofErr w:type="spellStart"/>
      <w:r w:rsidR="00FB7894" w:rsidRPr="00644660">
        <w:t>Tamakloe</w:t>
      </w:r>
      <w:proofErr w:type="spellEnd"/>
      <w:r w:rsidR="00FB7894" w:rsidRPr="00644660">
        <w:t xml:space="preserve">, B., &amp; </w:t>
      </w:r>
      <w:proofErr w:type="spellStart"/>
      <w:r w:rsidR="00FB7894" w:rsidRPr="00644660">
        <w:t>Nyarko</w:t>
      </w:r>
      <w:proofErr w:type="spellEnd"/>
      <w:r w:rsidR="00FB7894" w:rsidRPr="00644660">
        <w:t xml:space="preserve">, A. K. (2017). </w:t>
      </w:r>
      <w:r w:rsidRPr="009773EF">
        <w:rPr>
          <w:lang w:val="en-US"/>
        </w:rPr>
        <w:t xml:space="preserve">Perceived stress and quality of life of pharmacy students in University of Ghana. </w:t>
      </w:r>
      <w:r w:rsidRPr="00FB7894">
        <w:rPr>
          <w:i/>
          <w:iCs/>
          <w:lang w:val="en-US"/>
        </w:rPr>
        <w:t>BMC Res</w:t>
      </w:r>
      <w:r w:rsidR="00FB7894" w:rsidRPr="00FB7894">
        <w:rPr>
          <w:i/>
          <w:iCs/>
          <w:lang w:val="en-US"/>
        </w:rPr>
        <w:t>earch</w:t>
      </w:r>
      <w:r w:rsidRPr="00FB7894">
        <w:rPr>
          <w:i/>
          <w:iCs/>
          <w:lang w:val="en-US"/>
        </w:rPr>
        <w:t xml:space="preserve"> Notes</w:t>
      </w:r>
      <w:r w:rsidR="00FB7894" w:rsidRPr="00FB7894">
        <w:rPr>
          <w:i/>
          <w:iCs/>
          <w:lang w:val="en-US"/>
        </w:rPr>
        <w:t xml:space="preserve">, </w:t>
      </w:r>
      <w:r w:rsidRPr="00FB7894">
        <w:rPr>
          <w:i/>
          <w:iCs/>
          <w:lang w:val="en-US"/>
        </w:rPr>
        <w:t>10</w:t>
      </w:r>
      <w:r w:rsidRPr="006A48A0">
        <w:rPr>
          <w:lang w:val="en-US"/>
        </w:rPr>
        <w:t>(115)</w:t>
      </w:r>
      <w:r w:rsidR="00FB7894">
        <w:rPr>
          <w:lang w:val="en-US"/>
        </w:rPr>
        <w:t xml:space="preserve">, </w:t>
      </w:r>
      <w:r w:rsidRPr="006A48A0">
        <w:rPr>
          <w:lang w:val="en-US"/>
        </w:rPr>
        <w:t xml:space="preserve">1-7.  </w:t>
      </w:r>
      <w:hyperlink r:id="rId51" w:history="1">
        <w:r w:rsidR="00FB7894" w:rsidRPr="00644660">
          <w:rPr>
            <w:rStyle w:val="Hyperlink"/>
            <w:lang w:val="en-US"/>
          </w:rPr>
          <w:t>https://doi.org/10.1186/s13104-017-2439-6</w:t>
        </w:r>
      </w:hyperlink>
      <w:r w:rsidR="00FB7894" w:rsidRPr="00644660">
        <w:rPr>
          <w:lang w:val="en-US"/>
        </w:rPr>
        <w:t xml:space="preserve"> </w:t>
      </w:r>
    </w:p>
    <w:p w14:paraId="55DB527A" w14:textId="19BC5E7A" w:rsidR="009773EF" w:rsidRPr="009773EF" w:rsidRDefault="009773EF" w:rsidP="009773EF">
      <w:pPr>
        <w:ind w:left="720" w:hanging="720"/>
        <w:jc w:val="both"/>
        <w:rPr>
          <w:lang w:val="pt-BR"/>
        </w:rPr>
      </w:pPr>
      <w:proofErr w:type="spellStart"/>
      <w:r w:rsidRPr="00644660">
        <w:rPr>
          <w:lang w:val="en-US"/>
        </w:rPr>
        <w:t>Osório</w:t>
      </w:r>
      <w:proofErr w:type="spellEnd"/>
      <w:r w:rsidR="00FB7894" w:rsidRPr="00644660">
        <w:rPr>
          <w:lang w:val="en-US"/>
        </w:rPr>
        <w:t>,</w:t>
      </w:r>
      <w:r w:rsidRPr="00644660">
        <w:rPr>
          <w:lang w:val="en-US"/>
        </w:rPr>
        <w:t xml:space="preserve"> C</w:t>
      </w:r>
      <w:r w:rsidR="00FB7894" w:rsidRPr="00644660">
        <w:rPr>
          <w:lang w:val="en-US"/>
        </w:rPr>
        <w:t xml:space="preserve">. </w:t>
      </w:r>
      <w:r w:rsidRPr="00644660">
        <w:rPr>
          <w:lang w:val="en-US"/>
        </w:rPr>
        <w:t>M</w:t>
      </w:r>
      <w:r w:rsidR="00FB7894" w:rsidRPr="00644660">
        <w:rPr>
          <w:lang w:val="en-US"/>
        </w:rPr>
        <w:t xml:space="preserve">. </w:t>
      </w:r>
      <w:r w:rsidRPr="00644660">
        <w:rPr>
          <w:lang w:val="en-US"/>
        </w:rPr>
        <w:t xml:space="preserve">S. </w:t>
      </w:r>
      <w:r w:rsidR="00FB7894" w:rsidRPr="00644660">
        <w:rPr>
          <w:lang w:val="en-US"/>
        </w:rPr>
        <w:t xml:space="preserve">(2001). </w:t>
      </w:r>
      <w:r w:rsidRPr="009773EF">
        <w:rPr>
          <w:lang w:val="pt-BR"/>
        </w:rPr>
        <w:t xml:space="preserve">Adultos jovens, seus scripts e cenários. </w:t>
      </w:r>
      <w:r w:rsidR="0016518D" w:rsidRPr="0023189A">
        <w:rPr>
          <w:lang w:val="en-US"/>
        </w:rPr>
        <w:t xml:space="preserve">In </w:t>
      </w:r>
      <w:proofErr w:type="spellStart"/>
      <w:r w:rsidR="0016518D" w:rsidRPr="0023189A">
        <w:rPr>
          <w:lang w:val="en-US"/>
        </w:rPr>
        <w:t>Eizirik</w:t>
      </w:r>
      <w:proofErr w:type="spellEnd"/>
      <w:r w:rsidR="0016518D">
        <w:rPr>
          <w:lang w:val="en-US"/>
        </w:rPr>
        <w:t>,</w:t>
      </w:r>
      <w:r w:rsidR="0016518D" w:rsidRPr="0023189A">
        <w:rPr>
          <w:lang w:val="en-US"/>
        </w:rPr>
        <w:t xml:space="preserve"> C</w:t>
      </w:r>
      <w:r w:rsidR="0016518D">
        <w:rPr>
          <w:lang w:val="en-US"/>
        </w:rPr>
        <w:t xml:space="preserve">. </w:t>
      </w:r>
      <w:r w:rsidR="0016518D" w:rsidRPr="0023189A">
        <w:rPr>
          <w:lang w:val="en-US"/>
        </w:rPr>
        <w:t>L</w:t>
      </w:r>
      <w:r w:rsidR="0016518D">
        <w:rPr>
          <w:lang w:val="en-US"/>
        </w:rPr>
        <w:t>.,</w:t>
      </w:r>
      <w:r w:rsidR="0016518D" w:rsidRPr="0023189A">
        <w:rPr>
          <w:lang w:val="en-US"/>
        </w:rPr>
        <w:t xml:space="preserve"> </w:t>
      </w:r>
      <w:proofErr w:type="spellStart"/>
      <w:r w:rsidR="0016518D" w:rsidRPr="0023189A">
        <w:rPr>
          <w:lang w:val="en-US"/>
        </w:rPr>
        <w:t>Kapczinski</w:t>
      </w:r>
      <w:proofErr w:type="spellEnd"/>
      <w:r w:rsidR="0016518D">
        <w:rPr>
          <w:lang w:val="en-US"/>
        </w:rPr>
        <w:t xml:space="preserve">, </w:t>
      </w:r>
      <w:r w:rsidR="0016518D" w:rsidRPr="0023189A">
        <w:rPr>
          <w:lang w:val="en-US"/>
        </w:rPr>
        <w:t>F</w:t>
      </w:r>
      <w:r w:rsidR="0016518D">
        <w:rPr>
          <w:lang w:val="en-US"/>
        </w:rPr>
        <w:t>., &amp;</w:t>
      </w:r>
      <w:r w:rsidR="0016518D" w:rsidRPr="0023189A">
        <w:rPr>
          <w:lang w:val="en-US"/>
        </w:rPr>
        <w:t xml:space="preserve"> </w:t>
      </w:r>
      <w:proofErr w:type="spellStart"/>
      <w:r w:rsidR="0016518D" w:rsidRPr="0023189A">
        <w:rPr>
          <w:lang w:val="en-US"/>
        </w:rPr>
        <w:t>Bassols</w:t>
      </w:r>
      <w:proofErr w:type="spellEnd"/>
      <w:r w:rsidR="0016518D">
        <w:rPr>
          <w:lang w:val="en-US"/>
        </w:rPr>
        <w:t>,</w:t>
      </w:r>
      <w:r w:rsidR="0016518D" w:rsidRPr="0023189A">
        <w:rPr>
          <w:lang w:val="en-US"/>
        </w:rPr>
        <w:t xml:space="preserve"> S</w:t>
      </w:r>
      <w:r w:rsidR="0016518D">
        <w:rPr>
          <w:lang w:val="en-US"/>
        </w:rPr>
        <w:t xml:space="preserve">. </w:t>
      </w:r>
      <w:r w:rsidR="0016518D" w:rsidRPr="0023189A">
        <w:rPr>
          <w:lang w:val="en-US"/>
        </w:rPr>
        <w:t>A</w:t>
      </w:r>
      <w:r w:rsidR="0016518D">
        <w:rPr>
          <w:lang w:val="en-US"/>
        </w:rPr>
        <w:t xml:space="preserve">. </w:t>
      </w:r>
      <w:r w:rsidR="0016518D" w:rsidRPr="0023189A">
        <w:rPr>
          <w:lang w:val="en-US"/>
        </w:rPr>
        <w:t>M</w:t>
      </w:r>
      <w:r w:rsidR="0016518D">
        <w:rPr>
          <w:lang w:val="en-US"/>
        </w:rPr>
        <w:t>. (</w:t>
      </w:r>
      <w:r w:rsidR="0016518D" w:rsidRPr="0023189A">
        <w:rPr>
          <w:lang w:val="en-US"/>
        </w:rPr>
        <w:t>editors</w:t>
      </w:r>
      <w:r w:rsidR="0016518D" w:rsidRPr="0016518D">
        <w:rPr>
          <w:lang w:val="en-US"/>
        </w:rPr>
        <w:t>)</w:t>
      </w:r>
      <w:r w:rsidR="0016518D" w:rsidRPr="0053444D">
        <w:rPr>
          <w:i/>
          <w:iCs/>
          <w:lang w:val="en-US"/>
        </w:rPr>
        <w:t xml:space="preserve">. </w:t>
      </w:r>
      <w:r w:rsidR="0016518D" w:rsidRPr="0053444D">
        <w:rPr>
          <w:i/>
          <w:iCs/>
          <w:lang w:val="pt-BR"/>
        </w:rPr>
        <w:t>O ciclo da vida humana</w:t>
      </w:r>
      <w:r w:rsidR="0016518D" w:rsidRPr="009773EF">
        <w:rPr>
          <w:lang w:val="pt-BR"/>
        </w:rPr>
        <w:t xml:space="preserve">: uma perspectiva psicodinâmica. </w:t>
      </w:r>
      <w:r w:rsidR="0016518D">
        <w:rPr>
          <w:lang w:val="pt-BR"/>
        </w:rPr>
        <w:t>Artmed.</w:t>
      </w:r>
    </w:p>
    <w:p w14:paraId="59F800B1" w14:textId="50876A72" w:rsidR="009773EF" w:rsidRPr="0016518D" w:rsidRDefault="009773EF" w:rsidP="009773EF">
      <w:pPr>
        <w:ind w:left="720" w:hanging="720"/>
        <w:jc w:val="both"/>
        <w:rPr>
          <w:lang w:val="pt-BR"/>
        </w:rPr>
      </w:pPr>
      <w:proofErr w:type="spellStart"/>
      <w:r w:rsidRPr="00644660">
        <w:rPr>
          <w:lang w:val="pt-BR"/>
        </w:rPr>
        <w:t>Pedrelli</w:t>
      </w:r>
      <w:proofErr w:type="spellEnd"/>
      <w:r w:rsidR="0016518D" w:rsidRPr="00644660">
        <w:rPr>
          <w:lang w:val="pt-BR"/>
        </w:rPr>
        <w:t>,</w:t>
      </w:r>
      <w:r w:rsidRPr="00644660">
        <w:rPr>
          <w:lang w:val="pt-BR"/>
        </w:rPr>
        <w:t xml:space="preserve"> P</w:t>
      </w:r>
      <w:r w:rsidR="0016518D" w:rsidRPr="00644660">
        <w:rPr>
          <w:lang w:val="pt-BR"/>
        </w:rPr>
        <w:t xml:space="preserve">., </w:t>
      </w:r>
      <w:proofErr w:type="spellStart"/>
      <w:r w:rsidR="0016518D" w:rsidRPr="00644660">
        <w:rPr>
          <w:lang w:val="pt-BR"/>
        </w:rPr>
        <w:t>Nyer</w:t>
      </w:r>
      <w:proofErr w:type="spellEnd"/>
      <w:r w:rsidR="0016518D" w:rsidRPr="00644660">
        <w:rPr>
          <w:lang w:val="pt-BR"/>
        </w:rPr>
        <w:t xml:space="preserve">, M., Yeung, A., </w:t>
      </w:r>
      <w:proofErr w:type="spellStart"/>
      <w:r w:rsidR="0016518D" w:rsidRPr="00644660">
        <w:rPr>
          <w:lang w:val="pt-BR"/>
        </w:rPr>
        <w:t>Zulauf</w:t>
      </w:r>
      <w:proofErr w:type="spellEnd"/>
      <w:r w:rsidR="0016518D" w:rsidRPr="00644660">
        <w:rPr>
          <w:lang w:val="pt-BR"/>
        </w:rPr>
        <w:t xml:space="preserve">, C., &amp; </w:t>
      </w:r>
      <w:proofErr w:type="spellStart"/>
      <w:r w:rsidR="0016518D" w:rsidRPr="00644660">
        <w:rPr>
          <w:lang w:val="pt-BR"/>
        </w:rPr>
        <w:t>Wilens</w:t>
      </w:r>
      <w:proofErr w:type="spellEnd"/>
      <w:r w:rsidR="0016518D" w:rsidRPr="00644660">
        <w:rPr>
          <w:lang w:val="pt-BR"/>
        </w:rPr>
        <w:t xml:space="preserve">, T. (2015). </w:t>
      </w:r>
      <w:r w:rsidRPr="009773EF">
        <w:rPr>
          <w:lang w:val="en-US"/>
        </w:rPr>
        <w:t xml:space="preserve">College students: mental health problems and treatment considerations. </w:t>
      </w:r>
      <w:r w:rsidRPr="0016518D">
        <w:rPr>
          <w:i/>
          <w:iCs/>
          <w:lang w:val="en-US"/>
        </w:rPr>
        <w:t>Academic Psychiatry</w:t>
      </w:r>
      <w:r w:rsidR="0016518D" w:rsidRPr="0016518D">
        <w:rPr>
          <w:i/>
          <w:iCs/>
          <w:lang w:val="en-US"/>
        </w:rPr>
        <w:t xml:space="preserve">, </w:t>
      </w:r>
      <w:r w:rsidRPr="0016518D">
        <w:rPr>
          <w:i/>
          <w:iCs/>
          <w:lang w:val="en-US"/>
        </w:rPr>
        <w:t>39</w:t>
      </w:r>
      <w:r w:rsidRPr="009773EF">
        <w:rPr>
          <w:lang w:val="en-US"/>
        </w:rPr>
        <w:t>(5)</w:t>
      </w:r>
      <w:r w:rsidR="0016518D">
        <w:rPr>
          <w:lang w:val="en-US"/>
        </w:rPr>
        <w:t xml:space="preserve">, </w:t>
      </w:r>
      <w:r w:rsidRPr="009773EF">
        <w:rPr>
          <w:lang w:val="en-US"/>
        </w:rPr>
        <w:t>503-</w:t>
      </w:r>
      <w:r w:rsidR="0016518D">
        <w:rPr>
          <w:lang w:val="en-US"/>
        </w:rPr>
        <w:t>5</w:t>
      </w:r>
      <w:r w:rsidRPr="009773EF">
        <w:rPr>
          <w:lang w:val="en-US"/>
        </w:rPr>
        <w:t xml:space="preserve">11. </w:t>
      </w:r>
      <w:hyperlink r:id="rId52" w:history="1">
        <w:r w:rsidR="0016518D" w:rsidRPr="0016518D">
          <w:rPr>
            <w:rStyle w:val="Hyperlink"/>
            <w:lang w:val="pt-BR"/>
          </w:rPr>
          <w:t>https://dx.doi.org/10.1007%2Fs40596-014-0205-9</w:t>
        </w:r>
      </w:hyperlink>
      <w:r w:rsidR="0016518D" w:rsidRPr="0016518D">
        <w:rPr>
          <w:lang w:val="pt-BR"/>
        </w:rPr>
        <w:t xml:space="preserve"> </w:t>
      </w:r>
    </w:p>
    <w:p w14:paraId="1A3F6623" w14:textId="6871E612" w:rsidR="009773EF" w:rsidRPr="00644660" w:rsidRDefault="009773EF" w:rsidP="009773EF">
      <w:pPr>
        <w:ind w:left="720" w:hanging="720"/>
        <w:jc w:val="both"/>
        <w:rPr>
          <w:lang w:val="en-US"/>
        </w:rPr>
      </w:pPr>
      <w:proofErr w:type="spellStart"/>
      <w:r w:rsidRPr="0016518D">
        <w:rPr>
          <w:lang w:val="pt-BR"/>
        </w:rPr>
        <w:lastRenderedPageBreak/>
        <w:t>Perera</w:t>
      </w:r>
      <w:proofErr w:type="spellEnd"/>
      <w:r w:rsidR="0016518D" w:rsidRPr="0016518D">
        <w:rPr>
          <w:lang w:val="pt-BR"/>
        </w:rPr>
        <w:t>,</w:t>
      </w:r>
      <w:r w:rsidRPr="0016518D">
        <w:rPr>
          <w:lang w:val="pt-BR"/>
        </w:rPr>
        <w:t xml:space="preserve"> H</w:t>
      </w:r>
      <w:r w:rsidR="0016518D" w:rsidRPr="0016518D">
        <w:rPr>
          <w:lang w:val="pt-BR"/>
        </w:rPr>
        <w:t xml:space="preserve">. </w:t>
      </w:r>
      <w:r w:rsidRPr="0016518D">
        <w:rPr>
          <w:lang w:val="pt-BR"/>
        </w:rPr>
        <w:t>N</w:t>
      </w:r>
      <w:r w:rsidR="0016518D" w:rsidRPr="0016518D">
        <w:rPr>
          <w:lang w:val="pt-BR"/>
        </w:rPr>
        <w:t>., &amp;</w:t>
      </w:r>
      <w:r w:rsidRPr="0016518D">
        <w:rPr>
          <w:lang w:val="pt-BR"/>
        </w:rPr>
        <w:t xml:space="preserve"> </w:t>
      </w:r>
      <w:proofErr w:type="spellStart"/>
      <w:r w:rsidRPr="0016518D">
        <w:rPr>
          <w:lang w:val="pt-BR"/>
        </w:rPr>
        <w:t>Athanasou</w:t>
      </w:r>
      <w:proofErr w:type="spellEnd"/>
      <w:r w:rsidR="0016518D" w:rsidRPr="0016518D">
        <w:rPr>
          <w:lang w:val="pt-BR"/>
        </w:rPr>
        <w:t>,</w:t>
      </w:r>
      <w:r w:rsidRPr="0016518D">
        <w:rPr>
          <w:lang w:val="pt-BR"/>
        </w:rPr>
        <w:t xml:space="preserve"> J</w:t>
      </w:r>
      <w:r w:rsidR="0016518D" w:rsidRPr="0016518D">
        <w:rPr>
          <w:lang w:val="pt-BR"/>
        </w:rPr>
        <w:t xml:space="preserve">. </w:t>
      </w:r>
      <w:r w:rsidRPr="0016518D">
        <w:rPr>
          <w:lang w:val="pt-BR"/>
        </w:rPr>
        <w:t>A.</w:t>
      </w:r>
      <w:r w:rsidR="0016518D" w:rsidRPr="0016518D">
        <w:rPr>
          <w:lang w:val="pt-BR"/>
        </w:rPr>
        <w:t xml:space="preserve"> (2016).</w:t>
      </w:r>
      <w:r w:rsidRPr="0016518D">
        <w:rPr>
          <w:lang w:val="pt-BR"/>
        </w:rPr>
        <w:t xml:space="preserve"> </w:t>
      </w:r>
      <w:r w:rsidRPr="009773EF">
        <w:rPr>
          <w:lang w:val="en-US"/>
        </w:rPr>
        <w:t xml:space="preserve">Construct validity of the EUROHIS-QOL for rehabilitation assessment. </w:t>
      </w:r>
      <w:r w:rsidR="0016518D" w:rsidRPr="0016518D">
        <w:rPr>
          <w:i/>
          <w:iCs/>
          <w:lang w:val="en-US"/>
        </w:rPr>
        <w:t xml:space="preserve">Australian Journal of Rehabilitation Counselling, </w:t>
      </w:r>
      <w:r w:rsidRPr="0016518D">
        <w:rPr>
          <w:i/>
          <w:iCs/>
          <w:lang w:val="en-US"/>
        </w:rPr>
        <w:t>22</w:t>
      </w:r>
      <w:r w:rsidRPr="0016518D">
        <w:rPr>
          <w:lang w:val="en-US"/>
        </w:rPr>
        <w:t>(2)</w:t>
      </w:r>
      <w:r w:rsidR="0016518D" w:rsidRPr="0016518D">
        <w:rPr>
          <w:lang w:val="en-US"/>
        </w:rPr>
        <w:t xml:space="preserve">, </w:t>
      </w:r>
      <w:r w:rsidRPr="0016518D">
        <w:rPr>
          <w:lang w:val="en-US"/>
        </w:rPr>
        <w:t xml:space="preserve">57-75. </w:t>
      </w:r>
      <w:hyperlink r:id="rId53" w:history="1">
        <w:r w:rsidR="0016518D" w:rsidRPr="00644660">
          <w:rPr>
            <w:rStyle w:val="Hyperlink"/>
            <w:lang w:val="en-US"/>
          </w:rPr>
          <w:t>http://dx.doi.org/10.1017/jrc.2016.12</w:t>
        </w:r>
      </w:hyperlink>
      <w:r w:rsidR="0016518D" w:rsidRPr="00644660">
        <w:rPr>
          <w:lang w:val="en-US"/>
        </w:rPr>
        <w:t xml:space="preserve"> </w:t>
      </w:r>
    </w:p>
    <w:p w14:paraId="0D3E0C68" w14:textId="1885EB11" w:rsidR="009773EF" w:rsidRPr="009773EF" w:rsidRDefault="009773EF" w:rsidP="009773EF">
      <w:pPr>
        <w:ind w:left="720" w:hanging="720"/>
        <w:jc w:val="both"/>
        <w:rPr>
          <w:lang w:val="pt-BR"/>
        </w:rPr>
      </w:pPr>
      <w:r w:rsidRPr="009773EF">
        <w:rPr>
          <w:lang w:val="pt-BR"/>
        </w:rPr>
        <w:t>Pereira</w:t>
      </w:r>
      <w:r w:rsidR="0016518D">
        <w:rPr>
          <w:lang w:val="pt-BR"/>
        </w:rPr>
        <w:t xml:space="preserve">, </w:t>
      </w:r>
      <w:r w:rsidRPr="009773EF">
        <w:rPr>
          <w:lang w:val="pt-BR"/>
        </w:rPr>
        <w:t>M</w:t>
      </w:r>
      <w:r w:rsidR="0016518D">
        <w:rPr>
          <w:lang w:val="pt-BR"/>
        </w:rPr>
        <w:t>.</w:t>
      </w:r>
      <w:r w:rsidR="00283F1B">
        <w:rPr>
          <w:lang w:val="pt-BR"/>
        </w:rPr>
        <w:t xml:space="preserve">, Melo, C., Gameiro, S., &amp; Canavarro, M. C. (2011). </w:t>
      </w:r>
      <w:r w:rsidRPr="009773EF">
        <w:rPr>
          <w:lang w:val="pt-BR"/>
        </w:rPr>
        <w:t xml:space="preserve">Estudos psicométricos da versão em Português Europeu do índice de qualidade de vida EUROHIS-QOL-8. </w:t>
      </w:r>
      <w:r w:rsidRPr="00283F1B">
        <w:rPr>
          <w:i/>
          <w:iCs/>
          <w:lang w:val="pt-BR"/>
        </w:rPr>
        <w:t>Laboratório de Psicologia</w:t>
      </w:r>
      <w:r w:rsidR="00283F1B" w:rsidRPr="00283F1B">
        <w:rPr>
          <w:i/>
          <w:iCs/>
          <w:lang w:val="pt-BR"/>
        </w:rPr>
        <w:t xml:space="preserve">, </w:t>
      </w:r>
      <w:r w:rsidRPr="00283F1B">
        <w:rPr>
          <w:i/>
          <w:iCs/>
          <w:lang w:val="pt-BR"/>
        </w:rPr>
        <w:t>9</w:t>
      </w:r>
      <w:r w:rsidRPr="009773EF">
        <w:rPr>
          <w:lang w:val="pt-BR"/>
        </w:rPr>
        <w:t>(2)</w:t>
      </w:r>
      <w:r w:rsidR="00283F1B">
        <w:rPr>
          <w:lang w:val="pt-BR"/>
        </w:rPr>
        <w:t xml:space="preserve">, </w:t>
      </w:r>
      <w:r w:rsidRPr="009773EF">
        <w:rPr>
          <w:lang w:val="pt-BR"/>
        </w:rPr>
        <w:t xml:space="preserve">109-123. </w:t>
      </w:r>
      <w:hyperlink r:id="rId54" w:history="1">
        <w:r w:rsidR="00283F1B" w:rsidRPr="001D1AFD">
          <w:rPr>
            <w:rStyle w:val="Hyperlink"/>
            <w:lang w:val="pt-BR"/>
          </w:rPr>
          <w:t>https://doi.org/10.14417/lp.627</w:t>
        </w:r>
      </w:hyperlink>
      <w:r w:rsidR="00283F1B">
        <w:rPr>
          <w:lang w:val="pt-BR"/>
        </w:rPr>
        <w:t xml:space="preserve"> </w:t>
      </w:r>
    </w:p>
    <w:p w14:paraId="206EB465" w14:textId="4A9FBAAA" w:rsidR="009773EF" w:rsidRPr="00644660" w:rsidRDefault="009773EF" w:rsidP="009773EF">
      <w:pPr>
        <w:ind w:left="720" w:hanging="720"/>
        <w:jc w:val="both"/>
        <w:rPr>
          <w:lang w:val="pt-BR"/>
        </w:rPr>
      </w:pPr>
      <w:r w:rsidRPr="009773EF">
        <w:rPr>
          <w:lang w:val="pt-BR"/>
        </w:rPr>
        <w:t>Pereira</w:t>
      </w:r>
      <w:r w:rsidR="00283F1B">
        <w:rPr>
          <w:lang w:val="pt-BR"/>
        </w:rPr>
        <w:t>,</w:t>
      </w:r>
      <w:r w:rsidRPr="009773EF">
        <w:rPr>
          <w:lang w:val="pt-BR"/>
        </w:rPr>
        <w:t xml:space="preserve"> E</w:t>
      </w:r>
      <w:r w:rsidR="00283F1B">
        <w:rPr>
          <w:lang w:val="pt-BR"/>
        </w:rPr>
        <w:t xml:space="preserve">. </w:t>
      </w:r>
      <w:r w:rsidRPr="009773EF">
        <w:rPr>
          <w:lang w:val="pt-BR"/>
        </w:rPr>
        <w:t>F</w:t>
      </w:r>
      <w:r w:rsidR="00283F1B">
        <w:rPr>
          <w:lang w:val="pt-BR"/>
        </w:rPr>
        <w:t xml:space="preserve">., Teixeira, C. S., &amp; Santos, A. (2012). </w:t>
      </w:r>
      <w:r w:rsidRPr="009773EF">
        <w:rPr>
          <w:lang w:val="pt-BR"/>
        </w:rPr>
        <w:t xml:space="preserve">Qualidade de vida: abordagens, conceitos e avaliação. </w:t>
      </w:r>
      <w:r w:rsidR="00283F1B" w:rsidRPr="00283F1B">
        <w:rPr>
          <w:i/>
          <w:iCs/>
          <w:lang w:val="pt-BR"/>
        </w:rPr>
        <w:t>Revista Brasileira de Educação Física e</w:t>
      </w:r>
      <w:r w:rsidRPr="00283F1B">
        <w:rPr>
          <w:i/>
          <w:iCs/>
          <w:lang w:val="pt-BR"/>
        </w:rPr>
        <w:t xml:space="preserve"> Esporte</w:t>
      </w:r>
      <w:r w:rsidR="00283F1B" w:rsidRPr="00283F1B">
        <w:rPr>
          <w:i/>
          <w:iCs/>
          <w:lang w:val="pt-BR"/>
        </w:rPr>
        <w:t xml:space="preserve">, </w:t>
      </w:r>
      <w:r w:rsidRPr="00283F1B">
        <w:rPr>
          <w:i/>
          <w:iCs/>
          <w:lang w:val="pt-BR"/>
        </w:rPr>
        <w:t>26</w:t>
      </w:r>
      <w:r w:rsidRPr="00283F1B">
        <w:rPr>
          <w:lang w:val="pt-BR"/>
        </w:rPr>
        <w:t>(2)</w:t>
      </w:r>
      <w:r w:rsidR="00283F1B">
        <w:rPr>
          <w:lang w:val="pt-BR"/>
        </w:rPr>
        <w:t xml:space="preserve">, </w:t>
      </w:r>
      <w:r w:rsidRPr="00283F1B">
        <w:rPr>
          <w:lang w:val="pt-BR"/>
        </w:rPr>
        <w:t xml:space="preserve">241-250. </w:t>
      </w:r>
      <w:hyperlink r:id="rId55" w:history="1">
        <w:r w:rsidR="00283F1B" w:rsidRPr="00644660">
          <w:rPr>
            <w:rStyle w:val="Hyperlink"/>
            <w:lang w:val="pt-BR"/>
          </w:rPr>
          <w:t>https://doi.org/10.1590/S1807-55092012000200007</w:t>
        </w:r>
      </w:hyperlink>
      <w:r w:rsidR="00283F1B" w:rsidRPr="00644660">
        <w:rPr>
          <w:lang w:val="pt-BR"/>
        </w:rPr>
        <w:t xml:space="preserve"> </w:t>
      </w:r>
    </w:p>
    <w:p w14:paraId="520B4C86" w14:textId="2D264404" w:rsidR="009773EF" w:rsidRPr="009773EF" w:rsidRDefault="009773EF" w:rsidP="009773EF">
      <w:pPr>
        <w:ind w:left="720" w:hanging="720"/>
        <w:jc w:val="both"/>
        <w:rPr>
          <w:lang w:val="en-US"/>
        </w:rPr>
      </w:pPr>
      <w:r w:rsidRPr="00283F1B">
        <w:rPr>
          <w:lang w:val="en-US"/>
        </w:rPr>
        <w:t>Pires</w:t>
      </w:r>
      <w:r w:rsidR="00283F1B" w:rsidRPr="00283F1B">
        <w:rPr>
          <w:lang w:val="en-US"/>
        </w:rPr>
        <w:t>,</w:t>
      </w:r>
      <w:r w:rsidRPr="00283F1B">
        <w:rPr>
          <w:lang w:val="en-US"/>
        </w:rPr>
        <w:t xml:space="preserve"> A</w:t>
      </w:r>
      <w:r w:rsidR="00283F1B" w:rsidRPr="00283F1B">
        <w:rPr>
          <w:lang w:val="en-US"/>
        </w:rPr>
        <w:t xml:space="preserve">. </w:t>
      </w:r>
      <w:r w:rsidRPr="00283F1B">
        <w:rPr>
          <w:lang w:val="en-US"/>
        </w:rPr>
        <w:t>C</w:t>
      </w:r>
      <w:r w:rsidR="00283F1B" w:rsidRPr="00283F1B">
        <w:rPr>
          <w:lang w:val="en-US"/>
        </w:rPr>
        <w:t>., Fleck, M. P.</w:t>
      </w:r>
      <w:r w:rsidR="00283F1B">
        <w:rPr>
          <w:lang w:val="en-US"/>
        </w:rPr>
        <w:t xml:space="preserve">, Power, M., &amp; Rocha, N. S. (2018). </w:t>
      </w:r>
      <w:r w:rsidRPr="009773EF">
        <w:rPr>
          <w:lang w:val="en-US"/>
        </w:rPr>
        <w:t xml:space="preserve">Psychometric properties of the EUROHIS-QOL 8-item index (WHOQOL-8) in a Brazilian sample. </w:t>
      </w:r>
      <w:r w:rsidR="003D39E4" w:rsidRPr="003D39E4">
        <w:rPr>
          <w:i/>
          <w:iCs/>
          <w:lang w:val="en-US"/>
        </w:rPr>
        <w:t xml:space="preserve">Brazilian Journal of Psychiatry, </w:t>
      </w:r>
      <w:r w:rsidRPr="003D39E4">
        <w:rPr>
          <w:i/>
          <w:iCs/>
          <w:lang w:val="en-US"/>
        </w:rPr>
        <w:t>40</w:t>
      </w:r>
      <w:r w:rsidRPr="009773EF">
        <w:rPr>
          <w:lang w:val="en-US"/>
        </w:rPr>
        <w:t>(3)</w:t>
      </w:r>
      <w:r w:rsidR="003D39E4">
        <w:rPr>
          <w:lang w:val="en-US"/>
        </w:rPr>
        <w:t xml:space="preserve">, </w:t>
      </w:r>
      <w:r w:rsidRPr="009773EF">
        <w:rPr>
          <w:lang w:val="en-US"/>
        </w:rPr>
        <w:t xml:space="preserve">249-255. </w:t>
      </w:r>
      <w:hyperlink r:id="rId56" w:history="1">
        <w:r w:rsidR="003D39E4" w:rsidRPr="001D1AFD">
          <w:rPr>
            <w:rStyle w:val="Hyperlink"/>
            <w:lang w:val="en-US"/>
          </w:rPr>
          <w:t>https://doi.org/10.1590/1516-4446-2017-2297</w:t>
        </w:r>
      </w:hyperlink>
      <w:r w:rsidR="003D39E4">
        <w:rPr>
          <w:lang w:val="en-US"/>
        </w:rPr>
        <w:t xml:space="preserve"> </w:t>
      </w:r>
    </w:p>
    <w:p w14:paraId="1683959C" w14:textId="7FDCF5FE" w:rsidR="009773EF" w:rsidRPr="009773EF" w:rsidRDefault="009773EF" w:rsidP="009773EF">
      <w:pPr>
        <w:ind w:left="720" w:hanging="720"/>
        <w:jc w:val="both"/>
        <w:rPr>
          <w:lang w:val="en-US"/>
        </w:rPr>
      </w:pPr>
      <w:r w:rsidRPr="009773EF">
        <w:rPr>
          <w:lang w:val="en-US"/>
        </w:rPr>
        <w:t>Rocha</w:t>
      </w:r>
      <w:r w:rsidR="003D39E4">
        <w:rPr>
          <w:lang w:val="en-US"/>
        </w:rPr>
        <w:t>,</w:t>
      </w:r>
      <w:r w:rsidRPr="009773EF">
        <w:rPr>
          <w:lang w:val="en-US"/>
        </w:rPr>
        <w:t xml:space="preserve"> N</w:t>
      </w:r>
      <w:r w:rsidR="003D39E4">
        <w:rPr>
          <w:lang w:val="en-US"/>
        </w:rPr>
        <w:t xml:space="preserve">. </w:t>
      </w:r>
      <w:r w:rsidRPr="009773EF">
        <w:rPr>
          <w:lang w:val="en-US"/>
        </w:rPr>
        <w:t>S</w:t>
      </w:r>
      <w:r w:rsidR="003D39E4">
        <w:rPr>
          <w:lang w:val="en-US"/>
        </w:rPr>
        <w:t>., Power, M. J., Bushnell, D. M., &amp; Fleck, M. P. (2012)</w:t>
      </w:r>
      <w:r w:rsidRPr="009773EF">
        <w:rPr>
          <w:lang w:val="en-US"/>
        </w:rPr>
        <w:t xml:space="preserve">. The EUROHIS-QOL 8-item Index: comparative psychometric properties to its parent WHOQOL-BREF. </w:t>
      </w:r>
      <w:r w:rsidRPr="003D39E4">
        <w:rPr>
          <w:i/>
          <w:iCs/>
          <w:lang w:val="en-US"/>
        </w:rPr>
        <w:t xml:space="preserve">Value </w:t>
      </w:r>
      <w:r w:rsidR="003D39E4" w:rsidRPr="003D39E4">
        <w:rPr>
          <w:i/>
          <w:iCs/>
          <w:lang w:val="en-US"/>
        </w:rPr>
        <w:t xml:space="preserve">in </w:t>
      </w:r>
      <w:r w:rsidRPr="003D39E4">
        <w:rPr>
          <w:i/>
          <w:iCs/>
          <w:lang w:val="en-US"/>
        </w:rPr>
        <w:t>Health</w:t>
      </w:r>
      <w:r w:rsidR="003D39E4" w:rsidRPr="003D39E4">
        <w:rPr>
          <w:i/>
          <w:iCs/>
          <w:lang w:val="en-US"/>
        </w:rPr>
        <w:t>, 1</w:t>
      </w:r>
      <w:r w:rsidRPr="003D39E4">
        <w:rPr>
          <w:i/>
          <w:iCs/>
          <w:lang w:val="en-US"/>
        </w:rPr>
        <w:t>5</w:t>
      </w:r>
      <w:r w:rsidRPr="009773EF">
        <w:rPr>
          <w:lang w:val="en-US"/>
        </w:rPr>
        <w:t>(3)</w:t>
      </w:r>
      <w:r w:rsidR="003D39E4">
        <w:rPr>
          <w:lang w:val="en-US"/>
        </w:rPr>
        <w:t xml:space="preserve">, </w:t>
      </w:r>
      <w:r w:rsidRPr="009773EF">
        <w:rPr>
          <w:lang w:val="en-US"/>
        </w:rPr>
        <w:t>449-</w:t>
      </w:r>
      <w:r w:rsidR="003D39E4">
        <w:rPr>
          <w:lang w:val="en-US"/>
        </w:rPr>
        <w:t>4</w:t>
      </w:r>
      <w:r w:rsidRPr="009773EF">
        <w:rPr>
          <w:lang w:val="en-US"/>
        </w:rPr>
        <w:t xml:space="preserve">57. </w:t>
      </w:r>
      <w:hyperlink r:id="rId57" w:history="1">
        <w:r w:rsidR="003D39E4" w:rsidRPr="001D1AFD">
          <w:rPr>
            <w:rStyle w:val="Hyperlink"/>
            <w:lang w:val="en-US"/>
          </w:rPr>
          <w:t>https://doi.org/10.1016/j.jval.2011.11.035</w:t>
        </w:r>
      </w:hyperlink>
      <w:r w:rsidR="003D39E4">
        <w:rPr>
          <w:lang w:val="en-US"/>
        </w:rPr>
        <w:t xml:space="preserve"> </w:t>
      </w:r>
    </w:p>
    <w:p w14:paraId="510F4ED9" w14:textId="043C29DA" w:rsidR="009773EF" w:rsidRPr="00644660" w:rsidRDefault="009773EF" w:rsidP="009773EF">
      <w:pPr>
        <w:ind w:left="720" w:hanging="720"/>
        <w:jc w:val="both"/>
        <w:rPr>
          <w:lang w:val="pt-BR"/>
        </w:rPr>
      </w:pPr>
      <w:proofErr w:type="spellStart"/>
      <w:r w:rsidRPr="009773EF">
        <w:rPr>
          <w:lang w:val="en-US"/>
        </w:rPr>
        <w:t>Saupe</w:t>
      </w:r>
      <w:proofErr w:type="spellEnd"/>
      <w:r w:rsidR="003D39E4">
        <w:rPr>
          <w:lang w:val="en-US"/>
        </w:rPr>
        <w:t>,</w:t>
      </w:r>
      <w:r w:rsidRPr="009773EF">
        <w:rPr>
          <w:lang w:val="en-US"/>
        </w:rPr>
        <w:t xml:space="preserve"> R</w:t>
      </w:r>
      <w:r w:rsidR="003D39E4">
        <w:rPr>
          <w:lang w:val="en-US"/>
        </w:rPr>
        <w:t xml:space="preserve">., </w:t>
      </w:r>
      <w:proofErr w:type="spellStart"/>
      <w:r w:rsidR="003D39E4">
        <w:rPr>
          <w:lang w:val="en-US"/>
        </w:rPr>
        <w:t>Nietche</w:t>
      </w:r>
      <w:proofErr w:type="spellEnd"/>
      <w:r w:rsidR="003D39E4">
        <w:rPr>
          <w:lang w:val="en-US"/>
        </w:rPr>
        <w:t xml:space="preserve">, E. A., </w:t>
      </w:r>
      <w:proofErr w:type="spellStart"/>
      <w:r w:rsidR="003D39E4">
        <w:rPr>
          <w:lang w:val="en-US"/>
        </w:rPr>
        <w:t>Cestari</w:t>
      </w:r>
      <w:proofErr w:type="spellEnd"/>
      <w:r w:rsidR="003D39E4">
        <w:rPr>
          <w:lang w:val="en-US"/>
        </w:rPr>
        <w:t xml:space="preserve">, M. E., </w:t>
      </w:r>
      <w:proofErr w:type="spellStart"/>
      <w:r w:rsidR="003D39E4">
        <w:rPr>
          <w:lang w:val="en-US"/>
        </w:rPr>
        <w:t>Giordi</w:t>
      </w:r>
      <w:proofErr w:type="spellEnd"/>
      <w:r w:rsidR="003D39E4">
        <w:rPr>
          <w:lang w:val="en-US"/>
        </w:rPr>
        <w:t xml:space="preserve">, M. D. M., &amp; </w:t>
      </w:r>
      <w:proofErr w:type="spellStart"/>
      <w:r w:rsidR="003D39E4">
        <w:rPr>
          <w:lang w:val="en-US"/>
        </w:rPr>
        <w:t>Krahl</w:t>
      </w:r>
      <w:proofErr w:type="spellEnd"/>
      <w:r w:rsidR="003D39E4">
        <w:rPr>
          <w:lang w:val="en-US"/>
        </w:rPr>
        <w:t xml:space="preserve">, M. (2004). </w:t>
      </w:r>
      <w:r w:rsidRPr="009773EF">
        <w:rPr>
          <w:lang w:val="pt-BR"/>
        </w:rPr>
        <w:t xml:space="preserve">Qualidade de vida dos acadêmicos de enfermagem. </w:t>
      </w:r>
      <w:r w:rsidRPr="00DF0AC2">
        <w:rPr>
          <w:i/>
          <w:iCs/>
          <w:lang w:val="pt-BR"/>
        </w:rPr>
        <w:t>Rev</w:t>
      </w:r>
      <w:r w:rsidR="003D39E4" w:rsidRPr="00DF0AC2">
        <w:rPr>
          <w:i/>
          <w:iCs/>
          <w:lang w:val="pt-BR"/>
        </w:rPr>
        <w:t>ista</w:t>
      </w:r>
      <w:r w:rsidRPr="00DF0AC2">
        <w:rPr>
          <w:i/>
          <w:iCs/>
          <w:lang w:val="pt-BR"/>
        </w:rPr>
        <w:t xml:space="preserve"> Latino-am</w:t>
      </w:r>
      <w:r w:rsidR="003D39E4" w:rsidRPr="00DF0AC2">
        <w:rPr>
          <w:i/>
          <w:iCs/>
          <w:lang w:val="pt-BR"/>
        </w:rPr>
        <w:t>ericana de</w:t>
      </w:r>
      <w:r w:rsidRPr="00DF0AC2">
        <w:rPr>
          <w:i/>
          <w:iCs/>
          <w:lang w:val="pt-BR"/>
        </w:rPr>
        <w:t xml:space="preserve"> Enfermagem</w:t>
      </w:r>
      <w:r w:rsidR="003D39E4" w:rsidRPr="00DF0AC2">
        <w:rPr>
          <w:i/>
          <w:iCs/>
          <w:lang w:val="pt-BR"/>
        </w:rPr>
        <w:t xml:space="preserve">, </w:t>
      </w:r>
      <w:r w:rsidRPr="00DF0AC2">
        <w:rPr>
          <w:i/>
          <w:iCs/>
          <w:lang w:val="pt-BR"/>
        </w:rPr>
        <w:t>12</w:t>
      </w:r>
      <w:r w:rsidRPr="009773EF">
        <w:rPr>
          <w:lang w:val="pt-BR"/>
        </w:rPr>
        <w:t>(4)</w:t>
      </w:r>
      <w:r w:rsidR="00DF0AC2">
        <w:rPr>
          <w:lang w:val="pt-BR"/>
        </w:rPr>
        <w:t xml:space="preserve">, </w:t>
      </w:r>
      <w:r w:rsidRPr="009773EF">
        <w:rPr>
          <w:lang w:val="pt-BR"/>
        </w:rPr>
        <w:t xml:space="preserve">636-642. </w:t>
      </w:r>
      <w:hyperlink r:id="rId58" w:history="1">
        <w:r w:rsidR="00DF0AC2" w:rsidRPr="00644660">
          <w:rPr>
            <w:rStyle w:val="Hyperlink"/>
            <w:lang w:val="pt-BR"/>
          </w:rPr>
          <w:t>https://doi.org/10.1590/S0104-11692004000400009</w:t>
        </w:r>
      </w:hyperlink>
      <w:r w:rsidR="00DF0AC2" w:rsidRPr="00644660">
        <w:rPr>
          <w:lang w:val="pt-BR"/>
        </w:rPr>
        <w:t xml:space="preserve"> </w:t>
      </w:r>
    </w:p>
    <w:p w14:paraId="7186BEC0" w14:textId="4FA7D9CA" w:rsidR="00DF0AC2" w:rsidRPr="00DF0AC2" w:rsidRDefault="009773EF" w:rsidP="009773EF">
      <w:pPr>
        <w:ind w:left="720" w:hanging="720"/>
        <w:jc w:val="both"/>
        <w:rPr>
          <w:lang w:val="pt-BR"/>
        </w:rPr>
      </w:pPr>
      <w:proofErr w:type="spellStart"/>
      <w:r w:rsidRPr="00DF0AC2">
        <w:rPr>
          <w:lang w:val="pt-BR"/>
        </w:rPr>
        <w:t>Seild</w:t>
      </w:r>
      <w:proofErr w:type="spellEnd"/>
      <w:r w:rsidR="00DF0AC2" w:rsidRPr="00DF0AC2">
        <w:rPr>
          <w:lang w:val="pt-BR"/>
        </w:rPr>
        <w:t>,</w:t>
      </w:r>
      <w:r w:rsidRPr="00DF0AC2">
        <w:rPr>
          <w:lang w:val="pt-BR"/>
        </w:rPr>
        <w:t xml:space="preserve"> E</w:t>
      </w:r>
      <w:r w:rsidR="00DF0AC2" w:rsidRPr="00DF0AC2">
        <w:rPr>
          <w:lang w:val="pt-BR"/>
        </w:rPr>
        <w:t xml:space="preserve">. </w:t>
      </w:r>
      <w:r w:rsidRPr="00DF0AC2">
        <w:rPr>
          <w:lang w:val="pt-BR"/>
        </w:rPr>
        <w:t>M</w:t>
      </w:r>
      <w:r w:rsidR="00DF0AC2" w:rsidRPr="00DF0AC2">
        <w:rPr>
          <w:lang w:val="pt-BR"/>
        </w:rPr>
        <w:t xml:space="preserve">. </w:t>
      </w:r>
      <w:r w:rsidRPr="00DF0AC2">
        <w:rPr>
          <w:lang w:val="pt-BR"/>
        </w:rPr>
        <w:t>F</w:t>
      </w:r>
      <w:r w:rsidR="00DF0AC2" w:rsidRPr="00DF0AC2">
        <w:rPr>
          <w:lang w:val="pt-BR"/>
        </w:rPr>
        <w:t>., &amp;</w:t>
      </w:r>
      <w:r w:rsidRPr="00DF0AC2">
        <w:rPr>
          <w:lang w:val="pt-BR"/>
        </w:rPr>
        <w:t xml:space="preserve"> </w:t>
      </w:r>
      <w:proofErr w:type="spellStart"/>
      <w:r w:rsidRPr="00DF0AC2">
        <w:rPr>
          <w:lang w:val="pt-BR"/>
        </w:rPr>
        <w:t>Zannon</w:t>
      </w:r>
      <w:proofErr w:type="spellEnd"/>
      <w:r w:rsidR="00DF0AC2" w:rsidRPr="00DF0AC2">
        <w:rPr>
          <w:lang w:val="pt-BR"/>
        </w:rPr>
        <w:t>,</w:t>
      </w:r>
      <w:r w:rsidRPr="00DF0AC2">
        <w:rPr>
          <w:lang w:val="pt-BR"/>
        </w:rPr>
        <w:t xml:space="preserve"> C</w:t>
      </w:r>
      <w:r w:rsidR="00DF0AC2" w:rsidRPr="00DF0AC2">
        <w:rPr>
          <w:lang w:val="pt-BR"/>
        </w:rPr>
        <w:t xml:space="preserve">. </w:t>
      </w:r>
      <w:r w:rsidRPr="00DF0AC2">
        <w:rPr>
          <w:lang w:val="pt-BR"/>
        </w:rPr>
        <w:t>M</w:t>
      </w:r>
      <w:r w:rsidR="00DF0AC2" w:rsidRPr="00DF0AC2">
        <w:rPr>
          <w:lang w:val="pt-BR"/>
        </w:rPr>
        <w:t xml:space="preserve">. </w:t>
      </w:r>
      <w:r w:rsidRPr="00DF0AC2">
        <w:rPr>
          <w:lang w:val="pt-BR"/>
        </w:rPr>
        <w:t>L</w:t>
      </w:r>
      <w:r w:rsidR="00DF0AC2" w:rsidRPr="00DF0AC2">
        <w:rPr>
          <w:lang w:val="pt-BR"/>
        </w:rPr>
        <w:t>.</w:t>
      </w:r>
      <w:r w:rsidR="00DF0AC2">
        <w:rPr>
          <w:lang w:val="pt-BR"/>
        </w:rPr>
        <w:t xml:space="preserve"> </w:t>
      </w:r>
      <w:r w:rsidRPr="00DF0AC2">
        <w:rPr>
          <w:lang w:val="pt-BR"/>
        </w:rPr>
        <w:t xml:space="preserve">C. </w:t>
      </w:r>
      <w:r w:rsidRPr="009773EF">
        <w:rPr>
          <w:lang w:val="pt-BR"/>
        </w:rPr>
        <w:t xml:space="preserve">Qualidade de vida e saúde: aspectos conceituais e metodológicos. </w:t>
      </w:r>
      <w:r w:rsidRPr="00DF0AC2">
        <w:rPr>
          <w:i/>
          <w:iCs/>
          <w:lang w:val="pt-BR"/>
        </w:rPr>
        <w:t>Cad</w:t>
      </w:r>
      <w:r w:rsidR="00DF0AC2" w:rsidRPr="00DF0AC2">
        <w:rPr>
          <w:i/>
          <w:iCs/>
          <w:lang w:val="pt-BR"/>
        </w:rPr>
        <w:t>ernos de</w:t>
      </w:r>
      <w:r w:rsidRPr="00DF0AC2">
        <w:rPr>
          <w:i/>
          <w:iCs/>
          <w:lang w:val="pt-BR"/>
        </w:rPr>
        <w:t xml:space="preserve"> Saúde Pública</w:t>
      </w:r>
      <w:r w:rsidR="00DF0AC2" w:rsidRPr="00DF0AC2">
        <w:rPr>
          <w:i/>
          <w:iCs/>
          <w:lang w:val="pt-BR"/>
        </w:rPr>
        <w:t xml:space="preserve">, </w:t>
      </w:r>
      <w:r w:rsidRPr="00DF0AC2">
        <w:rPr>
          <w:i/>
          <w:iCs/>
          <w:lang w:val="pt-BR"/>
        </w:rPr>
        <w:t>20</w:t>
      </w:r>
      <w:r w:rsidRPr="00DF0AC2">
        <w:rPr>
          <w:lang w:val="pt-BR"/>
        </w:rPr>
        <w:t>(2)</w:t>
      </w:r>
      <w:r w:rsidR="00DF0AC2">
        <w:rPr>
          <w:lang w:val="pt-BR"/>
        </w:rPr>
        <w:t xml:space="preserve">, </w:t>
      </w:r>
      <w:r w:rsidRPr="00DF0AC2">
        <w:rPr>
          <w:lang w:val="pt-BR"/>
        </w:rPr>
        <w:t xml:space="preserve">580-588. </w:t>
      </w:r>
      <w:hyperlink r:id="rId59" w:history="1">
        <w:r w:rsidR="00DF0AC2" w:rsidRPr="00DF0AC2">
          <w:rPr>
            <w:rStyle w:val="Hyperlink"/>
            <w:lang w:val="pt-BR"/>
          </w:rPr>
          <w:t>https://doi.org/10.1590/S0102-311X2004000200027</w:t>
        </w:r>
      </w:hyperlink>
      <w:r w:rsidR="00DF0AC2" w:rsidRPr="00DF0AC2">
        <w:rPr>
          <w:lang w:val="pt-BR"/>
        </w:rPr>
        <w:t xml:space="preserve"> </w:t>
      </w:r>
    </w:p>
    <w:p w14:paraId="5AB43635" w14:textId="78619BC1" w:rsidR="009773EF" w:rsidRPr="009773EF" w:rsidRDefault="009773EF" w:rsidP="009773EF">
      <w:pPr>
        <w:ind w:left="720" w:hanging="720"/>
        <w:jc w:val="both"/>
        <w:rPr>
          <w:lang w:val="en-US"/>
        </w:rPr>
      </w:pPr>
      <w:r w:rsidRPr="00644660">
        <w:rPr>
          <w:lang w:val="pt-BR"/>
        </w:rPr>
        <w:t>Schmidt</w:t>
      </w:r>
      <w:r w:rsidR="00DF0AC2" w:rsidRPr="00644660">
        <w:rPr>
          <w:lang w:val="pt-BR"/>
        </w:rPr>
        <w:t xml:space="preserve">, </w:t>
      </w:r>
      <w:r w:rsidRPr="00644660">
        <w:rPr>
          <w:lang w:val="pt-BR"/>
        </w:rPr>
        <w:t>S</w:t>
      </w:r>
      <w:r w:rsidR="00DF0AC2" w:rsidRPr="00644660">
        <w:rPr>
          <w:lang w:val="pt-BR"/>
        </w:rPr>
        <w:t xml:space="preserve">., </w:t>
      </w:r>
      <w:proofErr w:type="spellStart"/>
      <w:r w:rsidR="00DF0AC2" w:rsidRPr="00644660">
        <w:rPr>
          <w:lang w:val="pt-BR"/>
        </w:rPr>
        <w:t>Mühlan</w:t>
      </w:r>
      <w:proofErr w:type="spellEnd"/>
      <w:r w:rsidR="00DF0AC2" w:rsidRPr="00644660">
        <w:rPr>
          <w:lang w:val="pt-BR"/>
        </w:rPr>
        <w:t xml:space="preserve">, H., &amp; Power, M. (2006). </w:t>
      </w:r>
      <w:r w:rsidRPr="009773EF">
        <w:rPr>
          <w:lang w:val="en-US"/>
        </w:rPr>
        <w:t>The EUROHIS-QOL 8-item index: psychometric results of a cross-cultural field study.</w:t>
      </w:r>
      <w:r w:rsidR="00DF0AC2">
        <w:rPr>
          <w:lang w:val="en-US"/>
        </w:rPr>
        <w:t xml:space="preserve"> </w:t>
      </w:r>
      <w:r w:rsidRPr="00DF0AC2">
        <w:rPr>
          <w:i/>
          <w:iCs/>
          <w:lang w:val="en-US"/>
        </w:rPr>
        <w:t>Eur</w:t>
      </w:r>
      <w:r w:rsidR="00DF0AC2" w:rsidRPr="00DF0AC2">
        <w:rPr>
          <w:i/>
          <w:iCs/>
          <w:lang w:val="en-US"/>
        </w:rPr>
        <w:t>opean</w:t>
      </w:r>
      <w:r w:rsidRPr="00DF0AC2">
        <w:rPr>
          <w:i/>
          <w:iCs/>
          <w:lang w:val="en-US"/>
        </w:rPr>
        <w:t xml:space="preserve"> J</w:t>
      </w:r>
      <w:r w:rsidR="00DF0AC2" w:rsidRPr="00DF0AC2">
        <w:rPr>
          <w:i/>
          <w:iCs/>
          <w:lang w:val="en-US"/>
        </w:rPr>
        <w:t>ournal of</w:t>
      </w:r>
      <w:r w:rsidRPr="00DF0AC2">
        <w:rPr>
          <w:i/>
          <w:iCs/>
          <w:lang w:val="en-US"/>
        </w:rPr>
        <w:t xml:space="preserve"> Public Health</w:t>
      </w:r>
      <w:r w:rsidR="00DF0AC2" w:rsidRPr="00DF0AC2">
        <w:rPr>
          <w:i/>
          <w:iCs/>
          <w:lang w:val="en-US"/>
        </w:rPr>
        <w:t xml:space="preserve">, </w:t>
      </w:r>
      <w:r w:rsidRPr="00DF0AC2">
        <w:rPr>
          <w:i/>
          <w:iCs/>
          <w:lang w:val="en-US"/>
        </w:rPr>
        <w:t>16</w:t>
      </w:r>
      <w:r w:rsidRPr="009773EF">
        <w:rPr>
          <w:lang w:val="en-US"/>
        </w:rPr>
        <w:t>(4)</w:t>
      </w:r>
      <w:r w:rsidR="00DF0AC2">
        <w:rPr>
          <w:lang w:val="en-US"/>
        </w:rPr>
        <w:t xml:space="preserve">, </w:t>
      </w:r>
      <w:r w:rsidRPr="009773EF">
        <w:rPr>
          <w:lang w:val="en-US"/>
        </w:rPr>
        <w:t xml:space="preserve">420-428. </w:t>
      </w:r>
      <w:hyperlink r:id="rId60" w:history="1">
        <w:r w:rsidR="00DF0AC2" w:rsidRPr="001D1AFD">
          <w:rPr>
            <w:rStyle w:val="Hyperlink"/>
            <w:lang w:val="en-US"/>
          </w:rPr>
          <w:t>https://doi.org/10.1093/eurpub/cki155</w:t>
        </w:r>
      </w:hyperlink>
      <w:r w:rsidR="00DF0AC2">
        <w:rPr>
          <w:lang w:val="en-US"/>
        </w:rPr>
        <w:t xml:space="preserve"> </w:t>
      </w:r>
    </w:p>
    <w:p w14:paraId="4E906AE4" w14:textId="1CCB77FA" w:rsidR="009773EF" w:rsidRPr="009773EF" w:rsidRDefault="009773EF" w:rsidP="009773EF">
      <w:pPr>
        <w:ind w:left="720" w:hanging="720"/>
        <w:jc w:val="both"/>
        <w:rPr>
          <w:lang w:val="pt-BR"/>
        </w:rPr>
      </w:pPr>
      <w:r w:rsidRPr="00644660">
        <w:rPr>
          <w:lang w:val="en-US"/>
        </w:rPr>
        <w:t>Silva</w:t>
      </w:r>
      <w:r w:rsidR="00DF0AC2" w:rsidRPr="00644660">
        <w:rPr>
          <w:lang w:val="en-US"/>
        </w:rPr>
        <w:t>,</w:t>
      </w:r>
      <w:r w:rsidRPr="00644660">
        <w:rPr>
          <w:lang w:val="en-US"/>
        </w:rPr>
        <w:t xml:space="preserve"> E</w:t>
      </w:r>
      <w:r w:rsidR="00DF0AC2" w:rsidRPr="00644660">
        <w:rPr>
          <w:lang w:val="en-US"/>
        </w:rPr>
        <w:t xml:space="preserve">. </w:t>
      </w:r>
      <w:r w:rsidRPr="00644660">
        <w:rPr>
          <w:lang w:val="en-US"/>
        </w:rPr>
        <w:t>C</w:t>
      </w:r>
      <w:r w:rsidR="00DF0AC2" w:rsidRPr="00644660">
        <w:rPr>
          <w:lang w:val="en-US"/>
        </w:rPr>
        <w:t>., &amp;</w:t>
      </w:r>
      <w:r w:rsidRPr="00644660">
        <w:rPr>
          <w:lang w:val="en-US"/>
        </w:rPr>
        <w:t xml:space="preserve"> Tucci</w:t>
      </w:r>
      <w:r w:rsidR="00DF0AC2" w:rsidRPr="00644660">
        <w:rPr>
          <w:lang w:val="en-US"/>
        </w:rPr>
        <w:t>,</w:t>
      </w:r>
      <w:r w:rsidRPr="00644660">
        <w:rPr>
          <w:lang w:val="en-US"/>
        </w:rPr>
        <w:t xml:space="preserve"> A</w:t>
      </w:r>
      <w:r w:rsidR="00DF0AC2" w:rsidRPr="00644660">
        <w:rPr>
          <w:lang w:val="en-US"/>
        </w:rPr>
        <w:t xml:space="preserve">. </w:t>
      </w:r>
      <w:r w:rsidRPr="00644660">
        <w:rPr>
          <w:lang w:val="en-US"/>
        </w:rPr>
        <w:t>M.</w:t>
      </w:r>
      <w:r w:rsidR="00DF0AC2" w:rsidRPr="00644660">
        <w:rPr>
          <w:lang w:val="en-US"/>
        </w:rPr>
        <w:t xml:space="preserve"> (2018).</w:t>
      </w:r>
      <w:r w:rsidRPr="00644660">
        <w:rPr>
          <w:lang w:val="en-US"/>
        </w:rPr>
        <w:t xml:space="preserve"> </w:t>
      </w:r>
      <w:r w:rsidRPr="009773EF">
        <w:rPr>
          <w:lang w:val="pt-BR"/>
        </w:rPr>
        <w:t xml:space="preserve">Correlação entre ansiedade e consumo de álcool em estudantes universitários. </w:t>
      </w:r>
      <w:r w:rsidRPr="005250EB">
        <w:rPr>
          <w:i/>
          <w:iCs/>
          <w:lang w:val="pt-BR"/>
        </w:rPr>
        <w:t>Psicol</w:t>
      </w:r>
      <w:r w:rsidR="005250EB" w:rsidRPr="005250EB">
        <w:rPr>
          <w:i/>
          <w:iCs/>
          <w:lang w:val="pt-BR"/>
        </w:rPr>
        <w:t>ogia: T</w:t>
      </w:r>
      <w:r w:rsidRPr="005250EB">
        <w:rPr>
          <w:i/>
          <w:iCs/>
          <w:lang w:val="pt-BR"/>
        </w:rPr>
        <w:t>eor</w:t>
      </w:r>
      <w:r w:rsidR="005250EB" w:rsidRPr="005250EB">
        <w:rPr>
          <w:i/>
          <w:iCs/>
          <w:lang w:val="pt-BR"/>
        </w:rPr>
        <w:t xml:space="preserve">ia e Prática, </w:t>
      </w:r>
      <w:r w:rsidRPr="005250EB">
        <w:rPr>
          <w:i/>
          <w:iCs/>
          <w:lang w:val="pt-BR"/>
        </w:rPr>
        <w:t>20</w:t>
      </w:r>
      <w:r w:rsidRPr="009773EF">
        <w:rPr>
          <w:lang w:val="pt-BR"/>
        </w:rPr>
        <w:t>(2)</w:t>
      </w:r>
      <w:r w:rsidR="005250EB">
        <w:rPr>
          <w:lang w:val="pt-BR"/>
        </w:rPr>
        <w:t xml:space="preserve">, </w:t>
      </w:r>
      <w:r w:rsidRPr="009773EF">
        <w:rPr>
          <w:lang w:val="pt-BR"/>
        </w:rPr>
        <w:t xml:space="preserve">93-106. </w:t>
      </w:r>
      <w:hyperlink r:id="rId61" w:history="1">
        <w:r w:rsidR="005250EB" w:rsidRPr="001D1AFD">
          <w:rPr>
            <w:rStyle w:val="Hyperlink"/>
            <w:lang w:val="pt-BR"/>
          </w:rPr>
          <w:t>https://dx.doi.org/10.5935/1980-6906/psicologia.v20n2p107-119</w:t>
        </w:r>
      </w:hyperlink>
      <w:r w:rsidR="005250EB">
        <w:rPr>
          <w:lang w:val="pt-BR"/>
        </w:rPr>
        <w:t xml:space="preserve"> </w:t>
      </w:r>
    </w:p>
    <w:p w14:paraId="15618C4A" w14:textId="3F62D56D" w:rsidR="009773EF" w:rsidRPr="0023189A" w:rsidRDefault="009773EF" w:rsidP="009773EF">
      <w:pPr>
        <w:ind w:left="720" w:hanging="720"/>
        <w:jc w:val="both"/>
        <w:rPr>
          <w:lang w:val="pt-BR"/>
        </w:rPr>
      </w:pPr>
      <w:r w:rsidRPr="009773EF">
        <w:rPr>
          <w:lang w:val="pt-BR"/>
        </w:rPr>
        <w:t>Silveira</w:t>
      </w:r>
      <w:r w:rsidR="005250EB">
        <w:rPr>
          <w:lang w:val="pt-BR"/>
        </w:rPr>
        <w:t>,</w:t>
      </w:r>
      <w:r w:rsidRPr="009773EF">
        <w:rPr>
          <w:lang w:val="pt-BR"/>
        </w:rPr>
        <w:t xml:space="preserve"> C</w:t>
      </w:r>
      <w:r w:rsidR="005250EB">
        <w:rPr>
          <w:lang w:val="pt-BR"/>
        </w:rPr>
        <w:t>.</w:t>
      </w:r>
      <w:r w:rsidR="00ED6004">
        <w:rPr>
          <w:lang w:val="pt-BR"/>
        </w:rPr>
        <w:t xml:space="preserve">, Norton, A., Brandão, I., &amp; Roma-Torres, A. (2011). </w:t>
      </w:r>
      <w:r w:rsidRPr="009773EF">
        <w:rPr>
          <w:lang w:val="pt-BR"/>
        </w:rPr>
        <w:t xml:space="preserve">Saúde mental em estudantes do ensino superior: experiência da consulta de psiquiatria do Centro Hospitalar São João. </w:t>
      </w:r>
      <w:r w:rsidRPr="00ED6004">
        <w:rPr>
          <w:i/>
          <w:iCs/>
          <w:lang w:val="pt-BR"/>
        </w:rPr>
        <w:t>Acta M</w:t>
      </w:r>
      <w:r w:rsidR="00ED6004" w:rsidRPr="00ED6004">
        <w:rPr>
          <w:i/>
          <w:iCs/>
          <w:lang w:val="pt-BR"/>
        </w:rPr>
        <w:t xml:space="preserve">édica </w:t>
      </w:r>
      <w:r w:rsidRPr="00ED6004">
        <w:rPr>
          <w:i/>
          <w:iCs/>
          <w:lang w:val="pt-BR"/>
        </w:rPr>
        <w:t>Port</w:t>
      </w:r>
      <w:r w:rsidR="00ED6004" w:rsidRPr="00ED6004">
        <w:rPr>
          <w:i/>
          <w:iCs/>
          <w:lang w:val="pt-BR"/>
        </w:rPr>
        <w:t>uguesa,</w:t>
      </w:r>
      <w:r w:rsidRPr="00ED6004">
        <w:rPr>
          <w:i/>
          <w:iCs/>
          <w:lang w:val="pt-BR"/>
        </w:rPr>
        <w:t xml:space="preserve"> 24</w:t>
      </w:r>
      <w:r w:rsidRPr="0023189A">
        <w:rPr>
          <w:lang w:val="pt-BR"/>
        </w:rPr>
        <w:t>(S2)</w:t>
      </w:r>
      <w:r w:rsidR="00ED6004">
        <w:rPr>
          <w:lang w:val="pt-BR"/>
        </w:rPr>
        <w:t xml:space="preserve">, </w:t>
      </w:r>
      <w:r w:rsidRPr="0023189A">
        <w:rPr>
          <w:lang w:val="pt-BR"/>
        </w:rPr>
        <w:t>247-256</w:t>
      </w:r>
      <w:r w:rsidR="00ED6004">
        <w:rPr>
          <w:lang w:val="pt-BR"/>
        </w:rPr>
        <w:t xml:space="preserve">. </w:t>
      </w:r>
      <w:hyperlink r:id="rId62" w:history="1">
        <w:r w:rsidR="00ED6004" w:rsidRPr="001D1AFD">
          <w:rPr>
            <w:rStyle w:val="Hyperlink"/>
            <w:lang w:val="pt-BR"/>
          </w:rPr>
          <w:t>https://www.actamedicaportuguesa.com/revista/index.php/amp/article/view/1504</w:t>
        </w:r>
      </w:hyperlink>
      <w:r w:rsidR="00ED6004">
        <w:rPr>
          <w:lang w:val="pt-BR"/>
        </w:rPr>
        <w:t xml:space="preserve"> </w:t>
      </w:r>
    </w:p>
    <w:p w14:paraId="5A4FB618" w14:textId="48717D4B" w:rsidR="009773EF" w:rsidRPr="006A48A0" w:rsidRDefault="009773EF" w:rsidP="009773EF">
      <w:pPr>
        <w:ind w:left="720" w:hanging="720"/>
        <w:jc w:val="both"/>
        <w:rPr>
          <w:lang w:val="pt-BR"/>
        </w:rPr>
      </w:pPr>
      <w:proofErr w:type="spellStart"/>
      <w:r w:rsidRPr="00ED6004">
        <w:rPr>
          <w:lang w:val="pt-BR"/>
        </w:rPr>
        <w:t>Tempski</w:t>
      </w:r>
      <w:proofErr w:type="spellEnd"/>
      <w:r w:rsidR="00ED6004" w:rsidRPr="00ED6004">
        <w:rPr>
          <w:lang w:val="pt-BR"/>
        </w:rPr>
        <w:t xml:space="preserve">, P., Santos, I. S., Mayer, F. B., </w:t>
      </w:r>
      <w:proofErr w:type="spellStart"/>
      <w:r w:rsidR="00ED6004" w:rsidRPr="00ED6004">
        <w:rPr>
          <w:lang w:val="pt-BR"/>
        </w:rPr>
        <w:t>Enns</w:t>
      </w:r>
      <w:proofErr w:type="spellEnd"/>
      <w:r w:rsidR="00ED6004" w:rsidRPr="00ED6004">
        <w:rPr>
          <w:lang w:val="pt-BR"/>
        </w:rPr>
        <w:t xml:space="preserve">, S. C., </w:t>
      </w:r>
      <w:proofErr w:type="spellStart"/>
      <w:r w:rsidR="00ED6004" w:rsidRPr="00ED6004">
        <w:rPr>
          <w:lang w:val="pt-BR"/>
        </w:rPr>
        <w:t>Per</w:t>
      </w:r>
      <w:r w:rsidR="00ED6004">
        <w:rPr>
          <w:lang w:val="pt-BR"/>
        </w:rPr>
        <w:t>otta</w:t>
      </w:r>
      <w:proofErr w:type="spellEnd"/>
      <w:r w:rsidR="00ED6004">
        <w:rPr>
          <w:lang w:val="pt-BR"/>
        </w:rPr>
        <w:t xml:space="preserve">, B., Paro, H. B. M. S., </w:t>
      </w:r>
      <w:proofErr w:type="spellStart"/>
      <w:r w:rsidR="00ED6004">
        <w:rPr>
          <w:lang w:val="pt-BR"/>
        </w:rPr>
        <w:t>Gannam</w:t>
      </w:r>
      <w:proofErr w:type="spellEnd"/>
      <w:r w:rsidR="00ED6004">
        <w:rPr>
          <w:lang w:val="pt-BR"/>
        </w:rPr>
        <w:t xml:space="preserve">, S., Peleias, M., Garcia, V. L., </w:t>
      </w:r>
      <w:proofErr w:type="spellStart"/>
      <w:r w:rsidR="00ED6004">
        <w:rPr>
          <w:lang w:val="pt-BR"/>
        </w:rPr>
        <w:t>Baldassim</w:t>
      </w:r>
      <w:proofErr w:type="spellEnd"/>
      <w:r w:rsidR="00ED6004">
        <w:rPr>
          <w:lang w:val="pt-BR"/>
        </w:rPr>
        <w:t xml:space="preserve">, S., Guimarães, K. B., Silva, N. R., Cruz, E. M. T. N., </w:t>
      </w:r>
      <w:proofErr w:type="spellStart"/>
      <w:r w:rsidR="002B3D99">
        <w:rPr>
          <w:lang w:val="pt-BR"/>
        </w:rPr>
        <w:t>Tofoli</w:t>
      </w:r>
      <w:proofErr w:type="spellEnd"/>
      <w:r w:rsidR="002B3D99">
        <w:rPr>
          <w:lang w:val="pt-BR"/>
        </w:rPr>
        <w:t xml:space="preserve">, L. F., Silveira, P. S. P., &amp; Martins, M. A. (2015). </w:t>
      </w:r>
      <w:r w:rsidRPr="009773EF">
        <w:rPr>
          <w:lang w:val="en-US"/>
        </w:rPr>
        <w:t xml:space="preserve">Relationship among medical student resilience, educational environment and quality of life. </w:t>
      </w:r>
      <w:proofErr w:type="spellStart"/>
      <w:r w:rsidRPr="00644660">
        <w:rPr>
          <w:lang w:val="pt-BR"/>
        </w:rPr>
        <w:t>PLoS</w:t>
      </w:r>
      <w:proofErr w:type="spellEnd"/>
      <w:r w:rsidRPr="00644660">
        <w:rPr>
          <w:lang w:val="pt-BR"/>
        </w:rPr>
        <w:t xml:space="preserve"> ONE</w:t>
      </w:r>
      <w:r w:rsidR="002B3D99" w:rsidRPr="00644660">
        <w:rPr>
          <w:lang w:val="pt-BR"/>
        </w:rPr>
        <w:t xml:space="preserve">, </w:t>
      </w:r>
      <w:r w:rsidRPr="00644660">
        <w:rPr>
          <w:lang w:val="pt-BR"/>
        </w:rPr>
        <w:t>10(6)</w:t>
      </w:r>
      <w:r w:rsidR="002B3D99" w:rsidRPr="00644660">
        <w:rPr>
          <w:lang w:val="pt-BR"/>
        </w:rPr>
        <w:t xml:space="preserve">, </w:t>
      </w:r>
      <w:r w:rsidRPr="00644660">
        <w:rPr>
          <w:lang w:val="pt-BR"/>
        </w:rPr>
        <w:t xml:space="preserve">e0131535. </w:t>
      </w:r>
      <w:hyperlink r:id="rId63" w:history="1">
        <w:r w:rsidR="002B3D99" w:rsidRPr="001D1AFD">
          <w:rPr>
            <w:rStyle w:val="Hyperlink"/>
            <w:lang w:val="pt-BR"/>
          </w:rPr>
          <w:t>https://doi.org/10.1371/journal.pone.0131535</w:t>
        </w:r>
      </w:hyperlink>
      <w:r w:rsidR="002B3D99">
        <w:rPr>
          <w:lang w:val="pt-BR"/>
        </w:rPr>
        <w:t xml:space="preserve"> </w:t>
      </w:r>
    </w:p>
    <w:p w14:paraId="3F098DF0" w14:textId="6BC01A6E" w:rsidR="009773EF" w:rsidRPr="009773EF" w:rsidRDefault="009773EF" w:rsidP="009773EF">
      <w:pPr>
        <w:ind w:left="720" w:hanging="720"/>
        <w:jc w:val="both"/>
        <w:rPr>
          <w:lang w:val="en-US"/>
        </w:rPr>
      </w:pPr>
      <w:r w:rsidRPr="00652D10">
        <w:rPr>
          <w:lang w:val="pt-BR"/>
        </w:rPr>
        <w:t>Torquato</w:t>
      </w:r>
      <w:r w:rsidR="002B3D99" w:rsidRPr="00652D10">
        <w:rPr>
          <w:lang w:val="pt-BR"/>
        </w:rPr>
        <w:t>,</w:t>
      </w:r>
      <w:r w:rsidRPr="00652D10">
        <w:rPr>
          <w:lang w:val="pt-BR"/>
        </w:rPr>
        <w:t xml:space="preserve"> J</w:t>
      </w:r>
      <w:r w:rsidR="002B3D99" w:rsidRPr="00652D10">
        <w:rPr>
          <w:lang w:val="pt-BR"/>
        </w:rPr>
        <w:t xml:space="preserve">. </w:t>
      </w:r>
      <w:r w:rsidRPr="00652D10">
        <w:rPr>
          <w:lang w:val="pt-BR"/>
        </w:rPr>
        <w:t>L</w:t>
      </w:r>
      <w:r w:rsidR="002B3D99" w:rsidRPr="00652D10">
        <w:rPr>
          <w:lang w:val="pt-BR"/>
        </w:rPr>
        <w:t>.</w:t>
      </w:r>
      <w:r w:rsidR="00652D10" w:rsidRPr="00652D10">
        <w:rPr>
          <w:lang w:val="pt-BR"/>
        </w:rPr>
        <w:t xml:space="preserve">, </w:t>
      </w:r>
      <w:proofErr w:type="spellStart"/>
      <w:r w:rsidR="00652D10" w:rsidRPr="00652D10">
        <w:rPr>
          <w:lang w:val="pt-BR"/>
        </w:rPr>
        <w:t>Gourlart</w:t>
      </w:r>
      <w:proofErr w:type="spellEnd"/>
      <w:r w:rsidR="00652D10" w:rsidRPr="00652D10">
        <w:rPr>
          <w:lang w:val="pt-BR"/>
        </w:rPr>
        <w:t xml:space="preserve">, A. G., Vicentin, P., Correa, U. (2010). </w:t>
      </w:r>
      <w:r w:rsidRPr="009773EF">
        <w:rPr>
          <w:lang w:val="pt-BR"/>
        </w:rPr>
        <w:t xml:space="preserve">Avaliação do estresse em estudantes universitários. </w:t>
      </w:r>
      <w:proofErr w:type="spellStart"/>
      <w:r w:rsidRPr="00652D10">
        <w:rPr>
          <w:i/>
          <w:iCs/>
          <w:lang w:val="en-US"/>
        </w:rPr>
        <w:t>InterScience</w:t>
      </w:r>
      <w:proofErr w:type="spellEnd"/>
      <w:r w:rsidRPr="00652D10">
        <w:rPr>
          <w:i/>
          <w:iCs/>
          <w:lang w:val="en-US"/>
        </w:rPr>
        <w:t xml:space="preserve"> Place</w:t>
      </w:r>
      <w:r w:rsidR="00652D10" w:rsidRPr="00652D10">
        <w:rPr>
          <w:i/>
          <w:iCs/>
          <w:lang w:val="en-US"/>
        </w:rPr>
        <w:t xml:space="preserve">, </w:t>
      </w:r>
      <w:r w:rsidRPr="00652D10">
        <w:rPr>
          <w:i/>
          <w:iCs/>
          <w:lang w:val="en-US"/>
        </w:rPr>
        <w:t>1</w:t>
      </w:r>
      <w:r w:rsidRPr="009773EF">
        <w:rPr>
          <w:lang w:val="en-US"/>
        </w:rPr>
        <w:t>(14)</w:t>
      </w:r>
      <w:r w:rsidR="00652D10">
        <w:rPr>
          <w:lang w:val="en-US"/>
        </w:rPr>
        <w:t xml:space="preserve">, </w:t>
      </w:r>
      <w:r w:rsidRPr="009773EF">
        <w:rPr>
          <w:lang w:val="en-US"/>
        </w:rPr>
        <w:t xml:space="preserve">140-154. </w:t>
      </w:r>
    </w:p>
    <w:p w14:paraId="6C96F425" w14:textId="0DAEF039" w:rsidR="009773EF" w:rsidRPr="009773EF" w:rsidRDefault="009773EF" w:rsidP="009773EF">
      <w:pPr>
        <w:ind w:left="720" w:hanging="720"/>
        <w:jc w:val="both"/>
        <w:rPr>
          <w:lang w:val="en-US"/>
        </w:rPr>
      </w:pPr>
      <w:r w:rsidRPr="009773EF">
        <w:rPr>
          <w:lang w:val="en-US"/>
        </w:rPr>
        <w:t xml:space="preserve">United Nations. </w:t>
      </w:r>
      <w:r w:rsidRPr="00652D10">
        <w:rPr>
          <w:i/>
          <w:iCs/>
          <w:lang w:val="en-US"/>
        </w:rPr>
        <w:t>Resolutions and decisions adopted by the General Assembly during its thirty-seventh session</w:t>
      </w:r>
      <w:r w:rsidRPr="009773EF">
        <w:rPr>
          <w:lang w:val="en-US"/>
        </w:rPr>
        <w:t>: 21 September-21 December 1982 and 10-13 May 1983. Author</w:t>
      </w:r>
      <w:r w:rsidR="00652D10">
        <w:rPr>
          <w:lang w:val="en-US"/>
        </w:rPr>
        <w:t xml:space="preserve">. </w:t>
      </w:r>
      <w:hyperlink r:id="rId64" w:history="1">
        <w:r w:rsidR="00652D10" w:rsidRPr="001D1AFD">
          <w:rPr>
            <w:rStyle w:val="Hyperlink"/>
            <w:lang w:val="en-US"/>
          </w:rPr>
          <w:t>https://www.un.org/ga/search/view_doc.asp?symbol=a/37/51(SUPP)</w:t>
        </w:r>
      </w:hyperlink>
      <w:r w:rsidR="00652D10">
        <w:rPr>
          <w:lang w:val="en-US"/>
        </w:rPr>
        <w:t xml:space="preserve"> </w:t>
      </w:r>
    </w:p>
    <w:p w14:paraId="762125FA" w14:textId="19F7290A" w:rsidR="009773EF" w:rsidRPr="009773EF" w:rsidRDefault="009773EF" w:rsidP="009773EF">
      <w:pPr>
        <w:ind w:left="720" w:hanging="720"/>
        <w:jc w:val="both"/>
        <w:rPr>
          <w:lang w:val="pt-BR"/>
        </w:rPr>
      </w:pPr>
      <w:proofErr w:type="spellStart"/>
      <w:r w:rsidRPr="00652D10">
        <w:rPr>
          <w:lang w:val="pt-BR"/>
        </w:rPr>
        <w:t>Vagetti</w:t>
      </w:r>
      <w:proofErr w:type="spellEnd"/>
      <w:r w:rsidR="00652D10" w:rsidRPr="00652D10">
        <w:rPr>
          <w:lang w:val="pt-BR"/>
        </w:rPr>
        <w:t>,</w:t>
      </w:r>
      <w:r w:rsidRPr="00652D10">
        <w:rPr>
          <w:lang w:val="pt-BR"/>
        </w:rPr>
        <w:t xml:space="preserve"> G</w:t>
      </w:r>
      <w:r w:rsidR="00652D10" w:rsidRPr="00652D10">
        <w:rPr>
          <w:lang w:val="pt-BR"/>
        </w:rPr>
        <w:t xml:space="preserve">. </w:t>
      </w:r>
      <w:r w:rsidRPr="00652D10">
        <w:rPr>
          <w:lang w:val="pt-BR"/>
        </w:rPr>
        <w:t>C</w:t>
      </w:r>
      <w:r w:rsidR="00652D10" w:rsidRPr="00652D10">
        <w:rPr>
          <w:lang w:val="pt-BR"/>
        </w:rPr>
        <w:t>., Barbosa Filho, V.</w:t>
      </w:r>
      <w:r w:rsidR="00652D10">
        <w:rPr>
          <w:lang w:val="pt-BR"/>
        </w:rPr>
        <w:t xml:space="preserve"> C., Moreira, N. B., Oliveira, V., </w:t>
      </w:r>
      <w:proofErr w:type="spellStart"/>
      <w:r w:rsidR="00652D10">
        <w:rPr>
          <w:lang w:val="pt-BR"/>
        </w:rPr>
        <w:t>Mazzardo</w:t>
      </w:r>
      <w:proofErr w:type="spellEnd"/>
      <w:r w:rsidR="00652D10">
        <w:rPr>
          <w:lang w:val="pt-BR"/>
        </w:rPr>
        <w:t xml:space="preserve">, O., &amp; Campos, W. (2013). </w:t>
      </w:r>
      <w:r w:rsidRPr="009773EF">
        <w:rPr>
          <w:lang w:val="pt-BR"/>
        </w:rPr>
        <w:t xml:space="preserve">Condições de saúde e variáveis sociodemográficas associadas à qualidade de vida em idosas de um programa de atividade física de Curitiba, Paraná, Sul do Brasil. </w:t>
      </w:r>
      <w:r w:rsidRPr="00652D10">
        <w:rPr>
          <w:i/>
          <w:iCs/>
          <w:lang w:val="pt-BR"/>
        </w:rPr>
        <w:t>Cad</w:t>
      </w:r>
      <w:r w:rsidR="00652D10" w:rsidRPr="00652D10">
        <w:rPr>
          <w:i/>
          <w:iCs/>
          <w:lang w:val="pt-BR"/>
        </w:rPr>
        <w:t>ernos de</w:t>
      </w:r>
      <w:r w:rsidRPr="00652D10">
        <w:rPr>
          <w:i/>
          <w:iCs/>
          <w:lang w:val="pt-BR"/>
        </w:rPr>
        <w:t xml:space="preserve"> Saúde Pública</w:t>
      </w:r>
      <w:r w:rsidR="00652D10" w:rsidRPr="00652D10">
        <w:rPr>
          <w:i/>
          <w:iCs/>
          <w:lang w:val="pt-BR"/>
        </w:rPr>
        <w:t xml:space="preserve">, </w:t>
      </w:r>
      <w:r w:rsidRPr="00652D10">
        <w:rPr>
          <w:i/>
          <w:iCs/>
          <w:lang w:val="pt-BR"/>
        </w:rPr>
        <w:t>29</w:t>
      </w:r>
      <w:r w:rsidRPr="009773EF">
        <w:rPr>
          <w:lang w:val="pt-BR"/>
        </w:rPr>
        <w:t>(5)</w:t>
      </w:r>
      <w:r w:rsidR="00652D10">
        <w:rPr>
          <w:lang w:val="pt-BR"/>
        </w:rPr>
        <w:t xml:space="preserve">, </w:t>
      </w:r>
      <w:r w:rsidRPr="009773EF">
        <w:rPr>
          <w:lang w:val="pt-BR"/>
        </w:rPr>
        <w:t xml:space="preserve">955-969. </w:t>
      </w:r>
      <w:hyperlink r:id="rId65" w:history="1">
        <w:r w:rsidR="00652D10" w:rsidRPr="001D1AFD">
          <w:rPr>
            <w:rStyle w:val="Hyperlink"/>
            <w:lang w:val="pt-BR"/>
          </w:rPr>
          <w:t>https://doi.org/10.1590/S0102-311X2013000500013</w:t>
        </w:r>
      </w:hyperlink>
      <w:r w:rsidR="00652D10">
        <w:rPr>
          <w:lang w:val="pt-BR"/>
        </w:rPr>
        <w:t xml:space="preserve"> </w:t>
      </w:r>
    </w:p>
    <w:p w14:paraId="70BACF72" w14:textId="197F45C6" w:rsidR="009773EF" w:rsidRPr="009773EF" w:rsidRDefault="009773EF" w:rsidP="009773EF">
      <w:pPr>
        <w:ind w:left="720" w:hanging="720"/>
        <w:jc w:val="both"/>
        <w:rPr>
          <w:lang w:val="pt-BR"/>
        </w:rPr>
      </w:pPr>
      <w:r w:rsidRPr="009773EF">
        <w:rPr>
          <w:lang w:val="pt-BR"/>
        </w:rPr>
        <w:lastRenderedPageBreak/>
        <w:t>Viana</w:t>
      </w:r>
      <w:r w:rsidR="00652D10">
        <w:rPr>
          <w:lang w:val="pt-BR"/>
        </w:rPr>
        <w:t>,</w:t>
      </w:r>
      <w:r w:rsidRPr="009773EF">
        <w:rPr>
          <w:lang w:val="pt-BR"/>
        </w:rPr>
        <w:t xml:space="preserve"> G</w:t>
      </w:r>
      <w:r w:rsidR="00652D10">
        <w:rPr>
          <w:lang w:val="pt-BR"/>
        </w:rPr>
        <w:t xml:space="preserve">. </w:t>
      </w:r>
      <w:r w:rsidRPr="009773EF">
        <w:rPr>
          <w:lang w:val="pt-BR"/>
        </w:rPr>
        <w:t>M</w:t>
      </w:r>
      <w:r w:rsidR="00652D10">
        <w:rPr>
          <w:lang w:val="pt-BR"/>
        </w:rPr>
        <w:t>.,</w:t>
      </w:r>
      <w:r w:rsidR="0088276F">
        <w:rPr>
          <w:lang w:val="pt-BR"/>
        </w:rPr>
        <w:t xml:space="preserve"> Silva, T. G., Oliveira, C. T., Castro, M. F. R., Carreiro, D., L., Coutinho, L. T. M., Martins, A. M. E. B. L., &amp; Coutinho, W. L. M. (2014)</w:t>
      </w:r>
      <w:r w:rsidRPr="009773EF">
        <w:rPr>
          <w:lang w:val="pt-BR"/>
        </w:rPr>
        <w:t xml:space="preserve">. Relação entre Síndrome de Burnout, ansiedade e qualidade de vida entre estudantes de ciências da saúde. </w:t>
      </w:r>
      <w:r w:rsidR="0088276F" w:rsidRPr="0088276F">
        <w:rPr>
          <w:i/>
          <w:iCs/>
          <w:lang w:val="pt-BR"/>
        </w:rPr>
        <w:t>Revista Vale,</w:t>
      </w:r>
      <w:r w:rsidRPr="0088276F">
        <w:rPr>
          <w:i/>
          <w:iCs/>
          <w:lang w:val="pt-BR"/>
        </w:rPr>
        <w:t xml:space="preserve"> 12</w:t>
      </w:r>
      <w:r w:rsidRPr="009773EF">
        <w:rPr>
          <w:lang w:val="pt-BR"/>
        </w:rPr>
        <w:t>(1)</w:t>
      </w:r>
      <w:r w:rsidR="0088276F">
        <w:rPr>
          <w:lang w:val="pt-BR"/>
        </w:rPr>
        <w:t xml:space="preserve">, </w:t>
      </w:r>
      <w:r w:rsidRPr="009773EF">
        <w:rPr>
          <w:lang w:val="pt-BR"/>
        </w:rPr>
        <w:t xml:space="preserve">876-885. </w:t>
      </w:r>
      <w:hyperlink r:id="rId66" w:history="1">
        <w:r w:rsidR="0088276F" w:rsidRPr="001D1AFD">
          <w:rPr>
            <w:rStyle w:val="Hyperlink"/>
            <w:lang w:val="pt-BR"/>
          </w:rPr>
          <w:t>http://dx.doi.org/10.5892/ruvrd.v12i1.1471</w:t>
        </w:r>
      </w:hyperlink>
      <w:r w:rsidR="0088276F">
        <w:rPr>
          <w:lang w:val="pt-BR"/>
        </w:rPr>
        <w:t xml:space="preserve"> </w:t>
      </w:r>
    </w:p>
    <w:p w14:paraId="49B52A58" w14:textId="5B29B07D" w:rsidR="009773EF" w:rsidRPr="006A48A0" w:rsidRDefault="009773EF" w:rsidP="009773EF">
      <w:pPr>
        <w:ind w:left="720" w:hanging="720"/>
        <w:jc w:val="both"/>
        <w:rPr>
          <w:lang w:val="pt-BR"/>
        </w:rPr>
      </w:pPr>
      <w:r w:rsidRPr="009773EF">
        <w:rPr>
          <w:lang w:val="pt-BR"/>
        </w:rPr>
        <w:t>Victoria</w:t>
      </w:r>
      <w:r w:rsidR="0088276F">
        <w:rPr>
          <w:lang w:val="pt-BR"/>
        </w:rPr>
        <w:t>,</w:t>
      </w:r>
      <w:r w:rsidRPr="009773EF">
        <w:rPr>
          <w:lang w:val="pt-BR"/>
        </w:rPr>
        <w:t xml:space="preserve"> M</w:t>
      </w:r>
      <w:r w:rsidR="0088276F">
        <w:rPr>
          <w:lang w:val="pt-BR"/>
        </w:rPr>
        <w:t xml:space="preserve">. </w:t>
      </w:r>
      <w:r w:rsidRPr="009773EF">
        <w:rPr>
          <w:lang w:val="pt-BR"/>
        </w:rPr>
        <w:t>S</w:t>
      </w:r>
      <w:r w:rsidR="0088276F">
        <w:rPr>
          <w:lang w:val="pt-BR"/>
        </w:rPr>
        <w:t>., Bravo, A., Felix, A. K., Neves,</w:t>
      </w:r>
      <w:r w:rsidR="00982467">
        <w:rPr>
          <w:lang w:val="pt-BR"/>
        </w:rPr>
        <w:t xml:space="preserve"> B. G., Rodrigues, C. B., Ribeiro, C. C. P., Canejo, D., Coelho, D., Sampaio, D., Esteves, I. M., Silva, J. A., </w:t>
      </w:r>
      <w:proofErr w:type="spellStart"/>
      <w:r w:rsidR="00982467">
        <w:rPr>
          <w:lang w:val="pt-BR"/>
        </w:rPr>
        <w:t>Marotta</w:t>
      </w:r>
      <w:proofErr w:type="spellEnd"/>
      <w:r w:rsidR="00982467">
        <w:rPr>
          <w:lang w:val="pt-BR"/>
        </w:rPr>
        <w:t xml:space="preserve">, L., Rosa, M. S., Ribeiro, M. Y., Santos, N. S., Barbosa, T. B., Silva, T. M., Brito, T. M., Santos, V. C., Lima, V. ... (2013). </w:t>
      </w:r>
      <w:r w:rsidRPr="009773EF">
        <w:rPr>
          <w:lang w:val="pt-BR"/>
        </w:rPr>
        <w:t xml:space="preserve">Níveis de ansiedade e depressão em graduandos da Universidade do Estado do Rio de Janeiro (UERJ). </w:t>
      </w:r>
      <w:r w:rsidRPr="00982467">
        <w:rPr>
          <w:i/>
          <w:iCs/>
          <w:lang w:val="pt-BR"/>
        </w:rPr>
        <w:t>Encontro: Revista de Psicologia</w:t>
      </w:r>
      <w:r w:rsidR="00982467" w:rsidRPr="00982467">
        <w:rPr>
          <w:i/>
          <w:iCs/>
          <w:lang w:val="pt-BR"/>
        </w:rPr>
        <w:t xml:space="preserve">, </w:t>
      </w:r>
      <w:r w:rsidRPr="00982467">
        <w:rPr>
          <w:i/>
          <w:iCs/>
          <w:lang w:val="pt-BR"/>
        </w:rPr>
        <w:t>16</w:t>
      </w:r>
      <w:r w:rsidRPr="006A48A0">
        <w:rPr>
          <w:lang w:val="pt-BR"/>
        </w:rPr>
        <w:t>(25)</w:t>
      </w:r>
      <w:r w:rsidR="00982467">
        <w:rPr>
          <w:lang w:val="pt-BR"/>
        </w:rPr>
        <w:t xml:space="preserve">, </w:t>
      </w:r>
      <w:r w:rsidRPr="006A48A0">
        <w:rPr>
          <w:lang w:val="pt-BR"/>
        </w:rPr>
        <w:t xml:space="preserve">163-175. </w:t>
      </w:r>
      <w:hyperlink r:id="rId67" w:anchor=":~:text=Foram%20feitas%20compara%C3%A7%C3%B5es%20entre%20os,ansiedade%2C%20e%20Letras%20na%20depress%C3%A3o" w:history="1">
        <w:r w:rsidR="00982467" w:rsidRPr="001D1AFD">
          <w:rPr>
            <w:rStyle w:val="Hyperlink"/>
            <w:lang w:val="pt-BR"/>
          </w:rPr>
          <w:t>https://seer.pgsskroton.com/renc/article/view/2447#:~:text=Foram%20feitas%20compara%C3%A7%C3%B5es%20entre%20os,ansiedade%2C%20e%20Letras%20na%20depress%C3%A3o</w:t>
        </w:r>
      </w:hyperlink>
      <w:r w:rsidR="00982467" w:rsidRPr="00982467">
        <w:rPr>
          <w:lang w:val="pt-BR"/>
        </w:rPr>
        <w:t>.</w:t>
      </w:r>
      <w:r w:rsidR="00982467">
        <w:rPr>
          <w:lang w:val="pt-BR"/>
        </w:rPr>
        <w:t xml:space="preserve"> </w:t>
      </w:r>
    </w:p>
    <w:p w14:paraId="31CBEDE4" w14:textId="56B5F9BA" w:rsidR="009773EF" w:rsidRDefault="009773EF" w:rsidP="009773EF">
      <w:pPr>
        <w:ind w:left="720" w:hanging="720"/>
        <w:jc w:val="both"/>
        <w:rPr>
          <w:lang w:val="en-US"/>
        </w:rPr>
      </w:pPr>
      <w:proofErr w:type="spellStart"/>
      <w:r w:rsidRPr="009773EF">
        <w:rPr>
          <w:lang w:val="en-US"/>
        </w:rPr>
        <w:t>Whoqol</w:t>
      </w:r>
      <w:proofErr w:type="spellEnd"/>
      <w:r w:rsidRPr="009773EF">
        <w:rPr>
          <w:lang w:val="en-US"/>
        </w:rPr>
        <w:t xml:space="preserve"> Group</w:t>
      </w:r>
      <w:r w:rsidR="00982467">
        <w:rPr>
          <w:lang w:val="en-US"/>
        </w:rPr>
        <w:t xml:space="preserve"> (1995)</w:t>
      </w:r>
      <w:r w:rsidRPr="009773EF">
        <w:rPr>
          <w:lang w:val="en-US"/>
        </w:rPr>
        <w:t xml:space="preserve">. The World Health Organization quality of life assessment (WHOQOL): position paper from the World Health Organization. </w:t>
      </w:r>
      <w:r w:rsidRPr="00982467">
        <w:rPr>
          <w:i/>
          <w:iCs/>
          <w:lang w:val="en-US"/>
        </w:rPr>
        <w:t>Soc</w:t>
      </w:r>
      <w:r w:rsidR="00982467" w:rsidRPr="00982467">
        <w:rPr>
          <w:i/>
          <w:iCs/>
          <w:lang w:val="en-US"/>
        </w:rPr>
        <w:t>ial</w:t>
      </w:r>
      <w:r w:rsidRPr="00982467">
        <w:rPr>
          <w:i/>
          <w:iCs/>
          <w:lang w:val="en-US"/>
        </w:rPr>
        <w:t xml:space="preserve"> Sci</w:t>
      </w:r>
      <w:r w:rsidR="00982467" w:rsidRPr="00982467">
        <w:rPr>
          <w:i/>
          <w:iCs/>
          <w:lang w:val="en-US"/>
        </w:rPr>
        <w:t>ence &amp;</w:t>
      </w:r>
      <w:r w:rsidRPr="00982467">
        <w:rPr>
          <w:i/>
          <w:iCs/>
          <w:lang w:val="en-US"/>
        </w:rPr>
        <w:t xml:space="preserve"> Med</w:t>
      </w:r>
      <w:r w:rsidR="00982467" w:rsidRPr="00982467">
        <w:rPr>
          <w:i/>
          <w:iCs/>
          <w:lang w:val="en-US"/>
        </w:rPr>
        <w:t xml:space="preserve">icine, </w:t>
      </w:r>
      <w:r w:rsidRPr="00982467">
        <w:rPr>
          <w:i/>
          <w:iCs/>
          <w:lang w:val="en-US"/>
        </w:rPr>
        <w:t>41</w:t>
      </w:r>
      <w:r w:rsidRPr="009773EF">
        <w:rPr>
          <w:lang w:val="en-US"/>
        </w:rPr>
        <w:t>(10)</w:t>
      </w:r>
      <w:r w:rsidR="00982467">
        <w:rPr>
          <w:lang w:val="en-US"/>
        </w:rPr>
        <w:t xml:space="preserve">, </w:t>
      </w:r>
      <w:r w:rsidRPr="009773EF">
        <w:rPr>
          <w:lang w:val="en-US"/>
        </w:rPr>
        <w:t xml:space="preserve">1403-1409. </w:t>
      </w:r>
      <w:hyperlink r:id="rId68" w:history="1">
        <w:r w:rsidR="00982467" w:rsidRPr="001D1AFD">
          <w:rPr>
            <w:rStyle w:val="Hyperlink"/>
            <w:lang w:val="en-US"/>
          </w:rPr>
          <w:t>https://doi.org/10.1016/0277-9536(95)00112-k</w:t>
        </w:r>
      </w:hyperlink>
      <w:r w:rsidR="00982467">
        <w:rPr>
          <w:lang w:val="en-US"/>
        </w:rPr>
        <w:t xml:space="preserve"> </w:t>
      </w:r>
    </w:p>
    <w:sectPr w:rsidR="009773EF" w:rsidSect="0059034C">
      <w:headerReference w:type="even" r:id="rId69"/>
      <w:headerReference w:type="default" r:id="rId70"/>
      <w:footerReference w:type="even" r:id="rId71"/>
      <w:footerReference w:type="defaul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A0686" w14:textId="77777777" w:rsidR="002307A4" w:rsidRDefault="002307A4" w:rsidP="00C413D4">
      <w:r>
        <w:separator/>
      </w:r>
    </w:p>
  </w:endnote>
  <w:endnote w:type="continuationSeparator" w:id="0">
    <w:p w14:paraId="4D7BE9FA" w14:textId="77777777" w:rsidR="002307A4" w:rsidRDefault="002307A4"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635E9C" w:rsidRDefault="00635E9C" w:rsidP="0059034C">
        <w:pPr>
          <w:pStyle w:val="Rodap"/>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635E9C" w:rsidRDefault="00635E9C">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635E9C" w:rsidRDefault="00635E9C" w:rsidP="00C413D4">
        <w:pPr>
          <w:pStyle w:val="Rodap"/>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635E9C" w:rsidRDefault="00635E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DD96D" w14:textId="77777777" w:rsidR="002307A4" w:rsidRDefault="002307A4" w:rsidP="00C413D4">
      <w:r>
        <w:separator/>
      </w:r>
    </w:p>
  </w:footnote>
  <w:footnote w:type="continuationSeparator" w:id="0">
    <w:p w14:paraId="76A48284" w14:textId="77777777" w:rsidR="002307A4" w:rsidRDefault="002307A4"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20193" w14:textId="7B62876B" w:rsidR="00635E9C" w:rsidRPr="001566F6" w:rsidRDefault="00635E9C" w:rsidP="0059034C">
    <w:pPr>
      <w:pStyle w:val="Cabealho"/>
      <w:jc w:val="center"/>
      <w:rPr>
        <w:rFonts w:ascii="Times" w:hAnsi="Times" w:cs="Times New Roman (Body CS)"/>
        <w:smallCaps/>
        <w:sz w:val="20"/>
        <w:szCs w:val="20"/>
        <w:lang w:val="es-AR"/>
      </w:rPr>
    </w:pPr>
    <w:r w:rsidRPr="00CD7EC5">
      <w:rPr>
        <w:rFonts w:ascii="Times" w:hAnsi="Times" w:cs="Times New Roman (Body CS)"/>
        <w:smallCaps/>
        <w:sz w:val="20"/>
        <w:szCs w:val="20"/>
        <w:lang w:val="es-ES"/>
      </w:rPr>
      <w:t xml:space="preserve">Modelo de </w:t>
    </w:r>
    <w:proofErr w:type="spellStart"/>
    <w:r w:rsidRPr="00CD7EC5">
      <w:rPr>
        <w:rFonts w:ascii="Times" w:hAnsi="Times" w:cs="Times New Roman (Body CS)"/>
        <w:smallCaps/>
        <w:sz w:val="20"/>
        <w:szCs w:val="20"/>
        <w:lang w:val="es-ES"/>
      </w:rPr>
      <w:t>submissão</w:t>
    </w:r>
    <w:proofErr w:type="spellEnd"/>
    <w:r w:rsidRPr="00CD7EC5">
      <w:rPr>
        <w:rFonts w:ascii="Times" w:hAnsi="Times" w:cs="Times New Roman (Body CS)"/>
        <w:smallCaps/>
        <w:sz w:val="20"/>
        <w:szCs w:val="20"/>
        <w:lang w:val="es-ES"/>
      </w:rPr>
      <w:t xml:space="preserve"> de manuscritos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90CEF" w14:textId="2BDE3CB7" w:rsidR="00635E9C" w:rsidRDefault="00635E9C" w:rsidP="00C413D4">
    <w:pPr>
      <w:pStyle w:val="Cabealh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46D6078A" w:rsidR="00635E9C" w:rsidRPr="0027261B" w:rsidRDefault="00635E9C" w:rsidP="00977250">
    <w:pPr>
      <w:pStyle w:val="Cabealho"/>
      <w:jc w:val="right"/>
      <w:rPr>
        <w:lang w:val="es-AR"/>
      </w:rPr>
    </w:pPr>
    <w:r w:rsidRPr="00CD7EC5">
      <w:rPr>
        <w:rFonts w:ascii="Times" w:hAnsi="Times"/>
        <w:i/>
        <w:sz w:val="18"/>
        <w:szCs w:val="18"/>
        <w:lang w:val="es-ES"/>
      </w:rPr>
      <w:t xml:space="preserve">Modelo de </w:t>
    </w:r>
    <w:proofErr w:type="spellStart"/>
    <w:r w:rsidRPr="00CD7EC5">
      <w:rPr>
        <w:rFonts w:ascii="Times" w:hAnsi="Times"/>
        <w:i/>
        <w:sz w:val="18"/>
        <w:szCs w:val="18"/>
        <w:lang w:val="es-ES"/>
      </w:rPr>
      <w:t>submissão</w:t>
    </w:r>
    <w:proofErr w:type="spellEnd"/>
    <w:r w:rsidRPr="00CD7EC5">
      <w:rPr>
        <w:rFonts w:ascii="Times" w:hAnsi="Times"/>
        <w:i/>
        <w:sz w:val="18"/>
        <w:szCs w:val="18"/>
        <w:lang w:val="es-ES"/>
      </w:rPr>
      <w:t xml:space="preserve"> de manuscritos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D17E09"/>
    <w:multiLevelType w:val="hybridMultilevel"/>
    <w:tmpl w:val="C2466DFA"/>
    <w:lvl w:ilvl="0" w:tplc="0416000F">
      <w:start w:val="1"/>
      <w:numFmt w:val="decimal"/>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1E1D67B7"/>
    <w:multiLevelType w:val="hybridMultilevel"/>
    <w:tmpl w:val="433E0C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3" w15:restartNumberingAfterBreak="0">
    <w:nsid w:val="6E8F4642"/>
    <w:multiLevelType w:val="hybridMultilevel"/>
    <w:tmpl w:val="151E842A"/>
    <w:lvl w:ilvl="0" w:tplc="8BC0EC26">
      <w:start w:val="1"/>
      <w:numFmt w:val="decimal"/>
      <w:lvlText w:val="%1)"/>
      <w:lvlJc w:val="left"/>
      <w:pPr>
        <w:ind w:left="735" w:hanging="735"/>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4" w15:restartNumberingAfterBreak="0">
    <w:nsid w:val="6E911032"/>
    <w:multiLevelType w:val="hybridMultilevel"/>
    <w:tmpl w:val="F7E0D118"/>
    <w:lvl w:ilvl="0" w:tplc="8BC0EC26">
      <w:start w:val="1"/>
      <w:numFmt w:val="decimal"/>
      <w:lvlText w:val="%1)"/>
      <w:lvlJc w:val="left"/>
      <w:pPr>
        <w:ind w:left="735" w:hanging="73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2"/>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 w:numId="12">
    <w:abstractNumId w:val="11"/>
  </w:num>
  <w:num w:numId="13">
    <w:abstractNumId w:val="10"/>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650A"/>
    <w:rsid w:val="000365CA"/>
    <w:rsid w:val="00073A86"/>
    <w:rsid w:val="000755E2"/>
    <w:rsid w:val="00076F0A"/>
    <w:rsid w:val="00082D68"/>
    <w:rsid w:val="00093110"/>
    <w:rsid w:val="000E3B16"/>
    <w:rsid w:val="00107993"/>
    <w:rsid w:val="001253E7"/>
    <w:rsid w:val="00127870"/>
    <w:rsid w:val="00146C86"/>
    <w:rsid w:val="001516ED"/>
    <w:rsid w:val="00153DC5"/>
    <w:rsid w:val="001566F6"/>
    <w:rsid w:val="0016518D"/>
    <w:rsid w:val="001F7509"/>
    <w:rsid w:val="0021059C"/>
    <w:rsid w:val="00210B07"/>
    <w:rsid w:val="00213C94"/>
    <w:rsid w:val="00216AFF"/>
    <w:rsid w:val="002307A4"/>
    <w:rsid w:val="0023189A"/>
    <w:rsid w:val="00234E5C"/>
    <w:rsid w:val="00246D04"/>
    <w:rsid w:val="002542E2"/>
    <w:rsid w:val="0025485B"/>
    <w:rsid w:val="002624E0"/>
    <w:rsid w:val="00271502"/>
    <w:rsid w:val="0027261B"/>
    <w:rsid w:val="00283F1B"/>
    <w:rsid w:val="00294547"/>
    <w:rsid w:val="00297AFB"/>
    <w:rsid w:val="002B2297"/>
    <w:rsid w:val="002B3D99"/>
    <w:rsid w:val="002C009C"/>
    <w:rsid w:val="002C1EB1"/>
    <w:rsid w:val="002C3A8D"/>
    <w:rsid w:val="002C7C6D"/>
    <w:rsid w:val="002C7DF0"/>
    <w:rsid w:val="002D1053"/>
    <w:rsid w:val="002D14BF"/>
    <w:rsid w:val="002D1E22"/>
    <w:rsid w:val="002E0320"/>
    <w:rsid w:val="002E58EB"/>
    <w:rsid w:val="002F070D"/>
    <w:rsid w:val="002F257B"/>
    <w:rsid w:val="002F38C8"/>
    <w:rsid w:val="00302C5C"/>
    <w:rsid w:val="003909A7"/>
    <w:rsid w:val="003C4AA4"/>
    <w:rsid w:val="003D21B8"/>
    <w:rsid w:val="003D39E4"/>
    <w:rsid w:val="003E4B06"/>
    <w:rsid w:val="0042142D"/>
    <w:rsid w:val="00430C97"/>
    <w:rsid w:val="00436032"/>
    <w:rsid w:val="00443B12"/>
    <w:rsid w:val="00447E89"/>
    <w:rsid w:val="004618FA"/>
    <w:rsid w:val="00474908"/>
    <w:rsid w:val="00475FC0"/>
    <w:rsid w:val="00483D6B"/>
    <w:rsid w:val="0048651A"/>
    <w:rsid w:val="004A7C1B"/>
    <w:rsid w:val="004C0823"/>
    <w:rsid w:val="004D5719"/>
    <w:rsid w:val="004E537B"/>
    <w:rsid w:val="00504B2A"/>
    <w:rsid w:val="00510E52"/>
    <w:rsid w:val="005250EB"/>
    <w:rsid w:val="0053444D"/>
    <w:rsid w:val="00542090"/>
    <w:rsid w:val="00576894"/>
    <w:rsid w:val="005805DD"/>
    <w:rsid w:val="00584A01"/>
    <w:rsid w:val="0059034C"/>
    <w:rsid w:val="00594317"/>
    <w:rsid w:val="005B24FF"/>
    <w:rsid w:val="005B5614"/>
    <w:rsid w:val="005E185D"/>
    <w:rsid w:val="0061199D"/>
    <w:rsid w:val="00635E9C"/>
    <w:rsid w:val="00644660"/>
    <w:rsid w:val="00652D10"/>
    <w:rsid w:val="00693299"/>
    <w:rsid w:val="006937D3"/>
    <w:rsid w:val="00697746"/>
    <w:rsid w:val="006A1BA2"/>
    <w:rsid w:val="006A48A0"/>
    <w:rsid w:val="006B0812"/>
    <w:rsid w:val="006B088F"/>
    <w:rsid w:val="006C21BC"/>
    <w:rsid w:val="006E3D88"/>
    <w:rsid w:val="006F6924"/>
    <w:rsid w:val="006F7E7E"/>
    <w:rsid w:val="00700A50"/>
    <w:rsid w:val="00700F77"/>
    <w:rsid w:val="00704ECD"/>
    <w:rsid w:val="00724F5C"/>
    <w:rsid w:val="00742E4A"/>
    <w:rsid w:val="00770AE4"/>
    <w:rsid w:val="0077415F"/>
    <w:rsid w:val="00795D57"/>
    <w:rsid w:val="007A7C7C"/>
    <w:rsid w:val="007A7CDC"/>
    <w:rsid w:val="007C3C14"/>
    <w:rsid w:val="007E34D6"/>
    <w:rsid w:val="007E3B8D"/>
    <w:rsid w:val="00803433"/>
    <w:rsid w:val="008114AC"/>
    <w:rsid w:val="00814605"/>
    <w:rsid w:val="008151AB"/>
    <w:rsid w:val="00816268"/>
    <w:rsid w:val="00824D3A"/>
    <w:rsid w:val="00844D4F"/>
    <w:rsid w:val="00863414"/>
    <w:rsid w:val="00872EFD"/>
    <w:rsid w:val="00880120"/>
    <w:rsid w:val="0088276F"/>
    <w:rsid w:val="008862A6"/>
    <w:rsid w:val="008975FE"/>
    <w:rsid w:val="008B0F10"/>
    <w:rsid w:val="008C409A"/>
    <w:rsid w:val="008C775E"/>
    <w:rsid w:val="008D509E"/>
    <w:rsid w:val="009032D5"/>
    <w:rsid w:val="00903DEB"/>
    <w:rsid w:val="0090452B"/>
    <w:rsid w:val="00977250"/>
    <w:rsid w:val="009773EF"/>
    <w:rsid w:val="00982467"/>
    <w:rsid w:val="00993241"/>
    <w:rsid w:val="009A583F"/>
    <w:rsid w:val="009B3EF3"/>
    <w:rsid w:val="009D2551"/>
    <w:rsid w:val="009F14CC"/>
    <w:rsid w:val="00A30790"/>
    <w:rsid w:val="00A32751"/>
    <w:rsid w:val="00A457D0"/>
    <w:rsid w:val="00A516C7"/>
    <w:rsid w:val="00A62218"/>
    <w:rsid w:val="00A741BB"/>
    <w:rsid w:val="00A871FB"/>
    <w:rsid w:val="00AC0FD7"/>
    <w:rsid w:val="00AC65CF"/>
    <w:rsid w:val="00AD3238"/>
    <w:rsid w:val="00AE48D4"/>
    <w:rsid w:val="00B02133"/>
    <w:rsid w:val="00B06283"/>
    <w:rsid w:val="00B25D0C"/>
    <w:rsid w:val="00B35B61"/>
    <w:rsid w:val="00B511FB"/>
    <w:rsid w:val="00B60E75"/>
    <w:rsid w:val="00B61F11"/>
    <w:rsid w:val="00B6522A"/>
    <w:rsid w:val="00B74D71"/>
    <w:rsid w:val="00B83A6E"/>
    <w:rsid w:val="00B845A1"/>
    <w:rsid w:val="00B9678D"/>
    <w:rsid w:val="00BC2AFB"/>
    <w:rsid w:val="00BD26F5"/>
    <w:rsid w:val="00BF59E7"/>
    <w:rsid w:val="00C1153E"/>
    <w:rsid w:val="00C413D4"/>
    <w:rsid w:val="00C43335"/>
    <w:rsid w:val="00C64ECF"/>
    <w:rsid w:val="00C662C9"/>
    <w:rsid w:val="00C84812"/>
    <w:rsid w:val="00CA3BFF"/>
    <w:rsid w:val="00CA3C92"/>
    <w:rsid w:val="00CD7EC5"/>
    <w:rsid w:val="00CE7D65"/>
    <w:rsid w:val="00CF4E1F"/>
    <w:rsid w:val="00CF5D21"/>
    <w:rsid w:val="00D609BB"/>
    <w:rsid w:val="00D6639A"/>
    <w:rsid w:val="00D72A51"/>
    <w:rsid w:val="00D94A3F"/>
    <w:rsid w:val="00DB4A71"/>
    <w:rsid w:val="00DB6400"/>
    <w:rsid w:val="00DE1119"/>
    <w:rsid w:val="00DE7EB8"/>
    <w:rsid w:val="00DF0AC2"/>
    <w:rsid w:val="00E23C9E"/>
    <w:rsid w:val="00E25900"/>
    <w:rsid w:val="00E26883"/>
    <w:rsid w:val="00E3671F"/>
    <w:rsid w:val="00E416F6"/>
    <w:rsid w:val="00E449A9"/>
    <w:rsid w:val="00E55124"/>
    <w:rsid w:val="00E97D42"/>
    <w:rsid w:val="00EA6646"/>
    <w:rsid w:val="00EB213C"/>
    <w:rsid w:val="00ED2663"/>
    <w:rsid w:val="00ED6004"/>
    <w:rsid w:val="00F21272"/>
    <w:rsid w:val="00F26D33"/>
    <w:rsid w:val="00F80C1D"/>
    <w:rsid w:val="00F83E1E"/>
    <w:rsid w:val="00F92F1A"/>
    <w:rsid w:val="00FB0419"/>
    <w:rsid w:val="00FB7894"/>
    <w:rsid w:val="00FC5C57"/>
    <w:rsid w:val="00FD2D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2">
    <w:name w:val="heading 2"/>
    <w:basedOn w:val="Normal"/>
    <w:next w:val="Normal"/>
    <w:link w:val="Ttulo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88276F"/>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CabealhoChar">
    <w:name w:val="Cabeçalho Char"/>
    <w:basedOn w:val="Fontepargpadro"/>
    <w:link w:val="Cabealho"/>
    <w:uiPriority w:val="99"/>
    <w:rsid w:val="00C413D4"/>
  </w:style>
  <w:style w:type="paragraph" w:styleId="Rodap">
    <w:name w:val="footer"/>
    <w:basedOn w:val="Normal"/>
    <w:link w:val="Rodap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RodapChar">
    <w:name w:val="Rodapé Char"/>
    <w:basedOn w:val="Fontepargpadro"/>
    <w:link w:val="Rodap"/>
    <w:uiPriority w:val="99"/>
    <w:rsid w:val="00C413D4"/>
  </w:style>
  <w:style w:type="character" w:customStyle="1" w:styleId="label3">
    <w:name w:val="label3"/>
    <w:basedOn w:val="Fontepargpadro"/>
    <w:rsid w:val="00C413D4"/>
  </w:style>
  <w:style w:type="paragraph" w:styleId="Textodenotaderodap">
    <w:name w:val="footnote text"/>
    <w:basedOn w:val="Normal"/>
    <w:link w:val="TextodenotaderodapChar"/>
    <w:uiPriority w:val="99"/>
    <w:semiHidden/>
    <w:unhideWhenUsed/>
    <w:rsid w:val="00C413D4"/>
    <w:rPr>
      <w:sz w:val="20"/>
      <w:szCs w:val="20"/>
    </w:rPr>
  </w:style>
  <w:style w:type="character" w:customStyle="1" w:styleId="TextodenotaderodapChar">
    <w:name w:val="Texto de nota de rodapé Char"/>
    <w:basedOn w:val="Fontepargpadro"/>
    <w:link w:val="Textodenotaderodap"/>
    <w:uiPriority w:val="99"/>
    <w:semiHidden/>
    <w:rsid w:val="00C413D4"/>
    <w:rPr>
      <w:rFonts w:ascii="Times New Roman" w:eastAsia="Times New Roman" w:hAnsi="Times New Roman" w:cs="Times New Roman"/>
      <w:sz w:val="20"/>
      <w:szCs w:val="20"/>
      <w:lang w:val="es-ES_tradnl" w:eastAsia="es-ES_tradnl"/>
    </w:rPr>
  </w:style>
  <w:style w:type="character" w:styleId="Refdenotaderodap">
    <w:name w:val="footnote reference"/>
    <w:basedOn w:val="Fontepargpadro"/>
    <w:uiPriority w:val="99"/>
    <w:semiHidden/>
    <w:unhideWhenUsed/>
    <w:rsid w:val="00C413D4"/>
    <w:rPr>
      <w:vertAlign w:val="superscript"/>
    </w:rPr>
  </w:style>
  <w:style w:type="character" w:styleId="Nmerodepgina">
    <w:name w:val="page number"/>
    <w:basedOn w:val="Fontepargpadro"/>
    <w:uiPriority w:val="99"/>
    <w:semiHidden/>
    <w:unhideWhenUsed/>
    <w:rsid w:val="00C413D4"/>
  </w:style>
  <w:style w:type="paragraph" w:styleId="Corpodetexto">
    <w:name w:val="Body Text"/>
    <w:basedOn w:val="Normal"/>
    <w:link w:val="CorpodetextoChar"/>
    <w:rsid w:val="006F7E7E"/>
    <w:pPr>
      <w:spacing w:line="480" w:lineRule="auto"/>
      <w:ind w:firstLine="540"/>
    </w:pPr>
    <w:rPr>
      <w:szCs w:val="20"/>
      <w:lang w:val="en-US" w:eastAsia="en-US"/>
    </w:rPr>
  </w:style>
  <w:style w:type="character" w:customStyle="1" w:styleId="CorpodetextoChar">
    <w:name w:val="Corpo de texto Char"/>
    <w:basedOn w:val="Fontepargpadro"/>
    <w:link w:val="Corpodetexto"/>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denotadefim">
    <w:name w:val="endnote text"/>
    <w:basedOn w:val="Normal"/>
    <w:link w:val="TextodenotadefimChar"/>
    <w:uiPriority w:val="99"/>
    <w:semiHidden/>
    <w:unhideWhenUsed/>
    <w:rsid w:val="007A7C7C"/>
    <w:rPr>
      <w:sz w:val="20"/>
      <w:szCs w:val="20"/>
    </w:rPr>
  </w:style>
  <w:style w:type="character" w:customStyle="1" w:styleId="TextodenotadefimChar">
    <w:name w:val="Texto de nota de fim Char"/>
    <w:basedOn w:val="Fontepargpadro"/>
    <w:link w:val="Textodenotadefim"/>
    <w:uiPriority w:val="99"/>
    <w:semiHidden/>
    <w:rsid w:val="007A7C7C"/>
    <w:rPr>
      <w:rFonts w:ascii="Times New Roman" w:eastAsia="Times New Roman" w:hAnsi="Times New Roman" w:cs="Times New Roman"/>
      <w:sz w:val="20"/>
      <w:szCs w:val="20"/>
      <w:lang w:val="es-ES_tradnl" w:eastAsia="es-ES_tradnl"/>
    </w:rPr>
  </w:style>
  <w:style w:type="character" w:styleId="Refdenotadefim">
    <w:name w:val="endnote reference"/>
    <w:basedOn w:val="Fontepargpadro"/>
    <w:uiPriority w:val="99"/>
    <w:semiHidden/>
    <w:unhideWhenUsed/>
    <w:rsid w:val="007A7C7C"/>
    <w:rPr>
      <w:vertAlign w:val="superscript"/>
    </w:rPr>
  </w:style>
  <w:style w:type="character" w:styleId="Hyperlink">
    <w:name w:val="Hyperlink"/>
    <w:basedOn w:val="Fontepargpadro"/>
    <w:uiPriority w:val="99"/>
    <w:unhideWhenUsed/>
    <w:rsid w:val="00B6522A"/>
    <w:rPr>
      <w:color w:val="0000FF"/>
      <w:u w:val="single"/>
    </w:rPr>
  </w:style>
  <w:style w:type="paragraph" w:styleId="Textodebalo">
    <w:name w:val="Balloon Text"/>
    <w:basedOn w:val="Normal"/>
    <w:link w:val="TextodebaloChar"/>
    <w:uiPriority w:val="99"/>
    <w:semiHidden/>
    <w:unhideWhenUsed/>
    <w:rsid w:val="00FB0419"/>
    <w:rPr>
      <w:sz w:val="18"/>
      <w:szCs w:val="18"/>
    </w:rPr>
  </w:style>
  <w:style w:type="character" w:customStyle="1" w:styleId="TextodebaloChar">
    <w:name w:val="Texto de balão Char"/>
    <w:basedOn w:val="Fontepargpadro"/>
    <w:link w:val="Textodebalo"/>
    <w:uiPriority w:val="99"/>
    <w:semiHidden/>
    <w:rsid w:val="00FB0419"/>
    <w:rPr>
      <w:rFonts w:ascii="Times New Roman" w:eastAsia="Times New Roman" w:hAnsi="Times New Roman" w:cs="Times New Roman"/>
      <w:sz w:val="18"/>
      <w:szCs w:val="18"/>
      <w:lang w:val="es-ES_tradnl" w:eastAsia="es-ES_tradnl"/>
    </w:rPr>
  </w:style>
  <w:style w:type="table" w:styleId="Tabelacomgrade">
    <w:name w:val="Table Grid"/>
    <w:basedOn w:val="Tabe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474908"/>
    <w:pPr>
      <w:spacing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ontepargpadro"/>
    <w:link w:val="Ttulosinternos"/>
    <w:rsid w:val="00474908"/>
    <w:rPr>
      <w:rFonts w:ascii="Times New Roman" w:eastAsia="Times New Roman" w:hAnsi="Times New Roman" w:cs="Times New Roman"/>
      <w:b/>
    </w:rPr>
  </w:style>
  <w:style w:type="character" w:customStyle="1" w:styleId="Ttulo2Char">
    <w:name w:val="Título 2 Char"/>
    <w:basedOn w:val="Fontepargpadro"/>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ontepargpadro"/>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ontepargpadro"/>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ontepargpadro"/>
    <w:link w:val="TtuloResumen"/>
    <w:rsid w:val="00C43335"/>
    <w:rPr>
      <w:rFonts w:ascii="Times New Roman" w:eastAsia="Times New Roman" w:hAnsi="Times New Roman" w:cs="Times New Roman"/>
      <w:b/>
      <w:smallCaps/>
      <w:sz w:val="20"/>
      <w:szCs w:val="20"/>
      <w:lang w:val="pt-BR" w:eastAsia="es-ES_tradnl"/>
    </w:rPr>
  </w:style>
  <w:style w:type="character" w:styleId="MenoPendente">
    <w:name w:val="Unresolved Mention"/>
    <w:basedOn w:val="Fontepargpadro"/>
    <w:uiPriority w:val="99"/>
    <w:semiHidden/>
    <w:unhideWhenUsed/>
    <w:rsid w:val="00EB213C"/>
    <w:rPr>
      <w:color w:val="605E5C"/>
      <w:shd w:val="clear" w:color="auto" w:fill="E1DFDD"/>
    </w:rPr>
  </w:style>
  <w:style w:type="paragraph" w:styleId="NormalWeb">
    <w:name w:val="Normal (Web)"/>
    <w:basedOn w:val="Normal"/>
    <w:uiPriority w:val="99"/>
    <w:unhideWhenUsed/>
    <w:rsid w:val="0048651A"/>
  </w:style>
  <w:style w:type="table" w:styleId="TabelaSimples2">
    <w:name w:val="Plain Table 2"/>
    <w:basedOn w:val="Tabelanormal"/>
    <w:uiPriority w:val="99"/>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Lista6Colorida-nfase3">
    <w:name w:val="List Table 6 Colorful Accent 3"/>
    <w:basedOn w:val="Tabela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adeGrade1Clara">
    <w:name w:val="Grid Table 1 Light"/>
    <w:basedOn w:val="Tabela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4">
    <w:name w:val="Plain Table 4"/>
    <w:basedOn w:val="Tabela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
    <w:name w:val="Table Normal"/>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Fontepargpadro"/>
    <w:link w:val="SubtituloInterno1"/>
    <w:rsid w:val="00DE7EB8"/>
    <w:rPr>
      <w:rFonts w:ascii="Times New Roman" w:eastAsia="Times New Roman" w:hAnsi="Times New Roman" w:cs="Times New Roman"/>
      <w:i/>
      <w:lang w:val="es-AR"/>
    </w:rPr>
  </w:style>
  <w:style w:type="table" w:customStyle="1" w:styleId="TabeladeGradeClara1">
    <w:name w:val="Tabela de Grade Clara1"/>
    <w:basedOn w:val="Tabelanormal"/>
    <w:uiPriority w:val="40"/>
    <w:rsid w:val="00B61F11"/>
    <w:rPr>
      <w:rFonts w:ascii="Calibri" w:eastAsia="Calibri" w:hAnsi="Calibri" w:cs="Times New Roman"/>
      <w:sz w:val="22"/>
      <w:szCs w:val="22"/>
      <w:lang w:val="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eladeGradeClara11">
    <w:name w:val="Tabela de Grade Clara11"/>
    <w:basedOn w:val="Tabelanormal"/>
    <w:uiPriority w:val="40"/>
    <w:rsid w:val="008862A6"/>
    <w:rPr>
      <w:rFonts w:ascii="Calibri" w:eastAsia="Calibri" w:hAnsi="Calibri" w:cs="Times New Roman"/>
      <w:sz w:val="22"/>
      <w:szCs w:val="22"/>
      <w:lang w:val="pt-B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Refdecomentrio">
    <w:name w:val="annotation reference"/>
    <w:basedOn w:val="Fontepargpadro"/>
    <w:uiPriority w:val="99"/>
    <w:semiHidden/>
    <w:unhideWhenUsed/>
    <w:rsid w:val="00146C86"/>
    <w:rPr>
      <w:sz w:val="16"/>
      <w:szCs w:val="16"/>
    </w:rPr>
  </w:style>
  <w:style w:type="paragraph" w:styleId="Textodecomentrio">
    <w:name w:val="annotation text"/>
    <w:basedOn w:val="Normal"/>
    <w:link w:val="TextodecomentrioChar"/>
    <w:uiPriority w:val="99"/>
    <w:semiHidden/>
    <w:unhideWhenUsed/>
    <w:rsid w:val="00146C86"/>
    <w:rPr>
      <w:sz w:val="20"/>
      <w:szCs w:val="20"/>
    </w:rPr>
  </w:style>
  <w:style w:type="character" w:customStyle="1" w:styleId="TextodecomentrioChar">
    <w:name w:val="Texto de comentário Char"/>
    <w:basedOn w:val="Fontepargpadro"/>
    <w:link w:val="Textodecomentrio"/>
    <w:uiPriority w:val="99"/>
    <w:semiHidden/>
    <w:rsid w:val="00146C86"/>
    <w:rPr>
      <w:rFonts w:ascii="Times New Roman" w:eastAsia="Times New Roman" w:hAnsi="Times New Roman" w:cs="Times New Roman"/>
      <w:sz w:val="20"/>
      <w:szCs w:val="20"/>
      <w:lang w:val="es-ES_tradnl" w:eastAsia="es-ES_tradnl"/>
    </w:rPr>
  </w:style>
  <w:style w:type="paragraph" w:styleId="Assuntodocomentrio">
    <w:name w:val="annotation subject"/>
    <w:basedOn w:val="Textodecomentrio"/>
    <w:next w:val="Textodecomentrio"/>
    <w:link w:val="AssuntodocomentrioChar"/>
    <w:uiPriority w:val="99"/>
    <w:semiHidden/>
    <w:unhideWhenUsed/>
    <w:rsid w:val="00146C86"/>
    <w:rPr>
      <w:b/>
      <w:bCs/>
    </w:rPr>
  </w:style>
  <w:style w:type="character" w:customStyle="1" w:styleId="AssuntodocomentrioChar">
    <w:name w:val="Assunto do comentário Char"/>
    <w:basedOn w:val="TextodecomentrioChar"/>
    <w:link w:val="Assuntodocomentrio"/>
    <w:uiPriority w:val="99"/>
    <w:semiHidden/>
    <w:rsid w:val="00146C86"/>
    <w:rPr>
      <w:rFonts w:ascii="Times New Roman" w:eastAsia="Times New Roman" w:hAnsi="Times New Roman" w:cs="Times New Roman"/>
      <w:b/>
      <w:bCs/>
      <w:sz w:val="20"/>
      <w:szCs w:val="20"/>
      <w:lang w:val="es-ES_tradnl" w:eastAsia="es-ES_tradnl"/>
    </w:rPr>
  </w:style>
  <w:style w:type="character" w:customStyle="1" w:styleId="Ttulo3Char">
    <w:name w:val="Título 3 Char"/>
    <w:basedOn w:val="Fontepargpadro"/>
    <w:link w:val="Ttulo3"/>
    <w:uiPriority w:val="9"/>
    <w:semiHidden/>
    <w:rsid w:val="0088276F"/>
    <w:rPr>
      <w:rFonts w:asciiTheme="majorHAnsi" w:eastAsiaTheme="majorEastAsia" w:hAnsiTheme="majorHAnsi" w:cstheme="majorBidi"/>
      <w:color w:val="1F3763" w:themeColor="accent1" w:themeShade="7F"/>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64834554">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031879" TargetMode="External"/><Relationship Id="rId18" Type="http://schemas.openxmlformats.org/officeDocument/2006/relationships/hyperlink" Target="https://dx.doi.org/10.1016%2Fj.pmedr.2019.100922" TargetMode="External"/><Relationship Id="rId26" Type="http://schemas.openxmlformats.org/officeDocument/2006/relationships/hyperlink" Target="https://doi.org/10.1590/1413-81232014198.21242013" TargetMode="External"/><Relationship Id="rId39" Type="http://schemas.openxmlformats.org/officeDocument/2006/relationships/hyperlink" Target="https://doi.org/10.5020/18061230.2016.p313" TargetMode="External"/><Relationship Id="rId21" Type="http://schemas.openxmlformats.org/officeDocument/2006/relationships/hyperlink" Target="http://www.planalto.gov.br/ccivil_03/constituicao/constituicao.htm" TargetMode="External"/><Relationship Id="rId34" Type="http://schemas.openxmlformats.org/officeDocument/2006/relationships/hyperlink" Target="https://doi.org/10.1590/S1413-81232009000600035" TargetMode="External"/><Relationship Id="rId42" Type="http://schemas.openxmlformats.org/officeDocument/2006/relationships/hyperlink" Target="http://www.planalto.gov.br/ccivil_03/leis/2003/l10.741.htm" TargetMode="External"/><Relationship Id="rId47" Type="http://schemas.openxmlformats.org/officeDocument/2006/relationships/hyperlink" Target="https://doi.org/10.1590/1983-1447.2016.02.55291" TargetMode="External"/><Relationship Id="rId50" Type="http://schemas.openxmlformats.org/officeDocument/2006/relationships/hyperlink" Target="http://www.cpaqv.org/revista/CPAQV/ojs-2.3.7/index.php?journal=CPAQV&amp;page=article&amp;op=view&amp;path%5B%5D=77" TargetMode="External"/><Relationship Id="rId55" Type="http://schemas.openxmlformats.org/officeDocument/2006/relationships/hyperlink" Target="https://doi.org/10.1590/S1807-55092012000200007" TargetMode="External"/><Relationship Id="rId63" Type="http://schemas.openxmlformats.org/officeDocument/2006/relationships/hyperlink" Target="https://doi.org/10.1371/journal.pone.0131535" TargetMode="External"/><Relationship Id="rId68" Type="http://schemas.openxmlformats.org/officeDocument/2006/relationships/hyperlink" Target="https://doi.org/10.1016/0277-9536(95)00112-k" TargetMode="External"/><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pepsic.bvsalud.org/scielo.php?script=sci_arttext&amp;pid=S1516-37172012000100003&amp;lng=pt&amp;nrm=iso" TargetMode="External"/><Relationship Id="rId29" Type="http://schemas.openxmlformats.org/officeDocument/2006/relationships/hyperlink" Target="https://doi.org/10.1590/S0034-89102000000200012" TargetMode="External"/><Relationship Id="rId11" Type="http://schemas.openxmlformats.org/officeDocument/2006/relationships/hyperlink" Target="https://repositorio.unip.br/wp-content/uploads/2020/12/V34_n4_2016_p224a230.pdf" TargetMode="External"/><Relationship Id="rId24" Type="http://schemas.openxmlformats.org/officeDocument/2006/relationships/hyperlink" Target="http://dx.doi.org/10.1016/despro-sed2016-009" TargetMode="External"/><Relationship Id="rId32" Type="http://schemas.openxmlformats.org/officeDocument/2006/relationships/hyperlink" Target="https://doi.org/10.1016/j.parkreldis.2019.07.031" TargetMode="External"/><Relationship Id="rId37" Type="http://schemas.openxmlformats.org/officeDocument/2006/relationships/hyperlink" Target="https://dx.doi.org/10.26633%2FRPSP.2018.165" TargetMode="External"/><Relationship Id="rId40" Type="http://schemas.openxmlformats.org/officeDocument/2006/relationships/hyperlink" Target="http://dx.doi.org/10.31505/rbtcc.v18i2.880" TargetMode="External"/><Relationship Id="rId45" Type="http://schemas.openxmlformats.org/officeDocument/2006/relationships/hyperlink" Target="https://doi.org/10.1590/1413-812320152111.21352015" TargetMode="External"/><Relationship Id="rId53" Type="http://schemas.openxmlformats.org/officeDocument/2006/relationships/hyperlink" Target="http://dx.doi.org/10.1017/jrc.2016.12" TargetMode="External"/><Relationship Id="rId58" Type="http://schemas.openxmlformats.org/officeDocument/2006/relationships/hyperlink" Target="https://doi.org/10.1590/S0104-11692004000400009" TargetMode="External"/><Relationship Id="rId66" Type="http://schemas.openxmlformats.org/officeDocument/2006/relationships/hyperlink" Target="http://dx.doi.org/10.5892/ruvrd.v12i1.1471"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bep.org/criterio-brasil" TargetMode="External"/><Relationship Id="rId23" Type="http://schemas.openxmlformats.org/officeDocument/2006/relationships/hyperlink" Target="https://doi.org/10.3390/ijerph14101250" TargetMode="External"/><Relationship Id="rId28" Type="http://schemas.openxmlformats.org/officeDocument/2006/relationships/hyperlink" Target="https://www.teses.usp.br/teses/disponiveis/5/5137/tde-10072008-161825/pt-br.php" TargetMode="External"/><Relationship Id="rId36" Type="http://schemas.openxmlformats.org/officeDocument/2006/relationships/hyperlink" Target="https://tede2.pucsp.br/handle/handle/7534" TargetMode="External"/><Relationship Id="rId49" Type="http://schemas.openxmlformats.org/officeDocument/2006/relationships/hyperlink" Target="https://doi.org/10.1590/1413-81232015212.01102015" TargetMode="External"/><Relationship Id="rId57" Type="http://schemas.openxmlformats.org/officeDocument/2006/relationships/hyperlink" Target="https://doi.org/10.1016/j.jval.2011.11.035" TargetMode="External"/><Relationship Id="rId61" Type="http://schemas.openxmlformats.org/officeDocument/2006/relationships/hyperlink" Target="https://dx.doi.org/10.5935/1980-6906/psicologia.v20n2p107-119" TargetMode="External"/><Relationship Id="rId10" Type="http://schemas.openxmlformats.org/officeDocument/2006/relationships/image" Target="media/image2.svg"/><Relationship Id="rId19" Type="http://schemas.openxmlformats.org/officeDocument/2006/relationships/hyperlink" Target="https://doi.org/10.1590/1980-5497201700050016" TargetMode="External"/><Relationship Id="rId31" Type="http://schemas.openxmlformats.org/officeDocument/2006/relationships/hyperlink" Target="https://doi.org/10.1590/S0104-11692005000200002" TargetMode="External"/><Relationship Id="rId44" Type="http://schemas.openxmlformats.org/officeDocument/2006/relationships/hyperlink" Target="https://doi.org/10.1590/S1413-81232000000100002" TargetMode="External"/><Relationship Id="rId52" Type="http://schemas.openxmlformats.org/officeDocument/2006/relationships/hyperlink" Target="https://dx.doi.org/10.1007%2Fs40596-014-0205-9" TargetMode="External"/><Relationship Id="rId60" Type="http://schemas.openxmlformats.org/officeDocument/2006/relationships/hyperlink" Target="https://doi.org/10.1093/eurpub/cki155" TargetMode="External"/><Relationship Id="rId65" Type="http://schemas.openxmlformats.org/officeDocument/2006/relationships/hyperlink" Target="https://doi.org/10.1590/S0102-311X2013000500013"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cha.org/documents/ncha/NCHA-II_Spring_2018_Reference_Group_Executive_Summary.pdf" TargetMode="External"/><Relationship Id="rId22" Type="http://schemas.openxmlformats.org/officeDocument/2006/relationships/hyperlink" Target="https://bvsms.saude.gov.br/bvs/publicacoes/atencao_saude_pessoa_idosa_envelhecimento_v12.pdf" TargetMode="External"/><Relationship Id="rId27" Type="http://schemas.openxmlformats.org/officeDocument/2006/relationships/hyperlink" Target="https://doi.org/10.1590/S0101-81082008000400010" TargetMode="External"/><Relationship Id="rId30" Type="http://schemas.openxmlformats.org/officeDocument/2006/relationships/hyperlink" Target="https://doi.org/10.1016/j.healthplace.2015.07.003" TargetMode="External"/><Relationship Id="rId35" Type="http://schemas.openxmlformats.org/officeDocument/2006/relationships/hyperlink" Target="https://doi.org/10.1186/s12905-020-00950-6" TargetMode="External"/><Relationship Id="rId43" Type="http://schemas.openxmlformats.org/officeDocument/2006/relationships/hyperlink" Target="https://repositorio.ucp.pt/handle/10400.14/24101" TargetMode="External"/><Relationship Id="rId48" Type="http://schemas.openxmlformats.org/officeDocument/2006/relationships/hyperlink" Target="https://doi.org/10.11606/S1518-8787.2018052000613" TargetMode="External"/><Relationship Id="rId56" Type="http://schemas.openxmlformats.org/officeDocument/2006/relationships/hyperlink" Target="https://doi.org/10.1590/1516-4446-2017-2297" TargetMode="External"/><Relationship Id="rId64" Type="http://schemas.openxmlformats.org/officeDocument/2006/relationships/hyperlink" Target="https://www.un.org/ga/search/view_doc.asp?symbol=a/37/51(SUPP)" TargetMode="External"/><Relationship Id="rId69" Type="http://schemas.openxmlformats.org/officeDocument/2006/relationships/header" Target="header1.xml"/><Relationship Id="rId8" Type="http://schemas.openxmlformats.org/officeDocument/2006/relationships/hyperlink" Target="https://sipsych.org/" TargetMode="External"/><Relationship Id="rId51" Type="http://schemas.openxmlformats.org/officeDocument/2006/relationships/hyperlink" Target="https://doi.org/10.1186/s13104-017-2439-6" TargetMode="External"/><Relationship Id="rId72"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revistas.rcaap.pt/millenium/article/view/8227" TargetMode="External"/><Relationship Id="rId17" Type="http://schemas.openxmlformats.org/officeDocument/2006/relationships/hyperlink" Target="https://doi.org/10.18378/rebes.v7i1.4235" TargetMode="External"/><Relationship Id="rId25" Type="http://schemas.openxmlformats.org/officeDocument/2006/relationships/hyperlink" Target="http://dx.doi.org/10.3895/S2175-08582014000300004" TargetMode="External"/><Relationship Id="rId33" Type="http://schemas.openxmlformats.org/officeDocument/2006/relationships/hyperlink" Target="https://doi.org/10.1590/0102-311X00158412" TargetMode="External"/><Relationship Id="rId38" Type="http://schemas.openxmlformats.org/officeDocument/2006/relationships/hyperlink" Target="https://doi.org/10.1097/hnp.0000000000000121" TargetMode="External"/><Relationship Id="rId46" Type="http://schemas.openxmlformats.org/officeDocument/2006/relationships/hyperlink" Target="https://periodicos.ufac.br/index.php/COMMUNITAS/article/view/1122" TargetMode="External"/><Relationship Id="rId59" Type="http://schemas.openxmlformats.org/officeDocument/2006/relationships/hyperlink" Target="https://doi.org/10.1590/S0102-311X2004000200027" TargetMode="External"/><Relationship Id="rId67" Type="http://schemas.openxmlformats.org/officeDocument/2006/relationships/hyperlink" Target="https://seer.pgsskroton.com/renc/article/view/2447" TargetMode="External"/><Relationship Id="rId20" Type="http://schemas.openxmlformats.org/officeDocument/2006/relationships/hyperlink" Target="https://doi.org/10.11606/S1518-8787.2018052000261" TargetMode="External"/><Relationship Id="rId41" Type="http://schemas.openxmlformats.org/officeDocument/2006/relationships/hyperlink" Target="http://www.planalto.gov.br/ccivil_03/leis/2002/l10406.htm" TargetMode="External"/><Relationship Id="rId54" Type="http://schemas.openxmlformats.org/officeDocument/2006/relationships/hyperlink" Target="https://doi.org/10.14417/lp.627" TargetMode="External"/><Relationship Id="rId62" Type="http://schemas.openxmlformats.org/officeDocument/2006/relationships/hyperlink" Target="https://www.actamedicaportuguesa.com/revista/index.php/amp/article/view/1504" TargetMode="External"/><Relationship Id="rId7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74A7-9602-40D9-85FC-1F9B2D168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21</Pages>
  <Words>9696</Words>
  <Characters>52360</Characters>
  <Application>Microsoft Office Word</Application>
  <DocSecurity>0</DocSecurity>
  <Lines>436</Lines>
  <Paragraphs>123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2020-04-16T16:22:00Z</cp:lastPrinted>
  <dcterms:created xsi:type="dcterms:W3CDTF">2022-04-29T05:17:00Z</dcterms:created>
  <dcterms:modified xsi:type="dcterms:W3CDTF">2022-05-02T03:37:00Z</dcterms:modified>
</cp:coreProperties>
</file>